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B3894" w:rsidP="00096AA7">
            <w:pPr>
              <w:rPr>
                <w:rFonts w:ascii="Arial" w:hAnsi="Arial" w:cs="Arial"/>
                <w:b/>
                <w:color w:val="002C47"/>
                <w:sz w:val="36"/>
                <w:szCs w:val="36"/>
              </w:rPr>
            </w:pPr>
            <w:r>
              <w:rPr>
                <w:rFonts w:ascii="Arial" w:hAnsi="Arial" w:cs="Arial"/>
                <w:b/>
                <w:color w:val="002C47"/>
                <w:sz w:val="36"/>
                <w:szCs w:val="36"/>
              </w:rPr>
              <w:t>March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8138CC">
            <w:pPr>
              <w:pStyle w:val="Title"/>
              <w:rPr>
                <w:color w:val="FFFFFF" w:themeColor="background1"/>
              </w:rPr>
            </w:pPr>
            <w:r w:rsidRPr="00A964D1">
              <w:rPr>
                <w:color w:val="FFFFFF" w:themeColor="background1"/>
              </w:rPr>
              <w:t>Australi</w:t>
            </w:r>
            <w:r w:rsidR="008138CC">
              <w:rPr>
                <w:color w:val="FFFFFF" w:themeColor="background1"/>
              </w:rPr>
              <w:t>an Public Assessment Report for</w:t>
            </w:r>
            <w:r w:rsidR="008138CC" w:rsidRPr="008138CC">
              <w:rPr>
                <w:color w:val="FFFFFF" w:themeColor="background1"/>
              </w:rPr>
              <w:t xml:space="preserve"> Sofosbuv</w:t>
            </w:r>
            <w:r w:rsidR="008138CC">
              <w:rPr>
                <w:color w:val="FFFFFF" w:themeColor="background1"/>
              </w:rPr>
              <w:t>ir / Velpatasvir / Voxilaprevir</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8138CC" w:rsidRPr="008138CC">
              <w:rPr>
                <w:color w:val="FFFFFF" w:themeColor="background1"/>
              </w:rPr>
              <w:t>Vosevi</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8138CC" w:rsidRPr="008138CC">
              <w:rPr>
                <w:color w:val="FFFFFF" w:themeColor="background1"/>
              </w:rPr>
              <w:t>Gilead Sciences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E650A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E650A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E650A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E650A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E650A8">
      <w:pPr>
        <w:pStyle w:val="ListBullet"/>
        <w:numPr>
          <w:ilvl w:val="0"/>
          <w:numId w:val="1"/>
        </w:numPr>
        <w:ind w:left="357" w:hanging="357"/>
      </w:pPr>
      <w:r>
        <w:t xml:space="preserve">To report a problem with a medicine or medical device, please see the information on </w:t>
      </w:r>
      <w:r w:rsidR="00441C3F">
        <w:t xml:space="preserve">the TGA website </w:t>
      </w:r>
      <w:r w:rsidR="00476CD0">
        <w:t xml:space="preserve">&lt; </w:t>
      </w:r>
      <w:hyperlink r:id="rId9" w:history="1">
        <w:r w:rsidR="00441C3F">
          <w:rPr>
            <w:rStyle w:val="Hyperlink"/>
          </w:rPr>
          <w:t>https://www.tga.gov.au</w:t>
        </w:r>
      </w:hyperlink>
      <w:proofErr w:type="gramStart"/>
      <w:r w:rsidR="00476CD0">
        <w:t xml:space="preserve">&gt; </w:t>
      </w:r>
      <w:r w:rsidR="00441C3F">
        <w:t>.</w:t>
      </w:r>
      <w:proofErr w:type="gramEnd"/>
    </w:p>
    <w:p w:rsidR="008E7846" w:rsidRDefault="008E7846" w:rsidP="00875A6B">
      <w:pPr>
        <w:pStyle w:val="NonTOCHeading2"/>
      </w:pPr>
      <w:r>
        <w:t xml:space="preserve">About </w:t>
      </w:r>
      <w:proofErr w:type="spellStart"/>
      <w:r>
        <w:t>AusPARs</w:t>
      </w:r>
      <w:proofErr w:type="spellEnd"/>
    </w:p>
    <w:p w:rsidR="008E7846" w:rsidRDefault="008E7846" w:rsidP="00E650A8">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E650A8">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E650A8">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E650A8">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E650A8">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DB3894">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w:t>
      </w:r>
      <w:r w:rsidR="00476CD0">
        <w:rPr>
          <w:rFonts w:cs="Arial"/>
          <w:lang w:val="en-GB"/>
        </w:rPr>
        <w:t xml:space="preserve">&lt; </w:t>
      </w:r>
      <w:hyperlink r:id="rId10" w:history="1">
        <w:r w:rsidRPr="00191B3B">
          <w:rPr>
            <w:rStyle w:val="Hyperlink"/>
            <w:rFonts w:cs="Arial"/>
            <w:lang w:val="en-GB"/>
          </w:rPr>
          <w:t>tga.copyright@tga.gov.au</w:t>
        </w:r>
      </w:hyperlink>
      <w:proofErr w:type="gramStart"/>
      <w:r w:rsidR="00476CD0">
        <w:rPr>
          <w:rFonts w:cs="Arial"/>
        </w:rPr>
        <w:t xml:space="preserve">&gt; </w:t>
      </w:r>
      <w:r w:rsidRPr="00191B3B">
        <w:rPr>
          <w:rFonts w:cs="Arial"/>
        </w:rPr>
        <w:t>.</w:t>
      </w:r>
      <w:proofErr w:type="gramEnd"/>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GoBack" w:displacedByCustomXml="next"/>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bookmarkEnd w:id="0"/>
        <w:p w:rsidR="00FF619F"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8291101" w:history="1">
            <w:r w:rsidR="00FF619F" w:rsidRPr="00837BE2">
              <w:rPr>
                <w:rStyle w:val="Hyperlink"/>
                <w:noProof/>
              </w:rPr>
              <w:t>Common abbreviations</w:t>
            </w:r>
            <w:r w:rsidR="00FF619F">
              <w:rPr>
                <w:noProof/>
                <w:webHidden/>
              </w:rPr>
              <w:tab/>
            </w:r>
            <w:r w:rsidR="00FF619F">
              <w:rPr>
                <w:noProof/>
                <w:webHidden/>
              </w:rPr>
              <w:fldChar w:fldCharType="begin"/>
            </w:r>
            <w:r w:rsidR="00FF619F">
              <w:rPr>
                <w:noProof/>
                <w:webHidden/>
              </w:rPr>
              <w:instrText xml:space="preserve"> PAGEREF _Toc8291101 \h </w:instrText>
            </w:r>
            <w:r w:rsidR="00FF619F">
              <w:rPr>
                <w:noProof/>
                <w:webHidden/>
              </w:rPr>
            </w:r>
            <w:r w:rsidR="00FF619F">
              <w:rPr>
                <w:noProof/>
                <w:webHidden/>
              </w:rPr>
              <w:fldChar w:fldCharType="separate"/>
            </w:r>
            <w:r w:rsidR="00FF619F">
              <w:rPr>
                <w:noProof/>
                <w:webHidden/>
              </w:rPr>
              <w:t>5</w:t>
            </w:r>
            <w:r w:rsidR="00FF619F">
              <w:rPr>
                <w:noProof/>
                <w:webHidden/>
              </w:rPr>
              <w:fldChar w:fldCharType="end"/>
            </w:r>
          </w:hyperlink>
        </w:p>
        <w:p w:rsidR="00FF619F" w:rsidRDefault="00FF619F">
          <w:pPr>
            <w:pStyle w:val="TOC2"/>
            <w:rPr>
              <w:rFonts w:asciiTheme="minorHAnsi" w:eastAsiaTheme="minorEastAsia" w:hAnsiTheme="minorHAnsi" w:cstheme="minorBidi"/>
              <w:b w:val="0"/>
              <w:noProof/>
              <w:sz w:val="22"/>
              <w:lang w:eastAsia="en-AU"/>
            </w:rPr>
          </w:pPr>
          <w:hyperlink w:anchor="_Toc8291102" w:history="1">
            <w:r w:rsidRPr="00837BE2">
              <w:rPr>
                <w:rStyle w:val="Hyperlink"/>
                <w:noProof/>
              </w:rPr>
              <w:t>I. Introduction to product submission</w:t>
            </w:r>
            <w:r>
              <w:rPr>
                <w:noProof/>
                <w:webHidden/>
              </w:rPr>
              <w:tab/>
            </w:r>
            <w:r>
              <w:rPr>
                <w:noProof/>
                <w:webHidden/>
              </w:rPr>
              <w:fldChar w:fldCharType="begin"/>
            </w:r>
            <w:r>
              <w:rPr>
                <w:noProof/>
                <w:webHidden/>
              </w:rPr>
              <w:instrText xml:space="preserve"> PAGEREF _Toc8291102 \h </w:instrText>
            </w:r>
            <w:r>
              <w:rPr>
                <w:noProof/>
                <w:webHidden/>
              </w:rPr>
            </w:r>
            <w:r>
              <w:rPr>
                <w:noProof/>
                <w:webHidden/>
              </w:rPr>
              <w:fldChar w:fldCharType="separate"/>
            </w:r>
            <w:r>
              <w:rPr>
                <w:noProof/>
                <w:webHidden/>
              </w:rPr>
              <w:t>11</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03" w:history="1">
            <w:r w:rsidRPr="00837BE2">
              <w:rPr>
                <w:rStyle w:val="Hyperlink"/>
                <w:noProof/>
                <w:lang w:eastAsia="en-AU"/>
              </w:rPr>
              <w:t>Submission details</w:t>
            </w:r>
            <w:r>
              <w:rPr>
                <w:noProof/>
                <w:webHidden/>
              </w:rPr>
              <w:tab/>
            </w:r>
            <w:r>
              <w:rPr>
                <w:noProof/>
                <w:webHidden/>
              </w:rPr>
              <w:fldChar w:fldCharType="begin"/>
            </w:r>
            <w:r>
              <w:rPr>
                <w:noProof/>
                <w:webHidden/>
              </w:rPr>
              <w:instrText xml:space="preserve"> PAGEREF _Toc8291103 \h </w:instrText>
            </w:r>
            <w:r>
              <w:rPr>
                <w:noProof/>
                <w:webHidden/>
              </w:rPr>
            </w:r>
            <w:r>
              <w:rPr>
                <w:noProof/>
                <w:webHidden/>
              </w:rPr>
              <w:fldChar w:fldCharType="separate"/>
            </w:r>
            <w:r>
              <w:rPr>
                <w:noProof/>
                <w:webHidden/>
              </w:rPr>
              <w:t>11</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04" w:history="1">
            <w:r w:rsidRPr="00837BE2">
              <w:rPr>
                <w:rStyle w:val="Hyperlink"/>
                <w:noProof/>
              </w:rPr>
              <w:t>Product background</w:t>
            </w:r>
            <w:r>
              <w:rPr>
                <w:noProof/>
                <w:webHidden/>
              </w:rPr>
              <w:tab/>
            </w:r>
            <w:r>
              <w:rPr>
                <w:noProof/>
                <w:webHidden/>
              </w:rPr>
              <w:fldChar w:fldCharType="begin"/>
            </w:r>
            <w:r>
              <w:rPr>
                <w:noProof/>
                <w:webHidden/>
              </w:rPr>
              <w:instrText xml:space="preserve"> PAGEREF _Toc8291104 \h </w:instrText>
            </w:r>
            <w:r>
              <w:rPr>
                <w:noProof/>
                <w:webHidden/>
              </w:rPr>
            </w:r>
            <w:r>
              <w:rPr>
                <w:noProof/>
                <w:webHidden/>
              </w:rPr>
              <w:fldChar w:fldCharType="separate"/>
            </w:r>
            <w:r>
              <w:rPr>
                <w:noProof/>
                <w:webHidden/>
              </w:rPr>
              <w:t>12</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05" w:history="1">
            <w:r w:rsidRPr="00837BE2">
              <w:rPr>
                <w:rStyle w:val="Hyperlink"/>
                <w:noProof/>
              </w:rPr>
              <w:t>Regulatory status</w:t>
            </w:r>
            <w:r>
              <w:rPr>
                <w:noProof/>
                <w:webHidden/>
              </w:rPr>
              <w:tab/>
            </w:r>
            <w:r>
              <w:rPr>
                <w:noProof/>
                <w:webHidden/>
              </w:rPr>
              <w:fldChar w:fldCharType="begin"/>
            </w:r>
            <w:r>
              <w:rPr>
                <w:noProof/>
                <w:webHidden/>
              </w:rPr>
              <w:instrText xml:space="preserve"> PAGEREF _Toc8291105 \h </w:instrText>
            </w:r>
            <w:r>
              <w:rPr>
                <w:noProof/>
                <w:webHidden/>
              </w:rPr>
            </w:r>
            <w:r>
              <w:rPr>
                <w:noProof/>
                <w:webHidden/>
              </w:rPr>
              <w:fldChar w:fldCharType="separate"/>
            </w:r>
            <w:r>
              <w:rPr>
                <w:noProof/>
                <w:webHidden/>
              </w:rPr>
              <w:t>12</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06" w:history="1">
            <w:r w:rsidRPr="00837BE2">
              <w:rPr>
                <w:rStyle w:val="Hyperlink"/>
                <w:noProof/>
              </w:rPr>
              <w:t>Product Information</w:t>
            </w:r>
            <w:r>
              <w:rPr>
                <w:noProof/>
                <w:webHidden/>
              </w:rPr>
              <w:tab/>
            </w:r>
            <w:r>
              <w:rPr>
                <w:noProof/>
                <w:webHidden/>
              </w:rPr>
              <w:fldChar w:fldCharType="begin"/>
            </w:r>
            <w:r>
              <w:rPr>
                <w:noProof/>
                <w:webHidden/>
              </w:rPr>
              <w:instrText xml:space="preserve"> PAGEREF _Toc8291106 \h </w:instrText>
            </w:r>
            <w:r>
              <w:rPr>
                <w:noProof/>
                <w:webHidden/>
              </w:rPr>
            </w:r>
            <w:r>
              <w:rPr>
                <w:noProof/>
                <w:webHidden/>
              </w:rPr>
              <w:fldChar w:fldCharType="separate"/>
            </w:r>
            <w:r>
              <w:rPr>
                <w:noProof/>
                <w:webHidden/>
              </w:rPr>
              <w:t>13</w:t>
            </w:r>
            <w:r>
              <w:rPr>
                <w:noProof/>
                <w:webHidden/>
              </w:rPr>
              <w:fldChar w:fldCharType="end"/>
            </w:r>
          </w:hyperlink>
        </w:p>
        <w:p w:rsidR="00FF619F" w:rsidRDefault="00FF619F">
          <w:pPr>
            <w:pStyle w:val="TOC2"/>
            <w:rPr>
              <w:rFonts w:asciiTheme="minorHAnsi" w:eastAsiaTheme="minorEastAsia" w:hAnsiTheme="minorHAnsi" w:cstheme="minorBidi"/>
              <w:b w:val="0"/>
              <w:noProof/>
              <w:sz w:val="22"/>
              <w:lang w:eastAsia="en-AU"/>
            </w:rPr>
          </w:pPr>
          <w:hyperlink w:anchor="_Toc8291107" w:history="1">
            <w:r w:rsidRPr="00837BE2">
              <w:rPr>
                <w:rStyle w:val="Hyperlink"/>
                <w:noProof/>
              </w:rPr>
              <w:t>II. Registration time line</w:t>
            </w:r>
            <w:r>
              <w:rPr>
                <w:noProof/>
                <w:webHidden/>
              </w:rPr>
              <w:tab/>
            </w:r>
            <w:r>
              <w:rPr>
                <w:noProof/>
                <w:webHidden/>
              </w:rPr>
              <w:fldChar w:fldCharType="begin"/>
            </w:r>
            <w:r>
              <w:rPr>
                <w:noProof/>
                <w:webHidden/>
              </w:rPr>
              <w:instrText xml:space="preserve"> PAGEREF _Toc8291107 \h </w:instrText>
            </w:r>
            <w:r>
              <w:rPr>
                <w:noProof/>
                <w:webHidden/>
              </w:rPr>
            </w:r>
            <w:r>
              <w:rPr>
                <w:noProof/>
                <w:webHidden/>
              </w:rPr>
              <w:fldChar w:fldCharType="separate"/>
            </w:r>
            <w:r>
              <w:rPr>
                <w:noProof/>
                <w:webHidden/>
              </w:rPr>
              <w:t>13</w:t>
            </w:r>
            <w:r>
              <w:rPr>
                <w:noProof/>
                <w:webHidden/>
              </w:rPr>
              <w:fldChar w:fldCharType="end"/>
            </w:r>
          </w:hyperlink>
        </w:p>
        <w:p w:rsidR="00FF619F" w:rsidRDefault="00FF619F">
          <w:pPr>
            <w:pStyle w:val="TOC2"/>
            <w:rPr>
              <w:rFonts w:asciiTheme="minorHAnsi" w:eastAsiaTheme="minorEastAsia" w:hAnsiTheme="minorHAnsi" w:cstheme="minorBidi"/>
              <w:b w:val="0"/>
              <w:noProof/>
              <w:sz w:val="22"/>
              <w:lang w:eastAsia="en-AU"/>
            </w:rPr>
          </w:pPr>
          <w:hyperlink w:anchor="_Toc8291108" w:history="1">
            <w:r w:rsidRPr="00837BE2">
              <w:rPr>
                <w:rStyle w:val="Hyperlink"/>
                <w:noProof/>
              </w:rPr>
              <w:t>III. Quality findings</w:t>
            </w:r>
            <w:r>
              <w:rPr>
                <w:noProof/>
                <w:webHidden/>
              </w:rPr>
              <w:tab/>
            </w:r>
            <w:r>
              <w:rPr>
                <w:noProof/>
                <w:webHidden/>
              </w:rPr>
              <w:fldChar w:fldCharType="begin"/>
            </w:r>
            <w:r>
              <w:rPr>
                <w:noProof/>
                <w:webHidden/>
              </w:rPr>
              <w:instrText xml:space="preserve"> PAGEREF _Toc8291108 \h </w:instrText>
            </w:r>
            <w:r>
              <w:rPr>
                <w:noProof/>
                <w:webHidden/>
              </w:rPr>
            </w:r>
            <w:r>
              <w:rPr>
                <w:noProof/>
                <w:webHidden/>
              </w:rPr>
              <w:fldChar w:fldCharType="separate"/>
            </w:r>
            <w:r>
              <w:rPr>
                <w:noProof/>
                <w:webHidden/>
              </w:rPr>
              <w:t>14</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09" w:history="1">
            <w:r w:rsidRPr="00837BE2">
              <w:rPr>
                <w:rStyle w:val="Hyperlink"/>
                <w:noProof/>
              </w:rPr>
              <w:t>Introduction</w:t>
            </w:r>
            <w:r>
              <w:rPr>
                <w:noProof/>
                <w:webHidden/>
              </w:rPr>
              <w:tab/>
            </w:r>
            <w:r>
              <w:rPr>
                <w:noProof/>
                <w:webHidden/>
              </w:rPr>
              <w:fldChar w:fldCharType="begin"/>
            </w:r>
            <w:r>
              <w:rPr>
                <w:noProof/>
                <w:webHidden/>
              </w:rPr>
              <w:instrText xml:space="preserve"> PAGEREF _Toc8291109 \h </w:instrText>
            </w:r>
            <w:r>
              <w:rPr>
                <w:noProof/>
                <w:webHidden/>
              </w:rPr>
            </w:r>
            <w:r>
              <w:rPr>
                <w:noProof/>
                <w:webHidden/>
              </w:rPr>
              <w:fldChar w:fldCharType="separate"/>
            </w:r>
            <w:r>
              <w:rPr>
                <w:noProof/>
                <w:webHidden/>
              </w:rPr>
              <w:t>14</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10" w:history="1">
            <w:r w:rsidRPr="00837BE2">
              <w:rPr>
                <w:rStyle w:val="Hyperlink"/>
                <w:noProof/>
              </w:rPr>
              <w:t>Drug substance (active ingredients)</w:t>
            </w:r>
            <w:r>
              <w:rPr>
                <w:noProof/>
                <w:webHidden/>
              </w:rPr>
              <w:tab/>
            </w:r>
            <w:r>
              <w:rPr>
                <w:noProof/>
                <w:webHidden/>
              </w:rPr>
              <w:fldChar w:fldCharType="begin"/>
            </w:r>
            <w:r>
              <w:rPr>
                <w:noProof/>
                <w:webHidden/>
              </w:rPr>
              <w:instrText xml:space="preserve"> PAGEREF _Toc8291110 \h </w:instrText>
            </w:r>
            <w:r>
              <w:rPr>
                <w:noProof/>
                <w:webHidden/>
              </w:rPr>
            </w:r>
            <w:r>
              <w:rPr>
                <w:noProof/>
                <w:webHidden/>
              </w:rPr>
              <w:fldChar w:fldCharType="separate"/>
            </w:r>
            <w:r>
              <w:rPr>
                <w:noProof/>
                <w:webHidden/>
              </w:rPr>
              <w:t>14</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11" w:history="1">
            <w:r w:rsidRPr="00837BE2">
              <w:rPr>
                <w:rStyle w:val="Hyperlink"/>
                <w:noProof/>
              </w:rPr>
              <w:t>Drug product</w:t>
            </w:r>
            <w:r>
              <w:rPr>
                <w:noProof/>
                <w:webHidden/>
              </w:rPr>
              <w:tab/>
            </w:r>
            <w:r>
              <w:rPr>
                <w:noProof/>
                <w:webHidden/>
              </w:rPr>
              <w:fldChar w:fldCharType="begin"/>
            </w:r>
            <w:r>
              <w:rPr>
                <w:noProof/>
                <w:webHidden/>
              </w:rPr>
              <w:instrText xml:space="preserve"> PAGEREF _Toc8291111 \h </w:instrText>
            </w:r>
            <w:r>
              <w:rPr>
                <w:noProof/>
                <w:webHidden/>
              </w:rPr>
            </w:r>
            <w:r>
              <w:rPr>
                <w:noProof/>
                <w:webHidden/>
              </w:rPr>
              <w:fldChar w:fldCharType="separate"/>
            </w:r>
            <w:r>
              <w:rPr>
                <w:noProof/>
                <w:webHidden/>
              </w:rPr>
              <w:t>16</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12" w:history="1">
            <w:r w:rsidRPr="00837BE2">
              <w:rPr>
                <w:rStyle w:val="Hyperlink"/>
                <w:noProof/>
              </w:rPr>
              <w:t>Biopharmaceutics</w:t>
            </w:r>
            <w:r>
              <w:rPr>
                <w:noProof/>
                <w:webHidden/>
              </w:rPr>
              <w:tab/>
            </w:r>
            <w:r>
              <w:rPr>
                <w:noProof/>
                <w:webHidden/>
              </w:rPr>
              <w:fldChar w:fldCharType="begin"/>
            </w:r>
            <w:r>
              <w:rPr>
                <w:noProof/>
                <w:webHidden/>
              </w:rPr>
              <w:instrText xml:space="preserve"> PAGEREF _Toc8291112 \h </w:instrText>
            </w:r>
            <w:r>
              <w:rPr>
                <w:noProof/>
                <w:webHidden/>
              </w:rPr>
            </w:r>
            <w:r>
              <w:rPr>
                <w:noProof/>
                <w:webHidden/>
              </w:rPr>
              <w:fldChar w:fldCharType="separate"/>
            </w:r>
            <w:r>
              <w:rPr>
                <w:noProof/>
                <w:webHidden/>
              </w:rPr>
              <w:t>17</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13" w:history="1">
            <w:r w:rsidRPr="00837BE2">
              <w:rPr>
                <w:rStyle w:val="Hyperlink"/>
                <w:noProof/>
              </w:rPr>
              <w:t>Quality summary and conclusions</w:t>
            </w:r>
            <w:r>
              <w:rPr>
                <w:noProof/>
                <w:webHidden/>
              </w:rPr>
              <w:tab/>
            </w:r>
            <w:r>
              <w:rPr>
                <w:noProof/>
                <w:webHidden/>
              </w:rPr>
              <w:fldChar w:fldCharType="begin"/>
            </w:r>
            <w:r>
              <w:rPr>
                <w:noProof/>
                <w:webHidden/>
              </w:rPr>
              <w:instrText xml:space="preserve"> PAGEREF _Toc8291113 \h </w:instrText>
            </w:r>
            <w:r>
              <w:rPr>
                <w:noProof/>
                <w:webHidden/>
              </w:rPr>
            </w:r>
            <w:r>
              <w:rPr>
                <w:noProof/>
                <w:webHidden/>
              </w:rPr>
              <w:fldChar w:fldCharType="separate"/>
            </w:r>
            <w:r>
              <w:rPr>
                <w:noProof/>
                <w:webHidden/>
              </w:rPr>
              <w:t>20</w:t>
            </w:r>
            <w:r>
              <w:rPr>
                <w:noProof/>
                <w:webHidden/>
              </w:rPr>
              <w:fldChar w:fldCharType="end"/>
            </w:r>
          </w:hyperlink>
        </w:p>
        <w:p w:rsidR="00FF619F" w:rsidRDefault="00FF619F">
          <w:pPr>
            <w:pStyle w:val="TOC2"/>
            <w:rPr>
              <w:rFonts w:asciiTheme="minorHAnsi" w:eastAsiaTheme="minorEastAsia" w:hAnsiTheme="minorHAnsi" w:cstheme="minorBidi"/>
              <w:b w:val="0"/>
              <w:noProof/>
              <w:sz w:val="22"/>
              <w:lang w:eastAsia="en-AU"/>
            </w:rPr>
          </w:pPr>
          <w:hyperlink w:anchor="_Toc8291114" w:history="1">
            <w:r w:rsidRPr="00837BE2">
              <w:rPr>
                <w:rStyle w:val="Hyperlink"/>
                <w:noProof/>
              </w:rPr>
              <w:t>IV. Nonclinical findings</w:t>
            </w:r>
            <w:r>
              <w:rPr>
                <w:noProof/>
                <w:webHidden/>
              </w:rPr>
              <w:tab/>
            </w:r>
            <w:r>
              <w:rPr>
                <w:noProof/>
                <w:webHidden/>
              </w:rPr>
              <w:fldChar w:fldCharType="begin"/>
            </w:r>
            <w:r>
              <w:rPr>
                <w:noProof/>
                <w:webHidden/>
              </w:rPr>
              <w:instrText xml:space="preserve"> PAGEREF _Toc8291114 \h </w:instrText>
            </w:r>
            <w:r>
              <w:rPr>
                <w:noProof/>
                <w:webHidden/>
              </w:rPr>
            </w:r>
            <w:r>
              <w:rPr>
                <w:noProof/>
                <w:webHidden/>
              </w:rPr>
              <w:fldChar w:fldCharType="separate"/>
            </w:r>
            <w:r>
              <w:rPr>
                <w:noProof/>
                <w:webHidden/>
              </w:rPr>
              <w:t>20</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15" w:history="1">
            <w:r w:rsidRPr="00837BE2">
              <w:rPr>
                <w:rStyle w:val="Hyperlink"/>
                <w:noProof/>
              </w:rPr>
              <w:t>Introduction</w:t>
            </w:r>
            <w:r>
              <w:rPr>
                <w:noProof/>
                <w:webHidden/>
              </w:rPr>
              <w:tab/>
            </w:r>
            <w:r>
              <w:rPr>
                <w:noProof/>
                <w:webHidden/>
              </w:rPr>
              <w:fldChar w:fldCharType="begin"/>
            </w:r>
            <w:r>
              <w:rPr>
                <w:noProof/>
                <w:webHidden/>
              </w:rPr>
              <w:instrText xml:space="preserve"> PAGEREF _Toc8291115 \h </w:instrText>
            </w:r>
            <w:r>
              <w:rPr>
                <w:noProof/>
                <w:webHidden/>
              </w:rPr>
            </w:r>
            <w:r>
              <w:rPr>
                <w:noProof/>
                <w:webHidden/>
              </w:rPr>
              <w:fldChar w:fldCharType="separate"/>
            </w:r>
            <w:r>
              <w:rPr>
                <w:noProof/>
                <w:webHidden/>
              </w:rPr>
              <w:t>20</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16" w:history="1">
            <w:r w:rsidRPr="00837BE2">
              <w:rPr>
                <w:rStyle w:val="Hyperlink"/>
                <w:noProof/>
              </w:rPr>
              <w:t>Pharmacology</w:t>
            </w:r>
            <w:r>
              <w:rPr>
                <w:noProof/>
                <w:webHidden/>
              </w:rPr>
              <w:tab/>
            </w:r>
            <w:r>
              <w:rPr>
                <w:noProof/>
                <w:webHidden/>
              </w:rPr>
              <w:fldChar w:fldCharType="begin"/>
            </w:r>
            <w:r>
              <w:rPr>
                <w:noProof/>
                <w:webHidden/>
              </w:rPr>
              <w:instrText xml:space="preserve"> PAGEREF _Toc8291116 \h </w:instrText>
            </w:r>
            <w:r>
              <w:rPr>
                <w:noProof/>
                <w:webHidden/>
              </w:rPr>
            </w:r>
            <w:r>
              <w:rPr>
                <w:noProof/>
                <w:webHidden/>
              </w:rPr>
              <w:fldChar w:fldCharType="separate"/>
            </w:r>
            <w:r>
              <w:rPr>
                <w:noProof/>
                <w:webHidden/>
              </w:rPr>
              <w:t>21</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17" w:history="1">
            <w:r w:rsidRPr="00837BE2">
              <w:rPr>
                <w:rStyle w:val="Hyperlink"/>
                <w:noProof/>
              </w:rPr>
              <w:t>Pharmacokinetics</w:t>
            </w:r>
            <w:r>
              <w:rPr>
                <w:noProof/>
                <w:webHidden/>
              </w:rPr>
              <w:tab/>
            </w:r>
            <w:r>
              <w:rPr>
                <w:noProof/>
                <w:webHidden/>
              </w:rPr>
              <w:fldChar w:fldCharType="begin"/>
            </w:r>
            <w:r>
              <w:rPr>
                <w:noProof/>
                <w:webHidden/>
              </w:rPr>
              <w:instrText xml:space="preserve"> PAGEREF _Toc8291117 \h </w:instrText>
            </w:r>
            <w:r>
              <w:rPr>
                <w:noProof/>
                <w:webHidden/>
              </w:rPr>
            </w:r>
            <w:r>
              <w:rPr>
                <w:noProof/>
                <w:webHidden/>
              </w:rPr>
              <w:fldChar w:fldCharType="separate"/>
            </w:r>
            <w:r>
              <w:rPr>
                <w:noProof/>
                <w:webHidden/>
              </w:rPr>
              <w:t>24</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18" w:history="1">
            <w:r w:rsidRPr="00837BE2">
              <w:rPr>
                <w:rStyle w:val="Hyperlink"/>
                <w:noProof/>
              </w:rPr>
              <w:t>Toxicology</w:t>
            </w:r>
            <w:r>
              <w:rPr>
                <w:noProof/>
                <w:webHidden/>
              </w:rPr>
              <w:tab/>
            </w:r>
            <w:r>
              <w:rPr>
                <w:noProof/>
                <w:webHidden/>
              </w:rPr>
              <w:fldChar w:fldCharType="begin"/>
            </w:r>
            <w:r>
              <w:rPr>
                <w:noProof/>
                <w:webHidden/>
              </w:rPr>
              <w:instrText xml:space="preserve"> PAGEREF _Toc8291118 \h </w:instrText>
            </w:r>
            <w:r>
              <w:rPr>
                <w:noProof/>
                <w:webHidden/>
              </w:rPr>
            </w:r>
            <w:r>
              <w:rPr>
                <w:noProof/>
                <w:webHidden/>
              </w:rPr>
              <w:fldChar w:fldCharType="separate"/>
            </w:r>
            <w:r>
              <w:rPr>
                <w:noProof/>
                <w:webHidden/>
              </w:rPr>
              <w:t>26</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19" w:history="1">
            <w:r w:rsidRPr="00837BE2">
              <w:rPr>
                <w:rStyle w:val="Hyperlink"/>
                <w:noProof/>
              </w:rPr>
              <w:t>Nonclinical summary and conclusions</w:t>
            </w:r>
            <w:r>
              <w:rPr>
                <w:noProof/>
                <w:webHidden/>
              </w:rPr>
              <w:tab/>
            </w:r>
            <w:r>
              <w:rPr>
                <w:noProof/>
                <w:webHidden/>
              </w:rPr>
              <w:fldChar w:fldCharType="begin"/>
            </w:r>
            <w:r>
              <w:rPr>
                <w:noProof/>
                <w:webHidden/>
              </w:rPr>
              <w:instrText xml:space="preserve"> PAGEREF _Toc8291119 \h </w:instrText>
            </w:r>
            <w:r>
              <w:rPr>
                <w:noProof/>
                <w:webHidden/>
              </w:rPr>
            </w:r>
            <w:r>
              <w:rPr>
                <w:noProof/>
                <w:webHidden/>
              </w:rPr>
              <w:fldChar w:fldCharType="separate"/>
            </w:r>
            <w:r>
              <w:rPr>
                <w:noProof/>
                <w:webHidden/>
              </w:rPr>
              <w:t>32</w:t>
            </w:r>
            <w:r>
              <w:rPr>
                <w:noProof/>
                <w:webHidden/>
              </w:rPr>
              <w:fldChar w:fldCharType="end"/>
            </w:r>
          </w:hyperlink>
        </w:p>
        <w:p w:rsidR="00FF619F" w:rsidRDefault="00FF619F">
          <w:pPr>
            <w:pStyle w:val="TOC2"/>
            <w:rPr>
              <w:rFonts w:asciiTheme="minorHAnsi" w:eastAsiaTheme="minorEastAsia" w:hAnsiTheme="minorHAnsi" w:cstheme="minorBidi"/>
              <w:b w:val="0"/>
              <w:noProof/>
              <w:sz w:val="22"/>
              <w:lang w:eastAsia="en-AU"/>
            </w:rPr>
          </w:pPr>
          <w:hyperlink w:anchor="_Toc8291120" w:history="1">
            <w:r w:rsidRPr="00837BE2">
              <w:rPr>
                <w:rStyle w:val="Hyperlink"/>
                <w:noProof/>
              </w:rPr>
              <w:t>V. Clinical findings</w:t>
            </w:r>
            <w:r>
              <w:rPr>
                <w:noProof/>
                <w:webHidden/>
              </w:rPr>
              <w:tab/>
            </w:r>
            <w:r>
              <w:rPr>
                <w:noProof/>
                <w:webHidden/>
              </w:rPr>
              <w:fldChar w:fldCharType="begin"/>
            </w:r>
            <w:r>
              <w:rPr>
                <w:noProof/>
                <w:webHidden/>
              </w:rPr>
              <w:instrText xml:space="preserve"> PAGEREF _Toc8291120 \h </w:instrText>
            </w:r>
            <w:r>
              <w:rPr>
                <w:noProof/>
                <w:webHidden/>
              </w:rPr>
            </w:r>
            <w:r>
              <w:rPr>
                <w:noProof/>
                <w:webHidden/>
              </w:rPr>
              <w:fldChar w:fldCharType="separate"/>
            </w:r>
            <w:r>
              <w:rPr>
                <w:noProof/>
                <w:webHidden/>
              </w:rPr>
              <w:t>35</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21" w:history="1">
            <w:r w:rsidRPr="00837BE2">
              <w:rPr>
                <w:rStyle w:val="Hyperlink"/>
                <w:noProof/>
              </w:rPr>
              <w:t>Introduction</w:t>
            </w:r>
            <w:r>
              <w:rPr>
                <w:noProof/>
                <w:webHidden/>
              </w:rPr>
              <w:tab/>
            </w:r>
            <w:r>
              <w:rPr>
                <w:noProof/>
                <w:webHidden/>
              </w:rPr>
              <w:fldChar w:fldCharType="begin"/>
            </w:r>
            <w:r>
              <w:rPr>
                <w:noProof/>
                <w:webHidden/>
              </w:rPr>
              <w:instrText xml:space="preserve"> PAGEREF _Toc8291121 \h </w:instrText>
            </w:r>
            <w:r>
              <w:rPr>
                <w:noProof/>
                <w:webHidden/>
              </w:rPr>
            </w:r>
            <w:r>
              <w:rPr>
                <w:noProof/>
                <w:webHidden/>
              </w:rPr>
              <w:fldChar w:fldCharType="separate"/>
            </w:r>
            <w:r>
              <w:rPr>
                <w:noProof/>
                <w:webHidden/>
              </w:rPr>
              <w:t>35</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22" w:history="1">
            <w:r w:rsidRPr="00837BE2">
              <w:rPr>
                <w:rStyle w:val="Hyperlink"/>
                <w:noProof/>
              </w:rPr>
              <w:t>Pharmacokinetics</w:t>
            </w:r>
            <w:r>
              <w:rPr>
                <w:noProof/>
                <w:webHidden/>
              </w:rPr>
              <w:tab/>
            </w:r>
            <w:r>
              <w:rPr>
                <w:noProof/>
                <w:webHidden/>
              </w:rPr>
              <w:fldChar w:fldCharType="begin"/>
            </w:r>
            <w:r>
              <w:rPr>
                <w:noProof/>
                <w:webHidden/>
              </w:rPr>
              <w:instrText xml:space="preserve"> PAGEREF _Toc8291122 \h </w:instrText>
            </w:r>
            <w:r>
              <w:rPr>
                <w:noProof/>
                <w:webHidden/>
              </w:rPr>
            </w:r>
            <w:r>
              <w:rPr>
                <w:noProof/>
                <w:webHidden/>
              </w:rPr>
              <w:fldChar w:fldCharType="separate"/>
            </w:r>
            <w:r>
              <w:rPr>
                <w:noProof/>
                <w:webHidden/>
              </w:rPr>
              <w:t>40</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23" w:history="1">
            <w:r w:rsidRPr="00837BE2">
              <w:rPr>
                <w:rStyle w:val="Hyperlink"/>
                <w:noProof/>
              </w:rPr>
              <w:t>Pharmacodynamics</w:t>
            </w:r>
            <w:r>
              <w:rPr>
                <w:noProof/>
                <w:webHidden/>
              </w:rPr>
              <w:tab/>
            </w:r>
            <w:r>
              <w:rPr>
                <w:noProof/>
                <w:webHidden/>
              </w:rPr>
              <w:fldChar w:fldCharType="begin"/>
            </w:r>
            <w:r>
              <w:rPr>
                <w:noProof/>
                <w:webHidden/>
              </w:rPr>
              <w:instrText xml:space="preserve"> PAGEREF _Toc8291123 \h </w:instrText>
            </w:r>
            <w:r>
              <w:rPr>
                <w:noProof/>
                <w:webHidden/>
              </w:rPr>
            </w:r>
            <w:r>
              <w:rPr>
                <w:noProof/>
                <w:webHidden/>
              </w:rPr>
              <w:fldChar w:fldCharType="separate"/>
            </w:r>
            <w:r>
              <w:rPr>
                <w:noProof/>
                <w:webHidden/>
              </w:rPr>
              <w:t>46</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24" w:history="1">
            <w:r w:rsidRPr="00837BE2">
              <w:rPr>
                <w:rStyle w:val="Hyperlink"/>
                <w:noProof/>
              </w:rPr>
              <w:t>Dosage selection for the pivotal studies</w:t>
            </w:r>
            <w:r>
              <w:rPr>
                <w:noProof/>
                <w:webHidden/>
              </w:rPr>
              <w:tab/>
            </w:r>
            <w:r>
              <w:rPr>
                <w:noProof/>
                <w:webHidden/>
              </w:rPr>
              <w:fldChar w:fldCharType="begin"/>
            </w:r>
            <w:r>
              <w:rPr>
                <w:noProof/>
                <w:webHidden/>
              </w:rPr>
              <w:instrText xml:space="preserve"> PAGEREF _Toc8291124 \h </w:instrText>
            </w:r>
            <w:r>
              <w:rPr>
                <w:noProof/>
                <w:webHidden/>
              </w:rPr>
            </w:r>
            <w:r>
              <w:rPr>
                <w:noProof/>
                <w:webHidden/>
              </w:rPr>
              <w:fldChar w:fldCharType="separate"/>
            </w:r>
            <w:r>
              <w:rPr>
                <w:noProof/>
                <w:webHidden/>
              </w:rPr>
              <w:t>47</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25" w:history="1">
            <w:r w:rsidRPr="00837BE2">
              <w:rPr>
                <w:rStyle w:val="Hyperlink"/>
                <w:noProof/>
              </w:rPr>
              <w:t>Efficacy</w:t>
            </w:r>
            <w:r>
              <w:rPr>
                <w:noProof/>
                <w:webHidden/>
              </w:rPr>
              <w:tab/>
            </w:r>
            <w:r>
              <w:rPr>
                <w:noProof/>
                <w:webHidden/>
              </w:rPr>
              <w:fldChar w:fldCharType="begin"/>
            </w:r>
            <w:r>
              <w:rPr>
                <w:noProof/>
                <w:webHidden/>
              </w:rPr>
              <w:instrText xml:space="preserve"> PAGEREF _Toc8291125 \h </w:instrText>
            </w:r>
            <w:r>
              <w:rPr>
                <w:noProof/>
                <w:webHidden/>
              </w:rPr>
            </w:r>
            <w:r>
              <w:rPr>
                <w:noProof/>
                <w:webHidden/>
              </w:rPr>
              <w:fldChar w:fldCharType="separate"/>
            </w:r>
            <w:r>
              <w:rPr>
                <w:noProof/>
                <w:webHidden/>
              </w:rPr>
              <w:t>49</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26" w:history="1">
            <w:r w:rsidRPr="00837BE2">
              <w:rPr>
                <w:rStyle w:val="Hyperlink"/>
                <w:noProof/>
              </w:rPr>
              <w:t>Safety</w:t>
            </w:r>
            <w:r>
              <w:rPr>
                <w:noProof/>
                <w:webHidden/>
              </w:rPr>
              <w:tab/>
            </w:r>
            <w:r>
              <w:rPr>
                <w:noProof/>
                <w:webHidden/>
              </w:rPr>
              <w:fldChar w:fldCharType="begin"/>
            </w:r>
            <w:r>
              <w:rPr>
                <w:noProof/>
                <w:webHidden/>
              </w:rPr>
              <w:instrText xml:space="preserve"> PAGEREF _Toc8291126 \h </w:instrText>
            </w:r>
            <w:r>
              <w:rPr>
                <w:noProof/>
                <w:webHidden/>
              </w:rPr>
            </w:r>
            <w:r>
              <w:rPr>
                <w:noProof/>
                <w:webHidden/>
              </w:rPr>
              <w:fldChar w:fldCharType="separate"/>
            </w:r>
            <w:r>
              <w:rPr>
                <w:noProof/>
                <w:webHidden/>
              </w:rPr>
              <w:t>53</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27" w:history="1">
            <w:r w:rsidRPr="00837BE2">
              <w:rPr>
                <w:rStyle w:val="Hyperlink"/>
                <w:noProof/>
              </w:rPr>
              <w:t>First round benefit-risk assessment</w:t>
            </w:r>
            <w:r>
              <w:rPr>
                <w:noProof/>
                <w:webHidden/>
              </w:rPr>
              <w:tab/>
            </w:r>
            <w:r>
              <w:rPr>
                <w:noProof/>
                <w:webHidden/>
              </w:rPr>
              <w:fldChar w:fldCharType="begin"/>
            </w:r>
            <w:r>
              <w:rPr>
                <w:noProof/>
                <w:webHidden/>
              </w:rPr>
              <w:instrText xml:space="preserve"> PAGEREF _Toc8291127 \h </w:instrText>
            </w:r>
            <w:r>
              <w:rPr>
                <w:noProof/>
                <w:webHidden/>
              </w:rPr>
            </w:r>
            <w:r>
              <w:rPr>
                <w:noProof/>
                <w:webHidden/>
              </w:rPr>
              <w:fldChar w:fldCharType="separate"/>
            </w:r>
            <w:r>
              <w:rPr>
                <w:noProof/>
                <w:webHidden/>
              </w:rPr>
              <w:t>85</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28" w:history="1">
            <w:r w:rsidRPr="00837BE2">
              <w:rPr>
                <w:rStyle w:val="Hyperlink"/>
                <w:noProof/>
              </w:rPr>
              <w:t>First round recommendation regarding authorisation</w:t>
            </w:r>
            <w:r>
              <w:rPr>
                <w:noProof/>
                <w:webHidden/>
              </w:rPr>
              <w:tab/>
            </w:r>
            <w:r>
              <w:rPr>
                <w:noProof/>
                <w:webHidden/>
              </w:rPr>
              <w:fldChar w:fldCharType="begin"/>
            </w:r>
            <w:r>
              <w:rPr>
                <w:noProof/>
                <w:webHidden/>
              </w:rPr>
              <w:instrText xml:space="preserve"> PAGEREF _Toc8291128 \h </w:instrText>
            </w:r>
            <w:r>
              <w:rPr>
                <w:noProof/>
                <w:webHidden/>
              </w:rPr>
            </w:r>
            <w:r>
              <w:rPr>
                <w:noProof/>
                <w:webHidden/>
              </w:rPr>
              <w:fldChar w:fldCharType="separate"/>
            </w:r>
            <w:r>
              <w:rPr>
                <w:noProof/>
                <w:webHidden/>
              </w:rPr>
              <w:t>90</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29" w:history="1">
            <w:r w:rsidRPr="00837BE2">
              <w:rPr>
                <w:rStyle w:val="Hyperlink"/>
                <w:noProof/>
              </w:rPr>
              <w:t>Clinical questions and second round evaluation</w:t>
            </w:r>
            <w:r>
              <w:rPr>
                <w:noProof/>
                <w:webHidden/>
              </w:rPr>
              <w:tab/>
            </w:r>
            <w:r>
              <w:rPr>
                <w:noProof/>
                <w:webHidden/>
              </w:rPr>
              <w:fldChar w:fldCharType="begin"/>
            </w:r>
            <w:r>
              <w:rPr>
                <w:noProof/>
                <w:webHidden/>
              </w:rPr>
              <w:instrText xml:space="preserve"> PAGEREF _Toc8291129 \h </w:instrText>
            </w:r>
            <w:r>
              <w:rPr>
                <w:noProof/>
                <w:webHidden/>
              </w:rPr>
            </w:r>
            <w:r>
              <w:rPr>
                <w:noProof/>
                <w:webHidden/>
              </w:rPr>
              <w:fldChar w:fldCharType="separate"/>
            </w:r>
            <w:r>
              <w:rPr>
                <w:noProof/>
                <w:webHidden/>
              </w:rPr>
              <w:t>90</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30" w:history="1">
            <w:r w:rsidRPr="00837BE2">
              <w:rPr>
                <w:rStyle w:val="Hyperlink"/>
                <w:noProof/>
              </w:rPr>
              <w:t>Second round benefit-risk assessment</w:t>
            </w:r>
            <w:r>
              <w:rPr>
                <w:noProof/>
                <w:webHidden/>
              </w:rPr>
              <w:tab/>
            </w:r>
            <w:r>
              <w:rPr>
                <w:noProof/>
                <w:webHidden/>
              </w:rPr>
              <w:fldChar w:fldCharType="begin"/>
            </w:r>
            <w:r>
              <w:rPr>
                <w:noProof/>
                <w:webHidden/>
              </w:rPr>
              <w:instrText xml:space="preserve"> PAGEREF _Toc8291130 \h </w:instrText>
            </w:r>
            <w:r>
              <w:rPr>
                <w:noProof/>
                <w:webHidden/>
              </w:rPr>
            </w:r>
            <w:r>
              <w:rPr>
                <w:noProof/>
                <w:webHidden/>
              </w:rPr>
              <w:fldChar w:fldCharType="separate"/>
            </w:r>
            <w:r>
              <w:rPr>
                <w:noProof/>
                <w:webHidden/>
              </w:rPr>
              <w:t>92</w:t>
            </w:r>
            <w:r>
              <w:rPr>
                <w:noProof/>
                <w:webHidden/>
              </w:rPr>
              <w:fldChar w:fldCharType="end"/>
            </w:r>
          </w:hyperlink>
        </w:p>
        <w:p w:rsidR="00FF619F" w:rsidRDefault="00FF619F">
          <w:pPr>
            <w:pStyle w:val="TOC2"/>
            <w:rPr>
              <w:rFonts w:asciiTheme="minorHAnsi" w:eastAsiaTheme="minorEastAsia" w:hAnsiTheme="minorHAnsi" w:cstheme="minorBidi"/>
              <w:b w:val="0"/>
              <w:noProof/>
              <w:sz w:val="22"/>
              <w:lang w:eastAsia="en-AU"/>
            </w:rPr>
          </w:pPr>
          <w:hyperlink w:anchor="_Toc8291131" w:history="1">
            <w:r w:rsidRPr="00837BE2">
              <w:rPr>
                <w:rStyle w:val="Hyperlink"/>
                <w:noProof/>
              </w:rPr>
              <w:t>VI. Pharmacovigilance findings</w:t>
            </w:r>
            <w:r>
              <w:rPr>
                <w:noProof/>
                <w:webHidden/>
              </w:rPr>
              <w:tab/>
            </w:r>
            <w:r>
              <w:rPr>
                <w:noProof/>
                <w:webHidden/>
              </w:rPr>
              <w:fldChar w:fldCharType="begin"/>
            </w:r>
            <w:r>
              <w:rPr>
                <w:noProof/>
                <w:webHidden/>
              </w:rPr>
              <w:instrText xml:space="preserve"> PAGEREF _Toc8291131 \h </w:instrText>
            </w:r>
            <w:r>
              <w:rPr>
                <w:noProof/>
                <w:webHidden/>
              </w:rPr>
            </w:r>
            <w:r>
              <w:rPr>
                <w:noProof/>
                <w:webHidden/>
              </w:rPr>
              <w:fldChar w:fldCharType="separate"/>
            </w:r>
            <w:r>
              <w:rPr>
                <w:noProof/>
                <w:webHidden/>
              </w:rPr>
              <w:t>92</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32" w:history="1">
            <w:r w:rsidRPr="00837BE2">
              <w:rPr>
                <w:rStyle w:val="Hyperlink"/>
                <w:noProof/>
                <w:lang w:eastAsia="en-AU"/>
              </w:rPr>
              <w:t>Risk management plan</w:t>
            </w:r>
            <w:r>
              <w:rPr>
                <w:noProof/>
                <w:webHidden/>
              </w:rPr>
              <w:tab/>
            </w:r>
            <w:r>
              <w:rPr>
                <w:noProof/>
                <w:webHidden/>
              </w:rPr>
              <w:fldChar w:fldCharType="begin"/>
            </w:r>
            <w:r>
              <w:rPr>
                <w:noProof/>
                <w:webHidden/>
              </w:rPr>
              <w:instrText xml:space="preserve"> PAGEREF _Toc8291132 \h </w:instrText>
            </w:r>
            <w:r>
              <w:rPr>
                <w:noProof/>
                <w:webHidden/>
              </w:rPr>
            </w:r>
            <w:r>
              <w:rPr>
                <w:noProof/>
                <w:webHidden/>
              </w:rPr>
              <w:fldChar w:fldCharType="separate"/>
            </w:r>
            <w:r>
              <w:rPr>
                <w:noProof/>
                <w:webHidden/>
              </w:rPr>
              <w:t>92</w:t>
            </w:r>
            <w:r>
              <w:rPr>
                <w:noProof/>
                <w:webHidden/>
              </w:rPr>
              <w:fldChar w:fldCharType="end"/>
            </w:r>
          </w:hyperlink>
        </w:p>
        <w:p w:rsidR="00FF619F" w:rsidRDefault="00FF619F">
          <w:pPr>
            <w:pStyle w:val="TOC2"/>
            <w:rPr>
              <w:rFonts w:asciiTheme="minorHAnsi" w:eastAsiaTheme="minorEastAsia" w:hAnsiTheme="minorHAnsi" w:cstheme="minorBidi"/>
              <w:b w:val="0"/>
              <w:noProof/>
              <w:sz w:val="22"/>
              <w:lang w:eastAsia="en-AU"/>
            </w:rPr>
          </w:pPr>
          <w:hyperlink w:anchor="_Toc8291133" w:history="1">
            <w:r w:rsidRPr="00837BE2">
              <w:rPr>
                <w:rStyle w:val="Hyperlink"/>
                <w:noProof/>
              </w:rPr>
              <w:t>VII. Overall conclusion and risk/benefit assessment</w:t>
            </w:r>
            <w:r>
              <w:rPr>
                <w:noProof/>
                <w:webHidden/>
              </w:rPr>
              <w:tab/>
            </w:r>
            <w:r>
              <w:rPr>
                <w:noProof/>
                <w:webHidden/>
              </w:rPr>
              <w:fldChar w:fldCharType="begin"/>
            </w:r>
            <w:r>
              <w:rPr>
                <w:noProof/>
                <w:webHidden/>
              </w:rPr>
              <w:instrText xml:space="preserve"> PAGEREF _Toc8291133 \h </w:instrText>
            </w:r>
            <w:r>
              <w:rPr>
                <w:noProof/>
                <w:webHidden/>
              </w:rPr>
            </w:r>
            <w:r>
              <w:rPr>
                <w:noProof/>
                <w:webHidden/>
              </w:rPr>
              <w:fldChar w:fldCharType="separate"/>
            </w:r>
            <w:r>
              <w:rPr>
                <w:noProof/>
                <w:webHidden/>
              </w:rPr>
              <w:t>95</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34" w:history="1">
            <w:r w:rsidRPr="00837BE2">
              <w:rPr>
                <w:rStyle w:val="Hyperlink"/>
                <w:noProof/>
              </w:rPr>
              <w:t>Background</w:t>
            </w:r>
            <w:r>
              <w:rPr>
                <w:noProof/>
                <w:webHidden/>
              </w:rPr>
              <w:tab/>
            </w:r>
            <w:r>
              <w:rPr>
                <w:noProof/>
                <w:webHidden/>
              </w:rPr>
              <w:fldChar w:fldCharType="begin"/>
            </w:r>
            <w:r>
              <w:rPr>
                <w:noProof/>
                <w:webHidden/>
              </w:rPr>
              <w:instrText xml:space="preserve"> PAGEREF _Toc8291134 \h </w:instrText>
            </w:r>
            <w:r>
              <w:rPr>
                <w:noProof/>
                <w:webHidden/>
              </w:rPr>
            </w:r>
            <w:r>
              <w:rPr>
                <w:noProof/>
                <w:webHidden/>
              </w:rPr>
              <w:fldChar w:fldCharType="separate"/>
            </w:r>
            <w:r>
              <w:rPr>
                <w:noProof/>
                <w:webHidden/>
              </w:rPr>
              <w:t>95</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35" w:history="1">
            <w:r w:rsidRPr="00837BE2">
              <w:rPr>
                <w:rStyle w:val="Hyperlink"/>
                <w:noProof/>
              </w:rPr>
              <w:t>Quality</w:t>
            </w:r>
            <w:r>
              <w:rPr>
                <w:noProof/>
                <w:webHidden/>
              </w:rPr>
              <w:tab/>
            </w:r>
            <w:r>
              <w:rPr>
                <w:noProof/>
                <w:webHidden/>
              </w:rPr>
              <w:fldChar w:fldCharType="begin"/>
            </w:r>
            <w:r>
              <w:rPr>
                <w:noProof/>
                <w:webHidden/>
              </w:rPr>
              <w:instrText xml:space="preserve"> PAGEREF _Toc8291135 \h </w:instrText>
            </w:r>
            <w:r>
              <w:rPr>
                <w:noProof/>
                <w:webHidden/>
              </w:rPr>
            </w:r>
            <w:r>
              <w:rPr>
                <w:noProof/>
                <w:webHidden/>
              </w:rPr>
              <w:fldChar w:fldCharType="separate"/>
            </w:r>
            <w:r>
              <w:rPr>
                <w:noProof/>
                <w:webHidden/>
              </w:rPr>
              <w:t>98</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36" w:history="1">
            <w:r w:rsidRPr="00837BE2">
              <w:rPr>
                <w:rStyle w:val="Hyperlink"/>
                <w:noProof/>
              </w:rPr>
              <w:t>Nonclinical</w:t>
            </w:r>
            <w:r>
              <w:rPr>
                <w:noProof/>
                <w:webHidden/>
              </w:rPr>
              <w:tab/>
            </w:r>
            <w:r>
              <w:rPr>
                <w:noProof/>
                <w:webHidden/>
              </w:rPr>
              <w:fldChar w:fldCharType="begin"/>
            </w:r>
            <w:r>
              <w:rPr>
                <w:noProof/>
                <w:webHidden/>
              </w:rPr>
              <w:instrText xml:space="preserve"> PAGEREF _Toc8291136 \h </w:instrText>
            </w:r>
            <w:r>
              <w:rPr>
                <w:noProof/>
                <w:webHidden/>
              </w:rPr>
            </w:r>
            <w:r>
              <w:rPr>
                <w:noProof/>
                <w:webHidden/>
              </w:rPr>
              <w:fldChar w:fldCharType="separate"/>
            </w:r>
            <w:r>
              <w:rPr>
                <w:noProof/>
                <w:webHidden/>
              </w:rPr>
              <w:t>98</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37" w:history="1">
            <w:r w:rsidRPr="00837BE2">
              <w:rPr>
                <w:rStyle w:val="Hyperlink"/>
                <w:noProof/>
              </w:rPr>
              <w:t>Clinical</w:t>
            </w:r>
            <w:r>
              <w:rPr>
                <w:noProof/>
                <w:webHidden/>
              </w:rPr>
              <w:tab/>
            </w:r>
            <w:r>
              <w:rPr>
                <w:noProof/>
                <w:webHidden/>
              </w:rPr>
              <w:fldChar w:fldCharType="begin"/>
            </w:r>
            <w:r>
              <w:rPr>
                <w:noProof/>
                <w:webHidden/>
              </w:rPr>
              <w:instrText xml:space="preserve"> PAGEREF _Toc8291137 \h </w:instrText>
            </w:r>
            <w:r>
              <w:rPr>
                <w:noProof/>
                <w:webHidden/>
              </w:rPr>
            </w:r>
            <w:r>
              <w:rPr>
                <w:noProof/>
                <w:webHidden/>
              </w:rPr>
              <w:fldChar w:fldCharType="separate"/>
            </w:r>
            <w:r>
              <w:rPr>
                <w:noProof/>
                <w:webHidden/>
              </w:rPr>
              <w:t>99</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38" w:history="1">
            <w:r w:rsidRPr="00837BE2">
              <w:rPr>
                <w:rStyle w:val="Hyperlink"/>
                <w:noProof/>
                <w:lang w:eastAsia="en-AU"/>
              </w:rPr>
              <w:t>Risk management plan</w:t>
            </w:r>
            <w:r>
              <w:rPr>
                <w:noProof/>
                <w:webHidden/>
              </w:rPr>
              <w:tab/>
            </w:r>
            <w:r>
              <w:rPr>
                <w:noProof/>
                <w:webHidden/>
              </w:rPr>
              <w:fldChar w:fldCharType="begin"/>
            </w:r>
            <w:r>
              <w:rPr>
                <w:noProof/>
                <w:webHidden/>
              </w:rPr>
              <w:instrText xml:space="preserve"> PAGEREF _Toc8291138 \h </w:instrText>
            </w:r>
            <w:r>
              <w:rPr>
                <w:noProof/>
                <w:webHidden/>
              </w:rPr>
            </w:r>
            <w:r>
              <w:rPr>
                <w:noProof/>
                <w:webHidden/>
              </w:rPr>
              <w:fldChar w:fldCharType="separate"/>
            </w:r>
            <w:r>
              <w:rPr>
                <w:noProof/>
                <w:webHidden/>
              </w:rPr>
              <w:t>119</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39" w:history="1">
            <w:r w:rsidRPr="00837BE2">
              <w:rPr>
                <w:rStyle w:val="Hyperlink"/>
                <w:noProof/>
              </w:rPr>
              <w:t>Risk-benefit analysis</w:t>
            </w:r>
            <w:r>
              <w:rPr>
                <w:noProof/>
                <w:webHidden/>
              </w:rPr>
              <w:tab/>
            </w:r>
            <w:r>
              <w:rPr>
                <w:noProof/>
                <w:webHidden/>
              </w:rPr>
              <w:fldChar w:fldCharType="begin"/>
            </w:r>
            <w:r>
              <w:rPr>
                <w:noProof/>
                <w:webHidden/>
              </w:rPr>
              <w:instrText xml:space="preserve"> PAGEREF _Toc8291139 \h </w:instrText>
            </w:r>
            <w:r>
              <w:rPr>
                <w:noProof/>
                <w:webHidden/>
              </w:rPr>
            </w:r>
            <w:r>
              <w:rPr>
                <w:noProof/>
                <w:webHidden/>
              </w:rPr>
              <w:fldChar w:fldCharType="separate"/>
            </w:r>
            <w:r>
              <w:rPr>
                <w:noProof/>
                <w:webHidden/>
              </w:rPr>
              <w:t>119</w:t>
            </w:r>
            <w:r>
              <w:rPr>
                <w:noProof/>
                <w:webHidden/>
              </w:rPr>
              <w:fldChar w:fldCharType="end"/>
            </w:r>
          </w:hyperlink>
        </w:p>
        <w:p w:rsidR="00FF619F" w:rsidRDefault="00FF619F">
          <w:pPr>
            <w:pStyle w:val="TOC3"/>
            <w:rPr>
              <w:rFonts w:asciiTheme="minorHAnsi" w:eastAsiaTheme="minorEastAsia" w:hAnsiTheme="minorHAnsi" w:cstheme="minorBidi"/>
              <w:noProof/>
              <w:lang w:eastAsia="en-AU"/>
            </w:rPr>
          </w:pPr>
          <w:hyperlink w:anchor="_Toc8291140" w:history="1">
            <w:r w:rsidRPr="00837BE2">
              <w:rPr>
                <w:rStyle w:val="Hyperlink"/>
                <w:noProof/>
              </w:rPr>
              <w:t>Outcome</w:t>
            </w:r>
            <w:r>
              <w:rPr>
                <w:noProof/>
                <w:webHidden/>
              </w:rPr>
              <w:tab/>
            </w:r>
            <w:r>
              <w:rPr>
                <w:noProof/>
                <w:webHidden/>
              </w:rPr>
              <w:fldChar w:fldCharType="begin"/>
            </w:r>
            <w:r>
              <w:rPr>
                <w:noProof/>
                <w:webHidden/>
              </w:rPr>
              <w:instrText xml:space="preserve"> PAGEREF _Toc8291140 \h </w:instrText>
            </w:r>
            <w:r>
              <w:rPr>
                <w:noProof/>
                <w:webHidden/>
              </w:rPr>
            </w:r>
            <w:r>
              <w:rPr>
                <w:noProof/>
                <w:webHidden/>
              </w:rPr>
              <w:fldChar w:fldCharType="separate"/>
            </w:r>
            <w:r>
              <w:rPr>
                <w:noProof/>
                <w:webHidden/>
              </w:rPr>
              <w:t>130</w:t>
            </w:r>
            <w:r>
              <w:rPr>
                <w:noProof/>
                <w:webHidden/>
              </w:rPr>
              <w:fldChar w:fldCharType="end"/>
            </w:r>
          </w:hyperlink>
        </w:p>
        <w:p w:rsidR="00FF619F" w:rsidRDefault="00FF619F">
          <w:pPr>
            <w:pStyle w:val="TOC2"/>
            <w:rPr>
              <w:rFonts w:asciiTheme="minorHAnsi" w:eastAsiaTheme="minorEastAsia" w:hAnsiTheme="minorHAnsi" w:cstheme="minorBidi"/>
              <w:b w:val="0"/>
              <w:noProof/>
              <w:sz w:val="22"/>
              <w:lang w:eastAsia="en-AU"/>
            </w:rPr>
          </w:pPr>
          <w:hyperlink w:anchor="_Toc8291141" w:history="1">
            <w:r w:rsidRPr="00837BE2">
              <w:rPr>
                <w:rStyle w:val="Hyperlink"/>
                <w:noProof/>
              </w:rPr>
              <w:t>Attachment 1. Product Information</w:t>
            </w:r>
            <w:r>
              <w:rPr>
                <w:noProof/>
                <w:webHidden/>
              </w:rPr>
              <w:tab/>
            </w:r>
            <w:r>
              <w:rPr>
                <w:noProof/>
                <w:webHidden/>
              </w:rPr>
              <w:fldChar w:fldCharType="begin"/>
            </w:r>
            <w:r>
              <w:rPr>
                <w:noProof/>
                <w:webHidden/>
              </w:rPr>
              <w:instrText xml:space="preserve"> PAGEREF _Toc8291141 \h </w:instrText>
            </w:r>
            <w:r>
              <w:rPr>
                <w:noProof/>
                <w:webHidden/>
              </w:rPr>
            </w:r>
            <w:r>
              <w:rPr>
                <w:noProof/>
                <w:webHidden/>
              </w:rPr>
              <w:fldChar w:fldCharType="separate"/>
            </w:r>
            <w:r>
              <w:rPr>
                <w:noProof/>
                <w:webHidden/>
              </w:rPr>
              <w:t>131</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8291101"/>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923"/>
        <w:gridCol w:w="6797"/>
      </w:tblGrid>
      <w:tr w:rsidR="00FD119B" w:rsidRPr="00FD119B" w:rsidTr="000A4F79">
        <w:trPr>
          <w:cnfStyle w:val="100000000000" w:firstRow="1" w:lastRow="0" w:firstColumn="0" w:lastColumn="0" w:oddVBand="0" w:evenVBand="0" w:oddHBand="0" w:evenHBand="0" w:firstRowFirstColumn="0" w:firstRowLastColumn="0" w:lastRowFirstColumn="0" w:lastRowLastColumn="0"/>
        </w:trPr>
        <w:tc>
          <w:tcPr>
            <w:tcW w:w="1923" w:type="dxa"/>
          </w:tcPr>
          <w:p w:rsidR="00FD119B" w:rsidRPr="00FD119B" w:rsidRDefault="00FD119B" w:rsidP="000A4F79">
            <w:pPr>
              <w:rPr>
                <w:lang w:eastAsia="en-US"/>
              </w:rPr>
            </w:pPr>
            <w:r w:rsidRPr="00FD119B">
              <w:rPr>
                <w:lang w:eastAsia="en-US"/>
              </w:rPr>
              <w:t>Abbreviation</w:t>
            </w:r>
          </w:p>
        </w:tc>
        <w:tc>
          <w:tcPr>
            <w:tcW w:w="6797" w:type="dxa"/>
          </w:tcPr>
          <w:p w:rsidR="00FD119B" w:rsidRPr="00FD119B" w:rsidRDefault="00FD119B" w:rsidP="000A4F79">
            <w:pPr>
              <w:rPr>
                <w:lang w:eastAsia="en-US"/>
              </w:rPr>
            </w:pPr>
            <w:r w:rsidRPr="00FD119B">
              <w:rPr>
                <w:lang w:eastAsia="en-US"/>
              </w:rPr>
              <w:t>Meaning</w:t>
            </w:r>
          </w:p>
        </w:tc>
      </w:tr>
      <w:tr w:rsidR="00476CD0" w:rsidRPr="00FD119B" w:rsidTr="000A4F79">
        <w:tc>
          <w:tcPr>
            <w:tcW w:w="1923" w:type="dxa"/>
          </w:tcPr>
          <w:p w:rsidR="00476CD0" w:rsidRDefault="00476CD0" w:rsidP="000A4F79">
            <w:pPr>
              <w:rPr>
                <w:rFonts w:eastAsia="TimesNewRoman" w:cs="TimesNewRoman"/>
              </w:rPr>
            </w:pPr>
            <w:r>
              <w:t>~</w:t>
            </w:r>
          </w:p>
        </w:tc>
        <w:tc>
          <w:tcPr>
            <w:tcW w:w="6797" w:type="dxa"/>
          </w:tcPr>
          <w:p w:rsidR="00476CD0" w:rsidRPr="00E1614E" w:rsidRDefault="00476CD0" w:rsidP="000A4F79">
            <w:pPr>
              <w:rPr>
                <w:rFonts w:eastAsia="TimesNewRoman" w:cs="TimesNewRoman"/>
              </w:rPr>
            </w:pPr>
            <w:r>
              <w:rPr>
                <w:rFonts w:eastAsia="TimesNewRoman" w:cs="TimesNewRoman"/>
              </w:rPr>
              <w:t>Approximately</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AASLD</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American Association for the Study of Liver Diseases</w:t>
            </w:r>
          </w:p>
        </w:tc>
      </w:tr>
      <w:tr w:rsidR="00041BBE" w:rsidRPr="00FD119B" w:rsidTr="000A4F79">
        <w:tc>
          <w:tcPr>
            <w:tcW w:w="1923" w:type="dxa"/>
          </w:tcPr>
          <w:p w:rsidR="00041BBE" w:rsidRDefault="00041BBE" w:rsidP="000A4F79">
            <w:pPr>
              <w:rPr>
                <w:rFonts w:eastAsia="TimesNewRoman" w:cs="TimesNewRoman"/>
              </w:rPr>
            </w:pPr>
            <w:r>
              <w:rPr>
                <w:rFonts w:eastAsia="TimesNewRoman" w:cs="TimesNewRoman"/>
              </w:rPr>
              <w:t>ACM</w:t>
            </w:r>
          </w:p>
        </w:tc>
        <w:tc>
          <w:tcPr>
            <w:tcW w:w="6797" w:type="dxa"/>
          </w:tcPr>
          <w:p w:rsidR="00041BBE" w:rsidRPr="00E1614E" w:rsidRDefault="00041BBE" w:rsidP="000A4F79">
            <w:pPr>
              <w:rPr>
                <w:rFonts w:eastAsia="TimesNewRoman" w:cs="TimesNewRoman"/>
              </w:rPr>
            </w:pPr>
            <w:r>
              <w:rPr>
                <w:rFonts w:eastAsia="TimesNewRoman" w:cs="TimesNewRoman"/>
              </w:rPr>
              <w:t>Advisory Committee on Medicines</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ADME</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A</w:t>
            </w:r>
            <w:r w:rsidRPr="00E1614E">
              <w:rPr>
                <w:rFonts w:eastAsia="TimesNewRoman" w:cs="TimesNewRoman"/>
                <w:color w:val="auto"/>
              </w:rPr>
              <w:t>bsorption, distribution, metabolism and elimination</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AE</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A</w:t>
            </w:r>
            <w:r w:rsidRPr="00E1614E">
              <w:rPr>
                <w:rFonts w:eastAsia="TimesNewRoman" w:cs="TimesNewRoman"/>
                <w:color w:val="auto"/>
              </w:rPr>
              <w:t>dverse event</w:t>
            </w:r>
          </w:p>
        </w:tc>
      </w:tr>
      <w:tr w:rsidR="00AA5E62" w:rsidRPr="00FD119B" w:rsidTr="000A4F79">
        <w:tc>
          <w:tcPr>
            <w:tcW w:w="1923" w:type="dxa"/>
          </w:tcPr>
          <w:p w:rsidR="00AA5E62" w:rsidRDefault="00AA5E62" w:rsidP="000A4F79">
            <w:pPr>
              <w:rPr>
                <w:rFonts w:eastAsia="TimesNewRoman" w:cs="TimesNewRoman"/>
              </w:rPr>
            </w:pPr>
            <w:r>
              <w:rPr>
                <w:rFonts w:eastAsia="TimesNewRoman" w:cs="TimesNewRoman"/>
              </w:rPr>
              <w:t>AHR</w:t>
            </w:r>
          </w:p>
        </w:tc>
        <w:tc>
          <w:tcPr>
            <w:tcW w:w="6797" w:type="dxa"/>
          </w:tcPr>
          <w:p w:rsidR="00AA5E62" w:rsidRPr="00AA5E62" w:rsidRDefault="00AA5E62" w:rsidP="00AA5E62">
            <w:r>
              <w:t>A</w:t>
            </w:r>
            <w:r w:rsidRPr="00AA5E62">
              <w:t>ryl hydrocarbon receptor</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ALT</w:t>
            </w:r>
          </w:p>
        </w:tc>
        <w:tc>
          <w:tcPr>
            <w:tcW w:w="6797" w:type="dxa"/>
          </w:tcPr>
          <w:p w:rsidR="000A4F79" w:rsidRPr="00EC305C" w:rsidRDefault="000A4F79" w:rsidP="000A4F79">
            <w:pPr>
              <w:rPr>
                <w:rFonts w:cs="Calibri"/>
              </w:rPr>
            </w:pPr>
            <w:r>
              <w:rPr>
                <w:rFonts w:cs="Calibri"/>
              </w:rPr>
              <w:t>A</w:t>
            </w:r>
            <w:r w:rsidRPr="00EC305C">
              <w:rPr>
                <w:rFonts w:cs="Calibri"/>
              </w:rPr>
              <w:t>lanine aminotransferase</w:t>
            </w:r>
          </w:p>
        </w:tc>
      </w:tr>
      <w:tr w:rsidR="00041BBE" w:rsidRPr="00FD119B" w:rsidTr="000A4F79">
        <w:tc>
          <w:tcPr>
            <w:tcW w:w="1923" w:type="dxa"/>
          </w:tcPr>
          <w:p w:rsidR="00041BBE" w:rsidRDefault="00041BBE" w:rsidP="000A4F79">
            <w:pPr>
              <w:rPr>
                <w:rFonts w:eastAsia="TimesNewRoman" w:cs="TimesNewRoman"/>
              </w:rPr>
            </w:pPr>
            <w:r>
              <w:rPr>
                <w:rFonts w:eastAsia="TimesNewRoman" w:cs="TimesNewRoman"/>
              </w:rPr>
              <w:t>ARTG</w:t>
            </w:r>
          </w:p>
        </w:tc>
        <w:tc>
          <w:tcPr>
            <w:tcW w:w="6797" w:type="dxa"/>
          </w:tcPr>
          <w:p w:rsidR="00041BBE" w:rsidRDefault="00041BBE" w:rsidP="000A4F79">
            <w:pPr>
              <w:rPr>
                <w:rFonts w:cs="Calibri"/>
              </w:rPr>
            </w:pPr>
            <w:r>
              <w:rPr>
                <w:rFonts w:cs="Calibri"/>
              </w:rPr>
              <w:t>Australian Register of Therapeutic Goods</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ARV</w:t>
            </w:r>
          </w:p>
        </w:tc>
        <w:tc>
          <w:tcPr>
            <w:tcW w:w="6797" w:type="dxa"/>
          </w:tcPr>
          <w:p w:rsidR="000A4F79" w:rsidRPr="00EC305C" w:rsidRDefault="000A4F79" w:rsidP="000A4F79">
            <w:pPr>
              <w:rPr>
                <w:rFonts w:cs="Calibri"/>
              </w:rPr>
            </w:pPr>
            <w:r>
              <w:rPr>
                <w:rFonts w:cs="Calibri"/>
              </w:rPr>
              <w:t>A</w:t>
            </w:r>
            <w:r w:rsidRPr="00EC305C">
              <w:rPr>
                <w:rFonts w:cs="Calibri"/>
              </w:rPr>
              <w:t>ntiretroviral</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AS</w:t>
            </w:r>
            <w:r w:rsidR="00AC3806">
              <w:rPr>
                <w:rFonts w:eastAsia="TimesNewRoman" w:cs="TimesNewRoman"/>
                <w:color w:val="auto"/>
              </w:rPr>
              <w:t>T</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A</w:t>
            </w:r>
            <w:r w:rsidRPr="00E1614E">
              <w:rPr>
                <w:rFonts w:eastAsia="TimesNewRoman" w:cs="TimesNewRoman"/>
                <w:color w:val="auto"/>
              </w:rPr>
              <w:t>spartate aminotransferase</w:t>
            </w:r>
          </w:p>
        </w:tc>
      </w:tr>
      <w:tr w:rsidR="000A4F79" w:rsidRPr="00FD119B" w:rsidTr="000A4F79">
        <w:tc>
          <w:tcPr>
            <w:tcW w:w="1923" w:type="dxa"/>
          </w:tcPr>
          <w:p w:rsidR="000A4F79" w:rsidRPr="00E1614E" w:rsidRDefault="000A4F79" w:rsidP="000A4F79">
            <w:pPr>
              <w:rPr>
                <w:rFonts w:eastAsia="TimesNewRoman" w:cstheme="minorHAnsi"/>
                <w:color w:val="auto"/>
              </w:rPr>
            </w:pPr>
            <w:r w:rsidRPr="00E1614E">
              <w:rPr>
                <w:rFonts w:eastAsia="TimesNewRoman" w:cstheme="minorHAnsi"/>
                <w:color w:val="auto"/>
              </w:rPr>
              <w:t>ATV/r</w:t>
            </w:r>
          </w:p>
        </w:tc>
        <w:tc>
          <w:tcPr>
            <w:tcW w:w="6797" w:type="dxa"/>
          </w:tcPr>
          <w:p w:rsidR="000A4F79" w:rsidRPr="00E1614E" w:rsidRDefault="000A4F79" w:rsidP="000A4F79">
            <w:pPr>
              <w:rPr>
                <w:rFonts w:eastAsia="TimesNewRoman" w:cstheme="minorHAnsi"/>
                <w:color w:val="auto"/>
              </w:rPr>
            </w:pPr>
            <w:r>
              <w:rPr>
                <w:color w:val="auto"/>
              </w:rPr>
              <w:t>R</w:t>
            </w:r>
            <w:r w:rsidRPr="00E1614E">
              <w:rPr>
                <w:color w:val="auto"/>
              </w:rPr>
              <w:t>itonavir-boosted atazanavir</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AUC</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A</w:t>
            </w:r>
            <w:r w:rsidRPr="00E1614E">
              <w:rPr>
                <w:rFonts w:eastAsia="TimesNewRoman" w:cs="TimesNewRoman"/>
                <w:color w:val="auto"/>
              </w:rPr>
              <w:t>rea under the plasma/serum concentration versus time curve</w:t>
            </w:r>
          </w:p>
        </w:tc>
      </w:tr>
      <w:tr w:rsidR="000A4F79" w:rsidRPr="00FD119B" w:rsidTr="000A4F79">
        <w:tc>
          <w:tcPr>
            <w:tcW w:w="1923" w:type="dxa"/>
          </w:tcPr>
          <w:p w:rsidR="000A4F79" w:rsidRPr="00E1614E" w:rsidRDefault="000A4F79" w:rsidP="000A4F79">
            <w:pPr>
              <w:rPr>
                <w:rFonts w:cstheme="minorHAnsi"/>
                <w:color w:val="auto"/>
              </w:rPr>
            </w:pPr>
            <w:r w:rsidRPr="00E1614E">
              <w:rPr>
                <w:rFonts w:eastAsia="TimesNewRoman" w:cstheme="minorHAnsi"/>
                <w:color w:val="auto"/>
              </w:rPr>
              <w:t>AUC</w:t>
            </w:r>
            <w:r w:rsidRPr="00E1614E">
              <w:rPr>
                <w:rFonts w:eastAsia="TimesNewRoman" w:cstheme="minorHAnsi"/>
                <w:color w:val="auto"/>
                <w:vertAlign w:val="subscript"/>
              </w:rPr>
              <w:t>0-24</w:t>
            </w:r>
          </w:p>
        </w:tc>
        <w:tc>
          <w:tcPr>
            <w:tcW w:w="6797" w:type="dxa"/>
          </w:tcPr>
          <w:p w:rsidR="000A4F79" w:rsidRPr="00E1614E" w:rsidRDefault="000A4F79" w:rsidP="00AC3806">
            <w:pPr>
              <w:rPr>
                <w:rFonts w:cstheme="minorHAnsi"/>
                <w:color w:val="auto"/>
              </w:rPr>
            </w:pPr>
            <w:r>
              <w:rPr>
                <w:rFonts w:eastAsia="TimesNewRoman" w:cstheme="minorHAnsi"/>
                <w:color w:val="auto"/>
              </w:rPr>
              <w:t>P</w:t>
            </w:r>
            <w:r w:rsidRPr="00E1614E">
              <w:rPr>
                <w:rFonts w:eastAsia="TimesNewRoman" w:cstheme="minorHAnsi"/>
                <w:color w:val="auto"/>
              </w:rPr>
              <w:t>artial area under the plasma/serum concentration versus time curve from 0</w:t>
            </w:r>
            <w:r w:rsidR="00CE0E69">
              <w:rPr>
                <w:rFonts w:eastAsia="TimesNewRoman" w:cstheme="minorHAnsi"/>
                <w:color w:val="auto"/>
              </w:rPr>
              <w:t xml:space="preserve"> </w:t>
            </w:r>
            <w:r w:rsidRPr="00E1614E">
              <w:rPr>
                <w:rFonts w:eastAsia="TimesNewRoman" w:cstheme="minorHAnsi"/>
                <w:color w:val="auto"/>
              </w:rPr>
              <w:t>to 24 h</w:t>
            </w:r>
            <w:r w:rsidR="00AC3806">
              <w:rPr>
                <w:rFonts w:eastAsia="TimesNewRoman" w:cstheme="minorHAnsi"/>
                <w:color w:val="auto"/>
              </w:rPr>
              <w:t>ours</w:t>
            </w:r>
          </w:p>
        </w:tc>
      </w:tr>
      <w:tr w:rsidR="000A4F79" w:rsidRPr="00FD119B" w:rsidTr="000A4F79">
        <w:tc>
          <w:tcPr>
            <w:tcW w:w="1923" w:type="dxa"/>
          </w:tcPr>
          <w:p w:rsidR="000A4F79" w:rsidRPr="00E1614E" w:rsidRDefault="000A4F79" w:rsidP="000A4F79">
            <w:pPr>
              <w:rPr>
                <w:rFonts w:eastAsia="TimesNewRoman" w:cs="TimesNewRoman"/>
                <w:color w:val="auto"/>
              </w:rPr>
            </w:pPr>
            <w:proofErr w:type="spellStart"/>
            <w:r>
              <w:rPr>
                <w:rFonts w:eastAsia="TimesNewRoman" w:cs="TimesNewRoman"/>
                <w:color w:val="auto"/>
              </w:rPr>
              <w:t>AUC</w:t>
            </w:r>
            <w:r w:rsidRPr="00AC3806">
              <w:rPr>
                <w:rFonts w:eastAsia="TimesNewRoman" w:cs="TimesNewRoman"/>
                <w:color w:val="auto"/>
                <w:vertAlign w:val="subscript"/>
              </w:rPr>
              <w:t>inf</w:t>
            </w:r>
            <w:proofErr w:type="spellEnd"/>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A</w:t>
            </w:r>
            <w:r w:rsidRPr="00E1614E">
              <w:rPr>
                <w:rFonts w:eastAsia="TimesNewRoman" w:cs="TimesNewRoman"/>
                <w:color w:val="auto"/>
              </w:rPr>
              <w:t>rea under the plasma/serum concentration versus time curve extrapolated to infinite time, calculated as AUC</w:t>
            </w:r>
            <w:r w:rsidRPr="00E1614E">
              <w:rPr>
                <w:rFonts w:eastAsia="TimesNewRoman" w:cs="TimesNewRoman"/>
                <w:color w:val="auto"/>
                <w:vertAlign w:val="subscript"/>
              </w:rPr>
              <w:t>-last</w:t>
            </w:r>
            <w:r w:rsidRPr="00E1614E">
              <w:rPr>
                <w:rFonts w:eastAsia="TimesNewRoman" w:cs="TimesNewRoman"/>
                <w:color w:val="auto"/>
              </w:rPr>
              <w:t xml:space="preserve"> + (Clast/</w:t>
            </w:r>
            <w:proofErr w:type="spellStart"/>
            <w:r w:rsidRPr="00E1614E">
              <w:rPr>
                <w:rFonts w:eastAsia="TimesNewRoman" w:cs="TimesNewRoman"/>
                <w:color w:val="auto"/>
                <w:vertAlign w:val="subscript"/>
              </w:rPr>
              <w:t>λz</w:t>
            </w:r>
            <w:proofErr w:type="spellEnd"/>
            <w:r w:rsidRPr="00E1614E">
              <w:rPr>
                <w:rFonts w:eastAsia="TimesNewRoman" w:cs="TimesNewRoman"/>
                <w:color w:val="auto"/>
              </w:rPr>
              <w:t>)</w:t>
            </w:r>
          </w:p>
        </w:tc>
      </w:tr>
      <w:tr w:rsidR="000A4F79" w:rsidRPr="00FD119B" w:rsidTr="000A4F79">
        <w:tc>
          <w:tcPr>
            <w:tcW w:w="1923" w:type="dxa"/>
          </w:tcPr>
          <w:p w:rsidR="000A4F79" w:rsidRPr="00E1614E" w:rsidRDefault="000A4F79" w:rsidP="000A4F79">
            <w:pPr>
              <w:rPr>
                <w:rFonts w:eastAsia="TimesNewRoman" w:cstheme="minorHAnsi"/>
                <w:color w:val="auto"/>
              </w:rPr>
            </w:pPr>
            <w:proofErr w:type="spellStart"/>
            <w:r w:rsidRPr="00E1614E">
              <w:rPr>
                <w:rFonts w:eastAsia="TimesNewRoman" w:cstheme="minorHAnsi"/>
                <w:color w:val="auto"/>
              </w:rPr>
              <w:t>AUC</w:t>
            </w:r>
            <w:r w:rsidRPr="00E1614E">
              <w:rPr>
                <w:rFonts w:eastAsia="TimesNewRoman" w:cstheme="minorHAnsi"/>
                <w:color w:val="auto"/>
                <w:vertAlign w:val="subscript"/>
              </w:rPr>
              <w:t>last</w:t>
            </w:r>
            <w:proofErr w:type="spellEnd"/>
          </w:p>
        </w:tc>
        <w:tc>
          <w:tcPr>
            <w:tcW w:w="6797" w:type="dxa"/>
          </w:tcPr>
          <w:p w:rsidR="000A4F79" w:rsidRPr="00E1614E" w:rsidRDefault="000A4F79" w:rsidP="000A4F79">
            <w:pPr>
              <w:rPr>
                <w:rFonts w:cstheme="minorHAnsi"/>
                <w:color w:val="auto"/>
              </w:rPr>
            </w:pPr>
            <w:r>
              <w:rPr>
                <w:rFonts w:eastAsia="TimesNewRoman" w:cstheme="minorHAnsi"/>
                <w:color w:val="auto"/>
              </w:rPr>
              <w:t>A</w:t>
            </w:r>
            <w:r w:rsidRPr="00E1614E">
              <w:rPr>
                <w:rFonts w:eastAsia="TimesNewRoman" w:cstheme="minorHAnsi"/>
                <w:color w:val="auto"/>
              </w:rPr>
              <w:t>rea under the plasma/serum concentration versus time curve from time zero to the last quantifiable concentration</w:t>
            </w:r>
          </w:p>
        </w:tc>
      </w:tr>
      <w:tr w:rsidR="000A4F79" w:rsidRPr="00FD119B" w:rsidTr="000A4F79">
        <w:tc>
          <w:tcPr>
            <w:tcW w:w="1923" w:type="dxa"/>
          </w:tcPr>
          <w:p w:rsidR="000A4F79" w:rsidRPr="00E1614E" w:rsidRDefault="000A4F79" w:rsidP="000A4F79">
            <w:pPr>
              <w:rPr>
                <w:rFonts w:cstheme="minorHAnsi"/>
                <w:color w:val="auto"/>
              </w:rPr>
            </w:pPr>
            <w:proofErr w:type="spellStart"/>
            <w:r w:rsidRPr="00E1614E">
              <w:rPr>
                <w:rFonts w:eastAsia="TimesNewRoman" w:cstheme="minorHAnsi"/>
                <w:color w:val="auto"/>
              </w:rPr>
              <w:t>AUC</w:t>
            </w:r>
            <w:r w:rsidRPr="00E1614E">
              <w:rPr>
                <w:rFonts w:eastAsia="TimesNewRoman" w:cstheme="minorHAnsi"/>
                <w:color w:val="auto"/>
                <w:vertAlign w:val="subscript"/>
              </w:rPr>
              <w:t>tau</w:t>
            </w:r>
            <w:proofErr w:type="spellEnd"/>
          </w:p>
        </w:tc>
        <w:tc>
          <w:tcPr>
            <w:tcW w:w="6797" w:type="dxa"/>
          </w:tcPr>
          <w:p w:rsidR="000A4F79" w:rsidRPr="00E1614E" w:rsidRDefault="000A4F79" w:rsidP="000A4F79">
            <w:pPr>
              <w:rPr>
                <w:rFonts w:cstheme="minorHAnsi"/>
                <w:color w:val="auto"/>
              </w:rPr>
            </w:pPr>
            <w:r>
              <w:rPr>
                <w:rFonts w:eastAsia="TimesNewRoman" w:cstheme="minorHAnsi"/>
                <w:color w:val="auto"/>
              </w:rPr>
              <w:t>A</w:t>
            </w:r>
            <w:r w:rsidRPr="00E1614E">
              <w:rPr>
                <w:rFonts w:eastAsia="TimesNewRoman" w:cstheme="minorHAnsi"/>
                <w:color w:val="auto"/>
              </w:rPr>
              <w:t>rea under the plasma/serum concentration versus time over the dosing interval</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BCRP</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B</w:t>
            </w:r>
            <w:r w:rsidRPr="00E1614E">
              <w:rPr>
                <w:rFonts w:eastAsia="TimesNewRoman" w:cs="TimesNewRoman"/>
                <w:color w:val="auto"/>
              </w:rPr>
              <w:t>reast cancer resistance protein</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BCS</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Biopharmaceutics Classification System</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BIC</w:t>
            </w:r>
          </w:p>
        </w:tc>
        <w:tc>
          <w:tcPr>
            <w:tcW w:w="6797" w:type="dxa"/>
          </w:tcPr>
          <w:p w:rsidR="000A4F79" w:rsidRPr="00E1614E" w:rsidRDefault="000A4F79" w:rsidP="000A4F79">
            <w:pPr>
              <w:rPr>
                <w:rFonts w:cstheme="minorHAnsi"/>
                <w:color w:val="auto"/>
              </w:rPr>
            </w:pPr>
            <w:proofErr w:type="spellStart"/>
            <w:r>
              <w:rPr>
                <w:color w:val="auto"/>
              </w:rPr>
              <w:t>B</w:t>
            </w:r>
            <w:r w:rsidRPr="00E1614E">
              <w:rPr>
                <w:color w:val="auto"/>
              </w:rPr>
              <w:t>ictegravir</w:t>
            </w:r>
            <w:proofErr w:type="spellEnd"/>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BMI</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B</w:t>
            </w:r>
            <w:r w:rsidRPr="00E1614E">
              <w:rPr>
                <w:rFonts w:eastAsia="TimesNewRoman" w:cs="TimesNewRoman"/>
                <w:color w:val="auto"/>
              </w:rPr>
              <w:t>ody mass index</w:t>
            </w:r>
          </w:p>
        </w:tc>
      </w:tr>
      <w:tr w:rsidR="000A4F79" w:rsidRPr="00FD119B" w:rsidTr="000A4F79">
        <w:tc>
          <w:tcPr>
            <w:tcW w:w="1923" w:type="dxa"/>
          </w:tcPr>
          <w:p w:rsidR="000A4F79" w:rsidRPr="00E1614E" w:rsidRDefault="000A4F79" w:rsidP="000A4F79">
            <w:pPr>
              <w:rPr>
                <w:rFonts w:cstheme="minorHAnsi"/>
                <w:color w:val="auto"/>
              </w:rPr>
            </w:pPr>
            <w:r w:rsidRPr="00E1614E">
              <w:rPr>
                <w:rFonts w:eastAsia="TimesNewRoman" w:cstheme="minorHAnsi"/>
                <w:color w:val="auto"/>
              </w:rPr>
              <w:t>C24</w:t>
            </w:r>
          </w:p>
        </w:tc>
        <w:tc>
          <w:tcPr>
            <w:tcW w:w="6797" w:type="dxa"/>
          </w:tcPr>
          <w:p w:rsidR="000A4F79" w:rsidRPr="00E1614E" w:rsidRDefault="00776EDC" w:rsidP="000A4F79">
            <w:pPr>
              <w:rPr>
                <w:rFonts w:eastAsia="TimesNewRoman" w:cstheme="minorHAnsi"/>
                <w:color w:val="auto"/>
              </w:rPr>
            </w:pPr>
            <w:r>
              <w:rPr>
                <w:rFonts w:eastAsia="TimesNewRoman" w:cstheme="minorHAnsi"/>
                <w:color w:val="auto"/>
              </w:rPr>
              <w:t>P</w:t>
            </w:r>
            <w:r w:rsidR="000A4F79" w:rsidRPr="00E1614E">
              <w:rPr>
                <w:rFonts w:eastAsia="TimesNewRoman" w:cstheme="minorHAnsi"/>
                <w:color w:val="auto"/>
              </w:rPr>
              <w:t>lasma/serum concentration at 24 h</w:t>
            </w:r>
            <w:r w:rsidR="00AC3806">
              <w:rPr>
                <w:rFonts w:eastAsia="TimesNewRoman" w:cstheme="minorHAnsi"/>
                <w:color w:val="auto"/>
              </w:rPr>
              <w:t>ours</w:t>
            </w:r>
          </w:p>
        </w:tc>
      </w:tr>
      <w:tr w:rsidR="00AA5E62" w:rsidRPr="00FD119B" w:rsidTr="000A4F79">
        <w:tc>
          <w:tcPr>
            <w:tcW w:w="1923" w:type="dxa"/>
          </w:tcPr>
          <w:p w:rsidR="00AA5E62" w:rsidRPr="00E1614E" w:rsidRDefault="00AA5E62" w:rsidP="000A4F79">
            <w:pPr>
              <w:rPr>
                <w:rFonts w:eastAsia="TimesNewRoman" w:cstheme="minorHAnsi"/>
              </w:rPr>
            </w:pPr>
            <w:r>
              <w:rPr>
                <w:rFonts w:eastAsia="TimesNewRoman" w:cstheme="minorHAnsi"/>
              </w:rPr>
              <w:t>CAR</w:t>
            </w:r>
          </w:p>
        </w:tc>
        <w:tc>
          <w:tcPr>
            <w:tcW w:w="6797" w:type="dxa"/>
          </w:tcPr>
          <w:p w:rsidR="00AA5E62" w:rsidRPr="00AA5E62" w:rsidRDefault="00AA5E62" w:rsidP="00AA5E62">
            <w:r>
              <w:t>C</w:t>
            </w:r>
            <w:r w:rsidRPr="00AA5E62">
              <w:t xml:space="preserve">onstitutive </w:t>
            </w:r>
            <w:proofErr w:type="spellStart"/>
            <w:r w:rsidRPr="00AA5E62">
              <w:t>androstane</w:t>
            </w:r>
            <w:proofErr w:type="spellEnd"/>
            <w:r w:rsidRPr="00AA5E62">
              <w:t xml:space="preserve"> receptor</w:t>
            </w:r>
          </w:p>
        </w:tc>
      </w:tr>
      <w:tr w:rsidR="00C4145D" w:rsidRPr="00FD119B" w:rsidTr="000A4F79">
        <w:tc>
          <w:tcPr>
            <w:tcW w:w="1923" w:type="dxa"/>
          </w:tcPr>
          <w:p w:rsidR="00C4145D" w:rsidRPr="00E1614E" w:rsidRDefault="00C4145D" w:rsidP="000A4F79">
            <w:pPr>
              <w:rPr>
                <w:rFonts w:eastAsia="TimesNewRoman" w:cstheme="minorHAnsi"/>
              </w:rPr>
            </w:pPr>
            <w:r>
              <w:t>CC</w:t>
            </w:r>
            <w:r w:rsidRPr="00F67209">
              <w:rPr>
                <w:vertAlign w:val="subscript"/>
              </w:rPr>
              <w:t>50</w:t>
            </w:r>
          </w:p>
        </w:tc>
        <w:tc>
          <w:tcPr>
            <w:tcW w:w="6797" w:type="dxa"/>
          </w:tcPr>
          <w:p w:rsidR="00C4145D" w:rsidRPr="00E1614E" w:rsidRDefault="00AA5E62" w:rsidP="00AA5E62">
            <w:pPr>
              <w:rPr>
                <w:rFonts w:eastAsia="TimesNewRoman" w:cstheme="minorHAnsi"/>
              </w:rPr>
            </w:pPr>
            <w:r>
              <w:rPr>
                <w:rFonts w:eastAsia="TimesNewRoman" w:cstheme="minorHAnsi"/>
              </w:rPr>
              <w:t>50% cytotoxic concentration</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lastRenderedPageBreak/>
              <w:t>CFR</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Code of Federal Regulations</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CI</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C</w:t>
            </w:r>
            <w:r w:rsidRPr="00E1614E">
              <w:rPr>
                <w:rFonts w:eastAsia="TimesNewRoman" w:cs="TimesNewRoman"/>
                <w:color w:val="auto"/>
              </w:rPr>
              <w:t>onfidence interval</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CL</w:t>
            </w:r>
          </w:p>
        </w:tc>
        <w:tc>
          <w:tcPr>
            <w:tcW w:w="6797" w:type="dxa"/>
          </w:tcPr>
          <w:p w:rsidR="000A4F79" w:rsidRPr="00E1614E" w:rsidRDefault="000A4F79" w:rsidP="000A4F79">
            <w:pPr>
              <w:rPr>
                <w:rFonts w:cstheme="minorHAnsi"/>
                <w:color w:val="auto"/>
              </w:rPr>
            </w:pPr>
            <w:r>
              <w:rPr>
                <w:rFonts w:cstheme="minorHAnsi"/>
                <w:color w:val="auto"/>
              </w:rPr>
              <w:t>C</w:t>
            </w:r>
            <w:r w:rsidRPr="00E1614E">
              <w:rPr>
                <w:rFonts w:cstheme="minorHAnsi"/>
                <w:color w:val="auto"/>
              </w:rPr>
              <w:t>learance</w:t>
            </w:r>
          </w:p>
        </w:tc>
      </w:tr>
      <w:tr w:rsidR="000A4F79" w:rsidRPr="00FD119B" w:rsidTr="000A4F79">
        <w:tc>
          <w:tcPr>
            <w:tcW w:w="1923" w:type="dxa"/>
          </w:tcPr>
          <w:p w:rsidR="000A4F79" w:rsidRPr="00E1614E" w:rsidRDefault="000A4F79" w:rsidP="000A4F79">
            <w:pPr>
              <w:rPr>
                <w:rFonts w:eastAsia="TimesNewRoman" w:cstheme="minorHAnsi"/>
                <w:color w:val="auto"/>
              </w:rPr>
            </w:pPr>
            <w:r w:rsidRPr="00E1614E">
              <w:rPr>
                <w:rFonts w:eastAsia="TimesNewRoman" w:cstheme="minorHAnsi"/>
                <w:color w:val="auto"/>
              </w:rPr>
              <w:t>CL/F</w:t>
            </w:r>
          </w:p>
        </w:tc>
        <w:tc>
          <w:tcPr>
            <w:tcW w:w="6797" w:type="dxa"/>
          </w:tcPr>
          <w:p w:rsidR="000A4F79" w:rsidRPr="00E1614E" w:rsidRDefault="000A4F79" w:rsidP="000A4F79">
            <w:pPr>
              <w:rPr>
                <w:rFonts w:cstheme="minorHAnsi"/>
                <w:color w:val="auto"/>
              </w:rPr>
            </w:pPr>
            <w:r>
              <w:rPr>
                <w:rFonts w:eastAsia="TimesNewRoman" w:cstheme="minorHAnsi"/>
                <w:color w:val="auto"/>
              </w:rPr>
              <w:t>A</w:t>
            </w:r>
            <w:r w:rsidRPr="00E1614E">
              <w:rPr>
                <w:rFonts w:eastAsia="TimesNewRoman" w:cstheme="minorHAnsi"/>
                <w:color w:val="auto"/>
              </w:rPr>
              <w:t>pparent oral clearance after administration of the drug</w:t>
            </w:r>
          </w:p>
        </w:tc>
      </w:tr>
      <w:tr w:rsidR="000A4F79" w:rsidRPr="00FD119B" w:rsidTr="000A4F79">
        <w:tc>
          <w:tcPr>
            <w:tcW w:w="1923" w:type="dxa"/>
          </w:tcPr>
          <w:p w:rsidR="000A4F79" w:rsidRPr="00E1614E" w:rsidRDefault="000A4F79" w:rsidP="000A4F79">
            <w:pPr>
              <w:rPr>
                <w:rFonts w:cstheme="minorHAnsi"/>
                <w:color w:val="auto"/>
              </w:rPr>
            </w:pPr>
            <w:r w:rsidRPr="00E1614E">
              <w:rPr>
                <w:rFonts w:eastAsia="TimesNewRoman" w:cstheme="minorHAnsi"/>
                <w:color w:val="auto"/>
              </w:rPr>
              <w:t>C</w:t>
            </w:r>
            <w:r w:rsidRPr="000A4F79">
              <w:rPr>
                <w:rFonts w:eastAsia="TimesNewRoman" w:cstheme="minorHAnsi"/>
                <w:color w:val="auto"/>
                <w:vertAlign w:val="subscript"/>
              </w:rPr>
              <w:t>last</w:t>
            </w:r>
          </w:p>
        </w:tc>
        <w:tc>
          <w:tcPr>
            <w:tcW w:w="6797" w:type="dxa"/>
          </w:tcPr>
          <w:p w:rsidR="000A4F79" w:rsidRPr="00E1614E" w:rsidRDefault="000A4F79" w:rsidP="000A4F79">
            <w:pPr>
              <w:rPr>
                <w:rFonts w:cstheme="minorHAnsi"/>
                <w:color w:val="auto"/>
              </w:rPr>
            </w:pPr>
            <w:r>
              <w:rPr>
                <w:rFonts w:eastAsia="TimesNewRoman" w:cstheme="minorHAnsi"/>
                <w:color w:val="auto"/>
              </w:rPr>
              <w:t>L</w:t>
            </w:r>
            <w:r w:rsidRPr="00E1614E">
              <w:rPr>
                <w:rFonts w:eastAsia="TimesNewRoman" w:cstheme="minorHAnsi"/>
                <w:color w:val="auto"/>
              </w:rPr>
              <w:t>ast observed quantifiable plasma/serum concentration of the drug</w:t>
            </w:r>
          </w:p>
        </w:tc>
      </w:tr>
      <w:tr w:rsidR="000A4F79" w:rsidRPr="00FD119B" w:rsidTr="000A4F79">
        <w:tc>
          <w:tcPr>
            <w:tcW w:w="1923" w:type="dxa"/>
          </w:tcPr>
          <w:p w:rsidR="000A4F79" w:rsidRPr="00E1614E" w:rsidRDefault="000A4F79" w:rsidP="000A4F79">
            <w:pPr>
              <w:rPr>
                <w:rFonts w:eastAsia="TimesNewRoman" w:cs="TimesNewRoman"/>
                <w:color w:val="auto"/>
              </w:rPr>
            </w:pPr>
            <w:proofErr w:type="spellStart"/>
            <w:r>
              <w:rPr>
                <w:rFonts w:eastAsia="TimesNewRoman" w:cs="TimesNewRoman"/>
                <w:color w:val="auto"/>
              </w:rPr>
              <w:t>CLcr</w:t>
            </w:r>
            <w:proofErr w:type="spellEnd"/>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C</w:t>
            </w:r>
            <w:r w:rsidRPr="00E1614E">
              <w:rPr>
                <w:rFonts w:eastAsia="TimesNewRoman" w:cs="TimesNewRoman"/>
                <w:color w:val="auto"/>
              </w:rPr>
              <w:t>reatinine clearance</w:t>
            </w:r>
          </w:p>
        </w:tc>
      </w:tr>
      <w:tr w:rsidR="000A4F79" w:rsidRPr="00FD119B" w:rsidTr="000A4F79">
        <w:tc>
          <w:tcPr>
            <w:tcW w:w="1923" w:type="dxa"/>
          </w:tcPr>
          <w:p w:rsidR="000A4F79" w:rsidRPr="00E1614E" w:rsidRDefault="000A4F79" w:rsidP="000A4F79">
            <w:pPr>
              <w:rPr>
                <w:rFonts w:eastAsia="TimesNewRoman" w:cs="TimesNewRoman"/>
                <w:color w:val="auto"/>
              </w:rPr>
            </w:pPr>
            <w:proofErr w:type="spellStart"/>
            <w:r>
              <w:rPr>
                <w:rFonts w:eastAsia="TimesNewRoman" w:cs="TimesNewRoman"/>
                <w:color w:val="auto"/>
              </w:rPr>
              <w:t>C</w:t>
            </w:r>
            <w:r w:rsidRPr="000A4F79">
              <w:rPr>
                <w:rFonts w:eastAsia="TimesNewRoman" w:cs="TimesNewRoman"/>
                <w:color w:val="auto"/>
                <w:vertAlign w:val="subscript"/>
              </w:rPr>
              <w:t>max</w:t>
            </w:r>
            <w:proofErr w:type="spellEnd"/>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M</w:t>
            </w:r>
            <w:r w:rsidRPr="00E1614E">
              <w:rPr>
                <w:rFonts w:eastAsia="TimesNewRoman" w:cs="TimesNewRoman"/>
                <w:color w:val="auto"/>
              </w:rPr>
              <w:t>aximum observed plasma/serum concentration of drug</w:t>
            </w:r>
          </w:p>
        </w:tc>
      </w:tr>
      <w:tr w:rsidR="000D04F2" w:rsidRPr="00FD119B" w:rsidTr="000A4F79">
        <w:tc>
          <w:tcPr>
            <w:tcW w:w="1923" w:type="dxa"/>
          </w:tcPr>
          <w:p w:rsidR="000D04F2" w:rsidRDefault="000D04F2" w:rsidP="000A4F79">
            <w:pPr>
              <w:rPr>
                <w:rFonts w:eastAsia="TimesNewRoman" w:cs="TimesNewRoman"/>
              </w:rPr>
            </w:pPr>
            <w:r>
              <w:rPr>
                <w:rFonts w:eastAsia="TimesNewRoman" w:cs="TimesNewRoman"/>
              </w:rPr>
              <w:t>CNS</w:t>
            </w:r>
          </w:p>
        </w:tc>
        <w:tc>
          <w:tcPr>
            <w:tcW w:w="6797" w:type="dxa"/>
          </w:tcPr>
          <w:p w:rsidR="000D04F2" w:rsidRDefault="000D04F2" w:rsidP="000A4F79">
            <w:pPr>
              <w:rPr>
                <w:rFonts w:eastAsia="TimesNewRoman" w:cs="TimesNewRoman"/>
              </w:rPr>
            </w:pPr>
            <w:r>
              <w:rPr>
                <w:rFonts w:eastAsia="TimesNewRoman" w:cs="TimesNewRoman"/>
              </w:rPr>
              <w:t>Central nervous system</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COBI</w:t>
            </w:r>
          </w:p>
        </w:tc>
        <w:tc>
          <w:tcPr>
            <w:tcW w:w="6797" w:type="dxa"/>
          </w:tcPr>
          <w:p w:rsidR="000A4F79" w:rsidRPr="00E1614E" w:rsidRDefault="000A4F79" w:rsidP="000A4F79">
            <w:pPr>
              <w:rPr>
                <w:rFonts w:eastAsia="TimesNewRoman" w:cstheme="minorHAnsi"/>
                <w:color w:val="auto"/>
              </w:rPr>
            </w:pPr>
            <w:r>
              <w:rPr>
                <w:rFonts w:eastAsia="TimesNewRoman" w:cstheme="minorHAnsi"/>
                <w:color w:val="auto"/>
              </w:rPr>
              <w:t>C</w:t>
            </w:r>
            <w:r w:rsidRPr="00E1614E">
              <w:rPr>
                <w:rFonts w:eastAsia="TimesNewRoman" w:cstheme="minorHAnsi"/>
                <w:color w:val="auto"/>
              </w:rPr>
              <w:t>obicistat</w:t>
            </w:r>
          </w:p>
        </w:tc>
      </w:tr>
      <w:tr w:rsidR="000A4F79" w:rsidRPr="00FD119B" w:rsidTr="000A4F79">
        <w:tc>
          <w:tcPr>
            <w:tcW w:w="1923" w:type="dxa"/>
          </w:tcPr>
          <w:p w:rsidR="000A4F79" w:rsidRPr="00E1614E" w:rsidRDefault="000A4F79" w:rsidP="000A4F79">
            <w:pPr>
              <w:rPr>
                <w:rFonts w:cstheme="minorHAnsi"/>
                <w:color w:val="auto"/>
              </w:rPr>
            </w:pPr>
            <w:proofErr w:type="spellStart"/>
            <w:r w:rsidRPr="00E1614E">
              <w:rPr>
                <w:rFonts w:cstheme="minorHAnsi"/>
                <w:color w:val="auto"/>
              </w:rPr>
              <w:t>CsA</w:t>
            </w:r>
            <w:proofErr w:type="spellEnd"/>
          </w:p>
        </w:tc>
        <w:tc>
          <w:tcPr>
            <w:tcW w:w="6797" w:type="dxa"/>
          </w:tcPr>
          <w:p w:rsidR="000A4F79" w:rsidRPr="00E1614E" w:rsidRDefault="000A4F79" w:rsidP="000A4F79">
            <w:pPr>
              <w:rPr>
                <w:color w:val="auto"/>
              </w:rPr>
            </w:pPr>
            <w:proofErr w:type="spellStart"/>
            <w:r>
              <w:rPr>
                <w:color w:val="auto"/>
              </w:rPr>
              <w:t>C</w:t>
            </w:r>
            <w:r w:rsidRPr="00E1614E">
              <w:rPr>
                <w:color w:val="auto"/>
              </w:rPr>
              <w:t>yclosporin</w:t>
            </w:r>
            <w:proofErr w:type="spellEnd"/>
            <w:r w:rsidRPr="00E1614E">
              <w:rPr>
                <w:color w:val="auto"/>
              </w:rPr>
              <w:t xml:space="preserve"> A</w:t>
            </w:r>
          </w:p>
        </w:tc>
      </w:tr>
      <w:tr w:rsidR="000A4F79" w:rsidRPr="00FD119B" w:rsidTr="000A4F79">
        <w:tc>
          <w:tcPr>
            <w:tcW w:w="1923" w:type="dxa"/>
          </w:tcPr>
          <w:p w:rsidR="000A4F79" w:rsidRPr="00E1614E" w:rsidRDefault="000A4F79" w:rsidP="000A4F79">
            <w:pPr>
              <w:rPr>
                <w:rFonts w:cstheme="minorHAnsi"/>
                <w:color w:val="auto"/>
                <w:vertAlign w:val="subscript"/>
              </w:rPr>
            </w:pPr>
            <w:proofErr w:type="spellStart"/>
            <w:r w:rsidRPr="00E1614E">
              <w:rPr>
                <w:rFonts w:cstheme="minorHAnsi"/>
                <w:color w:val="auto"/>
              </w:rPr>
              <w:t>C</w:t>
            </w:r>
            <w:r w:rsidRPr="00E1614E">
              <w:rPr>
                <w:rFonts w:cstheme="minorHAnsi"/>
                <w:color w:val="auto"/>
                <w:vertAlign w:val="subscript"/>
              </w:rPr>
              <w:t>tau</w:t>
            </w:r>
            <w:proofErr w:type="spellEnd"/>
          </w:p>
        </w:tc>
        <w:tc>
          <w:tcPr>
            <w:tcW w:w="6797" w:type="dxa"/>
          </w:tcPr>
          <w:p w:rsidR="000A4F79" w:rsidRPr="00E1614E" w:rsidRDefault="000A4F79" w:rsidP="000A4F79">
            <w:pPr>
              <w:rPr>
                <w:color w:val="auto"/>
              </w:rPr>
            </w:pPr>
            <w:r>
              <w:rPr>
                <w:color w:val="auto"/>
              </w:rPr>
              <w:t>O</w:t>
            </w:r>
            <w:r w:rsidRPr="00E1614E">
              <w:rPr>
                <w:color w:val="auto"/>
              </w:rPr>
              <w:t>bserved drug concentration at the end of the dosing interval</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CYP</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C</w:t>
            </w:r>
            <w:r w:rsidRPr="00E1614E">
              <w:rPr>
                <w:rFonts w:eastAsia="TimesNewRoman" w:cs="TimesNewRoman"/>
                <w:color w:val="auto"/>
              </w:rPr>
              <w:t>ytochrome P450 enzyme</w:t>
            </w:r>
          </w:p>
        </w:tc>
      </w:tr>
      <w:tr w:rsidR="00476CD0" w:rsidRPr="00FD119B" w:rsidTr="000A4F79">
        <w:tc>
          <w:tcPr>
            <w:tcW w:w="1923" w:type="dxa"/>
          </w:tcPr>
          <w:p w:rsidR="00476CD0" w:rsidRDefault="00476CD0" w:rsidP="000A4F79">
            <w:pPr>
              <w:rPr>
                <w:rFonts w:eastAsia="TimesNewRoman" w:cs="TimesNewRoman"/>
              </w:rPr>
            </w:pPr>
            <w:r>
              <w:t>CYP3A4</w:t>
            </w:r>
          </w:p>
        </w:tc>
        <w:tc>
          <w:tcPr>
            <w:tcW w:w="6797" w:type="dxa"/>
          </w:tcPr>
          <w:p w:rsidR="00476CD0" w:rsidRDefault="00476CD0" w:rsidP="00476CD0">
            <w:pPr>
              <w:rPr>
                <w:rFonts w:eastAsia="TimesNewRoman" w:cs="TimesNewRoman"/>
              </w:rPr>
            </w:pPr>
            <w:r>
              <w:t>Cytochrome P450 3A4</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DAA</w:t>
            </w:r>
          </w:p>
        </w:tc>
        <w:tc>
          <w:tcPr>
            <w:tcW w:w="6797" w:type="dxa"/>
          </w:tcPr>
          <w:p w:rsidR="000A4F79" w:rsidRPr="00E1614E" w:rsidRDefault="00D43BF2" w:rsidP="000A4F79">
            <w:pPr>
              <w:rPr>
                <w:rFonts w:eastAsia="TimesNewRoman" w:cs="TimesNewRoman"/>
                <w:color w:val="auto"/>
              </w:rPr>
            </w:pPr>
            <w:r>
              <w:rPr>
                <w:rFonts w:eastAsia="TimesNewRoman" w:cs="TimesNewRoman"/>
                <w:color w:val="auto"/>
              </w:rPr>
              <w:t>Direct acting</w:t>
            </w:r>
            <w:r w:rsidR="000A4F79" w:rsidRPr="00E1614E">
              <w:rPr>
                <w:rFonts w:eastAsia="TimesNewRoman" w:cs="TimesNewRoman"/>
                <w:color w:val="auto"/>
              </w:rPr>
              <w:t xml:space="preserve"> antiviral</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DAB</w:t>
            </w:r>
          </w:p>
        </w:tc>
        <w:tc>
          <w:tcPr>
            <w:tcW w:w="6797" w:type="dxa"/>
          </w:tcPr>
          <w:p w:rsidR="000A4F79" w:rsidRPr="00E1614E" w:rsidRDefault="000A4F79" w:rsidP="000A4F79">
            <w:pPr>
              <w:rPr>
                <w:rFonts w:eastAsia="TimesNewRoman" w:cstheme="minorHAnsi"/>
                <w:color w:val="auto"/>
              </w:rPr>
            </w:pPr>
            <w:r>
              <w:rPr>
                <w:color w:val="auto"/>
              </w:rPr>
              <w:t>D</w:t>
            </w:r>
            <w:r w:rsidRPr="00E1614E">
              <w:rPr>
                <w:color w:val="auto"/>
              </w:rPr>
              <w:t xml:space="preserve">abigatran </w:t>
            </w:r>
            <w:proofErr w:type="spellStart"/>
            <w:r w:rsidRPr="00E1614E">
              <w:rPr>
                <w:color w:val="auto"/>
              </w:rPr>
              <w:t>etexilate</w:t>
            </w:r>
            <w:proofErr w:type="spellEnd"/>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DCV</w:t>
            </w:r>
          </w:p>
        </w:tc>
        <w:tc>
          <w:tcPr>
            <w:tcW w:w="6797" w:type="dxa"/>
          </w:tcPr>
          <w:p w:rsidR="000A4F79" w:rsidRPr="00E1614E" w:rsidRDefault="000A4F79" w:rsidP="000A4F79">
            <w:pPr>
              <w:rPr>
                <w:rFonts w:eastAsia="TimesNewRoman" w:cs="TimesNewRoman"/>
                <w:color w:val="auto"/>
              </w:rPr>
            </w:pPr>
            <w:proofErr w:type="spellStart"/>
            <w:r>
              <w:rPr>
                <w:rFonts w:eastAsia="TimesNewRoman" w:cs="TimesNewRoman"/>
                <w:color w:val="auto"/>
              </w:rPr>
              <w:t>D</w:t>
            </w:r>
            <w:r w:rsidRPr="00E1614E">
              <w:rPr>
                <w:rFonts w:eastAsia="TimesNewRoman" w:cs="TimesNewRoman"/>
                <w:color w:val="auto"/>
              </w:rPr>
              <w:t>aclatasvir</w:t>
            </w:r>
            <w:proofErr w:type="spellEnd"/>
            <w:r w:rsidRPr="00E1614E">
              <w:rPr>
                <w:rFonts w:eastAsia="TimesNewRoman" w:cs="TimesNewRoman"/>
                <w:color w:val="auto"/>
              </w:rPr>
              <w:t xml:space="preserve"> (</w:t>
            </w:r>
            <w:r w:rsidR="00A2119F">
              <w:rPr>
                <w:rFonts w:eastAsia="TimesNewRoman" w:cs="TimesNewRoman"/>
                <w:color w:val="auto"/>
              </w:rPr>
              <w:t xml:space="preserve">drug development name: </w:t>
            </w:r>
            <w:r w:rsidRPr="00E1614E">
              <w:rPr>
                <w:rFonts w:eastAsia="TimesNewRoman" w:cs="TimesNewRoman"/>
                <w:color w:val="auto"/>
              </w:rPr>
              <w:t>BMS-790052)</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DDI</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D</w:t>
            </w:r>
            <w:r w:rsidRPr="00E1614E">
              <w:rPr>
                <w:rFonts w:eastAsia="TimesNewRoman" w:cs="TimesNewRoman"/>
                <w:color w:val="auto"/>
              </w:rPr>
              <w:t>rug-drug interaction</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DILI</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D</w:t>
            </w:r>
            <w:r w:rsidRPr="00E1614E">
              <w:rPr>
                <w:rFonts w:eastAsia="TimesNewRoman" w:cs="TimesNewRoman"/>
                <w:color w:val="auto"/>
              </w:rPr>
              <w:t>rug-induced liver injury</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DRV</w:t>
            </w:r>
          </w:p>
        </w:tc>
        <w:tc>
          <w:tcPr>
            <w:tcW w:w="6797" w:type="dxa"/>
          </w:tcPr>
          <w:p w:rsidR="000A4F79" w:rsidRPr="00E1614E" w:rsidRDefault="000A4F79" w:rsidP="000A4F79">
            <w:pPr>
              <w:rPr>
                <w:rFonts w:eastAsia="TimesNewRoman" w:cstheme="minorHAnsi"/>
                <w:color w:val="auto"/>
              </w:rPr>
            </w:pPr>
            <w:r>
              <w:rPr>
                <w:rFonts w:eastAsia="TimesNewRoman" w:cstheme="minorHAnsi"/>
                <w:color w:val="auto"/>
              </w:rPr>
              <w:t>D</w:t>
            </w:r>
            <w:r w:rsidRPr="00E1614E">
              <w:rPr>
                <w:rFonts w:eastAsia="TimesNewRoman" w:cstheme="minorHAnsi"/>
                <w:color w:val="auto"/>
              </w:rPr>
              <w:t>arunavir</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DRV/r</w:t>
            </w:r>
          </w:p>
        </w:tc>
        <w:tc>
          <w:tcPr>
            <w:tcW w:w="6797" w:type="dxa"/>
          </w:tcPr>
          <w:p w:rsidR="000A4F79" w:rsidRPr="00E1614E" w:rsidRDefault="000A4F79" w:rsidP="000A4F79">
            <w:pPr>
              <w:rPr>
                <w:rFonts w:eastAsia="TimesNewRoman" w:cstheme="minorHAnsi"/>
                <w:color w:val="auto"/>
              </w:rPr>
            </w:pPr>
            <w:r>
              <w:rPr>
                <w:color w:val="auto"/>
              </w:rPr>
              <w:t>R</w:t>
            </w:r>
            <w:r w:rsidRPr="00E1614E">
              <w:rPr>
                <w:color w:val="auto"/>
              </w:rPr>
              <w:t>itonavir-boosted darunavir</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EASL</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European Association for the Study of the Liver</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EC</w:t>
            </w:r>
            <w:r w:rsidRPr="00C4145D">
              <w:rPr>
                <w:rFonts w:eastAsia="TimesNewRoman" w:cs="TimesNewRoman"/>
                <w:color w:val="auto"/>
                <w:vertAlign w:val="subscript"/>
              </w:rPr>
              <w:t>50</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H</w:t>
            </w:r>
            <w:r w:rsidRPr="00E1614E">
              <w:rPr>
                <w:rFonts w:eastAsia="TimesNewRoman" w:cs="TimesNewRoman"/>
                <w:color w:val="auto"/>
              </w:rPr>
              <w:t>alf-maximal effective concentration</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EE</w:t>
            </w:r>
          </w:p>
        </w:tc>
        <w:tc>
          <w:tcPr>
            <w:tcW w:w="6797" w:type="dxa"/>
          </w:tcPr>
          <w:p w:rsidR="000A4F79" w:rsidRPr="00E1614E" w:rsidRDefault="000A4F79" w:rsidP="000A4F79">
            <w:pPr>
              <w:rPr>
                <w:rFonts w:eastAsia="TimesNewRoman" w:cstheme="minorHAnsi"/>
                <w:color w:val="auto"/>
              </w:rPr>
            </w:pPr>
            <w:proofErr w:type="spellStart"/>
            <w:r>
              <w:rPr>
                <w:color w:val="auto"/>
              </w:rPr>
              <w:t>E</w:t>
            </w:r>
            <w:r w:rsidRPr="00E1614E">
              <w:rPr>
                <w:color w:val="auto"/>
              </w:rPr>
              <w:t>thinyl</w:t>
            </w:r>
            <w:proofErr w:type="spellEnd"/>
            <w:r w:rsidRPr="00E1614E">
              <w:rPr>
                <w:color w:val="auto"/>
              </w:rPr>
              <w:t xml:space="preserve"> </w:t>
            </w:r>
            <w:proofErr w:type="spellStart"/>
            <w:r w:rsidRPr="00E1614E">
              <w:rPr>
                <w:color w:val="auto"/>
              </w:rPr>
              <w:t>estradiol</w:t>
            </w:r>
            <w:proofErr w:type="spellEnd"/>
          </w:p>
        </w:tc>
      </w:tr>
      <w:tr w:rsidR="000A4F79" w:rsidRPr="00FD119B" w:rsidTr="000A4F79">
        <w:tc>
          <w:tcPr>
            <w:tcW w:w="1923" w:type="dxa"/>
          </w:tcPr>
          <w:p w:rsidR="000A4F79" w:rsidRPr="00E1614E" w:rsidRDefault="000A4F79" w:rsidP="000A4F79">
            <w:pPr>
              <w:rPr>
                <w:rFonts w:eastAsia="TimesNewRoman" w:cs="TimesNewRoman"/>
                <w:color w:val="auto"/>
              </w:rPr>
            </w:pPr>
            <w:proofErr w:type="spellStart"/>
            <w:r>
              <w:rPr>
                <w:rFonts w:eastAsia="TimesNewRoman" w:cs="TimesNewRoman"/>
                <w:color w:val="auto"/>
              </w:rPr>
              <w:t>eGFR</w:t>
            </w:r>
            <w:proofErr w:type="spellEnd"/>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E</w:t>
            </w:r>
            <w:r w:rsidRPr="00E1614E">
              <w:rPr>
                <w:rFonts w:eastAsia="TimesNewRoman" w:cs="TimesNewRoman"/>
                <w:color w:val="auto"/>
              </w:rPr>
              <w:t>stimated glomerular filtration rate</w:t>
            </w:r>
          </w:p>
        </w:tc>
      </w:tr>
      <w:tr w:rsidR="000A4F79" w:rsidRPr="00FD119B" w:rsidTr="000A4F79">
        <w:tc>
          <w:tcPr>
            <w:tcW w:w="1923" w:type="dxa"/>
          </w:tcPr>
          <w:p w:rsidR="000A4F79" w:rsidRPr="00E1614E" w:rsidRDefault="00CE0E69" w:rsidP="000A4F79">
            <w:pPr>
              <w:rPr>
                <w:rFonts w:eastAsia="TimesNewRoman" w:cs="TimesNewRoman"/>
                <w:color w:val="auto"/>
              </w:rPr>
            </w:pPr>
            <w:proofErr w:type="spellStart"/>
            <w:r w:rsidRPr="003B4920">
              <w:t>E</w:t>
            </w:r>
            <w:r w:rsidRPr="00CE0E69">
              <w:rPr>
                <w:vertAlign w:val="subscript"/>
              </w:rPr>
              <w:t>max</w:t>
            </w:r>
            <w:proofErr w:type="spellEnd"/>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M</w:t>
            </w:r>
            <w:r w:rsidRPr="00E1614E">
              <w:rPr>
                <w:rFonts w:eastAsia="TimesNewRoman" w:cs="TimesNewRoman"/>
                <w:color w:val="auto"/>
              </w:rPr>
              <w:t>a</w:t>
            </w:r>
            <w:r w:rsidR="00AA624F">
              <w:rPr>
                <w:rFonts w:eastAsia="TimesNewRoman" w:cs="TimesNewRoman"/>
                <w:color w:val="auto"/>
              </w:rPr>
              <w:t>ximum (pharmacodynamics) effect</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lastRenderedPageBreak/>
              <w:t>EU</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European Union</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EVG</w:t>
            </w:r>
          </w:p>
        </w:tc>
        <w:tc>
          <w:tcPr>
            <w:tcW w:w="6797" w:type="dxa"/>
          </w:tcPr>
          <w:p w:rsidR="000A4F79" w:rsidRPr="00E1614E" w:rsidRDefault="000A4F79" w:rsidP="000A4F79">
            <w:pPr>
              <w:rPr>
                <w:rFonts w:cstheme="minorHAnsi"/>
                <w:color w:val="auto"/>
              </w:rPr>
            </w:pPr>
            <w:r>
              <w:rPr>
                <w:rFonts w:eastAsia="TimesNewRoman" w:cstheme="minorHAnsi"/>
                <w:color w:val="auto"/>
              </w:rPr>
              <w:t>E</w:t>
            </w:r>
            <w:r w:rsidRPr="00E1614E">
              <w:rPr>
                <w:rFonts w:eastAsia="TimesNewRoman" w:cstheme="minorHAnsi"/>
                <w:color w:val="auto"/>
              </w:rPr>
              <w:t>lvitegravir</w:t>
            </w:r>
          </w:p>
        </w:tc>
      </w:tr>
      <w:tr w:rsidR="000A4F79" w:rsidRPr="00FD119B" w:rsidTr="000A4F79">
        <w:tc>
          <w:tcPr>
            <w:tcW w:w="1923" w:type="dxa"/>
          </w:tcPr>
          <w:p w:rsidR="000A4F79" w:rsidRPr="00E1614E" w:rsidRDefault="000A4F79" w:rsidP="000A4F79">
            <w:pPr>
              <w:rPr>
                <w:rFonts w:cstheme="minorHAnsi"/>
                <w:color w:val="auto"/>
              </w:rPr>
            </w:pPr>
            <w:r>
              <w:rPr>
                <w:rFonts w:cstheme="minorHAnsi"/>
                <w:color w:val="auto"/>
              </w:rPr>
              <w:t>EVG/c</w:t>
            </w:r>
          </w:p>
        </w:tc>
        <w:tc>
          <w:tcPr>
            <w:tcW w:w="6797" w:type="dxa"/>
          </w:tcPr>
          <w:p w:rsidR="000A4F79" w:rsidRPr="00E1614E" w:rsidRDefault="000A4F79" w:rsidP="000A4F79">
            <w:pPr>
              <w:rPr>
                <w:rFonts w:cstheme="minorHAnsi"/>
                <w:color w:val="auto"/>
              </w:rPr>
            </w:pPr>
            <w:r>
              <w:rPr>
                <w:color w:val="auto"/>
              </w:rPr>
              <w:t>C</w:t>
            </w:r>
            <w:r w:rsidRPr="00E1614E">
              <w:rPr>
                <w:color w:val="auto"/>
              </w:rPr>
              <w:t>obicistat-boosted elvitegravir</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FDA</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Food and Drug Administration</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FDC</w:t>
            </w:r>
          </w:p>
        </w:tc>
        <w:tc>
          <w:tcPr>
            <w:tcW w:w="6797" w:type="dxa"/>
          </w:tcPr>
          <w:p w:rsidR="000A4F79" w:rsidRPr="00E1614E" w:rsidRDefault="00D43BF2" w:rsidP="000A4F79">
            <w:pPr>
              <w:rPr>
                <w:rFonts w:eastAsia="TimesNewRoman" w:cs="TimesNewRoman"/>
                <w:color w:val="auto"/>
              </w:rPr>
            </w:pPr>
            <w:r>
              <w:rPr>
                <w:rFonts w:eastAsia="TimesNewRoman" w:cs="TimesNewRoman"/>
                <w:color w:val="auto"/>
              </w:rPr>
              <w:t>Fixed dose</w:t>
            </w:r>
            <w:r w:rsidR="000A4F79" w:rsidRPr="00E1614E">
              <w:rPr>
                <w:rFonts w:eastAsia="TimesNewRoman" w:cs="TimesNewRoman"/>
                <w:color w:val="auto"/>
              </w:rPr>
              <w:t xml:space="preserve"> combination</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FTC</w:t>
            </w:r>
          </w:p>
        </w:tc>
        <w:tc>
          <w:tcPr>
            <w:tcW w:w="6797" w:type="dxa"/>
          </w:tcPr>
          <w:p w:rsidR="000A4F79" w:rsidRPr="00E1614E" w:rsidRDefault="000A4F79" w:rsidP="000A4F79">
            <w:pPr>
              <w:rPr>
                <w:rFonts w:cstheme="minorHAnsi"/>
                <w:color w:val="auto"/>
              </w:rPr>
            </w:pPr>
            <w:r>
              <w:rPr>
                <w:rFonts w:eastAsia="TimesNewRoman" w:cstheme="minorHAnsi"/>
                <w:color w:val="auto"/>
              </w:rPr>
              <w:t>E</w:t>
            </w:r>
            <w:r w:rsidRPr="00E1614E">
              <w:rPr>
                <w:rFonts w:eastAsia="TimesNewRoman" w:cstheme="minorHAnsi"/>
                <w:color w:val="auto"/>
              </w:rPr>
              <w:t>mtricitabine</w:t>
            </w:r>
          </w:p>
        </w:tc>
      </w:tr>
      <w:tr w:rsidR="00020AA8" w:rsidRPr="00FD119B" w:rsidTr="000A4F79">
        <w:tc>
          <w:tcPr>
            <w:tcW w:w="1923" w:type="dxa"/>
          </w:tcPr>
          <w:p w:rsidR="00020AA8" w:rsidRPr="00E1614E" w:rsidRDefault="00020AA8" w:rsidP="000A4F79">
            <w:pPr>
              <w:rPr>
                <w:rFonts w:cstheme="minorHAnsi"/>
              </w:rPr>
            </w:pPr>
            <w:r>
              <w:rPr>
                <w:rFonts w:cstheme="minorHAnsi"/>
              </w:rPr>
              <w:t>GI</w:t>
            </w:r>
          </w:p>
        </w:tc>
        <w:tc>
          <w:tcPr>
            <w:tcW w:w="6797" w:type="dxa"/>
          </w:tcPr>
          <w:p w:rsidR="00020AA8" w:rsidRDefault="00020AA8" w:rsidP="000A4F79">
            <w:pPr>
              <w:rPr>
                <w:rFonts w:eastAsia="TimesNewRoman" w:cstheme="minorHAnsi"/>
              </w:rPr>
            </w:pPr>
            <w:r>
              <w:rPr>
                <w:rFonts w:eastAsia="TimesNewRoman" w:cstheme="minorHAnsi"/>
              </w:rPr>
              <w:t>Gastrointestinal</w:t>
            </w:r>
          </w:p>
        </w:tc>
      </w:tr>
      <w:tr w:rsidR="00D11551" w:rsidRPr="00FD119B" w:rsidTr="000A4F79">
        <w:tc>
          <w:tcPr>
            <w:tcW w:w="1923" w:type="dxa"/>
          </w:tcPr>
          <w:p w:rsidR="00D11551" w:rsidRDefault="00D11551" w:rsidP="000A4F79">
            <w:pPr>
              <w:rPr>
                <w:rFonts w:eastAsia="TimesNewRoman" w:cs="TimesNewRoman"/>
              </w:rPr>
            </w:pPr>
            <w:r>
              <w:rPr>
                <w:rFonts w:eastAsia="TimesNewRoman" w:cs="TimesNewRoman"/>
              </w:rPr>
              <w:t>GLP</w:t>
            </w:r>
          </w:p>
        </w:tc>
        <w:tc>
          <w:tcPr>
            <w:tcW w:w="6797" w:type="dxa"/>
          </w:tcPr>
          <w:p w:rsidR="00D11551" w:rsidRDefault="00D11551" w:rsidP="000A4F79">
            <w:pPr>
              <w:rPr>
                <w:rFonts w:eastAsia="TimesNewRoman" w:cs="TimesNewRoman"/>
              </w:rPr>
            </w:pPr>
            <w:r>
              <w:rPr>
                <w:rFonts w:eastAsia="TimesNewRoman" w:cs="TimesNewRoman"/>
              </w:rPr>
              <w:t>Good Laboratory Practice</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GLSM</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G</w:t>
            </w:r>
            <w:r w:rsidRPr="00E1614E">
              <w:rPr>
                <w:rFonts w:eastAsia="TimesNewRoman" w:cs="TimesNewRoman"/>
                <w:color w:val="auto"/>
              </w:rPr>
              <w:t>eometric least-squares mean</w:t>
            </w:r>
          </w:p>
        </w:tc>
      </w:tr>
      <w:tr w:rsidR="00507436" w:rsidRPr="00FD119B" w:rsidTr="000A4F79">
        <w:tc>
          <w:tcPr>
            <w:tcW w:w="1923" w:type="dxa"/>
          </w:tcPr>
          <w:p w:rsidR="00507436" w:rsidRDefault="00507436" w:rsidP="000A4F79">
            <w:pPr>
              <w:rPr>
                <w:rFonts w:eastAsia="TimesNewRoman" w:cs="TimesNewRoman"/>
              </w:rPr>
            </w:pPr>
            <w:r>
              <w:rPr>
                <w:rFonts w:eastAsia="TimesNewRoman" w:cs="TimesNewRoman"/>
              </w:rPr>
              <w:t>GT</w:t>
            </w:r>
          </w:p>
        </w:tc>
        <w:tc>
          <w:tcPr>
            <w:tcW w:w="6797" w:type="dxa"/>
          </w:tcPr>
          <w:p w:rsidR="00507436" w:rsidRDefault="00A2119F" w:rsidP="000A4F79">
            <w:pPr>
              <w:rPr>
                <w:rFonts w:eastAsia="TimesNewRoman" w:cs="TimesNewRoman"/>
              </w:rPr>
            </w:pPr>
            <w:r>
              <w:rPr>
                <w:rFonts w:eastAsia="TimesNewRoman" w:cs="TimesNewRoman"/>
              </w:rPr>
              <w:t>G</w:t>
            </w:r>
            <w:r w:rsidR="00507436">
              <w:rPr>
                <w:rFonts w:eastAsia="TimesNewRoman" w:cs="TimesNewRoman"/>
              </w:rPr>
              <w:t>enotype</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H2RA</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H2-receptor antagonist</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HCC</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H</w:t>
            </w:r>
            <w:r w:rsidRPr="00E1614E">
              <w:rPr>
                <w:rFonts w:eastAsia="TimesNewRoman" w:cs="TimesNewRoman"/>
                <w:color w:val="auto"/>
              </w:rPr>
              <w:t>epatocellular carcinoma</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HCV</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H</w:t>
            </w:r>
            <w:r w:rsidRPr="00E1614E">
              <w:rPr>
                <w:rFonts w:eastAsia="TimesNewRoman" w:cs="TimesNewRoman"/>
                <w:color w:val="auto"/>
              </w:rPr>
              <w:t>epatitis C virus</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HIV</w:t>
            </w:r>
            <w:r w:rsidR="00A2119F">
              <w:rPr>
                <w:rFonts w:eastAsia="TimesNewRoman" w:cs="TimesNewRoman"/>
                <w:color w:val="auto"/>
              </w:rPr>
              <w:t>;</w:t>
            </w:r>
            <w:r>
              <w:rPr>
                <w:rFonts w:eastAsia="TimesNewRoman" w:cs="TimesNewRoman"/>
                <w:color w:val="auto"/>
              </w:rPr>
              <w:t xml:space="preserve"> HIV-1</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H</w:t>
            </w:r>
            <w:r w:rsidRPr="00E1614E">
              <w:rPr>
                <w:rFonts w:eastAsia="TimesNewRoman" w:cs="TimesNewRoman"/>
                <w:color w:val="auto"/>
              </w:rPr>
              <w:t>uman immunodeficiency virus, type 1</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IAC</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Independent Adjudication Committee</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ICH</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International Council for Harmonisation (of Technical Requirements of Pharmaceuticals for Human Use)</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IDSA</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Infectious Diseases Society of America</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IL28B</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IL28B gene</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INF</w:t>
            </w:r>
          </w:p>
        </w:tc>
        <w:tc>
          <w:tcPr>
            <w:tcW w:w="6797" w:type="dxa"/>
          </w:tcPr>
          <w:p w:rsidR="000A4F79" w:rsidRPr="00E1614E" w:rsidRDefault="000A4F79" w:rsidP="000A4F79">
            <w:pPr>
              <w:rPr>
                <w:rFonts w:cstheme="minorHAnsi"/>
                <w:color w:val="auto"/>
              </w:rPr>
            </w:pPr>
            <w:r>
              <w:rPr>
                <w:color w:val="auto"/>
              </w:rPr>
              <w:t>I</w:t>
            </w:r>
            <w:r w:rsidRPr="00E1614E">
              <w:rPr>
                <w:color w:val="auto"/>
              </w:rPr>
              <w:t>nterferon</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INSTI</w:t>
            </w:r>
          </w:p>
        </w:tc>
        <w:tc>
          <w:tcPr>
            <w:tcW w:w="6797" w:type="dxa"/>
          </w:tcPr>
          <w:p w:rsidR="000A4F79" w:rsidRPr="00E1614E" w:rsidRDefault="000A4F79" w:rsidP="000A4F79">
            <w:pPr>
              <w:rPr>
                <w:rFonts w:cstheme="minorHAnsi"/>
                <w:color w:val="auto"/>
              </w:rPr>
            </w:pPr>
            <w:r w:rsidRPr="00E1614E">
              <w:rPr>
                <w:color w:val="auto"/>
              </w:rPr>
              <w:t>HIV integrase strand transfer inhibitor</w:t>
            </w:r>
          </w:p>
        </w:tc>
      </w:tr>
      <w:tr w:rsidR="000A4F79" w:rsidRPr="00FD119B" w:rsidTr="000A4F79">
        <w:tc>
          <w:tcPr>
            <w:tcW w:w="1923" w:type="dxa"/>
          </w:tcPr>
          <w:p w:rsidR="000A4F79" w:rsidRPr="00E1614E" w:rsidRDefault="000A4F79" w:rsidP="000A4F79">
            <w:pPr>
              <w:rPr>
                <w:rFonts w:cstheme="minorHAnsi"/>
                <w:color w:val="auto"/>
              </w:rPr>
            </w:pPr>
            <w:proofErr w:type="spellStart"/>
            <w:r w:rsidRPr="00E1614E">
              <w:rPr>
                <w:rFonts w:cstheme="minorHAnsi"/>
                <w:color w:val="auto"/>
              </w:rPr>
              <w:t>Ka</w:t>
            </w:r>
            <w:proofErr w:type="spellEnd"/>
          </w:p>
        </w:tc>
        <w:tc>
          <w:tcPr>
            <w:tcW w:w="6797" w:type="dxa"/>
          </w:tcPr>
          <w:p w:rsidR="000A4F79" w:rsidRPr="00E1614E" w:rsidRDefault="000A4F79" w:rsidP="000A4F79">
            <w:pPr>
              <w:rPr>
                <w:rFonts w:cstheme="minorHAnsi"/>
                <w:color w:val="auto"/>
              </w:rPr>
            </w:pPr>
            <w:r>
              <w:rPr>
                <w:color w:val="auto"/>
              </w:rPr>
              <w:t>A</w:t>
            </w:r>
            <w:r w:rsidRPr="00E1614E">
              <w:rPr>
                <w:color w:val="auto"/>
              </w:rPr>
              <w:t>bsorption rate constant</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LDV</w:t>
            </w:r>
          </w:p>
        </w:tc>
        <w:tc>
          <w:tcPr>
            <w:tcW w:w="6797" w:type="dxa"/>
          </w:tcPr>
          <w:p w:rsidR="000A4F79" w:rsidRPr="00E1614E" w:rsidRDefault="00EB0395" w:rsidP="000A4F79">
            <w:pPr>
              <w:rPr>
                <w:rFonts w:eastAsia="TimesNewRoman" w:cs="TimesNewRoman"/>
                <w:color w:val="auto"/>
              </w:rPr>
            </w:pPr>
            <w:r>
              <w:rPr>
                <w:rFonts w:eastAsia="TimesNewRoman" w:cs="TimesNewRoman"/>
                <w:color w:val="auto"/>
              </w:rPr>
              <w:t>L</w:t>
            </w:r>
            <w:r w:rsidRPr="00E1614E">
              <w:rPr>
                <w:rFonts w:eastAsia="TimesNewRoman" w:cs="TimesNewRoman"/>
                <w:color w:val="auto"/>
              </w:rPr>
              <w:t>edipasvir/sofosbuvir (co</w:t>
            </w:r>
            <w:r>
              <w:rPr>
                <w:rFonts w:eastAsia="TimesNewRoman" w:cs="TimesNewRoman"/>
                <w:color w:val="auto"/>
              </w:rPr>
              <w:t>-</w:t>
            </w:r>
            <w:r w:rsidRPr="00E1614E">
              <w:rPr>
                <w:rFonts w:eastAsia="TimesNewRoman" w:cs="TimesNewRoman"/>
                <w:color w:val="auto"/>
              </w:rPr>
              <w:t xml:space="preserve">formulated; </w:t>
            </w:r>
            <w:r w:rsidR="00A2119F">
              <w:rPr>
                <w:rFonts w:eastAsia="TimesNewRoman" w:cs="TimesNewRoman"/>
                <w:color w:val="auto"/>
              </w:rPr>
              <w:t xml:space="preserve">product name: </w:t>
            </w:r>
            <w:r w:rsidRPr="00E1614E">
              <w:rPr>
                <w:rFonts w:eastAsia="TimesNewRoman" w:cs="TimesNewRoman"/>
                <w:color w:val="auto"/>
              </w:rPr>
              <w:t>Harvoni)</w:t>
            </w:r>
            <w:r w:rsidR="00A2119F">
              <w:rPr>
                <w:rFonts w:eastAsia="TimesNewRoman" w:cs="TimesNewRoman"/>
                <w:color w:val="auto"/>
              </w:rPr>
              <w:t xml:space="preserve"> </w:t>
            </w:r>
            <w:r w:rsidR="000A4F79">
              <w:rPr>
                <w:rFonts w:eastAsia="TimesNewRoman" w:cs="TimesNewRoman"/>
                <w:color w:val="auto"/>
              </w:rPr>
              <w:t>L</w:t>
            </w:r>
            <w:r w:rsidR="000A4F79" w:rsidRPr="00E1614E">
              <w:rPr>
                <w:rFonts w:eastAsia="TimesNewRoman" w:cs="TimesNewRoman"/>
                <w:color w:val="auto"/>
              </w:rPr>
              <w:t>edipasvir (</w:t>
            </w:r>
            <w:r w:rsidR="00A2119F">
              <w:rPr>
                <w:rFonts w:eastAsia="TimesNewRoman" w:cs="TimesNewRoman"/>
                <w:color w:val="auto"/>
              </w:rPr>
              <w:t xml:space="preserve">drug development name: </w:t>
            </w:r>
            <w:r w:rsidR="000A4F79" w:rsidRPr="00E1614E">
              <w:rPr>
                <w:rFonts w:eastAsia="TimesNewRoman" w:cs="TimesNewRoman"/>
                <w:color w:val="auto"/>
              </w:rPr>
              <w:t>GS</w:t>
            </w:r>
            <w:r w:rsidR="00A2119F">
              <w:rPr>
                <w:rFonts w:eastAsia="TimesNewRoman" w:cs="TimesNewRoman"/>
                <w:color w:val="auto"/>
              </w:rPr>
              <w:noBreakHyphen/>
            </w:r>
            <w:r w:rsidR="000A4F79" w:rsidRPr="00E1614E">
              <w:rPr>
                <w:rFonts w:eastAsia="TimesNewRoman" w:cs="TimesNewRoman"/>
                <w:color w:val="auto"/>
              </w:rPr>
              <w:t>5885)</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LDV/SOF</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L</w:t>
            </w:r>
            <w:r w:rsidRPr="00E1614E">
              <w:rPr>
                <w:rFonts w:eastAsia="TimesNewRoman" w:cs="TimesNewRoman"/>
                <w:color w:val="auto"/>
              </w:rPr>
              <w:t>edipasvir/sofosbuvir (co</w:t>
            </w:r>
            <w:r w:rsidR="00F64A30">
              <w:rPr>
                <w:rFonts w:eastAsia="TimesNewRoman" w:cs="TimesNewRoman"/>
                <w:color w:val="auto"/>
              </w:rPr>
              <w:t>-</w:t>
            </w:r>
            <w:r w:rsidRPr="00E1614E">
              <w:rPr>
                <w:rFonts w:eastAsia="TimesNewRoman" w:cs="TimesNewRoman"/>
                <w:color w:val="auto"/>
              </w:rPr>
              <w:t>formulated; Harvoni)</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LLOQ</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L</w:t>
            </w:r>
            <w:r w:rsidRPr="00E1614E">
              <w:rPr>
                <w:rFonts w:eastAsia="TimesNewRoman" w:cs="TimesNewRoman"/>
                <w:color w:val="auto"/>
              </w:rPr>
              <w:t>ower limit of quantitation</w:t>
            </w:r>
          </w:p>
        </w:tc>
      </w:tr>
      <w:tr w:rsidR="000A4F79" w:rsidRPr="00FD119B" w:rsidTr="000A4F79">
        <w:tc>
          <w:tcPr>
            <w:tcW w:w="1923" w:type="dxa"/>
          </w:tcPr>
          <w:p w:rsidR="000A4F79" w:rsidRPr="00E1614E" w:rsidRDefault="000A4F79" w:rsidP="000A4F79">
            <w:pPr>
              <w:rPr>
                <w:rFonts w:eastAsia="TimesNewRoman" w:cs="TimesNewRoman"/>
              </w:rPr>
            </w:pPr>
            <w:r>
              <w:rPr>
                <w:rFonts w:eastAsia="TimesNewRoman" w:cs="TimesNewRoman"/>
              </w:rPr>
              <w:t>MAA</w:t>
            </w:r>
          </w:p>
        </w:tc>
        <w:tc>
          <w:tcPr>
            <w:tcW w:w="6797" w:type="dxa"/>
          </w:tcPr>
          <w:p w:rsidR="000A4F79" w:rsidRPr="00E1614E" w:rsidRDefault="000A4F79" w:rsidP="000A4F79">
            <w:pPr>
              <w:rPr>
                <w:rFonts w:eastAsia="TimesNewRoman" w:cs="TimesNewRoman"/>
              </w:rPr>
            </w:pPr>
            <w:r>
              <w:rPr>
                <w:rFonts w:eastAsia="TimesNewRoman" w:cs="TimesNewRoman"/>
              </w:rPr>
              <w:t>Mark</w:t>
            </w:r>
            <w:r w:rsidR="00F64A30">
              <w:rPr>
                <w:rFonts w:eastAsia="TimesNewRoman" w:cs="TimesNewRoman"/>
              </w:rPr>
              <w:t>eting authorisation application</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lastRenderedPageBreak/>
              <w:t>MATE1</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M</w:t>
            </w:r>
            <w:r w:rsidRPr="00E1614E">
              <w:rPr>
                <w:rFonts w:eastAsia="TimesNewRoman" w:cs="TimesNewRoman"/>
                <w:color w:val="auto"/>
              </w:rPr>
              <w:t>ultidrug and toxin extrusion 1</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MRP2</w:t>
            </w:r>
          </w:p>
        </w:tc>
        <w:tc>
          <w:tcPr>
            <w:tcW w:w="6797" w:type="dxa"/>
          </w:tcPr>
          <w:p w:rsidR="000A4F79" w:rsidRPr="00E1614E" w:rsidRDefault="000A4F79" w:rsidP="000A4F79">
            <w:pPr>
              <w:rPr>
                <w:color w:val="auto"/>
              </w:rPr>
            </w:pPr>
            <w:r>
              <w:rPr>
                <w:rFonts w:eastAsia="TimesNewRoman"/>
                <w:color w:val="auto"/>
              </w:rPr>
              <w:t>M</w:t>
            </w:r>
            <w:r w:rsidRPr="00E1614E">
              <w:rPr>
                <w:rFonts w:eastAsia="TimesNewRoman"/>
                <w:color w:val="auto"/>
              </w:rPr>
              <w:t xml:space="preserve">ultidrug </w:t>
            </w:r>
            <w:r w:rsidR="003A5113">
              <w:rPr>
                <w:rFonts w:eastAsia="TimesNewRoman"/>
                <w:color w:val="auto"/>
              </w:rPr>
              <w:t>resistance associated</w:t>
            </w:r>
            <w:r w:rsidRPr="00E1614E">
              <w:rPr>
                <w:rFonts w:eastAsia="TimesNewRoman"/>
                <w:color w:val="auto"/>
              </w:rPr>
              <w:t xml:space="preserve"> protein 2</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N or n</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N</w:t>
            </w:r>
            <w:r w:rsidRPr="00E1614E">
              <w:rPr>
                <w:rFonts w:eastAsia="TimesNewRoman" w:cs="TimesNewRoman"/>
                <w:color w:val="auto"/>
              </w:rPr>
              <w:t>umber of subjects in a population (N) or subset (n)</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NGM</w:t>
            </w:r>
          </w:p>
        </w:tc>
        <w:tc>
          <w:tcPr>
            <w:tcW w:w="6797" w:type="dxa"/>
          </w:tcPr>
          <w:p w:rsidR="000A4F79" w:rsidRPr="00E1614E" w:rsidRDefault="000A4F79" w:rsidP="000A4F79">
            <w:pPr>
              <w:rPr>
                <w:rFonts w:cstheme="minorHAnsi"/>
                <w:color w:val="auto"/>
              </w:rPr>
            </w:pPr>
            <w:proofErr w:type="spellStart"/>
            <w:r>
              <w:rPr>
                <w:color w:val="auto"/>
              </w:rPr>
              <w:t>N</w:t>
            </w:r>
            <w:r w:rsidRPr="00E1614E">
              <w:rPr>
                <w:color w:val="auto"/>
              </w:rPr>
              <w:t>orgestimate</w:t>
            </w:r>
            <w:proofErr w:type="spellEnd"/>
          </w:p>
        </w:tc>
      </w:tr>
      <w:tr w:rsidR="000A4F79" w:rsidRPr="00FD119B" w:rsidTr="000A4F79">
        <w:tc>
          <w:tcPr>
            <w:tcW w:w="1923" w:type="dxa"/>
          </w:tcPr>
          <w:p w:rsidR="000A4F79" w:rsidRPr="00E1614E" w:rsidRDefault="000A4F79" w:rsidP="000A4F79">
            <w:pPr>
              <w:rPr>
                <w:rFonts w:eastAsia="TimesNewRoman" w:cs="TimesNewRoman"/>
                <w:color w:val="auto"/>
                <w:lang w:eastAsia="en-US"/>
              </w:rPr>
            </w:pPr>
            <w:r>
              <w:rPr>
                <w:rFonts w:eastAsia="TimesNewRoman" w:cs="TimesNewRoman"/>
              </w:rPr>
              <w:t>NI</w:t>
            </w:r>
          </w:p>
        </w:tc>
        <w:tc>
          <w:tcPr>
            <w:tcW w:w="6797" w:type="dxa"/>
          </w:tcPr>
          <w:p w:rsidR="000A4F79" w:rsidRPr="00E1614E" w:rsidRDefault="000A4F79" w:rsidP="000A4F79">
            <w:pPr>
              <w:rPr>
                <w:rFonts w:eastAsia="TimesNewRoman" w:cs="TimesNewRoman"/>
                <w:color w:val="auto"/>
                <w:lang w:eastAsia="en-US"/>
              </w:rPr>
            </w:pPr>
            <w:r>
              <w:rPr>
                <w:rFonts w:asciiTheme="minorHAnsi" w:eastAsiaTheme="minorHAnsi" w:hAnsiTheme="minorHAnsi"/>
              </w:rPr>
              <w:t>Nucleotide inhibitor</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NS</w:t>
            </w:r>
          </w:p>
        </w:tc>
        <w:tc>
          <w:tcPr>
            <w:tcW w:w="6797" w:type="dxa"/>
          </w:tcPr>
          <w:p w:rsidR="000A4F79" w:rsidRPr="00E1614E" w:rsidRDefault="000A4F79" w:rsidP="000A4F79">
            <w:pPr>
              <w:rPr>
                <w:color w:val="auto"/>
              </w:rPr>
            </w:pPr>
            <w:r>
              <w:rPr>
                <w:color w:val="auto"/>
              </w:rPr>
              <w:t>N</w:t>
            </w:r>
            <w:r w:rsidRPr="00E1614E">
              <w:rPr>
                <w:color w:val="auto"/>
              </w:rPr>
              <w:t>on-structural</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NS3/4</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N</w:t>
            </w:r>
            <w:r w:rsidRPr="00E1614E">
              <w:rPr>
                <w:rFonts w:eastAsia="TimesNewRoman" w:cs="TimesNewRoman"/>
                <w:color w:val="auto"/>
              </w:rPr>
              <w:t>onstructural protein 3/4</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NS5A</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N</w:t>
            </w:r>
            <w:r w:rsidRPr="00E1614E">
              <w:rPr>
                <w:rFonts w:eastAsia="TimesNewRoman" w:cs="TimesNewRoman"/>
                <w:color w:val="auto"/>
              </w:rPr>
              <w:t>onstructural protein 5A</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NS5B</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N</w:t>
            </w:r>
            <w:r w:rsidRPr="00E1614E">
              <w:rPr>
                <w:rFonts w:eastAsia="TimesNewRoman" w:cs="TimesNewRoman"/>
                <w:color w:val="auto"/>
              </w:rPr>
              <w:t>onstructural protein 5B</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OAT</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O</w:t>
            </w:r>
            <w:r w:rsidRPr="00E1614E">
              <w:rPr>
                <w:rFonts w:eastAsia="TimesNewRoman" w:cs="TimesNewRoman"/>
                <w:color w:val="auto"/>
              </w:rPr>
              <w:t>rganic anion transporter</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OATP</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O</w:t>
            </w:r>
            <w:r w:rsidRPr="00E1614E">
              <w:rPr>
                <w:rFonts w:eastAsia="TimesNewRoman" w:cs="TimesNewRoman"/>
                <w:color w:val="auto"/>
              </w:rPr>
              <w:t>rganic anion transporting polypeptide</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OCT</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O</w:t>
            </w:r>
            <w:r w:rsidRPr="00E1614E">
              <w:rPr>
                <w:rFonts w:eastAsia="TimesNewRoman" w:cs="TimesNewRoman"/>
                <w:color w:val="auto"/>
              </w:rPr>
              <w:t>rganic cation transporter</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PD</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P</w:t>
            </w:r>
            <w:r w:rsidRPr="00E1614E">
              <w:rPr>
                <w:rFonts w:eastAsia="TimesNewRoman" w:cs="TimesNewRoman"/>
                <w:color w:val="auto"/>
              </w:rPr>
              <w:t>harmacodynamics(s)</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Peg-IFN</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P</w:t>
            </w:r>
            <w:r w:rsidRPr="00E1614E">
              <w:rPr>
                <w:rFonts w:eastAsia="TimesNewRoman" w:cs="TimesNewRoman"/>
                <w:color w:val="auto"/>
              </w:rPr>
              <w:t>egylated interferon</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P-</w:t>
            </w:r>
            <w:proofErr w:type="spellStart"/>
            <w:r>
              <w:rPr>
                <w:rFonts w:eastAsia="TimesNewRoman" w:cs="TimesNewRoman"/>
                <w:color w:val="auto"/>
              </w:rPr>
              <w:t>gp</w:t>
            </w:r>
            <w:proofErr w:type="spellEnd"/>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P-glycoprotein</w:t>
            </w:r>
          </w:p>
        </w:tc>
      </w:tr>
      <w:tr w:rsidR="000A4F79" w:rsidRPr="00FD119B" w:rsidTr="000A4F79">
        <w:tc>
          <w:tcPr>
            <w:tcW w:w="1923" w:type="dxa"/>
          </w:tcPr>
          <w:p w:rsidR="000A4F79" w:rsidRPr="00E1614E" w:rsidRDefault="003A5113" w:rsidP="000A4F79">
            <w:pPr>
              <w:rPr>
                <w:rFonts w:eastAsia="TimesNewRoman" w:cs="TimesNewRoman"/>
                <w:color w:val="auto"/>
              </w:rPr>
            </w:pPr>
            <w:r>
              <w:rPr>
                <w:rFonts w:eastAsia="TimesNewRoman" w:cs="TimesNewRoman"/>
                <w:color w:val="auto"/>
              </w:rPr>
              <w:t>Pi</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P</w:t>
            </w:r>
            <w:r w:rsidRPr="00E1614E">
              <w:rPr>
                <w:rFonts w:eastAsia="TimesNewRoman" w:cs="TimesNewRoman"/>
                <w:color w:val="auto"/>
              </w:rPr>
              <w:t>rotease inhibitor</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PK</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P</w:t>
            </w:r>
            <w:r w:rsidRPr="00E1614E">
              <w:rPr>
                <w:rFonts w:eastAsia="TimesNewRoman" w:cs="TimesNewRoman"/>
                <w:color w:val="auto"/>
              </w:rPr>
              <w:t>harmacokinetic(s)</w:t>
            </w:r>
          </w:p>
        </w:tc>
      </w:tr>
      <w:tr w:rsidR="000A4F79" w:rsidRPr="00FD119B" w:rsidTr="000A4F79">
        <w:tc>
          <w:tcPr>
            <w:tcW w:w="1923" w:type="dxa"/>
          </w:tcPr>
          <w:p w:rsidR="000A4F79" w:rsidRPr="00E1614E" w:rsidRDefault="000A4F79" w:rsidP="000A4F79">
            <w:pPr>
              <w:rPr>
                <w:rFonts w:cstheme="minorHAnsi"/>
                <w:color w:val="auto"/>
              </w:rPr>
            </w:pPr>
            <w:proofErr w:type="spellStart"/>
            <w:r w:rsidRPr="00E1614E">
              <w:rPr>
                <w:rFonts w:cstheme="minorHAnsi"/>
                <w:color w:val="auto"/>
              </w:rPr>
              <w:t>popPK</w:t>
            </w:r>
            <w:proofErr w:type="spellEnd"/>
          </w:p>
        </w:tc>
        <w:tc>
          <w:tcPr>
            <w:tcW w:w="6797" w:type="dxa"/>
          </w:tcPr>
          <w:p w:rsidR="000A4F79" w:rsidRPr="00E1614E" w:rsidRDefault="000A4F79" w:rsidP="000A4F79">
            <w:pPr>
              <w:rPr>
                <w:color w:val="auto"/>
              </w:rPr>
            </w:pPr>
            <w:r>
              <w:rPr>
                <w:color w:val="auto"/>
              </w:rPr>
              <w:t>P</w:t>
            </w:r>
            <w:r w:rsidRPr="00E1614E">
              <w:rPr>
                <w:color w:val="auto"/>
              </w:rPr>
              <w:t>opulation pharmacokinetics</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PPI</w:t>
            </w:r>
          </w:p>
        </w:tc>
        <w:tc>
          <w:tcPr>
            <w:tcW w:w="6797" w:type="dxa"/>
          </w:tcPr>
          <w:p w:rsidR="000A4F79" w:rsidRPr="00E1614E" w:rsidRDefault="000A4F79" w:rsidP="000A4F79">
            <w:pPr>
              <w:rPr>
                <w:rFonts w:cstheme="minorHAnsi"/>
                <w:color w:val="auto"/>
              </w:rPr>
            </w:pPr>
            <w:r>
              <w:rPr>
                <w:color w:val="auto"/>
              </w:rPr>
              <w:t>P</w:t>
            </w:r>
            <w:r w:rsidRPr="00E1614E">
              <w:rPr>
                <w:color w:val="auto"/>
              </w:rPr>
              <w:t>roton pump inhibitor</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PRA</w:t>
            </w:r>
          </w:p>
        </w:tc>
        <w:tc>
          <w:tcPr>
            <w:tcW w:w="6797" w:type="dxa"/>
          </w:tcPr>
          <w:p w:rsidR="000A4F79" w:rsidRPr="00E1614E" w:rsidRDefault="000A4F79" w:rsidP="000A4F79">
            <w:pPr>
              <w:rPr>
                <w:rFonts w:cstheme="minorHAnsi"/>
                <w:color w:val="auto"/>
              </w:rPr>
            </w:pPr>
            <w:r>
              <w:rPr>
                <w:color w:val="auto"/>
              </w:rPr>
              <w:t>P</w:t>
            </w:r>
            <w:r w:rsidRPr="00E1614E">
              <w:rPr>
                <w:color w:val="auto"/>
              </w:rPr>
              <w:t>ravastatin</w:t>
            </w:r>
          </w:p>
        </w:tc>
      </w:tr>
      <w:tr w:rsidR="00AA5E62" w:rsidRPr="00FD119B" w:rsidTr="000A4F79">
        <w:tc>
          <w:tcPr>
            <w:tcW w:w="1923" w:type="dxa"/>
          </w:tcPr>
          <w:p w:rsidR="00AA5E62" w:rsidRPr="00E1614E" w:rsidRDefault="00AA5E62" w:rsidP="000A4F79">
            <w:pPr>
              <w:rPr>
                <w:rFonts w:cstheme="minorHAnsi"/>
              </w:rPr>
            </w:pPr>
            <w:r>
              <w:rPr>
                <w:rFonts w:cstheme="minorHAnsi"/>
              </w:rPr>
              <w:t>PXR</w:t>
            </w:r>
          </w:p>
        </w:tc>
        <w:tc>
          <w:tcPr>
            <w:tcW w:w="6797" w:type="dxa"/>
          </w:tcPr>
          <w:p w:rsidR="00AA5E62" w:rsidRPr="00AA5E62" w:rsidRDefault="00AA5E62" w:rsidP="00AA5E62">
            <w:proofErr w:type="spellStart"/>
            <w:r>
              <w:t>P</w:t>
            </w:r>
            <w:r w:rsidRPr="00AA5E62">
              <w:t>regnane</w:t>
            </w:r>
            <w:proofErr w:type="spellEnd"/>
            <w:r w:rsidRPr="00AA5E62">
              <w:t xml:space="preserve"> X receptor</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Q</w:t>
            </w:r>
          </w:p>
        </w:tc>
        <w:tc>
          <w:tcPr>
            <w:tcW w:w="6797" w:type="dxa"/>
          </w:tcPr>
          <w:p w:rsidR="000A4F79" w:rsidRPr="00E1614E" w:rsidRDefault="000A4F79" w:rsidP="000A4F79">
            <w:pPr>
              <w:rPr>
                <w:rFonts w:eastAsia="TimesNewRoman"/>
                <w:color w:val="auto"/>
              </w:rPr>
            </w:pPr>
            <w:r>
              <w:rPr>
                <w:color w:val="auto"/>
              </w:rPr>
              <w:t>D</w:t>
            </w:r>
            <w:r w:rsidRPr="00E1614E">
              <w:rPr>
                <w:color w:val="auto"/>
              </w:rPr>
              <w:t>istribution clearance</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Q/F</w:t>
            </w:r>
          </w:p>
        </w:tc>
        <w:tc>
          <w:tcPr>
            <w:tcW w:w="6797" w:type="dxa"/>
          </w:tcPr>
          <w:p w:rsidR="000A4F79" w:rsidRPr="00E1614E" w:rsidRDefault="000A4F79" w:rsidP="000A4F79">
            <w:pPr>
              <w:rPr>
                <w:color w:val="auto"/>
              </w:rPr>
            </w:pPr>
            <w:r>
              <w:rPr>
                <w:rFonts w:eastAsia="TimesNewRoman"/>
                <w:color w:val="auto"/>
              </w:rPr>
              <w:t>A</w:t>
            </w:r>
            <w:r w:rsidRPr="00E1614E">
              <w:rPr>
                <w:rFonts w:eastAsia="TimesNewRoman"/>
                <w:color w:val="auto"/>
              </w:rPr>
              <w:t>pparent inter-compartmental clearance</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QD</w:t>
            </w:r>
          </w:p>
        </w:tc>
        <w:tc>
          <w:tcPr>
            <w:tcW w:w="6797" w:type="dxa"/>
          </w:tcPr>
          <w:p w:rsidR="000A4F79" w:rsidRPr="00E1614E" w:rsidRDefault="000A4F79" w:rsidP="000A4F79">
            <w:pPr>
              <w:rPr>
                <w:rFonts w:eastAsia="TimesNewRoman"/>
                <w:color w:val="auto"/>
              </w:rPr>
            </w:pPr>
            <w:r>
              <w:rPr>
                <w:rFonts w:eastAsia="TimesNewRoman"/>
                <w:color w:val="auto"/>
              </w:rPr>
              <w:t>O</w:t>
            </w:r>
            <w:r w:rsidRPr="00E1614E">
              <w:rPr>
                <w:rFonts w:eastAsia="TimesNewRoman"/>
                <w:color w:val="auto"/>
              </w:rPr>
              <w:t>nce daily</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QT</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E</w:t>
            </w:r>
            <w:r w:rsidRPr="00E1614E">
              <w:rPr>
                <w:rFonts w:eastAsia="TimesNewRoman" w:cs="TimesNewRoman"/>
                <w:color w:val="auto"/>
              </w:rPr>
              <w:t>lectrocardiographic interval between the beginning of the Q wave and termination of the T wave, representing the time for both ventricular depolarization and repolarization to occur</w:t>
            </w:r>
          </w:p>
        </w:tc>
      </w:tr>
      <w:tr w:rsidR="000A4F79" w:rsidRPr="00FD119B" w:rsidTr="000A4F79">
        <w:tc>
          <w:tcPr>
            <w:tcW w:w="1923" w:type="dxa"/>
          </w:tcPr>
          <w:p w:rsidR="000A4F79" w:rsidRPr="00E1614E" w:rsidRDefault="000A4F79" w:rsidP="000A4F79">
            <w:pPr>
              <w:rPr>
                <w:rFonts w:eastAsia="TimesNewRoman" w:cs="TimesNewRoman"/>
                <w:color w:val="auto"/>
              </w:rPr>
            </w:pPr>
            <w:proofErr w:type="spellStart"/>
            <w:r>
              <w:rPr>
                <w:rFonts w:eastAsia="TimesNewRoman" w:cs="TimesNewRoman"/>
                <w:color w:val="auto"/>
              </w:rPr>
              <w:lastRenderedPageBreak/>
              <w:t>QTc</w:t>
            </w:r>
            <w:proofErr w:type="spellEnd"/>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QT interval corrected for heart rate</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RAV</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R</w:t>
            </w:r>
            <w:r w:rsidRPr="00E1614E">
              <w:rPr>
                <w:rFonts w:eastAsia="TimesNewRoman" w:cs="TimesNewRoman"/>
                <w:color w:val="auto"/>
              </w:rPr>
              <w:t>esistance-associated variant</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RBV</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R</w:t>
            </w:r>
            <w:r w:rsidRPr="00E1614E">
              <w:rPr>
                <w:rFonts w:eastAsia="TimesNewRoman" w:cs="TimesNewRoman"/>
                <w:color w:val="auto"/>
              </w:rPr>
              <w:t>ibavirin</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RIF</w:t>
            </w:r>
          </w:p>
        </w:tc>
        <w:tc>
          <w:tcPr>
            <w:tcW w:w="6797" w:type="dxa"/>
          </w:tcPr>
          <w:p w:rsidR="000A4F79" w:rsidRPr="00E1614E" w:rsidRDefault="000A4F79" w:rsidP="000A4F79">
            <w:pPr>
              <w:rPr>
                <w:color w:val="auto"/>
              </w:rPr>
            </w:pPr>
            <w:r>
              <w:rPr>
                <w:color w:val="auto"/>
              </w:rPr>
              <w:t>R</w:t>
            </w:r>
            <w:r w:rsidRPr="00E1614E">
              <w:rPr>
                <w:color w:val="auto"/>
              </w:rPr>
              <w:t>ifampin</w:t>
            </w:r>
          </w:p>
        </w:tc>
      </w:tr>
      <w:tr w:rsidR="000A4F79" w:rsidRPr="00FD119B" w:rsidTr="000A4F79">
        <w:tc>
          <w:tcPr>
            <w:tcW w:w="1923" w:type="dxa"/>
          </w:tcPr>
          <w:p w:rsidR="000A4F79" w:rsidRPr="00E1614E" w:rsidRDefault="000A4F79" w:rsidP="000A4F79">
            <w:pPr>
              <w:rPr>
                <w:rFonts w:eastAsia="TimesNewRoman" w:cs="TimesNewRoman"/>
                <w:color w:val="auto"/>
              </w:rPr>
            </w:pPr>
            <w:r>
              <w:rPr>
                <w:rFonts w:eastAsia="TimesNewRoman" w:cs="TimesNewRoman"/>
                <w:color w:val="auto"/>
              </w:rPr>
              <w:t>RNA</w:t>
            </w:r>
          </w:p>
        </w:tc>
        <w:tc>
          <w:tcPr>
            <w:tcW w:w="6797" w:type="dxa"/>
          </w:tcPr>
          <w:p w:rsidR="000A4F79" w:rsidRPr="00E1614E" w:rsidRDefault="000A4F79" w:rsidP="000A4F79">
            <w:pPr>
              <w:rPr>
                <w:rFonts w:eastAsia="TimesNewRoman" w:cs="TimesNewRoman"/>
                <w:color w:val="auto"/>
              </w:rPr>
            </w:pPr>
            <w:r>
              <w:rPr>
                <w:rFonts w:eastAsia="TimesNewRoman" w:cs="TimesNewRoman"/>
                <w:color w:val="auto"/>
              </w:rPr>
              <w:t>R</w:t>
            </w:r>
            <w:r w:rsidRPr="00E1614E">
              <w:rPr>
                <w:rFonts w:eastAsia="TimesNewRoman" w:cs="TimesNewRoman"/>
                <w:color w:val="auto"/>
              </w:rPr>
              <w:t>ibonucleic acid</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ROSU</w:t>
            </w:r>
          </w:p>
        </w:tc>
        <w:tc>
          <w:tcPr>
            <w:tcW w:w="6797" w:type="dxa"/>
          </w:tcPr>
          <w:p w:rsidR="000A4F79" w:rsidRPr="00E1614E" w:rsidRDefault="0064586A" w:rsidP="000A4F79">
            <w:pPr>
              <w:rPr>
                <w:rFonts w:cstheme="minorHAnsi"/>
                <w:color w:val="auto"/>
              </w:rPr>
            </w:pPr>
            <w:r>
              <w:rPr>
                <w:color w:val="auto"/>
              </w:rPr>
              <w:t>R</w:t>
            </w:r>
            <w:r w:rsidR="000A4F79" w:rsidRPr="00E1614E">
              <w:rPr>
                <w:color w:val="auto"/>
              </w:rPr>
              <w:t>osuvastatin</w:t>
            </w:r>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RPV</w:t>
            </w:r>
          </w:p>
        </w:tc>
        <w:tc>
          <w:tcPr>
            <w:tcW w:w="6797" w:type="dxa"/>
          </w:tcPr>
          <w:p w:rsidR="000A4F79" w:rsidRPr="00E1614E" w:rsidRDefault="0064586A" w:rsidP="000A4F79">
            <w:pPr>
              <w:rPr>
                <w:rFonts w:cstheme="minorHAnsi"/>
                <w:color w:val="auto"/>
              </w:rPr>
            </w:pPr>
            <w:proofErr w:type="spellStart"/>
            <w:r>
              <w:rPr>
                <w:rFonts w:eastAsia="TimesNewRoman" w:cstheme="minorHAnsi"/>
                <w:color w:val="auto"/>
              </w:rPr>
              <w:t>R</w:t>
            </w:r>
            <w:r w:rsidR="000A4F79" w:rsidRPr="00E1614E">
              <w:rPr>
                <w:rFonts w:eastAsia="TimesNewRoman" w:cstheme="minorHAnsi"/>
                <w:color w:val="auto"/>
              </w:rPr>
              <w:t>ilpivirine</w:t>
            </w:r>
            <w:proofErr w:type="spellEnd"/>
          </w:p>
        </w:tc>
      </w:tr>
      <w:tr w:rsidR="000A4F79" w:rsidRPr="00FD119B" w:rsidTr="000A4F79">
        <w:tc>
          <w:tcPr>
            <w:tcW w:w="1923" w:type="dxa"/>
          </w:tcPr>
          <w:p w:rsidR="000A4F79" w:rsidRPr="00E1614E" w:rsidRDefault="000A4F79" w:rsidP="000A4F79">
            <w:pPr>
              <w:rPr>
                <w:rFonts w:cstheme="minorHAnsi"/>
                <w:color w:val="auto"/>
              </w:rPr>
            </w:pPr>
            <w:r w:rsidRPr="00E1614E">
              <w:rPr>
                <w:rFonts w:cstheme="minorHAnsi"/>
                <w:color w:val="auto"/>
              </w:rPr>
              <w:t>RTV</w:t>
            </w:r>
          </w:p>
        </w:tc>
        <w:tc>
          <w:tcPr>
            <w:tcW w:w="6797" w:type="dxa"/>
          </w:tcPr>
          <w:p w:rsidR="000A4F79" w:rsidRPr="00E1614E" w:rsidRDefault="0064586A" w:rsidP="000A4F79">
            <w:pPr>
              <w:rPr>
                <w:rFonts w:cstheme="minorHAnsi"/>
                <w:color w:val="auto"/>
              </w:rPr>
            </w:pPr>
            <w:r>
              <w:rPr>
                <w:rFonts w:eastAsia="TimesNewRoman" w:cstheme="minorHAnsi"/>
                <w:color w:val="auto"/>
              </w:rPr>
              <w:t>R</w:t>
            </w:r>
            <w:r w:rsidR="000A4F79" w:rsidRPr="00E1614E">
              <w:rPr>
                <w:rFonts w:eastAsia="TimesNewRoman" w:cstheme="minorHAnsi"/>
                <w:color w:val="auto"/>
              </w:rPr>
              <w:t>itonavir</w:t>
            </w:r>
          </w:p>
        </w:tc>
      </w:tr>
      <w:tr w:rsidR="000A4F79" w:rsidRPr="00FD119B" w:rsidTr="000A4F79">
        <w:tc>
          <w:tcPr>
            <w:tcW w:w="1923" w:type="dxa"/>
          </w:tcPr>
          <w:p w:rsidR="000A4F79" w:rsidRPr="00E1614E" w:rsidRDefault="0064586A" w:rsidP="000A4F79">
            <w:pPr>
              <w:rPr>
                <w:rFonts w:eastAsia="TimesNewRoman" w:cs="TimesNewRoman"/>
                <w:color w:val="auto"/>
              </w:rPr>
            </w:pPr>
            <w:r>
              <w:rPr>
                <w:rFonts w:eastAsia="TimesNewRoman" w:cs="TimesNewRoman"/>
                <w:color w:val="auto"/>
              </w:rPr>
              <w:t>SAE</w:t>
            </w:r>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S</w:t>
            </w:r>
            <w:r w:rsidR="000A4F79" w:rsidRPr="00E1614E">
              <w:rPr>
                <w:rFonts w:eastAsia="TimesNewRoman" w:cs="TimesNewRoman"/>
                <w:color w:val="auto"/>
              </w:rPr>
              <w:t>erious adverse event</w:t>
            </w:r>
          </w:p>
        </w:tc>
      </w:tr>
      <w:tr w:rsidR="000A4F79" w:rsidRPr="00FD119B" w:rsidTr="000A4F79">
        <w:tc>
          <w:tcPr>
            <w:tcW w:w="1923" w:type="dxa"/>
          </w:tcPr>
          <w:p w:rsidR="000A4F79" w:rsidRPr="00E1614E" w:rsidRDefault="0064586A" w:rsidP="000A4F79">
            <w:pPr>
              <w:rPr>
                <w:rFonts w:eastAsia="TimesNewRoman" w:cs="TimesNewRoman"/>
                <w:color w:val="auto"/>
              </w:rPr>
            </w:pPr>
            <w:proofErr w:type="spellStart"/>
            <w:r>
              <w:rPr>
                <w:rFonts w:eastAsia="TimesNewRoman" w:cs="TimesNewRoman"/>
                <w:color w:val="auto"/>
              </w:rPr>
              <w:t>SmPC</w:t>
            </w:r>
            <w:proofErr w:type="spellEnd"/>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S</w:t>
            </w:r>
            <w:r w:rsidR="000A4F79" w:rsidRPr="00E1614E">
              <w:rPr>
                <w:rFonts w:eastAsia="TimesNewRoman" w:cs="TimesNewRoman"/>
                <w:color w:val="auto"/>
              </w:rPr>
              <w:t>ummary of product characteristics</w:t>
            </w:r>
          </w:p>
        </w:tc>
      </w:tr>
      <w:tr w:rsidR="000A4F79" w:rsidRPr="00FD119B" w:rsidTr="000A4F79">
        <w:tc>
          <w:tcPr>
            <w:tcW w:w="1923" w:type="dxa"/>
          </w:tcPr>
          <w:p w:rsidR="000A4F79" w:rsidRPr="00E1614E" w:rsidRDefault="0064586A" w:rsidP="000A4F79">
            <w:pPr>
              <w:rPr>
                <w:rFonts w:eastAsia="TimesNewRoman" w:cs="TimesNewRoman"/>
                <w:color w:val="auto"/>
              </w:rPr>
            </w:pPr>
            <w:r>
              <w:rPr>
                <w:rFonts w:eastAsia="TimesNewRoman" w:cs="TimesNewRoman"/>
                <w:color w:val="auto"/>
              </w:rPr>
              <w:t>SMV</w:t>
            </w:r>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S</w:t>
            </w:r>
            <w:r w:rsidR="000A4F79" w:rsidRPr="00E1614E">
              <w:rPr>
                <w:rFonts w:eastAsia="TimesNewRoman" w:cs="TimesNewRoman"/>
                <w:color w:val="auto"/>
              </w:rPr>
              <w:t>imeprevir (</w:t>
            </w:r>
            <w:r w:rsidR="00A2119F">
              <w:rPr>
                <w:rFonts w:eastAsia="TimesNewRoman" w:cs="TimesNewRoman"/>
                <w:color w:val="auto"/>
              </w:rPr>
              <w:t xml:space="preserve">drug development name: </w:t>
            </w:r>
            <w:r w:rsidR="000A4F79" w:rsidRPr="00E1614E">
              <w:rPr>
                <w:rFonts w:eastAsia="TimesNewRoman" w:cs="TimesNewRoman"/>
                <w:color w:val="auto"/>
              </w:rPr>
              <w:t>TMC435)</w:t>
            </w:r>
          </w:p>
        </w:tc>
      </w:tr>
      <w:tr w:rsidR="000A4F79" w:rsidRPr="00FD119B" w:rsidTr="000A4F79">
        <w:tc>
          <w:tcPr>
            <w:tcW w:w="1923" w:type="dxa"/>
          </w:tcPr>
          <w:p w:rsidR="000A4F79" w:rsidRPr="00E1614E" w:rsidRDefault="0064586A" w:rsidP="000A4F79">
            <w:pPr>
              <w:rPr>
                <w:rFonts w:eastAsia="TimesNewRoman" w:cs="TimesNewRoman"/>
                <w:color w:val="auto"/>
              </w:rPr>
            </w:pPr>
            <w:r>
              <w:rPr>
                <w:rFonts w:eastAsia="TimesNewRoman" w:cs="TimesNewRoman"/>
                <w:color w:val="auto"/>
              </w:rPr>
              <w:t>SOF</w:t>
            </w:r>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S</w:t>
            </w:r>
            <w:r w:rsidR="000A4F79" w:rsidRPr="00E1614E">
              <w:rPr>
                <w:rFonts w:eastAsia="TimesNewRoman" w:cs="TimesNewRoman"/>
                <w:color w:val="auto"/>
              </w:rPr>
              <w:t>ofosbuvir (Sovaldi)</w:t>
            </w:r>
          </w:p>
        </w:tc>
      </w:tr>
      <w:tr w:rsidR="000A4F79" w:rsidRPr="00FD119B" w:rsidTr="000A4F79">
        <w:tc>
          <w:tcPr>
            <w:tcW w:w="1923" w:type="dxa"/>
          </w:tcPr>
          <w:p w:rsidR="000A4F79" w:rsidRPr="00E1614E" w:rsidRDefault="0064586A" w:rsidP="000A4F79">
            <w:pPr>
              <w:rPr>
                <w:rFonts w:eastAsia="TimesNewRoman" w:cs="TimesNewRoman"/>
                <w:color w:val="auto"/>
              </w:rPr>
            </w:pPr>
            <w:r>
              <w:rPr>
                <w:rFonts w:eastAsia="TimesNewRoman" w:cs="TimesNewRoman"/>
                <w:color w:val="auto"/>
              </w:rPr>
              <w:t>SOF/VEL</w:t>
            </w:r>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S</w:t>
            </w:r>
            <w:r w:rsidR="000A4F79" w:rsidRPr="00E1614E">
              <w:rPr>
                <w:rFonts w:eastAsia="TimesNewRoman" w:cs="TimesNewRoman"/>
                <w:color w:val="auto"/>
              </w:rPr>
              <w:t>ofosbuvir/velpatasvir (co</w:t>
            </w:r>
            <w:r w:rsidR="009E6C8F">
              <w:rPr>
                <w:rFonts w:eastAsia="TimesNewRoman" w:cs="TimesNewRoman"/>
                <w:color w:val="auto"/>
              </w:rPr>
              <w:t>-</w:t>
            </w:r>
            <w:r w:rsidR="000A4F79" w:rsidRPr="00E1614E">
              <w:rPr>
                <w:rFonts w:eastAsia="TimesNewRoman" w:cs="TimesNewRoman"/>
                <w:color w:val="auto"/>
              </w:rPr>
              <w:t xml:space="preserve">formulated; </w:t>
            </w:r>
            <w:r w:rsidR="00A2119F">
              <w:rPr>
                <w:rFonts w:eastAsia="TimesNewRoman" w:cs="TimesNewRoman"/>
                <w:color w:val="auto"/>
              </w:rPr>
              <w:t xml:space="preserve">product name: </w:t>
            </w:r>
            <w:r w:rsidR="000A4F79" w:rsidRPr="00E1614E">
              <w:rPr>
                <w:rFonts w:eastAsia="TimesNewRoman" w:cs="TimesNewRoman"/>
                <w:color w:val="auto"/>
              </w:rPr>
              <w:t>Epclusa)</w:t>
            </w:r>
          </w:p>
        </w:tc>
      </w:tr>
      <w:tr w:rsidR="000A4F79" w:rsidRPr="00FD119B" w:rsidTr="000A4F79">
        <w:tc>
          <w:tcPr>
            <w:tcW w:w="1923" w:type="dxa"/>
          </w:tcPr>
          <w:p w:rsidR="000A4F79" w:rsidRPr="00E1614E" w:rsidRDefault="000A4F79" w:rsidP="000A4F79">
            <w:pPr>
              <w:rPr>
                <w:rFonts w:eastAsia="TimesNewRoman" w:cs="TimesNewRoman"/>
                <w:color w:val="auto"/>
              </w:rPr>
            </w:pPr>
            <w:r w:rsidRPr="00E1614E">
              <w:rPr>
                <w:rFonts w:eastAsia="TimesNewRoman" w:cs="TimesNewRoman"/>
                <w:color w:val="auto"/>
              </w:rPr>
              <w:t>SOF/VEL/VOX</w:t>
            </w:r>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S</w:t>
            </w:r>
            <w:r w:rsidR="000A4F79" w:rsidRPr="00E1614E">
              <w:rPr>
                <w:rFonts w:eastAsia="TimesNewRoman" w:cs="TimesNewRoman"/>
                <w:color w:val="auto"/>
              </w:rPr>
              <w:t>ofosbuvir/velpatasvir/voxilaprevir (co</w:t>
            </w:r>
            <w:r w:rsidR="009E6C8F">
              <w:rPr>
                <w:rFonts w:eastAsia="TimesNewRoman" w:cs="TimesNewRoman"/>
                <w:color w:val="auto"/>
              </w:rPr>
              <w:t>-</w:t>
            </w:r>
            <w:r w:rsidR="000A4F79" w:rsidRPr="00E1614E">
              <w:rPr>
                <w:rFonts w:eastAsia="TimesNewRoman" w:cs="TimesNewRoman"/>
                <w:color w:val="auto"/>
              </w:rPr>
              <w:t>formulated</w:t>
            </w:r>
            <w:r w:rsidR="00EB0395">
              <w:rPr>
                <w:rFonts w:eastAsia="TimesNewRoman" w:cs="TimesNewRoman"/>
                <w:color w:val="auto"/>
              </w:rPr>
              <w:t>;</w:t>
            </w:r>
            <w:r w:rsidR="00A2119F">
              <w:rPr>
                <w:rFonts w:eastAsia="TimesNewRoman" w:cs="TimesNewRoman"/>
                <w:color w:val="auto"/>
              </w:rPr>
              <w:t xml:space="preserve"> product name:</w:t>
            </w:r>
            <w:r w:rsidR="00EB0395">
              <w:rPr>
                <w:rFonts w:eastAsia="TimesNewRoman" w:cs="TimesNewRoman"/>
                <w:color w:val="auto"/>
              </w:rPr>
              <w:t xml:space="preserve"> Vosevi</w:t>
            </w:r>
            <w:r w:rsidR="00EB0395" w:rsidRPr="00E1614E">
              <w:rPr>
                <w:rFonts w:eastAsia="TimesNewRoman" w:cs="TimesNewRoman"/>
                <w:color w:val="auto"/>
              </w:rPr>
              <w:t>)</w:t>
            </w:r>
          </w:p>
        </w:tc>
      </w:tr>
      <w:tr w:rsidR="000A4F79" w:rsidRPr="00FD119B" w:rsidTr="000A4F79">
        <w:tc>
          <w:tcPr>
            <w:tcW w:w="1923" w:type="dxa"/>
          </w:tcPr>
          <w:p w:rsidR="000A4F79" w:rsidRPr="00E1614E" w:rsidRDefault="0064586A" w:rsidP="000A4F79">
            <w:pPr>
              <w:rPr>
                <w:rFonts w:eastAsia="TimesNewRoman" w:cs="TimesNewRoman"/>
                <w:color w:val="auto"/>
              </w:rPr>
            </w:pPr>
            <w:r>
              <w:rPr>
                <w:rFonts w:eastAsia="TimesNewRoman" w:cs="TimesNewRoman"/>
                <w:color w:val="auto"/>
              </w:rPr>
              <w:t>SVR</w:t>
            </w:r>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S</w:t>
            </w:r>
            <w:r w:rsidR="000A4F79" w:rsidRPr="00E1614E">
              <w:rPr>
                <w:rFonts w:eastAsia="TimesNewRoman" w:cs="TimesNewRoman"/>
                <w:color w:val="auto"/>
              </w:rPr>
              <w:t>ustained virologic response</w:t>
            </w:r>
          </w:p>
        </w:tc>
      </w:tr>
      <w:tr w:rsidR="000A4F79" w:rsidRPr="00FD119B" w:rsidTr="000A4F79">
        <w:tc>
          <w:tcPr>
            <w:tcW w:w="1923" w:type="dxa"/>
          </w:tcPr>
          <w:p w:rsidR="000A4F79" w:rsidRPr="00E1614E" w:rsidRDefault="0064586A" w:rsidP="000A4F79">
            <w:pPr>
              <w:rPr>
                <w:rFonts w:eastAsia="TimesNewRoman" w:cs="TimesNewRoman"/>
                <w:color w:val="auto"/>
              </w:rPr>
            </w:pPr>
            <w:proofErr w:type="spellStart"/>
            <w:r>
              <w:rPr>
                <w:rFonts w:eastAsia="TimesNewRoman" w:cs="TimesNewRoman"/>
                <w:color w:val="auto"/>
              </w:rPr>
              <w:t>SVRxx</w:t>
            </w:r>
            <w:proofErr w:type="spellEnd"/>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S</w:t>
            </w:r>
            <w:r w:rsidR="000A4F79" w:rsidRPr="00E1614E">
              <w:rPr>
                <w:rFonts w:eastAsia="TimesNewRoman" w:cs="TimesNewRoman"/>
                <w:color w:val="auto"/>
              </w:rPr>
              <w:t xml:space="preserve">ustained virologic response at </w:t>
            </w:r>
            <w:r w:rsidR="00A2119F">
              <w:rPr>
                <w:rFonts w:eastAsia="TimesNewRoman" w:cs="TimesNewRoman"/>
                <w:color w:val="auto"/>
              </w:rPr>
              <w:t>‘</w:t>
            </w:r>
            <w:r w:rsidR="000A4F79" w:rsidRPr="00E1614E">
              <w:rPr>
                <w:rFonts w:eastAsia="TimesNewRoman" w:cs="TimesNewRoman"/>
                <w:color w:val="auto"/>
              </w:rPr>
              <w:t>xx</w:t>
            </w:r>
            <w:r w:rsidR="00A2119F">
              <w:rPr>
                <w:rFonts w:eastAsia="TimesNewRoman" w:cs="TimesNewRoman"/>
                <w:color w:val="auto"/>
              </w:rPr>
              <w:t>’</w:t>
            </w:r>
            <w:r w:rsidR="000A4F79" w:rsidRPr="00E1614E">
              <w:rPr>
                <w:rFonts w:eastAsia="TimesNewRoman" w:cs="TimesNewRoman"/>
                <w:color w:val="auto"/>
              </w:rPr>
              <w:t xml:space="preserve"> weeks following completion of all treatment</w:t>
            </w:r>
          </w:p>
        </w:tc>
      </w:tr>
      <w:tr w:rsidR="000A4F79" w:rsidRPr="00FD119B" w:rsidTr="000A4F79">
        <w:tc>
          <w:tcPr>
            <w:tcW w:w="1923" w:type="dxa"/>
          </w:tcPr>
          <w:p w:rsidR="000A4F79" w:rsidRPr="00E1614E" w:rsidRDefault="000A4F79" w:rsidP="000A4F79">
            <w:pPr>
              <w:rPr>
                <w:rFonts w:cstheme="minorHAnsi"/>
                <w:color w:val="auto"/>
              </w:rPr>
            </w:pPr>
            <w:r w:rsidRPr="00E1614E">
              <w:rPr>
                <w:rFonts w:eastAsia="TimesNewRoman" w:cstheme="minorHAnsi"/>
                <w:color w:val="auto"/>
              </w:rPr>
              <w:t>t</w:t>
            </w:r>
            <w:r w:rsidRPr="00E1614E">
              <w:rPr>
                <w:rFonts w:eastAsia="TimesNewRoman" w:cstheme="minorHAnsi"/>
                <w:color w:val="auto"/>
                <w:vertAlign w:val="subscript"/>
              </w:rPr>
              <w:t>1/2</w:t>
            </w:r>
          </w:p>
        </w:tc>
        <w:tc>
          <w:tcPr>
            <w:tcW w:w="6797" w:type="dxa"/>
          </w:tcPr>
          <w:p w:rsidR="000A4F79" w:rsidRPr="00E1614E" w:rsidRDefault="0064586A" w:rsidP="000A4F79">
            <w:pPr>
              <w:rPr>
                <w:rFonts w:cstheme="minorHAnsi"/>
                <w:color w:val="auto"/>
              </w:rPr>
            </w:pPr>
            <w:r>
              <w:rPr>
                <w:rFonts w:eastAsia="TimesNewRoman" w:cstheme="minorHAnsi"/>
                <w:color w:val="auto"/>
              </w:rPr>
              <w:t>E</w:t>
            </w:r>
            <w:r w:rsidR="000A4F79" w:rsidRPr="00E1614E">
              <w:rPr>
                <w:rFonts w:eastAsia="TimesNewRoman" w:cstheme="minorHAnsi"/>
                <w:color w:val="auto"/>
              </w:rPr>
              <w:t>stimate of the terminal elimination half-life</w:t>
            </w:r>
          </w:p>
        </w:tc>
      </w:tr>
      <w:tr w:rsidR="000A4F79" w:rsidRPr="00FD119B" w:rsidTr="000A4F79">
        <w:tc>
          <w:tcPr>
            <w:tcW w:w="1923" w:type="dxa"/>
          </w:tcPr>
          <w:p w:rsidR="000A4F79" w:rsidRPr="00E1614E" w:rsidRDefault="000A4F79" w:rsidP="000A4F79">
            <w:pPr>
              <w:rPr>
                <w:rFonts w:eastAsia="TimesNewRoman" w:cstheme="minorHAnsi"/>
                <w:color w:val="auto"/>
              </w:rPr>
            </w:pPr>
            <w:r w:rsidRPr="00E1614E">
              <w:rPr>
                <w:rFonts w:eastAsia="TimesNewRoman" w:cstheme="minorHAnsi"/>
                <w:color w:val="auto"/>
              </w:rPr>
              <w:t>TAF</w:t>
            </w:r>
          </w:p>
        </w:tc>
        <w:tc>
          <w:tcPr>
            <w:tcW w:w="6797" w:type="dxa"/>
          </w:tcPr>
          <w:p w:rsidR="000A4F79" w:rsidRPr="00E1614E" w:rsidRDefault="0064586A" w:rsidP="000A4F79">
            <w:pPr>
              <w:rPr>
                <w:rFonts w:eastAsia="TimesNewRoman" w:cstheme="minorHAnsi"/>
                <w:color w:val="auto"/>
              </w:rPr>
            </w:pPr>
            <w:r>
              <w:rPr>
                <w:rFonts w:eastAsia="TimesNewRoman" w:cstheme="minorHAnsi"/>
                <w:color w:val="auto"/>
              </w:rPr>
              <w:t>T</w:t>
            </w:r>
            <w:r w:rsidR="000A4F79" w:rsidRPr="00E1614E">
              <w:rPr>
                <w:rFonts w:eastAsia="TimesNewRoman" w:cstheme="minorHAnsi"/>
                <w:color w:val="auto"/>
              </w:rPr>
              <w:t>enofovir alafenamide</w:t>
            </w:r>
          </w:p>
        </w:tc>
      </w:tr>
      <w:tr w:rsidR="000A4F79" w:rsidRPr="00FD119B" w:rsidTr="000A4F79">
        <w:tc>
          <w:tcPr>
            <w:tcW w:w="1923" w:type="dxa"/>
          </w:tcPr>
          <w:p w:rsidR="000A4F79" w:rsidRPr="00E1614E" w:rsidRDefault="000A4F79" w:rsidP="000A4F79">
            <w:pPr>
              <w:rPr>
                <w:rFonts w:eastAsia="TimesNewRoman" w:cstheme="minorHAnsi"/>
                <w:color w:val="auto"/>
              </w:rPr>
            </w:pPr>
            <w:r w:rsidRPr="00E1614E">
              <w:rPr>
                <w:rFonts w:eastAsia="TimesNewRoman" w:cstheme="minorHAnsi"/>
                <w:color w:val="auto"/>
              </w:rPr>
              <w:t>TFV</w:t>
            </w:r>
          </w:p>
        </w:tc>
        <w:tc>
          <w:tcPr>
            <w:tcW w:w="6797" w:type="dxa"/>
          </w:tcPr>
          <w:p w:rsidR="000A4F79" w:rsidRPr="00E1614E" w:rsidRDefault="0064586A" w:rsidP="000A4F79">
            <w:pPr>
              <w:rPr>
                <w:color w:val="auto"/>
              </w:rPr>
            </w:pPr>
            <w:r>
              <w:rPr>
                <w:rFonts w:eastAsia="TimesNewRoman" w:cstheme="minorHAnsi"/>
                <w:color w:val="auto"/>
              </w:rPr>
              <w:t>T</w:t>
            </w:r>
            <w:r w:rsidR="000A4F79" w:rsidRPr="00E1614E">
              <w:rPr>
                <w:rFonts w:eastAsia="TimesNewRoman" w:cstheme="minorHAnsi"/>
                <w:color w:val="auto"/>
              </w:rPr>
              <w:t>enofovir</w:t>
            </w:r>
          </w:p>
        </w:tc>
      </w:tr>
      <w:tr w:rsidR="000A4F79" w:rsidRPr="00FD119B" w:rsidTr="000A4F79">
        <w:tc>
          <w:tcPr>
            <w:tcW w:w="1923" w:type="dxa"/>
          </w:tcPr>
          <w:p w:rsidR="000A4F79" w:rsidRPr="00E1614E" w:rsidRDefault="000A4F79" w:rsidP="000A4F79">
            <w:pPr>
              <w:rPr>
                <w:rFonts w:eastAsia="TimesNewRoman" w:cstheme="minorHAnsi"/>
                <w:color w:val="auto"/>
              </w:rPr>
            </w:pPr>
            <w:proofErr w:type="spellStart"/>
            <w:r w:rsidRPr="00E1614E">
              <w:rPr>
                <w:rFonts w:eastAsia="TimesNewRoman" w:cstheme="minorHAnsi"/>
                <w:color w:val="auto"/>
              </w:rPr>
              <w:t>T</w:t>
            </w:r>
            <w:r w:rsidRPr="0064586A">
              <w:rPr>
                <w:rFonts w:eastAsia="TimesNewRoman" w:cstheme="minorHAnsi"/>
                <w:color w:val="auto"/>
                <w:vertAlign w:val="subscript"/>
              </w:rPr>
              <w:t>lag</w:t>
            </w:r>
            <w:proofErr w:type="spellEnd"/>
          </w:p>
        </w:tc>
        <w:tc>
          <w:tcPr>
            <w:tcW w:w="6797" w:type="dxa"/>
          </w:tcPr>
          <w:p w:rsidR="000A4F79" w:rsidRPr="00E1614E" w:rsidRDefault="0064586A" w:rsidP="000A4F79">
            <w:pPr>
              <w:rPr>
                <w:rFonts w:eastAsia="TimesNewRoman" w:cstheme="minorHAnsi"/>
                <w:color w:val="auto"/>
              </w:rPr>
            </w:pPr>
            <w:r>
              <w:rPr>
                <w:color w:val="auto"/>
              </w:rPr>
              <w:t>A</w:t>
            </w:r>
            <w:r w:rsidR="000A4F79" w:rsidRPr="00E1614E">
              <w:rPr>
                <w:color w:val="auto"/>
              </w:rPr>
              <w:t>bsorption lag time</w:t>
            </w:r>
          </w:p>
        </w:tc>
      </w:tr>
      <w:tr w:rsidR="000A4F79" w:rsidRPr="00FD119B" w:rsidTr="000A4F79">
        <w:tc>
          <w:tcPr>
            <w:tcW w:w="1923" w:type="dxa"/>
          </w:tcPr>
          <w:p w:rsidR="000A4F79" w:rsidRPr="00E1614E" w:rsidRDefault="00CE0E69" w:rsidP="000A4F79">
            <w:pPr>
              <w:rPr>
                <w:rFonts w:cstheme="minorHAnsi"/>
                <w:color w:val="auto"/>
              </w:rPr>
            </w:pPr>
            <w:proofErr w:type="spellStart"/>
            <w:r w:rsidRPr="00132EE6">
              <w:rPr>
                <w:rFonts w:eastAsiaTheme="minorHAnsi" w:cstheme="minorHAnsi"/>
              </w:rPr>
              <w:t>T</w:t>
            </w:r>
            <w:r w:rsidRPr="00CE0E69">
              <w:rPr>
                <w:rFonts w:eastAsiaTheme="minorHAnsi" w:cstheme="minorHAnsi"/>
                <w:vertAlign w:val="subscript"/>
              </w:rPr>
              <w:t>max</w:t>
            </w:r>
            <w:proofErr w:type="spellEnd"/>
          </w:p>
        </w:tc>
        <w:tc>
          <w:tcPr>
            <w:tcW w:w="6797" w:type="dxa"/>
          </w:tcPr>
          <w:p w:rsidR="000A4F79" w:rsidRPr="00E1614E" w:rsidRDefault="0064586A" w:rsidP="000A4F79">
            <w:pPr>
              <w:rPr>
                <w:rFonts w:cstheme="minorHAnsi"/>
                <w:color w:val="auto"/>
              </w:rPr>
            </w:pPr>
            <w:r>
              <w:rPr>
                <w:rFonts w:eastAsia="TimesNewRoman" w:cstheme="minorHAnsi"/>
                <w:color w:val="auto"/>
              </w:rPr>
              <w:t>T</w:t>
            </w:r>
            <w:r w:rsidR="000A4F79" w:rsidRPr="00E1614E">
              <w:rPr>
                <w:rFonts w:eastAsia="TimesNewRoman" w:cstheme="minorHAnsi"/>
                <w:color w:val="auto"/>
              </w:rPr>
              <w:t xml:space="preserve">ime (observed time point) of </w:t>
            </w:r>
            <w:proofErr w:type="spellStart"/>
            <w:r w:rsidR="000A4F79" w:rsidRPr="00E1614E">
              <w:rPr>
                <w:rFonts w:eastAsia="TimesNewRoman" w:cstheme="minorHAnsi"/>
                <w:color w:val="auto"/>
              </w:rPr>
              <w:t>C</w:t>
            </w:r>
            <w:r w:rsidR="000A4F79" w:rsidRPr="0064586A">
              <w:rPr>
                <w:rFonts w:eastAsia="TimesNewRoman" w:cstheme="minorHAnsi"/>
                <w:color w:val="auto"/>
                <w:vertAlign w:val="subscript"/>
              </w:rPr>
              <w:t>max</w:t>
            </w:r>
            <w:proofErr w:type="spellEnd"/>
          </w:p>
        </w:tc>
      </w:tr>
      <w:tr w:rsidR="000A4F79" w:rsidRPr="00FD119B" w:rsidTr="000A4F79">
        <w:tc>
          <w:tcPr>
            <w:tcW w:w="1923" w:type="dxa"/>
          </w:tcPr>
          <w:p w:rsidR="000A4F79" w:rsidRPr="00E1614E" w:rsidRDefault="0064586A" w:rsidP="000A4F79">
            <w:pPr>
              <w:rPr>
                <w:rFonts w:eastAsia="TimesNewRoman" w:cs="TimesNewRoman"/>
                <w:color w:val="auto"/>
              </w:rPr>
            </w:pPr>
            <w:r>
              <w:rPr>
                <w:rFonts w:eastAsia="TimesNewRoman" w:cs="TimesNewRoman"/>
                <w:color w:val="auto"/>
              </w:rPr>
              <w:t>UGT1A1</w:t>
            </w:r>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U</w:t>
            </w:r>
            <w:r w:rsidR="000A4F79" w:rsidRPr="00E1614E">
              <w:rPr>
                <w:rFonts w:eastAsia="TimesNewRoman" w:cs="TimesNewRoman"/>
                <w:color w:val="auto"/>
              </w:rPr>
              <w:t>ridine diphosphate glucuronosyltransferase 1A1</w:t>
            </w:r>
          </w:p>
        </w:tc>
      </w:tr>
      <w:tr w:rsidR="000A4F79" w:rsidRPr="00FD119B" w:rsidTr="000A4F79">
        <w:tc>
          <w:tcPr>
            <w:tcW w:w="1923" w:type="dxa"/>
          </w:tcPr>
          <w:p w:rsidR="000A4F79" w:rsidRPr="00E1614E" w:rsidRDefault="0064586A" w:rsidP="000A4F79">
            <w:pPr>
              <w:rPr>
                <w:rFonts w:eastAsia="TimesNewRoman" w:cs="TimesNewRoman"/>
                <w:color w:val="auto"/>
              </w:rPr>
            </w:pPr>
            <w:r>
              <w:rPr>
                <w:rFonts w:eastAsia="TimesNewRoman" w:cs="TimesNewRoman"/>
                <w:color w:val="auto"/>
              </w:rPr>
              <w:t>ULN</w:t>
            </w:r>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U</w:t>
            </w:r>
            <w:r w:rsidR="000A4F79" w:rsidRPr="00E1614E">
              <w:rPr>
                <w:rFonts w:eastAsia="TimesNewRoman" w:cs="TimesNewRoman"/>
                <w:color w:val="auto"/>
              </w:rPr>
              <w:t>pper limit of normal</w:t>
            </w:r>
          </w:p>
        </w:tc>
      </w:tr>
      <w:tr w:rsidR="000A4F79" w:rsidRPr="00FD119B" w:rsidTr="000A4F79">
        <w:tc>
          <w:tcPr>
            <w:tcW w:w="1923" w:type="dxa"/>
          </w:tcPr>
          <w:p w:rsidR="000A4F79" w:rsidRPr="00E1614E" w:rsidRDefault="009E6C8F" w:rsidP="000A4F79">
            <w:pPr>
              <w:rPr>
                <w:rFonts w:eastAsia="TimesNewRoman" w:cs="TimesNewRoman"/>
                <w:color w:val="auto"/>
              </w:rPr>
            </w:pPr>
            <w:r>
              <w:rPr>
                <w:rFonts w:eastAsia="TimesNewRoman" w:cs="TimesNewRoman"/>
                <w:color w:val="auto"/>
              </w:rPr>
              <w:t>US</w:t>
            </w:r>
          </w:p>
        </w:tc>
        <w:tc>
          <w:tcPr>
            <w:tcW w:w="6797" w:type="dxa"/>
          </w:tcPr>
          <w:p w:rsidR="000A4F79" w:rsidRPr="00E1614E" w:rsidRDefault="000A4F79" w:rsidP="000A4F79">
            <w:pPr>
              <w:rPr>
                <w:rFonts w:eastAsia="TimesNewRoman" w:cs="TimesNewRoman"/>
                <w:color w:val="auto"/>
              </w:rPr>
            </w:pPr>
            <w:r w:rsidRPr="00E1614E">
              <w:rPr>
                <w:rFonts w:eastAsia="TimesNewRoman" w:cs="TimesNewRoman"/>
                <w:color w:val="auto"/>
              </w:rPr>
              <w:t>United States</w:t>
            </w:r>
          </w:p>
        </w:tc>
      </w:tr>
      <w:tr w:rsidR="000A4F79" w:rsidRPr="00FD119B" w:rsidTr="000A4F79">
        <w:tc>
          <w:tcPr>
            <w:tcW w:w="1923" w:type="dxa"/>
          </w:tcPr>
          <w:p w:rsidR="000A4F79" w:rsidRPr="00E1614E" w:rsidRDefault="000A4F79" w:rsidP="000A4F79">
            <w:pPr>
              <w:rPr>
                <w:rFonts w:cstheme="minorHAnsi"/>
                <w:color w:val="auto"/>
              </w:rPr>
            </w:pPr>
            <w:proofErr w:type="spellStart"/>
            <w:r w:rsidRPr="00E1614E">
              <w:rPr>
                <w:rFonts w:cstheme="minorHAnsi"/>
                <w:color w:val="auto"/>
              </w:rPr>
              <w:t>Vc</w:t>
            </w:r>
            <w:proofErr w:type="spellEnd"/>
          </w:p>
        </w:tc>
        <w:tc>
          <w:tcPr>
            <w:tcW w:w="6797" w:type="dxa"/>
          </w:tcPr>
          <w:p w:rsidR="000A4F79" w:rsidRPr="00E1614E" w:rsidRDefault="0064586A" w:rsidP="000A4F79">
            <w:pPr>
              <w:rPr>
                <w:rFonts w:cstheme="minorHAnsi"/>
                <w:color w:val="auto"/>
              </w:rPr>
            </w:pPr>
            <w:r>
              <w:rPr>
                <w:color w:val="auto"/>
              </w:rPr>
              <w:t>C</w:t>
            </w:r>
            <w:r w:rsidR="000A4F79" w:rsidRPr="00E1614E">
              <w:rPr>
                <w:color w:val="auto"/>
              </w:rPr>
              <w:t>entral volume</w:t>
            </w:r>
          </w:p>
        </w:tc>
      </w:tr>
      <w:tr w:rsidR="000A4F79" w:rsidRPr="00FD119B" w:rsidTr="000A4F79">
        <w:tc>
          <w:tcPr>
            <w:tcW w:w="1923" w:type="dxa"/>
          </w:tcPr>
          <w:p w:rsidR="000A4F79" w:rsidRPr="00E1614E" w:rsidRDefault="000A4F79" w:rsidP="000A4F79">
            <w:pPr>
              <w:rPr>
                <w:rFonts w:cstheme="minorHAnsi"/>
                <w:color w:val="auto"/>
              </w:rPr>
            </w:pPr>
            <w:proofErr w:type="spellStart"/>
            <w:r w:rsidRPr="00E1614E">
              <w:rPr>
                <w:rFonts w:cstheme="minorHAnsi"/>
                <w:color w:val="auto"/>
              </w:rPr>
              <w:lastRenderedPageBreak/>
              <w:t>Vc</w:t>
            </w:r>
            <w:proofErr w:type="spellEnd"/>
            <w:r w:rsidRPr="00E1614E">
              <w:rPr>
                <w:rFonts w:cstheme="minorHAnsi"/>
                <w:color w:val="auto"/>
              </w:rPr>
              <w:t>/F</w:t>
            </w:r>
          </w:p>
        </w:tc>
        <w:tc>
          <w:tcPr>
            <w:tcW w:w="6797" w:type="dxa"/>
          </w:tcPr>
          <w:p w:rsidR="000A4F79" w:rsidRPr="00E1614E" w:rsidRDefault="0064586A" w:rsidP="000A4F79">
            <w:pPr>
              <w:rPr>
                <w:color w:val="auto"/>
              </w:rPr>
            </w:pPr>
            <w:r>
              <w:rPr>
                <w:rFonts w:eastAsia="TimesNewRoman"/>
                <w:color w:val="auto"/>
              </w:rPr>
              <w:t>A</w:t>
            </w:r>
            <w:r w:rsidR="000A4F79" w:rsidRPr="00E1614E">
              <w:rPr>
                <w:rFonts w:eastAsia="TimesNewRoman"/>
                <w:color w:val="auto"/>
              </w:rPr>
              <w:t>pparent central volume</w:t>
            </w:r>
          </w:p>
        </w:tc>
      </w:tr>
      <w:tr w:rsidR="000A4F79" w:rsidRPr="00FD119B" w:rsidTr="000A4F79">
        <w:tc>
          <w:tcPr>
            <w:tcW w:w="1923" w:type="dxa"/>
          </w:tcPr>
          <w:p w:rsidR="000A4F79" w:rsidRPr="00E1614E" w:rsidRDefault="0064586A" w:rsidP="000A4F79">
            <w:pPr>
              <w:rPr>
                <w:rFonts w:eastAsia="TimesNewRoman" w:cs="TimesNewRoman"/>
                <w:color w:val="auto"/>
              </w:rPr>
            </w:pPr>
            <w:r>
              <w:rPr>
                <w:rFonts w:eastAsia="TimesNewRoman" w:cs="TimesNewRoman"/>
                <w:color w:val="auto"/>
              </w:rPr>
              <w:t>VEL</w:t>
            </w:r>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V</w:t>
            </w:r>
            <w:r w:rsidR="000A4F79" w:rsidRPr="00E1614E">
              <w:rPr>
                <w:rFonts w:eastAsia="TimesNewRoman" w:cs="TimesNewRoman"/>
                <w:color w:val="auto"/>
              </w:rPr>
              <w:t>elpatasvir (</w:t>
            </w:r>
            <w:r w:rsidR="00A2119F">
              <w:rPr>
                <w:rFonts w:eastAsia="TimesNewRoman" w:cs="TimesNewRoman"/>
                <w:color w:val="auto"/>
              </w:rPr>
              <w:t xml:space="preserve">drug development name: </w:t>
            </w:r>
            <w:r w:rsidR="000A4F79" w:rsidRPr="00E1614E">
              <w:rPr>
                <w:rFonts w:eastAsia="TimesNewRoman" w:cs="TimesNewRoman"/>
                <w:color w:val="auto"/>
              </w:rPr>
              <w:t>GS-5816)</w:t>
            </w:r>
          </w:p>
        </w:tc>
      </w:tr>
      <w:tr w:rsidR="000A4F79" w:rsidRPr="00FD119B" w:rsidTr="000A4F79">
        <w:tc>
          <w:tcPr>
            <w:tcW w:w="1923" w:type="dxa"/>
          </w:tcPr>
          <w:p w:rsidR="000A4F79" w:rsidRPr="00E1614E" w:rsidRDefault="00476CD0" w:rsidP="000A4F79">
            <w:pPr>
              <w:rPr>
                <w:rFonts w:cstheme="minorHAnsi"/>
                <w:color w:val="auto"/>
              </w:rPr>
            </w:pPr>
            <w:r>
              <w:rPr>
                <w:color w:val="auto"/>
              </w:rPr>
              <w:t>Vosevi</w:t>
            </w:r>
          </w:p>
        </w:tc>
        <w:tc>
          <w:tcPr>
            <w:tcW w:w="6797" w:type="dxa"/>
          </w:tcPr>
          <w:p w:rsidR="000A4F79" w:rsidRPr="00E1614E" w:rsidRDefault="0064586A" w:rsidP="000A4F79">
            <w:pPr>
              <w:rPr>
                <w:rFonts w:cstheme="minorHAnsi"/>
                <w:color w:val="auto"/>
              </w:rPr>
            </w:pPr>
            <w:r>
              <w:rPr>
                <w:rFonts w:cstheme="minorHAnsi"/>
                <w:color w:val="auto"/>
              </w:rPr>
              <w:t>S</w:t>
            </w:r>
            <w:r w:rsidR="000A4F79" w:rsidRPr="00E1614E">
              <w:rPr>
                <w:rFonts w:cstheme="minorHAnsi"/>
                <w:color w:val="auto"/>
              </w:rPr>
              <w:t>ofosbuvir/velpatasvir/voxilaprevir</w:t>
            </w:r>
          </w:p>
        </w:tc>
      </w:tr>
      <w:tr w:rsidR="000A4F79" w:rsidRPr="00FD119B" w:rsidTr="000A4F79">
        <w:tc>
          <w:tcPr>
            <w:tcW w:w="1923" w:type="dxa"/>
          </w:tcPr>
          <w:p w:rsidR="000A4F79" w:rsidRPr="00E1614E" w:rsidRDefault="0064586A" w:rsidP="000A4F79">
            <w:pPr>
              <w:rPr>
                <w:rFonts w:eastAsia="TimesNewRoman" w:cs="TimesNewRoman"/>
                <w:color w:val="auto"/>
              </w:rPr>
            </w:pPr>
            <w:r>
              <w:rPr>
                <w:rFonts w:eastAsia="TimesNewRoman" w:cs="TimesNewRoman"/>
                <w:color w:val="auto"/>
              </w:rPr>
              <w:t>VOX</w:t>
            </w:r>
          </w:p>
        </w:tc>
        <w:tc>
          <w:tcPr>
            <w:tcW w:w="6797" w:type="dxa"/>
          </w:tcPr>
          <w:p w:rsidR="000A4F79" w:rsidRPr="00E1614E" w:rsidRDefault="0064586A" w:rsidP="000A4F79">
            <w:pPr>
              <w:rPr>
                <w:rFonts w:eastAsia="TimesNewRoman" w:cs="TimesNewRoman"/>
                <w:color w:val="auto"/>
              </w:rPr>
            </w:pPr>
            <w:r>
              <w:rPr>
                <w:rFonts w:eastAsia="TimesNewRoman" w:cs="TimesNewRoman"/>
                <w:color w:val="auto"/>
              </w:rPr>
              <w:t>V</w:t>
            </w:r>
            <w:r w:rsidR="000A4F79" w:rsidRPr="00E1614E">
              <w:rPr>
                <w:rFonts w:eastAsia="TimesNewRoman" w:cs="TimesNewRoman"/>
                <w:color w:val="auto"/>
              </w:rPr>
              <w:t>oxilaprevir (</w:t>
            </w:r>
            <w:r w:rsidR="00A2119F">
              <w:rPr>
                <w:rFonts w:eastAsia="TimesNewRoman" w:cs="TimesNewRoman"/>
                <w:color w:val="auto"/>
              </w:rPr>
              <w:t xml:space="preserve">drug development name: </w:t>
            </w:r>
            <w:r w:rsidR="000A4F79" w:rsidRPr="00E1614E">
              <w:rPr>
                <w:rFonts w:eastAsia="TimesNewRoman" w:cs="TimesNewRoman"/>
                <w:color w:val="auto"/>
              </w:rPr>
              <w:t>GS-9857)</w:t>
            </w:r>
          </w:p>
        </w:tc>
      </w:tr>
      <w:tr w:rsidR="000A4F79" w:rsidRPr="00FD119B" w:rsidTr="000A4F79">
        <w:tc>
          <w:tcPr>
            <w:tcW w:w="1923" w:type="dxa"/>
          </w:tcPr>
          <w:p w:rsidR="000A4F79" w:rsidRPr="00E1614E" w:rsidRDefault="000A4F79" w:rsidP="000A4F79">
            <w:pPr>
              <w:rPr>
                <w:rFonts w:cstheme="minorHAnsi"/>
                <w:color w:val="auto"/>
              </w:rPr>
            </w:pPr>
            <w:proofErr w:type="spellStart"/>
            <w:r w:rsidRPr="00E1614E">
              <w:rPr>
                <w:rFonts w:cstheme="minorHAnsi"/>
                <w:color w:val="auto"/>
              </w:rPr>
              <w:t>Vp</w:t>
            </w:r>
            <w:proofErr w:type="spellEnd"/>
          </w:p>
        </w:tc>
        <w:tc>
          <w:tcPr>
            <w:tcW w:w="6797" w:type="dxa"/>
          </w:tcPr>
          <w:p w:rsidR="000A4F79" w:rsidRPr="00E1614E" w:rsidRDefault="0064586A" w:rsidP="000A4F79">
            <w:pPr>
              <w:rPr>
                <w:rFonts w:eastAsia="TimesNewRoman"/>
                <w:color w:val="auto"/>
              </w:rPr>
            </w:pPr>
            <w:r>
              <w:rPr>
                <w:rFonts w:eastAsia="TimesNewRoman"/>
                <w:color w:val="auto"/>
              </w:rPr>
              <w:t>P</w:t>
            </w:r>
            <w:r w:rsidR="000A4F79" w:rsidRPr="00E1614E">
              <w:rPr>
                <w:rFonts w:eastAsia="TimesNewRoman"/>
                <w:color w:val="auto"/>
              </w:rPr>
              <w:t>eripheral volume</w:t>
            </w:r>
          </w:p>
        </w:tc>
      </w:tr>
      <w:tr w:rsidR="000A4F79" w:rsidRPr="00FD119B" w:rsidTr="000A4F79">
        <w:tc>
          <w:tcPr>
            <w:tcW w:w="1923" w:type="dxa"/>
          </w:tcPr>
          <w:p w:rsidR="000A4F79" w:rsidRPr="00E1614E" w:rsidRDefault="000A4F79" w:rsidP="000A4F79">
            <w:pPr>
              <w:rPr>
                <w:rFonts w:cstheme="minorHAnsi"/>
                <w:color w:val="auto"/>
              </w:rPr>
            </w:pPr>
            <w:proofErr w:type="spellStart"/>
            <w:r w:rsidRPr="00E1614E">
              <w:rPr>
                <w:rFonts w:cstheme="minorHAnsi"/>
                <w:color w:val="auto"/>
              </w:rPr>
              <w:t>Vp</w:t>
            </w:r>
            <w:proofErr w:type="spellEnd"/>
            <w:r w:rsidRPr="00E1614E">
              <w:rPr>
                <w:rFonts w:cstheme="minorHAnsi"/>
                <w:color w:val="auto"/>
              </w:rPr>
              <w:t>/F</w:t>
            </w:r>
          </w:p>
        </w:tc>
        <w:tc>
          <w:tcPr>
            <w:tcW w:w="6797" w:type="dxa"/>
          </w:tcPr>
          <w:p w:rsidR="000A4F79" w:rsidRPr="00E1614E" w:rsidRDefault="0064586A" w:rsidP="000A4F79">
            <w:pPr>
              <w:rPr>
                <w:rFonts w:cstheme="minorHAnsi"/>
                <w:color w:val="auto"/>
              </w:rPr>
            </w:pPr>
            <w:r>
              <w:rPr>
                <w:rFonts w:eastAsia="TimesNewRoman"/>
                <w:color w:val="auto"/>
              </w:rPr>
              <w:t>A</w:t>
            </w:r>
            <w:r w:rsidR="000A4F79" w:rsidRPr="00E1614E">
              <w:rPr>
                <w:rFonts w:eastAsia="TimesNewRoman"/>
                <w:color w:val="auto"/>
              </w:rPr>
              <w:t>pparent peripheral volume</w:t>
            </w:r>
          </w:p>
        </w:tc>
      </w:tr>
      <w:tr w:rsidR="000A4F79" w:rsidRPr="00FD119B" w:rsidTr="000A4F79">
        <w:tc>
          <w:tcPr>
            <w:tcW w:w="1923" w:type="dxa"/>
          </w:tcPr>
          <w:p w:rsidR="000A4F79" w:rsidRPr="00E1614E" w:rsidRDefault="000A4F79" w:rsidP="000A4F79">
            <w:pPr>
              <w:rPr>
                <w:rFonts w:cstheme="minorHAnsi"/>
                <w:color w:val="auto"/>
              </w:rPr>
            </w:pPr>
            <w:proofErr w:type="spellStart"/>
            <w:r w:rsidRPr="00E1614E">
              <w:rPr>
                <w:rFonts w:cstheme="minorHAnsi"/>
                <w:color w:val="auto"/>
              </w:rPr>
              <w:t>Vz</w:t>
            </w:r>
            <w:proofErr w:type="spellEnd"/>
            <w:r w:rsidRPr="00E1614E">
              <w:rPr>
                <w:rFonts w:cstheme="minorHAnsi"/>
                <w:color w:val="auto"/>
              </w:rPr>
              <w:t>/F</w:t>
            </w:r>
          </w:p>
        </w:tc>
        <w:tc>
          <w:tcPr>
            <w:tcW w:w="6797" w:type="dxa"/>
          </w:tcPr>
          <w:p w:rsidR="000A4F79" w:rsidRPr="00E1614E" w:rsidRDefault="0064586A" w:rsidP="000A4F79">
            <w:pPr>
              <w:rPr>
                <w:rFonts w:cstheme="minorHAnsi"/>
                <w:color w:val="auto"/>
              </w:rPr>
            </w:pPr>
            <w:r>
              <w:rPr>
                <w:rFonts w:eastAsia="TimesNewRoman"/>
                <w:color w:val="auto"/>
              </w:rPr>
              <w:t>A</w:t>
            </w:r>
            <w:r w:rsidR="000A4F79" w:rsidRPr="00E1614E">
              <w:rPr>
                <w:rFonts w:eastAsia="TimesNewRoman"/>
                <w:color w:val="auto"/>
              </w:rPr>
              <w:t>pparent volume of distribution</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8291102"/>
      <w:r>
        <w:lastRenderedPageBreak/>
        <w:t>I.</w:t>
      </w:r>
      <w:r w:rsidR="008E7846">
        <w:t xml:space="preserve"> Introduction to product submission</w:t>
      </w:r>
      <w:bookmarkEnd w:id="3"/>
      <w:bookmarkEnd w:id="1"/>
      <w:bookmarkEnd w:id="9"/>
    </w:p>
    <w:p w:rsidR="008E7846" w:rsidRDefault="008E7846" w:rsidP="008E7846">
      <w:pPr>
        <w:pStyle w:val="Heading3"/>
        <w:rPr>
          <w:lang w:eastAsia="en-AU"/>
        </w:rPr>
      </w:pPr>
      <w:bookmarkStart w:id="10" w:name="_Toc247691502"/>
      <w:bookmarkStart w:id="11" w:name="_Toc314842483"/>
      <w:bookmarkStart w:id="12" w:name="_Toc829110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3735BC">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6D5948">
            <w:r w:rsidRPr="003D1E62">
              <w:t xml:space="preserve">New </w:t>
            </w:r>
            <w:r w:rsidR="001B5C90">
              <w:t>c</w:t>
            </w:r>
            <w:r w:rsidRPr="003D1E62">
              <w:t xml:space="preserve">hemical </w:t>
            </w:r>
            <w:r w:rsidR="001B5C90">
              <w:t>e</w:t>
            </w:r>
            <w:r w:rsidR="006D5948">
              <w:t>ntity in fixed dose combination</w:t>
            </w:r>
          </w:p>
        </w:tc>
      </w:tr>
      <w:tr w:rsidR="008E7846" w:rsidRPr="003D1E62" w:rsidTr="003735BC">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6D5948" w:rsidP="006D5948">
            <w:r>
              <w:t>Approved</w:t>
            </w:r>
          </w:p>
        </w:tc>
      </w:tr>
      <w:tr w:rsidR="008E7846" w:rsidRPr="003D1E62" w:rsidTr="003735BC">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6D5948" w:rsidP="001B5C90">
            <w:r>
              <w:t>13 March 2018</w:t>
            </w:r>
          </w:p>
        </w:tc>
      </w:tr>
      <w:tr w:rsidR="00ED2922" w:rsidRPr="003D1E62" w:rsidTr="003735BC">
        <w:tc>
          <w:tcPr>
            <w:tcW w:w="2907" w:type="dxa"/>
          </w:tcPr>
          <w:p w:rsidR="00ED2922" w:rsidRPr="00441C3F" w:rsidRDefault="00ED2922" w:rsidP="001B5C90">
            <w:pPr>
              <w:rPr>
                <w:i/>
              </w:rPr>
            </w:pPr>
            <w:r w:rsidRPr="00441C3F">
              <w:rPr>
                <w:i/>
              </w:rPr>
              <w:t>Date of entry onto ARTG</w:t>
            </w:r>
            <w:r w:rsidR="00500337">
              <w:rPr>
                <w:i/>
              </w:rPr>
              <w:t>:</w:t>
            </w:r>
          </w:p>
        </w:tc>
        <w:tc>
          <w:tcPr>
            <w:tcW w:w="6307" w:type="dxa"/>
          </w:tcPr>
          <w:p w:rsidR="00ED2922" w:rsidRPr="00441C3F" w:rsidRDefault="006D5948" w:rsidP="00EC463D">
            <w:pPr>
              <w:rPr>
                <w:i/>
              </w:rPr>
            </w:pPr>
            <w:r>
              <w:t>16 March 2018</w:t>
            </w:r>
          </w:p>
        </w:tc>
      </w:tr>
      <w:tr w:rsidR="00500337" w:rsidRPr="003D1E62" w:rsidTr="003735BC">
        <w:tc>
          <w:tcPr>
            <w:tcW w:w="2907" w:type="dxa"/>
          </w:tcPr>
          <w:p w:rsidR="00500337" w:rsidRPr="00441C3F" w:rsidRDefault="006D5948" w:rsidP="001B5C90">
            <w:pPr>
              <w:rPr>
                <w:i/>
              </w:rPr>
            </w:pPr>
            <w:r>
              <w:rPr>
                <w:i/>
              </w:rPr>
              <w:t>ARTG number</w:t>
            </w:r>
            <w:r w:rsidR="00500337">
              <w:rPr>
                <w:i/>
              </w:rPr>
              <w:t>:</w:t>
            </w:r>
          </w:p>
        </w:tc>
        <w:tc>
          <w:tcPr>
            <w:tcW w:w="6307" w:type="dxa"/>
          </w:tcPr>
          <w:p w:rsidR="00500337" w:rsidRPr="00441C3F" w:rsidRDefault="006D5948" w:rsidP="00EC463D">
            <w:r>
              <w:t>286358</w:t>
            </w:r>
          </w:p>
        </w:tc>
      </w:tr>
      <w:tr w:rsidR="003735BC" w:rsidRPr="003D1E62" w:rsidTr="003735BC">
        <w:tc>
          <w:tcPr>
            <w:tcW w:w="2907" w:type="dxa"/>
          </w:tcPr>
          <w:p w:rsidR="003735BC" w:rsidRPr="00B0055C" w:rsidRDefault="00FA5069" w:rsidP="001B5C90">
            <w:pPr>
              <w:rPr>
                <w:i/>
              </w:rPr>
            </w:pPr>
            <w:r w:rsidRPr="00B0055C">
              <w:rPr>
                <w:rFonts w:ascii="Wingdings 3" w:hAnsi="Wingdings 3"/>
                <w:sz w:val="34"/>
                <w:szCs w:val="34"/>
                <w:lang w:eastAsia="en-AU"/>
              </w:rPr>
              <w:t></w:t>
            </w:r>
            <w:r w:rsidR="003735BC" w:rsidRPr="00B0055C">
              <w:rPr>
                <w:i/>
              </w:rPr>
              <w:t>Black Triangle Scheme</w:t>
            </w:r>
          </w:p>
        </w:tc>
        <w:tc>
          <w:tcPr>
            <w:tcW w:w="6307" w:type="dxa"/>
          </w:tcPr>
          <w:p w:rsidR="003735BC" w:rsidRPr="00B0055C" w:rsidRDefault="00B0055C" w:rsidP="003735BC">
            <w:r w:rsidRPr="00B0055C">
              <w:t>Yes</w:t>
            </w:r>
          </w:p>
          <w:p w:rsidR="003735BC" w:rsidRPr="00B0055C" w:rsidRDefault="003735BC" w:rsidP="00B0055C">
            <w:r w:rsidRPr="00B0055C">
              <w:t xml:space="preserve">This product will remain in the scheme for 5 years, starting on the date the product is first supplied in </w:t>
            </w:r>
            <w:r w:rsidR="00B0055C">
              <w:t>Australia.</w:t>
            </w:r>
          </w:p>
        </w:tc>
      </w:tr>
      <w:tr w:rsidR="008E7846" w:rsidRPr="00487162" w:rsidTr="00BF1190">
        <w:tc>
          <w:tcPr>
            <w:tcW w:w="2907" w:type="dxa"/>
          </w:tcPr>
          <w:p w:rsidR="008E7846" w:rsidRPr="00487162" w:rsidRDefault="006D5948" w:rsidP="00E45619">
            <w:pPr>
              <w:rPr>
                <w:i/>
              </w:rPr>
            </w:pPr>
            <w:r>
              <w:rPr>
                <w:i/>
              </w:rPr>
              <w:t>Active ingredients</w:t>
            </w:r>
            <w:r w:rsidR="001B5C90">
              <w:rPr>
                <w:i/>
              </w:rPr>
              <w:t>:</w:t>
            </w:r>
          </w:p>
        </w:tc>
        <w:tc>
          <w:tcPr>
            <w:tcW w:w="6307" w:type="dxa"/>
          </w:tcPr>
          <w:p w:rsidR="008E7846" w:rsidRPr="00487162" w:rsidRDefault="006D5948" w:rsidP="006D5948">
            <w:r w:rsidRPr="006D5948">
              <w:t>Sofosbuv</w:t>
            </w:r>
            <w:r w:rsidR="00C26BA7">
              <w:t>ir/Velpatasvir/</w:t>
            </w:r>
            <w:r>
              <w:t>Voxilaprevir</w:t>
            </w:r>
          </w:p>
        </w:tc>
      </w:tr>
      <w:tr w:rsidR="008E7846" w:rsidRPr="00487162" w:rsidTr="00BF1190">
        <w:tc>
          <w:tcPr>
            <w:tcW w:w="2907" w:type="dxa"/>
          </w:tcPr>
          <w:p w:rsidR="008E7846" w:rsidRPr="00487162" w:rsidRDefault="008E7846" w:rsidP="001B5C90">
            <w:pPr>
              <w:rPr>
                <w:i/>
              </w:rPr>
            </w:pPr>
            <w:r w:rsidRPr="00487162">
              <w:rPr>
                <w:i/>
              </w:rPr>
              <w:t>Product</w:t>
            </w:r>
            <w:r w:rsidR="001B5C90">
              <w:rPr>
                <w:i/>
              </w:rPr>
              <w:t xml:space="preserve"> </w:t>
            </w:r>
            <w:r w:rsidR="006D5948">
              <w:rPr>
                <w:i/>
              </w:rPr>
              <w:t>name</w:t>
            </w:r>
            <w:r w:rsidR="001B5C90">
              <w:rPr>
                <w:i/>
              </w:rPr>
              <w:t>:</w:t>
            </w:r>
          </w:p>
        </w:tc>
        <w:tc>
          <w:tcPr>
            <w:tcW w:w="6307" w:type="dxa"/>
          </w:tcPr>
          <w:p w:rsidR="008E7846" w:rsidRPr="00487162" w:rsidRDefault="006D5948" w:rsidP="00E45619">
            <w:r w:rsidRPr="006D5948">
              <w:t>Vosevi</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6D5948" w:rsidP="00E45619">
            <w:r>
              <w:t>Gilead Sciences Pty Ltd</w:t>
            </w:r>
          </w:p>
          <w:p w:rsidR="006D5948" w:rsidRDefault="006D5948" w:rsidP="00E45619">
            <w:r>
              <w:t>Level 6 / 417 St Kilda Rd</w:t>
            </w:r>
          </w:p>
          <w:p w:rsidR="006D5948" w:rsidRPr="00487162" w:rsidRDefault="006D5948" w:rsidP="00E45619">
            <w:r>
              <w:t>Melbourne VIC 3004</w:t>
            </w:r>
          </w:p>
        </w:tc>
      </w:tr>
      <w:tr w:rsidR="008E7846" w:rsidRPr="00487162" w:rsidTr="00BF1190">
        <w:tc>
          <w:tcPr>
            <w:tcW w:w="2907" w:type="dxa"/>
          </w:tcPr>
          <w:p w:rsidR="008E7846" w:rsidRPr="00487162" w:rsidRDefault="006D5948" w:rsidP="00E45619">
            <w:pPr>
              <w:rPr>
                <w:i/>
              </w:rPr>
            </w:pPr>
            <w:r>
              <w:rPr>
                <w:i/>
              </w:rPr>
              <w:t>Dose form</w:t>
            </w:r>
            <w:r w:rsidR="001B5C90">
              <w:rPr>
                <w:i/>
              </w:rPr>
              <w:t>:</w:t>
            </w:r>
          </w:p>
        </w:tc>
        <w:tc>
          <w:tcPr>
            <w:tcW w:w="6307" w:type="dxa"/>
          </w:tcPr>
          <w:p w:rsidR="008E7846" w:rsidRPr="00487162" w:rsidRDefault="006D5948" w:rsidP="00E45619">
            <w:r>
              <w:t>Tablet</w:t>
            </w:r>
          </w:p>
        </w:tc>
      </w:tr>
      <w:tr w:rsidR="008E7846" w:rsidRPr="00487162" w:rsidTr="00BF1190">
        <w:tc>
          <w:tcPr>
            <w:tcW w:w="2907" w:type="dxa"/>
          </w:tcPr>
          <w:p w:rsidR="008E7846" w:rsidRPr="00487162" w:rsidRDefault="00C26BA7" w:rsidP="00E45619">
            <w:pPr>
              <w:rPr>
                <w:i/>
              </w:rPr>
            </w:pPr>
            <w:r>
              <w:rPr>
                <w:i/>
              </w:rPr>
              <w:t>Strength</w:t>
            </w:r>
            <w:r w:rsidR="008E7846" w:rsidRPr="00487162">
              <w:rPr>
                <w:i/>
              </w:rPr>
              <w:t xml:space="preserve">: </w:t>
            </w:r>
          </w:p>
        </w:tc>
        <w:tc>
          <w:tcPr>
            <w:tcW w:w="6307" w:type="dxa"/>
          </w:tcPr>
          <w:p w:rsidR="008E7846" w:rsidRPr="00487162" w:rsidRDefault="00C26BA7" w:rsidP="00E45619">
            <w:r>
              <w:t>400</w:t>
            </w:r>
            <w:r w:rsidR="00AA5E62">
              <w:t xml:space="preserve"> mg</w:t>
            </w:r>
            <w:r>
              <w:t xml:space="preserve"> (</w:t>
            </w:r>
            <w:r w:rsidRPr="006D5948">
              <w:t>sofosbuv</w:t>
            </w:r>
            <w:r>
              <w:t>ir)/100</w:t>
            </w:r>
            <w:r w:rsidR="00AA5E62">
              <w:t xml:space="preserve"> mg</w:t>
            </w:r>
            <w:r>
              <w:t xml:space="preserve"> (velpatasvir)/100</w:t>
            </w:r>
            <w:r w:rsidR="00AA5E62">
              <w:t xml:space="preserve"> mg</w:t>
            </w:r>
            <w:r>
              <w:t xml:space="preserve"> (voxilaprevir)</w:t>
            </w:r>
          </w:p>
        </w:tc>
      </w:tr>
      <w:tr w:rsidR="008E7846" w:rsidRPr="00487162" w:rsidTr="00BF1190">
        <w:tc>
          <w:tcPr>
            <w:tcW w:w="2907" w:type="dxa"/>
          </w:tcPr>
          <w:p w:rsidR="008E7846" w:rsidRPr="00487162" w:rsidRDefault="006D5948" w:rsidP="00E45619">
            <w:pPr>
              <w:rPr>
                <w:i/>
              </w:rPr>
            </w:pPr>
            <w:r>
              <w:rPr>
                <w:i/>
              </w:rPr>
              <w:t>Container</w:t>
            </w:r>
            <w:r w:rsidR="008E7846" w:rsidRPr="00487162">
              <w:rPr>
                <w:i/>
              </w:rPr>
              <w:t>:</w:t>
            </w:r>
          </w:p>
        </w:tc>
        <w:tc>
          <w:tcPr>
            <w:tcW w:w="6307" w:type="dxa"/>
          </w:tcPr>
          <w:p w:rsidR="008E7846" w:rsidRPr="00487162" w:rsidRDefault="006D5948" w:rsidP="00E45619">
            <w:r>
              <w:t>Bottle</w:t>
            </w:r>
          </w:p>
        </w:tc>
      </w:tr>
      <w:tr w:rsidR="008E7846" w:rsidRPr="00487162" w:rsidTr="00BF1190">
        <w:tc>
          <w:tcPr>
            <w:tcW w:w="2907" w:type="dxa"/>
          </w:tcPr>
          <w:p w:rsidR="008E7846" w:rsidRPr="00487162" w:rsidRDefault="006D5948" w:rsidP="00E45619">
            <w:pPr>
              <w:rPr>
                <w:i/>
              </w:rPr>
            </w:pPr>
            <w:r>
              <w:rPr>
                <w:i/>
              </w:rPr>
              <w:t>Pack sizes</w:t>
            </w:r>
            <w:r w:rsidR="008E7846" w:rsidRPr="00487162">
              <w:rPr>
                <w:i/>
              </w:rPr>
              <w:t>:</w:t>
            </w:r>
          </w:p>
        </w:tc>
        <w:tc>
          <w:tcPr>
            <w:tcW w:w="6307" w:type="dxa"/>
          </w:tcPr>
          <w:p w:rsidR="008E7846" w:rsidRPr="00487162" w:rsidRDefault="006D5948" w:rsidP="00E45619">
            <w:r>
              <w:t>28</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B0055C" w:rsidRPr="00B0055C" w:rsidRDefault="00476CD0" w:rsidP="00B0055C">
            <w:pPr>
              <w:rPr>
                <w:i/>
              </w:rPr>
            </w:pPr>
            <w:r>
              <w:rPr>
                <w:i/>
              </w:rPr>
              <w:t>Vosevi</w:t>
            </w:r>
            <w:r w:rsidR="00B0055C" w:rsidRPr="00B0055C">
              <w:rPr>
                <w:i/>
              </w:rPr>
              <w:t xml:space="preserve"> (sofosbuvir/velpatasvir/voxilaprevir </w:t>
            </w:r>
            <w:r w:rsidR="00D43BF2">
              <w:rPr>
                <w:i/>
              </w:rPr>
              <w:t>fixed dose</w:t>
            </w:r>
            <w:r w:rsidR="00B0055C" w:rsidRPr="00B0055C">
              <w:rPr>
                <w:i/>
              </w:rPr>
              <w:t xml:space="preserve"> combination) is indicated for the treatment of chronic hepatitis C virus (HCV) infection in adult patients, without cirrhosis or with c</w:t>
            </w:r>
            <w:r w:rsidR="00B0055C">
              <w:rPr>
                <w:i/>
              </w:rPr>
              <w:t>ompensated cirrhosis, who have:</w:t>
            </w:r>
          </w:p>
          <w:p w:rsidR="00B0055C" w:rsidRPr="00B0055C" w:rsidRDefault="00B0055C" w:rsidP="00B0055C">
            <w:pPr>
              <w:pStyle w:val="TableBullet"/>
              <w:rPr>
                <w:rFonts w:eastAsiaTheme="minorHAnsi"/>
                <w:i/>
                <w:sz w:val="22"/>
                <w:szCs w:val="22"/>
              </w:rPr>
            </w:pPr>
            <w:r w:rsidRPr="00B0055C">
              <w:rPr>
                <w:rFonts w:eastAsiaTheme="minorHAnsi"/>
                <w:i/>
                <w:sz w:val="22"/>
                <w:szCs w:val="22"/>
              </w:rPr>
              <w:t>genotype 1, 2, 3, 4, 5, or 6 infection and have previously been treated with an HCV regimen</w:t>
            </w:r>
            <w:r>
              <w:rPr>
                <w:rFonts w:eastAsiaTheme="minorHAnsi"/>
                <w:i/>
                <w:sz w:val="22"/>
                <w:szCs w:val="22"/>
              </w:rPr>
              <w:t xml:space="preserve"> </w:t>
            </w:r>
            <w:r w:rsidRPr="00B0055C">
              <w:rPr>
                <w:rFonts w:eastAsiaTheme="minorHAnsi"/>
                <w:i/>
                <w:sz w:val="22"/>
                <w:szCs w:val="22"/>
              </w:rPr>
              <w:t>containing an NS5A inhibitor;</w:t>
            </w:r>
          </w:p>
          <w:p w:rsidR="00B0055C" w:rsidRPr="00B0055C" w:rsidRDefault="00B0055C" w:rsidP="00B0055C">
            <w:pPr>
              <w:pStyle w:val="TableBullet"/>
              <w:rPr>
                <w:rFonts w:eastAsiaTheme="minorHAnsi"/>
                <w:i/>
                <w:sz w:val="22"/>
                <w:szCs w:val="22"/>
              </w:rPr>
            </w:pPr>
            <w:r w:rsidRPr="00B0055C">
              <w:rPr>
                <w:rFonts w:eastAsiaTheme="minorHAnsi"/>
                <w:i/>
                <w:sz w:val="22"/>
                <w:szCs w:val="22"/>
              </w:rPr>
              <w:t>genotype 1a or 3 infection and have previously been treated with an HCV regimen containing</w:t>
            </w:r>
            <w:r>
              <w:rPr>
                <w:rFonts w:eastAsiaTheme="minorHAnsi"/>
                <w:i/>
                <w:sz w:val="22"/>
                <w:szCs w:val="22"/>
              </w:rPr>
              <w:t xml:space="preserve"> </w:t>
            </w:r>
            <w:r w:rsidRPr="00B0055C">
              <w:rPr>
                <w:rFonts w:eastAsiaTheme="minorHAnsi"/>
                <w:i/>
                <w:sz w:val="22"/>
                <w:szCs w:val="22"/>
              </w:rPr>
              <w:t>sofosbuvir without an NS5A inhibitor;</w:t>
            </w:r>
          </w:p>
          <w:p w:rsidR="008E7846" w:rsidRPr="00487162" w:rsidRDefault="00B0055C" w:rsidP="00B0055C">
            <w:pPr>
              <w:rPr>
                <w:rFonts w:eastAsia="MS Mincho"/>
                <w:lang w:eastAsia="ja-JP"/>
              </w:rPr>
            </w:pPr>
            <w:r w:rsidRPr="00B0055C">
              <w:rPr>
                <w:i/>
              </w:rPr>
              <w:t>(</w:t>
            </w:r>
            <w:proofErr w:type="gramStart"/>
            <w:r w:rsidRPr="00B0055C">
              <w:rPr>
                <w:i/>
              </w:rPr>
              <w:t>see</w:t>
            </w:r>
            <w:proofErr w:type="gramEnd"/>
            <w:r w:rsidRPr="00B0055C">
              <w:rPr>
                <w:i/>
              </w:rPr>
              <w:t xml:space="preserve"> Sections 4.2 Dose and method of administration and 5.1 Pharmacodynamic properties, Clinical trials).</w:t>
            </w:r>
          </w:p>
        </w:tc>
      </w:tr>
      <w:tr w:rsidR="008E7846" w:rsidRPr="00487162" w:rsidTr="00BF1190">
        <w:tc>
          <w:tcPr>
            <w:tcW w:w="2907" w:type="dxa"/>
          </w:tcPr>
          <w:p w:rsidR="008E7846" w:rsidRPr="00487162" w:rsidRDefault="006D5948" w:rsidP="00E45619">
            <w:pPr>
              <w:rPr>
                <w:i/>
              </w:rPr>
            </w:pPr>
            <w:r>
              <w:rPr>
                <w:i/>
              </w:rPr>
              <w:t>Route</w:t>
            </w:r>
            <w:r w:rsidR="008E7846" w:rsidRPr="00487162">
              <w:rPr>
                <w:i/>
              </w:rPr>
              <w:t xml:space="preserve"> of administration:</w:t>
            </w:r>
          </w:p>
        </w:tc>
        <w:tc>
          <w:tcPr>
            <w:tcW w:w="6307" w:type="dxa"/>
          </w:tcPr>
          <w:p w:rsidR="008E7846" w:rsidRPr="00487162" w:rsidRDefault="006D5948"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B0055C" w:rsidP="00E45619">
            <w:r>
              <w:t>One tablet taken orally once daily with food. Please see the Product Information for further details for the duration of the recommended treatment regimen.</w:t>
            </w:r>
          </w:p>
        </w:tc>
      </w:tr>
    </w:tbl>
    <w:p w:rsidR="008E7846" w:rsidRDefault="008E7846" w:rsidP="008E7846">
      <w:pPr>
        <w:pStyle w:val="Heading3"/>
      </w:pPr>
      <w:bookmarkStart w:id="13" w:name="_Toc247691503"/>
      <w:bookmarkStart w:id="14" w:name="_Toc314842484"/>
      <w:bookmarkStart w:id="15" w:name="_Toc8291104"/>
      <w:r>
        <w:lastRenderedPageBreak/>
        <w:t>Product background</w:t>
      </w:r>
      <w:bookmarkEnd w:id="13"/>
      <w:bookmarkEnd w:id="14"/>
      <w:bookmarkEnd w:id="15"/>
    </w:p>
    <w:p w:rsidR="008E7846" w:rsidRDefault="00940A89" w:rsidP="00940A89">
      <w:r w:rsidRPr="00940A89">
        <w:t xml:space="preserve">This AusPAR describes the application by </w:t>
      </w:r>
      <w:r w:rsidR="002E5EBC">
        <w:t>Gilead Sciences Pty Ltd</w:t>
      </w:r>
      <w:r w:rsidR="002E5EBC" w:rsidRPr="00940A89">
        <w:t xml:space="preserve"> </w:t>
      </w:r>
      <w:r w:rsidR="002E5EBC">
        <w:t>(</w:t>
      </w:r>
      <w:r w:rsidRPr="00940A89">
        <w:t>the sponsor</w:t>
      </w:r>
      <w:r w:rsidR="002E5EBC">
        <w:t>)</w:t>
      </w:r>
      <w:r w:rsidRPr="00940A89">
        <w:t xml:space="preserve"> to register </w:t>
      </w:r>
      <w:r w:rsidR="002E5EBC">
        <w:t>Vosevi</w:t>
      </w:r>
      <w:r w:rsidR="00476CD0">
        <w:t>;</w:t>
      </w:r>
      <w:r w:rsidR="002E5EBC">
        <w:t xml:space="preserve"> sofosbuvir 400</w:t>
      </w:r>
      <w:r w:rsidR="00AA5E62">
        <w:t xml:space="preserve"> mg</w:t>
      </w:r>
      <w:r w:rsidR="002E5EBC">
        <w:t>/velpatasvir 100</w:t>
      </w:r>
      <w:r w:rsidR="00AA5E62">
        <w:t xml:space="preserve"> mg</w:t>
      </w:r>
      <w:r w:rsidR="002E5EBC">
        <w:t>/voxilaprevir 100</w:t>
      </w:r>
      <w:r w:rsidR="00AA5E62">
        <w:t xml:space="preserve"> mg</w:t>
      </w:r>
      <w:r w:rsidR="002E5EBC">
        <w:t xml:space="preserve"> fixed dose combination tablet </w:t>
      </w:r>
      <w:r w:rsidRPr="00940A89">
        <w:t>for the follo</w:t>
      </w:r>
      <w:r w:rsidR="002E5EBC">
        <w:t>wing indication:</w:t>
      </w:r>
    </w:p>
    <w:p w:rsidR="002E5EBC" w:rsidRPr="002E5EBC" w:rsidRDefault="002E5EBC" w:rsidP="002E5EBC">
      <w:pPr>
        <w:ind w:left="720"/>
        <w:rPr>
          <w:i/>
        </w:rPr>
      </w:pPr>
      <w:r w:rsidRPr="002E5EBC">
        <w:rPr>
          <w:i/>
        </w:rPr>
        <w:t>Vosevi (sofosbuvir/velpatasvir/voxilaprevir fixed dose combination) is indicated for the treatment of chronic hepatitis C virus (HCV) infection in adults.</w:t>
      </w:r>
    </w:p>
    <w:p w:rsidR="0008365A" w:rsidRDefault="00476CD0" w:rsidP="00940A89">
      <w:r>
        <w:rPr>
          <w:kern w:val="2"/>
        </w:rPr>
        <w:t>Vosevi</w:t>
      </w:r>
      <w:r w:rsidR="0008365A">
        <w:rPr>
          <w:kern w:val="2"/>
        </w:rPr>
        <w:t xml:space="preserve"> is </w:t>
      </w:r>
      <w:r w:rsidR="0008365A" w:rsidRPr="00610AE7">
        <w:rPr>
          <w:kern w:val="2"/>
        </w:rPr>
        <w:t xml:space="preserve">a fixed dose combination tablet containing a new chemical entity, voxilaprevir with agent’s sofosbuvir and velpatasvir that have already been approved for treatment of chronic hepatitis C virus (HCV) infection in adults. </w:t>
      </w:r>
      <w:r w:rsidR="0008365A">
        <w:rPr>
          <w:kern w:val="2"/>
        </w:rPr>
        <w:t>The recommended treatment is one oral tablet (sofosbuvir/velpatasvir/ voxilaprevir 400</w:t>
      </w:r>
      <w:r w:rsidR="00AA5E62">
        <w:rPr>
          <w:kern w:val="2"/>
        </w:rPr>
        <w:t xml:space="preserve"> mg</w:t>
      </w:r>
      <w:r w:rsidR="0008365A">
        <w:rPr>
          <w:kern w:val="2"/>
        </w:rPr>
        <w:t>/100</w:t>
      </w:r>
      <w:r w:rsidR="00AA5E62">
        <w:rPr>
          <w:kern w:val="2"/>
        </w:rPr>
        <w:t xml:space="preserve"> mg</w:t>
      </w:r>
      <w:r w:rsidR="0008365A">
        <w:rPr>
          <w:kern w:val="2"/>
        </w:rPr>
        <w:t>/100</w:t>
      </w:r>
      <w:r w:rsidR="00AA5E62">
        <w:rPr>
          <w:kern w:val="2"/>
        </w:rPr>
        <w:t xml:space="preserve"> mg</w:t>
      </w:r>
      <w:r w:rsidR="0008365A">
        <w:rPr>
          <w:kern w:val="2"/>
        </w:rPr>
        <w:t xml:space="preserve">) once daily with food for a maximum of 12 weeks to patients </w:t>
      </w:r>
      <w:r w:rsidR="0008365A" w:rsidRPr="00603B6B">
        <w:t xml:space="preserve">regardless of HCV genotype without cirrhosis or with compensated cirrhosis who have failed prior treatment with HCV </w:t>
      </w:r>
      <w:r w:rsidR="0008365A">
        <w:t>direct acting antivirals (</w:t>
      </w:r>
      <w:r w:rsidR="0008365A" w:rsidRPr="0005520E">
        <w:t>DAA</w:t>
      </w:r>
      <w:r w:rsidR="0008365A">
        <w:t>)</w:t>
      </w:r>
      <w:r w:rsidR="0008365A" w:rsidRPr="00603B6B">
        <w:t>.</w:t>
      </w:r>
    </w:p>
    <w:p w:rsidR="00940A89" w:rsidRDefault="0008365A" w:rsidP="00940A89">
      <w:r w:rsidRPr="00485D4F">
        <w:t xml:space="preserve">Treatment for hepatitis C </w:t>
      </w:r>
      <w:r w:rsidR="00476CD0">
        <w:t xml:space="preserve">infection </w:t>
      </w:r>
      <w:r w:rsidRPr="00485D4F">
        <w:t xml:space="preserve">has evolved rapidly in recent years, with the development and approval of </w:t>
      </w:r>
      <w:r w:rsidR="00476CD0">
        <w:t>DAAs</w:t>
      </w:r>
      <w:r w:rsidRPr="00485D4F">
        <w:t xml:space="preserve"> supersed</w:t>
      </w:r>
      <w:r>
        <w:t>i</w:t>
      </w:r>
      <w:r w:rsidR="00476CD0">
        <w:t xml:space="preserve">ng interferon </w:t>
      </w:r>
      <w:r w:rsidRPr="00485D4F">
        <w:t>based therapies.</w:t>
      </w:r>
      <w:r>
        <w:t xml:space="preserve"> </w:t>
      </w:r>
      <w:r w:rsidRPr="00485D4F">
        <w:t xml:space="preserve">While significant progress has been made in achieving sustained virological response in treatment naïve, </w:t>
      </w:r>
      <w:r w:rsidRPr="00D51193">
        <w:t>peg</w:t>
      </w:r>
      <w:r w:rsidR="00476CD0">
        <w:t>-</w:t>
      </w:r>
      <w:r w:rsidRPr="00D51193">
        <w:t>interferon alfa</w:t>
      </w:r>
      <w:r>
        <w:t xml:space="preserve"> (peg-IFN)</w:t>
      </w:r>
      <w:r w:rsidRPr="00485D4F">
        <w:t>/</w:t>
      </w:r>
      <w:r>
        <w:t>ribavirin (</w:t>
      </w:r>
      <w:r w:rsidRPr="00485D4F">
        <w:t>RBV</w:t>
      </w:r>
      <w:r>
        <w:t>)</w:t>
      </w:r>
      <w:r w:rsidR="00F64A30">
        <w:t xml:space="preserve"> and n</w:t>
      </w:r>
      <w:r w:rsidR="00F64A30">
        <w:rPr>
          <w:rFonts w:eastAsia="TimesNewRoman" w:cs="TimesNewRoman"/>
        </w:rPr>
        <w:t>onstructural protein</w:t>
      </w:r>
      <w:r w:rsidR="00041BBE">
        <w:rPr>
          <w:rFonts w:eastAsia="TimesNewRoman" w:cs="TimesNewRoman"/>
        </w:rPr>
        <w:t> </w:t>
      </w:r>
      <w:r w:rsidR="00F64A30">
        <w:rPr>
          <w:rFonts w:eastAsia="TimesNewRoman" w:cs="TimesNewRoman"/>
        </w:rPr>
        <w:t>3/4 (</w:t>
      </w:r>
      <w:r w:rsidRPr="00485D4F">
        <w:t>NS3/4A</w:t>
      </w:r>
      <w:r w:rsidR="00F64A30">
        <w:t>)</w:t>
      </w:r>
      <w:r w:rsidRPr="00485D4F">
        <w:t xml:space="preserve"> protease inhibitor</w:t>
      </w:r>
      <w:r>
        <w:t xml:space="preserve"> experienced</w:t>
      </w:r>
      <w:r w:rsidRPr="00485D4F">
        <w:t xml:space="preserve"> patients,</w:t>
      </w:r>
      <w:r>
        <w:t xml:space="preserve"> there remains a treatment gap </w:t>
      </w:r>
      <w:r w:rsidRPr="00485D4F">
        <w:t>for patient</w:t>
      </w:r>
      <w:r>
        <w:t xml:space="preserve">s who </w:t>
      </w:r>
      <w:r w:rsidRPr="00485D4F">
        <w:t xml:space="preserve">have failed </w:t>
      </w:r>
      <w:r>
        <w:t xml:space="preserve">DAA only therapy, including </w:t>
      </w:r>
      <w:r w:rsidR="00F64A30">
        <w:rPr>
          <w:rFonts w:eastAsia="TimesNewRoman" w:cs="TimesNewRoman"/>
        </w:rPr>
        <w:t>nonstructural protein 5A</w:t>
      </w:r>
      <w:r w:rsidR="00F64A30">
        <w:t xml:space="preserve"> (</w:t>
      </w:r>
      <w:r w:rsidR="000D5C0A">
        <w:t>NS5A</w:t>
      </w:r>
      <w:r w:rsidR="00F64A30">
        <w:t>)</w:t>
      </w:r>
      <w:r w:rsidR="000D5C0A">
        <w:t xml:space="preserve"> inhibitor</w:t>
      </w:r>
      <w:r w:rsidRPr="00485D4F">
        <w:t xml:space="preserve"> or </w:t>
      </w:r>
      <w:r w:rsidR="00F64A30">
        <w:rPr>
          <w:rFonts w:eastAsia="TimesNewRoman" w:cs="TimesNewRoman"/>
        </w:rPr>
        <w:t>nonstructural protein 5B</w:t>
      </w:r>
      <w:r w:rsidR="00F64A30" w:rsidRPr="00485D4F">
        <w:t xml:space="preserve"> </w:t>
      </w:r>
      <w:r w:rsidR="00F64A30">
        <w:t>(</w:t>
      </w:r>
      <w:r w:rsidRPr="00485D4F">
        <w:t>NS5B</w:t>
      </w:r>
      <w:r w:rsidR="00F64A30">
        <w:t>)</w:t>
      </w:r>
      <w:r w:rsidRPr="00485D4F">
        <w:t xml:space="preserve"> polymerase inhibitor containing regimens.</w:t>
      </w:r>
      <w:r>
        <w:rPr>
          <w:rStyle w:val="FootnoteReference"/>
          <w:rFonts w:asciiTheme="minorHAnsi" w:hAnsiTheme="minorHAnsi"/>
        </w:rPr>
        <w:footnoteReference w:id="1"/>
      </w:r>
      <w:r w:rsidRPr="00485D4F">
        <w:t xml:space="preserve"> </w:t>
      </w:r>
      <w:r w:rsidR="00476CD0" w:rsidRPr="00476CD0">
        <w:t>Vosevi</w:t>
      </w:r>
      <w:r w:rsidRPr="00476CD0">
        <w:t xml:space="preserve"> </w:t>
      </w:r>
      <w:r w:rsidRPr="00485D4F">
        <w:t xml:space="preserve">has the potential to fulfil this treatment gap, with the advantages of being </w:t>
      </w:r>
      <w:r>
        <w:t xml:space="preserve">a </w:t>
      </w:r>
      <w:r w:rsidR="00476CD0">
        <w:t xml:space="preserve">RBV </w:t>
      </w:r>
      <w:r w:rsidRPr="00485D4F">
        <w:t>free, single tablet</w:t>
      </w:r>
      <w:r>
        <w:t xml:space="preserve"> given once daily</w:t>
      </w:r>
      <w:r w:rsidR="00476CD0">
        <w:t>.</w:t>
      </w:r>
    </w:p>
    <w:p w:rsidR="008E7846" w:rsidRPr="003F31A2" w:rsidRDefault="00386150" w:rsidP="008E7846">
      <w:pPr>
        <w:pStyle w:val="Heading3"/>
      </w:pPr>
      <w:bookmarkStart w:id="16" w:name="_Toc314842485"/>
      <w:bookmarkStart w:id="17" w:name="_Toc247691504"/>
      <w:bookmarkStart w:id="18" w:name="_Toc8291105"/>
      <w:r>
        <w:t>Regulatory s</w:t>
      </w:r>
      <w:r w:rsidR="008E7846">
        <w:t>tatus</w:t>
      </w:r>
      <w:bookmarkEnd w:id="16"/>
      <w:bookmarkEnd w:id="17"/>
      <w:bookmarkEnd w:id="18"/>
    </w:p>
    <w:p w:rsidR="00940A89" w:rsidRPr="00940A89" w:rsidRDefault="00940A89" w:rsidP="00940A89">
      <w:bookmarkStart w:id="19" w:name="_Toc247691505"/>
      <w:bookmarkStart w:id="20" w:name="_Toc314842486"/>
      <w:r w:rsidRPr="00940A89">
        <w:t>The product received initial registration on the Australian Register of Therapeutic Goods (ARTG) on</w:t>
      </w:r>
      <w:r w:rsidR="00267183">
        <w:t xml:space="preserve"> 16 March 2018.</w:t>
      </w:r>
    </w:p>
    <w:p w:rsidR="00940A89" w:rsidRDefault="00940A89" w:rsidP="00940A89">
      <w:r w:rsidRPr="00940A89">
        <w:t xml:space="preserve">At the time the TGA considered this application, a similar application had been approved </w:t>
      </w:r>
      <w:r w:rsidR="00267183">
        <w:t xml:space="preserve">in the countries as outlined in </w:t>
      </w:r>
      <w:r w:rsidR="00AC0F8C">
        <w:t>T</w:t>
      </w:r>
      <w:r w:rsidR="00267183">
        <w:t xml:space="preserve">able </w:t>
      </w:r>
      <w:r w:rsidR="00AC0F8C">
        <w:t>1</w:t>
      </w:r>
      <w:r w:rsidR="00267183">
        <w:t>.</w:t>
      </w:r>
    </w:p>
    <w:p w:rsidR="00AC0F8C" w:rsidRDefault="00AC0F8C" w:rsidP="00AC0F8C">
      <w:pPr>
        <w:pStyle w:val="Tabletitle0"/>
      </w:pPr>
      <w:r>
        <w:t>Table 1: International regulatory status</w:t>
      </w:r>
    </w:p>
    <w:tbl>
      <w:tblPr>
        <w:tblStyle w:val="TableTGAblue"/>
        <w:tblW w:w="0" w:type="auto"/>
        <w:tblLook w:val="04A0" w:firstRow="1" w:lastRow="0" w:firstColumn="1" w:lastColumn="0" w:noHBand="0" w:noVBand="1"/>
      </w:tblPr>
      <w:tblGrid>
        <w:gridCol w:w="1668"/>
        <w:gridCol w:w="2268"/>
        <w:gridCol w:w="4784"/>
      </w:tblGrid>
      <w:tr w:rsidR="00267183" w:rsidRPr="00E3090E" w:rsidTr="00E3090E">
        <w:trPr>
          <w:cnfStyle w:val="100000000000" w:firstRow="1" w:lastRow="0" w:firstColumn="0" w:lastColumn="0" w:oddVBand="0" w:evenVBand="0" w:oddHBand="0" w:evenHBand="0" w:firstRowFirstColumn="0" w:firstRowLastColumn="0" w:lastRowFirstColumn="0" w:lastRowLastColumn="0"/>
          <w:cantSplit/>
        </w:trPr>
        <w:tc>
          <w:tcPr>
            <w:tcW w:w="1668" w:type="dxa"/>
          </w:tcPr>
          <w:p w:rsidR="00267183" w:rsidRPr="00E3090E" w:rsidRDefault="00267183" w:rsidP="00E3090E">
            <w:pPr>
              <w:rPr>
                <w:sz w:val="20"/>
                <w:szCs w:val="20"/>
              </w:rPr>
            </w:pPr>
            <w:r w:rsidRPr="00E3090E">
              <w:rPr>
                <w:sz w:val="20"/>
                <w:szCs w:val="20"/>
              </w:rPr>
              <w:t>Country</w:t>
            </w:r>
          </w:p>
        </w:tc>
        <w:tc>
          <w:tcPr>
            <w:tcW w:w="2268" w:type="dxa"/>
          </w:tcPr>
          <w:p w:rsidR="00267183" w:rsidRPr="00E3090E" w:rsidRDefault="00267183" w:rsidP="00E3090E">
            <w:pPr>
              <w:rPr>
                <w:sz w:val="20"/>
                <w:szCs w:val="20"/>
              </w:rPr>
            </w:pPr>
            <w:r w:rsidRPr="00E3090E">
              <w:rPr>
                <w:sz w:val="20"/>
                <w:szCs w:val="20"/>
              </w:rPr>
              <w:t>Dates</w:t>
            </w:r>
          </w:p>
        </w:tc>
        <w:tc>
          <w:tcPr>
            <w:tcW w:w="4784" w:type="dxa"/>
          </w:tcPr>
          <w:p w:rsidR="00267183" w:rsidRPr="00E3090E" w:rsidRDefault="00267183" w:rsidP="00E3090E">
            <w:pPr>
              <w:rPr>
                <w:sz w:val="20"/>
                <w:szCs w:val="20"/>
              </w:rPr>
            </w:pPr>
            <w:r w:rsidRPr="00E3090E">
              <w:rPr>
                <w:sz w:val="20"/>
                <w:szCs w:val="20"/>
              </w:rPr>
              <w:t>Indications</w:t>
            </w:r>
          </w:p>
        </w:tc>
      </w:tr>
      <w:tr w:rsidR="00267183" w:rsidRPr="00E3090E" w:rsidTr="00E3090E">
        <w:tc>
          <w:tcPr>
            <w:tcW w:w="1668" w:type="dxa"/>
          </w:tcPr>
          <w:p w:rsidR="00267183" w:rsidRPr="00E3090E" w:rsidRDefault="00267183" w:rsidP="00E3090E">
            <w:pPr>
              <w:rPr>
                <w:sz w:val="20"/>
                <w:szCs w:val="20"/>
              </w:rPr>
            </w:pPr>
            <w:r w:rsidRPr="00E3090E">
              <w:rPr>
                <w:sz w:val="20"/>
                <w:szCs w:val="20"/>
              </w:rPr>
              <w:t>USA</w:t>
            </w:r>
          </w:p>
        </w:tc>
        <w:tc>
          <w:tcPr>
            <w:tcW w:w="2268" w:type="dxa"/>
          </w:tcPr>
          <w:p w:rsidR="00267183" w:rsidRPr="00E3090E" w:rsidRDefault="00267183" w:rsidP="00E3090E">
            <w:pPr>
              <w:rPr>
                <w:sz w:val="20"/>
                <w:szCs w:val="20"/>
              </w:rPr>
            </w:pPr>
            <w:r w:rsidRPr="00E3090E">
              <w:rPr>
                <w:sz w:val="20"/>
                <w:szCs w:val="20"/>
              </w:rPr>
              <w:t>Submitted</w:t>
            </w:r>
            <w:r w:rsidR="00992623" w:rsidRPr="00E3090E">
              <w:rPr>
                <w:sz w:val="20"/>
                <w:szCs w:val="20"/>
              </w:rPr>
              <w:t>:</w:t>
            </w:r>
            <w:r w:rsidRPr="00E3090E">
              <w:rPr>
                <w:sz w:val="20"/>
                <w:szCs w:val="20"/>
              </w:rPr>
              <w:t xml:space="preserve"> </w:t>
            </w:r>
            <w:r w:rsidR="00992623" w:rsidRPr="00E3090E">
              <w:rPr>
                <w:sz w:val="20"/>
                <w:szCs w:val="20"/>
              </w:rPr>
              <w:t>8</w:t>
            </w:r>
            <w:r w:rsidR="00041BBE" w:rsidRPr="00E3090E">
              <w:rPr>
                <w:sz w:val="20"/>
                <w:szCs w:val="20"/>
              </w:rPr>
              <w:t> </w:t>
            </w:r>
            <w:r w:rsidR="00992623" w:rsidRPr="00E3090E">
              <w:rPr>
                <w:sz w:val="20"/>
                <w:szCs w:val="20"/>
              </w:rPr>
              <w:t>December 2016</w:t>
            </w:r>
            <w:r w:rsidR="00E3090E" w:rsidRPr="00E3090E">
              <w:rPr>
                <w:sz w:val="20"/>
                <w:szCs w:val="20"/>
              </w:rPr>
              <w:t xml:space="preserve"> </w:t>
            </w:r>
            <w:r w:rsidRPr="00E3090E">
              <w:rPr>
                <w:sz w:val="20"/>
                <w:szCs w:val="20"/>
              </w:rPr>
              <w:t>Approved</w:t>
            </w:r>
            <w:r w:rsidR="00992623" w:rsidRPr="00E3090E">
              <w:rPr>
                <w:sz w:val="20"/>
                <w:szCs w:val="20"/>
              </w:rPr>
              <w:t>:</w:t>
            </w:r>
            <w:r w:rsidRPr="00E3090E">
              <w:rPr>
                <w:sz w:val="20"/>
                <w:szCs w:val="20"/>
              </w:rPr>
              <w:t xml:space="preserve"> </w:t>
            </w:r>
            <w:r w:rsidR="00992623" w:rsidRPr="00E3090E">
              <w:rPr>
                <w:sz w:val="20"/>
                <w:szCs w:val="20"/>
              </w:rPr>
              <w:t>18</w:t>
            </w:r>
            <w:r w:rsidR="00041BBE" w:rsidRPr="00E3090E">
              <w:rPr>
                <w:sz w:val="20"/>
                <w:szCs w:val="20"/>
              </w:rPr>
              <w:t> </w:t>
            </w:r>
            <w:r w:rsidR="00992623" w:rsidRPr="00E3090E">
              <w:rPr>
                <w:sz w:val="20"/>
                <w:szCs w:val="20"/>
              </w:rPr>
              <w:t>July</w:t>
            </w:r>
            <w:r w:rsidR="00041BBE" w:rsidRPr="00E3090E">
              <w:rPr>
                <w:sz w:val="20"/>
                <w:szCs w:val="20"/>
              </w:rPr>
              <w:t> </w:t>
            </w:r>
            <w:r w:rsidR="00992623" w:rsidRPr="00E3090E">
              <w:rPr>
                <w:sz w:val="20"/>
                <w:szCs w:val="20"/>
              </w:rPr>
              <w:t>2017</w:t>
            </w:r>
          </w:p>
        </w:tc>
        <w:tc>
          <w:tcPr>
            <w:tcW w:w="4784" w:type="dxa"/>
          </w:tcPr>
          <w:p w:rsidR="00267183" w:rsidRPr="00E3090E" w:rsidRDefault="00476CD0" w:rsidP="00E3090E">
            <w:pPr>
              <w:rPr>
                <w:sz w:val="20"/>
                <w:szCs w:val="20"/>
              </w:rPr>
            </w:pPr>
            <w:r w:rsidRPr="00E3090E">
              <w:rPr>
                <w:sz w:val="20"/>
                <w:szCs w:val="20"/>
              </w:rPr>
              <w:t>Vosevi</w:t>
            </w:r>
            <w:r w:rsidR="00267183" w:rsidRPr="00E3090E">
              <w:rPr>
                <w:sz w:val="20"/>
                <w:szCs w:val="20"/>
              </w:rPr>
              <w:t xml:space="preserve"> is a </w:t>
            </w:r>
            <w:r w:rsidR="00D43BF2" w:rsidRPr="00E3090E">
              <w:rPr>
                <w:sz w:val="20"/>
                <w:szCs w:val="20"/>
              </w:rPr>
              <w:t>fixed dose</w:t>
            </w:r>
            <w:r w:rsidR="00267183" w:rsidRPr="00E3090E">
              <w:rPr>
                <w:sz w:val="20"/>
                <w:szCs w:val="20"/>
              </w:rPr>
              <w:t xml:space="preserve"> combination of sofosbuvir, a hepatitis C virus (HCV) nucleotide </w:t>
            </w:r>
            <w:proofErr w:type="spellStart"/>
            <w:r w:rsidR="00267183" w:rsidRPr="00E3090E">
              <w:rPr>
                <w:sz w:val="20"/>
                <w:szCs w:val="20"/>
              </w:rPr>
              <w:t>analog</w:t>
            </w:r>
            <w:proofErr w:type="spellEnd"/>
            <w:r w:rsidR="00267183" w:rsidRPr="00E3090E">
              <w:rPr>
                <w:sz w:val="20"/>
                <w:szCs w:val="20"/>
              </w:rPr>
              <w:t xml:space="preserve"> NS5B polymerase inhibitor, velpatasvir, an HCV NS5A inhibitor, and voxilaprevir, an HCV NS3/4A protease inhibitor, and is indicated for the treatment of adult patients with chronic HCV infection without cirrhosis or with compensated cirrhosis (Child-Pugh A) wh</w:t>
            </w:r>
            <w:r w:rsidR="00992623" w:rsidRPr="00E3090E">
              <w:rPr>
                <w:sz w:val="20"/>
                <w:szCs w:val="20"/>
              </w:rPr>
              <w:t>o have (1, 2.2, 14):</w:t>
            </w:r>
          </w:p>
          <w:p w:rsidR="00267183" w:rsidRPr="00E3090E" w:rsidRDefault="00267183" w:rsidP="00E3090E">
            <w:pPr>
              <w:rPr>
                <w:sz w:val="20"/>
                <w:szCs w:val="20"/>
              </w:rPr>
            </w:pPr>
            <w:proofErr w:type="gramStart"/>
            <w:r w:rsidRPr="00E3090E">
              <w:rPr>
                <w:sz w:val="20"/>
                <w:szCs w:val="20"/>
                <w:lang w:eastAsia="en-US"/>
              </w:rPr>
              <w:t>genotype</w:t>
            </w:r>
            <w:proofErr w:type="gramEnd"/>
            <w:r w:rsidRPr="00E3090E">
              <w:rPr>
                <w:sz w:val="20"/>
                <w:szCs w:val="20"/>
                <w:lang w:eastAsia="en-US"/>
              </w:rPr>
              <w:t xml:space="preserve"> 1, 2, 3, 4, 5, or 6 infection and have previously been treated with an HCV regime</w:t>
            </w:r>
            <w:r w:rsidR="00992623" w:rsidRPr="00E3090E">
              <w:rPr>
                <w:sz w:val="20"/>
                <w:szCs w:val="20"/>
                <w:lang w:eastAsia="en-US"/>
              </w:rPr>
              <w:t>n containing an NS5A inhibitor.</w:t>
            </w:r>
          </w:p>
          <w:p w:rsidR="00267183" w:rsidRPr="00E3090E" w:rsidRDefault="00267183" w:rsidP="00E3090E">
            <w:pPr>
              <w:rPr>
                <w:sz w:val="20"/>
                <w:szCs w:val="20"/>
              </w:rPr>
            </w:pPr>
            <w:proofErr w:type="gramStart"/>
            <w:r w:rsidRPr="00E3090E">
              <w:rPr>
                <w:sz w:val="20"/>
                <w:szCs w:val="20"/>
                <w:lang w:eastAsia="en-US"/>
              </w:rPr>
              <w:t>genotype</w:t>
            </w:r>
            <w:proofErr w:type="gramEnd"/>
            <w:r w:rsidRPr="00E3090E">
              <w:rPr>
                <w:sz w:val="20"/>
                <w:szCs w:val="20"/>
                <w:lang w:eastAsia="en-US"/>
              </w:rPr>
              <w:t xml:space="preserve"> 1a or 3 infection and have previously been treated with an HCV regimen containing sofosbuvir witho</w:t>
            </w:r>
            <w:r w:rsidR="00992623" w:rsidRPr="00E3090E">
              <w:rPr>
                <w:sz w:val="20"/>
                <w:szCs w:val="20"/>
                <w:lang w:eastAsia="en-US"/>
              </w:rPr>
              <w:t>ut an NS5A inhibitor.</w:t>
            </w:r>
          </w:p>
          <w:p w:rsidR="00267183" w:rsidRPr="00E3090E" w:rsidRDefault="00267183" w:rsidP="00E3090E">
            <w:pPr>
              <w:rPr>
                <w:sz w:val="20"/>
                <w:szCs w:val="20"/>
              </w:rPr>
            </w:pPr>
            <w:r w:rsidRPr="00E3090E">
              <w:rPr>
                <w:sz w:val="20"/>
                <w:szCs w:val="20"/>
              </w:rPr>
              <w:t xml:space="preserve">No Additional benefit of </w:t>
            </w:r>
            <w:r w:rsidR="00476CD0" w:rsidRPr="00E3090E">
              <w:rPr>
                <w:sz w:val="20"/>
                <w:szCs w:val="20"/>
              </w:rPr>
              <w:t>Vosevi</w:t>
            </w:r>
            <w:r w:rsidRPr="00E3090E">
              <w:rPr>
                <w:sz w:val="20"/>
                <w:szCs w:val="20"/>
              </w:rPr>
              <w:t xml:space="preserve"> over </w:t>
            </w:r>
            <w:r w:rsidRPr="00E3090E">
              <w:rPr>
                <w:sz w:val="20"/>
                <w:szCs w:val="20"/>
              </w:rPr>
              <w:lastRenderedPageBreak/>
              <w:t xml:space="preserve">sofosbuvir/velpatasvir was not shown in adults with genotype 1b, 2, 4, 5, or 6 </w:t>
            </w:r>
            <w:proofErr w:type="gramStart"/>
            <w:r w:rsidRPr="00E3090E">
              <w:rPr>
                <w:sz w:val="20"/>
                <w:szCs w:val="20"/>
              </w:rPr>
              <w:t>infection</w:t>
            </w:r>
            <w:proofErr w:type="gramEnd"/>
            <w:r w:rsidRPr="00E3090E">
              <w:rPr>
                <w:sz w:val="20"/>
                <w:szCs w:val="20"/>
              </w:rPr>
              <w:t xml:space="preserve"> previously treated with sofosb</w:t>
            </w:r>
            <w:r w:rsidR="00992623" w:rsidRPr="00E3090E">
              <w:rPr>
                <w:sz w:val="20"/>
                <w:szCs w:val="20"/>
              </w:rPr>
              <w:t>uvir without an NS5A inhibitor.</w:t>
            </w:r>
          </w:p>
        </w:tc>
      </w:tr>
      <w:tr w:rsidR="00267183" w:rsidRPr="00E3090E" w:rsidTr="00E3090E">
        <w:tc>
          <w:tcPr>
            <w:tcW w:w="1668" w:type="dxa"/>
          </w:tcPr>
          <w:p w:rsidR="00267183" w:rsidRPr="00E3090E" w:rsidRDefault="00267183" w:rsidP="00E3090E">
            <w:pPr>
              <w:rPr>
                <w:sz w:val="20"/>
                <w:szCs w:val="20"/>
              </w:rPr>
            </w:pPr>
            <w:r w:rsidRPr="00E3090E">
              <w:rPr>
                <w:sz w:val="20"/>
                <w:szCs w:val="20"/>
              </w:rPr>
              <w:lastRenderedPageBreak/>
              <w:t>Europea</w:t>
            </w:r>
            <w:r w:rsidR="00992623" w:rsidRPr="00E3090E">
              <w:rPr>
                <w:sz w:val="20"/>
                <w:szCs w:val="20"/>
              </w:rPr>
              <w:t>n Union (Centralised Procedure)</w:t>
            </w:r>
          </w:p>
        </w:tc>
        <w:tc>
          <w:tcPr>
            <w:tcW w:w="2268" w:type="dxa"/>
          </w:tcPr>
          <w:p w:rsidR="00267183" w:rsidRPr="00E3090E" w:rsidRDefault="00267183" w:rsidP="00E3090E">
            <w:pPr>
              <w:rPr>
                <w:sz w:val="20"/>
                <w:szCs w:val="20"/>
              </w:rPr>
            </w:pPr>
            <w:r w:rsidRPr="00E3090E">
              <w:rPr>
                <w:sz w:val="20"/>
                <w:szCs w:val="20"/>
              </w:rPr>
              <w:t>Submitted: 16</w:t>
            </w:r>
            <w:r w:rsidR="00041BBE" w:rsidRPr="00E3090E">
              <w:rPr>
                <w:sz w:val="20"/>
                <w:szCs w:val="20"/>
              </w:rPr>
              <w:t> </w:t>
            </w:r>
            <w:r w:rsidRPr="00E3090E">
              <w:rPr>
                <w:sz w:val="20"/>
                <w:szCs w:val="20"/>
              </w:rPr>
              <w:t>December 2016</w:t>
            </w:r>
            <w:r w:rsidR="00E3090E">
              <w:rPr>
                <w:sz w:val="20"/>
                <w:szCs w:val="20"/>
              </w:rPr>
              <w:t xml:space="preserve"> </w:t>
            </w:r>
            <w:r w:rsidRPr="00E3090E">
              <w:rPr>
                <w:sz w:val="20"/>
                <w:szCs w:val="20"/>
              </w:rPr>
              <w:t xml:space="preserve">Approved: </w:t>
            </w:r>
            <w:r w:rsidR="00992623" w:rsidRPr="00E3090E">
              <w:rPr>
                <w:sz w:val="20"/>
                <w:szCs w:val="20"/>
              </w:rPr>
              <w:t>26</w:t>
            </w:r>
            <w:r w:rsidR="00041BBE" w:rsidRPr="00E3090E">
              <w:rPr>
                <w:sz w:val="20"/>
                <w:szCs w:val="20"/>
              </w:rPr>
              <w:t> </w:t>
            </w:r>
            <w:r w:rsidR="00992623" w:rsidRPr="00E3090E">
              <w:rPr>
                <w:sz w:val="20"/>
                <w:szCs w:val="20"/>
              </w:rPr>
              <w:t>July</w:t>
            </w:r>
            <w:r w:rsidR="00041BBE" w:rsidRPr="00E3090E">
              <w:rPr>
                <w:sz w:val="20"/>
                <w:szCs w:val="20"/>
              </w:rPr>
              <w:t> </w:t>
            </w:r>
            <w:r w:rsidR="00992623" w:rsidRPr="00E3090E">
              <w:rPr>
                <w:sz w:val="20"/>
                <w:szCs w:val="20"/>
              </w:rPr>
              <w:t>2017</w:t>
            </w:r>
          </w:p>
        </w:tc>
        <w:tc>
          <w:tcPr>
            <w:tcW w:w="4784" w:type="dxa"/>
          </w:tcPr>
          <w:p w:rsidR="00267183" w:rsidRPr="00E3090E" w:rsidRDefault="00267183" w:rsidP="00E3090E">
            <w:pPr>
              <w:rPr>
                <w:sz w:val="20"/>
                <w:szCs w:val="20"/>
              </w:rPr>
            </w:pPr>
            <w:r w:rsidRPr="00E3090E">
              <w:rPr>
                <w:sz w:val="20"/>
                <w:szCs w:val="20"/>
              </w:rPr>
              <w:t>Vosevi is indicated for the treatment of chronic hepatitis C virus (HCV) infection in adults</w:t>
            </w:r>
          </w:p>
        </w:tc>
      </w:tr>
      <w:tr w:rsidR="00267183" w:rsidRPr="00E3090E" w:rsidTr="00E3090E">
        <w:tc>
          <w:tcPr>
            <w:tcW w:w="1668" w:type="dxa"/>
          </w:tcPr>
          <w:p w:rsidR="00267183" w:rsidRPr="00E3090E" w:rsidRDefault="00992623" w:rsidP="00E3090E">
            <w:pPr>
              <w:rPr>
                <w:sz w:val="20"/>
                <w:szCs w:val="20"/>
              </w:rPr>
            </w:pPr>
            <w:r w:rsidRPr="00E3090E">
              <w:rPr>
                <w:sz w:val="20"/>
                <w:szCs w:val="20"/>
              </w:rPr>
              <w:t>Canada</w:t>
            </w:r>
          </w:p>
        </w:tc>
        <w:tc>
          <w:tcPr>
            <w:tcW w:w="2268" w:type="dxa"/>
          </w:tcPr>
          <w:p w:rsidR="00267183" w:rsidRPr="00E3090E" w:rsidRDefault="00992623" w:rsidP="00E3090E">
            <w:pPr>
              <w:rPr>
                <w:sz w:val="20"/>
                <w:szCs w:val="20"/>
              </w:rPr>
            </w:pPr>
            <w:r w:rsidRPr="00E3090E">
              <w:rPr>
                <w:sz w:val="20"/>
                <w:szCs w:val="20"/>
              </w:rPr>
              <w:t>Submitted: 27</w:t>
            </w:r>
            <w:r w:rsidR="00041BBE" w:rsidRPr="00E3090E">
              <w:rPr>
                <w:sz w:val="20"/>
                <w:szCs w:val="20"/>
              </w:rPr>
              <w:t> </w:t>
            </w:r>
            <w:r w:rsidRPr="00E3090E">
              <w:rPr>
                <w:sz w:val="20"/>
                <w:szCs w:val="20"/>
              </w:rPr>
              <w:t>January 2017</w:t>
            </w:r>
            <w:r w:rsidR="00E3090E">
              <w:rPr>
                <w:sz w:val="20"/>
                <w:szCs w:val="20"/>
              </w:rPr>
              <w:t xml:space="preserve"> </w:t>
            </w:r>
            <w:r w:rsidRPr="00E3090E">
              <w:rPr>
                <w:sz w:val="20"/>
                <w:szCs w:val="20"/>
              </w:rPr>
              <w:t>Approved: 16</w:t>
            </w:r>
            <w:r w:rsidR="00041BBE" w:rsidRPr="00E3090E">
              <w:rPr>
                <w:sz w:val="20"/>
                <w:szCs w:val="20"/>
              </w:rPr>
              <w:t> </w:t>
            </w:r>
            <w:r w:rsidRPr="00E3090E">
              <w:rPr>
                <w:sz w:val="20"/>
                <w:szCs w:val="20"/>
              </w:rPr>
              <w:t>August</w:t>
            </w:r>
            <w:r w:rsidR="00041BBE" w:rsidRPr="00E3090E">
              <w:rPr>
                <w:sz w:val="20"/>
                <w:szCs w:val="20"/>
              </w:rPr>
              <w:t> </w:t>
            </w:r>
            <w:r w:rsidRPr="00E3090E">
              <w:rPr>
                <w:sz w:val="20"/>
                <w:szCs w:val="20"/>
              </w:rPr>
              <w:t>2017</w:t>
            </w:r>
          </w:p>
        </w:tc>
        <w:tc>
          <w:tcPr>
            <w:tcW w:w="4784" w:type="dxa"/>
          </w:tcPr>
          <w:p w:rsidR="00267183" w:rsidRPr="00E3090E" w:rsidRDefault="00476CD0" w:rsidP="00E3090E">
            <w:pPr>
              <w:rPr>
                <w:sz w:val="20"/>
                <w:szCs w:val="20"/>
              </w:rPr>
            </w:pPr>
            <w:r w:rsidRPr="00E3090E">
              <w:rPr>
                <w:sz w:val="20"/>
                <w:szCs w:val="20"/>
              </w:rPr>
              <w:t>Vosevi</w:t>
            </w:r>
            <w:r w:rsidR="00267183" w:rsidRPr="00E3090E">
              <w:rPr>
                <w:sz w:val="20"/>
                <w:szCs w:val="20"/>
              </w:rPr>
              <w:t xml:space="preserve"> (sofosbuvir/velpatasvir/voxilaprevir) is indicated for the </w:t>
            </w:r>
            <w:r w:rsidR="00992623" w:rsidRPr="00E3090E">
              <w:rPr>
                <w:sz w:val="20"/>
                <w:szCs w:val="20"/>
              </w:rPr>
              <w:t xml:space="preserve">treatment of chronic hepatitis </w:t>
            </w:r>
            <w:r w:rsidR="00267183" w:rsidRPr="00E3090E">
              <w:rPr>
                <w:sz w:val="20"/>
                <w:szCs w:val="20"/>
              </w:rPr>
              <w:t>C virus (HCV) infection in adult patients, without cirrhosis or with c</w:t>
            </w:r>
            <w:r w:rsidR="00992623" w:rsidRPr="00E3090E">
              <w:rPr>
                <w:sz w:val="20"/>
                <w:szCs w:val="20"/>
              </w:rPr>
              <w:t>ompensated cirrhosis, who have:</w:t>
            </w:r>
          </w:p>
          <w:p w:rsidR="00267183" w:rsidRPr="00E3090E" w:rsidRDefault="00267183" w:rsidP="00E3090E">
            <w:pPr>
              <w:rPr>
                <w:sz w:val="20"/>
                <w:szCs w:val="20"/>
              </w:rPr>
            </w:pPr>
            <w:r w:rsidRPr="00E3090E">
              <w:rPr>
                <w:sz w:val="20"/>
                <w:szCs w:val="20"/>
                <w:lang w:eastAsia="en-US"/>
              </w:rPr>
              <w:t xml:space="preserve">genotype 1, 2, 3, 4, 5, or 6 infection and have previously </w:t>
            </w:r>
            <w:r w:rsidR="00992623" w:rsidRPr="00E3090E">
              <w:rPr>
                <w:sz w:val="20"/>
                <w:szCs w:val="20"/>
                <w:lang w:eastAsia="en-US"/>
              </w:rPr>
              <w:t xml:space="preserve">been treated with an HCV </w:t>
            </w:r>
            <w:r w:rsidRPr="00E3090E">
              <w:rPr>
                <w:sz w:val="20"/>
                <w:szCs w:val="20"/>
                <w:lang w:eastAsia="en-US"/>
              </w:rPr>
              <w:t>regime</w:t>
            </w:r>
            <w:r w:rsidR="00992623" w:rsidRPr="00E3090E">
              <w:rPr>
                <w:sz w:val="20"/>
                <w:szCs w:val="20"/>
                <w:lang w:eastAsia="en-US"/>
              </w:rPr>
              <w:t>n containing an NS5A inhibitor;</w:t>
            </w:r>
          </w:p>
          <w:p w:rsidR="00267183" w:rsidRPr="00E3090E" w:rsidRDefault="00267183" w:rsidP="00E3090E">
            <w:pPr>
              <w:rPr>
                <w:color w:val="auto"/>
                <w:sz w:val="20"/>
                <w:szCs w:val="20"/>
              </w:rPr>
            </w:pPr>
            <w:proofErr w:type="gramStart"/>
            <w:r w:rsidRPr="00E3090E">
              <w:rPr>
                <w:sz w:val="20"/>
                <w:szCs w:val="20"/>
                <w:lang w:eastAsia="en-US"/>
              </w:rPr>
              <w:t>genotype</w:t>
            </w:r>
            <w:proofErr w:type="gramEnd"/>
            <w:r w:rsidRPr="00E3090E">
              <w:rPr>
                <w:sz w:val="20"/>
                <w:szCs w:val="20"/>
                <w:lang w:eastAsia="en-US"/>
              </w:rPr>
              <w:t xml:space="preserve"> 1, 2, 3, or 4 infection and have been previously treated with an HCV regimen containing sofosb</w:t>
            </w:r>
            <w:r w:rsidR="00992623" w:rsidRPr="00E3090E">
              <w:rPr>
                <w:sz w:val="20"/>
                <w:szCs w:val="20"/>
                <w:lang w:eastAsia="en-US"/>
              </w:rPr>
              <w:t>uvir without an NS5A inhibitor.</w:t>
            </w:r>
          </w:p>
        </w:tc>
      </w:tr>
    </w:tbl>
    <w:p w:rsidR="008E7846" w:rsidRDefault="008E7846" w:rsidP="00940A89">
      <w:pPr>
        <w:pStyle w:val="Heading3"/>
      </w:pPr>
      <w:bookmarkStart w:id="21" w:name="_Toc8291106"/>
      <w:r>
        <w:t>Product Information</w:t>
      </w:r>
      <w:bookmarkEnd w:id="19"/>
      <w:bookmarkEnd w:id="20"/>
      <w:bookmarkEnd w:id="21"/>
    </w:p>
    <w:p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76CD0">
        <w:t xml:space="preserve">&lt; </w:t>
      </w:r>
      <w:hyperlink r:id="rId14" w:history="1">
        <w:r w:rsidR="00441C3F" w:rsidRPr="00441C3F">
          <w:rPr>
            <w:rStyle w:val="Hyperlink"/>
          </w:rPr>
          <w:t>https://www.tga.gov.au/product-information-pi</w:t>
        </w:r>
      </w:hyperlink>
      <w:proofErr w:type="gramStart"/>
      <w:r w:rsidR="00476CD0">
        <w:t xml:space="preserve">&gt; </w:t>
      </w:r>
      <w:r w:rsidR="00940A89" w:rsidRPr="00940A89">
        <w:t>.</w:t>
      </w:r>
      <w:proofErr w:type="gramEnd"/>
    </w:p>
    <w:p w:rsidR="00500337" w:rsidRDefault="00500337" w:rsidP="00500337">
      <w:pPr>
        <w:pStyle w:val="Heading2"/>
      </w:pPr>
      <w:bookmarkStart w:id="24" w:name="_Toc504480011"/>
      <w:bookmarkStart w:id="25" w:name="_Toc8291107"/>
      <w:r>
        <w:t>II. Registration time line</w:t>
      </w:r>
      <w:bookmarkEnd w:id="24"/>
      <w:bookmarkEnd w:id="25"/>
    </w:p>
    <w:p w:rsidR="00500337" w:rsidRDefault="00AC0F8C" w:rsidP="00500337">
      <w:r>
        <w:t>T</w:t>
      </w:r>
      <w:r w:rsidR="00500337">
        <w:t xml:space="preserve">able </w:t>
      </w:r>
      <w:r>
        <w:t xml:space="preserve">2 </w:t>
      </w:r>
      <w:r w:rsidR="00500337">
        <w:t xml:space="preserve">captures the key steps and dates for this application and which are detailed and discussed </w:t>
      </w:r>
      <w:r w:rsidR="00992623">
        <w:t>in this AusPAR.</w:t>
      </w:r>
    </w:p>
    <w:p w:rsidR="00500337" w:rsidRPr="00377BD4" w:rsidRDefault="00992623" w:rsidP="00992623">
      <w:pPr>
        <w:pStyle w:val="Tabletitle0"/>
      </w:pPr>
      <w:r>
        <w:t>Table 2: Timeline for Submission PM-2016-04442-1-2</w:t>
      </w:r>
    </w:p>
    <w:tbl>
      <w:tblPr>
        <w:tblStyle w:val="TableTGAblue"/>
        <w:tblW w:w="0" w:type="auto"/>
        <w:tblLook w:val="04A0" w:firstRow="1" w:lastRow="0" w:firstColumn="1" w:lastColumn="0" w:noHBand="0" w:noVBand="1"/>
      </w:tblPr>
      <w:tblGrid>
        <w:gridCol w:w="4360"/>
        <w:gridCol w:w="4360"/>
      </w:tblGrid>
      <w:tr w:rsidR="0050033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rsidR="00500337" w:rsidRDefault="00500337" w:rsidP="00500337">
            <w:pPr>
              <w:ind w:left="0" w:right="0"/>
            </w:pPr>
            <w:r>
              <w:t>Description</w:t>
            </w:r>
          </w:p>
        </w:tc>
        <w:tc>
          <w:tcPr>
            <w:tcW w:w="4360" w:type="dxa"/>
          </w:tcPr>
          <w:p w:rsidR="00500337" w:rsidRDefault="00500337" w:rsidP="00500337">
            <w:pPr>
              <w:ind w:left="0" w:right="0"/>
            </w:pPr>
            <w:r>
              <w:t>Date</w:t>
            </w:r>
          </w:p>
        </w:tc>
      </w:tr>
      <w:tr w:rsidR="00500337" w:rsidTr="00500337">
        <w:tc>
          <w:tcPr>
            <w:tcW w:w="4360" w:type="dxa"/>
          </w:tcPr>
          <w:p w:rsidR="00500337" w:rsidRDefault="00500337" w:rsidP="00500337">
            <w:pPr>
              <w:ind w:left="0" w:right="0"/>
            </w:pPr>
            <w:r>
              <w:t>Submission dossier accepted and first round evaluation commenced</w:t>
            </w:r>
          </w:p>
        </w:tc>
        <w:tc>
          <w:tcPr>
            <w:tcW w:w="4360" w:type="dxa"/>
          </w:tcPr>
          <w:p w:rsidR="00500337" w:rsidRDefault="008138CC" w:rsidP="00500337">
            <w:pPr>
              <w:ind w:left="0" w:right="0"/>
            </w:pPr>
            <w:r>
              <w:t>31 March 2017</w:t>
            </w:r>
          </w:p>
        </w:tc>
      </w:tr>
      <w:tr w:rsidR="00500337" w:rsidTr="00500337">
        <w:tc>
          <w:tcPr>
            <w:tcW w:w="4360" w:type="dxa"/>
          </w:tcPr>
          <w:p w:rsidR="00500337" w:rsidRDefault="00500337" w:rsidP="00500337">
            <w:pPr>
              <w:ind w:left="0" w:right="0"/>
            </w:pPr>
            <w:r>
              <w:t>First round evaluation completed</w:t>
            </w:r>
          </w:p>
        </w:tc>
        <w:tc>
          <w:tcPr>
            <w:tcW w:w="4360" w:type="dxa"/>
          </w:tcPr>
          <w:p w:rsidR="00500337" w:rsidRDefault="008138CC" w:rsidP="00500337">
            <w:pPr>
              <w:ind w:left="0" w:right="0"/>
            </w:pPr>
            <w:r>
              <w:t>28 September 2017</w:t>
            </w:r>
          </w:p>
        </w:tc>
      </w:tr>
      <w:tr w:rsidR="00500337" w:rsidTr="00500337">
        <w:tc>
          <w:tcPr>
            <w:tcW w:w="4360" w:type="dxa"/>
          </w:tcPr>
          <w:p w:rsidR="00500337" w:rsidRDefault="00500337" w:rsidP="00500337">
            <w:pPr>
              <w:ind w:left="0" w:right="0"/>
            </w:pPr>
            <w:r>
              <w:t>Sponsor provides responses on questions raised in first round evaluation</w:t>
            </w:r>
          </w:p>
        </w:tc>
        <w:tc>
          <w:tcPr>
            <w:tcW w:w="4360" w:type="dxa"/>
          </w:tcPr>
          <w:p w:rsidR="00500337" w:rsidRDefault="008138CC" w:rsidP="00500337">
            <w:pPr>
              <w:ind w:left="0" w:right="0"/>
            </w:pPr>
            <w:r>
              <w:t>19 October 2017</w:t>
            </w:r>
          </w:p>
        </w:tc>
      </w:tr>
      <w:tr w:rsidR="00500337" w:rsidTr="00500337">
        <w:tc>
          <w:tcPr>
            <w:tcW w:w="4360" w:type="dxa"/>
          </w:tcPr>
          <w:p w:rsidR="00500337" w:rsidRDefault="00500337" w:rsidP="00500337">
            <w:pPr>
              <w:ind w:left="0" w:right="0"/>
            </w:pPr>
            <w:r>
              <w:t>Delegate’s Overall benefit-risk assessment and request for Advisory Committee advice</w:t>
            </w:r>
          </w:p>
        </w:tc>
        <w:tc>
          <w:tcPr>
            <w:tcW w:w="4360" w:type="dxa"/>
          </w:tcPr>
          <w:p w:rsidR="00500337" w:rsidRDefault="00992623" w:rsidP="00500337">
            <w:pPr>
              <w:ind w:left="0" w:right="0"/>
            </w:pPr>
            <w:r>
              <w:t>31 October 2017</w:t>
            </w:r>
          </w:p>
        </w:tc>
      </w:tr>
      <w:tr w:rsidR="00992623" w:rsidTr="00476CD0">
        <w:tc>
          <w:tcPr>
            <w:tcW w:w="4360" w:type="dxa"/>
          </w:tcPr>
          <w:p w:rsidR="00992623" w:rsidRDefault="00992623" w:rsidP="00476CD0">
            <w:pPr>
              <w:ind w:left="0" w:right="0"/>
            </w:pPr>
            <w:r>
              <w:t>Second round evaluation completed</w:t>
            </w:r>
          </w:p>
        </w:tc>
        <w:tc>
          <w:tcPr>
            <w:tcW w:w="4360" w:type="dxa"/>
          </w:tcPr>
          <w:p w:rsidR="00992623" w:rsidRDefault="00992623" w:rsidP="00476CD0">
            <w:pPr>
              <w:ind w:left="0" w:right="0"/>
            </w:pPr>
            <w:r>
              <w:t>8 December 2017</w:t>
            </w:r>
          </w:p>
        </w:tc>
      </w:tr>
      <w:tr w:rsidR="00500337" w:rsidTr="00500337">
        <w:tc>
          <w:tcPr>
            <w:tcW w:w="4360" w:type="dxa"/>
          </w:tcPr>
          <w:p w:rsidR="00500337" w:rsidRDefault="00500337" w:rsidP="00500337">
            <w:pPr>
              <w:ind w:left="0" w:right="0"/>
            </w:pPr>
            <w:r>
              <w:lastRenderedPageBreak/>
              <w:t>Sponsor’s pre-Advisory Committee response</w:t>
            </w:r>
          </w:p>
        </w:tc>
        <w:tc>
          <w:tcPr>
            <w:tcW w:w="4360" w:type="dxa"/>
          </w:tcPr>
          <w:p w:rsidR="00500337" w:rsidRDefault="003C735A" w:rsidP="00500337">
            <w:pPr>
              <w:ind w:left="0" w:right="0"/>
            </w:pPr>
            <w:r>
              <w:t>15 January 2018</w:t>
            </w:r>
          </w:p>
        </w:tc>
      </w:tr>
      <w:tr w:rsidR="00500337" w:rsidTr="00500337">
        <w:tc>
          <w:tcPr>
            <w:tcW w:w="4360" w:type="dxa"/>
          </w:tcPr>
          <w:p w:rsidR="00500337" w:rsidRDefault="00500337" w:rsidP="00500337">
            <w:pPr>
              <w:ind w:left="0" w:right="0"/>
            </w:pPr>
            <w:r>
              <w:t>Advisory Committee meeting</w:t>
            </w:r>
          </w:p>
        </w:tc>
        <w:tc>
          <w:tcPr>
            <w:tcW w:w="4360" w:type="dxa"/>
          </w:tcPr>
          <w:p w:rsidR="00500337" w:rsidRDefault="003C735A" w:rsidP="00500337">
            <w:pPr>
              <w:ind w:left="0" w:right="0"/>
            </w:pPr>
            <w:r>
              <w:t>1-2 February 2018</w:t>
            </w:r>
          </w:p>
        </w:tc>
      </w:tr>
      <w:tr w:rsidR="00500337" w:rsidTr="00500337">
        <w:tc>
          <w:tcPr>
            <w:tcW w:w="4360" w:type="dxa"/>
          </w:tcPr>
          <w:p w:rsidR="00500337" w:rsidRDefault="00500337" w:rsidP="00500337">
            <w:pPr>
              <w:ind w:left="0" w:right="0"/>
            </w:pPr>
            <w:r>
              <w:t>Registration decision (Outcome)</w:t>
            </w:r>
          </w:p>
        </w:tc>
        <w:tc>
          <w:tcPr>
            <w:tcW w:w="4360" w:type="dxa"/>
          </w:tcPr>
          <w:p w:rsidR="00500337" w:rsidRDefault="00992623" w:rsidP="00500337">
            <w:pPr>
              <w:ind w:left="0" w:right="0"/>
            </w:pPr>
            <w:r>
              <w:t>13 March 2018</w:t>
            </w:r>
          </w:p>
        </w:tc>
      </w:tr>
      <w:tr w:rsidR="00500337" w:rsidTr="00500337">
        <w:tc>
          <w:tcPr>
            <w:tcW w:w="4360" w:type="dxa"/>
          </w:tcPr>
          <w:p w:rsidR="00500337" w:rsidRDefault="00500337" w:rsidP="00500337">
            <w:pPr>
              <w:ind w:left="0" w:right="0"/>
            </w:pPr>
            <w:r>
              <w:t>Completion of administrative activities and registration on ARTG</w:t>
            </w:r>
          </w:p>
        </w:tc>
        <w:tc>
          <w:tcPr>
            <w:tcW w:w="4360" w:type="dxa"/>
          </w:tcPr>
          <w:p w:rsidR="00500337" w:rsidRDefault="00992623" w:rsidP="00500337">
            <w:pPr>
              <w:ind w:left="0" w:right="0"/>
            </w:pPr>
            <w:r>
              <w:t>16 March 2018</w:t>
            </w:r>
          </w:p>
        </w:tc>
      </w:tr>
      <w:tr w:rsidR="00500337" w:rsidTr="00500337">
        <w:tc>
          <w:tcPr>
            <w:tcW w:w="4360" w:type="dxa"/>
          </w:tcPr>
          <w:p w:rsidR="00500337" w:rsidRDefault="00500337" w:rsidP="00500337">
            <w:pPr>
              <w:ind w:left="0" w:right="0"/>
            </w:pPr>
            <w:r>
              <w:t>Number of working days from submission dossier acceptance to registration decision*</w:t>
            </w:r>
          </w:p>
        </w:tc>
        <w:tc>
          <w:tcPr>
            <w:tcW w:w="4360" w:type="dxa"/>
          </w:tcPr>
          <w:p w:rsidR="00500337" w:rsidRDefault="008138CC" w:rsidP="00500337">
            <w:pPr>
              <w:ind w:left="0" w:right="0"/>
            </w:pPr>
            <w:r>
              <w:t>222</w:t>
            </w:r>
          </w:p>
        </w:tc>
      </w:tr>
    </w:tbl>
    <w:p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rsidR="00500337" w:rsidRDefault="00500337" w:rsidP="00E3090E">
      <w:r>
        <w:t>Evaluations included under Quality findings and Nonclinical findings incorporate both the firs</w:t>
      </w:r>
      <w:r w:rsidR="00992623">
        <w:t>t and second round evaluations.</w:t>
      </w:r>
    </w:p>
    <w:p w:rsidR="008E7846" w:rsidRPr="003602A9" w:rsidRDefault="00500337" w:rsidP="008E7846">
      <w:pPr>
        <w:pStyle w:val="Heading2"/>
        <w:ind w:left="-11"/>
      </w:pPr>
      <w:bookmarkStart w:id="26" w:name="_Toc8291108"/>
      <w:r>
        <w:t>I</w:t>
      </w:r>
      <w:r w:rsidR="008E7846">
        <w:t>II. Quality</w:t>
      </w:r>
      <w:bookmarkEnd w:id="2"/>
      <w:r w:rsidR="008E7846">
        <w:t xml:space="preserve"> findings</w:t>
      </w:r>
      <w:bookmarkEnd w:id="22"/>
      <w:bookmarkEnd w:id="23"/>
      <w:bookmarkEnd w:id="26"/>
    </w:p>
    <w:p w:rsidR="004E7E24" w:rsidRDefault="004E7E24" w:rsidP="004E7E24">
      <w:pPr>
        <w:pStyle w:val="Heading3"/>
      </w:pPr>
      <w:bookmarkStart w:id="27" w:name="_Toc314842488"/>
      <w:bookmarkStart w:id="28" w:name="_Toc247691507"/>
      <w:bookmarkStart w:id="29" w:name="_Toc8291109"/>
      <w:r>
        <w:t>Introduction</w:t>
      </w:r>
      <w:bookmarkEnd w:id="29"/>
    </w:p>
    <w:p w:rsidR="004E7E24" w:rsidRDefault="004E7E24" w:rsidP="004E7E24">
      <w:r>
        <w:t xml:space="preserve">Voxilaprevir is a new chemical entity whereas </w:t>
      </w:r>
      <w:r w:rsidR="00476CD0">
        <w:t>velpatasvir</w:t>
      </w:r>
      <w:r>
        <w:t xml:space="preserve"> is registered in a </w:t>
      </w:r>
      <w:r w:rsidR="00476CD0">
        <w:t xml:space="preserve">fixed dose combination (FDC) </w:t>
      </w:r>
      <w:r>
        <w:t>tablet (E</w:t>
      </w:r>
      <w:r w:rsidR="00476CD0">
        <w:t>pclusa;</w:t>
      </w:r>
      <w:r>
        <w:t xml:space="preserve"> </w:t>
      </w:r>
      <w:r w:rsidR="00476CD0">
        <w:t>sofosbuvir 400</w:t>
      </w:r>
      <w:r w:rsidR="00AA5E62">
        <w:t xml:space="preserve"> mg</w:t>
      </w:r>
      <w:r w:rsidR="00476CD0">
        <w:t>/velpatasvir 100</w:t>
      </w:r>
      <w:r w:rsidR="00AA5E62">
        <w:t xml:space="preserve"> mg</w:t>
      </w:r>
      <w:r w:rsidR="00476CD0">
        <w:t xml:space="preserve"> tablet;</w:t>
      </w:r>
      <w:r>
        <w:t xml:space="preserve"> bottle ARTG 266823); </w:t>
      </w:r>
      <w:r w:rsidR="00F45B1B">
        <w:t>sofosbuvir</w:t>
      </w:r>
      <w:r>
        <w:t xml:space="preserve"> is also registered in a tablet (S</w:t>
      </w:r>
      <w:r w:rsidR="00476CD0">
        <w:t>ovaldi;</w:t>
      </w:r>
      <w:r>
        <w:t xml:space="preserve"> </w:t>
      </w:r>
      <w:r w:rsidR="00476CD0">
        <w:t>sofosbuvir 400</w:t>
      </w:r>
      <w:r w:rsidR="00AA5E62">
        <w:t xml:space="preserve"> mg</w:t>
      </w:r>
      <w:r w:rsidR="00476CD0">
        <w:t xml:space="preserve"> tablet;</w:t>
      </w:r>
      <w:r>
        <w:t xml:space="preserve"> bottle ARTG 211019) and a second FDC (H</w:t>
      </w:r>
      <w:r w:rsidR="00476CD0">
        <w:t>arvoni;</w:t>
      </w:r>
      <w:r>
        <w:t xml:space="preserve"> </w:t>
      </w:r>
      <w:r w:rsidR="00476CD0">
        <w:t>sofosbuvir 400</w:t>
      </w:r>
      <w:r w:rsidR="00AA5E62">
        <w:t xml:space="preserve"> mg</w:t>
      </w:r>
      <w:r w:rsidR="00476CD0">
        <w:t>/ledipasvir 90</w:t>
      </w:r>
      <w:r w:rsidR="00AA5E62">
        <w:t xml:space="preserve"> mg</w:t>
      </w:r>
      <w:r w:rsidR="00476CD0">
        <w:t xml:space="preserve"> tablet;</w:t>
      </w:r>
      <w:r>
        <w:t xml:space="preserve"> bottle ARTG 222848).</w:t>
      </w:r>
    </w:p>
    <w:p w:rsidR="004E7E24" w:rsidRDefault="004E7E24" w:rsidP="004E7E24">
      <w:pPr>
        <w:pStyle w:val="Heading3"/>
      </w:pPr>
      <w:bookmarkStart w:id="30" w:name="_Toc8291110"/>
      <w:r>
        <w:t>Drug substance (active ingredient</w:t>
      </w:r>
      <w:r w:rsidR="00476CD0">
        <w:t>s</w:t>
      </w:r>
      <w:r>
        <w:t>)</w:t>
      </w:r>
      <w:bookmarkEnd w:id="27"/>
      <w:bookmarkEnd w:id="28"/>
      <w:bookmarkEnd w:id="30"/>
    </w:p>
    <w:p w:rsidR="00476CD0" w:rsidRPr="00476CD0" w:rsidRDefault="00476CD0" w:rsidP="00476CD0">
      <w:pPr>
        <w:pStyle w:val="Heading4"/>
      </w:pPr>
      <w:r>
        <w:t>Voxilaprevir</w:t>
      </w:r>
    </w:p>
    <w:p w:rsidR="004E7E24" w:rsidRPr="00476CD0" w:rsidRDefault="004E7E24" w:rsidP="00476CD0">
      <w:r w:rsidRPr="00476CD0">
        <w:t>Voxilaprevir (VOX</w:t>
      </w:r>
      <w:r w:rsidR="00041BBE">
        <w:t>;</w:t>
      </w:r>
      <w:r w:rsidRPr="00476CD0">
        <w:t xml:space="preserve"> Gilead Code Number: GS-9857) is a pan-genotypic in</w:t>
      </w:r>
      <w:r w:rsidR="00476CD0">
        <w:t>hibitor of the NS3/4A protease.</w:t>
      </w:r>
      <w:r w:rsidR="00041BBE">
        <w:t xml:space="preserve"> The skeletal structure is shown in Figure 1, below.</w:t>
      </w:r>
    </w:p>
    <w:p w:rsidR="004E7E24" w:rsidRDefault="00476CD0" w:rsidP="004E7E24">
      <w:pPr>
        <w:pStyle w:val="FigureTitle"/>
      </w:pPr>
      <w:r>
        <w:t>Figure 1: Structure of voxila</w:t>
      </w:r>
      <w:r w:rsidR="004E7E24">
        <w:t>previr</w:t>
      </w:r>
    </w:p>
    <w:p w:rsidR="004E7E24" w:rsidRDefault="004E7E24" w:rsidP="004E7E24">
      <w:r>
        <w:rPr>
          <w:noProof/>
          <w:lang w:eastAsia="en-AU"/>
        </w:rPr>
        <w:drawing>
          <wp:inline distT="0" distB="0" distL="0" distR="0" wp14:anchorId="4C4F39BB" wp14:editId="16669407">
            <wp:extent cx="2816225" cy="2150745"/>
            <wp:effectExtent l="0" t="0" r="3175" b="1905"/>
            <wp:docPr id="12" name="Picture 12" descr="Figure 1: Structure of voxilapre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6225" cy="2150745"/>
                    </a:xfrm>
                    <a:prstGeom prst="rect">
                      <a:avLst/>
                    </a:prstGeom>
                    <a:noFill/>
                    <a:ln>
                      <a:noFill/>
                    </a:ln>
                  </pic:spPr>
                </pic:pic>
              </a:graphicData>
            </a:graphic>
          </wp:inline>
        </w:drawing>
      </w:r>
    </w:p>
    <w:p w:rsidR="004E7E24" w:rsidRDefault="004E7E24" w:rsidP="004E7E24">
      <w:r>
        <w:lastRenderedPageBreak/>
        <w:t xml:space="preserve">It has eight chiral centres and is produced as a single stereoisomer. Voxilaprevir drug substance is slightly hygroscopic to hygroscopic. Amorphous </w:t>
      </w:r>
      <w:r w:rsidR="00476CD0">
        <w:t>v</w:t>
      </w:r>
      <w:r>
        <w:t>oxilaprevir exhibits increasing aqueous solubility over the pH range of 1 to 8</w:t>
      </w:r>
      <w:proofErr w:type="gramStart"/>
      <w:r>
        <w:t>, .</w:t>
      </w:r>
      <w:proofErr w:type="gramEnd"/>
      <w:r>
        <w:t xml:space="preserve"> It is hygroscopic, while the ethyl acetate solvate, Form VI, Form VIII, and Form X are slightly hygroscopic. Polymorphism is not a critical quality attribute for the drug substance because of the downstream processing</w:t>
      </w:r>
      <w:r w:rsidR="00E8522C">
        <w:t>.</w:t>
      </w:r>
    </w:p>
    <w:p w:rsidR="004E7E24" w:rsidRDefault="004E7E24" w:rsidP="004E7E24">
      <w:r>
        <w:t xml:space="preserve">The degradation kinetics and the product distribution of </w:t>
      </w:r>
      <w:r w:rsidR="00476CD0">
        <w:t>v</w:t>
      </w:r>
      <w:r>
        <w:t xml:space="preserve">oxilaprevir hydrolysis are pH-dependent; </w:t>
      </w:r>
      <w:r w:rsidR="00476CD0">
        <w:t>v</w:t>
      </w:r>
      <w:r>
        <w:t>oxilaprevir is most stable at pH 2 where t</w:t>
      </w:r>
      <w:r w:rsidRPr="00476CD0">
        <w:rPr>
          <w:vertAlign w:val="subscript"/>
        </w:rPr>
        <w:t>90</w:t>
      </w:r>
      <w:r>
        <w:t xml:space="preserve"> (time required for 10% degradation) was estimated to be </w:t>
      </w:r>
      <w:r w:rsidR="00476CD0">
        <w:t xml:space="preserve">&gt; </w:t>
      </w:r>
      <w:r>
        <w:t>2 years at 50 °C. Voxilaprevir in aqueous solutions at pH 2 was not susceptible to oxidative degradation, and it is not subject to photo</w:t>
      </w:r>
      <w:r w:rsidR="00476CD0">
        <w:t>-</w:t>
      </w:r>
      <w:r>
        <w:t>degradation i</w:t>
      </w:r>
      <w:r w:rsidR="00476CD0">
        <w:t>n the solution or solid states.</w:t>
      </w:r>
    </w:p>
    <w:p w:rsidR="004E7E24" w:rsidRDefault="004E7E24" w:rsidP="004E7E24">
      <w:r>
        <w:t xml:space="preserve">Based on the high apparent permeability and low solubility, </w:t>
      </w:r>
      <w:r w:rsidR="00476CD0">
        <w:t>vo</w:t>
      </w:r>
      <w:r>
        <w:t>xilaprevir is a Class 2 drug with respect to the Biopharmaceutics Classification System (BCS).</w:t>
      </w:r>
    </w:p>
    <w:p w:rsidR="004E7E24" w:rsidRDefault="004E7E24" w:rsidP="004E7E24">
      <w:r>
        <w:t>The proposed drug substance specification complies with TGA requirements and is considered adequate to ensure the quality and consistency of manuf</w:t>
      </w:r>
      <w:r w:rsidR="00476CD0">
        <w:t>acture of the finished product.</w:t>
      </w:r>
    </w:p>
    <w:p w:rsidR="00476CD0" w:rsidRDefault="00476CD0" w:rsidP="00476CD0">
      <w:pPr>
        <w:pStyle w:val="Heading4"/>
      </w:pPr>
      <w:r>
        <w:t>Velpatasvir</w:t>
      </w:r>
    </w:p>
    <w:p w:rsidR="004E7E24" w:rsidRDefault="004E7E24" w:rsidP="004E7E24">
      <w:r>
        <w:t xml:space="preserve">Velpatasvir (VEL) is a HCV inhibitor targeting the HCV NS5A protein, which is essential for both </w:t>
      </w:r>
      <w:r w:rsidR="009E6C8F">
        <w:rPr>
          <w:rFonts w:eastAsia="TimesNewRoman" w:cs="TimesNewRoman"/>
        </w:rPr>
        <w:t>ribonucleic acid</w:t>
      </w:r>
      <w:r w:rsidR="009E6C8F">
        <w:t xml:space="preserve"> (</w:t>
      </w:r>
      <w:r>
        <w:t>RNA</w:t>
      </w:r>
      <w:r w:rsidR="009E6C8F">
        <w:t>)</w:t>
      </w:r>
      <w:r>
        <w:t xml:space="preserve"> replication and the assembly of HCV virions.</w:t>
      </w:r>
      <w:r w:rsidR="00041BBE">
        <w:t xml:space="preserve"> The structure is shown in Figure 2, below.</w:t>
      </w:r>
    </w:p>
    <w:p w:rsidR="004E7E24" w:rsidRDefault="004E7E24" w:rsidP="00C349F9">
      <w:pPr>
        <w:pStyle w:val="FigureTitle"/>
      </w:pPr>
      <w:r>
        <w:t xml:space="preserve">Figure 2: Structure of </w:t>
      </w:r>
      <w:r w:rsidR="00476CD0">
        <w:t>v</w:t>
      </w:r>
      <w:r>
        <w:t>elpatasvir</w:t>
      </w:r>
    </w:p>
    <w:p w:rsidR="004E7E24" w:rsidRDefault="004E7E24" w:rsidP="004E7E24">
      <w:r>
        <w:rPr>
          <w:noProof/>
          <w:lang w:eastAsia="en-AU"/>
        </w:rPr>
        <w:drawing>
          <wp:inline distT="0" distB="0" distL="0" distR="0" wp14:anchorId="784982E4" wp14:editId="372F676E">
            <wp:extent cx="4257675" cy="1777365"/>
            <wp:effectExtent l="0" t="0" r="9525" b="0"/>
            <wp:docPr id="11" name="Picture 11" descr="Figure 2: Structure of velpatas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1777365"/>
                    </a:xfrm>
                    <a:prstGeom prst="rect">
                      <a:avLst/>
                    </a:prstGeom>
                    <a:noFill/>
                    <a:ln>
                      <a:noFill/>
                    </a:ln>
                  </pic:spPr>
                </pic:pic>
              </a:graphicData>
            </a:graphic>
          </wp:inline>
        </w:drawing>
      </w:r>
    </w:p>
    <w:p w:rsidR="004E7E24" w:rsidRDefault="004E7E24" w:rsidP="004E7E24">
      <w:r>
        <w:t xml:space="preserve">It has six chiral centres and is produced as a single isomer. The drug substance is obtained as an amorphous powder; it is soluble at pH 1.2 slightly soluble at pH </w:t>
      </w:r>
      <w:r w:rsidR="00DB3894">
        <w:t>2 and</w:t>
      </w:r>
      <w:r>
        <w:t xml:space="preserve"> practically inso</w:t>
      </w:r>
      <w:r w:rsidR="00476CD0">
        <w:t>luble above pH 5.</w:t>
      </w:r>
    </w:p>
    <w:p w:rsidR="00476CD0" w:rsidRDefault="004E7E24" w:rsidP="004E7E24">
      <w:r>
        <w:t>Particle size and polymorphic form are not considered critical in this case because the drug substance is</w:t>
      </w:r>
      <w:r w:rsidR="00776EDC">
        <w:t xml:space="preserve"> </w:t>
      </w:r>
      <w:r w:rsidR="00E8522C">
        <w:t>[information redacted].</w:t>
      </w:r>
    </w:p>
    <w:p w:rsidR="004E7E24" w:rsidRDefault="004E7E24" w:rsidP="004E7E24">
      <w:r>
        <w:t>Based on its low apparent permeability and low solubility, velpatasvir is considered a Class 4 drug with respect to the Biopharmaceutics Classification System (BCS).</w:t>
      </w:r>
    </w:p>
    <w:p w:rsidR="004E7E24" w:rsidRDefault="004E7E24" w:rsidP="004E7E24">
      <w:r>
        <w:t>The proposed drug substance specification complies with TGA requirements and is considered adequate to ensure the quality and consistency of manufacture of the finished product. Polymorphism is not a critical quality attribute for the drug substance because of the downstream processing</w:t>
      </w:r>
      <w:r w:rsidR="00E8522C">
        <w:t>.</w:t>
      </w:r>
    </w:p>
    <w:p w:rsidR="004E7E24" w:rsidRDefault="00476CD0" w:rsidP="00476CD0">
      <w:pPr>
        <w:pStyle w:val="Heading4"/>
      </w:pPr>
      <w:r>
        <w:t>Sofosbuvir</w:t>
      </w:r>
    </w:p>
    <w:p w:rsidR="004E7E24" w:rsidRDefault="004E7E24" w:rsidP="004E7E24">
      <w:r>
        <w:t>Sofosbuvir (SOF), a prodrug of nucleotide monophosphate, is ultimately converted within the hepatocyte to the active triphosphate form, as shown below</w:t>
      </w:r>
      <w:r w:rsidR="003B4961">
        <w:t xml:space="preserve"> (Figure 3)</w:t>
      </w:r>
      <w:r>
        <w:t xml:space="preserve">. This is an HCV </w:t>
      </w:r>
      <w:r>
        <w:lastRenderedPageBreak/>
        <w:t>NSSB</w:t>
      </w:r>
      <w:r w:rsidR="003B4961">
        <w:t xml:space="preserve"> </w:t>
      </w:r>
      <w:r>
        <w:t>directed inhibitor that has displayed potent in vitro inhibition of HCV replicon RNA replication.</w:t>
      </w:r>
    </w:p>
    <w:p w:rsidR="004E7E24" w:rsidRDefault="004E7E24" w:rsidP="004E7E24">
      <w:pPr>
        <w:pStyle w:val="FigureTitle"/>
      </w:pPr>
      <w:r>
        <w:t xml:space="preserve">Figure 3: Conversion of </w:t>
      </w:r>
      <w:r w:rsidR="00F45B1B">
        <w:t>sofosbuvir</w:t>
      </w:r>
      <w:r>
        <w:t xml:space="preserve"> to the active triphosphate form</w:t>
      </w:r>
    </w:p>
    <w:p w:rsidR="004E7E24" w:rsidRDefault="004E7E24" w:rsidP="004E7E24">
      <w:r>
        <w:rPr>
          <w:noProof/>
          <w:lang w:eastAsia="en-AU"/>
        </w:rPr>
        <w:drawing>
          <wp:inline distT="0" distB="0" distL="0" distR="0" wp14:anchorId="309FB184" wp14:editId="7969E486">
            <wp:extent cx="5398770" cy="1382395"/>
            <wp:effectExtent l="0" t="0" r="0" b="8255"/>
            <wp:docPr id="10" name="Picture 10" descr="Figure 3: Conversion of sofosbuvir to the active triphosphat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1382395"/>
                    </a:xfrm>
                    <a:prstGeom prst="rect">
                      <a:avLst/>
                    </a:prstGeom>
                    <a:noFill/>
                    <a:ln>
                      <a:noFill/>
                    </a:ln>
                  </pic:spPr>
                </pic:pic>
              </a:graphicData>
            </a:graphic>
          </wp:inline>
        </w:drawing>
      </w:r>
    </w:p>
    <w:p w:rsidR="004E7E24" w:rsidRDefault="004E7E24" w:rsidP="004E7E24">
      <w:r>
        <w:t>Sofosbuvir (anhydrous, crystal form II) is a white to off-white powder which is slightly soluble across t</w:t>
      </w:r>
      <w:r w:rsidR="00476CD0">
        <w:t xml:space="preserve">he physiological pH range (pH 2 to </w:t>
      </w:r>
      <w:r>
        <w:t>7.7). Sofosbuvir has six stereo</w:t>
      </w:r>
      <w:r w:rsidR="00476CD0">
        <w:t>-centres</w:t>
      </w:r>
      <w:r>
        <w:t xml:space="preserve"> and is chirally pure. Based on the low apparent permeability and high solubility, </w:t>
      </w:r>
      <w:r w:rsidR="00F45B1B">
        <w:t>sofosbuvir</w:t>
      </w:r>
      <w:r>
        <w:t xml:space="preserve"> is a Class 3 drug with respect to the Biopharmaceutics Classification System (BCS).</w:t>
      </w:r>
    </w:p>
    <w:p w:rsidR="00476CD0" w:rsidRDefault="004E7E24" w:rsidP="004E7E24">
      <w:r>
        <w:t>Data relating to sofosbuvir is identical to that previously submitted for registration of the sofosbuvir monotherapy tablet (Submission PM-2013-01283-1-2)</w:t>
      </w:r>
      <w:r w:rsidR="00476CD0">
        <w:t>.</w:t>
      </w:r>
    </w:p>
    <w:p w:rsidR="004E7E24" w:rsidRDefault="004E7E24" w:rsidP="004E7E24">
      <w:r>
        <w:t>The previously agreed drug substance specifications comply with TGA requirements and are considered adequate to ensure the quality and consistency of manufacture of the combination tablets.</w:t>
      </w:r>
    </w:p>
    <w:p w:rsidR="004E7E24" w:rsidRDefault="004E7E24" w:rsidP="004E7E24">
      <w:pPr>
        <w:pStyle w:val="Heading3"/>
      </w:pPr>
      <w:bookmarkStart w:id="31" w:name="_Toc314842490"/>
      <w:bookmarkStart w:id="32" w:name="_Toc247691508"/>
      <w:bookmarkStart w:id="33" w:name="_Toc8291111"/>
      <w:r>
        <w:t>Drug product</w:t>
      </w:r>
      <w:bookmarkEnd w:id="31"/>
      <w:bookmarkEnd w:id="32"/>
      <w:bookmarkEnd w:id="33"/>
    </w:p>
    <w:p w:rsidR="00476CD0" w:rsidRDefault="004E7E24" w:rsidP="004E7E24">
      <w:r>
        <w:t>The proposed product is a fixed dose combination of three active substanc</w:t>
      </w:r>
      <w:r w:rsidR="00476CD0">
        <w:t xml:space="preserve">es formulated as beige, capsule </w:t>
      </w:r>
      <w:r>
        <w:t xml:space="preserve">shaped, </w:t>
      </w:r>
      <w:r w:rsidR="00476CD0">
        <w:t>film coated</w:t>
      </w:r>
      <w:r>
        <w:t xml:space="preserve"> tablet, debossed with “GSI” on one side and “3”on the other side. The tablets are approximately 20 mm in length </w:t>
      </w:r>
      <w:r w:rsidR="00476CD0">
        <w:t>x</w:t>
      </w:r>
      <w:r>
        <w:t xml:space="preserve"> 10 mm in width</w:t>
      </w:r>
      <w:r w:rsidR="00476CD0">
        <w:t>.</w:t>
      </w:r>
    </w:p>
    <w:p w:rsidR="004E7E24" w:rsidRDefault="004E7E24" w:rsidP="004E7E24">
      <w:r>
        <w:t xml:space="preserve">A conventional immediate release formulation is used for the product, with </w:t>
      </w:r>
      <w:r w:rsidR="00476CD0">
        <w:t xml:space="preserve">velpatasvir and voxilaprevir </w:t>
      </w:r>
      <w:r>
        <w:t xml:space="preserve">added to the formulation of the active substances with </w:t>
      </w:r>
      <w:proofErr w:type="spellStart"/>
      <w:r>
        <w:t>copovidone</w:t>
      </w:r>
      <w:proofErr w:type="spellEnd"/>
      <w:r>
        <w:t>. Inactive excipients selected are conventional for a film coated tablet.</w:t>
      </w:r>
    </w:p>
    <w:p w:rsidR="00476CD0" w:rsidRDefault="004E7E24" w:rsidP="004E7E24">
      <w:r>
        <w:t>Mutual compatibility of the 3 active substances was demonstrated as no significant degradation was observed. Compatibility with excipients was monitored during formulation development and all three active substances were found to be stable with the excipients used in the proposed commercial formulation</w:t>
      </w:r>
      <w:r w:rsidR="00476CD0">
        <w:t>.</w:t>
      </w:r>
    </w:p>
    <w:p w:rsidR="004E7E24" w:rsidRDefault="004E7E24" w:rsidP="004E7E24">
      <w:r>
        <w:t>The proposed finished product specifications have been adequately justified and comply with TGA requirements. They are considered adequate to ensure the quality of the finished product at release and throughout the shelf-life.</w:t>
      </w:r>
    </w:p>
    <w:p w:rsidR="004E7E24" w:rsidRDefault="004E7E24" w:rsidP="004E7E24">
      <w:r>
        <w:t xml:space="preserve">Tablet dissolution is tested </w:t>
      </w:r>
      <w:r w:rsidR="000E1116">
        <w:t>(</w:t>
      </w:r>
      <w:r w:rsidR="00476CD0">
        <w:t>information redacted</w:t>
      </w:r>
      <w:r w:rsidR="000E1116">
        <w:t>)</w:t>
      </w:r>
      <w:r>
        <w:t xml:space="preserve"> and sampling times of 30 minutes and 60 minutes (additional sampling for </w:t>
      </w:r>
      <w:r w:rsidR="00476CD0">
        <w:t>v</w:t>
      </w:r>
      <w:r>
        <w:t xml:space="preserve">oxilaprevir). Butylated </w:t>
      </w:r>
      <w:proofErr w:type="spellStart"/>
      <w:r>
        <w:t>hydroxytoluene</w:t>
      </w:r>
      <w:proofErr w:type="spellEnd"/>
      <w:r>
        <w:t xml:space="preserve"> is added to the medium to inhibit oxidation of the </w:t>
      </w:r>
      <w:r w:rsidR="00476CD0">
        <w:t>p</w:t>
      </w:r>
      <w:r>
        <w:t>olysorbate.</w:t>
      </w:r>
      <w:r w:rsidR="00476CD0">
        <w:t xml:space="preserve"> </w:t>
      </w:r>
      <w:r>
        <w:t xml:space="preserve">The dissolution method was shown to be discriminatory for </w:t>
      </w:r>
      <w:r w:rsidR="00476CD0">
        <w:t xml:space="preserve">low voxilaprevir/velpatasvir assay, presence of voxilaprevir </w:t>
      </w:r>
      <w:r>
        <w:t xml:space="preserve">polymorphs, amorphous </w:t>
      </w:r>
      <w:r w:rsidR="00476CD0">
        <w:t>velpatasvir</w:t>
      </w:r>
      <w:r>
        <w:t xml:space="preserve"> </w:t>
      </w:r>
      <w:r w:rsidR="00476CD0">
        <w:t>and voxilaprevir</w:t>
      </w:r>
      <w:r>
        <w:t xml:space="preserve">, and the absence of </w:t>
      </w:r>
      <w:proofErr w:type="spellStart"/>
      <w:r>
        <w:t>disintegrant</w:t>
      </w:r>
      <w:proofErr w:type="spellEnd"/>
      <w:r>
        <w:t xml:space="preserve"> are included with the annexes.</w:t>
      </w:r>
    </w:p>
    <w:p w:rsidR="004E7E24" w:rsidRDefault="004E7E24" w:rsidP="004E7E24">
      <w:r>
        <w:t>Twenty-eight tablets are packaged in a 100 mL white, high density polyethylene (HDPE) bottle containing one gram of desiccant and polyester coil. Each bottle is capped using a white, continuous thread, child-resistant polypropyl</w:t>
      </w:r>
      <w:r w:rsidR="00476CD0">
        <w:t xml:space="preserve">ene screw cap with an induction sealed, aluminium </w:t>
      </w:r>
      <w:r>
        <w:t>faced liner.</w:t>
      </w:r>
    </w:p>
    <w:p w:rsidR="00476CD0" w:rsidRDefault="004E7E24" w:rsidP="004E7E24">
      <w:r>
        <w:lastRenderedPageBreak/>
        <w:t>The tablets show good s</w:t>
      </w:r>
      <w:r w:rsidR="00476CD0">
        <w:t xml:space="preserve">tability and a shelf life of 24 </w:t>
      </w:r>
      <w:r>
        <w:t>months when stored below 30</w:t>
      </w:r>
      <w:r w:rsidR="00476CD0">
        <w:t>°</w:t>
      </w:r>
      <w:r>
        <w:t>C, has been established</w:t>
      </w:r>
      <w:r w:rsidR="00476CD0">
        <w:t>.</w:t>
      </w:r>
    </w:p>
    <w:p w:rsidR="004E7E24" w:rsidRDefault="004E7E24" w:rsidP="004E7E24">
      <w:pPr>
        <w:pStyle w:val="Heading4"/>
      </w:pPr>
      <w:r>
        <w:t xml:space="preserve">Formulation </w:t>
      </w:r>
      <w:r w:rsidR="00E3090E">
        <w:t>d</w:t>
      </w:r>
      <w:r>
        <w:t>evelopment</w:t>
      </w:r>
    </w:p>
    <w:p w:rsidR="004E7E24" w:rsidRDefault="004E7E24" w:rsidP="004E7E24">
      <w:r>
        <w:t xml:space="preserve">A </w:t>
      </w:r>
      <w:r w:rsidR="00476CD0">
        <w:t>FDC</w:t>
      </w:r>
      <w:r>
        <w:t xml:space="preserve"> tablet was chosen as the dosage form for the product due to previous experience in developing </w:t>
      </w:r>
      <w:r w:rsidR="00476CD0">
        <w:t>single agent</w:t>
      </w:r>
      <w:r>
        <w:t xml:space="preserve"> and combination tablets </w:t>
      </w:r>
      <w:r w:rsidR="00476CD0">
        <w:t>containing sofosbuvir and velpatasvir</w:t>
      </w:r>
      <w:r>
        <w:t>.</w:t>
      </w:r>
    </w:p>
    <w:p w:rsidR="00476CD0" w:rsidRDefault="004E7E24" w:rsidP="004E7E24">
      <w:r>
        <w:t xml:space="preserve">Voxilaprevir was originally formulated as a </w:t>
      </w:r>
      <w:r w:rsidR="00476CD0">
        <w:t>single agent</w:t>
      </w:r>
      <w:r>
        <w:t xml:space="preserve"> tablet for use in </w:t>
      </w:r>
      <w:r w:rsidR="00476CD0">
        <w:t>Phase I</w:t>
      </w:r>
      <w:r>
        <w:t xml:space="preserve"> and </w:t>
      </w:r>
      <w:r w:rsidR="00476CD0">
        <w:t>Phase</w:t>
      </w:r>
      <w:r w:rsidR="003B4961">
        <w:t> </w:t>
      </w:r>
      <w:r w:rsidR="00476CD0">
        <w:t>II</w:t>
      </w:r>
      <w:r>
        <w:t xml:space="preserve"> clinical trials. The designated commercial </w:t>
      </w:r>
      <w:r w:rsidR="00476CD0">
        <w:t>v</w:t>
      </w:r>
      <w:r>
        <w:t xml:space="preserve">oxilaprevir drug substance was the only form used to produce VOX throughout drug product development. The VOX </w:t>
      </w:r>
      <w:r w:rsidR="00476CD0">
        <w:t>single agent</w:t>
      </w:r>
      <w:r>
        <w:t xml:space="preserve"> tablet formulation, 100</w:t>
      </w:r>
      <w:r w:rsidR="003B4961">
        <w:t> </w:t>
      </w:r>
      <w:r w:rsidR="00AA5E62">
        <w:t>mg</w:t>
      </w:r>
      <w:r>
        <w:t xml:space="preserve"> strength, was modified to include 400</w:t>
      </w:r>
      <w:r w:rsidR="00AA5E62">
        <w:t xml:space="preserve"> mg</w:t>
      </w:r>
      <w:r>
        <w:t xml:space="preserve"> </w:t>
      </w:r>
      <w:r w:rsidR="00476CD0">
        <w:t>s</w:t>
      </w:r>
      <w:r>
        <w:t>ofosbuvir and 100</w:t>
      </w:r>
      <w:r w:rsidR="00AA5E62">
        <w:t xml:space="preserve"> mg</w:t>
      </w:r>
      <w:r>
        <w:t xml:space="preserve"> </w:t>
      </w:r>
      <w:r w:rsidR="00476CD0">
        <w:t>v</w:t>
      </w:r>
      <w:r>
        <w:t>elpatasvir. The 400</w:t>
      </w:r>
      <w:r w:rsidR="00AA5E62">
        <w:t xml:space="preserve"> mg</w:t>
      </w:r>
      <w:r>
        <w:t xml:space="preserve"> </w:t>
      </w:r>
      <w:r w:rsidR="00476CD0">
        <w:t>s</w:t>
      </w:r>
      <w:r>
        <w:t>ofosbuvir dose is the same as that used in Sovaldi, Harvoni, and Epclusa tablets. The 100</w:t>
      </w:r>
      <w:r w:rsidR="00AA5E62">
        <w:t xml:space="preserve"> mg</w:t>
      </w:r>
      <w:r>
        <w:t xml:space="preserve"> </w:t>
      </w:r>
      <w:r w:rsidR="00476CD0">
        <w:t>v</w:t>
      </w:r>
      <w:r>
        <w:t xml:space="preserve">elpatasvir dose is the same as that used in Epclusa tablets. In relative bioavailability </w:t>
      </w:r>
      <w:r w:rsidR="00476CD0">
        <w:t>Study</w:t>
      </w:r>
      <w:r>
        <w:t xml:space="preserve"> GS-US-367-1176, the selected FDC tablet formulation, 400/100/100</w:t>
      </w:r>
      <w:r w:rsidR="003B4961">
        <w:t> </w:t>
      </w:r>
      <w:r w:rsidR="00AA5E62">
        <w:t>mg</w:t>
      </w:r>
      <w:r>
        <w:t>, demonstrated similar pharmacokinetic performance to co-administered Epclusa tablets, 400/100</w:t>
      </w:r>
      <w:r w:rsidR="00AA5E62">
        <w:t xml:space="preserve"> mg</w:t>
      </w:r>
      <w:r>
        <w:t xml:space="preserve">, and VOX </w:t>
      </w:r>
      <w:r w:rsidR="00476CD0">
        <w:t>single agent</w:t>
      </w:r>
      <w:r>
        <w:t xml:space="preserve"> tablets, 100</w:t>
      </w:r>
      <w:r w:rsidR="00AA5E62">
        <w:t xml:space="preserve"> mg</w:t>
      </w:r>
      <w:r>
        <w:t xml:space="preserve"> and with no need for dose adjustment</w:t>
      </w:r>
      <w:r w:rsidR="00476CD0">
        <w:t>.</w:t>
      </w:r>
    </w:p>
    <w:p w:rsidR="004E7E24" w:rsidRDefault="004E7E24" w:rsidP="004E7E24">
      <w:r>
        <w:t>The FDC table formulation , 400/100/100</w:t>
      </w:r>
      <w:r w:rsidR="00AA5E62">
        <w:t xml:space="preserve"> mg</w:t>
      </w:r>
      <w:r>
        <w:t xml:space="preserve">, </w:t>
      </w:r>
      <w:r w:rsidR="00476CD0">
        <w:t>was</w:t>
      </w:r>
      <w:r>
        <w:t xml:space="preserve"> subsequently used in all pivotal </w:t>
      </w:r>
      <w:r w:rsidR="00476CD0">
        <w:t>Phase III</w:t>
      </w:r>
      <w:r>
        <w:t xml:space="preserve"> clinical trials and stability studies, and are the proposed commercial formulation.</w:t>
      </w:r>
    </w:p>
    <w:p w:rsidR="004E7E24" w:rsidRDefault="004E7E24" w:rsidP="004E7E24">
      <w:pPr>
        <w:pStyle w:val="Heading3"/>
      </w:pPr>
      <w:bookmarkStart w:id="34" w:name="_Toc314842491"/>
      <w:bookmarkStart w:id="35" w:name="_Toc8291112"/>
      <w:r>
        <w:t>Biopharmaceutics</w:t>
      </w:r>
      <w:bookmarkEnd w:id="34"/>
      <w:bookmarkEnd w:id="35"/>
    </w:p>
    <w:p w:rsidR="00476CD0" w:rsidRDefault="004E7E24" w:rsidP="004E7E24">
      <w:bookmarkStart w:id="36" w:name="_Toc314842493"/>
      <w:bookmarkStart w:id="37" w:name="_Toc247691509"/>
      <w:r>
        <w:t xml:space="preserve">Sofosbuvir was absorbed quickly and the peak median plasma concentration was observed </w:t>
      </w:r>
      <w:r w:rsidR="00476CD0">
        <w:t xml:space="preserve">~ 0.5 to </w:t>
      </w:r>
      <w:r>
        <w:t xml:space="preserve">1 hour </w:t>
      </w:r>
      <w:r w:rsidR="00476CD0">
        <w:t>post dose</w:t>
      </w:r>
      <w:r>
        <w:t>. Median peak plasma concentration of the active metabolite of sofosbuvir was observed ~</w:t>
      </w:r>
      <w:r w:rsidR="00476CD0">
        <w:t xml:space="preserve"> </w:t>
      </w:r>
      <w:r>
        <w:t xml:space="preserve">2 hours </w:t>
      </w:r>
      <w:r w:rsidR="00476CD0">
        <w:t>post dose</w:t>
      </w:r>
      <w:r>
        <w:t xml:space="preserve">. Median peak plasma concentration of </w:t>
      </w:r>
      <w:r w:rsidR="00476CD0">
        <w:t>velpatasvir</w:t>
      </w:r>
      <w:r>
        <w:t xml:space="preserve">, and </w:t>
      </w:r>
      <w:r w:rsidR="00476CD0">
        <w:t>voxilaprevir</w:t>
      </w:r>
      <w:r>
        <w:t xml:space="preserve"> were each observed 4 hours </w:t>
      </w:r>
      <w:r w:rsidR="00476CD0">
        <w:t>post dose.</w:t>
      </w:r>
    </w:p>
    <w:p w:rsidR="00476CD0" w:rsidRDefault="004E7E24" w:rsidP="004E7E24">
      <w:r>
        <w:t xml:space="preserve">Very little metabolism of velpatasvir occurs, with </w:t>
      </w:r>
      <w:r w:rsidR="00476CD0">
        <w:t xml:space="preserve">&gt; </w:t>
      </w:r>
      <w:r>
        <w:t xml:space="preserve">98% of a </w:t>
      </w:r>
      <w:r w:rsidR="000E1116">
        <w:t>(</w:t>
      </w:r>
      <w:r w:rsidR="00476CD0" w:rsidRPr="00476CD0">
        <w:rPr>
          <w:vertAlign w:val="superscript"/>
        </w:rPr>
        <w:t>14</w:t>
      </w:r>
      <w:r w:rsidR="00476CD0">
        <w:t>C</w:t>
      </w:r>
      <w:r w:rsidR="000E1116">
        <w:t>)</w:t>
      </w:r>
      <w:r>
        <w:t>-labelled 100</w:t>
      </w:r>
      <w:r w:rsidR="00AA5E62">
        <w:t xml:space="preserve"> mg</w:t>
      </w:r>
      <w:r>
        <w:t xml:space="preserve"> dose present in plasma as unchanged drug</w:t>
      </w:r>
      <w:r w:rsidR="00476CD0">
        <w:t>.</w:t>
      </w:r>
    </w:p>
    <w:p w:rsidR="004E7E24" w:rsidRDefault="004E7E24" w:rsidP="004E7E24">
      <w:r>
        <w:t xml:space="preserve">Voxilaprevir is primarily a substrate of </w:t>
      </w:r>
      <w:r w:rsidR="00476CD0">
        <w:t>cytochrome P450 3A4 (</w:t>
      </w:r>
      <w:r>
        <w:t>CYP3A4</w:t>
      </w:r>
      <w:r w:rsidR="00476CD0">
        <w:t>)</w:t>
      </w:r>
      <w:r>
        <w:t xml:space="preserve"> with slow turnover. Following a single dose of </w:t>
      </w:r>
      <w:r w:rsidR="000E1116">
        <w:t>(</w:t>
      </w:r>
      <w:r w:rsidR="00476CD0" w:rsidRPr="00476CD0">
        <w:rPr>
          <w:vertAlign w:val="superscript"/>
        </w:rPr>
        <w:t>14</w:t>
      </w:r>
      <w:r w:rsidR="00476CD0">
        <w:t>C</w:t>
      </w:r>
      <w:r w:rsidR="000E1116">
        <w:t>)</w:t>
      </w:r>
      <w:r>
        <w:t>-</w:t>
      </w:r>
      <w:r w:rsidR="00476CD0">
        <w:t>voxilaprevir</w:t>
      </w:r>
      <w:r>
        <w:t xml:space="preserve"> 100</w:t>
      </w:r>
      <w:r w:rsidR="00AA5E62">
        <w:t xml:space="preserve"> mg</w:t>
      </w:r>
      <w:r>
        <w:t>, the majority (approximately 91%) of radioactivity in pla</w:t>
      </w:r>
      <w:r w:rsidR="00476CD0">
        <w:t>sma was parent drug. Hydrolysed and dehydrogenated voxilaprevir</w:t>
      </w:r>
      <w:r>
        <w:t xml:space="preserve"> were the metabolites identified in human plasma. Unchanged </w:t>
      </w:r>
      <w:r w:rsidR="00476CD0">
        <w:t>voxilaprevir</w:t>
      </w:r>
      <w:r>
        <w:t xml:space="preserve"> is the major species presen</w:t>
      </w:r>
      <w:r w:rsidR="00476CD0">
        <w:t>t in faeces. After a single 100</w:t>
      </w:r>
      <w:r w:rsidR="00AA5E62">
        <w:t xml:space="preserve"> mg</w:t>
      </w:r>
      <w:r>
        <w:t xml:space="preserve"> dose of </w:t>
      </w:r>
      <w:r w:rsidR="000E1116">
        <w:t>(</w:t>
      </w:r>
      <w:r w:rsidR="00476CD0" w:rsidRPr="00476CD0">
        <w:rPr>
          <w:vertAlign w:val="superscript"/>
        </w:rPr>
        <w:t>14</w:t>
      </w:r>
      <w:r w:rsidR="00476CD0">
        <w:t>C</w:t>
      </w:r>
      <w:r w:rsidR="000E1116">
        <w:t>)</w:t>
      </w:r>
      <w:r>
        <w:t>-</w:t>
      </w:r>
      <w:r w:rsidR="00476CD0">
        <w:t>voxilaprevir</w:t>
      </w:r>
      <w:r>
        <w:t xml:space="preserve"> in healthy male subjects, the blood to plasma ratio of </w:t>
      </w:r>
      <w:r w:rsidR="000E1116">
        <w:t>(</w:t>
      </w:r>
      <w:r w:rsidR="00476CD0" w:rsidRPr="00476CD0">
        <w:rPr>
          <w:vertAlign w:val="superscript"/>
        </w:rPr>
        <w:t>14</w:t>
      </w:r>
      <w:r w:rsidR="00476CD0">
        <w:t>C</w:t>
      </w:r>
      <w:proofErr w:type="gramStart"/>
      <w:r w:rsidR="000E1116">
        <w:t>)</w:t>
      </w:r>
      <w:r w:rsidR="003B4961">
        <w:noBreakHyphen/>
      </w:r>
      <w:proofErr w:type="gramEnd"/>
      <w:r>
        <w:t>radioactivity ranged between 0.5 and 0.8.</w:t>
      </w:r>
    </w:p>
    <w:p w:rsidR="004E7E24" w:rsidRDefault="004E7E24" w:rsidP="004E7E24">
      <w:r>
        <w:t xml:space="preserve">Sofosbuvir is extensively metabolised in the liver to form the pharmacologically active nucleoside triphosphate </w:t>
      </w:r>
      <w:r w:rsidR="00476CD0">
        <w:t>analogue</w:t>
      </w:r>
      <w:r>
        <w:t xml:space="preserve"> (as shown above) which is dephosphorylated to the inactive nucleoside metabolite. After a single 400</w:t>
      </w:r>
      <w:r w:rsidR="00AA5E62">
        <w:t xml:space="preserve"> mg</w:t>
      </w:r>
      <w:r>
        <w:t xml:space="preserve"> oral dose of </w:t>
      </w:r>
      <w:r w:rsidR="000E1116">
        <w:t>(</w:t>
      </w:r>
      <w:r w:rsidR="00476CD0" w:rsidRPr="00476CD0">
        <w:rPr>
          <w:vertAlign w:val="superscript"/>
        </w:rPr>
        <w:t>14</w:t>
      </w:r>
      <w:r w:rsidR="00476CD0">
        <w:t>C</w:t>
      </w:r>
      <w:r w:rsidR="000E1116">
        <w:t>)</w:t>
      </w:r>
      <w:r>
        <w:t>-</w:t>
      </w:r>
      <w:r w:rsidR="00F45B1B">
        <w:t>sofosbuvir</w:t>
      </w:r>
      <w:r>
        <w:t xml:space="preserve">, the nucleoside triphosphate active metabolite accounted for approximately </w:t>
      </w:r>
      <w:r w:rsidR="00476CD0">
        <w:t xml:space="preserve">&gt; </w:t>
      </w:r>
      <w:r>
        <w:t>90% of total systemic exposure.</w:t>
      </w:r>
    </w:p>
    <w:p w:rsidR="004E7E24" w:rsidRDefault="004E7E24" w:rsidP="004E7E24">
      <w:pPr>
        <w:pStyle w:val="Heading4"/>
      </w:pPr>
      <w:r>
        <w:t>Biostudy GS-U</w:t>
      </w:r>
      <w:r w:rsidR="00476CD0">
        <w:t>S-367-1176;</w:t>
      </w:r>
      <w:r>
        <w:t xml:space="preserve"> </w:t>
      </w:r>
      <w:r w:rsidR="00476CD0">
        <w:t>relative bioavailability and the effect of food</w:t>
      </w:r>
    </w:p>
    <w:p w:rsidR="00476CD0" w:rsidRDefault="004E7E24" w:rsidP="004E7E24">
      <w:r>
        <w:t xml:space="preserve">Study GS-US-367-1176 was a </w:t>
      </w:r>
      <w:r w:rsidR="00476CD0">
        <w:t>Phase I, randomi</w:t>
      </w:r>
      <w:r w:rsidR="003B4961">
        <w:t>s</w:t>
      </w:r>
      <w:r w:rsidR="00476CD0">
        <w:t xml:space="preserve">ed, open label, single dose study </w:t>
      </w:r>
      <w:r>
        <w:t xml:space="preserve">to </w:t>
      </w:r>
      <w:r w:rsidR="00476CD0">
        <w:t>evaluate the relative bioavailability and the effect of food on sofosbuvir</w:t>
      </w:r>
      <w:r>
        <w:t xml:space="preserve">/GS-5816/GS-9857 </w:t>
      </w:r>
      <w:r w:rsidR="00D43BF2">
        <w:t>fixed dose</w:t>
      </w:r>
      <w:r w:rsidR="00476CD0">
        <w:t xml:space="preserve"> combination tablet in healthy subjects.</w:t>
      </w:r>
    </w:p>
    <w:p w:rsidR="004E7E24" w:rsidRDefault="004E7E24" w:rsidP="004E7E24">
      <w:r>
        <w:t xml:space="preserve">The first part examined the relative bioavailability of concurrent administration of single doses of a fixed dose combination of </w:t>
      </w:r>
      <w:r w:rsidR="00476CD0">
        <w:t>sofosbuvir</w:t>
      </w:r>
      <w:r>
        <w:t xml:space="preserve"> 400</w:t>
      </w:r>
      <w:r w:rsidR="00AA5E62">
        <w:t xml:space="preserve"> mg</w:t>
      </w:r>
      <w:r>
        <w:t xml:space="preserve"> and </w:t>
      </w:r>
      <w:r w:rsidR="00476CD0">
        <w:t>velpatasvir</w:t>
      </w:r>
      <w:r>
        <w:t xml:space="preserve"> 100</w:t>
      </w:r>
      <w:r w:rsidR="00AA5E62">
        <w:t xml:space="preserve"> mg</w:t>
      </w:r>
      <w:r>
        <w:t xml:space="preserve"> (1</w:t>
      </w:r>
      <w:r w:rsidR="003B4961">
        <w:t> </w:t>
      </w:r>
      <w:r>
        <w:t>x</w:t>
      </w:r>
      <w:r w:rsidR="003B4961">
        <w:t> </w:t>
      </w:r>
      <w:r>
        <w:t>400/100</w:t>
      </w:r>
      <w:r w:rsidR="00AA5E62">
        <w:t xml:space="preserve"> mg</w:t>
      </w:r>
      <w:r>
        <w:t xml:space="preserve"> tablet) and </w:t>
      </w:r>
      <w:r w:rsidR="00476CD0">
        <w:t>voxilaprevir</w:t>
      </w:r>
      <w:r>
        <w:t xml:space="preserve"> 100</w:t>
      </w:r>
      <w:r w:rsidR="00AA5E62">
        <w:t xml:space="preserve"> mg</w:t>
      </w:r>
      <w:r>
        <w:t xml:space="preserve"> (1 x 100</w:t>
      </w:r>
      <w:r w:rsidR="00AA5E62">
        <w:t xml:space="preserve"> mg</w:t>
      </w:r>
      <w:r>
        <w:t xml:space="preserve"> tablet) administered orally under fed (moderate fat) conditions (Treatment A) against a single dose of the FDC tablet </w:t>
      </w:r>
      <w:r>
        <w:lastRenderedPageBreak/>
        <w:t xml:space="preserve">containing </w:t>
      </w:r>
      <w:r w:rsidR="00476CD0">
        <w:t>sofosbuvir</w:t>
      </w:r>
      <w:r w:rsidR="00F45B1B">
        <w:t xml:space="preserve"> 400</w:t>
      </w:r>
      <w:r w:rsidR="00AA5E62">
        <w:t xml:space="preserve"> mg</w:t>
      </w:r>
      <w:r w:rsidR="00F45B1B">
        <w:t>,</w:t>
      </w:r>
      <w:r>
        <w:t xml:space="preserve"> </w:t>
      </w:r>
      <w:r w:rsidR="00476CD0">
        <w:t>velpatasvir</w:t>
      </w:r>
      <w:r>
        <w:t xml:space="preserve"> 100</w:t>
      </w:r>
      <w:r w:rsidR="00AA5E62">
        <w:t xml:space="preserve"> mg</w:t>
      </w:r>
      <w:r>
        <w:t xml:space="preserve"> and </w:t>
      </w:r>
      <w:r w:rsidR="00476CD0">
        <w:t>voxilaprevir</w:t>
      </w:r>
      <w:r>
        <w:t xml:space="preserve"> 100</w:t>
      </w:r>
      <w:r w:rsidR="00AA5E62">
        <w:t xml:space="preserve"> mg</w:t>
      </w:r>
      <w:r w:rsidR="00476CD0">
        <w:t xml:space="preserve"> </w:t>
      </w:r>
      <w:r>
        <w:t>(1</w:t>
      </w:r>
      <w:r w:rsidR="003B4961">
        <w:t> </w:t>
      </w:r>
      <w:r>
        <w:t>x</w:t>
      </w:r>
      <w:r w:rsidR="003B4961">
        <w:t> </w:t>
      </w:r>
      <w:r>
        <w:t>400/100/100</w:t>
      </w:r>
      <w:r w:rsidR="00AA5E62">
        <w:t xml:space="preserve"> mg</w:t>
      </w:r>
      <w:r>
        <w:t xml:space="preserve"> tablet) under fed (moderate fat) conditions (Treatment B).</w:t>
      </w:r>
    </w:p>
    <w:p w:rsidR="004E7E24" w:rsidRDefault="004E7E24" w:rsidP="004E7E24">
      <w:r>
        <w:t xml:space="preserve">The second part examined the relative bioavailability of a single dose of the FDC tablet containing </w:t>
      </w:r>
      <w:r w:rsidR="00476CD0">
        <w:t>sofosbuvir</w:t>
      </w:r>
      <w:r>
        <w:t xml:space="preserve"> 400</w:t>
      </w:r>
      <w:r w:rsidR="00AA5E62">
        <w:t xml:space="preserve"> mg</w:t>
      </w:r>
      <w:r>
        <w:t xml:space="preserve">, </w:t>
      </w:r>
      <w:r w:rsidR="00476CD0">
        <w:t>velpatasvir</w:t>
      </w:r>
      <w:r>
        <w:t xml:space="preserve"> 100</w:t>
      </w:r>
      <w:r w:rsidR="00AA5E62">
        <w:t xml:space="preserve"> mg</w:t>
      </w:r>
      <w:r>
        <w:t xml:space="preserve"> and </w:t>
      </w:r>
      <w:r w:rsidR="00476CD0">
        <w:t>voxilaprevir</w:t>
      </w:r>
      <w:r>
        <w:t xml:space="preserve"> 100</w:t>
      </w:r>
      <w:r w:rsidR="00AA5E62">
        <w:t xml:space="preserve"> mg</w:t>
      </w:r>
      <w:r>
        <w:t xml:space="preserve"> under fasted conditions (Treatment C) against the same dose under orally fed conditions, using a hi</w:t>
      </w:r>
      <w:r w:rsidR="00F45B1B">
        <w:t xml:space="preserve">gh fat/high </w:t>
      </w:r>
      <w:r>
        <w:t>calorie meal (Treatment D).</w:t>
      </w:r>
    </w:p>
    <w:p w:rsidR="004E7E24" w:rsidRDefault="004E7E24" w:rsidP="004E7E24">
      <w:pPr>
        <w:pStyle w:val="Heading5"/>
      </w:pPr>
      <w:r>
        <w:t xml:space="preserve">Relative </w:t>
      </w:r>
      <w:r w:rsidR="00F45B1B">
        <w:t>b</w:t>
      </w:r>
      <w:r w:rsidR="009E6C8F">
        <w:t>ioavailability</w:t>
      </w:r>
    </w:p>
    <w:p w:rsidR="004E7E24" w:rsidRDefault="004E7E24" w:rsidP="004E7E24">
      <w:r>
        <w:t xml:space="preserve">The reported </w:t>
      </w:r>
      <w:r w:rsidR="00F45B1B">
        <w:t>pharmacokinetic (</w:t>
      </w:r>
      <w:r>
        <w:t>PK</w:t>
      </w:r>
      <w:r w:rsidR="00F45B1B">
        <w:t>)</w:t>
      </w:r>
      <w:r>
        <w:t xml:space="preserve"> parameters for the two cohorts administered </w:t>
      </w:r>
      <w:r w:rsidR="003B4961">
        <w:t xml:space="preserve">with </w:t>
      </w:r>
      <w:r>
        <w:t xml:space="preserve">SOF/VEL/GS-9857 </w:t>
      </w:r>
      <w:r w:rsidR="003B4961">
        <w:t xml:space="preserve">and </w:t>
      </w:r>
      <w:r>
        <w:t>SOF/VEL+GS-9857 are shown below</w:t>
      </w:r>
      <w:r w:rsidR="003B4961">
        <w:t xml:space="preserve"> in Table 3</w:t>
      </w:r>
      <w:r>
        <w:t>.</w:t>
      </w:r>
    </w:p>
    <w:p w:rsidR="004E7E24" w:rsidRDefault="00AC0F8C" w:rsidP="004E7E24">
      <w:pPr>
        <w:pStyle w:val="TableTitle"/>
      </w:pPr>
      <w:r>
        <w:t>Table 3</w:t>
      </w:r>
      <w:r w:rsidR="004E7E24">
        <w:t xml:space="preserve">: </w:t>
      </w:r>
      <w:r w:rsidR="003B4961">
        <w:t>R</w:t>
      </w:r>
      <w:r w:rsidR="004E7E24">
        <w:t xml:space="preserve">eported PK parameters for the two cohorts administered </w:t>
      </w:r>
      <w:r w:rsidR="003B4961">
        <w:t xml:space="preserve">with </w:t>
      </w:r>
      <w:r w:rsidR="004E7E24">
        <w:t>SOF/VEL/GS</w:t>
      </w:r>
      <w:r w:rsidR="003B4961">
        <w:noBreakHyphen/>
      </w:r>
      <w:r w:rsidR="004E7E24">
        <w:t xml:space="preserve">9857 </w:t>
      </w:r>
      <w:r w:rsidR="003B4961">
        <w:t xml:space="preserve">and </w:t>
      </w:r>
      <w:r w:rsidR="004E7E24">
        <w:t>SOF/VEL+GS-9857</w:t>
      </w:r>
    </w:p>
    <w:p w:rsidR="004E7E24" w:rsidRDefault="004E7E24" w:rsidP="004E7E24">
      <w:r>
        <w:rPr>
          <w:noProof/>
          <w:lang w:eastAsia="en-AU"/>
        </w:rPr>
        <w:drawing>
          <wp:inline distT="0" distB="0" distL="0" distR="0" wp14:anchorId="6E70E522" wp14:editId="7C133E50">
            <wp:extent cx="5398770" cy="4879340"/>
            <wp:effectExtent l="0" t="0" r="0" b="0"/>
            <wp:docPr id="9" name="Picture 9" descr="Table 3: reported PK parameters for the two cohorts administered of SOF/VEL/GS-9857 with SOF/VEL+GS-9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4879340"/>
                    </a:xfrm>
                    <a:prstGeom prst="rect">
                      <a:avLst/>
                    </a:prstGeom>
                    <a:noFill/>
                    <a:ln>
                      <a:noFill/>
                    </a:ln>
                  </pic:spPr>
                </pic:pic>
              </a:graphicData>
            </a:graphic>
          </wp:inline>
        </w:drawing>
      </w:r>
    </w:p>
    <w:p w:rsidR="004E7E24" w:rsidRDefault="004E7E24" w:rsidP="004E7E24">
      <w:r>
        <w:t xml:space="preserve">SOF/VEL/GS-9857 and SOF/VEL+GS-9857 resulted in PK equivalent exposures (90% </w:t>
      </w:r>
      <w:r w:rsidR="00F45B1B">
        <w:t>confidence intervals (</w:t>
      </w:r>
      <w:r>
        <w:t>C</w:t>
      </w:r>
      <w:r w:rsidR="00F45B1B">
        <w:t>i</w:t>
      </w:r>
      <w:r>
        <w:t>s</w:t>
      </w:r>
      <w:r w:rsidR="00F45B1B">
        <w:t>)</w:t>
      </w:r>
      <w:r>
        <w:t xml:space="preserve"> of </w:t>
      </w:r>
      <w:r w:rsidR="00F45B1B">
        <w:t>geometric least squares means (</w:t>
      </w:r>
      <w:r>
        <w:t>GLSM</w:t>
      </w:r>
      <w:r w:rsidR="00F45B1B">
        <w:t>)</w:t>
      </w:r>
      <w:r>
        <w:t xml:space="preserve"> ratios for all primary PK parameters were contained within the PK equivalence bounds of 70% to 143%) of SOF, GS-566500, GS-331007, VEL, and GS-9857 whe</w:t>
      </w:r>
      <w:r w:rsidR="00F45B1B">
        <w:t xml:space="preserve">n administered after a moderate </w:t>
      </w:r>
      <w:r>
        <w:t>fat meal.</w:t>
      </w:r>
    </w:p>
    <w:p w:rsidR="004E7E24" w:rsidRDefault="004E7E24" w:rsidP="004E7E24">
      <w:pPr>
        <w:pStyle w:val="Heading5"/>
      </w:pPr>
      <w:r>
        <w:t xml:space="preserve">Effect </w:t>
      </w:r>
      <w:r w:rsidR="00F45B1B">
        <w:t>of f</w:t>
      </w:r>
      <w:r>
        <w:t>ood</w:t>
      </w:r>
    </w:p>
    <w:p w:rsidR="004E7E24" w:rsidRDefault="004E7E24" w:rsidP="004E7E24">
      <w:r>
        <w:t>The reported PK parameters for the two cohorts administered SOF/VEL/GS-9857 FDC (1</w:t>
      </w:r>
      <w:r w:rsidR="003B4961">
        <w:t> </w:t>
      </w:r>
      <w:r w:rsidR="00F45B1B">
        <w:t>x</w:t>
      </w:r>
      <w:r>
        <w:t xml:space="preserve"> 400/100/100</w:t>
      </w:r>
      <w:r w:rsidR="00AA5E62">
        <w:t xml:space="preserve"> mg</w:t>
      </w:r>
      <w:r>
        <w:t xml:space="preserve"> tablet single dose) administered orally under fasted conditions and administered orally within</w:t>
      </w:r>
      <w:r w:rsidR="00F45B1B">
        <w:t xml:space="preserve"> 5 minutes of completing a high fat/high </w:t>
      </w:r>
      <w:r>
        <w:t>calorie meal are shown below</w:t>
      </w:r>
      <w:r w:rsidR="003B4961">
        <w:t xml:space="preserve"> in Table 4</w:t>
      </w:r>
      <w:r>
        <w:t>.</w:t>
      </w:r>
    </w:p>
    <w:p w:rsidR="004E7E24" w:rsidRDefault="00AC0F8C" w:rsidP="004E7E24">
      <w:pPr>
        <w:pStyle w:val="TableTitle"/>
      </w:pPr>
      <w:r>
        <w:lastRenderedPageBreak/>
        <w:t>Table 4</w:t>
      </w:r>
      <w:r w:rsidR="004E7E24">
        <w:t xml:space="preserve">: </w:t>
      </w:r>
      <w:r w:rsidR="003B4961">
        <w:t>R</w:t>
      </w:r>
      <w:r w:rsidR="004E7E24">
        <w:t>eported PK parameters for the two cohorts administered SOF/VEL/GS</w:t>
      </w:r>
      <w:r w:rsidR="003B4961">
        <w:noBreakHyphen/>
      </w:r>
      <w:r w:rsidR="004E7E24">
        <w:t xml:space="preserve">9857 FDC (1 </w:t>
      </w:r>
      <w:r w:rsidR="00C4145D">
        <w:t>x</w:t>
      </w:r>
      <w:r w:rsidR="004E7E24">
        <w:t xml:space="preserve"> 400/100/100</w:t>
      </w:r>
      <w:r w:rsidR="00AA5E62">
        <w:t xml:space="preserve"> mg</w:t>
      </w:r>
      <w:r w:rsidR="004E7E24">
        <w:t xml:space="preserve"> tablet single dose)</w:t>
      </w:r>
    </w:p>
    <w:p w:rsidR="004E7E24" w:rsidRDefault="004E7E24" w:rsidP="004E7E24">
      <w:r>
        <w:rPr>
          <w:noProof/>
          <w:lang w:eastAsia="en-AU"/>
        </w:rPr>
        <w:drawing>
          <wp:inline distT="0" distB="0" distL="0" distR="0" wp14:anchorId="094A71BC" wp14:editId="07F9F7B7">
            <wp:extent cx="5398770" cy="5003800"/>
            <wp:effectExtent l="0" t="0" r="0" b="6350"/>
            <wp:docPr id="8" name="Picture 8" descr="Table 4: reported PK parameters for the two cohorts administered SOF/VEL/GS-9857 FDC (1 x 400/100/100 mg tablet singl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5003800"/>
                    </a:xfrm>
                    <a:prstGeom prst="rect">
                      <a:avLst/>
                    </a:prstGeom>
                    <a:noFill/>
                    <a:ln>
                      <a:noFill/>
                    </a:ln>
                  </pic:spPr>
                </pic:pic>
              </a:graphicData>
            </a:graphic>
          </wp:inline>
        </w:drawing>
      </w:r>
    </w:p>
    <w:p w:rsidR="004E7E24" w:rsidRDefault="004E7E24" w:rsidP="004E7E24">
      <w:pPr>
        <w:rPr>
          <w:lang w:eastAsia="en-AU"/>
        </w:rPr>
      </w:pPr>
      <w:r>
        <w:rPr>
          <w:lang w:eastAsia="en-AU"/>
        </w:rPr>
        <w:t>Administration of SOF/VEL/GS-9857 following a</w:t>
      </w:r>
      <w:r w:rsidR="00F45B1B">
        <w:rPr>
          <w:lang w:eastAsia="en-AU"/>
        </w:rPr>
        <w:t xml:space="preserve"> high fat/high </w:t>
      </w:r>
      <w:r>
        <w:rPr>
          <w:lang w:eastAsia="en-AU"/>
        </w:rPr>
        <w:t xml:space="preserve">calorie meal resulted in substantially increased GS-9857 exposure, and modestly increased SOF, GS-566500, and VEL exposures compared with exposures achieved under fasted conditions. GS-331007 </w:t>
      </w:r>
      <w:r w:rsidR="00AC3806">
        <w:rPr>
          <w:rFonts w:eastAsia="TimesNewRoman" w:cs="TimesNewRoman"/>
        </w:rPr>
        <w:t>area under the plasma/serum concentration versus time curve</w:t>
      </w:r>
      <w:r w:rsidR="00AC3806">
        <w:rPr>
          <w:lang w:eastAsia="en-AU"/>
        </w:rPr>
        <w:t xml:space="preserve"> (</w:t>
      </w:r>
      <w:r>
        <w:rPr>
          <w:lang w:eastAsia="en-AU"/>
        </w:rPr>
        <w:t>AUC</w:t>
      </w:r>
      <w:r w:rsidR="00AC3806">
        <w:rPr>
          <w:lang w:eastAsia="en-AU"/>
        </w:rPr>
        <w:t>)</w:t>
      </w:r>
      <w:r>
        <w:rPr>
          <w:lang w:eastAsia="en-AU"/>
        </w:rPr>
        <w:t xml:space="preserve"> was unchanged, and </w:t>
      </w:r>
      <w:r w:rsidR="00AC3806">
        <w:rPr>
          <w:rFonts w:eastAsia="TimesNewRoman" w:cs="TimesNewRoman"/>
        </w:rPr>
        <w:t>maximum observed plasma/serum concentration of drug</w:t>
      </w:r>
      <w:r w:rsidR="00AC3806" w:rsidRPr="00132EE6">
        <w:t xml:space="preserve"> </w:t>
      </w:r>
      <w:r w:rsidR="00AC3806">
        <w:t>(</w:t>
      </w:r>
      <w:proofErr w:type="spellStart"/>
      <w:r w:rsidR="00CE0E69" w:rsidRPr="00132EE6">
        <w:t>C</w:t>
      </w:r>
      <w:r w:rsidR="00CE0E69" w:rsidRPr="00CE0E69">
        <w:rPr>
          <w:vertAlign w:val="subscript"/>
        </w:rPr>
        <w:t>max</w:t>
      </w:r>
      <w:proofErr w:type="spellEnd"/>
      <w:r w:rsidR="00AC3806">
        <w:t>)</w:t>
      </w:r>
      <w:r w:rsidR="00AC3806">
        <w:rPr>
          <w:vertAlign w:val="subscript"/>
        </w:rPr>
        <w:t xml:space="preserve"> </w:t>
      </w:r>
      <w:r>
        <w:rPr>
          <w:lang w:eastAsia="en-AU"/>
        </w:rPr>
        <w:t>was modestly reduced when SOF/VEL/GS-9857 wa</w:t>
      </w:r>
      <w:r w:rsidR="00F45B1B">
        <w:rPr>
          <w:lang w:eastAsia="en-AU"/>
        </w:rPr>
        <w:t xml:space="preserve">s administered following a high fat/high </w:t>
      </w:r>
      <w:r>
        <w:rPr>
          <w:lang w:eastAsia="en-AU"/>
        </w:rPr>
        <w:t>calorie meal compared to fasted administration. These data are consistent with the known effect of food on the PK of SOF, GS-566500, GS-331007, VEL, and GS-9857.</w:t>
      </w:r>
    </w:p>
    <w:p w:rsidR="004E7E24" w:rsidRDefault="004E7E24" w:rsidP="004E7E24">
      <w:pPr>
        <w:rPr>
          <w:lang w:eastAsia="en-AU"/>
        </w:rPr>
      </w:pPr>
      <w:r>
        <w:rPr>
          <w:lang w:eastAsia="en-AU"/>
        </w:rPr>
        <w:t>The large increase in GS-9857 exposure following administration of SOF/VEL/GS-9857 under fed conditions compared with fasted conditions was expected based upon the combination of a positive food effect and the known drug-drug interaction (significantly reduced GS-9857 exposure) that occurs between SOF/VEL and GS-9857 administered in the fasted state.</w:t>
      </w:r>
    </w:p>
    <w:p w:rsidR="004E7E24" w:rsidRDefault="004E7E24" w:rsidP="004E7E24">
      <w:r>
        <w:t xml:space="preserve">The PI recommends </w:t>
      </w:r>
      <w:r w:rsidR="00476CD0">
        <w:t>Vosevi</w:t>
      </w:r>
      <w:r>
        <w:t xml:space="preserve"> should be administered with food.</w:t>
      </w:r>
    </w:p>
    <w:p w:rsidR="004E7E24" w:rsidRDefault="004E7E24" w:rsidP="004E7E24">
      <w:pPr>
        <w:pStyle w:val="Heading5"/>
      </w:pPr>
      <w:r>
        <w:t xml:space="preserve">Absolute </w:t>
      </w:r>
      <w:r w:rsidR="00F45B1B">
        <w:t>b</w:t>
      </w:r>
      <w:r>
        <w:t>ioavailability</w:t>
      </w:r>
    </w:p>
    <w:p w:rsidR="004E7E24" w:rsidRDefault="004E7E24" w:rsidP="004E7E24">
      <w:r>
        <w:t>An absolute bioavailability study has not been performed. The sponsor’s justification asserts that:</w:t>
      </w:r>
    </w:p>
    <w:p w:rsidR="004E7E24" w:rsidRDefault="004E7E24" w:rsidP="00E650A8">
      <w:pPr>
        <w:pStyle w:val="ListBullet"/>
        <w:numPr>
          <w:ilvl w:val="0"/>
          <w:numId w:val="12"/>
        </w:numPr>
      </w:pPr>
      <w:r>
        <w:lastRenderedPageBreak/>
        <w:t xml:space="preserve">the pharmacokinetics and clinical pharmacology of sofosbuvir have been extensively characterised through in vitro, </w:t>
      </w:r>
      <w:r w:rsidR="00C4145D">
        <w:t>nonclinical</w:t>
      </w:r>
      <w:r>
        <w:t>, and clinical studies;</w:t>
      </w:r>
    </w:p>
    <w:p w:rsidR="004E7E24" w:rsidRDefault="00C4145D" w:rsidP="00E650A8">
      <w:pPr>
        <w:pStyle w:val="ListBullet"/>
        <w:numPr>
          <w:ilvl w:val="0"/>
          <w:numId w:val="12"/>
        </w:numPr>
      </w:pPr>
      <w:r>
        <w:t>nonclinical</w:t>
      </w:r>
      <w:r w:rsidR="004E7E24">
        <w:t xml:space="preserve"> and clinical studies have shown that systemic bioavailability of sofosbuvir is low due to extensive hepatic metabolism;</w:t>
      </w:r>
    </w:p>
    <w:p w:rsidR="004E7E24" w:rsidRDefault="004E7E24" w:rsidP="00E650A8">
      <w:pPr>
        <w:pStyle w:val="ListBullet"/>
        <w:numPr>
          <w:ilvl w:val="0"/>
          <w:numId w:val="12"/>
        </w:numPr>
      </w:pPr>
      <w:r>
        <w:t>development of a parenteral velpatasvir formulation was difficult due to its poor solubility profile;</w:t>
      </w:r>
    </w:p>
    <w:p w:rsidR="004E7E24" w:rsidRDefault="004E7E24" w:rsidP="00E650A8">
      <w:pPr>
        <w:pStyle w:val="ListBullet"/>
        <w:numPr>
          <w:ilvl w:val="0"/>
          <w:numId w:val="12"/>
        </w:numPr>
      </w:pPr>
      <w:proofErr w:type="gramStart"/>
      <w:r>
        <w:t>oral</w:t>
      </w:r>
      <w:proofErr w:type="gramEnd"/>
      <w:r>
        <w:t xml:space="preserve"> bioavailability of velpatasvir in </w:t>
      </w:r>
      <w:r w:rsidR="00C4145D">
        <w:t>nonclinical</w:t>
      </w:r>
      <w:r>
        <w:t xml:space="preserve"> studies was low (~</w:t>
      </w:r>
      <w:r w:rsidR="00C4145D">
        <w:t xml:space="preserve"> 25 to </w:t>
      </w:r>
      <w:r>
        <w:t>30%)</w:t>
      </w:r>
      <w:r w:rsidR="00776EDC">
        <w:t>;</w:t>
      </w:r>
    </w:p>
    <w:p w:rsidR="004E7E24" w:rsidRDefault="004E7E24" w:rsidP="00E650A8">
      <w:pPr>
        <w:pStyle w:val="ListBullet"/>
        <w:numPr>
          <w:ilvl w:val="0"/>
          <w:numId w:val="12"/>
        </w:numPr>
      </w:pPr>
      <w:r>
        <w:t>an absolute bioavailability study would be difficult to conduct due to the low solubility of velpatasvir and is unnecessary as estimates of bioavailability from existing data are sufficient</w:t>
      </w:r>
      <w:r w:rsidR="00776EDC">
        <w:t>;</w:t>
      </w:r>
    </w:p>
    <w:p w:rsidR="004E7E24" w:rsidRDefault="004E7E24" w:rsidP="00E650A8">
      <w:pPr>
        <w:pStyle w:val="ListBullet"/>
        <w:numPr>
          <w:ilvl w:val="0"/>
          <w:numId w:val="12"/>
        </w:numPr>
      </w:pPr>
      <w:r>
        <w:t>development of a parenteral voxilaprevir (VOX) formulation was difficult due to its poor solubility profile;</w:t>
      </w:r>
    </w:p>
    <w:p w:rsidR="004E7E24" w:rsidRDefault="004E7E24" w:rsidP="00E650A8">
      <w:pPr>
        <w:pStyle w:val="ListBullet"/>
        <w:numPr>
          <w:ilvl w:val="0"/>
          <w:numId w:val="12"/>
        </w:numPr>
      </w:pPr>
      <w:r>
        <w:t xml:space="preserve">the </w:t>
      </w:r>
      <w:r w:rsidR="00AC3806">
        <w:rPr>
          <w:rFonts w:eastAsia="TimesNewRoman" w:cs="TimesNewRoman"/>
        </w:rPr>
        <w:t>absorption, distribution, metabolism and elimination</w:t>
      </w:r>
      <w:r w:rsidR="00AC3806">
        <w:t xml:space="preserve"> (</w:t>
      </w:r>
      <w:r>
        <w:t>ADME</w:t>
      </w:r>
      <w:r w:rsidR="00AC3806">
        <w:t>)</w:t>
      </w:r>
      <w:r>
        <w:t xml:space="preserve"> properties, and the clinical pharmacology of VOX have been extensively </w:t>
      </w:r>
      <w:r w:rsidR="00D11551">
        <w:t xml:space="preserve">characterised </w:t>
      </w:r>
      <w:r>
        <w:t>using in vitro/nonclinical studies and clinically, through pharmacokinetic and drug interaction studies</w:t>
      </w:r>
      <w:r w:rsidR="00776EDC">
        <w:t>;</w:t>
      </w:r>
    </w:p>
    <w:p w:rsidR="004E7E24" w:rsidRDefault="004E7E24" w:rsidP="00E650A8">
      <w:pPr>
        <w:pStyle w:val="ListBullet"/>
        <w:numPr>
          <w:ilvl w:val="0"/>
          <w:numId w:val="12"/>
        </w:numPr>
      </w:pPr>
      <w:r>
        <w:t>a comprehensive set of clinical studies provides support to the preclinical characteri</w:t>
      </w:r>
      <w:r w:rsidR="00D11551">
        <w:t>s</w:t>
      </w:r>
      <w:r>
        <w:t>ation of VOX bioavailability and suggest that VOX bioavailability is moderate</w:t>
      </w:r>
      <w:r w:rsidR="00776EDC">
        <w:t>;</w:t>
      </w:r>
      <w:r w:rsidR="00D11551">
        <w:t xml:space="preserve"> and</w:t>
      </w:r>
    </w:p>
    <w:p w:rsidR="004E7E24" w:rsidRDefault="004E7E24" w:rsidP="00E650A8">
      <w:pPr>
        <w:pStyle w:val="ListBullet"/>
        <w:numPr>
          <w:ilvl w:val="0"/>
          <w:numId w:val="12"/>
        </w:numPr>
      </w:pPr>
      <w:proofErr w:type="gramStart"/>
      <w:r>
        <w:t>an</w:t>
      </w:r>
      <w:proofErr w:type="gramEnd"/>
      <w:r>
        <w:t xml:space="preserve"> absolute bioavailability study is unnecessary as estimates of bioavailability from existing data are sufficient.</w:t>
      </w:r>
    </w:p>
    <w:p w:rsidR="004E7E24" w:rsidRDefault="004E7E24" w:rsidP="004E7E24">
      <w:pPr>
        <w:pStyle w:val="Heading3"/>
      </w:pPr>
      <w:bookmarkStart w:id="38" w:name="_Toc8291113"/>
      <w:r>
        <w:t>Quality summary and conclusions</w:t>
      </w:r>
      <w:bookmarkEnd w:id="36"/>
      <w:bookmarkEnd w:id="37"/>
      <w:bookmarkEnd w:id="38"/>
    </w:p>
    <w:p w:rsidR="008E7846" w:rsidRDefault="004E7E24" w:rsidP="008E7846">
      <w:r>
        <w:t xml:space="preserve">There are no outstanding quality issues of consequence. The </w:t>
      </w:r>
      <w:r w:rsidR="00D11551">
        <w:t xml:space="preserve">TGA’s </w:t>
      </w:r>
      <w:r>
        <w:t xml:space="preserve">Pharmaceutical </w:t>
      </w:r>
      <w:r w:rsidR="00D11551">
        <w:t xml:space="preserve">chemistry section </w:t>
      </w:r>
      <w:r>
        <w:t>is currently awaiting a response from the sponsor to address a small number of outstanding issues; it is anticipated that these matters will be resolved to the TGA’s satisfaction following receipt of the sponsor’s response</w:t>
      </w:r>
      <w:r w:rsidR="00476CD0">
        <w:t>.</w:t>
      </w:r>
    </w:p>
    <w:p w:rsidR="008E7846" w:rsidRDefault="008E7846" w:rsidP="008E7846">
      <w:pPr>
        <w:pStyle w:val="Heading2"/>
      </w:pPr>
      <w:bookmarkStart w:id="39" w:name="_Toc196046439"/>
      <w:bookmarkStart w:id="40" w:name="_Toc247691510"/>
      <w:bookmarkStart w:id="41" w:name="_Toc314842494"/>
      <w:bookmarkStart w:id="42" w:name="_Toc8291114"/>
      <w:r>
        <w:t>I</w:t>
      </w:r>
      <w:r w:rsidR="00500337">
        <w:t>V</w:t>
      </w:r>
      <w:r>
        <w:t>. Nonclinical</w:t>
      </w:r>
      <w:bookmarkEnd w:id="39"/>
      <w:r>
        <w:t xml:space="preserve"> findings</w:t>
      </w:r>
      <w:bookmarkEnd w:id="40"/>
      <w:bookmarkEnd w:id="41"/>
      <w:bookmarkEnd w:id="42"/>
    </w:p>
    <w:p w:rsidR="008E7846" w:rsidRDefault="008E7846" w:rsidP="00940A89">
      <w:pPr>
        <w:pStyle w:val="Heading3"/>
      </w:pPr>
      <w:bookmarkStart w:id="43" w:name="_Toc247691511"/>
      <w:bookmarkStart w:id="44" w:name="_Toc314842495"/>
      <w:bookmarkStart w:id="45" w:name="_Toc8291115"/>
      <w:r>
        <w:t>Introduction</w:t>
      </w:r>
      <w:bookmarkEnd w:id="43"/>
      <w:bookmarkEnd w:id="44"/>
      <w:bookmarkEnd w:id="45"/>
    </w:p>
    <w:p w:rsidR="005B1951" w:rsidRPr="005B1951" w:rsidRDefault="005B1951" w:rsidP="005B1951">
      <w:r>
        <w:t>Gilead Sciences Pty Ltd has applied to register Vosevi, a fixed dose combination tablet containing new chemical entity, voxilaprevir with sofosbuvir and velpatasvir, which are already approved for treating chronic hepatitis C virus (HCV) infection in adults. S</w:t>
      </w:r>
      <w:r w:rsidRPr="001C1720">
        <w:t>ofosbuvir</w:t>
      </w:r>
      <w:r>
        <w:t xml:space="preserve"> and</w:t>
      </w:r>
      <w:r w:rsidRPr="001C1720">
        <w:t xml:space="preserve"> </w:t>
      </w:r>
      <w:r>
        <w:t xml:space="preserve">velpatasvir were also included in this submission, and since they were previously assessed in </w:t>
      </w:r>
      <w:r w:rsidR="00D11551">
        <w:t xml:space="preserve">submissions </w:t>
      </w:r>
      <w:r>
        <w:t>PM-2013-01283-1-2 and PM-2015-03984-1-2, this assessment only covers voxilaprevir. Note nonclinical virology studies were described and</w:t>
      </w:r>
      <w:r w:rsidRPr="00127EAC">
        <w:t xml:space="preserve"> full reports were located in </w:t>
      </w:r>
      <w:r w:rsidR="00C4145D">
        <w:t>the clinical module</w:t>
      </w:r>
      <w:r>
        <w:t>. The nonclinical dossier was of high quality, with</w:t>
      </w:r>
      <w:r w:rsidRPr="00991F00">
        <w:t xml:space="preserve"> pivotal core safety pharmacology, toxicokinetic and repeat dose toxicity studies performed in accordance with</w:t>
      </w:r>
      <w:r w:rsidR="00D11551">
        <w:t xml:space="preserve"> Good Laboratory Practice</w:t>
      </w:r>
      <w:r w:rsidRPr="00991F00">
        <w:t xml:space="preserve"> GLP, and the studies were in agreement with ICH guidelines</w:t>
      </w:r>
      <w:r w:rsidR="00D11551">
        <w:t>.</w:t>
      </w:r>
      <w:r w:rsidR="00AA624F">
        <w:rPr>
          <w:rStyle w:val="FootnoteReference"/>
        </w:rPr>
        <w:footnoteReference w:id="2"/>
      </w:r>
      <w:r w:rsidR="00476CD0">
        <w:t xml:space="preserve"> </w:t>
      </w:r>
      <w:r>
        <w:t xml:space="preserve">Combination toxicity studies were not provided and are not generally warranted for antiviral agents of </w:t>
      </w:r>
      <w:r w:rsidR="00D11551">
        <w:t>h</w:t>
      </w:r>
      <w:r>
        <w:t>epatitis C</w:t>
      </w:r>
      <w:r w:rsidR="00D11551">
        <w:t>.</w:t>
      </w:r>
      <w:r>
        <w:rPr>
          <w:rStyle w:val="FootnoteReference"/>
          <w:kern w:val="2"/>
        </w:rPr>
        <w:footnoteReference w:id="3"/>
      </w:r>
      <w:proofErr w:type="gramStart"/>
      <w:r w:rsidRPr="0084411C">
        <w:rPr>
          <w:vertAlign w:val="superscript"/>
        </w:rPr>
        <w:t>,</w:t>
      </w:r>
      <w:proofErr w:type="gramEnd"/>
      <w:r>
        <w:rPr>
          <w:rStyle w:val="FootnoteReference"/>
          <w:kern w:val="2"/>
        </w:rPr>
        <w:footnoteReference w:id="4"/>
      </w:r>
      <w:r w:rsidR="00476CD0">
        <w:t xml:space="preserve"> </w:t>
      </w:r>
      <w:r>
        <w:t>Carcinogenicity studies are not warranted for treatment</w:t>
      </w:r>
      <w:r w:rsidR="00C4145D">
        <w:t xml:space="preserve"> </w:t>
      </w:r>
      <w:r w:rsidR="00476CD0">
        <w:t xml:space="preserve">&lt; </w:t>
      </w:r>
      <w:r>
        <w:t>24 weeks and were not provided for voxilaprevir.</w:t>
      </w:r>
    </w:p>
    <w:p w:rsidR="008E7846" w:rsidRDefault="008E7846" w:rsidP="008E7846">
      <w:pPr>
        <w:pStyle w:val="Heading3"/>
      </w:pPr>
      <w:bookmarkStart w:id="46" w:name="_Toc247691512"/>
      <w:bookmarkStart w:id="47" w:name="_Toc314842496"/>
      <w:bookmarkStart w:id="48" w:name="_Toc8291116"/>
      <w:r w:rsidRPr="00020030">
        <w:lastRenderedPageBreak/>
        <w:t>Pharmacology</w:t>
      </w:r>
      <w:bookmarkEnd w:id="46"/>
      <w:bookmarkEnd w:id="47"/>
      <w:bookmarkEnd w:id="48"/>
    </w:p>
    <w:p w:rsidR="005B1951" w:rsidRDefault="005B1951" w:rsidP="005B1951">
      <w:pPr>
        <w:pStyle w:val="Heading4"/>
      </w:pPr>
      <w:r w:rsidRPr="00EB69F1">
        <w:t>Primary pharmacology</w:t>
      </w:r>
    </w:p>
    <w:p w:rsidR="005B1951" w:rsidRPr="00E51133" w:rsidRDefault="005B1951" w:rsidP="005B1951">
      <w:r w:rsidRPr="00E51133">
        <w:t xml:space="preserve">Voxilaprevir </w:t>
      </w:r>
      <w:r>
        <w:t xml:space="preserve">has been proposed to act as a noncovalent, reversible inhibitor of the </w:t>
      </w:r>
      <w:r w:rsidRPr="00E51133">
        <w:t>NS3/4A protease</w:t>
      </w:r>
      <w:r>
        <w:t>,</w:t>
      </w:r>
      <w:r w:rsidRPr="00E51133">
        <w:t xml:space="preserve"> which is essential for proteolytic cleavage of the HCV encoded polyprotein</w:t>
      </w:r>
      <w:r>
        <w:t xml:space="preserve"> (into mature forms of NS3, NS4A, NS4B, NS5A and NS5B proteins)</w:t>
      </w:r>
      <w:r w:rsidRPr="00E51133">
        <w:t xml:space="preserve"> and hence for viral replication. </w:t>
      </w:r>
      <w:r w:rsidRPr="00DB3894">
        <w:rPr>
          <w:i/>
        </w:rPr>
        <w:t>In vitro</w:t>
      </w:r>
      <w:r>
        <w:t xml:space="preserve"> demonstrations of proteolytic and antiviral activity of voxilaprevir are discussed below.</w:t>
      </w:r>
    </w:p>
    <w:p w:rsidR="005B1951" w:rsidRDefault="005B1951" w:rsidP="005B1951">
      <w:pPr>
        <w:pStyle w:val="Heading5"/>
      </w:pPr>
      <w:r>
        <w:t>Inhibition of NS3 proteolytic activity in enzymatic assays and crystal structure</w:t>
      </w:r>
    </w:p>
    <w:p w:rsidR="005B1951" w:rsidRPr="007451F9" w:rsidRDefault="005B1951" w:rsidP="005B1951">
      <w:r>
        <w:t>Voxilaprevir inhibited both genotype 1b and 3a wild-type NS3 in enzymatic assays using recombinant NS3 protease domains (K</w:t>
      </w:r>
      <w:r w:rsidRPr="00773835">
        <w:rPr>
          <w:vertAlign w:val="subscript"/>
        </w:rPr>
        <w:t>i</w:t>
      </w:r>
      <w:r w:rsidR="00C4145D">
        <w:t xml:space="preserve"> of 0.038 to</w:t>
      </w:r>
      <w:r>
        <w:t xml:space="preserve"> 0.066 </w:t>
      </w:r>
      <w:proofErr w:type="spellStart"/>
      <w:r>
        <w:t>nM</w:t>
      </w:r>
      <w:proofErr w:type="spellEnd"/>
      <w:r>
        <w:t xml:space="preserve">). Voxilaprevir demonstrated competitive binding against the synthesised form of peptide substrate of NS3. </w:t>
      </w:r>
      <w:r w:rsidRPr="007451F9">
        <w:t>X-ray co</w:t>
      </w:r>
      <w:r w:rsidR="000012D7">
        <w:noBreakHyphen/>
      </w:r>
      <w:r w:rsidRPr="007451F9">
        <w:t>crystallographic structural analyses demonstrated that voxilaprevir bound non</w:t>
      </w:r>
      <w:r>
        <w:t>-</w:t>
      </w:r>
      <w:r w:rsidRPr="007451F9">
        <w:t xml:space="preserve">covalently to the active site of NS3 protease </w:t>
      </w:r>
      <w:r>
        <w:t xml:space="preserve">at a resolution of </w:t>
      </w:r>
      <w:r w:rsidRPr="007451F9">
        <w:t>1.4 angstrom</w:t>
      </w:r>
      <w:r>
        <w:t>s</w:t>
      </w:r>
      <w:r w:rsidRPr="007451F9">
        <w:t>.</w:t>
      </w:r>
      <w:r>
        <w:t xml:space="preserve"> Voxilaprevir exhibited minimal inhibitory activity when tested against a panel of mammalian proteases (selectivity indices </w:t>
      </w:r>
      <w:r w:rsidR="00476CD0">
        <w:t xml:space="preserve">&gt; </w:t>
      </w:r>
      <w:r>
        <w:t>400000</w:t>
      </w:r>
      <w:r w:rsidR="00C4145D">
        <w:t xml:space="preserve"> fold</w:t>
      </w:r>
      <w:r>
        <w:t xml:space="preserve"> above NS3 protease), indicating a very low likelihood of affecting mammalian host proteases.</w:t>
      </w:r>
    </w:p>
    <w:p w:rsidR="005B1951" w:rsidRPr="0019477E" w:rsidRDefault="005B1951" w:rsidP="005B1951">
      <w:pPr>
        <w:pStyle w:val="Heading5"/>
      </w:pPr>
      <w:r>
        <w:t>Activity against HCV replicon or infectious systems</w:t>
      </w:r>
    </w:p>
    <w:p w:rsidR="00476CD0" w:rsidRDefault="005B1951" w:rsidP="005B1951">
      <w:r w:rsidRPr="00E7729E">
        <w:t xml:space="preserve">The antiviral actions of voxilaprevir were </w:t>
      </w:r>
      <w:r w:rsidRPr="009A21BD">
        <w:t xml:space="preserve">conducted entirely </w:t>
      </w:r>
      <w:r w:rsidRPr="00DB3894">
        <w:rPr>
          <w:i/>
        </w:rPr>
        <w:t>in vitro</w:t>
      </w:r>
      <w:r w:rsidRPr="009A21BD">
        <w:t xml:space="preserve"> using HCV replicons (including chimeric replicon</w:t>
      </w:r>
      <w:r>
        <w:t>s</w:t>
      </w:r>
      <w:r w:rsidRPr="009A21BD">
        <w:t xml:space="preserve"> carrying HCV NS3 genes from clinical isolates) or in cells infected with genotype 2a J6/JFH-1 infectious virus.</w:t>
      </w:r>
      <w:r w:rsidRPr="00E7729E">
        <w:t xml:space="preserve"> </w:t>
      </w:r>
      <w:r w:rsidRPr="00B70881">
        <w:t xml:space="preserve">Voxilaprevir </w:t>
      </w:r>
      <w:r>
        <w:t xml:space="preserve">had antiviral activity against HCV genotypes 1 to 6 with mean </w:t>
      </w:r>
      <w:r w:rsidR="00AA624F">
        <w:rPr>
          <w:rFonts w:eastAsia="TimesNewRoman" w:cs="TimesNewRoman"/>
        </w:rPr>
        <w:t>half-maximal effective concentration</w:t>
      </w:r>
      <w:r w:rsidR="00AA624F">
        <w:t xml:space="preserve"> (</w:t>
      </w:r>
      <w:r>
        <w:t>EC</w:t>
      </w:r>
      <w:r w:rsidRPr="00E77EB9">
        <w:rPr>
          <w:vertAlign w:val="subscript"/>
        </w:rPr>
        <w:t>50</w:t>
      </w:r>
      <w:r w:rsidR="00AA624F">
        <w:t>)</w:t>
      </w:r>
      <w:r>
        <w:t xml:space="preserve"> values ranging from 0.33 to 6.6 </w:t>
      </w:r>
      <w:proofErr w:type="spellStart"/>
      <w:r>
        <w:t>nM</w:t>
      </w:r>
      <w:proofErr w:type="spellEnd"/>
      <w:r>
        <w:t xml:space="preserve"> when tested in absence of human serum. In a tissue culture-adapted genotype 2a J6/JFH infectious virus assay the EC</w:t>
      </w:r>
      <w:r w:rsidRPr="0066413D">
        <w:rPr>
          <w:vertAlign w:val="subscript"/>
        </w:rPr>
        <w:t>50</w:t>
      </w:r>
      <w:r>
        <w:t xml:space="preserve"> value was 0.8 </w:t>
      </w:r>
      <w:proofErr w:type="spellStart"/>
      <w:r>
        <w:t>nM</w:t>
      </w:r>
      <w:proofErr w:type="spellEnd"/>
      <w:r>
        <w:t xml:space="preserve">. When tested in 40% human serum the </w:t>
      </w:r>
      <w:r w:rsidRPr="00E7729E">
        <w:t>EC</w:t>
      </w:r>
      <w:r w:rsidRPr="00E7729E">
        <w:rPr>
          <w:vertAlign w:val="subscript"/>
        </w:rPr>
        <w:t>50</w:t>
      </w:r>
      <w:r>
        <w:t xml:space="preserve"> values of voxilaprevir on genotype 1a was reduced by 7 fold, which is consistent with its high plasma protein binding (see </w:t>
      </w:r>
      <w:r w:rsidR="000012D7" w:rsidRPr="00DB3894">
        <w:t xml:space="preserve">Pharmacokinetics </w:t>
      </w:r>
      <w:r>
        <w:t>section).</w:t>
      </w:r>
      <w:r w:rsidRPr="00E7729E">
        <w:t xml:space="preserve"> The resultant </w:t>
      </w:r>
      <w:r w:rsidRPr="00D2688E">
        <w:t>plasma protein binding-adjusted</w:t>
      </w:r>
      <w:r>
        <w:t xml:space="preserve"> </w:t>
      </w:r>
      <w:r w:rsidRPr="00E7729E">
        <w:t>EC</w:t>
      </w:r>
      <w:r w:rsidRPr="004A3EA8">
        <w:rPr>
          <w:vertAlign w:val="subscript"/>
        </w:rPr>
        <w:t>50</w:t>
      </w:r>
      <w:r w:rsidRPr="00E7729E">
        <w:t xml:space="preserve"> </w:t>
      </w:r>
      <w:r>
        <w:t xml:space="preserve">values </w:t>
      </w:r>
      <w:r w:rsidRPr="00E7729E">
        <w:t xml:space="preserve">ranged from 3.96 to 72 </w:t>
      </w:r>
      <w:proofErr w:type="spellStart"/>
      <w:r w:rsidRPr="00E7729E">
        <w:t>nM</w:t>
      </w:r>
      <w:proofErr w:type="spellEnd"/>
      <w:r w:rsidRPr="00E7729E">
        <w:t xml:space="preserve"> for HCV genotypes 1 to 6.</w:t>
      </w:r>
      <w:r>
        <w:t xml:space="preserve"> V</w:t>
      </w:r>
      <w:r w:rsidRPr="00905969">
        <w:t>oxilaprevir did not reveal any notable cytotoxicity when evaluated in multiple human cell lines (Huh-7, HepG2, PC-3, MT</w:t>
      </w:r>
      <w:r w:rsidR="000012D7">
        <w:noBreakHyphen/>
      </w:r>
      <w:r w:rsidRPr="00905969">
        <w:t xml:space="preserve">4, </w:t>
      </w:r>
      <w:proofErr w:type="gramStart"/>
      <w:r w:rsidRPr="00905969">
        <w:t>MRC</w:t>
      </w:r>
      <w:proofErr w:type="gramEnd"/>
      <w:r w:rsidRPr="00905969">
        <w:t xml:space="preserve">-5) </w:t>
      </w:r>
      <w:r w:rsidRPr="00856FEB">
        <w:rPr>
          <w:i/>
        </w:rPr>
        <w:t>in vitro</w:t>
      </w:r>
      <w:r w:rsidRPr="00905969">
        <w:t xml:space="preserve">, providing a selectivity indices of </w:t>
      </w:r>
      <w:r w:rsidR="00476CD0">
        <w:t xml:space="preserve">&gt; </w:t>
      </w:r>
      <w:r w:rsidRPr="00905969">
        <w:t>1000</w:t>
      </w:r>
      <w:r w:rsidR="00C4145D">
        <w:t xml:space="preserve"> fold</w:t>
      </w:r>
      <w:r w:rsidRPr="00905969">
        <w:t xml:space="preserve"> relative to the antiviral activity observed in genotype 1-6 HCV replicons</w:t>
      </w:r>
      <w:r w:rsidR="00476CD0">
        <w:t>.</w:t>
      </w:r>
    </w:p>
    <w:p w:rsidR="005B1951" w:rsidRDefault="005B1951" w:rsidP="00676E8E">
      <w:pPr>
        <w:pStyle w:val="Heading5"/>
      </w:pPr>
      <w:r>
        <w:t>Effects of voxilaprevir on clinical isolates in vitro</w:t>
      </w:r>
    </w:p>
    <w:p w:rsidR="00476CD0" w:rsidRDefault="005B1951" w:rsidP="00676E8E">
      <w:r>
        <w:t>Median voxilaprevir EC</w:t>
      </w:r>
      <w:r w:rsidRPr="00770B52">
        <w:rPr>
          <w:vertAlign w:val="subscript"/>
        </w:rPr>
        <w:t>50</w:t>
      </w:r>
      <w:r>
        <w:t xml:space="preserve"> values against the chimeric replicons encoding NS3 protease genes from clinical isolates of 3</w:t>
      </w:r>
      <w:r w:rsidR="00C4145D">
        <w:t xml:space="preserve">32 direct acting antiviral (DAA naïve) and DAA </w:t>
      </w:r>
      <w:r>
        <w:t>experienced subjects with genotypes 1 through 6, including 30 different subtypes were generally similar to the results of laboratory replicons. However genotypes 1 and 3 median EC</w:t>
      </w:r>
      <w:r w:rsidRPr="00A05E0B">
        <w:rPr>
          <w:vertAlign w:val="subscript"/>
        </w:rPr>
        <w:t>50</w:t>
      </w:r>
      <w:r w:rsidRPr="00A05E0B">
        <w:t xml:space="preserve"> for DAA experienced</w:t>
      </w:r>
      <w:r>
        <w:t xml:space="preserve"> subjects</w:t>
      </w:r>
      <w:r w:rsidRPr="00A05E0B">
        <w:t xml:space="preserve"> </w:t>
      </w:r>
      <w:r w:rsidR="00C4145D">
        <w:t xml:space="preserve">were 2 to </w:t>
      </w:r>
      <w:r>
        <w:t>3.7 fold higher than the DAA naïve subjects</w:t>
      </w:r>
      <w:r w:rsidR="00476CD0">
        <w:t>.</w:t>
      </w:r>
    </w:p>
    <w:p w:rsidR="005B1951" w:rsidRDefault="005B1951" w:rsidP="00676E8E">
      <w:r>
        <w:t xml:space="preserve">NS3 protease sequences containing different patterns of </w:t>
      </w:r>
      <w:r w:rsidR="003A5113">
        <w:t>resistance associated</w:t>
      </w:r>
      <w:r>
        <w:t xml:space="preserve"> polymorphisms were also synthesized and tested against voxilaprevir. Generally genotype 1 variants (21</w:t>
      </w:r>
      <w:r w:rsidR="00C4145D">
        <w:t>,</w:t>
      </w:r>
      <w:r>
        <w:t xml:space="preserve"> genotype 1a and 8</w:t>
      </w:r>
      <w:r w:rsidR="00C4145D">
        <w:t>,</w:t>
      </w:r>
      <w:r>
        <w:t xml:space="preserve"> genotype 1b) showed no resistance or low resistance to voxilaprevir. However 2 genotype 1a variants, Q80K+D168Y and Q41H+F43L+Q80K+D168Y, showed high levels of resist</w:t>
      </w:r>
      <w:r w:rsidR="00C4145D">
        <w:t>ance to voxilaprevir with 116.5</w:t>
      </w:r>
      <w:r>
        <w:t xml:space="preserve"> and 232.7</w:t>
      </w:r>
      <w:r w:rsidR="00C4145D">
        <w:t xml:space="preserve"> fold</w:t>
      </w:r>
      <w:r>
        <w:t xml:space="preserve"> increase in EC</w:t>
      </w:r>
      <w:r w:rsidRPr="0032780F">
        <w:rPr>
          <w:vertAlign w:val="subscript"/>
        </w:rPr>
        <w:t>50</w:t>
      </w:r>
      <w:r>
        <w:t>, respectively. Genotype 2b (R155M+D168Y), genotype 4 (R155Q+D168V, Q80K+D168Y), and genotype 6a (L80K+D168E) variants showed no resistance to voxilaprevir.</w:t>
      </w:r>
    </w:p>
    <w:p w:rsidR="005B1951" w:rsidRPr="00D37CE7" w:rsidRDefault="005B1951" w:rsidP="00676E8E">
      <w:pPr>
        <w:pStyle w:val="Heading5"/>
      </w:pPr>
      <w:r w:rsidRPr="00D37CE7">
        <w:lastRenderedPageBreak/>
        <w:t>Effects of voxilaprevir on polymorphism in and near NS3</w:t>
      </w:r>
    </w:p>
    <w:p w:rsidR="005B1951" w:rsidRDefault="005B1951" w:rsidP="00676E8E">
      <w:r>
        <w:t>Naturally occurring amino acid substitutions in the NS3protease domain, also referred to as polymorphisms, can reduce antiviral activity. When antiviral activity of voxilaprevir was assessed for polymorphism in and near the NS3 protease active site for HCV genotypes 1a, 1b, 2a, 2b, 3a, 4a, and 6a, voxilaprevir retained full activity against the major polymorphism in genotype 1a, Q80K (no shift in EC</w:t>
      </w:r>
      <w:r w:rsidRPr="000E731A">
        <w:rPr>
          <w:vertAlign w:val="subscript"/>
        </w:rPr>
        <w:t>50</w:t>
      </w:r>
      <w:r>
        <w:t>). All polymorphisms assessed across HCV genotypes 1b, 2a, 3b, 3a, 4a, and 6a also remained susceptible to voxilaprevir (</w:t>
      </w:r>
      <w:r w:rsidR="00476CD0">
        <w:t xml:space="preserve">&lt; </w:t>
      </w:r>
      <w:r>
        <w:t>3</w:t>
      </w:r>
      <w:r w:rsidR="00C4145D">
        <w:t xml:space="preserve"> fold</w:t>
      </w:r>
      <w:r>
        <w:t xml:space="preserve"> shift) with the exception of the D168E polymorphism in genotype 6a, which showed 6</w:t>
      </w:r>
      <w:r w:rsidR="00C4145D">
        <w:t xml:space="preserve"> fold</w:t>
      </w:r>
      <w:r>
        <w:t xml:space="preserve"> reduced susceptibility compared with the parent replicon. These data indicate that individual sequence polymorphisms in the NS3 protease active site do not significantly impact the anti-HCV activity of voxilaprevir across and within HCV genotypes and subtypes.</w:t>
      </w:r>
    </w:p>
    <w:p w:rsidR="005B1951" w:rsidRDefault="005B1951" w:rsidP="00676E8E">
      <w:pPr>
        <w:pStyle w:val="Heading5"/>
      </w:pPr>
      <w:r w:rsidRPr="000E731A">
        <w:t>In vitro resistance selection</w:t>
      </w:r>
    </w:p>
    <w:p w:rsidR="00476CD0" w:rsidRDefault="005B1951" w:rsidP="00676E8E">
      <w:r w:rsidRPr="005202BE">
        <w:t xml:space="preserve">Amino acid substitutions </w:t>
      </w:r>
      <w:r>
        <w:t>at positions 155, 156 and 168 are common resistance conferring mutations for NS3/4A protease inhibitors</w:t>
      </w:r>
      <w:r w:rsidR="00C4145D">
        <w:t>.</w:t>
      </w:r>
      <w:r>
        <w:rPr>
          <w:rStyle w:val="FootnoteReference"/>
        </w:rPr>
        <w:footnoteReference w:id="5"/>
      </w:r>
      <w:r>
        <w:t xml:space="preserve"> T</w:t>
      </w:r>
      <w:r w:rsidRPr="00332433">
        <w:t xml:space="preserve">he primary </w:t>
      </w:r>
      <w:r w:rsidRPr="00856FEB">
        <w:rPr>
          <w:i/>
        </w:rPr>
        <w:t>in vitro</w:t>
      </w:r>
      <w:r w:rsidRPr="00332433">
        <w:t xml:space="preserve"> resistance mutations to voxilaprevir in the NS3 protease domain </w:t>
      </w:r>
      <w:r>
        <w:t>was demonstrated at</w:t>
      </w:r>
      <w:r w:rsidRPr="00332433">
        <w:t xml:space="preserve"> amino acid positions 41, 156 and 168. </w:t>
      </w:r>
      <w:r>
        <w:t xml:space="preserve">To determine the </w:t>
      </w:r>
      <w:r w:rsidRPr="00856FEB">
        <w:rPr>
          <w:i/>
        </w:rPr>
        <w:t>in vitro</w:t>
      </w:r>
      <w:r>
        <w:t xml:space="preserve"> resistance profile of voxilaprevir, drug-resistant colonies were selected with voxilaprevir in HCV genotypes 1a, 1b, </w:t>
      </w:r>
      <w:proofErr w:type="gramStart"/>
      <w:r>
        <w:t>2a</w:t>
      </w:r>
      <w:proofErr w:type="gramEnd"/>
      <w:r>
        <w:t>, 3a, 4a, 5a, and 6a replicon cells. Significant resistance to voxilaprevir at NS3 position</w:t>
      </w:r>
      <w:r w:rsidR="00C4145D">
        <w:t xml:space="preserve">s 156 and 168 in genotypes 1 </w:t>
      </w:r>
      <w:r>
        <w:t xml:space="preserve">- 6 was observed. Genotypes 1a, 1b (Con-1), 2a (JFH-1 and J6), 3a (S52), and 4a (ED43) replicon cells selected A156L, A156V, or A156T substitutions. Replicon clones with A156L, A156V, or A156T demonstrated </w:t>
      </w:r>
      <w:r w:rsidR="00476CD0">
        <w:t xml:space="preserve">&gt; </w:t>
      </w:r>
      <w:r>
        <w:t>253</w:t>
      </w:r>
      <w:r w:rsidR="00C4145D">
        <w:t xml:space="preserve"> fold</w:t>
      </w:r>
      <w:r>
        <w:t xml:space="preserve"> reduced susceptibility to voxilaprevir. Variants at position 168 were selected in genotype 2a replicons (D168E in genotype 2a JFH-1 and J6 cells), genotype 5a (D168A/H/R/Y), and genotype 6a (D168H/Y) replicon cells. These variants conferred no-to-low levels of resis</w:t>
      </w:r>
      <w:r w:rsidR="00C4145D">
        <w:t>tance (1.5</w:t>
      </w:r>
      <w:r>
        <w:t xml:space="preserve"> to 17.8</w:t>
      </w:r>
      <w:r w:rsidR="00C4145D">
        <w:t xml:space="preserve"> fold</w:t>
      </w:r>
      <w:r>
        <w:t xml:space="preserve">). In genotypes 5 and 6, double variants Q41R+D168H/Y and Q41R+D168H were predominantly selected, respectively. The double variants conferred higher levels of resistance to </w:t>
      </w:r>
      <w:r w:rsidRPr="002A30DA">
        <w:t>voxilaprevir</w:t>
      </w:r>
      <w:r w:rsidR="00C4145D">
        <w:t xml:space="preserve"> (35</w:t>
      </w:r>
      <w:r>
        <w:t xml:space="preserve"> to 39</w:t>
      </w:r>
      <w:r w:rsidR="00C4145D">
        <w:t xml:space="preserve"> fold</w:t>
      </w:r>
      <w:r>
        <w:t>) compared with the single vari</w:t>
      </w:r>
      <w:r w:rsidR="00C4145D">
        <w:t>ants (2.7</w:t>
      </w:r>
      <w:r>
        <w:t xml:space="preserve"> to 13.5</w:t>
      </w:r>
      <w:r w:rsidR="00C4145D">
        <w:t xml:space="preserve"> fold</w:t>
      </w:r>
      <w:r>
        <w:t xml:space="preserve">). Less common single variants with low resistance were identified in the NS3-4A (which included </w:t>
      </w:r>
      <w:r w:rsidRPr="00DF4D1D">
        <w:t>Q9R, P67S, Q89R, V113L, A200G, A200D, D249A, I359V, K583E, and S332P)</w:t>
      </w:r>
      <w:r w:rsidR="00476CD0">
        <w:t>.</w:t>
      </w:r>
    </w:p>
    <w:p w:rsidR="005B1951" w:rsidRPr="00DF4D1D" w:rsidRDefault="005B1951" w:rsidP="00676E8E">
      <w:r w:rsidRPr="00DF4D1D">
        <w:t>In HCV replicon colony reduction assays, voxilaprevir s</w:t>
      </w:r>
      <w:r>
        <w:t>h</w:t>
      </w:r>
      <w:r w:rsidRPr="00DF4D1D">
        <w:t>owed a higher resistance barrier</w:t>
      </w:r>
      <w:r>
        <w:t xml:space="preserve"> (</w:t>
      </w:r>
      <w:r w:rsidRPr="007B2881">
        <w:t>across genotypes 1</w:t>
      </w:r>
      <w:r w:rsidR="000012D7">
        <w:t xml:space="preserve"> to </w:t>
      </w:r>
      <w:r w:rsidRPr="007B2881">
        <w:t>4 and genotype 6</w:t>
      </w:r>
      <w:r>
        <w:t>)</w:t>
      </w:r>
      <w:r w:rsidRPr="007B2881">
        <w:t>,</w:t>
      </w:r>
      <w:r w:rsidRPr="00DF4D1D">
        <w:t xml:space="preserve"> compared with other inhibitors requiring lower drug concentrations</w:t>
      </w:r>
      <w:r>
        <w:t xml:space="preserve"> (10 x </w:t>
      </w:r>
      <w:r w:rsidRPr="004A6C57">
        <w:t>EC</w:t>
      </w:r>
      <w:r w:rsidRPr="004A6C57">
        <w:rPr>
          <w:vertAlign w:val="subscript"/>
        </w:rPr>
        <w:t>50</w:t>
      </w:r>
      <w:r>
        <w:t>)</w:t>
      </w:r>
      <w:r w:rsidRPr="00DF4D1D">
        <w:t>.</w:t>
      </w:r>
      <w:r>
        <w:t xml:space="preserve"> It is worth noting the resistance barrier of voxilaprevir across multiple genotypes was comparable to </w:t>
      </w:r>
      <w:proofErr w:type="spellStart"/>
      <w:r w:rsidRPr="00C35741">
        <w:t>grazoprevir</w:t>
      </w:r>
      <w:proofErr w:type="spellEnd"/>
      <w:r w:rsidRPr="00C35741">
        <w:t xml:space="preserve"> (MK-5172), </w:t>
      </w:r>
      <w:r>
        <w:t>however in genotype 3a replicon cells, voxilaprevir was 9</w:t>
      </w:r>
      <w:r w:rsidR="00C4145D">
        <w:t xml:space="preserve"> fold</w:t>
      </w:r>
      <w:r>
        <w:t xml:space="preserve"> more potent than </w:t>
      </w:r>
      <w:proofErr w:type="spellStart"/>
      <w:r>
        <w:t>grazoprevir</w:t>
      </w:r>
      <w:proofErr w:type="spellEnd"/>
      <w:r>
        <w:t>.</w:t>
      </w:r>
    </w:p>
    <w:p w:rsidR="005B1951" w:rsidRPr="002032FA" w:rsidRDefault="005B1951" w:rsidP="00676E8E">
      <w:pPr>
        <w:pStyle w:val="Heading5"/>
      </w:pPr>
      <w:r w:rsidRPr="002032FA">
        <w:t xml:space="preserve">In vitro activity of voxilaprevir against known NS3/4A protease inhibitor </w:t>
      </w:r>
      <w:r w:rsidR="000012D7">
        <w:rPr>
          <w:rFonts w:eastAsia="TimesNewRoman" w:cs="TimesNewRoman"/>
        </w:rPr>
        <w:t>r</w:t>
      </w:r>
      <w:r w:rsidR="00F64A30">
        <w:rPr>
          <w:rFonts w:eastAsia="TimesNewRoman" w:cs="TimesNewRoman"/>
        </w:rPr>
        <w:t>esistance-associated variants</w:t>
      </w:r>
    </w:p>
    <w:p w:rsidR="005B1951" w:rsidRPr="002032FA" w:rsidRDefault="005B1951" w:rsidP="00676E8E">
      <w:r w:rsidRPr="00856FEB">
        <w:rPr>
          <w:i/>
        </w:rPr>
        <w:t>In vitro</w:t>
      </w:r>
      <w:r w:rsidRPr="002032FA">
        <w:rPr>
          <w:i/>
        </w:rPr>
        <w:t xml:space="preserve"> </w:t>
      </w:r>
      <w:r w:rsidRPr="002032FA">
        <w:t>activity of voxilaprevir was determined against known NS3/4A protease inhibitor, in genotype</w:t>
      </w:r>
      <w:r w:rsidR="000012D7">
        <w:t>s</w:t>
      </w:r>
      <w:r w:rsidRPr="002032FA">
        <w:t xml:space="preserve"> 1 </w:t>
      </w:r>
      <w:r w:rsidR="000012D7">
        <w:t>to</w:t>
      </w:r>
      <w:r w:rsidRPr="002032FA">
        <w:t xml:space="preserve"> 6 NS3 </w:t>
      </w:r>
      <w:r w:rsidR="00F64A30">
        <w:rPr>
          <w:rFonts w:eastAsia="TimesNewRoman" w:cs="TimesNewRoman"/>
        </w:rPr>
        <w:t>resistance-associated variants</w:t>
      </w:r>
      <w:r w:rsidR="00F64A30" w:rsidRPr="002032FA">
        <w:t xml:space="preserve"> </w:t>
      </w:r>
      <w:r w:rsidR="00F64A30">
        <w:t>(</w:t>
      </w:r>
      <w:r w:rsidRPr="002032FA">
        <w:t>RAVs</w:t>
      </w:r>
      <w:r w:rsidR="00F64A30">
        <w:t>)</w:t>
      </w:r>
      <w:r w:rsidRPr="002032FA">
        <w:t xml:space="preserve"> (347 replicons cloned, including 236 single, 86 double, and 25 triple variants). The single variants conferring high-level of resistance</w:t>
      </w:r>
      <w:r w:rsidR="00C4145D">
        <w:t xml:space="preserve"> were A156T and A156L with 2532</w:t>
      </w:r>
      <w:r w:rsidRPr="002032FA">
        <w:t xml:space="preserve"> and 581</w:t>
      </w:r>
      <w:r w:rsidR="00C4145D">
        <w:t xml:space="preserve"> fold</w:t>
      </w:r>
      <w:r w:rsidRPr="002032FA">
        <w:t xml:space="preserve"> change, respectively, to voxilaprevir. Although A156 RAVs are generally an issue for all protease inhibitors they are also prone to reduced </w:t>
      </w:r>
      <w:r>
        <w:t>viral</w:t>
      </w:r>
      <w:r w:rsidRPr="002032FA">
        <w:t xml:space="preserve"> fitness and therefore remain as a minor component in HCV-infected patients</w:t>
      </w:r>
      <w:r w:rsidR="00C4145D">
        <w:t>.</w:t>
      </w:r>
      <w:r w:rsidRPr="002032FA">
        <w:rPr>
          <w:rStyle w:val="FootnoteReference"/>
        </w:rPr>
        <w:footnoteReference w:id="6"/>
      </w:r>
    </w:p>
    <w:p w:rsidR="005B1951" w:rsidRPr="004C06DB" w:rsidRDefault="005B1951" w:rsidP="00676E8E">
      <w:r w:rsidRPr="004C06DB">
        <w:lastRenderedPageBreak/>
        <w:t>Of the 44 genotype 1a variants tested for voxilaprevir, 28 (64%) demonstrated ≤ 2.5</w:t>
      </w:r>
      <w:r w:rsidR="00C4145D">
        <w:t xml:space="preserve"> fold</w:t>
      </w:r>
      <w:r w:rsidRPr="004C06DB">
        <w:t xml:space="preserve"> reduced susceptibility, and only 1 (2%), showed high-level resistance (</w:t>
      </w:r>
      <w:r w:rsidR="00476CD0">
        <w:t xml:space="preserve">&gt; </w:t>
      </w:r>
      <w:r w:rsidRPr="004C06DB">
        <w:t>100</w:t>
      </w:r>
      <w:r w:rsidR="00C4145D">
        <w:t xml:space="preserve"> fold</w:t>
      </w:r>
      <w:r w:rsidRPr="004C06DB">
        <w:t xml:space="preserve">). The only double variant that conferred </w:t>
      </w:r>
      <w:r w:rsidR="00476CD0">
        <w:t xml:space="preserve">&gt; </w:t>
      </w:r>
      <w:r w:rsidRPr="004C06DB">
        <w:t>100</w:t>
      </w:r>
      <w:r w:rsidR="00C4145D">
        <w:t xml:space="preserve"> fold</w:t>
      </w:r>
      <w:r w:rsidRPr="004C06DB">
        <w:t xml:space="preserve"> resistance to voxilaprevir was Q41R+A156T. The majority of the triple variants tested in genotype 1a did not confer resistance to voxilaprevir; these same triple variants conferred moderate to high</w:t>
      </w:r>
      <w:r w:rsidR="00C4145D">
        <w:t xml:space="preserve"> </w:t>
      </w:r>
      <w:r w:rsidRPr="004C06DB">
        <w:t xml:space="preserve">levels of resistance to several other tested NS3/4A protease inhibitors, including </w:t>
      </w:r>
      <w:proofErr w:type="spellStart"/>
      <w:r w:rsidRPr="004C06DB">
        <w:t>paritaprevir</w:t>
      </w:r>
      <w:proofErr w:type="spellEnd"/>
      <w:r w:rsidRPr="004C06DB">
        <w:t xml:space="preserve">, </w:t>
      </w:r>
      <w:proofErr w:type="spellStart"/>
      <w:r w:rsidRPr="004C06DB">
        <w:t>asunaprevir</w:t>
      </w:r>
      <w:proofErr w:type="spellEnd"/>
      <w:r w:rsidRPr="004C06DB">
        <w:t xml:space="preserve"> and </w:t>
      </w:r>
      <w:proofErr w:type="spellStart"/>
      <w:r w:rsidRPr="004C06DB">
        <w:t>simeprevir</w:t>
      </w:r>
      <w:proofErr w:type="spellEnd"/>
      <w:r w:rsidRPr="004C06DB">
        <w:t>.</w:t>
      </w:r>
    </w:p>
    <w:p w:rsidR="005B1951" w:rsidRPr="004C06DB" w:rsidRDefault="005B1951" w:rsidP="00676E8E">
      <w:r w:rsidRPr="004C06DB">
        <w:t>In genotype 1b, ≤ 2.5</w:t>
      </w:r>
      <w:r w:rsidR="00C4145D">
        <w:t xml:space="preserve"> fold</w:t>
      </w:r>
      <w:r w:rsidRPr="004C06DB">
        <w:t xml:space="preserve"> resistance to voxilaprevir, was observed for 69% (22 of 32) single variants. Variants at position 168 (D1</w:t>
      </w:r>
      <w:r w:rsidR="00C4145D">
        <w:t xml:space="preserve">68A/V/Y) which demonstrate high </w:t>
      </w:r>
      <w:r w:rsidRPr="004C06DB">
        <w:t xml:space="preserve">level resistance to earlier generation protease inhibitors (including </w:t>
      </w:r>
      <w:proofErr w:type="spellStart"/>
      <w:r w:rsidRPr="004C06DB">
        <w:t>paritaprevir</w:t>
      </w:r>
      <w:proofErr w:type="spellEnd"/>
      <w:r w:rsidRPr="004C06DB">
        <w:t xml:space="preserve">, </w:t>
      </w:r>
      <w:proofErr w:type="spellStart"/>
      <w:r w:rsidRPr="004C06DB">
        <w:t>asunaprevir</w:t>
      </w:r>
      <w:proofErr w:type="spellEnd"/>
      <w:r w:rsidRPr="004C06DB">
        <w:t xml:space="preserve"> and </w:t>
      </w:r>
      <w:proofErr w:type="spellStart"/>
      <w:r w:rsidRPr="004C06DB">
        <w:t>simeprevir</w:t>
      </w:r>
      <w:proofErr w:type="spellEnd"/>
      <w:r w:rsidRPr="004C06DB">
        <w:t xml:space="preserve">) showed </w:t>
      </w:r>
      <w:r w:rsidR="00476CD0">
        <w:t xml:space="preserve">&lt; </w:t>
      </w:r>
      <w:r w:rsidRPr="004C06DB">
        <w:t>3.5</w:t>
      </w:r>
      <w:r w:rsidR="00C4145D">
        <w:t xml:space="preserve"> fold</w:t>
      </w:r>
      <w:r w:rsidRPr="004C06DB">
        <w:t xml:space="preserve"> resistance to voxilaprevir. A156T and A156V demonstrated high levels of resistance to voxilaprevir. All genotype 1b double variants tested demonstrated </w:t>
      </w:r>
      <w:r w:rsidR="00476CD0">
        <w:t xml:space="preserve">&lt; </w:t>
      </w:r>
      <w:r w:rsidRPr="004C06DB">
        <w:t>3.4</w:t>
      </w:r>
      <w:r w:rsidR="00C4145D">
        <w:t xml:space="preserve"> fold</w:t>
      </w:r>
      <w:r w:rsidRPr="004C06DB">
        <w:t xml:space="preserve"> reduced susceptibility to voxilaprevir.</w:t>
      </w:r>
    </w:p>
    <w:p w:rsidR="005B1951" w:rsidRDefault="005B1951" w:rsidP="00676E8E">
      <w:pPr>
        <w:pStyle w:val="Heading5"/>
      </w:pPr>
      <w:r w:rsidRPr="00725F83">
        <w:t>Cross-</w:t>
      </w:r>
      <w:r w:rsidR="000012D7">
        <w:t>r</w:t>
      </w:r>
      <w:r w:rsidRPr="00725F83">
        <w:t xml:space="preserve">esistance to NS5A </w:t>
      </w:r>
      <w:r w:rsidR="00C4145D" w:rsidRPr="00725F83">
        <w:t xml:space="preserve">inhibitors, and nucleoside and nonnucleoside </w:t>
      </w:r>
      <w:r w:rsidRPr="00725F83">
        <w:t>NS5B</w:t>
      </w:r>
      <w:r>
        <w:t xml:space="preserve"> </w:t>
      </w:r>
      <w:r w:rsidR="00C4145D" w:rsidRPr="00725F83">
        <w:t>i</w:t>
      </w:r>
      <w:r w:rsidRPr="00725F83">
        <w:t>nhibitors R</w:t>
      </w:r>
      <w:r>
        <w:t>AVs</w:t>
      </w:r>
    </w:p>
    <w:p w:rsidR="005B1951" w:rsidRPr="00676E8E" w:rsidRDefault="005B1951" w:rsidP="00676E8E">
      <w:r w:rsidRPr="00676E8E">
        <w:t xml:space="preserve">Voxilaprevir maintained full activity against replicons encoding a variety of NS5A inhibitors, NS5B NI, and NS5B NNI resistance mutations. It was fully active against all RAVs selected by active site </w:t>
      </w:r>
      <w:proofErr w:type="spellStart"/>
      <w:r w:rsidRPr="00676E8E">
        <w:t>nucleos</w:t>
      </w:r>
      <w:proofErr w:type="spellEnd"/>
      <w:r w:rsidRPr="00676E8E">
        <w:t xml:space="preserve">(t)ide NS5B inhibitors (S282T or M289L), allosteric non-nucleoside NS5B inhibitors (palm site III M414T; thumb site II L419M, M423T, or A486V; and palm site IV C316Y; palm site III/IV Y448, or C316Y/C445F/Y452H), NS5A inhibitors (L31V andY93H), or </w:t>
      </w:r>
      <w:proofErr w:type="spellStart"/>
      <w:r w:rsidRPr="00676E8E">
        <w:t>cyclophilin</w:t>
      </w:r>
      <w:proofErr w:type="spellEnd"/>
      <w:r w:rsidRPr="00676E8E">
        <w:t xml:space="preserve"> A inhibitors (D320E). These results indicate that voxilaprevir can be administered with multiple classes of NS5B polymerase inhibitors,</w:t>
      </w:r>
      <w:r w:rsidRPr="00725F83">
        <w:t xml:space="preserve"> NS5A inhibitors, or </w:t>
      </w:r>
      <w:proofErr w:type="spellStart"/>
      <w:r w:rsidRPr="00725F83">
        <w:t>cyclophilin</w:t>
      </w:r>
      <w:proofErr w:type="spellEnd"/>
      <w:r w:rsidRPr="00725F83">
        <w:t xml:space="preserve"> </w:t>
      </w:r>
      <w:proofErr w:type="gramStart"/>
      <w:r w:rsidRPr="00725F83">
        <w:t>A</w:t>
      </w:r>
      <w:proofErr w:type="gramEnd"/>
      <w:r w:rsidRPr="00725F83">
        <w:t xml:space="preserve"> inhibitors for the treatment of chronic hepatitis C.</w:t>
      </w:r>
    </w:p>
    <w:p w:rsidR="00676E8E" w:rsidRPr="00EB69F1" w:rsidRDefault="00676E8E" w:rsidP="00676E8E">
      <w:pPr>
        <w:pStyle w:val="Heading4"/>
      </w:pPr>
      <w:r w:rsidRPr="00EB69F1">
        <w:t>Secondary pharmacodynamics and safety pharmacology</w:t>
      </w:r>
    </w:p>
    <w:p w:rsidR="00676E8E" w:rsidRPr="00D75285" w:rsidRDefault="00676E8E" w:rsidP="00676E8E">
      <w:pPr>
        <w:pStyle w:val="Heading5"/>
      </w:pPr>
      <w:r w:rsidRPr="00D75285">
        <w:t>Activity against other viruses</w:t>
      </w:r>
    </w:p>
    <w:p w:rsidR="00676E8E" w:rsidRPr="00F67209" w:rsidRDefault="00676E8E" w:rsidP="00676E8E">
      <w:r>
        <w:t xml:space="preserve">Voxilaprevir was tested for antiviral activity against related </w:t>
      </w:r>
      <w:proofErr w:type="spellStart"/>
      <w:r w:rsidRPr="008B689E">
        <w:rPr>
          <w:i/>
        </w:rPr>
        <w:t>Flaviviridae</w:t>
      </w:r>
      <w:proofErr w:type="spellEnd"/>
      <w:r>
        <w:t xml:space="preserve"> virus (bovine viral diarrhoea virus, BVDV) and unrelated viruses (respiratory syncytial virus</w:t>
      </w:r>
      <w:r w:rsidR="000012D7">
        <w:t xml:space="preserve"> (</w:t>
      </w:r>
      <w:r>
        <w:t>RSV</w:t>
      </w:r>
      <w:r w:rsidR="000012D7">
        <w:t>);</w:t>
      </w:r>
      <w:r>
        <w:t xml:space="preserve"> human rhinovirus</w:t>
      </w:r>
      <w:r w:rsidR="000012D7">
        <w:t xml:space="preserve"> (</w:t>
      </w:r>
      <w:r>
        <w:t>HRV</w:t>
      </w:r>
      <w:r w:rsidR="000012D7">
        <w:t>)</w:t>
      </w:r>
      <w:r>
        <w:t>; influenza virus; hepatitis B virus</w:t>
      </w:r>
      <w:r w:rsidR="000012D7">
        <w:t xml:space="preserve"> (</w:t>
      </w:r>
      <w:r>
        <w:t>HBV</w:t>
      </w:r>
      <w:r w:rsidR="000012D7">
        <w:t>)</w:t>
      </w:r>
      <w:r>
        <w:t xml:space="preserve">; and human deficiency virus, HIV). Voxilaprevir showed no significant antiviral activity against any of the other viruses at drug concentrations below the </w:t>
      </w:r>
      <w:r w:rsidR="00AC3806">
        <w:rPr>
          <w:rFonts w:eastAsia="TimesNewRoman" w:cstheme="minorHAnsi"/>
        </w:rPr>
        <w:t>50% cytotoxic concentration</w:t>
      </w:r>
      <w:r w:rsidR="00AC3806">
        <w:t xml:space="preserve"> (</w:t>
      </w:r>
      <w:r>
        <w:t>CC</w:t>
      </w:r>
      <w:r w:rsidRPr="00F67209">
        <w:rPr>
          <w:vertAlign w:val="subscript"/>
        </w:rPr>
        <w:t>50</w:t>
      </w:r>
      <w:r w:rsidR="00AC3806">
        <w:t>)</w:t>
      </w:r>
      <w:r>
        <w:t xml:space="preserve"> values.</w:t>
      </w:r>
    </w:p>
    <w:p w:rsidR="00676E8E" w:rsidRPr="00C77D9B" w:rsidRDefault="00676E8E" w:rsidP="00676E8E">
      <w:pPr>
        <w:pStyle w:val="Heading5"/>
      </w:pPr>
      <w:r w:rsidRPr="00C77D9B">
        <w:t>In vitro cytotoxicity</w:t>
      </w:r>
    </w:p>
    <w:p w:rsidR="00676E8E" w:rsidRPr="00636B8A" w:rsidRDefault="00676E8E" w:rsidP="00676E8E">
      <w:r w:rsidRPr="00856FEB">
        <w:rPr>
          <w:i/>
        </w:rPr>
        <w:t>In vitro</w:t>
      </w:r>
      <w:r>
        <w:t xml:space="preserve"> cytotoxicity of voxilaprevir was evaluated in 5 human cell lines (</w:t>
      </w:r>
      <w:r w:rsidRPr="00F67209">
        <w:t xml:space="preserve">including T-lymphoblastoid MT-4 cells, two hepatic cell lines (HepG2 </w:t>
      </w:r>
      <w:r w:rsidR="000E1116">
        <w:t>(</w:t>
      </w:r>
      <w:r w:rsidRPr="00F67209">
        <w:t>sensitive to</w:t>
      </w:r>
      <w:r>
        <w:t xml:space="preserve"> </w:t>
      </w:r>
      <w:r w:rsidRPr="00F67209">
        <w:t>mitochondrial toxicity</w:t>
      </w:r>
      <w:r w:rsidR="000E1116">
        <w:t>)</w:t>
      </w:r>
      <w:r w:rsidRPr="00F67209">
        <w:t xml:space="preserve"> and Huh-7), the prostate carcinoma cell line PC-3 (sensitive to</w:t>
      </w:r>
      <w:r>
        <w:t xml:space="preserve"> </w:t>
      </w:r>
      <w:r w:rsidRPr="00F67209">
        <w:t>mitochondrial toxicity), and the normal diploid lung-derived MRC-5 cell line</w:t>
      </w:r>
      <w:r>
        <w:t>). Voxilaprevir showed a low level of cytotoxicity (CC</w:t>
      </w:r>
      <w:r w:rsidRPr="009C5622">
        <w:rPr>
          <w:vertAlign w:val="subscript"/>
        </w:rPr>
        <w:t>50</w:t>
      </w:r>
      <w:r w:rsidR="00AA5E62">
        <w:t xml:space="preserve"> values between 6</w:t>
      </w:r>
      <w:r w:rsidR="00507436">
        <w:t>,</w:t>
      </w:r>
      <w:r w:rsidR="00AA5E62">
        <w:t>530 and 16</w:t>
      </w:r>
      <w:r w:rsidR="00507436">
        <w:t>,</w:t>
      </w:r>
      <w:r>
        <w:t xml:space="preserve">400 </w:t>
      </w:r>
      <w:proofErr w:type="spellStart"/>
      <w:r>
        <w:t>nM</w:t>
      </w:r>
      <w:proofErr w:type="spellEnd"/>
      <w:r>
        <w:t>).</w:t>
      </w:r>
    </w:p>
    <w:p w:rsidR="00676E8E" w:rsidRPr="00F458E0" w:rsidRDefault="00676E8E" w:rsidP="00676E8E">
      <w:pPr>
        <w:pStyle w:val="Heading5"/>
      </w:pPr>
      <w:r w:rsidRPr="00F458E0">
        <w:t>In vitro receptor binding potencies</w:t>
      </w:r>
    </w:p>
    <w:p w:rsidR="00476CD0" w:rsidRDefault="00676E8E" w:rsidP="00676E8E">
      <w:r>
        <w:t>Potential off target activity was screened in a panel of mammalian ion channels, receptors and transporters. Significant binding (</w:t>
      </w:r>
      <w:r w:rsidRPr="009B1193">
        <w:t>IC</w:t>
      </w:r>
      <w:r w:rsidRPr="009B1193">
        <w:rPr>
          <w:vertAlign w:val="subscript"/>
        </w:rPr>
        <w:t>50</w:t>
      </w:r>
      <w:r>
        <w:t xml:space="preserve"> 0.74 µM) was observed to the tachykinin neurokinin (NK) 1 receptor, and s</w:t>
      </w:r>
      <w:r w:rsidR="00AA5E62">
        <w:t xml:space="preserve">howed weak antagonism in a cell </w:t>
      </w:r>
      <w:r>
        <w:t xml:space="preserve">based functional assay under </w:t>
      </w:r>
      <w:r w:rsidRPr="00AD71D6">
        <w:rPr>
          <w:i/>
        </w:rPr>
        <w:t>i</w:t>
      </w:r>
      <w:r w:rsidRPr="00856FEB">
        <w:rPr>
          <w:i/>
        </w:rPr>
        <w:t>n vitro</w:t>
      </w:r>
      <w:r w:rsidRPr="000012D7">
        <w:t xml:space="preserve"> </w:t>
      </w:r>
      <w:r>
        <w:t xml:space="preserve">conditions (33% inhibition at 10 </w:t>
      </w:r>
      <w:proofErr w:type="spellStart"/>
      <w:r>
        <w:t>μM</w:t>
      </w:r>
      <w:proofErr w:type="spellEnd"/>
      <w:r>
        <w:t>)</w:t>
      </w:r>
      <w:r w:rsidR="00476CD0">
        <w:t>.</w:t>
      </w:r>
    </w:p>
    <w:p w:rsidR="00676E8E" w:rsidRDefault="00676E8E" w:rsidP="00676E8E">
      <w:pPr>
        <w:pStyle w:val="Heading5"/>
      </w:pPr>
      <w:r w:rsidRPr="00CD0224">
        <w:t>Safety pharmacology</w:t>
      </w:r>
    </w:p>
    <w:p w:rsidR="00676E8E" w:rsidRPr="00AA5E62" w:rsidRDefault="00676E8E" w:rsidP="00676E8E">
      <w:pPr>
        <w:rPr>
          <w:rFonts w:eastAsiaTheme="minorHAnsi"/>
        </w:rPr>
      </w:pPr>
      <w:r w:rsidRPr="00D2688E">
        <w:t xml:space="preserve">Safety studies covered </w:t>
      </w:r>
      <w:proofErr w:type="spellStart"/>
      <w:r w:rsidRPr="00D2688E">
        <w:t>hERG</w:t>
      </w:r>
      <w:proofErr w:type="spellEnd"/>
      <w:r w:rsidRPr="00D2688E">
        <w:t xml:space="preserve"> channel inhibition </w:t>
      </w:r>
      <w:r w:rsidRPr="00856FEB">
        <w:rPr>
          <w:i/>
        </w:rPr>
        <w:t>in vitro</w:t>
      </w:r>
      <w:r w:rsidRPr="00D2688E">
        <w:t xml:space="preserve"> and cardiovascular, respiratory and </w:t>
      </w:r>
      <w:r w:rsidR="000D04F2">
        <w:t>central nervous system (</w:t>
      </w:r>
      <w:r w:rsidRPr="00D2688E">
        <w:t>CNS</w:t>
      </w:r>
      <w:r w:rsidR="000D04F2">
        <w:t>)</w:t>
      </w:r>
      <w:r w:rsidRPr="00D2688E">
        <w:t xml:space="preserve"> studies </w:t>
      </w:r>
      <w:r w:rsidRPr="00856FEB">
        <w:rPr>
          <w:i/>
        </w:rPr>
        <w:t>in vivo</w:t>
      </w:r>
      <w:r w:rsidRPr="00D2688E">
        <w:rPr>
          <w:i/>
        </w:rPr>
        <w:t xml:space="preserve">. </w:t>
      </w:r>
      <w:proofErr w:type="spellStart"/>
      <w:r w:rsidRPr="00D2688E">
        <w:t>Voxilaprevir</w:t>
      </w:r>
      <w:proofErr w:type="spellEnd"/>
      <w:r w:rsidRPr="00D2688E">
        <w:t xml:space="preserve"> significantly inhibited </w:t>
      </w:r>
      <w:proofErr w:type="spellStart"/>
      <w:r w:rsidRPr="00D2688E">
        <w:t>hERG</w:t>
      </w:r>
      <w:proofErr w:type="spellEnd"/>
      <w:r w:rsidRPr="00D2688E">
        <w:t xml:space="preserve"> currents </w:t>
      </w:r>
      <w:r w:rsidRPr="00D2688E">
        <w:rPr>
          <w:rFonts w:eastAsiaTheme="minorHAnsi"/>
        </w:rPr>
        <w:t>by (Mean ± SEM) 8.4 ±</w:t>
      </w:r>
      <w:r w:rsidR="00AA5E62">
        <w:rPr>
          <w:rFonts w:eastAsiaTheme="minorHAnsi"/>
        </w:rPr>
        <w:t xml:space="preserve"> </w:t>
      </w:r>
      <w:r w:rsidRPr="00D2688E">
        <w:rPr>
          <w:rFonts w:eastAsiaTheme="minorHAnsi"/>
        </w:rPr>
        <w:t xml:space="preserve">0.3% at 10 </w:t>
      </w:r>
      <w:r w:rsidR="000D04F2">
        <w:rPr>
          <w:rFonts w:eastAsiaTheme="minorHAnsi"/>
        </w:rPr>
        <w:t>µ</w:t>
      </w:r>
      <w:r w:rsidRPr="00D2688E">
        <w:rPr>
          <w:rFonts w:eastAsiaTheme="minorHAnsi"/>
        </w:rPr>
        <w:t>M (n</w:t>
      </w:r>
      <w:r w:rsidR="003925CF">
        <w:rPr>
          <w:rFonts w:eastAsiaTheme="minorHAnsi"/>
        </w:rPr>
        <w:t xml:space="preserve"> = </w:t>
      </w:r>
      <w:r w:rsidRPr="00D2688E">
        <w:rPr>
          <w:rFonts w:eastAsiaTheme="minorHAnsi"/>
        </w:rPr>
        <w:t xml:space="preserve">3) and 20.8 ± 1.1% at 30 </w:t>
      </w:r>
      <w:r w:rsidR="000D04F2">
        <w:rPr>
          <w:rFonts w:eastAsiaTheme="minorHAnsi"/>
        </w:rPr>
        <w:t>µ</w:t>
      </w:r>
      <w:r w:rsidRPr="00D2688E">
        <w:rPr>
          <w:rFonts w:eastAsiaTheme="minorHAnsi"/>
        </w:rPr>
        <w:t>M (n</w:t>
      </w:r>
      <w:r w:rsidR="003925CF">
        <w:rPr>
          <w:rFonts w:eastAsiaTheme="minorHAnsi"/>
        </w:rPr>
        <w:t xml:space="preserve"> = </w:t>
      </w:r>
      <w:r w:rsidRPr="00D2688E">
        <w:rPr>
          <w:rFonts w:eastAsiaTheme="minorHAnsi"/>
        </w:rPr>
        <w:t>4) versus 0.5 ± 0.3% (n</w:t>
      </w:r>
      <w:r w:rsidR="000D04F2">
        <w:rPr>
          <w:rFonts w:eastAsiaTheme="minorHAnsi"/>
        </w:rPr>
        <w:t> </w:t>
      </w:r>
      <w:r w:rsidR="003925CF">
        <w:rPr>
          <w:rFonts w:eastAsiaTheme="minorHAnsi"/>
        </w:rPr>
        <w:t>=</w:t>
      </w:r>
      <w:r w:rsidR="000D04F2">
        <w:rPr>
          <w:rFonts w:eastAsiaTheme="minorHAnsi"/>
        </w:rPr>
        <w:t> </w:t>
      </w:r>
      <w:r w:rsidRPr="00D2688E">
        <w:rPr>
          <w:rFonts w:eastAsiaTheme="minorHAnsi"/>
        </w:rPr>
        <w:t>3) in the control.</w:t>
      </w:r>
      <w:r>
        <w:rPr>
          <w:rFonts w:eastAsiaTheme="minorHAnsi"/>
        </w:rPr>
        <w:t xml:space="preserve"> </w:t>
      </w:r>
      <w:r>
        <w:t xml:space="preserve">In conscious dog experiments </w:t>
      </w:r>
      <w:r w:rsidRPr="00D2688E">
        <w:t>a single dose of voxilaprevir at concentrations up to 20</w:t>
      </w:r>
      <w:r w:rsidR="00AA5E62">
        <w:t xml:space="preserve"> mg</w:t>
      </w:r>
      <w:r w:rsidRPr="00D2688E">
        <w:t xml:space="preserve">/kg had no effect on any cardiovascular </w:t>
      </w:r>
      <w:r w:rsidRPr="00D2688E">
        <w:lastRenderedPageBreak/>
        <w:t>parameters including QT</w:t>
      </w:r>
      <w:r w:rsidR="000D04F2">
        <w:t> interval.</w:t>
      </w:r>
      <w:r w:rsidR="00F64A30">
        <w:rPr>
          <w:rStyle w:val="FootnoteReference"/>
        </w:rPr>
        <w:footnoteReference w:id="7"/>
      </w:r>
      <w:r w:rsidRPr="00D2688E">
        <w:t xml:space="preserve"> </w:t>
      </w:r>
      <w:r>
        <w:t>Plasma levels were ascertained at 6</w:t>
      </w:r>
      <w:r w:rsidR="00CE0E69">
        <w:t xml:space="preserve"> hours </w:t>
      </w:r>
      <w:r>
        <w:t>post dose in which voxilaprevir levels were measured at up to 8905</w:t>
      </w:r>
      <w:r w:rsidR="000D04F2">
        <w:t xml:space="preserve"> </w:t>
      </w:r>
      <w:r>
        <w:t>±</w:t>
      </w:r>
      <w:r w:rsidR="000D04F2">
        <w:t xml:space="preserve"> </w:t>
      </w:r>
      <w:r>
        <w:t xml:space="preserve">7915 ng/mL (10.25 </w:t>
      </w:r>
      <w:proofErr w:type="spellStart"/>
      <w:r>
        <w:t>nM</w:t>
      </w:r>
      <w:proofErr w:type="spellEnd"/>
      <w:r>
        <w:t>), which is 46</w:t>
      </w:r>
      <w:r w:rsidR="00C4145D">
        <w:t xml:space="preserve"> fold</w:t>
      </w:r>
      <w:r>
        <w:t xml:space="preserve">s above the clinical </w:t>
      </w:r>
      <w:proofErr w:type="spellStart"/>
      <w:r>
        <w:t>C</w:t>
      </w:r>
      <w:r w:rsidRPr="008A4B1A">
        <w:rPr>
          <w:vertAlign w:val="subscript"/>
        </w:rPr>
        <w:t>max</w:t>
      </w:r>
      <w:proofErr w:type="spellEnd"/>
      <w:r>
        <w:t>.</w:t>
      </w:r>
      <w:r w:rsidR="00476CD0">
        <w:t xml:space="preserve"> </w:t>
      </w:r>
      <w:r w:rsidRPr="00D2688E">
        <w:t>Single doses of voxilaprevir up to 100</w:t>
      </w:r>
      <w:r w:rsidR="00AA5E62">
        <w:t xml:space="preserve"> mg</w:t>
      </w:r>
      <w:r w:rsidRPr="00D2688E">
        <w:t xml:space="preserve">/kg had no effect on any CNS or </w:t>
      </w:r>
      <w:r w:rsidRPr="00676E8E">
        <w:t>respiratory parameters.</w:t>
      </w:r>
    </w:p>
    <w:p w:rsidR="00676E8E" w:rsidRPr="008E0785" w:rsidRDefault="00676E8E" w:rsidP="00676E8E">
      <w:pPr>
        <w:pStyle w:val="Heading4"/>
      </w:pPr>
      <w:bookmarkStart w:id="49" w:name="_Toc494287175"/>
      <w:r>
        <w:t>Pharmacodynamic drug interactions</w:t>
      </w:r>
      <w:bookmarkEnd w:id="49"/>
    </w:p>
    <w:p w:rsidR="004334C7" w:rsidRPr="004334C7" w:rsidRDefault="00676E8E" w:rsidP="004334C7">
      <w:r w:rsidRPr="00D821C5">
        <w:t>Since voxilaprevir is likely to be used in combination with other anti-HCV and HIV agents, combination studies were performed testing the activity of voxilaprevir with a variety of HCV inhibitors (including sofosbuvir and velpatasvir) and anti-HIV agents. Voxilaprevir generally showed additive antiviral activity when tested in combination with these agents. The only exception was in the combination with ribavirin, where minor synergistic effect on antiviral activity was observed. No antiviral antagonism or cellular toxicity was observed when voxilaprevir was combined with any of the tested HCV or HIV agents. These results support the use of voxilaprevir in combination with other classes of anti</w:t>
      </w:r>
      <w:r w:rsidR="00F459F1">
        <w:noBreakHyphen/>
      </w:r>
      <w:r w:rsidRPr="00D821C5">
        <w:t>HCV and HIV agents for the treatment of chronic HCV infection.</w:t>
      </w:r>
    </w:p>
    <w:p w:rsidR="008E7846" w:rsidRDefault="008E7846" w:rsidP="008E7846">
      <w:pPr>
        <w:pStyle w:val="Heading3"/>
      </w:pPr>
      <w:bookmarkStart w:id="50" w:name="_Toc247691513"/>
      <w:bookmarkStart w:id="51" w:name="_Toc314842497"/>
      <w:bookmarkStart w:id="52" w:name="_Toc8291117"/>
      <w:r>
        <w:t>Pharmacokinetics</w:t>
      </w:r>
      <w:bookmarkEnd w:id="50"/>
      <w:bookmarkEnd w:id="51"/>
      <w:bookmarkEnd w:id="52"/>
    </w:p>
    <w:p w:rsidR="00676E8E" w:rsidRDefault="00676E8E" w:rsidP="00676E8E">
      <w:pPr>
        <w:pStyle w:val="Heading4"/>
      </w:pPr>
      <w:bookmarkStart w:id="53" w:name="_Toc247691514"/>
      <w:bookmarkStart w:id="54" w:name="_Toc314842498"/>
      <w:r>
        <w:t>Absorption</w:t>
      </w:r>
    </w:p>
    <w:p w:rsidR="00676E8E" w:rsidRPr="0006116D" w:rsidRDefault="00676E8E" w:rsidP="00676E8E">
      <w:r w:rsidRPr="00856FEB">
        <w:rPr>
          <w:i/>
        </w:rPr>
        <w:t>In vitro</w:t>
      </w:r>
      <w:r>
        <w:t xml:space="preserve"> voxilaprevir showed high forward (apical to basolateral) permeability through Caco-2 monolayers which indicates high intestinal absorption potential for voxilaprevir </w:t>
      </w:r>
      <w:r w:rsidRPr="00856FEB">
        <w:rPr>
          <w:i/>
        </w:rPr>
        <w:t>in vivo</w:t>
      </w:r>
      <w:r w:rsidRPr="00F459F1">
        <w:t>. The reverse permeability of voxilaprevir was 3</w:t>
      </w:r>
      <w:r w:rsidR="00C4145D" w:rsidRPr="00F459F1">
        <w:t xml:space="preserve"> fold</w:t>
      </w:r>
      <w:r w:rsidRPr="00F459F1">
        <w:t xml:space="preserve"> higher than the forward</w:t>
      </w:r>
      <w:r>
        <w:t xml:space="preserve"> permeability, indicating efflux transportation. </w:t>
      </w:r>
      <w:r w:rsidRPr="004E7EE9">
        <w:t xml:space="preserve">The </w:t>
      </w:r>
      <w:r w:rsidRPr="00856FEB">
        <w:rPr>
          <w:i/>
        </w:rPr>
        <w:t>in vivo</w:t>
      </w:r>
      <w:r>
        <w:rPr>
          <w:i/>
        </w:rPr>
        <w:t xml:space="preserve"> </w:t>
      </w:r>
      <w:r w:rsidRPr="004E7EE9">
        <w:t>pharmacokinetic profile was characterised by rapid absorption following oral administration to mouse, rat and dog (</w:t>
      </w:r>
      <w:r w:rsidR="00F459F1">
        <w:rPr>
          <w:rFonts w:eastAsia="TimesNewRoman" w:cstheme="minorHAnsi"/>
        </w:rPr>
        <w:t>t</w:t>
      </w:r>
      <w:r w:rsidR="009E6C8F">
        <w:rPr>
          <w:rFonts w:eastAsia="TimesNewRoman" w:cstheme="minorHAnsi"/>
        </w:rPr>
        <w:t xml:space="preserve">ime (observed time point) of </w:t>
      </w:r>
      <w:proofErr w:type="spellStart"/>
      <w:r w:rsidR="009E6C8F">
        <w:rPr>
          <w:rFonts w:eastAsia="TimesNewRoman" w:cstheme="minorHAnsi"/>
        </w:rPr>
        <w:t>C</w:t>
      </w:r>
      <w:r w:rsidR="009E6C8F">
        <w:rPr>
          <w:rFonts w:eastAsia="TimesNewRoman" w:cstheme="minorHAnsi"/>
          <w:vertAlign w:val="subscript"/>
        </w:rPr>
        <w:t>max</w:t>
      </w:r>
      <w:proofErr w:type="spellEnd"/>
      <w:r w:rsidR="009E6C8F" w:rsidRPr="00132EE6">
        <w:rPr>
          <w:rFonts w:eastAsiaTheme="minorHAnsi" w:cstheme="minorHAnsi"/>
        </w:rPr>
        <w:t xml:space="preserve"> </w:t>
      </w:r>
      <w:r w:rsidR="009E6C8F">
        <w:rPr>
          <w:rFonts w:eastAsiaTheme="minorHAnsi" w:cstheme="minorHAnsi"/>
        </w:rPr>
        <w:t>(</w:t>
      </w:r>
      <w:proofErr w:type="spellStart"/>
      <w:r w:rsidR="00CE0E69" w:rsidRPr="00132EE6">
        <w:rPr>
          <w:rFonts w:eastAsiaTheme="minorHAnsi" w:cstheme="minorHAnsi"/>
        </w:rPr>
        <w:t>T</w:t>
      </w:r>
      <w:r w:rsidR="00CE0E69" w:rsidRPr="00CE0E69">
        <w:rPr>
          <w:rFonts w:eastAsiaTheme="minorHAnsi" w:cstheme="minorHAnsi"/>
          <w:vertAlign w:val="subscript"/>
        </w:rPr>
        <w:t>max</w:t>
      </w:r>
      <w:proofErr w:type="spellEnd"/>
      <w:r w:rsidR="009E6C8F">
        <w:rPr>
          <w:rFonts w:eastAsiaTheme="minorHAnsi" w:cstheme="minorHAnsi"/>
        </w:rPr>
        <w:t>)</w:t>
      </w:r>
      <w:r w:rsidRPr="004E7EE9">
        <w:t xml:space="preserve"> approximately 1</w:t>
      </w:r>
      <w:r w:rsidR="00AA5E62">
        <w:t xml:space="preserve"> to </w:t>
      </w:r>
      <w:r>
        <w:t>2</w:t>
      </w:r>
      <w:r w:rsidRPr="004E7EE9">
        <w:t xml:space="preserve"> h</w:t>
      </w:r>
      <w:r w:rsidR="00AA5E62">
        <w:t>ours</w:t>
      </w:r>
      <w:r>
        <w:t xml:space="preserve">). </w:t>
      </w:r>
      <w:r w:rsidRPr="00003314">
        <w:t>Oral bioavailability was high in rat</w:t>
      </w:r>
      <w:r>
        <w:t>s (83%)</w:t>
      </w:r>
      <w:r w:rsidRPr="00003314">
        <w:t xml:space="preserve">, </w:t>
      </w:r>
      <w:r>
        <w:t xml:space="preserve">and low in dogs </w:t>
      </w:r>
      <w:r w:rsidRPr="00003314">
        <w:t>(</w:t>
      </w:r>
      <w:r>
        <w:t>27</w:t>
      </w:r>
      <w:r w:rsidRPr="00003314">
        <w:t xml:space="preserve">%) </w:t>
      </w:r>
      <w:r>
        <w:t>and monkeys</w:t>
      </w:r>
      <w:r w:rsidRPr="00003314">
        <w:t xml:space="preserve"> (</w:t>
      </w:r>
      <w:r>
        <w:t>7.4</w:t>
      </w:r>
      <w:r w:rsidRPr="00003314">
        <w:t>%)</w:t>
      </w:r>
      <w:r>
        <w:t xml:space="preserve">. </w:t>
      </w:r>
      <w:r w:rsidRPr="00003314">
        <w:t xml:space="preserve">Systemic clearance was low in all species with values ranging from 0.19 to 0.81 L/h/kg. </w:t>
      </w:r>
      <w:r w:rsidRPr="0006116D">
        <w:t xml:space="preserve">The repeat dose pharmacokinetics of voxilaprevir </w:t>
      </w:r>
      <w:r>
        <w:t>showed n</w:t>
      </w:r>
      <w:r w:rsidRPr="0006116D">
        <w:t xml:space="preserve">o marked sex differences in exposure (generally </w:t>
      </w:r>
      <w:r w:rsidR="00476CD0">
        <w:t xml:space="preserve">&lt; </w:t>
      </w:r>
      <w:r w:rsidRPr="0006116D">
        <w:t>2</w:t>
      </w:r>
      <w:r w:rsidR="00C4145D">
        <w:t xml:space="preserve"> fold</w:t>
      </w:r>
      <w:r w:rsidRPr="0006116D">
        <w:t>).</w:t>
      </w:r>
      <w:r w:rsidR="00476CD0">
        <w:t xml:space="preserve"> </w:t>
      </w:r>
      <w:r w:rsidRPr="0006116D">
        <w:t xml:space="preserve">Exposures were less than </w:t>
      </w:r>
      <w:r w:rsidR="00AA5E62">
        <w:t>dose proportional</w:t>
      </w:r>
      <w:r w:rsidRPr="0006116D">
        <w:t xml:space="preserve"> at high doses in all species and therefore the doses selected for </w:t>
      </w:r>
      <w:r w:rsidR="00AA5E62">
        <w:t>repeat dose</w:t>
      </w:r>
      <w:r w:rsidRPr="0006116D">
        <w:t xml:space="preserve"> toxicology studies were generally limited to doses that were generally greater than dose proportional.</w:t>
      </w:r>
    </w:p>
    <w:p w:rsidR="00676E8E" w:rsidRDefault="00676E8E" w:rsidP="00676E8E">
      <w:pPr>
        <w:pStyle w:val="Heading4"/>
      </w:pPr>
      <w:r>
        <w:t>Distribution</w:t>
      </w:r>
    </w:p>
    <w:p w:rsidR="00676E8E" w:rsidRPr="00C45C87" w:rsidRDefault="00676E8E" w:rsidP="00676E8E">
      <w:r>
        <w:t xml:space="preserve">Plasma protein binding by voxilaprevir was high in humans and laboratory animal species at greater than 99% plasma protein bound in all species </w:t>
      </w:r>
      <w:r w:rsidRPr="00856FEB">
        <w:rPr>
          <w:i/>
        </w:rPr>
        <w:t>in vitro</w:t>
      </w:r>
      <w:r>
        <w:t>. Limited red blood cell partitioning was evident in dog and human with blood plasma ratios of 0.59 and 0.78, respectively.</w:t>
      </w:r>
      <w:r w:rsidR="00476CD0">
        <w:t xml:space="preserve"> </w:t>
      </w:r>
      <w:r>
        <w:t>Distribution of voxilaprevir was high in the liver of rat, dog an</w:t>
      </w:r>
      <w:r w:rsidR="00AA5E62">
        <w:t>d monkeys, corresponding to 970, 34</w:t>
      </w:r>
      <w:r>
        <w:t xml:space="preserve"> and 41</w:t>
      </w:r>
      <w:r w:rsidR="00C4145D">
        <w:t xml:space="preserve"> fold</w:t>
      </w:r>
      <w:r>
        <w:t xml:space="preserve"> higher than respective plasma concentrations at 6</w:t>
      </w:r>
      <w:r w:rsidR="00F459F1">
        <w:t> </w:t>
      </w:r>
      <w:r>
        <w:t>h</w:t>
      </w:r>
      <w:r w:rsidR="00AA5E62">
        <w:t>ours</w:t>
      </w:r>
      <w:r>
        <w:t xml:space="preserve"> </w:t>
      </w:r>
      <w:r w:rsidR="00476CD0">
        <w:t>post dose</w:t>
      </w:r>
      <w:r>
        <w:t>.</w:t>
      </w:r>
      <w:r w:rsidRPr="00AA5E62">
        <w:t xml:space="preserve"> </w:t>
      </w:r>
      <w:r>
        <w:t xml:space="preserve">In a separate study in rat, concentrations in the liver were </w:t>
      </w:r>
      <w:r w:rsidR="00476CD0">
        <w:t xml:space="preserve">&gt; </w:t>
      </w:r>
      <w:r>
        <w:t>165</w:t>
      </w:r>
      <w:r w:rsidR="00C4145D">
        <w:t xml:space="preserve"> fold</w:t>
      </w:r>
      <w:r>
        <w:t xml:space="preserve"> higher than levels in the kidney and lung. After oral administration of </w:t>
      </w:r>
      <w:r w:rsidR="000E1116">
        <w:t>(</w:t>
      </w:r>
      <w:r w:rsidR="00476CD0" w:rsidRPr="00476CD0">
        <w:rPr>
          <w:vertAlign w:val="superscript"/>
        </w:rPr>
        <w:t>14</w:t>
      </w:r>
      <w:r w:rsidR="00476CD0">
        <w:t>C</w:t>
      </w:r>
      <w:r w:rsidR="000E1116">
        <w:t>)</w:t>
      </w:r>
      <w:r>
        <w:t xml:space="preserve"> voxilaprevir to pigmented and non</w:t>
      </w:r>
      <w:r w:rsidR="00F459F1">
        <w:t>-</w:t>
      </w:r>
      <w:r>
        <w:t xml:space="preserve">pigmented rats, </w:t>
      </w:r>
      <w:r w:rsidR="00AA5E62">
        <w:t>drug related</w:t>
      </w:r>
      <w:r>
        <w:t xml:space="preserve"> material preferentially distributed to the liver. Low levels of radioactivity were detected in brain, eyes and </w:t>
      </w:r>
      <w:proofErr w:type="gramStart"/>
      <w:r>
        <w:t>testis(</w:t>
      </w:r>
      <w:proofErr w:type="spellStart"/>
      <w:proofErr w:type="gramEnd"/>
      <w:r>
        <w:t>es</w:t>
      </w:r>
      <w:proofErr w:type="spellEnd"/>
      <w:r>
        <w:t xml:space="preserve">), suggesting that </w:t>
      </w:r>
      <w:r w:rsidR="000E1116">
        <w:t>(</w:t>
      </w:r>
      <w:r w:rsidR="00476CD0" w:rsidRPr="00476CD0">
        <w:rPr>
          <w:vertAlign w:val="superscript"/>
        </w:rPr>
        <w:t>14</w:t>
      </w:r>
      <w:r w:rsidR="00476CD0">
        <w:t>C</w:t>
      </w:r>
      <w:r w:rsidR="000E1116">
        <w:t>)</w:t>
      </w:r>
      <w:proofErr w:type="spellStart"/>
      <w:r w:rsidR="00AA5E62">
        <w:t>voxilaprevir</w:t>
      </w:r>
      <w:proofErr w:type="spellEnd"/>
      <w:r w:rsidR="00AA5E62">
        <w:t xml:space="preserve"> </w:t>
      </w:r>
      <w:r>
        <w:t>derived radioactivity poorly crossed the blood:</w:t>
      </w:r>
      <w:r w:rsidR="00F459F1">
        <w:t> </w:t>
      </w:r>
      <w:r>
        <w:t>brain, blood:</w:t>
      </w:r>
      <w:r w:rsidR="00F459F1">
        <w:t> </w:t>
      </w:r>
      <w:r>
        <w:t>eye, and blood:</w:t>
      </w:r>
      <w:r w:rsidR="00F459F1">
        <w:t> </w:t>
      </w:r>
      <w:r>
        <w:t>testis(</w:t>
      </w:r>
      <w:proofErr w:type="spellStart"/>
      <w:r>
        <w:t>es</w:t>
      </w:r>
      <w:proofErr w:type="spellEnd"/>
      <w:r>
        <w:t>) barriers. Distribution trends in pigmented and non</w:t>
      </w:r>
      <w:r w:rsidR="00AA5E62">
        <w:t xml:space="preserve"> </w:t>
      </w:r>
      <w:r>
        <w:t>pigmented rats suggested that voxilaprevir did not preferentially associate with melanin</w:t>
      </w:r>
      <w:r w:rsidR="00AA5E62">
        <w:t>.</w:t>
      </w:r>
    </w:p>
    <w:p w:rsidR="00676E8E" w:rsidRDefault="00676E8E" w:rsidP="00676E8E">
      <w:pPr>
        <w:pStyle w:val="Heading4"/>
      </w:pPr>
      <w:r>
        <w:lastRenderedPageBreak/>
        <w:t>Metabolism</w:t>
      </w:r>
    </w:p>
    <w:p w:rsidR="00676E8E" w:rsidRPr="00C83132" w:rsidRDefault="00676E8E" w:rsidP="00676E8E">
      <w:r>
        <w:t xml:space="preserve">Under </w:t>
      </w:r>
      <w:r w:rsidRPr="00856FEB">
        <w:rPr>
          <w:i/>
        </w:rPr>
        <w:t>in vitro</w:t>
      </w:r>
      <w:r w:rsidRPr="00C83132">
        <w:t xml:space="preserve"> </w:t>
      </w:r>
      <w:r>
        <w:t xml:space="preserve">conditions </w:t>
      </w:r>
      <w:r w:rsidRPr="00C83132">
        <w:t xml:space="preserve">voxilaprevir exhibited moderate metabolic stability in monkey microsomes and high metabolic stability in mouse, rat, dog, human microsomes and human primary human hepatocytes. </w:t>
      </w:r>
      <w:r>
        <w:t xml:space="preserve">The metabolism of </w:t>
      </w:r>
      <w:r w:rsidR="000E1116">
        <w:t>(</w:t>
      </w:r>
      <w:r w:rsidRPr="00C83132">
        <w:rPr>
          <w:vertAlign w:val="superscript"/>
        </w:rPr>
        <w:t>3</w:t>
      </w:r>
      <w:r>
        <w:t>H</w:t>
      </w:r>
      <w:r w:rsidR="000E1116">
        <w:t>)</w:t>
      </w:r>
      <w:r>
        <w:t xml:space="preserve"> voxilaprevir in hepatic microsomes from mouse, rat, dog, and human yielded a total of 9 identified metabolites. Metabolites were formed by</w:t>
      </w:r>
      <w:r w:rsidRPr="00C83132">
        <w:t xml:space="preserve"> </w:t>
      </w:r>
      <w:r>
        <w:t>o</w:t>
      </w:r>
      <w:r w:rsidRPr="00C83132">
        <w:t xml:space="preserve">xidation, dehydrogenation, and combinations leading to secondary metabolites. </w:t>
      </w:r>
      <w:r>
        <w:t xml:space="preserve">Only two metabolites (hydrolysed metabolites M25 and M26) unique to human were identified and CYP1A2, CYP2C8, and CYP3A were involved in the metabolic turnover of voxilaprevir, with CYP3A enzymes showing the highest turnover rate </w:t>
      </w:r>
      <w:r w:rsidRPr="00856FEB">
        <w:rPr>
          <w:i/>
        </w:rPr>
        <w:t>in vitro</w:t>
      </w:r>
      <w:r w:rsidRPr="00F459F1">
        <w:t xml:space="preserve">. </w:t>
      </w:r>
      <w:r>
        <w:t xml:space="preserve">Unchanged voxilaprevir was the only circulating species in plasma of humans (91% plasma AUC) and laboratory animals (100% plasma AUC). In faeces unchanged voxilaprevir accounted for approximately 70% of </w:t>
      </w:r>
      <w:r w:rsidR="000E1116">
        <w:t>(</w:t>
      </w:r>
      <w:r w:rsidR="00476CD0" w:rsidRPr="00476CD0">
        <w:rPr>
          <w:vertAlign w:val="superscript"/>
        </w:rPr>
        <w:t>14</w:t>
      </w:r>
      <w:r w:rsidR="00476CD0">
        <w:t>C</w:t>
      </w:r>
      <w:r w:rsidR="000E1116">
        <w:t>)</w:t>
      </w:r>
      <w:r>
        <w:t xml:space="preserve"> voxilaprevir-derived material in rats and dogs and 40% in humans.</w:t>
      </w:r>
      <w:r w:rsidRPr="000D7D0B">
        <w:t xml:space="preserve"> </w:t>
      </w:r>
      <w:r>
        <w:t xml:space="preserve">Major metabolites identified in faeces including voxilaprevir </w:t>
      </w:r>
      <w:r w:rsidR="00F459F1">
        <w:t xml:space="preserve">hydrolysed </w:t>
      </w:r>
      <w:r>
        <w:t xml:space="preserve">at the </w:t>
      </w:r>
      <w:proofErr w:type="spellStart"/>
      <w:r>
        <w:t>methylcyclopropyl-sulfonamide</w:t>
      </w:r>
      <w:proofErr w:type="spellEnd"/>
      <w:r>
        <w:t xml:space="preserve"> moiety (M19) which was further oxidised into M21 or M25 and a dehydrogenation metabolite (M9).</w:t>
      </w:r>
    </w:p>
    <w:p w:rsidR="00676E8E" w:rsidRDefault="00676E8E" w:rsidP="00676E8E">
      <w:pPr>
        <w:pStyle w:val="Heading4"/>
      </w:pPr>
      <w:r>
        <w:t>Excretion</w:t>
      </w:r>
    </w:p>
    <w:p w:rsidR="00476CD0" w:rsidRDefault="00676E8E" w:rsidP="00676E8E">
      <w:r>
        <w:t>The major route of excretion in rats and dogs was the faecal route (</w:t>
      </w:r>
      <w:r w:rsidR="00476CD0">
        <w:t xml:space="preserve">&gt; </w:t>
      </w:r>
      <w:r>
        <w:t>80%) with very little renal excretion evident (</w:t>
      </w:r>
      <w:r w:rsidR="00476CD0">
        <w:t xml:space="preserve">&lt; </w:t>
      </w:r>
      <w:r>
        <w:t>0.3%). The faecal excretion of orally administered voxilaprevir consisted of both unabsorbed drug and un-metabolised biliary excretion products.</w:t>
      </w:r>
      <w:r w:rsidR="00476CD0">
        <w:t xml:space="preserve"> </w:t>
      </w:r>
      <w:r>
        <w:t>Studies on bile-cannulated rats and dogs indicated a role for biliary excretion</w:t>
      </w:r>
      <w:r w:rsidR="00476CD0">
        <w:t>.</w:t>
      </w:r>
    </w:p>
    <w:p w:rsidR="00676E8E" w:rsidRDefault="00676E8E" w:rsidP="00676E8E">
      <w:pPr>
        <w:pStyle w:val="Heading4"/>
      </w:pPr>
      <w:r w:rsidRPr="00B039C1">
        <w:t>Conclusion</w:t>
      </w:r>
    </w:p>
    <w:p w:rsidR="00676E8E" w:rsidRPr="00AA5E62" w:rsidRDefault="00676E8E" w:rsidP="00676E8E">
      <w:r>
        <w:t xml:space="preserve">Considering the metabolic profiles of rat, dogs and humans and </w:t>
      </w:r>
      <w:r w:rsidRPr="00541E4C">
        <w:t xml:space="preserve">the similarity in disposition of voxilaprevir in humans and these </w:t>
      </w:r>
      <w:r w:rsidR="00C4145D">
        <w:t>nonclinical</w:t>
      </w:r>
      <w:r w:rsidRPr="00541E4C">
        <w:t xml:space="preserve"> species, an adequate model for the assessment of voxilaprevir toxicity has been employed in the present submission</w:t>
      </w:r>
      <w:r w:rsidRPr="00AA5E62">
        <w:t>.</w:t>
      </w:r>
    </w:p>
    <w:p w:rsidR="00676E8E" w:rsidRPr="00EB69F1" w:rsidRDefault="00676E8E" w:rsidP="00CE27F2">
      <w:pPr>
        <w:pStyle w:val="Heading4"/>
      </w:pPr>
      <w:bookmarkStart w:id="55" w:name="_Toc294861725"/>
      <w:r w:rsidRPr="00EB69F1">
        <w:t>Pharmacokinetic drug interactions</w:t>
      </w:r>
      <w:bookmarkEnd w:id="55"/>
    </w:p>
    <w:p w:rsidR="00676E8E" w:rsidRPr="00A7103A" w:rsidRDefault="00676E8E" w:rsidP="00CE27F2">
      <w:pPr>
        <w:pStyle w:val="Heading5"/>
      </w:pPr>
      <w:r w:rsidRPr="00A7103A">
        <w:t>Cytochrome P450 and UGT1A1 inhibition</w:t>
      </w:r>
    </w:p>
    <w:p w:rsidR="00476CD0" w:rsidRDefault="00676E8E" w:rsidP="00CE27F2">
      <w:r w:rsidRPr="00333441">
        <w:t xml:space="preserve">Voxilaprevir showed no significant inhibition of </w:t>
      </w:r>
      <w:r w:rsidR="00AC3806">
        <w:rPr>
          <w:rFonts w:eastAsia="TimesNewRoman" w:cs="TimesNewRoman"/>
        </w:rPr>
        <w:t>cytochrome P450 enzymes</w:t>
      </w:r>
      <w:r w:rsidR="00AC3806" w:rsidRPr="00333441">
        <w:t xml:space="preserve"> </w:t>
      </w:r>
      <w:r w:rsidR="00AC3806">
        <w:t>(</w:t>
      </w:r>
      <w:r w:rsidRPr="00333441">
        <w:t>CYPs</w:t>
      </w:r>
      <w:r w:rsidR="00AC3806">
        <w:t>)</w:t>
      </w:r>
      <w:r w:rsidRPr="00333441">
        <w:t xml:space="preserve"> 1A2, 2B6, 2C8, 2C9, 2C19, 2D6 and 3A4 (IC</w:t>
      </w:r>
      <w:r w:rsidRPr="00333441">
        <w:rPr>
          <w:vertAlign w:val="subscript"/>
        </w:rPr>
        <w:t>50</w:t>
      </w:r>
      <w:r w:rsidRPr="00333441">
        <w:t xml:space="preserve"> </w:t>
      </w:r>
      <w:r w:rsidR="00476CD0">
        <w:t xml:space="preserve">&gt; </w:t>
      </w:r>
      <w:r w:rsidRPr="00333441">
        <w:t>11 µM)</w:t>
      </w:r>
      <w:r>
        <w:t xml:space="preserve"> and is therefore not expected to affect metabolic clearance of drugs by these enzymes</w:t>
      </w:r>
      <w:r w:rsidRPr="00333441">
        <w:t>.</w:t>
      </w:r>
      <w:r>
        <w:t xml:space="preserve"> Voxilaprevir showed an inhibitory effect on human </w:t>
      </w:r>
      <w:r w:rsidR="00AA5E62">
        <w:rPr>
          <w:rFonts w:eastAsia="TimesNewRoman" w:cs="TimesNewRoman"/>
        </w:rPr>
        <w:t>U</w:t>
      </w:r>
      <w:r w:rsidR="00AA5E62" w:rsidRPr="00E1614E">
        <w:rPr>
          <w:rFonts w:eastAsia="TimesNewRoman" w:cs="TimesNewRoman"/>
        </w:rPr>
        <w:t>ridine diphosphate glucuronosyltransferase 1A1</w:t>
      </w:r>
      <w:r w:rsidR="00AA5E62">
        <w:rPr>
          <w:rFonts w:eastAsia="TimesNewRoman" w:cs="TimesNewRoman"/>
        </w:rPr>
        <w:t xml:space="preserve"> (</w:t>
      </w:r>
      <w:r w:rsidRPr="00AA5E62">
        <w:t>UGT1A1</w:t>
      </w:r>
      <w:r w:rsidR="00AA5E62" w:rsidRPr="00AA5E62">
        <w:t>)</w:t>
      </w:r>
      <w:r w:rsidRPr="00AA5E62">
        <w:t>,</w:t>
      </w:r>
      <w:r>
        <w:t xml:space="preserve"> </w:t>
      </w:r>
      <w:r w:rsidRPr="00856FEB">
        <w:rPr>
          <w:i/>
        </w:rPr>
        <w:t>in vitro</w:t>
      </w:r>
      <w:r>
        <w:t xml:space="preserve"> (IC</w:t>
      </w:r>
      <w:r w:rsidRPr="009313AD">
        <w:rPr>
          <w:vertAlign w:val="subscript"/>
        </w:rPr>
        <w:t>50</w:t>
      </w:r>
      <w:r>
        <w:t xml:space="preserve"> of 4.75 µM). Since the IC</w:t>
      </w:r>
      <w:r w:rsidRPr="00761B57">
        <w:rPr>
          <w:vertAlign w:val="subscript"/>
        </w:rPr>
        <w:t>50</w:t>
      </w:r>
      <w:r>
        <w:t xml:space="preserve"> value is greater than 1000 fold the unbound </w:t>
      </w:r>
      <w:proofErr w:type="spellStart"/>
      <w:r w:rsidR="00CE0E69" w:rsidRPr="00132EE6">
        <w:t>C</w:t>
      </w:r>
      <w:r w:rsidR="00CE0E69" w:rsidRPr="00CE0E69">
        <w:rPr>
          <w:vertAlign w:val="subscript"/>
        </w:rPr>
        <w:t>max</w:t>
      </w:r>
      <w:proofErr w:type="spellEnd"/>
      <w:r w:rsidR="00507436" w:rsidRPr="00507436">
        <w:t xml:space="preserve"> </w:t>
      </w:r>
      <w:r>
        <w:t xml:space="preserve">in human plasma </w:t>
      </w:r>
      <w:r w:rsidRPr="00510966">
        <w:t>(</w:t>
      </w:r>
      <w:r w:rsidR="00476CD0">
        <w:t xml:space="preserve">&lt; </w:t>
      </w:r>
      <w:r w:rsidRPr="00510966">
        <w:t xml:space="preserve">3 </w:t>
      </w:r>
      <w:proofErr w:type="spellStart"/>
      <w:r w:rsidRPr="00510966">
        <w:t>nM</w:t>
      </w:r>
      <w:proofErr w:type="spellEnd"/>
      <w:r w:rsidRPr="00510966">
        <w:t xml:space="preserve">), </w:t>
      </w:r>
      <w:proofErr w:type="spellStart"/>
      <w:r w:rsidRPr="00510966">
        <w:t>voxilaprevir</w:t>
      </w:r>
      <w:proofErr w:type="spellEnd"/>
      <w:r w:rsidRPr="00510966">
        <w:t xml:space="preserve"> is unlikely to be a clinically relevant inhibitor of UGT1A1</w:t>
      </w:r>
      <w:r w:rsidR="00476CD0">
        <w:t>.</w:t>
      </w:r>
    </w:p>
    <w:p w:rsidR="00676E8E" w:rsidRDefault="00676E8E" w:rsidP="00CE27F2">
      <w:pPr>
        <w:pStyle w:val="Heading5"/>
      </w:pPr>
      <w:r w:rsidRPr="00A7103A">
        <w:t>Assessment of induction liability</w:t>
      </w:r>
    </w:p>
    <w:p w:rsidR="00676E8E" w:rsidRDefault="00676E8E" w:rsidP="00CE27F2">
      <w:r>
        <w:t xml:space="preserve">Voxilaprevir showed minimal potential to induce UGT1A1, </w:t>
      </w:r>
      <w:r w:rsidR="00F64A30">
        <w:rPr>
          <w:rFonts w:eastAsia="TimesNewRoman" w:cs="TimesNewRoman"/>
        </w:rPr>
        <w:t>P-glycoprotein</w:t>
      </w:r>
      <w:r w:rsidR="00F64A30">
        <w:t xml:space="preserve"> (</w:t>
      </w:r>
      <w:r>
        <w:t>P-</w:t>
      </w:r>
      <w:proofErr w:type="spellStart"/>
      <w:r>
        <w:t>gp</w:t>
      </w:r>
      <w:proofErr w:type="spellEnd"/>
      <w:r w:rsidR="00F64A30">
        <w:t>)</w:t>
      </w:r>
      <w:r>
        <w:t xml:space="preserve"> and CYP mRNA or CYP activity when assessed in cultural human hepatocytes. Small mRNA increases were observed in P-</w:t>
      </w:r>
      <w:proofErr w:type="spellStart"/>
      <w:r>
        <w:t>gp</w:t>
      </w:r>
      <w:proofErr w:type="spellEnd"/>
      <w:r>
        <w:t xml:space="preserve"> (2.08 fold increase at 3</w:t>
      </w:r>
      <w:r w:rsidRPr="000403C8">
        <w:t xml:space="preserve"> µM</w:t>
      </w:r>
      <w:r>
        <w:t xml:space="preserve">) and mRNA decreases were observed in </w:t>
      </w:r>
      <w:r w:rsidRPr="00690101">
        <w:t>CYP</w:t>
      </w:r>
      <w:r>
        <w:t xml:space="preserve"> and </w:t>
      </w:r>
      <w:r w:rsidRPr="00690101">
        <w:t>UGT1A1</w:t>
      </w:r>
      <w:r w:rsidR="00AA5E62">
        <w:t>9 (0.3 to</w:t>
      </w:r>
      <w:r>
        <w:t xml:space="preserve"> 0.98 fold </w:t>
      </w:r>
      <w:r w:rsidRPr="008179D7">
        <w:t xml:space="preserve">at 1 </w:t>
      </w:r>
      <w:r w:rsidR="00AA5E62">
        <w:t>to</w:t>
      </w:r>
      <w:r>
        <w:t xml:space="preserve"> </w:t>
      </w:r>
      <w:r w:rsidRPr="000403C8">
        <w:t>3 µM</w:t>
      </w:r>
      <w:r>
        <w:t>). CYP3A activity decreased from 0.94 to 0.33 fold at 3 µM. These modest changes occurred at concentrations in large excess of unbound voxilaprevir in human plasma (~</w:t>
      </w:r>
      <w:r w:rsidR="00AA5E62">
        <w:t xml:space="preserve"> </w:t>
      </w:r>
      <w:r>
        <w:t xml:space="preserve">300 to 1000 fold the unbound </w:t>
      </w:r>
      <w:proofErr w:type="spellStart"/>
      <w:r w:rsidR="00CE0E69" w:rsidRPr="00132EE6">
        <w:t>C</w:t>
      </w:r>
      <w:r w:rsidR="00CE0E69" w:rsidRPr="00CE0E69">
        <w:rPr>
          <w:vertAlign w:val="subscript"/>
        </w:rPr>
        <w:t>max</w:t>
      </w:r>
      <w:proofErr w:type="spellEnd"/>
      <w:r w:rsidR="00507436" w:rsidRPr="00507436">
        <w:t xml:space="preserve"> </w:t>
      </w:r>
      <w:r w:rsidR="00AA5E62">
        <w:t>in human plasma</w:t>
      </w:r>
      <w:r>
        <w:t xml:space="preserve">) and therefore </w:t>
      </w:r>
      <w:r w:rsidRPr="009D5A22">
        <w:t>voxilaprevir is unlikely to be clinically relevant</w:t>
      </w:r>
      <w:r>
        <w:t xml:space="preserve"> in its induction potential. </w:t>
      </w:r>
      <w:r w:rsidR="00AA5E62" w:rsidRPr="00856FEB">
        <w:rPr>
          <w:i/>
        </w:rPr>
        <w:t>In </w:t>
      </w:r>
      <w:r w:rsidRPr="00856FEB">
        <w:rPr>
          <w:i/>
        </w:rPr>
        <w:t>vitro</w:t>
      </w:r>
      <w:r>
        <w:t xml:space="preserve"> voxilaprevir also showed</w:t>
      </w:r>
      <w:r w:rsidR="00AA5E62">
        <w:t xml:space="preserve"> low likelihood of inducing </w:t>
      </w:r>
      <w:proofErr w:type="spellStart"/>
      <w:r w:rsidR="00F64A30">
        <w:t>pregnane</w:t>
      </w:r>
      <w:proofErr w:type="spellEnd"/>
      <w:r w:rsidR="00F64A30">
        <w:t xml:space="preserve"> X </w:t>
      </w:r>
      <w:r w:rsidR="00F64A30" w:rsidRPr="00F64A30">
        <w:t>receptor (</w:t>
      </w:r>
      <w:r w:rsidR="00AA5E62" w:rsidRPr="00F64A30">
        <w:t>PXR</w:t>
      </w:r>
      <w:r w:rsidR="00F64A30" w:rsidRPr="00F64A30">
        <w:t>)</w:t>
      </w:r>
      <w:r w:rsidR="00AA5E62" w:rsidRPr="00F64A30">
        <w:t xml:space="preserve">, </w:t>
      </w:r>
      <w:r w:rsidR="00AC3806" w:rsidRPr="00F64A30">
        <w:t xml:space="preserve">constitutive </w:t>
      </w:r>
      <w:proofErr w:type="spellStart"/>
      <w:r w:rsidR="00AC3806" w:rsidRPr="00F64A30">
        <w:t>androstane</w:t>
      </w:r>
      <w:proofErr w:type="spellEnd"/>
      <w:r w:rsidR="00AC3806" w:rsidRPr="00F64A30">
        <w:t xml:space="preserve"> receptor (</w:t>
      </w:r>
      <w:r w:rsidR="00AA5E62" w:rsidRPr="00F64A30">
        <w:t>CAR</w:t>
      </w:r>
      <w:r w:rsidR="00AC3806" w:rsidRPr="00F64A30">
        <w:t>)</w:t>
      </w:r>
      <w:r w:rsidR="00AA5E62" w:rsidRPr="00F64A30">
        <w:t xml:space="preserve"> or </w:t>
      </w:r>
      <w:r w:rsidR="00AC3806" w:rsidRPr="00F64A30">
        <w:t>aryl hydrocarbon</w:t>
      </w:r>
      <w:r w:rsidR="00AC3806" w:rsidRPr="00AC3806">
        <w:t xml:space="preserve"> receptor (</w:t>
      </w:r>
      <w:r w:rsidR="00AA5E62" w:rsidRPr="00AC3806">
        <w:t>AHR</w:t>
      </w:r>
      <w:r w:rsidR="00AC3806" w:rsidRPr="00AC3806">
        <w:t>)</w:t>
      </w:r>
      <w:r w:rsidRPr="00AC3806">
        <w:t xml:space="preserve"> mediated pathways at the concentrations that</w:t>
      </w:r>
      <w:r>
        <w:t xml:space="preserve"> could be achieved in humans.</w:t>
      </w:r>
    </w:p>
    <w:p w:rsidR="00676E8E" w:rsidRPr="00FE4DEA" w:rsidRDefault="00676E8E" w:rsidP="00CE27F2">
      <w:pPr>
        <w:pStyle w:val="Heading5"/>
      </w:pPr>
      <w:r>
        <w:t>Interaction</w:t>
      </w:r>
      <w:r w:rsidRPr="00FE4DEA">
        <w:t>s with transporters</w:t>
      </w:r>
    </w:p>
    <w:p w:rsidR="00476CD0" w:rsidRDefault="00676E8E" w:rsidP="00CE27F2">
      <w:r w:rsidRPr="00300F97">
        <w:t xml:space="preserve">Voxilaprevir was shown to be a substrate for intestinal efflux </w:t>
      </w:r>
      <w:r w:rsidRPr="00F64A30">
        <w:t>transporters P-</w:t>
      </w:r>
      <w:proofErr w:type="spellStart"/>
      <w:r w:rsidRPr="00F64A30">
        <w:t>gp</w:t>
      </w:r>
      <w:proofErr w:type="spellEnd"/>
      <w:r w:rsidRPr="00F64A30">
        <w:t xml:space="preserve"> and </w:t>
      </w:r>
      <w:r w:rsidR="00AC3806" w:rsidRPr="00F64A30">
        <w:rPr>
          <w:rFonts w:eastAsia="TimesNewRoman" w:cs="TimesNewRoman"/>
        </w:rPr>
        <w:t>breast</w:t>
      </w:r>
      <w:r w:rsidR="00AC3806">
        <w:rPr>
          <w:rFonts w:eastAsia="TimesNewRoman" w:cs="TimesNewRoman"/>
        </w:rPr>
        <w:t xml:space="preserve"> cancer </w:t>
      </w:r>
      <w:r w:rsidR="00AC3806" w:rsidRPr="00AC3806">
        <w:rPr>
          <w:rFonts w:eastAsia="TimesNewRoman" w:cs="TimesNewRoman"/>
        </w:rPr>
        <w:t>resistance protein</w:t>
      </w:r>
      <w:r w:rsidR="00AC3806" w:rsidRPr="00AC3806">
        <w:t xml:space="preserve"> (</w:t>
      </w:r>
      <w:r w:rsidRPr="00AC3806">
        <w:t>BCRP</w:t>
      </w:r>
      <w:r w:rsidR="00AC3806" w:rsidRPr="00AC3806">
        <w:t>)</w:t>
      </w:r>
      <w:r w:rsidRPr="00AC3806">
        <w:t xml:space="preserve"> </w:t>
      </w:r>
      <w:r w:rsidRPr="00856FEB">
        <w:rPr>
          <w:i/>
        </w:rPr>
        <w:t>in vitro</w:t>
      </w:r>
      <w:r w:rsidRPr="00AC3806">
        <w:t xml:space="preserve"> and</w:t>
      </w:r>
      <w:r>
        <w:t xml:space="preserve"> therefore intestinal absorption could </w:t>
      </w:r>
      <w:r>
        <w:lastRenderedPageBreak/>
        <w:t>potentially be decreased by inducers of P-</w:t>
      </w:r>
      <w:proofErr w:type="spellStart"/>
      <w:r>
        <w:t>gp</w:t>
      </w:r>
      <w:proofErr w:type="spellEnd"/>
      <w:r>
        <w:t xml:space="preserve"> and BCRP or increased by inhibitors of P-</w:t>
      </w:r>
      <w:proofErr w:type="spellStart"/>
      <w:r>
        <w:t>gp</w:t>
      </w:r>
      <w:proofErr w:type="spellEnd"/>
      <w:r>
        <w:t xml:space="preserve"> and BCRP.</w:t>
      </w:r>
      <w:r w:rsidR="00476CD0">
        <w:t xml:space="preserve"> </w:t>
      </w:r>
      <w:r>
        <w:t>Both of the other components of Vosevi, sofosbuvir and velpatasvir, are also substrates of P-</w:t>
      </w:r>
      <w:proofErr w:type="spellStart"/>
      <w:r>
        <w:t>gp</w:t>
      </w:r>
      <w:proofErr w:type="spellEnd"/>
      <w:r>
        <w:t xml:space="preserve"> and BCRP. Increased hepatic uptake and systemic exposures to voxilaprevir in the presence of </w:t>
      </w:r>
      <w:r w:rsidR="00F64A30">
        <w:rPr>
          <w:rFonts w:eastAsia="TimesNewRoman" w:cs="TimesNewRoman"/>
        </w:rPr>
        <w:t>organic anion transporting polypeptide (OATP</w:t>
      </w:r>
      <w:r w:rsidR="00F64A30" w:rsidRPr="00F64A30">
        <w:rPr>
          <w:rFonts w:eastAsia="TimesNewRoman" w:cs="TimesNewRoman"/>
        </w:rPr>
        <w:t>)</w:t>
      </w:r>
      <w:r w:rsidR="00F64A30" w:rsidRPr="00F64A30">
        <w:t xml:space="preserve"> </w:t>
      </w:r>
      <w:r w:rsidRPr="00F64A30">
        <w:t>OATP1B1</w:t>
      </w:r>
      <w:r>
        <w:t xml:space="preserve"> or 1B3 inhibitors indicate that it is a substrate of these hepatic transporters</w:t>
      </w:r>
      <w:r w:rsidR="00476CD0">
        <w:t>.</w:t>
      </w:r>
    </w:p>
    <w:p w:rsidR="004334C7" w:rsidRDefault="00676E8E" w:rsidP="004334C7">
      <w:r>
        <w:t xml:space="preserve">Voxilaprevir </w:t>
      </w:r>
      <w:r w:rsidRPr="00856FEB">
        <w:rPr>
          <w:i/>
        </w:rPr>
        <w:t>in vitro</w:t>
      </w:r>
      <w:r>
        <w:t xml:space="preserve"> inhibited intestinal BCRP and hepatic OATP1B1 and OATP1B3 with IC</w:t>
      </w:r>
      <w:r w:rsidRPr="00517B35">
        <w:rPr>
          <w:vertAlign w:val="subscript"/>
        </w:rPr>
        <w:t>50</w:t>
      </w:r>
      <w:r>
        <w:t xml:space="preserve"> values of 1.5, 0.18 and 0.70 </w:t>
      </w:r>
      <w:proofErr w:type="spellStart"/>
      <w:r>
        <w:t>μM</w:t>
      </w:r>
      <w:proofErr w:type="spellEnd"/>
      <w:r>
        <w:t xml:space="preserve">, respectively exceeded the </w:t>
      </w:r>
      <w:proofErr w:type="spellStart"/>
      <w:r w:rsidR="00CE0E69" w:rsidRPr="00132EE6">
        <w:t>C</w:t>
      </w:r>
      <w:r w:rsidR="00CE0E69" w:rsidRPr="00CE0E69">
        <w:rPr>
          <w:vertAlign w:val="subscript"/>
        </w:rPr>
        <w:t>max</w:t>
      </w:r>
      <w:proofErr w:type="spellEnd"/>
      <w:r w:rsidR="00507436" w:rsidRPr="00507436">
        <w:t xml:space="preserve"> </w:t>
      </w:r>
      <w:r>
        <w:t xml:space="preserve">unbound to plasma protein (2.21 </w:t>
      </w:r>
      <w:proofErr w:type="spellStart"/>
      <w:r>
        <w:t>nM</w:t>
      </w:r>
      <w:proofErr w:type="spellEnd"/>
      <w:r>
        <w:t>; assuming 1% protein binding) by greater than 50</w:t>
      </w:r>
      <w:r w:rsidR="00C4145D">
        <w:t xml:space="preserve"> fold</w:t>
      </w:r>
      <w:r>
        <w:t>.</w:t>
      </w:r>
      <w:r w:rsidRPr="00EB69F1">
        <w:rPr>
          <w:color w:val="3366CC"/>
        </w:rPr>
        <w:t xml:space="preserve"> </w:t>
      </w:r>
      <w:r>
        <w:t>Voxilaprevir was not identified to be an inhibitor of P-</w:t>
      </w:r>
      <w:proofErr w:type="spellStart"/>
      <w:r>
        <w:t>gp</w:t>
      </w:r>
      <w:proofErr w:type="spellEnd"/>
      <w:r>
        <w:t xml:space="preserve"> at the solubility limit in the </w:t>
      </w:r>
      <w:r w:rsidRPr="00856FEB">
        <w:rPr>
          <w:i/>
        </w:rPr>
        <w:t>in vitro</w:t>
      </w:r>
      <w:r>
        <w:t xml:space="preserve"> assay (10 µM) however potential inhibition of intestinal P-</w:t>
      </w:r>
      <w:proofErr w:type="spellStart"/>
      <w:r>
        <w:t>gp</w:t>
      </w:r>
      <w:proofErr w:type="spellEnd"/>
      <w:r>
        <w:t xml:space="preserve">, BCRP and </w:t>
      </w:r>
      <w:r w:rsidRPr="00090584">
        <w:t>hepatic OATP1B1 and OATP1B3</w:t>
      </w:r>
      <w:r>
        <w:t xml:space="preserve"> at higher concentrations achievable in the gastrointestinal tract (at the site of absorption) cannot be ruled out. Therefore</w:t>
      </w:r>
      <w:r w:rsidR="00AA5E62">
        <w:t xml:space="preserve"> the involvement of voxilaprevir</w:t>
      </w:r>
      <w:r>
        <w:t xml:space="preserve"> in drug interactions by inhibition of P-</w:t>
      </w:r>
      <w:proofErr w:type="spellStart"/>
      <w:r>
        <w:t>gp</w:t>
      </w:r>
      <w:proofErr w:type="spellEnd"/>
      <w:r>
        <w:t xml:space="preserve">, BCRP, OATP1B1 and OATP1B3 is limited to the process of absorption where high unbound concentrations of voxilaprevir are likely to be found. Voxilaprevir was not an inhibitor of the hepatic transporter </w:t>
      </w:r>
      <w:r w:rsidR="00F64A30">
        <w:rPr>
          <w:rFonts w:eastAsia="TimesNewRoman" w:cs="TimesNewRoman"/>
        </w:rPr>
        <w:t>organic cation transporter</w:t>
      </w:r>
      <w:r w:rsidR="00F64A30">
        <w:t xml:space="preserve"> (OCT) </w:t>
      </w:r>
      <w:r>
        <w:t>OCT1 or any of the assessed renal transporters (</w:t>
      </w:r>
      <w:r w:rsidR="00F64A30">
        <w:rPr>
          <w:rFonts w:eastAsia="TimesNewRoman" w:cs="TimesNewRoman"/>
        </w:rPr>
        <w:t>organic anion transporter (OAT)</w:t>
      </w:r>
      <w:r w:rsidR="00F64A30">
        <w:t xml:space="preserve"> </w:t>
      </w:r>
      <w:r>
        <w:t xml:space="preserve">OAT1, OAT2, OCT2 and </w:t>
      </w:r>
      <w:r w:rsidR="00F64A30">
        <w:rPr>
          <w:rFonts w:eastAsia="TimesNewRoman" w:cs="TimesNewRoman"/>
        </w:rPr>
        <w:t xml:space="preserve">multidrug and toxin </w:t>
      </w:r>
      <w:r w:rsidR="00F64A30" w:rsidRPr="00F64A30">
        <w:rPr>
          <w:rFonts w:eastAsia="TimesNewRoman" w:cs="TimesNewRoman"/>
        </w:rPr>
        <w:t>extrusion 1(</w:t>
      </w:r>
      <w:r w:rsidRPr="00F64A30">
        <w:t>MATE1</w:t>
      </w:r>
      <w:r w:rsidR="00F64A30" w:rsidRPr="00F64A30">
        <w:t>)</w:t>
      </w:r>
      <w:r w:rsidRPr="00F64A30">
        <w:t>).</w:t>
      </w:r>
    </w:p>
    <w:p w:rsidR="001B5C90" w:rsidRDefault="008E7846" w:rsidP="001B5C90">
      <w:pPr>
        <w:pStyle w:val="Heading3"/>
      </w:pPr>
      <w:bookmarkStart w:id="56" w:name="_Toc8291118"/>
      <w:r>
        <w:t>Toxicology</w:t>
      </w:r>
      <w:bookmarkEnd w:id="53"/>
      <w:bookmarkEnd w:id="54"/>
      <w:bookmarkEnd w:id="56"/>
    </w:p>
    <w:p w:rsidR="00CE27F2" w:rsidRPr="00EB69F1" w:rsidRDefault="00CE27F2" w:rsidP="00CE27F2">
      <w:pPr>
        <w:pStyle w:val="Heading4"/>
      </w:pPr>
      <w:bookmarkStart w:id="57" w:name="_Toc294861727"/>
      <w:r w:rsidRPr="00EB69F1">
        <w:t>Acute toxicity</w:t>
      </w:r>
      <w:bookmarkEnd w:id="57"/>
    </w:p>
    <w:p w:rsidR="00CE27F2" w:rsidRPr="00F970FF" w:rsidRDefault="00CE27F2" w:rsidP="00CE27F2">
      <w:r>
        <w:t>No acute toxicity studies were submitted.</w:t>
      </w:r>
    </w:p>
    <w:p w:rsidR="00CE27F2" w:rsidRPr="00EB69F1" w:rsidRDefault="00AA5E62" w:rsidP="00CE27F2">
      <w:pPr>
        <w:pStyle w:val="Heading4"/>
      </w:pPr>
      <w:bookmarkStart w:id="58" w:name="_Toc294861728"/>
      <w:r>
        <w:t>Repeat dose</w:t>
      </w:r>
      <w:r w:rsidR="00CE27F2" w:rsidRPr="00EB69F1">
        <w:t xml:space="preserve"> toxicity</w:t>
      </w:r>
      <w:bookmarkEnd w:id="58"/>
    </w:p>
    <w:p w:rsidR="00CE27F2" w:rsidRDefault="00CE27F2" w:rsidP="00CE27F2">
      <w:r w:rsidRPr="00F970FF">
        <w:t xml:space="preserve">Repeat dose toxicity studies with </w:t>
      </w:r>
      <w:r>
        <w:t>voxilaprevir alone were conducted in two species: rat and dog. All studies were conducted using the clinical (oral) route.</w:t>
      </w:r>
      <w:r w:rsidRPr="00411A5F">
        <w:t xml:space="preserve"> </w:t>
      </w:r>
      <w:r>
        <w:t>Voxilaprevir was administered to rats daily at doses of up to 100</w:t>
      </w:r>
      <w:r w:rsidR="00AA5E62">
        <w:t xml:space="preserve"> mg</w:t>
      </w:r>
      <w:r>
        <w:t>/kg/day for 2 and 13 weeks and up to 70</w:t>
      </w:r>
      <w:r w:rsidR="00AA5E62">
        <w:t xml:space="preserve"> mg</w:t>
      </w:r>
      <w:r>
        <w:t>/kg/day for 26 weeks and in dogs at doses of up to 20</w:t>
      </w:r>
      <w:r w:rsidR="00AA5E62">
        <w:t xml:space="preserve"> mg</w:t>
      </w:r>
      <w:r>
        <w:t>/kg/day for 2 weeks and 15</w:t>
      </w:r>
      <w:r w:rsidR="00AA5E62">
        <w:t xml:space="preserve"> mg</w:t>
      </w:r>
      <w:r>
        <w:t>/kg/day for 13 and 39 weeks.</w:t>
      </w:r>
      <w:r w:rsidR="00476CD0">
        <w:t xml:space="preserve"> </w:t>
      </w:r>
      <w:r>
        <w:t>The dog study employed a different vehicle (polyethylene glycol 400) from the organic solution employed in rat studies (</w:t>
      </w:r>
      <w:r w:rsidRPr="001A1D6F">
        <w:rPr>
          <w:color w:val="000000" w:themeColor="text1"/>
          <w:kern w:val="2"/>
        </w:rPr>
        <w:t xml:space="preserve">13.34% ethanol, 8.88% propylene glycol, 33.34% </w:t>
      </w:r>
      <w:proofErr w:type="spellStart"/>
      <w:r w:rsidRPr="001A1D6F">
        <w:rPr>
          <w:color w:val="000000" w:themeColor="text1"/>
          <w:kern w:val="2"/>
        </w:rPr>
        <w:t>Labrasol</w:t>
      </w:r>
      <w:proofErr w:type="spellEnd"/>
      <w:r w:rsidRPr="001A1D6F">
        <w:rPr>
          <w:color w:val="000000" w:themeColor="text1"/>
          <w:kern w:val="2"/>
        </w:rPr>
        <w:t xml:space="preserve">, and 44.44% </w:t>
      </w:r>
      <w:proofErr w:type="spellStart"/>
      <w:r w:rsidRPr="001A1D6F">
        <w:rPr>
          <w:color w:val="000000" w:themeColor="text1"/>
          <w:kern w:val="2"/>
        </w:rPr>
        <w:t>Kolliphor</w:t>
      </w:r>
      <w:proofErr w:type="spellEnd"/>
      <w:r w:rsidRPr="001A1D6F">
        <w:rPr>
          <w:color w:val="000000" w:themeColor="text1"/>
          <w:kern w:val="2"/>
          <w:vertAlign w:val="superscript"/>
        </w:rPr>
        <w:t xml:space="preserve"> </w:t>
      </w:r>
      <w:r w:rsidRPr="001A1D6F">
        <w:rPr>
          <w:color w:val="000000" w:themeColor="text1"/>
          <w:kern w:val="2"/>
        </w:rPr>
        <w:t>HS-15</w:t>
      </w:r>
      <w:r>
        <w:rPr>
          <w:color w:val="000000" w:themeColor="text1"/>
          <w:kern w:val="2"/>
        </w:rPr>
        <w:t xml:space="preserve">) as dogs were found to have more frequent gastrointestinal reaction (vomiting and diarrhoea) with the organic solution resulting in variable AUC and </w:t>
      </w:r>
      <w:proofErr w:type="spellStart"/>
      <w:r w:rsidR="00CE0E69" w:rsidRPr="00132EE6">
        <w:t>C</w:t>
      </w:r>
      <w:r w:rsidR="00CE0E69" w:rsidRPr="00CE0E69">
        <w:rPr>
          <w:vertAlign w:val="subscript"/>
        </w:rPr>
        <w:t>max</w:t>
      </w:r>
      <w:proofErr w:type="spellEnd"/>
      <w:r w:rsidR="00507436" w:rsidRPr="00507436">
        <w:t xml:space="preserve"> </w:t>
      </w:r>
      <w:r>
        <w:rPr>
          <w:color w:val="000000" w:themeColor="text1"/>
          <w:kern w:val="2"/>
        </w:rPr>
        <w:t xml:space="preserve">values. </w:t>
      </w:r>
      <w:r>
        <w:t>The durations of the pivotal studies, the species used and the group sizes were consistent with ICH guidelines.</w:t>
      </w:r>
    </w:p>
    <w:p w:rsidR="00476CD0" w:rsidRDefault="00CE27F2" w:rsidP="00CE27F2">
      <w:pPr>
        <w:rPr>
          <w:kern w:val="2"/>
        </w:rPr>
      </w:pPr>
      <w:r>
        <w:t>As already noted, c</w:t>
      </w:r>
      <w:r>
        <w:rPr>
          <w:kern w:val="2"/>
        </w:rPr>
        <w:t xml:space="preserve">ombination toxicity studies were not provided and are not generally warranted for antiviral agents of </w:t>
      </w:r>
      <w:r w:rsidR="00020AA8">
        <w:rPr>
          <w:kern w:val="2"/>
        </w:rPr>
        <w:t xml:space="preserve">hepatitis </w:t>
      </w:r>
      <w:r>
        <w:rPr>
          <w:kern w:val="2"/>
        </w:rPr>
        <w:t>C</w:t>
      </w:r>
      <w:r w:rsidR="00AA5E62">
        <w:rPr>
          <w:kern w:val="2"/>
        </w:rPr>
        <w:t>.</w:t>
      </w:r>
      <w:r>
        <w:rPr>
          <w:rStyle w:val="FootnoteReference"/>
          <w:kern w:val="2"/>
        </w:rPr>
        <w:footnoteReference w:id="8"/>
      </w:r>
      <w:r w:rsidRPr="0084411C">
        <w:rPr>
          <w:kern w:val="2"/>
          <w:vertAlign w:val="superscript"/>
        </w:rPr>
        <w:t>,</w:t>
      </w:r>
      <w:r>
        <w:rPr>
          <w:rStyle w:val="FootnoteReference"/>
          <w:kern w:val="2"/>
        </w:rPr>
        <w:footnoteReference w:id="9"/>
      </w:r>
    </w:p>
    <w:p w:rsidR="00CE27F2" w:rsidRPr="003A3572" w:rsidRDefault="00CE27F2" w:rsidP="00CE27F2">
      <w:pPr>
        <w:pStyle w:val="Heading5"/>
      </w:pPr>
      <w:r w:rsidRPr="00EB69F1">
        <w:t>Relative exposure</w:t>
      </w:r>
    </w:p>
    <w:p w:rsidR="00476CD0" w:rsidRDefault="00CE27F2" w:rsidP="00CE27F2">
      <w:r w:rsidRPr="003A3572">
        <w:t>Exposure ratios have been calculated on animal:</w:t>
      </w:r>
      <w:r w:rsidR="00020AA8">
        <w:t xml:space="preserve"> </w:t>
      </w:r>
      <w:r w:rsidRPr="003A3572">
        <w:t>human plasma AUC</w:t>
      </w:r>
      <w:r w:rsidR="00AC3806">
        <w:rPr>
          <w:vertAlign w:val="subscript"/>
        </w:rPr>
        <w:t>0-24</w:t>
      </w:r>
      <w:r w:rsidR="00AC3806">
        <w:rPr>
          <w:rStyle w:val="FootnoteReference"/>
        </w:rPr>
        <w:footnoteReference w:id="10"/>
      </w:r>
      <w:r w:rsidRPr="003A3572">
        <w:rPr>
          <w:vertAlign w:val="subscript"/>
        </w:rPr>
        <w:t xml:space="preserve"> </w:t>
      </w:r>
      <w:r w:rsidRPr="003A3572">
        <w:t>voxilaprevir values. Human reference values are from demographic population PK analysis set fro</w:t>
      </w:r>
      <w:r w:rsidR="00AA5E62">
        <w:t>m Phase II and III</w:t>
      </w:r>
      <w:r w:rsidRPr="003A3572">
        <w:t xml:space="preserve"> studies. The AUC data used for animals is the mean of male and female values on the last sampling occasion.</w:t>
      </w:r>
      <w:r w:rsidR="00476CD0">
        <w:t xml:space="preserve"> </w:t>
      </w:r>
      <w:r w:rsidRPr="003A3572">
        <w:t>The relative exposure achieved in rats and dogs were high relative to the anticipated clinical exposure</w:t>
      </w:r>
      <w:r w:rsidR="00476CD0">
        <w:t>.</w:t>
      </w:r>
    </w:p>
    <w:p w:rsidR="00CE27F2" w:rsidRPr="00CE27F2" w:rsidRDefault="00AC0F8C" w:rsidP="00CE27F2">
      <w:pPr>
        <w:pStyle w:val="TableTitle"/>
      </w:pPr>
      <w:r>
        <w:lastRenderedPageBreak/>
        <w:t>Table 5:</w:t>
      </w:r>
      <w:r w:rsidR="00CE27F2" w:rsidRPr="00CE27F2">
        <w:t xml:space="preserve"> Relative exposure in </w:t>
      </w:r>
      <w:r w:rsidR="00AA5E62">
        <w:t>repeat dose</w:t>
      </w:r>
      <w:r w:rsidR="00CE27F2" w:rsidRPr="00CE27F2">
        <w:t xml:space="preserve"> toxicity studies</w:t>
      </w:r>
    </w:p>
    <w:tbl>
      <w:tblPr>
        <w:tblStyle w:val="TableTGAblue"/>
        <w:tblW w:w="9059" w:type="dxa"/>
        <w:tblLayout w:type="fixed"/>
        <w:tblLook w:val="01E0" w:firstRow="1" w:lastRow="1" w:firstColumn="1" w:lastColumn="1" w:noHBand="0" w:noVBand="0"/>
      </w:tblPr>
      <w:tblGrid>
        <w:gridCol w:w="1140"/>
        <w:gridCol w:w="1840"/>
        <w:gridCol w:w="1313"/>
        <w:gridCol w:w="1235"/>
        <w:gridCol w:w="1297"/>
        <w:gridCol w:w="1051"/>
        <w:gridCol w:w="1183"/>
      </w:tblGrid>
      <w:tr w:rsidR="00CE27F2" w:rsidRPr="00CE27F2" w:rsidTr="00507436">
        <w:trPr>
          <w:cnfStyle w:val="100000000000" w:firstRow="1" w:lastRow="0" w:firstColumn="0" w:lastColumn="0" w:oddVBand="0" w:evenVBand="0" w:oddHBand="0" w:evenHBand="0" w:firstRowFirstColumn="0" w:firstRowLastColumn="0" w:lastRowFirstColumn="0" w:lastRowLastColumn="0"/>
          <w:trHeight w:val="977"/>
        </w:trPr>
        <w:tc>
          <w:tcPr>
            <w:tcW w:w="1140" w:type="dxa"/>
            <w:vMerge w:val="restart"/>
          </w:tcPr>
          <w:p w:rsidR="00CE27F2" w:rsidRPr="00CE27F2" w:rsidRDefault="00CE27F2" w:rsidP="00CE27F2">
            <w:pPr>
              <w:spacing w:line="240" w:lineRule="auto"/>
              <w:ind w:left="0" w:right="0"/>
              <w:rPr>
                <w:sz w:val="20"/>
                <w:szCs w:val="20"/>
              </w:rPr>
            </w:pPr>
            <w:r w:rsidRPr="00CE27F2">
              <w:rPr>
                <w:sz w:val="20"/>
                <w:szCs w:val="20"/>
              </w:rPr>
              <w:t>Species</w:t>
            </w:r>
          </w:p>
        </w:tc>
        <w:tc>
          <w:tcPr>
            <w:tcW w:w="1840" w:type="dxa"/>
            <w:vMerge w:val="restart"/>
          </w:tcPr>
          <w:p w:rsidR="00CE27F2" w:rsidRPr="00CE27F2" w:rsidRDefault="00CE27F2" w:rsidP="00CE27F2">
            <w:pPr>
              <w:spacing w:line="240" w:lineRule="auto"/>
              <w:ind w:left="0" w:right="0"/>
              <w:rPr>
                <w:sz w:val="20"/>
                <w:szCs w:val="20"/>
              </w:rPr>
            </w:pPr>
            <w:r w:rsidRPr="00CE27F2">
              <w:rPr>
                <w:sz w:val="20"/>
                <w:szCs w:val="20"/>
              </w:rPr>
              <w:t>Study duration</w:t>
            </w:r>
            <w:r w:rsidR="004C5E42">
              <w:rPr>
                <w:sz w:val="20"/>
                <w:szCs w:val="20"/>
              </w:rPr>
              <w:t xml:space="preserve"> </w:t>
            </w:r>
            <w:r w:rsidR="000E1116">
              <w:rPr>
                <w:sz w:val="20"/>
                <w:szCs w:val="20"/>
              </w:rPr>
              <w:t>(</w:t>
            </w:r>
            <w:r w:rsidRPr="00CE27F2">
              <w:rPr>
                <w:sz w:val="20"/>
                <w:szCs w:val="20"/>
              </w:rPr>
              <w:t>Study no.</w:t>
            </w:r>
            <w:r w:rsidR="000E1116">
              <w:rPr>
                <w:sz w:val="20"/>
                <w:szCs w:val="20"/>
              </w:rPr>
              <w:t>)</w:t>
            </w:r>
          </w:p>
        </w:tc>
        <w:tc>
          <w:tcPr>
            <w:tcW w:w="1313" w:type="dxa"/>
            <w:vMerge w:val="restart"/>
          </w:tcPr>
          <w:p w:rsidR="00CE27F2" w:rsidRPr="00CE27F2" w:rsidRDefault="004C5E42" w:rsidP="00CE27F2">
            <w:pPr>
              <w:spacing w:line="240" w:lineRule="auto"/>
              <w:ind w:left="0" w:right="0"/>
              <w:rPr>
                <w:sz w:val="20"/>
                <w:szCs w:val="20"/>
              </w:rPr>
            </w:pPr>
            <w:r>
              <w:rPr>
                <w:sz w:val="20"/>
                <w:szCs w:val="20"/>
              </w:rPr>
              <w:t xml:space="preserve">Dose </w:t>
            </w:r>
            <w:r w:rsidR="00CE27F2" w:rsidRPr="00CE27F2">
              <w:rPr>
                <w:sz w:val="20"/>
                <w:szCs w:val="20"/>
              </w:rPr>
              <w:t>(</w:t>
            </w:r>
            <w:r w:rsidR="00AA5E62">
              <w:rPr>
                <w:sz w:val="20"/>
                <w:szCs w:val="20"/>
              </w:rPr>
              <w:t xml:space="preserve"> mg</w:t>
            </w:r>
            <w:r w:rsidR="00CE27F2" w:rsidRPr="00CE27F2">
              <w:rPr>
                <w:sz w:val="20"/>
                <w:szCs w:val="20"/>
              </w:rPr>
              <w:t>/kg/day)</w:t>
            </w:r>
          </w:p>
        </w:tc>
        <w:tc>
          <w:tcPr>
            <w:tcW w:w="1235" w:type="dxa"/>
            <w:vMerge w:val="restart"/>
          </w:tcPr>
          <w:p w:rsidR="00CE27F2" w:rsidRPr="00CE27F2" w:rsidRDefault="00CE0E69" w:rsidP="00CE27F2">
            <w:pPr>
              <w:spacing w:line="240" w:lineRule="auto"/>
              <w:ind w:left="0" w:right="0"/>
              <w:rPr>
                <w:sz w:val="20"/>
                <w:szCs w:val="20"/>
              </w:rPr>
            </w:pPr>
            <w:proofErr w:type="spellStart"/>
            <w:r w:rsidRPr="00132EE6">
              <w:t>C</w:t>
            </w:r>
            <w:r w:rsidRPr="00CE0E69">
              <w:rPr>
                <w:vertAlign w:val="subscript"/>
              </w:rPr>
              <w:t>max</w:t>
            </w:r>
            <w:proofErr w:type="spellEnd"/>
            <w:r w:rsidR="00507436" w:rsidRPr="00507436">
              <w:t xml:space="preserve"> </w:t>
            </w:r>
            <w:r w:rsidR="00CE27F2" w:rsidRPr="00CE27F2">
              <w:rPr>
                <w:sz w:val="20"/>
                <w:szCs w:val="20"/>
              </w:rPr>
              <w:t>(ng/mL)</w:t>
            </w:r>
          </w:p>
        </w:tc>
        <w:tc>
          <w:tcPr>
            <w:tcW w:w="1297" w:type="dxa"/>
            <w:vMerge w:val="restart"/>
          </w:tcPr>
          <w:p w:rsidR="00CE27F2" w:rsidRPr="00CE27F2" w:rsidRDefault="00CE27F2" w:rsidP="00CE27F2">
            <w:pPr>
              <w:spacing w:line="240" w:lineRule="auto"/>
              <w:ind w:left="0" w:right="0"/>
              <w:rPr>
                <w:sz w:val="20"/>
                <w:szCs w:val="20"/>
              </w:rPr>
            </w:pPr>
            <w:r w:rsidRPr="00CE27F2">
              <w:rPr>
                <w:sz w:val="20"/>
                <w:szCs w:val="20"/>
              </w:rPr>
              <w:t>AUC0–24 h or 0-T^</w:t>
            </w:r>
            <w:r w:rsidR="004C5E42">
              <w:rPr>
                <w:sz w:val="20"/>
                <w:szCs w:val="20"/>
              </w:rPr>
              <w:t xml:space="preserve"> </w:t>
            </w:r>
            <w:r w:rsidRPr="00CE27F2">
              <w:rPr>
                <w:sz w:val="20"/>
                <w:szCs w:val="20"/>
              </w:rPr>
              <w:t>(</w:t>
            </w:r>
            <w:proofErr w:type="spellStart"/>
            <w:r w:rsidRPr="00CE27F2">
              <w:rPr>
                <w:sz w:val="20"/>
                <w:szCs w:val="20"/>
              </w:rPr>
              <w:t>ng∙h</w:t>
            </w:r>
            <w:proofErr w:type="spellEnd"/>
            <w:r w:rsidRPr="00CE27F2">
              <w:rPr>
                <w:sz w:val="20"/>
                <w:szCs w:val="20"/>
              </w:rPr>
              <w:t>/mL)</w:t>
            </w:r>
          </w:p>
        </w:tc>
        <w:tc>
          <w:tcPr>
            <w:tcW w:w="2234" w:type="dxa"/>
            <w:gridSpan w:val="2"/>
          </w:tcPr>
          <w:p w:rsidR="00CE27F2" w:rsidRPr="00CE27F2" w:rsidRDefault="00CE27F2" w:rsidP="00CE27F2">
            <w:pPr>
              <w:spacing w:line="240" w:lineRule="auto"/>
              <w:ind w:left="0" w:right="0"/>
              <w:rPr>
                <w:sz w:val="20"/>
                <w:szCs w:val="20"/>
              </w:rPr>
            </w:pPr>
            <w:r w:rsidRPr="00CE27F2">
              <w:rPr>
                <w:sz w:val="20"/>
                <w:szCs w:val="20"/>
              </w:rPr>
              <w:t>Exposure ratio#</w:t>
            </w:r>
          </w:p>
        </w:tc>
      </w:tr>
      <w:tr w:rsidR="004C5E42" w:rsidRPr="00CE27F2" w:rsidTr="00507436">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Merge/>
          </w:tcPr>
          <w:p w:rsidR="00CE27F2" w:rsidRPr="00CE27F2" w:rsidRDefault="00CE27F2" w:rsidP="00CE27F2">
            <w:pPr>
              <w:spacing w:line="240" w:lineRule="auto"/>
              <w:ind w:left="0" w:right="0"/>
              <w:rPr>
                <w:sz w:val="20"/>
                <w:szCs w:val="20"/>
              </w:rPr>
            </w:pPr>
          </w:p>
        </w:tc>
        <w:tc>
          <w:tcPr>
            <w:tcW w:w="1235" w:type="dxa"/>
            <w:vMerge/>
          </w:tcPr>
          <w:p w:rsidR="00CE27F2" w:rsidRPr="00CE27F2" w:rsidRDefault="00CE27F2" w:rsidP="00CE27F2">
            <w:pPr>
              <w:spacing w:line="240" w:lineRule="auto"/>
              <w:ind w:left="0" w:right="0"/>
              <w:rPr>
                <w:sz w:val="20"/>
                <w:szCs w:val="20"/>
              </w:rPr>
            </w:pPr>
          </w:p>
        </w:tc>
        <w:tc>
          <w:tcPr>
            <w:tcW w:w="1297" w:type="dxa"/>
            <w:vMerge/>
          </w:tcPr>
          <w:p w:rsidR="00CE27F2" w:rsidRPr="00CE27F2" w:rsidRDefault="00CE27F2" w:rsidP="00CE27F2">
            <w:pPr>
              <w:spacing w:line="240" w:lineRule="auto"/>
              <w:ind w:left="0" w:right="0"/>
              <w:rPr>
                <w:sz w:val="20"/>
                <w:szCs w:val="20"/>
              </w:rPr>
            </w:pPr>
          </w:p>
        </w:tc>
        <w:tc>
          <w:tcPr>
            <w:tcW w:w="1051" w:type="dxa"/>
          </w:tcPr>
          <w:p w:rsidR="00CE27F2" w:rsidRPr="00CE27F2" w:rsidRDefault="00CE27F2" w:rsidP="00CE27F2">
            <w:pPr>
              <w:spacing w:line="240" w:lineRule="auto"/>
              <w:ind w:left="0" w:right="0"/>
              <w:rPr>
                <w:sz w:val="20"/>
                <w:szCs w:val="20"/>
              </w:rPr>
            </w:pPr>
            <w:proofErr w:type="spellStart"/>
            <w:r w:rsidRPr="00CE27F2">
              <w:rPr>
                <w:sz w:val="20"/>
                <w:szCs w:val="20"/>
              </w:rPr>
              <w:t>C</w:t>
            </w:r>
            <w:r w:rsidRPr="004C5E42">
              <w:rPr>
                <w:sz w:val="20"/>
                <w:szCs w:val="20"/>
                <w:vertAlign w:val="subscript"/>
              </w:rPr>
              <w:t>max</w:t>
            </w:r>
            <w:proofErr w:type="spellEnd"/>
          </w:p>
        </w:tc>
        <w:tc>
          <w:tcPr>
            <w:tcW w:w="1183" w:type="dxa"/>
          </w:tcPr>
          <w:p w:rsidR="00CE27F2" w:rsidRPr="00CE27F2" w:rsidRDefault="00CE27F2" w:rsidP="00CE27F2">
            <w:pPr>
              <w:spacing w:line="240" w:lineRule="auto"/>
              <w:ind w:left="0" w:right="0"/>
              <w:rPr>
                <w:sz w:val="20"/>
                <w:szCs w:val="20"/>
              </w:rPr>
            </w:pPr>
            <w:r w:rsidRPr="00CE27F2">
              <w:rPr>
                <w:sz w:val="20"/>
                <w:szCs w:val="20"/>
              </w:rPr>
              <w:t>AUC</w:t>
            </w:r>
          </w:p>
        </w:tc>
      </w:tr>
      <w:tr w:rsidR="00CE27F2" w:rsidRPr="00CE27F2" w:rsidTr="00CE27F2">
        <w:trPr>
          <w:trHeight w:val="223"/>
        </w:trPr>
        <w:tc>
          <w:tcPr>
            <w:tcW w:w="1140" w:type="dxa"/>
            <w:vMerge w:val="restart"/>
          </w:tcPr>
          <w:p w:rsidR="00CE27F2" w:rsidRPr="00CE27F2" w:rsidRDefault="00CE27F2" w:rsidP="00CE27F2">
            <w:pPr>
              <w:spacing w:line="240" w:lineRule="auto"/>
              <w:ind w:left="0" w:right="0"/>
              <w:rPr>
                <w:sz w:val="20"/>
                <w:szCs w:val="20"/>
              </w:rPr>
            </w:pPr>
            <w:r w:rsidRPr="00CE27F2">
              <w:rPr>
                <w:sz w:val="20"/>
                <w:szCs w:val="20"/>
              </w:rPr>
              <w:t>Rat</w:t>
            </w:r>
            <w:r>
              <w:rPr>
                <w:sz w:val="20"/>
                <w:szCs w:val="20"/>
              </w:rPr>
              <w:t xml:space="preserve"> </w:t>
            </w:r>
            <w:r w:rsidRPr="00CE27F2">
              <w:rPr>
                <w:sz w:val="20"/>
                <w:szCs w:val="20"/>
              </w:rPr>
              <w:t>(SD)</w:t>
            </w:r>
          </w:p>
        </w:tc>
        <w:tc>
          <w:tcPr>
            <w:tcW w:w="1840" w:type="dxa"/>
            <w:vMerge w:val="restart"/>
          </w:tcPr>
          <w:p w:rsidR="00CE27F2" w:rsidRPr="00CE27F2" w:rsidRDefault="00CE27F2" w:rsidP="00CE27F2">
            <w:pPr>
              <w:spacing w:line="240" w:lineRule="auto"/>
              <w:ind w:left="0" w:right="0"/>
              <w:rPr>
                <w:sz w:val="20"/>
                <w:szCs w:val="20"/>
              </w:rPr>
            </w:pPr>
            <w:r w:rsidRPr="00CE27F2">
              <w:rPr>
                <w:sz w:val="20"/>
                <w:szCs w:val="20"/>
              </w:rPr>
              <w:t>5 Days</w:t>
            </w:r>
            <w:r>
              <w:rPr>
                <w:sz w:val="20"/>
                <w:szCs w:val="20"/>
              </w:rPr>
              <w:t xml:space="preserve"> </w:t>
            </w:r>
            <w:r w:rsidR="000E1116">
              <w:rPr>
                <w:sz w:val="20"/>
                <w:szCs w:val="20"/>
              </w:rPr>
              <w:t>(</w:t>
            </w:r>
            <w:r w:rsidRPr="00CE27F2">
              <w:rPr>
                <w:sz w:val="20"/>
                <w:szCs w:val="20"/>
              </w:rPr>
              <w:t>Study TX-230-2001</w:t>
            </w:r>
            <w:r w:rsidR="000E1116">
              <w:rPr>
                <w:sz w:val="20"/>
                <w:szCs w:val="20"/>
              </w:rPr>
              <w:t>)</w:t>
            </w: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1690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8900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9</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3</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25</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9840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85000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51</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33</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48500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670000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252</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260</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val="restart"/>
          </w:tcPr>
          <w:p w:rsidR="00CE27F2" w:rsidRPr="00CE27F2" w:rsidRDefault="00CE27F2" w:rsidP="00CE27F2">
            <w:pPr>
              <w:spacing w:line="240" w:lineRule="auto"/>
              <w:ind w:left="0" w:right="0"/>
              <w:rPr>
                <w:sz w:val="20"/>
                <w:szCs w:val="20"/>
              </w:rPr>
            </w:pPr>
            <w:r w:rsidRPr="00CE27F2">
              <w:rPr>
                <w:sz w:val="20"/>
                <w:szCs w:val="20"/>
              </w:rPr>
              <w:t>2 weeks</w:t>
            </w:r>
            <w:r>
              <w:rPr>
                <w:sz w:val="20"/>
                <w:szCs w:val="20"/>
              </w:rPr>
              <w:t xml:space="preserve"> </w:t>
            </w:r>
            <w:r w:rsidR="000E1116">
              <w:rPr>
                <w:sz w:val="20"/>
                <w:szCs w:val="20"/>
              </w:rPr>
              <w:t>(</w:t>
            </w:r>
            <w:r w:rsidRPr="00CE27F2">
              <w:rPr>
                <w:sz w:val="20"/>
                <w:szCs w:val="20"/>
              </w:rPr>
              <w:t>Study TX-230-2006</w:t>
            </w:r>
            <w:r w:rsidR="000E1116">
              <w:rPr>
                <w:sz w:val="20"/>
                <w:szCs w:val="20"/>
              </w:rPr>
              <w:t>)</w:t>
            </w: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388</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3110(T</w:t>
            </w:r>
            <w:r w:rsidR="003925CF">
              <w:rPr>
                <w:sz w:val="20"/>
                <w:szCs w:val="20"/>
              </w:rPr>
              <w:t xml:space="preserve"> = </w:t>
            </w:r>
            <w:r w:rsidRPr="00CE27F2">
              <w:rPr>
                <w:sz w:val="20"/>
                <w:szCs w:val="20"/>
              </w:rPr>
              <w:t>12)</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2</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1</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15</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1150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8380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6</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3</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30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4490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32700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23</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13</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46900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535000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244</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208</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val="restart"/>
          </w:tcPr>
          <w:p w:rsidR="00CE27F2" w:rsidRPr="00CE27F2" w:rsidRDefault="00CE27F2" w:rsidP="00CE27F2">
            <w:pPr>
              <w:spacing w:line="240" w:lineRule="auto"/>
              <w:ind w:left="0" w:right="0"/>
              <w:rPr>
                <w:sz w:val="20"/>
                <w:szCs w:val="20"/>
              </w:rPr>
            </w:pPr>
            <w:r>
              <w:rPr>
                <w:sz w:val="20"/>
                <w:szCs w:val="20"/>
              </w:rPr>
              <w:t xml:space="preserve">13 weeks </w:t>
            </w:r>
            <w:r w:rsidR="000E1116">
              <w:rPr>
                <w:sz w:val="20"/>
                <w:szCs w:val="20"/>
              </w:rPr>
              <w:t>(</w:t>
            </w:r>
            <w:r w:rsidRPr="00CE27F2">
              <w:rPr>
                <w:sz w:val="20"/>
                <w:szCs w:val="20"/>
              </w:rPr>
              <w:t>Study TX-338-2001</w:t>
            </w:r>
            <w:r w:rsidR="000E1116">
              <w:rPr>
                <w:sz w:val="20"/>
                <w:szCs w:val="20"/>
              </w:rPr>
              <w:t>)</w:t>
            </w: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505</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4500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3</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2</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30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9450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73600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49</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29</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45800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558000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239</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217</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val="restart"/>
          </w:tcPr>
          <w:p w:rsidR="00CE27F2" w:rsidRPr="00CE27F2" w:rsidRDefault="00CE27F2" w:rsidP="00CE27F2">
            <w:pPr>
              <w:spacing w:line="240" w:lineRule="auto"/>
              <w:ind w:left="0" w:right="0"/>
              <w:rPr>
                <w:sz w:val="20"/>
                <w:szCs w:val="20"/>
              </w:rPr>
            </w:pPr>
            <w:r>
              <w:rPr>
                <w:sz w:val="20"/>
                <w:szCs w:val="20"/>
              </w:rPr>
              <w:t xml:space="preserve">26 weeks </w:t>
            </w:r>
            <w:r w:rsidR="000E1116">
              <w:rPr>
                <w:sz w:val="20"/>
                <w:szCs w:val="20"/>
              </w:rPr>
              <w:t>(</w:t>
            </w:r>
            <w:r w:rsidRPr="00CE27F2">
              <w:rPr>
                <w:sz w:val="20"/>
                <w:szCs w:val="20"/>
              </w:rPr>
              <w:t>Study TX-338-2006</w:t>
            </w:r>
            <w:r w:rsidR="000E1116">
              <w:rPr>
                <w:sz w:val="20"/>
                <w:szCs w:val="20"/>
              </w:rPr>
              <w:t>)</w:t>
            </w: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762</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5480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4</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2</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30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16400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130000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85</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50</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70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56100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631000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292</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245</w:t>
            </w:r>
          </w:p>
        </w:tc>
      </w:tr>
      <w:tr w:rsidR="00CE27F2" w:rsidRPr="00CE27F2" w:rsidTr="00CE27F2">
        <w:trPr>
          <w:trHeight w:val="223"/>
        </w:trPr>
        <w:tc>
          <w:tcPr>
            <w:tcW w:w="1140" w:type="dxa"/>
            <w:vMerge w:val="restart"/>
          </w:tcPr>
          <w:p w:rsidR="00CE27F2" w:rsidRPr="00CE27F2" w:rsidRDefault="00CE27F2" w:rsidP="00CE27F2">
            <w:pPr>
              <w:spacing w:line="240" w:lineRule="auto"/>
              <w:ind w:left="0" w:right="0"/>
              <w:rPr>
                <w:sz w:val="20"/>
                <w:szCs w:val="20"/>
              </w:rPr>
            </w:pPr>
            <w:r w:rsidRPr="00CE27F2">
              <w:rPr>
                <w:sz w:val="20"/>
                <w:szCs w:val="20"/>
              </w:rPr>
              <w:t>Dogs</w:t>
            </w:r>
            <w:r>
              <w:rPr>
                <w:sz w:val="20"/>
                <w:szCs w:val="20"/>
              </w:rPr>
              <w:t xml:space="preserve"> </w:t>
            </w:r>
            <w:r w:rsidRPr="00CE27F2">
              <w:rPr>
                <w:sz w:val="20"/>
                <w:szCs w:val="20"/>
              </w:rPr>
              <w:t>(Beagle)</w:t>
            </w:r>
          </w:p>
        </w:tc>
        <w:tc>
          <w:tcPr>
            <w:tcW w:w="1840" w:type="dxa"/>
            <w:vMerge w:val="restart"/>
          </w:tcPr>
          <w:p w:rsidR="00CE27F2" w:rsidRPr="00CE27F2" w:rsidRDefault="00CE27F2" w:rsidP="00CE27F2">
            <w:pPr>
              <w:spacing w:line="240" w:lineRule="auto"/>
              <w:ind w:left="0" w:right="0"/>
              <w:rPr>
                <w:sz w:val="20"/>
                <w:szCs w:val="20"/>
              </w:rPr>
            </w:pPr>
            <w:r w:rsidRPr="00CE27F2">
              <w:rPr>
                <w:sz w:val="20"/>
                <w:szCs w:val="20"/>
              </w:rPr>
              <w:t>2 weeks</w:t>
            </w:r>
            <w:r>
              <w:rPr>
                <w:sz w:val="20"/>
                <w:szCs w:val="20"/>
              </w:rPr>
              <w:t xml:space="preserve"> </w:t>
            </w:r>
            <w:r w:rsidR="000E1116">
              <w:rPr>
                <w:sz w:val="20"/>
                <w:szCs w:val="20"/>
              </w:rPr>
              <w:t>(</w:t>
            </w:r>
            <w:r w:rsidRPr="00CE27F2">
              <w:rPr>
                <w:sz w:val="20"/>
                <w:szCs w:val="20"/>
              </w:rPr>
              <w:t>Study TX-230-2007</w:t>
            </w:r>
            <w:r w:rsidR="000E1116">
              <w:rPr>
                <w:sz w:val="20"/>
                <w:szCs w:val="20"/>
              </w:rPr>
              <w:t>)</w:t>
            </w: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3</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720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2080(T</w:t>
            </w:r>
            <w:r w:rsidR="003925CF">
              <w:rPr>
                <w:sz w:val="20"/>
                <w:szCs w:val="20"/>
              </w:rPr>
              <w:t xml:space="preserve"> = </w:t>
            </w:r>
            <w:r w:rsidRPr="00CE27F2">
              <w:rPr>
                <w:sz w:val="20"/>
                <w:szCs w:val="20"/>
              </w:rPr>
              <w:t>14)</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4</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1</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4550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47500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24</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18</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20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10800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410000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56</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159</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val="restart"/>
          </w:tcPr>
          <w:p w:rsidR="00CE27F2" w:rsidRPr="00CE27F2" w:rsidRDefault="00CE27F2" w:rsidP="00CE27F2">
            <w:pPr>
              <w:spacing w:line="240" w:lineRule="auto"/>
              <w:ind w:left="0" w:right="0"/>
              <w:rPr>
                <w:sz w:val="20"/>
                <w:szCs w:val="20"/>
              </w:rPr>
            </w:pPr>
            <w:r w:rsidRPr="00CE27F2">
              <w:rPr>
                <w:sz w:val="20"/>
                <w:szCs w:val="20"/>
              </w:rPr>
              <w:t>13 weeks</w:t>
            </w:r>
            <w:r>
              <w:rPr>
                <w:sz w:val="20"/>
                <w:szCs w:val="20"/>
              </w:rPr>
              <w:t xml:space="preserve"> </w:t>
            </w:r>
            <w:r w:rsidR="000E1116">
              <w:rPr>
                <w:sz w:val="20"/>
                <w:szCs w:val="20"/>
              </w:rPr>
              <w:t>(</w:t>
            </w:r>
            <w:r w:rsidRPr="00CE27F2">
              <w:rPr>
                <w:sz w:val="20"/>
                <w:szCs w:val="20"/>
              </w:rPr>
              <w:t>Study TX-338-2002</w:t>
            </w:r>
            <w:r w:rsidR="000E1116">
              <w:rPr>
                <w:sz w:val="20"/>
                <w:szCs w:val="20"/>
              </w:rPr>
              <w:t>)</w:t>
            </w: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3</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396</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2330(T</w:t>
            </w:r>
            <w:r w:rsidR="003925CF">
              <w:rPr>
                <w:sz w:val="20"/>
                <w:szCs w:val="20"/>
              </w:rPr>
              <w:t xml:space="preserve"> = </w:t>
            </w:r>
            <w:r w:rsidRPr="00CE27F2">
              <w:rPr>
                <w:sz w:val="20"/>
                <w:szCs w:val="20"/>
              </w:rPr>
              <w:t>17.5)</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2</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1</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9390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94200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49</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37</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15</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18600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246000(T</w:t>
            </w:r>
            <w:r w:rsidR="003925CF">
              <w:rPr>
                <w:sz w:val="20"/>
                <w:szCs w:val="20"/>
              </w:rPr>
              <w:t xml:space="preserve"> = </w:t>
            </w:r>
            <w:r w:rsidRPr="00CE27F2">
              <w:rPr>
                <w:sz w:val="20"/>
                <w:szCs w:val="20"/>
              </w:rPr>
              <w:t>22.5)</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97</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95</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val="restart"/>
          </w:tcPr>
          <w:p w:rsidR="00CE27F2" w:rsidRPr="00CE27F2" w:rsidRDefault="00CE27F2" w:rsidP="00CE27F2">
            <w:pPr>
              <w:spacing w:line="240" w:lineRule="auto"/>
              <w:ind w:left="0" w:right="0"/>
              <w:rPr>
                <w:sz w:val="20"/>
                <w:szCs w:val="20"/>
              </w:rPr>
            </w:pPr>
            <w:r w:rsidRPr="00CE27F2">
              <w:rPr>
                <w:sz w:val="20"/>
                <w:szCs w:val="20"/>
              </w:rPr>
              <w:t>39 weeks</w:t>
            </w:r>
            <w:r w:rsidR="004C5E42">
              <w:rPr>
                <w:sz w:val="20"/>
                <w:szCs w:val="20"/>
              </w:rPr>
              <w:t xml:space="preserve"> </w:t>
            </w:r>
            <w:r w:rsidR="000E1116">
              <w:rPr>
                <w:sz w:val="20"/>
                <w:szCs w:val="20"/>
              </w:rPr>
              <w:t>(</w:t>
            </w:r>
            <w:r w:rsidRPr="00CE27F2">
              <w:rPr>
                <w:sz w:val="20"/>
                <w:szCs w:val="20"/>
              </w:rPr>
              <w:t>Study TX-338-2007</w:t>
            </w:r>
            <w:r w:rsidR="000E1116">
              <w:rPr>
                <w:sz w:val="20"/>
                <w:szCs w:val="20"/>
              </w:rPr>
              <w:t>)</w:t>
            </w: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3</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761</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3200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4</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1</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8610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78200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45</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30</w:t>
            </w:r>
          </w:p>
        </w:tc>
      </w:tr>
      <w:tr w:rsidR="00CE27F2" w:rsidRPr="00CE27F2" w:rsidTr="00CE27F2">
        <w:trPr>
          <w:trHeight w:val="223"/>
        </w:trPr>
        <w:tc>
          <w:tcPr>
            <w:tcW w:w="1140" w:type="dxa"/>
            <w:vMerge/>
          </w:tcPr>
          <w:p w:rsidR="00CE27F2" w:rsidRPr="00CE27F2" w:rsidRDefault="00CE27F2" w:rsidP="00CE27F2">
            <w:pPr>
              <w:spacing w:line="240" w:lineRule="auto"/>
              <w:ind w:left="0" w:right="0"/>
              <w:rPr>
                <w:sz w:val="20"/>
                <w:szCs w:val="20"/>
              </w:rPr>
            </w:pPr>
          </w:p>
        </w:tc>
        <w:tc>
          <w:tcPr>
            <w:tcW w:w="1840" w:type="dxa"/>
            <w:vMerge/>
          </w:tcPr>
          <w:p w:rsidR="00CE27F2" w:rsidRPr="00CE27F2" w:rsidRDefault="00CE27F2" w:rsidP="00CE27F2">
            <w:pPr>
              <w:spacing w:line="240" w:lineRule="auto"/>
              <w:ind w:left="0" w:right="0"/>
              <w:rPr>
                <w:sz w:val="20"/>
                <w:szCs w:val="20"/>
              </w:rPr>
            </w:pP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15</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20700</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253000</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108</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98</w:t>
            </w:r>
          </w:p>
        </w:tc>
      </w:tr>
      <w:tr w:rsidR="00CE27F2" w:rsidRPr="00CE27F2" w:rsidTr="00CE27F2">
        <w:trPr>
          <w:trHeight w:val="223"/>
        </w:trPr>
        <w:tc>
          <w:tcPr>
            <w:tcW w:w="1140" w:type="dxa"/>
          </w:tcPr>
          <w:p w:rsidR="00CE27F2" w:rsidRPr="00CE27F2" w:rsidRDefault="00CE27F2" w:rsidP="00CE27F2">
            <w:pPr>
              <w:spacing w:line="240" w:lineRule="auto"/>
              <w:ind w:left="0" w:right="0"/>
              <w:rPr>
                <w:sz w:val="20"/>
                <w:szCs w:val="20"/>
              </w:rPr>
            </w:pPr>
            <w:r w:rsidRPr="00CE27F2">
              <w:rPr>
                <w:sz w:val="20"/>
                <w:szCs w:val="20"/>
              </w:rPr>
              <w:lastRenderedPageBreak/>
              <w:t>Human</w:t>
            </w:r>
            <w:r>
              <w:rPr>
                <w:sz w:val="20"/>
                <w:szCs w:val="20"/>
              </w:rPr>
              <w:t xml:space="preserve"> </w:t>
            </w:r>
            <w:r w:rsidRPr="00CE27F2">
              <w:rPr>
                <w:sz w:val="20"/>
                <w:szCs w:val="20"/>
              </w:rPr>
              <w:t>(HCV positive patients ± cirrhosis)</w:t>
            </w:r>
          </w:p>
        </w:tc>
        <w:tc>
          <w:tcPr>
            <w:tcW w:w="1840" w:type="dxa"/>
          </w:tcPr>
          <w:p w:rsidR="00CE27F2" w:rsidRPr="00CE27F2" w:rsidRDefault="00CE27F2" w:rsidP="00CE27F2">
            <w:pPr>
              <w:spacing w:line="240" w:lineRule="auto"/>
              <w:ind w:left="0" w:right="0"/>
              <w:rPr>
                <w:sz w:val="20"/>
                <w:szCs w:val="20"/>
              </w:rPr>
            </w:pPr>
            <w:r w:rsidRPr="00CE27F2">
              <w:rPr>
                <w:sz w:val="20"/>
                <w:szCs w:val="20"/>
              </w:rPr>
              <w:t xml:space="preserve">Demographic Population PK Analysis Set from phase 2 and 3 studies </w:t>
            </w:r>
            <w:r w:rsidR="000E1116">
              <w:rPr>
                <w:sz w:val="20"/>
                <w:szCs w:val="20"/>
              </w:rPr>
              <w:t>(</w:t>
            </w:r>
            <w:r w:rsidRPr="00CE27F2">
              <w:rPr>
                <w:sz w:val="20"/>
                <w:szCs w:val="20"/>
              </w:rPr>
              <w:t>Studies GS-US-337-1468, GS-US-367-1168, GS-US-367-1169, GS-US-367-1871, GS-US-367-1170, GS-US-367-1171, GS-US-367-1172, or GS-US-367-1173</w:t>
            </w:r>
            <w:r w:rsidR="000E1116">
              <w:rPr>
                <w:sz w:val="20"/>
                <w:szCs w:val="20"/>
              </w:rPr>
              <w:t>)</w:t>
            </w:r>
          </w:p>
        </w:tc>
        <w:tc>
          <w:tcPr>
            <w:tcW w:w="1313" w:type="dxa"/>
            <w:vAlign w:val="center"/>
          </w:tcPr>
          <w:p w:rsidR="00CE27F2" w:rsidRPr="00CE27F2" w:rsidRDefault="00CE27F2" w:rsidP="00CE27F2">
            <w:pPr>
              <w:spacing w:line="240" w:lineRule="auto"/>
              <w:ind w:left="0" w:right="0"/>
              <w:jc w:val="center"/>
              <w:rPr>
                <w:sz w:val="20"/>
                <w:szCs w:val="20"/>
              </w:rPr>
            </w:pPr>
            <w:r w:rsidRPr="00CE27F2">
              <w:rPr>
                <w:sz w:val="20"/>
                <w:szCs w:val="20"/>
              </w:rPr>
              <w:t>100</w:t>
            </w:r>
            <w:r w:rsidR="00AA5E62">
              <w:rPr>
                <w:sz w:val="20"/>
                <w:szCs w:val="20"/>
              </w:rPr>
              <w:t xml:space="preserve"> mg</w:t>
            </w:r>
          </w:p>
        </w:tc>
        <w:tc>
          <w:tcPr>
            <w:tcW w:w="1235" w:type="dxa"/>
            <w:vAlign w:val="center"/>
          </w:tcPr>
          <w:p w:rsidR="00CE27F2" w:rsidRPr="00CE27F2" w:rsidRDefault="00CE27F2" w:rsidP="00CE27F2">
            <w:pPr>
              <w:spacing w:line="240" w:lineRule="auto"/>
              <w:ind w:left="0" w:right="0"/>
              <w:jc w:val="center"/>
              <w:rPr>
                <w:sz w:val="20"/>
                <w:szCs w:val="20"/>
              </w:rPr>
            </w:pPr>
            <w:r w:rsidRPr="00CE27F2">
              <w:rPr>
                <w:sz w:val="20"/>
                <w:szCs w:val="20"/>
              </w:rPr>
              <w:t>192</w:t>
            </w:r>
          </w:p>
        </w:tc>
        <w:tc>
          <w:tcPr>
            <w:tcW w:w="1297" w:type="dxa"/>
            <w:vAlign w:val="center"/>
          </w:tcPr>
          <w:p w:rsidR="00CE27F2" w:rsidRPr="00CE27F2" w:rsidRDefault="00CE27F2" w:rsidP="00CE27F2">
            <w:pPr>
              <w:spacing w:line="240" w:lineRule="auto"/>
              <w:ind w:left="0" w:right="0"/>
              <w:jc w:val="center"/>
              <w:rPr>
                <w:sz w:val="20"/>
                <w:szCs w:val="20"/>
              </w:rPr>
            </w:pPr>
            <w:r w:rsidRPr="00CE27F2">
              <w:rPr>
                <w:sz w:val="20"/>
                <w:szCs w:val="20"/>
              </w:rPr>
              <w:t>2577</w:t>
            </w:r>
          </w:p>
        </w:tc>
        <w:tc>
          <w:tcPr>
            <w:tcW w:w="1051" w:type="dxa"/>
            <w:vAlign w:val="center"/>
          </w:tcPr>
          <w:p w:rsidR="00CE27F2" w:rsidRPr="00CE27F2" w:rsidRDefault="00CE27F2" w:rsidP="00CE27F2">
            <w:pPr>
              <w:spacing w:line="240" w:lineRule="auto"/>
              <w:ind w:left="0" w:right="0"/>
              <w:jc w:val="center"/>
              <w:rPr>
                <w:sz w:val="20"/>
                <w:szCs w:val="20"/>
              </w:rPr>
            </w:pPr>
            <w:r w:rsidRPr="00CE27F2">
              <w:rPr>
                <w:sz w:val="20"/>
                <w:szCs w:val="20"/>
              </w:rPr>
              <w:t>–</w:t>
            </w:r>
          </w:p>
        </w:tc>
        <w:tc>
          <w:tcPr>
            <w:tcW w:w="1183" w:type="dxa"/>
            <w:vAlign w:val="center"/>
          </w:tcPr>
          <w:p w:rsidR="00CE27F2" w:rsidRPr="00CE27F2" w:rsidRDefault="00CE27F2" w:rsidP="00CE27F2">
            <w:pPr>
              <w:spacing w:line="240" w:lineRule="auto"/>
              <w:ind w:left="0" w:right="0"/>
              <w:jc w:val="center"/>
              <w:rPr>
                <w:sz w:val="20"/>
                <w:szCs w:val="20"/>
              </w:rPr>
            </w:pPr>
            <w:r w:rsidRPr="00CE27F2">
              <w:rPr>
                <w:sz w:val="20"/>
                <w:szCs w:val="20"/>
              </w:rPr>
              <w:t>-</w:t>
            </w:r>
          </w:p>
        </w:tc>
      </w:tr>
    </w:tbl>
    <w:p w:rsidR="004C5E42" w:rsidRPr="00EB69F1" w:rsidRDefault="004C5E42" w:rsidP="004C5E42">
      <w:pPr>
        <w:pStyle w:val="TableDescription"/>
      </w:pPr>
      <w:r w:rsidRPr="00EB69F1">
        <w:rPr>
          <w:position w:val="-2"/>
          <w:vertAlign w:val="superscript"/>
        </w:rPr>
        <w:t>#</w:t>
      </w:r>
      <w:r w:rsidR="003925CF">
        <w:t xml:space="preserve"> = </w:t>
      </w:r>
      <w:r w:rsidRPr="00EB69F1">
        <w:t>animal:</w:t>
      </w:r>
      <w:r>
        <w:t xml:space="preserve"> </w:t>
      </w:r>
      <w:r w:rsidRPr="00EB69F1">
        <w:t>human plasma AUC</w:t>
      </w:r>
      <w:r w:rsidRPr="00EB69F1">
        <w:rPr>
          <w:vertAlign w:val="subscript"/>
        </w:rPr>
        <w:t>0–</w:t>
      </w:r>
      <w:r>
        <w:rPr>
          <w:vertAlign w:val="subscript"/>
        </w:rPr>
        <w:t>24</w:t>
      </w:r>
      <w:proofErr w:type="gramStart"/>
      <w:r w:rsidRPr="00970C2E">
        <w:t>;</w:t>
      </w:r>
      <w:r>
        <w:t>T</w:t>
      </w:r>
      <w:proofErr w:type="gramEnd"/>
      <w:r w:rsidR="003925CF">
        <w:t xml:space="preserve"> = </w:t>
      </w:r>
      <w:r>
        <w:t>last time when quantifiable drug was measured that was not 24 h ^</w:t>
      </w:r>
      <w:r w:rsidR="003925CF">
        <w:t xml:space="preserve"> = </w:t>
      </w:r>
      <w:r>
        <w:t>data are for the sexes combined at the last sampling occasion</w:t>
      </w:r>
    </w:p>
    <w:p w:rsidR="004C5E42" w:rsidRPr="00EB69F1" w:rsidRDefault="004C5E42" w:rsidP="004C5E42">
      <w:pPr>
        <w:pStyle w:val="Heading5"/>
      </w:pPr>
      <w:r w:rsidRPr="00EB69F1">
        <w:t>Major toxicities</w:t>
      </w:r>
    </w:p>
    <w:p w:rsidR="004C5E42" w:rsidRPr="001E5C04" w:rsidRDefault="004C5E42" w:rsidP="004C5E42">
      <w:r w:rsidRPr="001E5C04">
        <w:t xml:space="preserve">The major </w:t>
      </w:r>
      <w:r>
        <w:t>target organs identified with voxilaprevir were the GI tract (non</w:t>
      </w:r>
      <w:r w:rsidR="00AA5E62">
        <w:t>-</w:t>
      </w:r>
      <w:r>
        <w:t>glandular stomach) and bile duct in the rat, and the gall bladder in the dog. Mild haematological changes indicative of mild blood loss in the non</w:t>
      </w:r>
      <w:r w:rsidR="00AA5E62">
        <w:t>-</w:t>
      </w:r>
      <w:r>
        <w:t>glandular stomach and regenerative response was also observed in the rat.</w:t>
      </w:r>
    </w:p>
    <w:p w:rsidR="00476CD0" w:rsidRDefault="004C5E42" w:rsidP="004C5E42">
      <w:r w:rsidRPr="004928C7">
        <w:t xml:space="preserve">Microscopic findings in the rat studies were mainly </w:t>
      </w:r>
      <w:r>
        <w:t>confined to</w:t>
      </w:r>
      <w:r w:rsidRPr="004928C7">
        <w:t xml:space="preserve"> non</w:t>
      </w:r>
      <w:r w:rsidR="00AA5E62">
        <w:t>-</w:t>
      </w:r>
      <w:r w:rsidRPr="004928C7">
        <w:t xml:space="preserve">glandular stomach and included minimal to moderate mixed cell infiltrates and submucosal </w:t>
      </w:r>
      <w:r>
        <w:t>o</w:t>
      </w:r>
      <w:r w:rsidRPr="004928C7">
        <w:t>edema with epithelial hyperplasia/</w:t>
      </w:r>
      <w:r>
        <w:t xml:space="preserve"> </w:t>
      </w:r>
      <w:r w:rsidRPr="004928C7">
        <w:t xml:space="preserve">hyperkeratosis at the highest dose of voxilaprevir tested in </w:t>
      </w:r>
      <w:r>
        <w:t>each of the rat studies</w:t>
      </w:r>
      <w:r w:rsidR="00476CD0">
        <w:t>.</w:t>
      </w:r>
    </w:p>
    <w:p w:rsidR="00476CD0" w:rsidRDefault="004C5E42" w:rsidP="004C5E42">
      <w:r>
        <w:t>In the 5 day dose finding study</w:t>
      </w:r>
      <w:r w:rsidRPr="00E66768">
        <w:t xml:space="preserve"> </w:t>
      </w:r>
      <w:r>
        <w:t xml:space="preserve">in rats adverse findings in the high dose </w:t>
      </w:r>
      <w:r w:rsidRPr="00A722D1">
        <w:t>group (100</w:t>
      </w:r>
      <w:r w:rsidR="00AA5E62">
        <w:t> mg</w:t>
      </w:r>
      <w:r w:rsidRPr="00A722D1">
        <w:t>/kg/day ~</w:t>
      </w:r>
      <w:r w:rsidR="00AA5E62">
        <w:t xml:space="preserve"> </w:t>
      </w:r>
      <w:r w:rsidRPr="00A722D1">
        <w:t>260 x clinical</w:t>
      </w:r>
      <w:r>
        <w:t xml:space="preserve"> AUC</w:t>
      </w:r>
      <w:r w:rsidRPr="00A722D1">
        <w:t>) included microscopic findings of epithelial hyperplas</w:t>
      </w:r>
      <w:r>
        <w:t>ia/hyperkeratosis and inflammation ± erosion/ulceration and haemorrhage in the non</w:t>
      </w:r>
      <w:r w:rsidR="00AA5E62">
        <w:t>-</w:t>
      </w:r>
      <w:r>
        <w:t xml:space="preserve">glandular portion of the stomach that led to decreases in red cells and an inflammatory leukogram with decreased total protein, albumin and globulin. </w:t>
      </w:r>
      <w:r w:rsidRPr="00A2062F">
        <w:t>Since the non</w:t>
      </w:r>
      <w:r w:rsidR="00AA5E62">
        <w:t>-</w:t>
      </w:r>
      <w:r w:rsidRPr="00A2062F">
        <w:t>glandular stomach is a rodent specific organ not present in humans, these changes were not considered clinically relevant.</w:t>
      </w:r>
      <w:r>
        <w:t xml:space="preserve"> </w:t>
      </w:r>
      <w:r w:rsidRPr="00B61C78">
        <w:t>Additional microscopic changes observed included</w:t>
      </w:r>
      <w:r>
        <w:t xml:space="preserve"> </w:t>
      </w:r>
      <w:r w:rsidRPr="00B61C78">
        <w:t>minimal bile duct hyperplasia in female rats in both the 13</w:t>
      </w:r>
      <w:r w:rsidR="00AA5E62">
        <w:t xml:space="preserve"> week</w:t>
      </w:r>
      <w:r w:rsidRPr="00B61C78">
        <w:t xml:space="preserve"> (at 100</w:t>
      </w:r>
      <w:r w:rsidR="00AA5E62">
        <w:t xml:space="preserve"> mg</w:t>
      </w:r>
      <w:r w:rsidRPr="00B61C78">
        <w:t>/kg/day</w:t>
      </w:r>
      <w:r w:rsidR="00AA5E62">
        <w:t>, ~ </w:t>
      </w:r>
      <w:r>
        <w:t>217x clinical AUC</w:t>
      </w:r>
      <w:r w:rsidRPr="00B61C78">
        <w:t>) and</w:t>
      </w:r>
      <w:r>
        <w:t xml:space="preserve"> </w:t>
      </w:r>
      <w:r w:rsidRPr="00B61C78">
        <w:t>26</w:t>
      </w:r>
      <w:r w:rsidR="00AA5E62">
        <w:t xml:space="preserve"> week</w:t>
      </w:r>
      <w:r w:rsidRPr="00B61C78">
        <w:t xml:space="preserve"> (at </w:t>
      </w:r>
      <w:r w:rsidR="00AA5E62">
        <w:t xml:space="preserve">≥ </w:t>
      </w:r>
      <w:r w:rsidRPr="00B61C78">
        <w:t>30</w:t>
      </w:r>
      <w:r w:rsidR="00AA5E62">
        <w:t xml:space="preserve"> mg</w:t>
      </w:r>
      <w:r w:rsidRPr="00B61C78">
        <w:t>/kg/day</w:t>
      </w:r>
      <w:r>
        <w:t>, ~ 50</w:t>
      </w:r>
      <w:r w:rsidR="00AA5E62">
        <w:t xml:space="preserve"> </w:t>
      </w:r>
      <w:r>
        <w:t>x clinical AUC</w:t>
      </w:r>
      <w:r w:rsidRPr="00B61C78">
        <w:t>) studies. Changes in the bile duct were still present at the recovery</w:t>
      </w:r>
      <w:r>
        <w:t xml:space="preserve"> </w:t>
      </w:r>
      <w:r w:rsidRPr="00B61C78">
        <w:t>sacrifice in the high dose group of the 26</w:t>
      </w:r>
      <w:r w:rsidR="00AA5E62">
        <w:t xml:space="preserve"> week</w:t>
      </w:r>
      <w:r w:rsidRPr="00B61C78">
        <w:t xml:space="preserve"> study.</w:t>
      </w:r>
      <w:r>
        <w:t xml:space="preserve"> The toxicological significance of this is uncertain</w:t>
      </w:r>
      <w:r w:rsidR="00476CD0">
        <w:t>.</w:t>
      </w:r>
    </w:p>
    <w:p w:rsidR="00476CD0" w:rsidRDefault="004C5E42" w:rsidP="004C5E42">
      <w:r w:rsidRPr="00916686">
        <w:t xml:space="preserve">Treatment related haematology changes included mild blood loss, erythroid regenerative and inflammatory response and were observed in all the rat repeat dose studies. Secondary changes consistent with increased </w:t>
      </w:r>
      <w:r w:rsidR="00AA5E62" w:rsidRPr="00916686">
        <w:t>haematopoiesis</w:t>
      </w:r>
      <w:r w:rsidRPr="00916686">
        <w:t xml:space="preserve"> included extramedullary </w:t>
      </w:r>
      <w:r w:rsidR="00AA5E62" w:rsidRPr="00916686">
        <w:t>haematopoiesis</w:t>
      </w:r>
      <w:r w:rsidRPr="00916686">
        <w:t xml:space="preserve"> in the spleen, associated with incr</w:t>
      </w:r>
      <w:r w:rsidR="00AA5E62">
        <w:t xml:space="preserve">eased spleen weight and minimal to </w:t>
      </w:r>
      <w:r w:rsidRPr="00916686">
        <w:t>slight increases in cellularity of the bone marrow of th</w:t>
      </w:r>
      <w:r w:rsidR="00AA5E62">
        <w:t>e femur and/or sternum in the 2</w:t>
      </w:r>
      <w:r w:rsidRPr="00916686">
        <w:t xml:space="preserve"> and 13</w:t>
      </w:r>
      <w:r w:rsidR="00AA5E62">
        <w:t xml:space="preserve"> week</w:t>
      </w:r>
      <w:r w:rsidRPr="00916686">
        <w:t xml:space="preserve"> studies.</w:t>
      </w:r>
      <w:r w:rsidR="00476CD0">
        <w:t xml:space="preserve"> </w:t>
      </w:r>
      <w:r w:rsidRPr="00916686">
        <w:t>An increase in rat liver weights at 100</w:t>
      </w:r>
      <w:r w:rsidR="00AA5E62">
        <w:t xml:space="preserve"> mg/kg/day in the 2</w:t>
      </w:r>
      <w:r w:rsidRPr="00916686">
        <w:t xml:space="preserve"> and 13</w:t>
      </w:r>
      <w:r w:rsidR="00856FEB">
        <w:t> </w:t>
      </w:r>
      <w:r w:rsidR="00AA5E62">
        <w:t>week</w:t>
      </w:r>
      <w:r w:rsidRPr="00916686">
        <w:t xml:space="preserve"> studies and 70</w:t>
      </w:r>
      <w:r w:rsidR="00AA5E62">
        <w:t xml:space="preserve"> mg</w:t>
      </w:r>
      <w:r w:rsidRPr="00916686">
        <w:t>/kg/day in the 26</w:t>
      </w:r>
      <w:r w:rsidR="00AA5E62">
        <w:t xml:space="preserve"> week</w:t>
      </w:r>
      <w:r w:rsidRPr="00916686">
        <w:t xml:space="preserve"> study was associated with minimally to mildly highe</w:t>
      </w:r>
      <w:r w:rsidR="00AA5E62">
        <w:t xml:space="preserve">r bilirubin concentrations (0.6 to </w:t>
      </w:r>
      <w:r w:rsidRPr="00916686">
        <w:t>0.7</w:t>
      </w:r>
      <w:r w:rsidR="00AA5E62">
        <w:t xml:space="preserve"> mg</w:t>
      </w:r>
      <w:r w:rsidRPr="00916686">
        <w:t>/</w:t>
      </w:r>
      <w:proofErr w:type="spellStart"/>
      <w:r w:rsidRPr="00916686">
        <w:t>dL</w:t>
      </w:r>
      <w:proofErr w:type="spellEnd"/>
      <w:r w:rsidRPr="00916686">
        <w:t xml:space="preserve"> </w:t>
      </w:r>
      <w:r w:rsidR="00AA5E62">
        <w:t>versus</w:t>
      </w:r>
      <w:r w:rsidRPr="00916686">
        <w:t xml:space="preserve"> 0.1</w:t>
      </w:r>
      <w:r w:rsidR="00AA5E62">
        <w:t xml:space="preserve"> mg</w:t>
      </w:r>
      <w:r w:rsidRPr="00916686">
        <w:t>/</w:t>
      </w:r>
      <w:proofErr w:type="spellStart"/>
      <w:r w:rsidRPr="00916686">
        <w:t>dL</w:t>
      </w:r>
      <w:proofErr w:type="spellEnd"/>
      <w:r w:rsidRPr="00916686">
        <w:t xml:space="preserve"> in controls), which was likely to be associated with organic anion tran</w:t>
      </w:r>
      <w:r w:rsidR="00AA5E62">
        <w:t>sporting polypeptide inhibition</w:t>
      </w:r>
      <w:r w:rsidRPr="00916686">
        <w:t xml:space="preserve"> or with the observed minimal bile duct hyperplasia observed in females and was not considered adverse. High urine volumes and lower </w:t>
      </w:r>
      <w:r w:rsidR="00AA5E62">
        <w:t>urine specific gravity in the 2, 13</w:t>
      </w:r>
      <w:r w:rsidRPr="00916686">
        <w:t>, and 26</w:t>
      </w:r>
      <w:r w:rsidR="00AA5E62">
        <w:t xml:space="preserve"> week</w:t>
      </w:r>
      <w:r w:rsidRPr="00916686">
        <w:t xml:space="preserve"> studies were associated with increased kidney weights in males in the 2week </w:t>
      </w:r>
      <w:r w:rsidRPr="00916686">
        <w:lastRenderedPageBreak/>
        <w:t>study and females in the 13</w:t>
      </w:r>
      <w:r w:rsidR="00AA5E62">
        <w:t xml:space="preserve"> week</w:t>
      </w:r>
      <w:r w:rsidRPr="00916686">
        <w:t xml:space="preserve"> study at 100</w:t>
      </w:r>
      <w:r w:rsidR="00AA5E62">
        <w:t xml:space="preserve"> mg</w:t>
      </w:r>
      <w:r w:rsidRPr="00916686">
        <w:t>/kg/day; however lack of microscopic correlates was indicative of non-adverse effect. Similar changes in kidney weights were not observed in the 26</w:t>
      </w:r>
      <w:r w:rsidR="00AA5E62">
        <w:t xml:space="preserve"> week</w:t>
      </w:r>
      <w:r w:rsidRPr="00916686">
        <w:t xml:space="preserve"> study</w:t>
      </w:r>
      <w:r w:rsidR="00476CD0">
        <w:t>.</w:t>
      </w:r>
    </w:p>
    <w:p w:rsidR="00476CD0" w:rsidRDefault="004C5E42" w:rsidP="004C5E42">
      <w:r>
        <w:t xml:space="preserve">In dogs vomitus containing food was observed in all the repeat dose studies (2, </w:t>
      </w:r>
      <w:r w:rsidRPr="00C35EA5">
        <w:t>13</w:t>
      </w:r>
      <w:r>
        <w:t xml:space="preserve"> and 39</w:t>
      </w:r>
      <w:r w:rsidR="00020AA8">
        <w:t> </w:t>
      </w:r>
      <w:r>
        <w:t xml:space="preserve">week), mainly at the high dose. In the 2 weeks study vomitus was associated with reduced food intake and weight loss </w:t>
      </w:r>
      <w:r w:rsidRPr="00C35EA5">
        <w:t>in female animals</w:t>
      </w:r>
      <w:r>
        <w:t xml:space="preserve"> only</w:t>
      </w:r>
      <w:r w:rsidRPr="00C35EA5">
        <w:t xml:space="preserve"> </w:t>
      </w:r>
      <w:r>
        <w:t>and was considered an adverse reaction. However no effects on body weight were seen in the other two studies (even though in the 39 week study low qualitative food consumption was noted at the high dose). Minor non adverse clinical pathology findings included higher total bilirubin (0.1</w:t>
      </w:r>
      <w:r w:rsidR="00AA5E62">
        <w:t> mg</w:t>
      </w:r>
      <w:r>
        <w:t>/</w:t>
      </w:r>
      <w:proofErr w:type="spellStart"/>
      <w:r>
        <w:t>dL</w:t>
      </w:r>
      <w:proofErr w:type="spellEnd"/>
      <w:r>
        <w:t xml:space="preserve"> </w:t>
      </w:r>
      <w:r w:rsidR="00AA5E62">
        <w:t>versus</w:t>
      </w:r>
      <w:r>
        <w:t xml:space="preserve"> ≤ 0.1</w:t>
      </w:r>
      <w:r w:rsidR="00AA5E62">
        <w:t xml:space="preserve"> mg</w:t>
      </w:r>
      <w:r>
        <w:t>/</w:t>
      </w:r>
      <w:proofErr w:type="spellStart"/>
      <w:r>
        <w:t>dL</w:t>
      </w:r>
      <w:proofErr w:type="spellEnd"/>
      <w:r>
        <w:t xml:space="preserve"> in controls) in both males and females and increased urobilinogen (5 fold) concentration in females in the high dose group in the 2 week study</w:t>
      </w:r>
      <w:r w:rsidR="00476CD0">
        <w:t>.</w:t>
      </w:r>
    </w:p>
    <w:p w:rsidR="004C5E42" w:rsidRDefault="004C5E42" w:rsidP="004C5E42">
      <w:r>
        <w:t xml:space="preserve">Treatment related microscopic findings were mainly observed in the gall bladder in all three dog studies and included minimal to slight epithelial vacuolation in animals administered </w:t>
      </w:r>
      <w:r w:rsidR="00AA5E62">
        <w:t xml:space="preserve">≥ </w:t>
      </w:r>
      <w:r>
        <w:t>3</w:t>
      </w:r>
      <w:r w:rsidR="00AA5E62">
        <w:t xml:space="preserve"> mg</w:t>
      </w:r>
      <w:r>
        <w:t>/kg/day (~</w:t>
      </w:r>
      <w:r w:rsidR="00AA5E62">
        <w:t xml:space="preserve"> ≥ </w:t>
      </w:r>
      <w:r>
        <w:t xml:space="preserve">1x the clinical AUC) and minimal to slight epithelial hyperplasia observed in animals administered </w:t>
      </w:r>
      <w:r w:rsidR="00AA5E62">
        <w:t xml:space="preserve">≥ </w:t>
      </w:r>
      <w:r>
        <w:t>10</w:t>
      </w:r>
      <w:r w:rsidR="00AA5E62">
        <w:t xml:space="preserve"> mg</w:t>
      </w:r>
      <w:r>
        <w:t>/kg/day (~</w:t>
      </w:r>
      <w:r w:rsidR="00AA5E62">
        <w:t xml:space="preserve"> ≥ </w:t>
      </w:r>
      <w:r>
        <w:t>30</w:t>
      </w:r>
      <w:r w:rsidR="00AA5E62">
        <w:t xml:space="preserve"> </w:t>
      </w:r>
      <w:r>
        <w:t xml:space="preserve">x the clinical AUC) which was only partially reversed at the end of recovery. </w:t>
      </w:r>
      <w:r w:rsidRPr="002A2BF5">
        <w:t>The rat does not have a gall bladder, so is not a suitable model for investigating gall bladder toxicity</w:t>
      </w:r>
      <w:r>
        <w:t xml:space="preserve"> and no studies were provided in mice</w:t>
      </w:r>
      <w:r w:rsidRPr="002A2BF5">
        <w:t>.</w:t>
      </w:r>
      <w:r>
        <w:t xml:space="preserve"> High liver to plasma concentration ratio of voxilaprevir is likely to be the cause of this lower severity adverse gall bladder toxicity.</w:t>
      </w:r>
    </w:p>
    <w:p w:rsidR="004C5E42" w:rsidRDefault="004C5E42" w:rsidP="004C5E42">
      <w:r>
        <w:t>Other findings in the 13 week dog study included minimal increase in tubule epithelial cell vacuolation in kid</w:t>
      </w:r>
      <w:r w:rsidR="00AA5E62">
        <w:t xml:space="preserve">neys of animals administered 10 to </w:t>
      </w:r>
      <w:r>
        <w:t>15</w:t>
      </w:r>
      <w:r w:rsidR="00AA5E62">
        <w:t xml:space="preserve"> mg</w:t>
      </w:r>
      <w:r>
        <w:t>/kg/day. Minimal to slight neutrophilic infiltrate, haemorrhage and erosion were also observed in the cecum and rectum. Interestingly none of the findings in kidney, cecum and rectum were observed in the 39 week study.</w:t>
      </w:r>
      <w:r w:rsidR="00476CD0">
        <w:t xml:space="preserve"> </w:t>
      </w:r>
      <w:r>
        <w:t>Since the finding in the, kidney, cecum or rectum had no impact on the health of the dogs and due absence of correlating clinical pathology findings these finding were considered non adverse.</w:t>
      </w:r>
    </w:p>
    <w:p w:rsidR="004C5E42" w:rsidRPr="00EB69F1" w:rsidRDefault="004C5E42" w:rsidP="004C5E42">
      <w:pPr>
        <w:pStyle w:val="Heading4"/>
      </w:pPr>
      <w:bookmarkStart w:id="59" w:name="_Toc294861729"/>
      <w:r w:rsidRPr="00EB69F1">
        <w:t>Genotoxicity</w:t>
      </w:r>
      <w:bookmarkEnd w:id="59"/>
    </w:p>
    <w:p w:rsidR="004C5E42" w:rsidRPr="00261033" w:rsidRDefault="004C5E42" w:rsidP="004C5E42">
      <w:r w:rsidRPr="00261033">
        <w:t>V</w:t>
      </w:r>
      <w:r>
        <w:t xml:space="preserve">oxilaprevir was evaluated for its potential </w:t>
      </w:r>
      <w:r w:rsidRPr="00261033">
        <w:t xml:space="preserve">to induce reverse mutations in </w:t>
      </w:r>
      <w:r w:rsidRPr="00261033">
        <w:rPr>
          <w:i/>
        </w:rPr>
        <w:t>S. typhimurium</w:t>
      </w:r>
      <w:r w:rsidRPr="00261033">
        <w:t xml:space="preserve"> and </w:t>
      </w:r>
      <w:r w:rsidRPr="00261033">
        <w:rPr>
          <w:i/>
        </w:rPr>
        <w:t>E. coli</w:t>
      </w:r>
      <w:r w:rsidRPr="00261033">
        <w:t xml:space="preserve">, its mutagenic potential </w:t>
      </w:r>
      <w:r w:rsidRPr="00856FEB">
        <w:rPr>
          <w:i/>
        </w:rPr>
        <w:t>in vitro</w:t>
      </w:r>
      <w:r w:rsidRPr="00020AA8">
        <w:t xml:space="preserve"> </w:t>
      </w:r>
      <w:r w:rsidRPr="00261033">
        <w:t xml:space="preserve">in primary human lymphocytes, and its mutagenic potential </w:t>
      </w:r>
      <w:r w:rsidRPr="00856FEB">
        <w:rPr>
          <w:i/>
        </w:rPr>
        <w:t>in vivo</w:t>
      </w:r>
      <w:r w:rsidRPr="00020AA8">
        <w:t xml:space="preserve"> </w:t>
      </w:r>
      <w:r w:rsidRPr="00261033">
        <w:t xml:space="preserve">in a </w:t>
      </w:r>
      <w:r>
        <w:t>mice</w:t>
      </w:r>
      <w:r w:rsidRPr="00261033">
        <w:t xml:space="preserve"> bone marrow micronucleus study</w:t>
      </w:r>
      <w:r w:rsidR="00AA5E62">
        <w:t>.</w:t>
      </w:r>
      <w:r w:rsidR="00AA5E62">
        <w:rPr>
          <w:rStyle w:val="FootnoteReference"/>
        </w:rPr>
        <w:footnoteReference w:id="11"/>
      </w:r>
      <w:r>
        <w:t xml:space="preserve"> Voxilaprevir was</w:t>
      </w:r>
      <w:r w:rsidRPr="00261033">
        <w:t xml:space="preserve"> negative in all the tests and is unlikely to pose a mutagenic or clastogenic risk to humans.</w:t>
      </w:r>
    </w:p>
    <w:p w:rsidR="004C5E42" w:rsidRPr="00EB69F1" w:rsidRDefault="004C5E42" w:rsidP="004C5E42">
      <w:pPr>
        <w:pStyle w:val="Heading4"/>
      </w:pPr>
      <w:bookmarkStart w:id="60" w:name="_Toc294861730"/>
      <w:r w:rsidRPr="00EB69F1">
        <w:t>Carcinogenicity</w:t>
      </w:r>
      <w:bookmarkEnd w:id="60"/>
    </w:p>
    <w:p w:rsidR="004C5E42" w:rsidRPr="00261033" w:rsidRDefault="004C5E42" w:rsidP="004C5E42">
      <w:r>
        <w:t>No carcinogenicity studies on voxilaprevir were submitted or required, and as treatment with voxilaprevir containing regimens is for less than 6 months, it is acceptable according to the</w:t>
      </w:r>
      <w:r w:rsidRPr="00707CE8">
        <w:t xml:space="preserve"> ICH S1A</w:t>
      </w:r>
      <w:r>
        <w:t xml:space="preserve"> guidelines</w:t>
      </w:r>
      <w:r w:rsidRPr="005C4B94">
        <w:t>.</w:t>
      </w:r>
      <w:r w:rsidR="00020AA8">
        <w:rPr>
          <w:rStyle w:val="FootnoteReference"/>
        </w:rPr>
        <w:footnoteReference w:id="12"/>
      </w:r>
      <w:r w:rsidRPr="005C4B94">
        <w:t xml:space="preserve"> A 26 week carcinogenicity study of velpatasvir in transgenic mice showing absence of carcinogenicity was provided in response to a request</w:t>
      </w:r>
      <w:r w:rsidR="00062A08">
        <w:t xml:space="preserve"> for information</w:t>
      </w:r>
      <w:r w:rsidRPr="005C4B94">
        <w:t>.</w:t>
      </w:r>
    </w:p>
    <w:p w:rsidR="004C5E42" w:rsidRPr="00EB69F1" w:rsidRDefault="004C5E42" w:rsidP="004C5E42">
      <w:pPr>
        <w:pStyle w:val="Heading4"/>
      </w:pPr>
      <w:r w:rsidRPr="00EB69F1">
        <w:t>Reproductive toxicity</w:t>
      </w:r>
    </w:p>
    <w:p w:rsidR="004C5E42" w:rsidRDefault="004C5E42" w:rsidP="004C5E42">
      <w:r>
        <w:t>Reproductive toxicity was assessed in rats and rabbits in GLP compliant studies. The studies investigated potential effects on male and female fertility in rats, embryofetal toxicity (rats and rabbits) and pre-/postnatal development (rats). Adequate animal numbers were used in the pivotal studies and treatment periods were appropriate.</w:t>
      </w:r>
    </w:p>
    <w:p w:rsidR="004C5E42" w:rsidRDefault="004C5E42" w:rsidP="004C5E42">
      <w:pPr>
        <w:pStyle w:val="Heading5"/>
      </w:pPr>
      <w:r w:rsidRPr="00EB69F1">
        <w:lastRenderedPageBreak/>
        <w:t>Relative exposure</w:t>
      </w:r>
    </w:p>
    <w:p w:rsidR="004C5E42" w:rsidRPr="004C5E42" w:rsidRDefault="00AC0F8C" w:rsidP="004C5E42">
      <w:pPr>
        <w:pStyle w:val="TableTitle"/>
      </w:pPr>
      <w:r>
        <w:t>Table 6:</w:t>
      </w:r>
      <w:r w:rsidR="004C5E42" w:rsidRPr="004C5E42">
        <w:t xml:space="preserve"> Relative exposure in reproductive toxicity studies</w:t>
      </w:r>
    </w:p>
    <w:tbl>
      <w:tblPr>
        <w:tblStyle w:val="TableTGAblue"/>
        <w:tblW w:w="8685" w:type="dxa"/>
        <w:tblLayout w:type="fixed"/>
        <w:tblLook w:val="01E0" w:firstRow="1" w:lastRow="1" w:firstColumn="1" w:lastColumn="1" w:noHBand="0" w:noVBand="0"/>
      </w:tblPr>
      <w:tblGrid>
        <w:gridCol w:w="1818"/>
        <w:gridCol w:w="1817"/>
        <w:gridCol w:w="1684"/>
        <w:gridCol w:w="1683"/>
        <w:gridCol w:w="1683"/>
      </w:tblGrid>
      <w:tr w:rsidR="004C5E42" w:rsidRPr="004C5E42" w:rsidTr="00856FEB">
        <w:trPr>
          <w:cnfStyle w:val="100000000000" w:firstRow="1" w:lastRow="0" w:firstColumn="0" w:lastColumn="0" w:oddVBand="0" w:evenVBand="0" w:oddHBand="0" w:evenHBand="0" w:firstRowFirstColumn="0" w:firstRowLastColumn="0" w:lastRowFirstColumn="0" w:lastRowLastColumn="0"/>
          <w:trHeight w:val="1791"/>
        </w:trPr>
        <w:tc>
          <w:tcPr>
            <w:tcW w:w="1818" w:type="dxa"/>
          </w:tcPr>
          <w:p w:rsidR="004C5E42" w:rsidRPr="004C5E42" w:rsidRDefault="004C5E42" w:rsidP="004C5E42">
            <w:pPr>
              <w:ind w:left="0"/>
              <w:rPr>
                <w:sz w:val="20"/>
                <w:szCs w:val="20"/>
              </w:rPr>
            </w:pPr>
            <w:r w:rsidRPr="004C5E42">
              <w:rPr>
                <w:sz w:val="20"/>
                <w:szCs w:val="20"/>
              </w:rPr>
              <w:t>Species</w:t>
            </w:r>
          </w:p>
        </w:tc>
        <w:tc>
          <w:tcPr>
            <w:tcW w:w="1817" w:type="dxa"/>
          </w:tcPr>
          <w:p w:rsidR="00EA5261" w:rsidRDefault="004C5E42" w:rsidP="004C5E42">
            <w:pPr>
              <w:ind w:left="0"/>
              <w:rPr>
                <w:sz w:val="20"/>
                <w:szCs w:val="20"/>
              </w:rPr>
            </w:pPr>
            <w:r w:rsidRPr="004C5E42">
              <w:rPr>
                <w:sz w:val="20"/>
                <w:szCs w:val="20"/>
              </w:rPr>
              <w:t>Study</w:t>
            </w:r>
            <w:r w:rsidR="004B51BC">
              <w:rPr>
                <w:sz w:val="20"/>
                <w:szCs w:val="20"/>
              </w:rPr>
              <w:t xml:space="preserve"> </w:t>
            </w:r>
          </w:p>
          <w:p w:rsidR="004C5E42" w:rsidRPr="004C5E42" w:rsidRDefault="000E1116" w:rsidP="004C5E42">
            <w:pPr>
              <w:ind w:left="0"/>
              <w:rPr>
                <w:sz w:val="20"/>
                <w:szCs w:val="20"/>
              </w:rPr>
            </w:pPr>
            <w:r>
              <w:rPr>
                <w:sz w:val="20"/>
                <w:szCs w:val="20"/>
              </w:rPr>
              <w:t>(</w:t>
            </w:r>
            <w:r w:rsidR="004C5E42" w:rsidRPr="004C5E42">
              <w:rPr>
                <w:sz w:val="20"/>
                <w:szCs w:val="20"/>
              </w:rPr>
              <w:t>Study no.</w:t>
            </w:r>
            <w:r>
              <w:rPr>
                <w:sz w:val="20"/>
                <w:szCs w:val="20"/>
              </w:rPr>
              <w:t>)</w:t>
            </w:r>
          </w:p>
        </w:tc>
        <w:tc>
          <w:tcPr>
            <w:tcW w:w="1684" w:type="dxa"/>
          </w:tcPr>
          <w:p w:rsidR="00EA5261" w:rsidRDefault="004C5E42" w:rsidP="004C5E42">
            <w:pPr>
              <w:ind w:left="0"/>
              <w:rPr>
                <w:sz w:val="20"/>
                <w:szCs w:val="20"/>
              </w:rPr>
            </w:pPr>
            <w:r>
              <w:rPr>
                <w:sz w:val="20"/>
                <w:szCs w:val="20"/>
              </w:rPr>
              <w:t>Dose</w:t>
            </w:r>
          </w:p>
          <w:p w:rsidR="004C5E42" w:rsidRPr="004C5E42" w:rsidRDefault="004C5E42" w:rsidP="004C5E42">
            <w:pPr>
              <w:ind w:left="0"/>
              <w:rPr>
                <w:sz w:val="20"/>
                <w:szCs w:val="20"/>
              </w:rPr>
            </w:pPr>
            <w:r w:rsidRPr="004C5E42">
              <w:rPr>
                <w:sz w:val="20"/>
                <w:szCs w:val="20"/>
              </w:rPr>
              <w:t>(</w:t>
            </w:r>
            <w:r w:rsidR="00AA5E62">
              <w:rPr>
                <w:sz w:val="20"/>
                <w:szCs w:val="20"/>
              </w:rPr>
              <w:t>mg</w:t>
            </w:r>
            <w:r w:rsidRPr="004C5E42">
              <w:rPr>
                <w:sz w:val="20"/>
                <w:szCs w:val="20"/>
              </w:rPr>
              <w:t>/kg/day)</w:t>
            </w:r>
          </w:p>
        </w:tc>
        <w:tc>
          <w:tcPr>
            <w:tcW w:w="1683" w:type="dxa"/>
          </w:tcPr>
          <w:p w:rsidR="00EA5261" w:rsidRDefault="004C5E42" w:rsidP="004C5E42">
            <w:pPr>
              <w:ind w:left="0"/>
              <w:rPr>
                <w:sz w:val="20"/>
                <w:szCs w:val="20"/>
              </w:rPr>
            </w:pPr>
            <w:r w:rsidRPr="004C5E42">
              <w:rPr>
                <w:sz w:val="20"/>
                <w:szCs w:val="20"/>
              </w:rPr>
              <w:t>AUC0–24 h</w:t>
            </w:r>
          </w:p>
          <w:p w:rsidR="004C5E42" w:rsidRPr="004C5E42" w:rsidRDefault="004C5E42" w:rsidP="004C5E42">
            <w:pPr>
              <w:ind w:left="0"/>
              <w:rPr>
                <w:sz w:val="20"/>
                <w:szCs w:val="20"/>
              </w:rPr>
            </w:pPr>
            <w:r w:rsidRPr="004C5E42">
              <w:rPr>
                <w:sz w:val="20"/>
                <w:szCs w:val="20"/>
              </w:rPr>
              <w:t>(</w:t>
            </w:r>
            <w:proofErr w:type="spellStart"/>
            <w:r w:rsidRPr="004C5E42">
              <w:rPr>
                <w:sz w:val="20"/>
                <w:szCs w:val="20"/>
              </w:rPr>
              <w:t>ng∙h</w:t>
            </w:r>
            <w:proofErr w:type="spellEnd"/>
            <w:r w:rsidRPr="004C5E42">
              <w:rPr>
                <w:sz w:val="20"/>
                <w:szCs w:val="20"/>
              </w:rPr>
              <w:t>/mL)</w:t>
            </w:r>
          </w:p>
        </w:tc>
        <w:tc>
          <w:tcPr>
            <w:tcW w:w="1683" w:type="dxa"/>
          </w:tcPr>
          <w:p w:rsidR="004C5E42" w:rsidRPr="004C5E42" w:rsidRDefault="004C5E42" w:rsidP="004C5E42">
            <w:pPr>
              <w:ind w:left="0"/>
              <w:rPr>
                <w:sz w:val="20"/>
                <w:szCs w:val="20"/>
              </w:rPr>
            </w:pPr>
            <w:r w:rsidRPr="004C5E42">
              <w:rPr>
                <w:sz w:val="20"/>
                <w:szCs w:val="20"/>
              </w:rPr>
              <w:t>Exposure ratio#</w:t>
            </w:r>
          </w:p>
        </w:tc>
      </w:tr>
      <w:tr w:rsidR="004C5E42" w:rsidRPr="004C5E42" w:rsidTr="00856FEB">
        <w:trPr>
          <w:trHeight w:val="493"/>
        </w:trPr>
        <w:tc>
          <w:tcPr>
            <w:tcW w:w="1818" w:type="dxa"/>
            <w:vMerge w:val="restart"/>
          </w:tcPr>
          <w:p w:rsidR="004C5E42" w:rsidRPr="004C5E42" w:rsidRDefault="004C5E42" w:rsidP="004C5E42">
            <w:pPr>
              <w:ind w:left="0"/>
              <w:rPr>
                <w:sz w:val="20"/>
                <w:szCs w:val="20"/>
              </w:rPr>
            </w:pPr>
            <w:r w:rsidRPr="004C5E42">
              <w:rPr>
                <w:sz w:val="20"/>
                <w:szCs w:val="20"/>
              </w:rPr>
              <w:t>Rat</w:t>
            </w:r>
            <w:r>
              <w:rPr>
                <w:sz w:val="20"/>
                <w:szCs w:val="20"/>
              </w:rPr>
              <w:t xml:space="preserve"> </w:t>
            </w:r>
            <w:r w:rsidRPr="004C5E42">
              <w:rPr>
                <w:sz w:val="20"/>
                <w:szCs w:val="20"/>
              </w:rPr>
              <w:t>(SD)</w:t>
            </w:r>
          </w:p>
        </w:tc>
        <w:tc>
          <w:tcPr>
            <w:tcW w:w="1817" w:type="dxa"/>
            <w:vMerge w:val="restart"/>
          </w:tcPr>
          <w:p w:rsidR="004C5E42" w:rsidRPr="004C5E42" w:rsidRDefault="004C5E42" w:rsidP="004C5E42">
            <w:pPr>
              <w:ind w:left="0"/>
              <w:rPr>
                <w:sz w:val="20"/>
                <w:szCs w:val="20"/>
              </w:rPr>
            </w:pPr>
            <w:r>
              <w:rPr>
                <w:sz w:val="20"/>
                <w:szCs w:val="20"/>
              </w:rPr>
              <w:t xml:space="preserve">Fertility </w:t>
            </w:r>
            <w:r w:rsidR="000E1116">
              <w:rPr>
                <w:sz w:val="20"/>
                <w:szCs w:val="20"/>
              </w:rPr>
              <w:t>(</w:t>
            </w:r>
            <w:r w:rsidRPr="004C5E42">
              <w:rPr>
                <w:sz w:val="20"/>
                <w:szCs w:val="20"/>
              </w:rPr>
              <w:t>TX-338-2010</w:t>
            </w:r>
            <w:r w:rsidR="000E1116">
              <w:rPr>
                <w:sz w:val="20"/>
                <w:szCs w:val="20"/>
              </w:rPr>
              <w:t>)</w:t>
            </w:r>
            <w:r>
              <w:rPr>
                <w:sz w:val="20"/>
                <w:szCs w:val="20"/>
              </w:rPr>
              <w:t xml:space="preserve"> </w:t>
            </w:r>
            <w:r>
              <w:rPr>
                <w:rFonts w:ascii="Times New Roman" w:hAnsi="Times New Roman"/>
                <w:sz w:val="20"/>
                <w:szCs w:val="20"/>
              </w:rPr>
              <w:t>Male</w:t>
            </w:r>
          </w:p>
        </w:tc>
        <w:tc>
          <w:tcPr>
            <w:tcW w:w="1684" w:type="dxa"/>
            <w:vAlign w:val="center"/>
          </w:tcPr>
          <w:p w:rsidR="004C5E42" w:rsidRPr="004C5E42" w:rsidRDefault="004C5E42" w:rsidP="004C5E42">
            <w:pPr>
              <w:ind w:left="0"/>
              <w:jc w:val="center"/>
              <w:rPr>
                <w:sz w:val="20"/>
                <w:szCs w:val="20"/>
              </w:rPr>
            </w:pPr>
            <w:r w:rsidRPr="004C5E42">
              <w:rPr>
                <w:sz w:val="20"/>
                <w:szCs w:val="20"/>
              </w:rPr>
              <w:t>10</w:t>
            </w:r>
          </w:p>
        </w:tc>
        <w:tc>
          <w:tcPr>
            <w:tcW w:w="1683" w:type="dxa"/>
            <w:vAlign w:val="center"/>
          </w:tcPr>
          <w:p w:rsidR="004C5E42" w:rsidRPr="004C5E42" w:rsidRDefault="004C5E42" w:rsidP="004C5E42">
            <w:pPr>
              <w:ind w:left="0"/>
              <w:jc w:val="center"/>
              <w:rPr>
                <w:sz w:val="20"/>
                <w:szCs w:val="20"/>
              </w:rPr>
            </w:pPr>
            <w:r w:rsidRPr="004C5E42">
              <w:rPr>
                <w:sz w:val="20"/>
                <w:szCs w:val="20"/>
              </w:rPr>
              <w:t>3610</w:t>
            </w:r>
          </w:p>
        </w:tc>
        <w:tc>
          <w:tcPr>
            <w:tcW w:w="1683" w:type="dxa"/>
            <w:vAlign w:val="center"/>
          </w:tcPr>
          <w:p w:rsidR="004C5E42" w:rsidRPr="004C5E42" w:rsidRDefault="004C5E42" w:rsidP="004C5E42">
            <w:pPr>
              <w:ind w:left="0"/>
              <w:jc w:val="center"/>
              <w:rPr>
                <w:sz w:val="20"/>
                <w:szCs w:val="20"/>
              </w:rPr>
            </w:pPr>
            <w:r w:rsidRPr="004C5E42">
              <w:rPr>
                <w:sz w:val="20"/>
                <w:szCs w:val="20"/>
              </w:rPr>
              <w:t>1</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30</w:t>
            </w:r>
          </w:p>
        </w:tc>
        <w:tc>
          <w:tcPr>
            <w:tcW w:w="1683" w:type="dxa"/>
            <w:vAlign w:val="center"/>
          </w:tcPr>
          <w:p w:rsidR="004C5E42" w:rsidRPr="004C5E42" w:rsidRDefault="004C5E42" w:rsidP="004C5E42">
            <w:pPr>
              <w:ind w:left="0"/>
              <w:jc w:val="center"/>
              <w:rPr>
                <w:sz w:val="20"/>
                <w:szCs w:val="20"/>
              </w:rPr>
            </w:pPr>
            <w:r w:rsidRPr="004C5E42">
              <w:rPr>
                <w:sz w:val="20"/>
                <w:szCs w:val="20"/>
              </w:rPr>
              <w:t>64000</w:t>
            </w:r>
          </w:p>
        </w:tc>
        <w:tc>
          <w:tcPr>
            <w:tcW w:w="1683" w:type="dxa"/>
            <w:vAlign w:val="center"/>
          </w:tcPr>
          <w:p w:rsidR="004C5E42" w:rsidRPr="004C5E42" w:rsidRDefault="004C5E42" w:rsidP="004C5E42">
            <w:pPr>
              <w:ind w:left="0"/>
              <w:jc w:val="center"/>
              <w:rPr>
                <w:sz w:val="20"/>
                <w:szCs w:val="20"/>
              </w:rPr>
            </w:pPr>
            <w:r w:rsidRPr="004C5E42">
              <w:rPr>
                <w:sz w:val="20"/>
                <w:szCs w:val="20"/>
              </w:rPr>
              <w:t>25</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100</w:t>
            </w:r>
          </w:p>
        </w:tc>
        <w:tc>
          <w:tcPr>
            <w:tcW w:w="1683" w:type="dxa"/>
            <w:vAlign w:val="center"/>
          </w:tcPr>
          <w:p w:rsidR="004C5E42" w:rsidRPr="004C5E42" w:rsidRDefault="004C5E42" w:rsidP="004C5E42">
            <w:pPr>
              <w:ind w:left="0"/>
              <w:jc w:val="center"/>
              <w:rPr>
                <w:sz w:val="20"/>
                <w:szCs w:val="20"/>
              </w:rPr>
            </w:pPr>
            <w:r w:rsidRPr="004C5E42">
              <w:rPr>
                <w:sz w:val="20"/>
                <w:szCs w:val="20"/>
              </w:rPr>
              <w:t>333000</w:t>
            </w:r>
          </w:p>
        </w:tc>
        <w:tc>
          <w:tcPr>
            <w:tcW w:w="1683" w:type="dxa"/>
            <w:vAlign w:val="center"/>
          </w:tcPr>
          <w:p w:rsidR="004C5E42" w:rsidRPr="004C5E42" w:rsidRDefault="004C5E42" w:rsidP="004C5E42">
            <w:pPr>
              <w:ind w:left="0"/>
              <w:jc w:val="center"/>
              <w:rPr>
                <w:sz w:val="20"/>
                <w:szCs w:val="20"/>
              </w:rPr>
            </w:pPr>
            <w:r w:rsidRPr="004C5E42">
              <w:rPr>
                <w:sz w:val="20"/>
                <w:szCs w:val="20"/>
              </w:rPr>
              <w:t>129</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val="restart"/>
          </w:tcPr>
          <w:p w:rsidR="004C5E42" w:rsidRPr="004C5E42" w:rsidRDefault="004C5E42" w:rsidP="004C5E42">
            <w:pPr>
              <w:ind w:left="0"/>
              <w:rPr>
                <w:sz w:val="20"/>
                <w:szCs w:val="20"/>
              </w:rPr>
            </w:pPr>
            <w:r w:rsidRPr="004C5E42">
              <w:rPr>
                <w:sz w:val="20"/>
                <w:szCs w:val="20"/>
              </w:rPr>
              <w:t>Fertility</w:t>
            </w:r>
            <w:r>
              <w:rPr>
                <w:sz w:val="20"/>
                <w:szCs w:val="20"/>
              </w:rPr>
              <w:t xml:space="preserve"> </w:t>
            </w:r>
            <w:r w:rsidR="000E1116">
              <w:rPr>
                <w:sz w:val="20"/>
                <w:szCs w:val="20"/>
              </w:rPr>
              <w:t>(</w:t>
            </w:r>
            <w:r w:rsidRPr="004C5E42">
              <w:rPr>
                <w:sz w:val="20"/>
                <w:szCs w:val="20"/>
              </w:rPr>
              <w:t>TX-338-2010</w:t>
            </w:r>
            <w:r w:rsidR="000E1116">
              <w:rPr>
                <w:sz w:val="20"/>
                <w:szCs w:val="20"/>
              </w:rPr>
              <w:t>)</w:t>
            </w:r>
            <w:r>
              <w:rPr>
                <w:sz w:val="20"/>
                <w:szCs w:val="20"/>
              </w:rPr>
              <w:t xml:space="preserve"> </w:t>
            </w:r>
            <w:r>
              <w:rPr>
                <w:rFonts w:ascii="Times New Roman" w:hAnsi="Times New Roman"/>
                <w:sz w:val="20"/>
                <w:szCs w:val="20"/>
              </w:rPr>
              <w:t>Female</w:t>
            </w:r>
          </w:p>
        </w:tc>
        <w:tc>
          <w:tcPr>
            <w:tcW w:w="1684" w:type="dxa"/>
            <w:vAlign w:val="center"/>
          </w:tcPr>
          <w:p w:rsidR="004C5E42" w:rsidRPr="004C5E42" w:rsidRDefault="004C5E42" w:rsidP="004C5E42">
            <w:pPr>
              <w:ind w:left="0"/>
              <w:jc w:val="center"/>
              <w:rPr>
                <w:sz w:val="20"/>
                <w:szCs w:val="20"/>
              </w:rPr>
            </w:pPr>
            <w:r w:rsidRPr="004C5E42">
              <w:rPr>
                <w:sz w:val="20"/>
                <w:szCs w:val="20"/>
              </w:rPr>
              <w:t>10</w:t>
            </w:r>
          </w:p>
        </w:tc>
        <w:tc>
          <w:tcPr>
            <w:tcW w:w="1683" w:type="dxa"/>
            <w:vAlign w:val="center"/>
          </w:tcPr>
          <w:p w:rsidR="004C5E42" w:rsidRPr="004C5E42" w:rsidRDefault="004C5E42" w:rsidP="004C5E42">
            <w:pPr>
              <w:ind w:left="0"/>
              <w:jc w:val="center"/>
              <w:rPr>
                <w:sz w:val="20"/>
                <w:szCs w:val="20"/>
              </w:rPr>
            </w:pPr>
            <w:r w:rsidRPr="004C5E42">
              <w:rPr>
                <w:sz w:val="20"/>
                <w:szCs w:val="20"/>
              </w:rPr>
              <w:t>2300</w:t>
            </w:r>
          </w:p>
        </w:tc>
        <w:tc>
          <w:tcPr>
            <w:tcW w:w="1683" w:type="dxa"/>
            <w:vAlign w:val="center"/>
          </w:tcPr>
          <w:p w:rsidR="004C5E42" w:rsidRPr="004C5E42" w:rsidRDefault="004C5E42" w:rsidP="004C5E42">
            <w:pPr>
              <w:ind w:left="0"/>
              <w:jc w:val="center"/>
              <w:rPr>
                <w:sz w:val="20"/>
                <w:szCs w:val="20"/>
              </w:rPr>
            </w:pPr>
            <w:r w:rsidRPr="004C5E42">
              <w:rPr>
                <w:sz w:val="20"/>
                <w:szCs w:val="20"/>
              </w:rPr>
              <w:t>1</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30</w:t>
            </w:r>
          </w:p>
        </w:tc>
        <w:tc>
          <w:tcPr>
            <w:tcW w:w="1683" w:type="dxa"/>
            <w:vAlign w:val="center"/>
          </w:tcPr>
          <w:p w:rsidR="004C5E42" w:rsidRPr="004C5E42" w:rsidRDefault="004C5E42" w:rsidP="004C5E42">
            <w:pPr>
              <w:ind w:left="0"/>
              <w:jc w:val="center"/>
              <w:rPr>
                <w:sz w:val="20"/>
                <w:szCs w:val="20"/>
              </w:rPr>
            </w:pPr>
            <w:r w:rsidRPr="004C5E42">
              <w:rPr>
                <w:sz w:val="20"/>
                <w:szCs w:val="20"/>
              </w:rPr>
              <w:t>37300</w:t>
            </w:r>
          </w:p>
        </w:tc>
        <w:tc>
          <w:tcPr>
            <w:tcW w:w="1683" w:type="dxa"/>
            <w:vAlign w:val="center"/>
          </w:tcPr>
          <w:p w:rsidR="004C5E42" w:rsidRPr="004C5E42" w:rsidRDefault="004C5E42" w:rsidP="004C5E42">
            <w:pPr>
              <w:ind w:left="0"/>
              <w:jc w:val="center"/>
              <w:rPr>
                <w:sz w:val="20"/>
                <w:szCs w:val="20"/>
              </w:rPr>
            </w:pPr>
            <w:r w:rsidRPr="004C5E42">
              <w:rPr>
                <w:sz w:val="20"/>
                <w:szCs w:val="20"/>
              </w:rPr>
              <w:t>14</w:t>
            </w:r>
          </w:p>
        </w:tc>
      </w:tr>
      <w:tr w:rsidR="004C5E42" w:rsidRPr="004C5E42" w:rsidTr="00856FEB">
        <w:trPr>
          <w:trHeight w:val="5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100</w:t>
            </w:r>
          </w:p>
        </w:tc>
        <w:tc>
          <w:tcPr>
            <w:tcW w:w="1683" w:type="dxa"/>
            <w:vAlign w:val="center"/>
          </w:tcPr>
          <w:p w:rsidR="004C5E42" w:rsidRPr="004C5E42" w:rsidRDefault="004C5E42" w:rsidP="004C5E42">
            <w:pPr>
              <w:ind w:left="0"/>
              <w:jc w:val="center"/>
              <w:rPr>
                <w:sz w:val="20"/>
                <w:szCs w:val="20"/>
              </w:rPr>
            </w:pPr>
            <w:r w:rsidRPr="004C5E42">
              <w:rPr>
                <w:sz w:val="20"/>
                <w:szCs w:val="20"/>
              </w:rPr>
              <w:t>438000</w:t>
            </w:r>
          </w:p>
        </w:tc>
        <w:tc>
          <w:tcPr>
            <w:tcW w:w="1683" w:type="dxa"/>
            <w:vAlign w:val="center"/>
          </w:tcPr>
          <w:p w:rsidR="004C5E42" w:rsidRPr="004C5E42" w:rsidRDefault="004C5E42" w:rsidP="004C5E42">
            <w:pPr>
              <w:ind w:left="0"/>
              <w:jc w:val="center"/>
              <w:rPr>
                <w:sz w:val="20"/>
                <w:szCs w:val="20"/>
              </w:rPr>
            </w:pPr>
            <w:r w:rsidRPr="004C5E42">
              <w:rPr>
                <w:sz w:val="20"/>
                <w:szCs w:val="20"/>
              </w:rPr>
              <w:t>170</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val="restart"/>
          </w:tcPr>
          <w:p w:rsidR="004C5E42" w:rsidRPr="004C5E42" w:rsidRDefault="004C5E42" w:rsidP="004C5E42">
            <w:pPr>
              <w:ind w:left="0"/>
              <w:rPr>
                <w:sz w:val="20"/>
                <w:szCs w:val="20"/>
              </w:rPr>
            </w:pPr>
            <w:r>
              <w:rPr>
                <w:sz w:val="20"/>
                <w:szCs w:val="20"/>
              </w:rPr>
              <w:t xml:space="preserve">Embryofetal development </w:t>
            </w:r>
            <w:r w:rsidR="000E1116">
              <w:rPr>
                <w:sz w:val="20"/>
                <w:szCs w:val="20"/>
              </w:rPr>
              <w:t>(</w:t>
            </w:r>
            <w:r w:rsidRPr="004C5E42">
              <w:rPr>
                <w:sz w:val="20"/>
                <w:szCs w:val="20"/>
              </w:rPr>
              <w:t>Study TX-338-2004</w:t>
            </w:r>
            <w:r w:rsidR="000E1116">
              <w:rPr>
                <w:sz w:val="20"/>
                <w:szCs w:val="20"/>
              </w:rPr>
              <w:t>)</w:t>
            </w:r>
          </w:p>
        </w:tc>
        <w:tc>
          <w:tcPr>
            <w:tcW w:w="1684" w:type="dxa"/>
            <w:vAlign w:val="center"/>
          </w:tcPr>
          <w:p w:rsidR="004C5E42" w:rsidRPr="004C5E42" w:rsidRDefault="004C5E42" w:rsidP="004C5E42">
            <w:pPr>
              <w:ind w:left="0"/>
              <w:jc w:val="center"/>
              <w:rPr>
                <w:sz w:val="20"/>
                <w:szCs w:val="20"/>
              </w:rPr>
            </w:pPr>
            <w:r w:rsidRPr="004C5E42">
              <w:rPr>
                <w:sz w:val="20"/>
                <w:szCs w:val="20"/>
              </w:rPr>
              <w:t>10</w:t>
            </w:r>
          </w:p>
        </w:tc>
        <w:tc>
          <w:tcPr>
            <w:tcW w:w="1683" w:type="dxa"/>
            <w:vAlign w:val="center"/>
          </w:tcPr>
          <w:p w:rsidR="004C5E42" w:rsidRPr="004C5E42" w:rsidRDefault="004C5E42" w:rsidP="004C5E42">
            <w:pPr>
              <w:ind w:left="0"/>
              <w:jc w:val="center"/>
              <w:rPr>
                <w:sz w:val="20"/>
                <w:szCs w:val="20"/>
              </w:rPr>
            </w:pPr>
            <w:r w:rsidRPr="004C5E42">
              <w:rPr>
                <w:sz w:val="20"/>
                <w:szCs w:val="20"/>
              </w:rPr>
              <w:t>8220</w:t>
            </w:r>
          </w:p>
        </w:tc>
        <w:tc>
          <w:tcPr>
            <w:tcW w:w="1683" w:type="dxa"/>
            <w:vAlign w:val="center"/>
          </w:tcPr>
          <w:p w:rsidR="004C5E42" w:rsidRPr="004C5E42" w:rsidRDefault="004C5E42" w:rsidP="004C5E42">
            <w:pPr>
              <w:ind w:left="0"/>
              <w:jc w:val="center"/>
              <w:rPr>
                <w:sz w:val="20"/>
                <w:szCs w:val="20"/>
              </w:rPr>
            </w:pPr>
            <w:r w:rsidRPr="004C5E42">
              <w:rPr>
                <w:sz w:val="20"/>
                <w:szCs w:val="20"/>
              </w:rPr>
              <w:t>3</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30</w:t>
            </w:r>
          </w:p>
        </w:tc>
        <w:tc>
          <w:tcPr>
            <w:tcW w:w="1683" w:type="dxa"/>
            <w:vAlign w:val="center"/>
          </w:tcPr>
          <w:p w:rsidR="004C5E42" w:rsidRPr="004C5E42" w:rsidRDefault="004C5E42" w:rsidP="004C5E42">
            <w:pPr>
              <w:ind w:left="0"/>
              <w:jc w:val="center"/>
              <w:rPr>
                <w:sz w:val="20"/>
                <w:szCs w:val="20"/>
              </w:rPr>
            </w:pPr>
            <w:r w:rsidRPr="004C5E42">
              <w:rPr>
                <w:sz w:val="20"/>
                <w:szCs w:val="20"/>
              </w:rPr>
              <w:t>53600</w:t>
            </w:r>
          </w:p>
        </w:tc>
        <w:tc>
          <w:tcPr>
            <w:tcW w:w="1683" w:type="dxa"/>
            <w:vAlign w:val="center"/>
          </w:tcPr>
          <w:p w:rsidR="004C5E42" w:rsidRPr="004C5E42" w:rsidRDefault="004C5E42" w:rsidP="004C5E42">
            <w:pPr>
              <w:ind w:left="0"/>
              <w:jc w:val="center"/>
              <w:rPr>
                <w:sz w:val="20"/>
                <w:szCs w:val="20"/>
              </w:rPr>
            </w:pPr>
            <w:r w:rsidRPr="004C5E42">
              <w:rPr>
                <w:sz w:val="20"/>
                <w:szCs w:val="20"/>
              </w:rPr>
              <w:t>21</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100</w:t>
            </w:r>
          </w:p>
        </w:tc>
        <w:tc>
          <w:tcPr>
            <w:tcW w:w="1683" w:type="dxa"/>
            <w:vAlign w:val="center"/>
          </w:tcPr>
          <w:p w:rsidR="004C5E42" w:rsidRPr="004C5E42" w:rsidRDefault="004C5E42" w:rsidP="004C5E42">
            <w:pPr>
              <w:ind w:left="0"/>
              <w:jc w:val="center"/>
              <w:rPr>
                <w:sz w:val="20"/>
                <w:szCs w:val="20"/>
              </w:rPr>
            </w:pPr>
            <w:r w:rsidRPr="004C5E42">
              <w:rPr>
                <w:sz w:val="20"/>
                <w:szCs w:val="20"/>
              </w:rPr>
              <w:t>365000</w:t>
            </w:r>
          </w:p>
        </w:tc>
        <w:tc>
          <w:tcPr>
            <w:tcW w:w="1683" w:type="dxa"/>
            <w:vAlign w:val="center"/>
          </w:tcPr>
          <w:p w:rsidR="004C5E42" w:rsidRPr="004C5E42" w:rsidRDefault="004C5E42" w:rsidP="004C5E42">
            <w:pPr>
              <w:ind w:left="0"/>
              <w:jc w:val="center"/>
              <w:rPr>
                <w:sz w:val="20"/>
                <w:szCs w:val="20"/>
              </w:rPr>
            </w:pPr>
            <w:r w:rsidRPr="004C5E42">
              <w:rPr>
                <w:sz w:val="20"/>
                <w:szCs w:val="20"/>
              </w:rPr>
              <w:t>142</w:t>
            </w:r>
          </w:p>
        </w:tc>
      </w:tr>
      <w:tr w:rsidR="004C5E42" w:rsidRPr="004C5E42" w:rsidTr="00856FEB">
        <w:trPr>
          <w:trHeight w:val="724"/>
        </w:trPr>
        <w:tc>
          <w:tcPr>
            <w:tcW w:w="1818" w:type="dxa"/>
            <w:vMerge/>
          </w:tcPr>
          <w:p w:rsidR="004C5E42" w:rsidRPr="004C5E42" w:rsidRDefault="004C5E42" w:rsidP="004C5E42">
            <w:pPr>
              <w:ind w:left="0"/>
              <w:rPr>
                <w:sz w:val="20"/>
                <w:szCs w:val="20"/>
              </w:rPr>
            </w:pPr>
          </w:p>
        </w:tc>
        <w:tc>
          <w:tcPr>
            <w:tcW w:w="1817" w:type="dxa"/>
            <w:vMerge w:val="restart"/>
          </w:tcPr>
          <w:p w:rsidR="004C5E42" w:rsidRPr="004C5E42" w:rsidRDefault="004C5E42" w:rsidP="004C5E42">
            <w:pPr>
              <w:ind w:left="0"/>
              <w:rPr>
                <w:sz w:val="20"/>
                <w:szCs w:val="20"/>
              </w:rPr>
            </w:pPr>
            <w:r w:rsidRPr="004C5E42">
              <w:rPr>
                <w:sz w:val="20"/>
                <w:szCs w:val="20"/>
              </w:rPr>
              <w:t>Prenatal and postnatal developmental</w:t>
            </w:r>
            <w:r>
              <w:rPr>
                <w:sz w:val="20"/>
                <w:szCs w:val="20"/>
              </w:rPr>
              <w:t xml:space="preserve"> </w:t>
            </w:r>
            <w:r w:rsidR="000E1116">
              <w:rPr>
                <w:sz w:val="20"/>
                <w:szCs w:val="20"/>
              </w:rPr>
              <w:t>(</w:t>
            </w:r>
            <w:r w:rsidRPr="004C5E42">
              <w:rPr>
                <w:sz w:val="20"/>
                <w:szCs w:val="20"/>
              </w:rPr>
              <w:t>Study TX-338-2011</w:t>
            </w:r>
            <w:r w:rsidR="000E1116">
              <w:rPr>
                <w:sz w:val="20"/>
                <w:szCs w:val="20"/>
              </w:rPr>
              <w:t>)</w:t>
            </w:r>
            <w:r>
              <w:rPr>
                <w:sz w:val="20"/>
                <w:szCs w:val="20"/>
              </w:rPr>
              <w:t xml:space="preserve"> </w:t>
            </w:r>
            <w:r w:rsidRPr="004C5E42">
              <w:rPr>
                <w:sz w:val="20"/>
                <w:szCs w:val="20"/>
              </w:rPr>
              <w:t>LD10</w:t>
            </w:r>
          </w:p>
        </w:tc>
        <w:tc>
          <w:tcPr>
            <w:tcW w:w="1684" w:type="dxa"/>
            <w:vAlign w:val="center"/>
          </w:tcPr>
          <w:p w:rsidR="004C5E42" w:rsidRPr="004C5E42" w:rsidRDefault="004C5E42" w:rsidP="004C5E42">
            <w:pPr>
              <w:ind w:left="0"/>
              <w:jc w:val="center"/>
              <w:rPr>
                <w:sz w:val="20"/>
                <w:szCs w:val="20"/>
              </w:rPr>
            </w:pPr>
            <w:r w:rsidRPr="004C5E42">
              <w:rPr>
                <w:sz w:val="20"/>
                <w:szCs w:val="20"/>
              </w:rPr>
              <w:t>10</w:t>
            </w:r>
          </w:p>
        </w:tc>
        <w:tc>
          <w:tcPr>
            <w:tcW w:w="1683" w:type="dxa"/>
            <w:vAlign w:val="center"/>
          </w:tcPr>
          <w:p w:rsidR="004C5E42" w:rsidRPr="004C5E42" w:rsidRDefault="004C5E42" w:rsidP="004C5E42">
            <w:pPr>
              <w:ind w:left="0"/>
              <w:jc w:val="center"/>
              <w:rPr>
                <w:sz w:val="20"/>
                <w:szCs w:val="20"/>
              </w:rPr>
            </w:pPr>
            <w:r w:rsidRPr="004C5E42">
              <w:rPr>
                <w:sz w:val="20"/>
                <w:szCs w:val="20"/>
              </w:rPr>
              <w:t>2400</w:t>
            </w:r>
          </w:p>
        </w:tc>
        <w:tc>
          <w:tcPr>
            <w:tcW w:w="1683" w:type="dxa"/>
            <w:vAlign w:val="center"/>
          </w:tcPr>
          <w:p w:rsidR="004C5E42" w:rsidRPr="004C5E42" w:rsidRDefault="004C5E42" w:rsidP="004C5E42">
            <w:pPr>
              <w:ind w:left="0"/>
              <w:jc w:val="center"/>
              <w:rPr>
                <w:sz w:val="20"/>
                <w:szCs w:val="20"/>
              </w:rPr>
            </w:pPr>
            <w:r w:rsidRPr="004C5E42">
              <w:rPr>
                <w:sz w:val="20"/>
                <w:szCs w:val="20"/>
              </w:rPr>
              <w:t>1</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30</w:t>
            </w:r>
          </w:p>
        </w:tc>
        <w:tc>
          <w:tcPr>
            <w:tcW w:w="1683" w:type="dxa"/>
            <w:vAlign w:val="center"/>
          </w:tcPr>
          <w:p w:rsidR="004C5E42" w:rsidRPr="004C5E42" w:rsidRDefault="004C5E42" w:rsidP="004C5E42">
            <w:pPr>
              <w:ind w:left="0"/>
              <w:jc w:val="center"/>
              <w:rPr>
                <w:sz w:val="20"/>
                <w:szCs w:val="20"/>
              </w:rPr>
            </w:pPr>
            <w:r w:rsidRPr="004C5E42">
              <w:rPr>
                <w:sz w:val="20"/>
                <w:szCs w:val="20"/>
              </w:rPr>
              <w:t>43000</w:t>
            </w:r>
          </w:p>
        </w:tc>
        <w:tc>
          <w:tcPr>
            <w:tcW w:w="1683" w:type="dxa"/>
            <w:vAlign w:val="center"/>
          </w:tcPr>
          <w:p w:rsidR="004C5E42" w:rsidRPr="004C5E42" w:rsidRDefault="004C5E42" w:rsidP="004C5E42">
            <w:pPr>
              <w:ind w:left="0"/>
              <w:jc w:val="center"/>
              <w:rPr>
                <w:sz w:val="20"/>
                <w:szCs w:val="20"/>
              </w:rPr>
            </w:pPr>
            <w:r w:rsidRPr="004C5E42">
              <w:rPr>
                <w:sz w:val="20"/>
                <w:szCs w:val="20"/>
              </w:rPr>
              <w:t>17</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300</w:t>
            </w:r>
          </w:p>
        </w:tc>
        <w:tc>
          <w:tcPr>
            <w:tcW w:w="1683" w:type="dxa"/>
            <w:vAlign w:val="center"/>
          </w:tcPr>
          <w:p w:rsidR="004C5E42" w:rsidRPr="004C5E42" w:rsidRDefault="004C5E42" w:rsidP="004C5E42">
            <w:pPr>
              <w:ind w:left="0"/>
              <w:jc w:val="center"/>
              <w:rPr>
                <w:sz w:val="20"/>
                <w:szCs w:val="20"/>
              </w:rPr>
            </w:pPr>
            <w:r w:rsidRPr="004C5E42">
              <w:rPr>
                <w:sz w:val="20"/>
                <w:szCs w:val="20"/>
              </w:rPr>
              <w:t>613000</w:t>
            </w:r>
          </w:p>
        </w:tc>
        <w:tc>
          <w:tcPr>
            <w:tcW w:w="1683" w:type="dxa"/>
            <w:vAlign w:val="center"/>
          </w:tcPr>
          <w:p w:rsidR="004C5E42" w:rsidRPr="004C5E42" w:rsidRDefault="004C5E42" w:rsidP="004C5E42">
            <w:pPr>
              <w:ind w:left="0"/>
              <w:jc w:val="center"/>
              <w:rPr>
                <w:sz w:val="20"/>
                <w:szCs w:val="20"/>
              </w:rPr>
            </w:pPr>
            <w:r w:rsidRPr="004C5E42">
              <w:rPr>
                <w:sz w:val="20"/>
                <w:szCs w:val="20"/>
              </w:rPr>
              <w:t>238</w:t>
            </w:r>
          </w:p>
        </w:tc>
      </w:tr>
      <w:tr w:rsidR="004C5E42" w:rsidRPr="004C5E42" w:rsidTr="00856FEB">
        <w:trPr>
          <w:trHeight w:val="493"/>
        </w:trPr>
        <w:tc>
          <w:tcPr>
            <w:tcW w:w="1818" w:type="dxa"/>
            <w:vMerge w:val="restart"/>
          </w:tcPr>
          <w:p w:rsidR="004C5E42" w:rsidRPr="004C5E42" w:rsidRDefault="004C5E42" w:rsidP="004C5E42">
            <w:pPr>
              <w:ind w:left="0"/>
              <w:rPr>
                <w:sz w:val="20"/>
                <w:szCs w:val="20"/>
              </w:rPr>
            </w:pPr>
            <w:r w:rsidRPr="004C5E42">
              <w:rPr>
                <w:sz w:val="20"/>
                <w:szCs w:val="20"/>
              </w:rPr>
              <w:t>Rabbit</w:t>
            </w:r>
            <w:r>
              <w:rPr>
                <w:sz w:val="20"/>
                <w:szCs w:val="20"/>
              </w:rPr>
              <w:t xml:space="preserve"> </w:t>
            </w:r>
            <w:r w:rsidRPr="004C5E42">
              <w:rPr>
                <w:sz w:val="20"/>
                <w:szCs w:val="20"/>
              </w:rPr>
              <w:t>(NZW)</w:t>
            </w:r>
          </w:p>
        </w:tc>
        <w:tc>
          <w:tcPr>
            <w:tcW w:w="1817" w:type="dxa"/>
            <w:vMerge w:val="restart"/>
          </w:tcPr>
          <w:p w:rsidR="004C5E42" w:rsidRPr="004C5E42" w:rsidRDefault="004C5E42" w:rsidP="004C5E42">
            <w:pPr>
              <w:ind w:left="0"/>
              <w:rPr>
                <w:sz w:val="20"/>
                <w:szCs w:val="20"/>
              </w:rPr>
            </w:pPr>
            <w:r w:rsidRPr="004C5E42">
              <w:rPr>
                <w:sz w:val="20"/>
                <w:szCs w:val="20"/>
              </w:rPr>
              <w:t>Preliminary tolerability studies</w:t>
            </w:r>
            <w:r>
              <w:rPr>
                <w:sz w:val="20"/>
                <w:szCs w:val="20"/>
              </w:rPr>
              <w:t xml:space="preserve"> </w:t>
            </w:r>
            <w:r w:rsidR="000E1116">
              <w:rPr>
                <w:sz w:val="20"/>
                <w:szCs w:val="20"/>
              </w:rPr>
              <w:t>(</w:t>
            </w:r>
            <w:r w:rsidRPr="004C5E42">
              <w:rPr>
                <w:sz w:val="20"/>
                <w:szCs w:val="20"/>
              </w:rPr>
              <w:t>Study TX-338-2003</w:t>
            </w:r>
            <w:r w:rsidR="000E1116">
              <w:rPr>
                <w:sz w:val="20"/>
                <w:szCs w:val="20"/>
              </w:rPr>
              <w:t>)</w:t>
            </w:r>
          </w:p>
        </w:tc>
        <w:tc>
          <w:tcPr>
            <w:tcW w:w="1684" w:type="dxa"/>
            <w:vAlign w:val="center"/>
          </w:tcPr>
          <w:p w:rsidR="004C5E42" w:rsidRPr="004C5E42" w:rsidRDefault="004C5E42" w:rsidP="004C5E42">
            <w:pPr>
              <w:ind w:left="0"/>
              <w:jc w:val="center"/>
              <w:rPr>
                <w:sz w:val="20"/>
                <w:szCs w:val="20"/>
              </w:rPr>
            </w:pPr>
            <w:r w:rsidRPr="004C5E42">
              <w:rPr>
                <w:sz w:val="20"/>
                <w:szCs w:val="20"/>
              </w:rPr>
              <w:t>100</w:t>
            </w:r>
          </w:p>
        </w:tc>
        <w:tc>
          <w:tcPr>
            <w:tcW w:w="1683" w:type="dxa"/>
            <w:vAlign w:val="center"/>
          </w:tcPr>
          <w:p w:rsidR="004C5E42" w:rsidRPr="004C5E42" w:rsidRDefault="004C5E42" w:rsidP="004C5E42">
            <w:pPr>
              <w:ind w:left="0"/>
              <w:jc w:val="center"/>
              <w:rPr>
                <w:sz w:val="20"/>
                <w:szCs w:val="20"/>
              </w:rPr>
            </w:pPr>
            <w:r w:rsidRPr="004C5E42">
              <w:rPr>
                <w:sz w:val="20"/>
                <w:szCs w:val="20"/>
              </w:rPr>
              <w:t>817t</w:t>
            </w:r>
            <w:r w:rsidR="003925CF">
              <w:rPr>
                <w:sz w:val="20"/>
                <w:szCs w:val="20"/>
              </w:rPr>
              <w:t xml:space="preserve"> = </w:t>
            </w:r>
            <w:r w:rsidRPr="004C5E42">
              <w:rPr>
                <w:sz w:val="20"/>
                <w:szCs w:val="20"/>
              </w:rPr>
              <w:t>12</w:t>
            </w:r>
          </w:p>
        </w:tc>
        <w:tc>
          <w:tcPr>
            <w:tcW w:w="1683" w:type="dxa"/>
            <w:vAlign w:val="center"/>
          </w:tcPr>
          <w:p w:rsidR="004C5E42" w:rsidRPr="004C5E42" w:rsidRDefault="004C5E42" w:rsidP="004C5E42">
            <w:pPr>
              <w:ind w:left="0"/>
              <w:jc w:val="center"/>
              <w:rPr>
                <w:sz w:val="20"/>
                <w:szCs w:val="20"/>
              </w:rPr>
            </w:pPr>
            <w:r w:rsidRPr="004C5E42">
              <w:rPr>
                <w:sz w:val="20"/>
                <w:szCs w:val="20"/>
              </w:rPr>
              <w:t>0.3</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300</w:t>
            </w:r>
          </w:p>
        </w:tc>
        <w:tc>
          <w:tcPr>
            <w:tcW w:w="1683" w:type="dxa"/>
            <w:vAlign w:val="center"/>
          </w:tcPr>
          <w:p w:rsidR="004C5E42" w:rsidRPr="004C5E42" w:rsidRDefault="004C5E42" w:rsidP="004C5E42">
            <w:pPr>
              <w:ind w:left="0"/>
              <w:jc w:val="center"/>
              <w:rPr>
                <w:sz w:val="20"/>
                <w:szCs w:val="20"/>
              </w:rPr>
            </w:pPr>
            <w:r w:rsidRPr="004C5E42">
              <w:rPr>
                <w:sz w:val="20"/>
                <w:szCs w:val="20"/>
              </w:rPr>
              <w:t>13100t</w:t>
            </w:r>
            <w:r w:rsidR="003925CF">
              <w:rPr>
                <w:sz w:val="20"/>
                <w:szCs w:val="20"/>
              </w:rPr>
              <w:t xml:space="preserve"> = </w:t>
            </w:r>
            <w:r w:rsidRPr="004C5E42">
              <w:rPr>
                <w:sz w:val="20"/>
                <w:szCs w:val="20"/>
              </w:rPr>
              <w:t>20</w:t>
            </w:r>
          </w:p>
        </w:tc>
        <w:tc>
          <w:tcPr>
            <w:tcW w:w="1683" w:type="dxa"/>
            <w:vAlign w:val="center"/>
          </w:tcPr>
          <w:p w:rsidR="004C5E42" w:rsidRPr="004C5E42" w:rsidRDefault="004C5E42" w:rsidP="004C5E42">
            <w:pPr>
              <w:ind w:left="0"/>
              <w:jc w:val="center"/>
              <w:rPr>
                <w:sz w:val="20"/>
                <w:szCs w:val="20"/>
              </w:rPr>
            </w:pPr>
            <w:r w:rsidRPr="004C5E42">
              <w:rPr>
                <w:sz w:val="20"/>
                <w:szCs w:val="20"/>
              </w:rPr>
              <w:t>5</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600</w:t>
            </w:r>
          </w:p>
        </w:tc>
        <w:tc>
          <w:tcPr>
            <w:tcW w:w="1683" w:type="dxa"/>
            <w:vAlign w:val="center"/>
          </w:tcPr>
          <w:p w:rsidR="004C5E42" w:rsidRPr="004C5E42" w:rsidRDefault="004C5E42" w:rsidP="004C5E42">
            <w:pPr>
              <w:ind w:left="0"/>
              <w:jc w:val="center"/>
              <w:rPr>
                <w:sz w:val="20"/>
                <w:szCs w:val="20"/>
              </w:rPr>
            </w:pPr>
            <w:r w:rsidRPr="004C5E42">
              <w:rPr>
                <w:sz w:val="20"/>
                <w:szCs w:val="20"/>
              </w:rPr>
              <w:t>3630</w:t>
            </w:r>
          </w:p>
        </w:tc>
        <w:tc>
          <w:tcPr>
            <w:tcW w:w="1683" w:type="dxa"/>
            <w:vAlign w:val="center"/>
          </w:tcPr>
          <w:p w:rsidR="004C5E42" w:rsidRPr="004C5E42" w:rsidRDefault="004C5E42" w:rsidP="004C5E42">
            <w:pPr>
              <w:ind w:left="0"/>
              <w:jc w:val="center"/>
              <w:rPr>
                <w:sz w:val="20"/>
                <w:szCs w:val="20"/>
              </w:rPr>
            </w:pPr>
            <w:r w:rsidRPr="004C5E42">
              <w:rPr>
                <w:sz w:val="20"/>
                <w:szCs w:val="20"/>
              </w:rPr>
              <w:t>1.4</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val="restart"/>
          </w:tcPr>
          <w:p w:rsidR="004C5E42" w:rsidRPr="004C5E42" w:rsidRDefault="004C5E42" w:rsidP="004C5E42">
            <w:pPr>
              <w:ind w:left="0"/>
              <w:rPr>
                <w:sz w:val="20"/>
                <w:szCs w:val="20"/>
              </w:rPr>
            </w:pPr>
            <w:r w:rsidRPr="004C5E42">
              <w:rPr>
                <w:sz w:val="20"/>
                <w:szCs w:val="20"/>
              </w:rPr>
              <w:t xml:space="preserve">Embryofetal developmental </w:t>
            </w:r>
            <w:r w:rsidR="000E1116">
              <w:rPr>
                <w:sz w:val="20"/>
                <w:szCs w:val="20"/>
              </w:rPr>
              <w:t>(</w:t>
            </w:r>
            <w:r w:rsidRPr="004C5E42">
              <w:rPr>
                <w:sz w:val="20"/>
                <w:szCs w:val="20"/>
              </w:rPr>
              <w:t>Study TX-338-2005</w:t>
            </w:r>
            <w:r w:rsidR="000E1116">
              <w:rPr>
                <w:sz w:val="20"/>
                <w:szCs w:val="20"/>
              </w:rPr>
              <w:t>)</w:t>
            </w:r>
          </w:p>
        </w:tc>
        <w:tc>
          <w:tcPr>
            <w:tcW w:w="1684" w:type="dxa"/>
            <w:vAlign w:val="center"/>
          </w:tcPr>
          <w:p w:rsidR="004C5E42" w:rsidRPr="004C5E42" w:rsidRDefault="004C5E42" w:rsidP="004C5E42">
            <w:pPr>
              <w:ind w:left="0"/>
              <w:jc w:val="center"/>
              <w:rPr>
                <w:sz w:val="20"/>
                <w:szCs w:val="20"/>
              </w:rPr>
            </w:pPr>
            <w:r w:rsidRPr="004C5E42">
              <w:rPr>
                <w:sz w:val="20"/>
                <w:szCs w:val="20"/>
              </w:rPr>
              <w:t>100</w:t>
            </w:r>
          </w:p>
        </w:tc>
        <w:tc>
          <w:tcPr>
            <w:tcW w:w="1683" w:type="dxa"/>
            <w:vAlign w:val="center"/>
          </w:tcPr>
          <w:p w:rsidR="004C5E42" w:rsidRPr="004C5E42" w:rsidRDefault="004C5E42" w:rsidP="004C5E42">
            <w:pPr>
              <w:ind w:left="0"/>
              <w:jc w:val="center"/>
              <w:rPr>
                <w:sz w:val="20"/>
                <w:szCs w:val="20"/>
              </w:rPr>
            </w:pPr>
            <w:r w:rsidRPr="004C5E42">
              <w:rPr>
                <w:sz w:val="20"/>
                <w:szCs w:val="20"/>
              </w:rPr>
              <w:t>438</w:t>
            </w:r>
          </w:p>
        </w:tc>
        <w:tc>
          <w:tcPr>
            <w:tcW w:w="1683" w:type="dxa"/>
            <w:vAlign w:val="center"/>
          </w:tcPr>
          <w:p w:rsidR="004C5E42" w:rsidRPr="004C5E42" w:rsidRDefault="004C5E42" w:rsidP="004C5E42">
            <w:pPr>
              <w:ind w:left="0"/>
              <w:jc w:val="center"/>
              <w:rPr>
                <w:sz w:val="20"/>
                <w:szCs w:val="20"/>
              </w:rPr>
            </w:pPr>
            <w:r w:rsidRPr="004C5E42">
              <w:rPr>
                <w:sz w:val="20"/>
                <w:szCs w:val="20"/>
              </w:rPr>
              <w:t>0.2</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200</w:t>
            </w:r>
          </w:p>
        </w:tc>
        <w:tc>
          <w:tcPr>
            <w:tcW w:w="1683" w:type="dxa"/>
            <w:vAlign w:val="center"/>
          </w:tcPr>
          <w:p w:rsidR="004C5E42" w:rsidRPr="004C5E42" w:rsidRDefault="004C5E42" w:rsidP="004C5E42">
            <w:pPr>
              <w:ind w:left="0"/>
              <w:jc w:val="center"/>
              <w:rPr>
                <w:sz w:val="20"/>
                <w:szCs w:val="20"/>
              </w:rPr>
            </w:pPr>
            <w:r w:rsidRPr="004C5E42">
              <w:rPr>
                <w:sz w:val="20"/>
                <w:szCs w:val="20"/>
              </w:rPr>
              <w:t>672</w:t>
            </w:r>
          </w:p>
        </w:tc>
        <w:tc>
          <w:tcPr>
            <w:tcW w:w="1683" w:type="dxa"/>
            <w:vAlign w:val="center"/>
          </w:tcPr>
          <w:p w:rsidR="004C5E42" w:rsidRPr="004C5E42" w:rsidRDefault="004C5E42" w:rsidP="004C5E42">
            <w:pPr>
              <w:ind w:left="0"/>
              <w:jc w:val="center"/>
              <w:rPr>
                <w:sz w:val="20"/>
                <w:szCs w:val="20"/>
              </w:rPr>
            </w:pPr>
            <w:r w:rsidRPr="004C5E42">
              <w:rPr>
                <w:sz w:val="20"/>
                <w:szCs w:val="20"/>
              </w:rPr>
              <w:t>0.3</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300</w:t>
            </w:r>
          </w:p>
        </w:tc>
        <w:tc>
          <w:tcPr>
            <w:tcW w:w="1683" w:type="dxa"/>
            <w:vAlign w:val="center"/>
          </w:tcPr>
          <w:p w:rsidR="004C5E42" w:rsidRPr="004C5E42" w:rsidRDefault="004C5E42" w:rsidP="004C5E42">
            <w:pPr>
              <w:ind w:left="0"/>
              <w:jc w:val="center"/>
              <w:rPr>
                <w:sz w:val="20"/>
                <w:szCs w:val="20"/>
              </w:rPr>
            </w:pPr>
            <w:r w:rsidRPr="004C5E42">
              <w:rPr>
                <w:sz w:val="20"/>
                <w:szCs w:val="20"/>
              </w:rPr>
              <w:t>4090</w:t>
            </w:r>
          </w:p>
        </w:tc>
        <w:tc>
          <w:tcPr>
            <w:tcW w:w="1683" w:type="dxa"/>
            <w:vAlign w:val="center"/>
          </w:tcPr>
          <w:p w:rsidR="004C5E42" w:rsidRPr="004C5E42" w:rsidRDefault="004C5E42" w:rsidP="004C5E42">
            <w:pPr>
              <w:ind w:left="0"/>
              <w:jc w:val="center"/>
              <w:rPr>
                <w:sz w:val="20"/>
                <w:szCs w:val="20"/>
              </w:rPr>
            </w:pPr>
            <w:r w:rsidRPr="004C5E42">
              <w:rPr>
                <w:sz w:val="20"/>
                <w:szCs w:val="20"/>
              </w:rPr>
              <w:t>2</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val="restart"/>
          </w:tcPr>
          <w:p w:rsidR="004C5E42" w:rsidRPr="004C5E42" w:rsidRDefault="004C5E42" w:rsidP="004C5E42">
            <w:pPr>
              <w:ind w:left="0"/>
              <w:rPr>
                <w:sz w:val="20"/>
                <w:szCs w:val="20"/>
              </w:rPr>
            </w:pPr>
            <w:r w:rsidRPr="004C5E42">
              <w:rPr>
                <w:sz w:val="20"/>
                <w:szCs w:val="20"/>
              </w:rPr>
              <w:t>Embryofetal development</w:t>
            </w:r>
            <w:r>
              <w:rPr>
                <w:sz w:val="20"/>
                <w:szCs w:val="20"/>
              </w:rPr>
              <w:t xml:space="preserve"> </w:t>
            </w:r>
            <w:r w:rsidR="000E1116">
              <w:rPr>
                <w:sz w:val="20"/>
                <w:szCs w:val="20"/>
              </w:rPr>
              <w:t>(</w:t>
            </w:r>
            <w:r w:rsidRPr="004C5E42">
              <w:rPr>
                <w:sz w:val="20"/>
                <w:szCs w:val="20"/>
              </w:rPr>
              <w:t>StudyTX-338-2009</w:t>
            </w:r>
            <w:r w:rsidR="000E1116">
              <w:rPr>
                <w:sz w:val="20"/>
                <w:szCs w:val="20"/>
              </w:rPr>
              <w:t>)</w:t>
            </w:r>
          </w:p>
        </w:tc>
        <w:tc>
          <w:tcPr>
            <w:tcW w:w="1684" w:type="dxa"/>
            <w:vAlign w:val="center"/>
          </w:tcPr>
          <w:p w:rsidR="004C5E42" w:rsidRPr="004C5E42" w:rsidRDefault="004C5E42" w:rsidP="004C5E42">
            <w:pPr>
              <w:ind w:left="0"/>
              <w:jc w:val="center"/>
              <w:rPr>
                <w:sz w:val="20"/>
                <w:szCs w:val="20"/>
              </w:rPr>
            </w:pPr>
            <w:r w:rsidRPr="004C5E42">
              <w:rPr>
                <w:sz w:val="20"/>
                <w:szCs w:val="20"/>
              </w:rPr>
              <w:t>100</w:t>
            </w:r>
          </w:p>
        </w:tc>
        <w:tc>
          <w:tcPr>
            <w:tcW w:w="1683" w:type="dxa"/>
            <w:vAlign w:val="center"/>
          </w:tcPr>
          <w:p w:rsidR="004C5E42" w:rsidRPr="004C5E42" w:rsidRDefault="004C5E42" w:rsidP="004C5E42">
            <w:pPr>
              <w:ind w:left="0"/>
              <w:jc w:val="center"/>
              <w:rPr>
                <w:sz w:val="20"/>
                <w:szCs w:val="20"/>
              </w:rPr>
            </w:pPr>
            <w:r w:rsidRPr="004C5E42">
              <w:rPr>
                <w:sz w:val="20"/>
                <w:szCs w:val="20"/>
              </w:rPr>
              <w:t>363</w:t>
            </w:r>
          </w:p>
        </w:tc>
        <w:tc>
          <w:tcPr>
            <w:tcW w:w="1683" w:type="dxa"/>
            <w:vAlign w:val="center"/>
          </w:tcPr>
          <w:p w:rsidR="004C5E42" w:rsidRPr="004C5E42" w:rsidRDefault="004C5E42" w:rsidP="004C5E42">
            <w:pPr>
              <w:ind w:left="0"/>
              <w:jc w:val="center"/>
              <w:rPr>
                <w:sz w:val="20"/>
                <w:szCs w:val="20"/>
              </w:rPr>
            </w:pPr>
            <w:r w:rsidRPr="004C5E42">
              <w:rPr>
                <w:sz w:val="20"/>
                <w:szCs w:val="20"/>
              </w:rPr>
              <w:t>0.1</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300</w:t>
            </w:r>
          </w:p>
        </w:tc>
        <w:tc>
          <w:tcPr>
            <w:tcW w:w="1683" w:type="dxa"/>
            <w:vAlign w:val="center"/>
          </w:tcPr>
          <w:p w:rsidR="004C5E42" w:rsidRPr="004C5E42" w:rsidRDefault="004C5E42" w:rsidP="004C5E42">
            <w:pPr>
              <w:ind w:left="0"/>
              <w:jc w:val="center"/>
              <w:rPr>
                <w:sz w:val="20"/>
                <w:szCs w:val="20"/>
              </w:rPr>
            </w:pPr>
            <w:r w:rsidRPr="004C5E42">
              <w:rPr>
                <w:sz w:val="20"/>
                <w:szCs w:val="20"/>
              </w:rPr>
              <w:t>2450</w:t>
            </w:r>
          </w:p>
        </w:tc>
        <w:tc>
          <w:tcPr>
            <w:tcW w:w="1683" w:type="dxa"/>
            <w:vAlign w:val="center"/>
          </w:tcPr>
          <w:p w:rsidR="004C5E42" w:rsidRPr="004C5E42" w:rsidRDefault="004C5E42" w:rsidP="004C5E42">
            <w:pPr>
              <w:ind w:left="0"/>
              <w:jc w:val="center"/>
              <w:rPr>
                <w:sz w:val="20"/>
                <w:szCs w:val="20"/>
              </w:rPr>
            </w:pPr>
            <w:r w:rsidRPr="004C5E42">
              <w:rPr>
                <w:sz w:val="20"/>
                <w:szCs w:val="20"/>
              </w:rPr>
              <w:t>1</w:t>
            </w:r>
          </w:p>
        </w:tc>
      </w:tr>
      <w:tr w:rsidR="004C5E42" w:rsidRPr="004C5E42" w:rsidTr="00856FEB">
        <w:trPr>
          <w:trHeight w:val="493"/>
        </w:trPr>
        <w:tc>
          <w:tcPr>
            <w:tcW w:w="1818" w:type="dxa"/>
            <w:vMerge/>
          </w:tcPr>
          <w:p w:rsidR="004C5E42" w:rsidRPr="004C5E42" w:rsidRDefault="004C5E42" w:rsidP="004C5E42">
            <w:pPr>
              <w:ind w:left="0"/>
              <w:rPr>
                <w:sz w:val="20"/>
                <w:szCs w:val="20"/>
              </w:rPr>
            </w:pPr>
          </w:p>
        </w:tc>
        <w:tc>
          <w:tcPr>
            <w:tcW w:w="1817" w:type="dxa"/>
            <w:vMerge/>
          </w:tcPr>
          <w:p w:rsidR="004C5E42" w:rsidRPr="004C5E42" w:rsidRDefault="004C5E42" w:rsidP="004C5E42">
            <w:pPr>
              <w:ind w:left="0"/>
              <w:rPr>
                <w:sz w:val="20"/>
                <w:szCs w:val="20"/>
              </w:rPr>
            </w:pPr>
          </w:p>
        </w:tc>
        <w:tc>
          <w:tcPr>
            <w:tcW w:w="1684" w:type="dxa"/>
            <w:vAlign w:val="center"/>
          </w:tcPr>
          <w:p w:rsidR="004C5E42" w:rsidRPr="004C5E42" w:rsidRDefault="004C5E42" w:rsidP="004C5E42">
            <w:pPr>
              <w:ind w:left="0"/>
              <w:jc w:val="center"/>
              <w:rPr>
                <w:sz w:val="20"/>
                <w:szCs w:val="20"/>
              </w:rPr>
            </w:pPr>
            <w:r w:rsidRPr="004C5E42">
              <w:rPr>
                <w:sz w:val="20"/>
                <w:szCs w:val="20"/>
              </w:rPr>
              <w:t>600</w:t>
            </w:r>
          </w:p>
        </w:tc>
        <w:tc>
          <w:tcPr>
            <w:tcW w:w="1683" w:type="dxa"/>
            <w:vAlign w:val="center"/>
          </w:tcPr>
          <w:p w:rsidR="004C5E42" w:rsidRPr="004C5E42" w:rsidRDefault="004C5E42" w:rsidP="004C5E42">
            <w:pPr>
              <w:ind w:left="0"/>
              <w:jc w:val="center"/>
              <w:rPr>
                <w:sz w:val="20"/>
                <w:szCs w:val="20"/>
              </w:rPr>
            </w:pPr>
            <w:r w:rsidRPr="004C5E42">
              <w:rPr>
                <w:sz w:val="20"/>
                <w:szCs w:val="20"/>
              </w:rPr>
              <w:t>9060</w:t>
            </w:r>
          </w:p>
        </w:tc>
        <w:tc>
          <w:tcPr>
            <w:tcW w:w="1683" w:type="dxa"/>
            <w:vAlign w:val="center"/>
          </w:tcPr>
          <w:p w:rsidR="004C5E42" w:rsidRPr="004C5E42" w:rsidRDefault="004C5E42" w:rsidP="004C5E42">
            <w:pPr>
              <w:ind w:left="0"/>
              <w:jc w:val="center"/>
              <w:rPr>
                <w:sz w:val="20"/>
                <w:szCs w:val="20"/>
              </w:rPr>
            </w:pPr>
            <w:r w:rsidRPr="004C5E42">
              <w:rPr>
                <w:sz w:val="20"/>
                <w:szCs w:val="20"/>
              </w:rPr>
              <w:t>4</w:t>
            </w:r>
          </w:p>
        </w:tc>
      </w:tr>
      <w:tr w:rsidR="004C5E42" w:rsidRPr="004C5E42" w:rsidTr="00856FEB">
        <w:trPr>
          <w:trHeight w:val="493"/>
        </w:trPr>
        <w:tc>
          <w:tcPr>
            <w:tcW w:w="1818" w:type="dxa"/>
          </w:tcPr>
          <w:p w:rsidR="004C5E42" w:rsidRPr="004C5E42" w:rsidRDefault="004C5E42" w:rsidP="004C5E42">
            <w:pPr>
              <w:ind w:left="0"/>
              <w:rPr>
                <w:sz w:val="20"/>
                <w:szCs w:val="20"/>
              </w:rPr>
            </w:pPr>
            <w:r w:rsidRPr="004C5E42">
              <w:rPr>
                <w:sz w:val="20"/>
                <w:szCs w:val="20"/>
              </w:rPr>
              <w:lastRenderedPageBreak/>
              <w:t>Human</w:t>
            </w:r>
            <w:r>
              <w:rPr>
                <w:sz w:val="20"/>
                <w:szCs w:val="20"/>
              </w:rPr>
              <w:t xml:space="preserve"> </w:t>
            </w:r>
            <w:r w:rsidRPr="004C5E42">
              <w:rPr>
                <w:sz w:val="20"/>
                <w:szCs w:val="20"/>
              </w:rPr>
              <w:t>(HCV positive patients ± cirrhosis)</w:t>
            </w:r>
          </w:p>
        </w:tc>
        <w:tc>
          <w:tcPr>
            <w:tcW w:w="1817" w:type="dxa"/>
          </w:tcPr>
          <w:p w:rsidR="004C5E42" w:rsidRPr="004C5E42" w:rsidRDefault="004C5E42" w:rsidP="004C5E42">
            <w:pPr>
              <w:ind w:left="0"/>
              <w:rPr>
                <w:sz w:val="20"/>
                <w:szCs w:val="20"/>
              </w:rPr>
            </w:pPr>
            <w:r w:rsidRPr="004C5E42">
              <w:rPr>
                <w:sz w:val="20"/>
                <w:szCs w:val="20"/>
              </w:rPr>
              <w:t xml:space="preserve">Demographic Population PK Analysis Set from phase 2 and 3 studies </w:t>
            </w:r>
            <w:r w:rsidR="000E1116">
              <w:rPr>
                <w:sz w:val="20"/>
                <w:szCs w:val="20"/>
              </w:rPr>
              <w:t>(</w:t>
            </w:r>
            <w:r w:rsidRPr="004C5E42">
              <w:rPr>
                <w:sz w:val="20"/>
                <w:szCs w:val="20"/>
              </w:rPr>
              <w:t>Studies GS-US-337-1468, GS-US-367-1168, GS-US-367-1169, GS-US-367-1871, GS-US-367-1170, GS-US-367-1171, GS-US-367-1172, or GS-US-367-1173</w:t>
            </w:r>
            <w:r w:rsidR="000E1116">
              <w:rPr>
                <w:sz w:val="20"/>
                <w:szCs w:val="20"/>
              </w:rPr>
              <w:t>)</w:t>
            </w:r>
          </w:p>
        </w:tc>
        <w:tc>
          <w:tcPr>
            <w:tcW w:w="1684" w:type="dxa"/>
            <w:vAlign w:val="center"/>
          </w:tcPr>
          <w:p w:rsidR="004C5E42" w:rsidRPr="004C5E42" w:rsidRDefault="000E1116" w:rsidP="004C5E42">
            <w:pPr>
              <w:ind w:left="0"/>
              <w:jc w:val="center"/>
              <w:rPr>
                <w:sz w:val="20"/>
                <w:szCs w:val="20"/>
              </w:rPr>
            </w:pPr>
            <w:r>
              <w:rPr>
                <w:sz w:val="20"/>
                <w:szCs w:val="20"/>
              </w:rPr>
              <w:t>(</w:t>
            </w:r>
            <w:r w:rsidR="004C5E42" w:rsidRPr="004C5E42">
              <w:rPr>
                <w:sz w:val="20"/>
                <w:szCs w:val="20"/>
              </w:rPr>
              <w:t>100</w:t>
            </w:r>
            <w:r w:rsidR="00AA5E62">
              <w:rPr>
                <w:sz w:val="20"/>
                <w:szCs w:val="20"/>
              </w:rPr>
              <w:t xml:space="preserve"> mg</w:t>
            </w:r>
            <w:r>
              <w:rPr>
                <w:sz w:val="20"/>
                <w:szCs w:val="20"/>
              </w:rPr>
              <w:t>)</w:t>
            </w:r>
          </w:p>
        </w:tc>
        <w:tc>
          <w:tcPr>
            <w:tcW w:w="1683" w:type="dxa"/>
            <w:vAlign w:val="center"/>
          </w:tcPr>
          <w:p w:rsidR="004C5E42" w:rsidRPr="004C5E42" w:rsidRDefault="004C5E42" w:rsidP="004C5E42">
            <w:pPr>
              <w:ind w:left="0"/>
              <w:jc w:val="center"/>
              <w:rPr>
                <w:sz w:val="20"/>
                <w:szCs w:val="20"/>
              </w:rPr>
            </w:pPr>
            <w:r w:rsidRPr="004C5E42">
              <w:rPr>
                <w:sz w:val="20"/>
                <w:szCs w:val="20"/>
              </w:rPr>
              <w:t>2577</w:t>
            </w:r>
          </w:p>
        </w:tc>
        <w:tc>
          <w:tcPr>
            <w:tcW w:w="1683" w:type="dxa"/>
            <w:vAlign w:val="center"/>
          </w:tcPr>
          <w:p w:rsidR="004C5E42" w:rsidRPr="004C5E42" w:rsidRDefault="004C5E42" w:rsidP="004C5E42">
            <w:pPr>
              <w:ind w:left="0"/>
              <w:jc w:val="center"/>
              <w:rPr>
                <w:sz w:val="20"/>
                <w:szCs w:val="20"/>
              </w:rPr>
            </w:pPr>
            <w:r w:rsidRPr="004C5E42">
              <w:rPr>
                <w:sz w:val="20"/>
                <w:szCs w:val="20"/>
              </w:rPr>
              <w:t>–</w:t>
            </w:r>
          </w:p>
        </w:tc>
      </w:tr>
    </w:tbl>
    <w:p w:rsidR="004C5E42" w:rsidRPr="00EB69F1" w:rsidRDefault="004C5E42" w:rsidP="004C5E42">
      <w:pPr>
        <w:pStyle w:val="TableDescription"/>
      </w:pPr>
      <w:r w:rsidRPr="00EB69F1">
        <w:rPr>
          <w:position w:val="-2"/>
          <w:vertAlign w:val="superscript"/>
        </w:rPr>
        <w:t>#</w:t>
      </w:r>
      <w:r w:rsidR="003925CF">
        <w:t xml:space="preserve"> = </w:t>
      </w:r>
      <w:r w:rsidRPr="00EB69F1">
        <w:t>animal:</w:t>
      </w:r>
      <w:r w:rsidR="00CF4334">
        <w:t xml:space="preserve"> </w:t>
      </w:r>
      <w:r w:rsidRPr="00EB69F1">
        <w:t>human plasma AUC</w:t>
      </w:r>
      <w:r w:rsidRPr="00EB69F1">
        <w:rPr>
          <w:vertAlign w:val="subscript"/>
        </w:rPr>
        <w:t>0–24</w:t>
      </w:r>
      <w:r w:rsidRPr="00EB69F1">
        <w:rPr>
          <w:w w:val="50"/>
          <w:vertAlign w:val="subscript"/>
        </w:rPr>
        <w:t> </w:t>
      </w:r>
      <w:r w:rsidRPr="00EB69F1">
        <w:rPr>
          <w:vertAlign w:val="subscript"/>
        </w:rPr>
        <w:t>h</w:t>
      </w:r>
      <w:r>
        <w:t>; T</w:t>
      </w:r>
      <w:r w:rsidR="003925CF">
        <w:t xml:space="preserve"> = </w:t>
      </w:r>
      <w:r>
        <w:t>last time when quantifiable drug was measured that was not 24</w:t>
      </w:r>
      <w:r w:rsidR="00CF4334">
        <w:t> </w:t>
      </w:r>
      <w:r>
        <w:t>h</w:t>
      </w:r>
    </w:p>
    <w:p w:rsidR="004C5E42" w:rsidRDefault="004C5E42" w:rsidP="004C5E42">
      <w:r w:rsidRPr="00287E15">
        <w:t xml:space="preserve">The level of the relative exposure achieved in the studies was </w:t>
      </w:r>
      <w:r>
        <w:t>sufficiently high in rats but low in rabbits.</w:t>
      </w:r>
    </w:p>
    <w:p w:rsidR="004C5E42" w:rsidRPr="00287E15" w:rsidRDefault="004C5E42" w:rsidP="004C5E42">
      <w:r w:rsidRPr="00287E15">
        <w:t xml:space="preserve">Placental transfer and excretion in milk </w:t>
      </w:r>
      <w:r>
        <w:t>studies were not submitted, however e</w:t>
      </w:r>
      <w:r w:rsidRPr="00DD61C7">
        <w:t>xposure in nursing pups during the prenatal and postnatal development</w:t>
      </w:r>
      <w:r>
        <w:t xml:space="preserve"> </w:t>
      </w:r>
      <w:r w:rsidRPr="00DD61C7">
        <w:t xml:space="preserve">study in rats suggest </w:t>
      </w:r>
      <w:r>
        <w:t xml:space="preserve">voxilaprevir </w:t>
      </w:r>
      <w:r w:rsidRPr="00DD61C7">
        <w:t>is excreted in the breast milk of</w:t>
      </w:r>
      <w:r>
        <w:t xml:space="preserve"> </w:t>
      </w:r>
      <w:r w:rsidRPr="00DD61C7">
        <w:t>lactating females. The AUC in pups was approximately half of maternal levels</w:t>
      </w:r>
      <w:r w:rsidRPr="00287E15">
        <w:t>.</w:t>
      </w:r>
    </w:p>
    <w:p w:rsidR="004C5E42" w:rsidRPr="00DC0FAD" w:rsidRDefault="004C5E42" w:rsidP="004C5E42">
      <w:r w:rsidRPr="00DC0FAD">
        <w:t xml:space="preserve">Voxilaprevir had no </w:t>
      </w:r>
      <w:r>
        <w:t xml:space="preserve">adverse </w:t>
      </w:r>
      <w:r w:rsidRPr="00DC0FAD">
        <w:t>effects on fertility in rats</w:t>
      </w:r>
      <w:r>
        <w:t>. Embryofetal development was not affected in rats. Despite low exposures in rabbits, voxilaprevir treatment was associated with decreases in maternal body weight gain and lower food consumption in the high dose group (300</w:t>
      </w:r>
      <w:r w:rsidR="00AA5E62">
        <w:t xml:space="preserve"> mg</w:t>
      </w:r>
      <w:r>
        <w:t>/kg/day, 2</w:t>
      </w:r>
      <w:r w:rsidR="00C4145D">
        <w:t xml:space="preserve"> fold</w:t>
      </w:r>
      <w:r>
        <w:t>s the clinical AUC). However, there were no corresponding adverse effects on litter parameters or on fetal development. In the rat pre-/postnatal development study there were no adverse maternal findings or effects on gestation and parturition. Slightly lower pup birth weights seen at high dose were within the historical range and did not correspond to any subsequent effects on development (growth milestones, motor development, sexual maturity, reproductive performance).</w:t>
      </w:r>
    </w:p>
    <w:p w:rsidR="004C5E42" w:rsidRPr="00EB69F1" w:rsidRDefault="004C5E42" w:rsidP="004C5E42">
      <w:pPr>
        <w:pStyle w:val="Heading5"/>
      </w:pPr>
      <w:r w:rsidRPr="00EB69F1">
        <w:t>Pregnancy classification</w:t>
      </w:r>
    </w:p>
    <w:p w:rsidR="004C5E42" w:rsidRPr="009F1AB1" w:rsidRDefault="004C5E42" w:rsidP="004C5E42">
      <w:r w:rsidRPr="009F1AB1">
        <w:t xml:space="preserve">The sponsor has proposed Pregnancy Category B1 for </w:t>
      </w:r>
      <w:r w:rsidR="00476CD0" w:rsidRPr="00062A08">
        <w:t>Vosevi</w:t>
      </w:r>
      <w:r w:rsidRPr="00062A08">
        <w:t>.</w:t>
      </w:r>
      <w:bookmarkStart w:id="61" w:name="_Ref529346610"/>
      <w:r w:rsidR="00062A08">
        <w:rPr>
          <w:rStyle w:val="FootnoteReference"/>
        </w:rPr>
        <w:footnoteReference w:id="13"/>
      </w:r>
      <w:bookmarkEnd w:id="61"/>
      <w:r w:rsidRPr="00062A08">
        <w:t xml:space="preserve"> This category</w:t>
      </w:r>
      <w:r w:rsidRPr="009F1AB1">
        <w:t xml:space="preserve"> is appropriate for voxilaprevir</w:t>
      </w:r>
      <w:r>
        <w:t>, given no adverse effects were observed in the embryo fetal developmental; and pre/postnatal studies</w:t>
      </w:r>
      <w:r w:rsidRPr="009F1AB1">
        <w:t>. There are no studies on the effects of voxilaprevir in combination</w:t>
      </w:r>
      <w:r>
        <w:t xml:space="preserve"> with sofosbuvir and velpatasvir</w:t>
      </w:r>
      <w:r w:rsidRPr="009F1AB1">
        <w:t xml:space="preserve"> on reproduction</w:t>
      </w:r>
      <w:r>
        <w:t xml:space="preserve">; however, </w:t>
      </w:r>
      <w:r>
        <w:lastRenderedPageBreak/>
        <w:t xml:space="preserve">sofosbuvir and velpatasvir have been classified as </w:t>
      </w:r>
      <w:r w:rsidRPr="009A6DC0">
        <w:t>Pregnancy Category B1</w:t>
      </w:r>
      <w:r>
        <w:t xml:space="preserve"> and was previously accepted.</w:t>
      </w:r>
    </w:p>
    <w:p w:rsidR="004C5E42" w:rsidRDefault="004C5E42" w:rsidP="004C5E42">
      <w:pPr>
        <w:pStyle w:val="Heading4"/>
      </w:pPr>
      <w:r w:rsidRPr="00EB69F1">
        <w:t>Local toleran</w:t>
      </w:r>
      <w:r>
        <w:t>ce</w:t>
      </w:r>
    </w:p>
    <w:p w:rsidR="004C5E42" w:rsidRDefault="004C5E42" w:rsidP="004C5E42">
      <w:r w:rsidRPr="00443C0A">
        <w:t>V</w:t>
      </w:r>
      <w:r>
        <w:t xml:space="preserve">oxilaprevir was classified as a non-irritant to the eye in the </w:t>
      </w:r>
      <w:r w:rsidR="00613A66" w:rsidRPr="00062A08">
        <w:t>bovine cornea opacity/permeability</w:t>
      </w:r>
      <w:r w:rsidR="00613A66">
        <w:t xml:space="preserve"> </w:t>
      </w:r>
      <w:r w:rsidR="00062A08" w:rsidRPr="00062A08">
        <w:t>(BCOP)</w:t>
      </w:r>
      <w:r>
        <w:t xml:space="preserve"> assay and a non-irritant and non-corrosive to the skin in the dermal irritation and dermal corrosion test.</w:t>
      </w:r>
    </w:p>
    <w:p w:rsidR="004C5E42" w:rsidRPr="004C5E42" w:rsidRDefault="004C5E42" w:rsidP="004C5E42">
      <w:pPr>
        <w:pStyle w:val="Heading4"/>
      </w:pPr>
      <w:r>
        <w:t>Antigenicity</w:t>
      </w:r>
    </w:p>
    <w:p w:rsidR="004C5E42" w:rsidRPr="00EB69F1" w:rsidRDefault="004C5E42" w:rsidP="004C5E42">
      <w:pPr>
        <w:rPr>
          <w:kern w:val="2"/>
        </w:rPr>
      </w:pPr>
      <w:r>
        <w:t xml:space="preserve">Voxilaprevir showed no potential for </w:t>
      </w:r>
      <w:r w:rsidR="00CF4334">
        <w:t xml:space="preserve">sensitisation </w:t>
      </w:r>
      <w:r>
        <w:t xml:space="preserve">in local lymph node assays in mice. Antigenicity studies in combination with sofosbuvir, </w:t>
      </w:r>
      <w:r w:rsidRPr="00744456">
        <w:t>velpatasvir</w:t>
      </w:r>
      <w:r>
        <w:t xml:space="preserve"> and voxilaprevir have not been conducted as they all individually lack antigenic properties and are acceptable.</w:t>
      </w:r>
    </w:p>
    <w:p w:rsidR="004C5E42" w:rsidRPr="00453DEA" w:rsidRDefault="004C5E42" w:rsidP="004C5E42">
      <w:pPr>
        <w:pStyle w:val="Heading4"/>
      </w:pPr>
      <w:r w:rsidRPr="00453DEA">
        <w:t>Impurities</w:t>
      </w:r>
    </w:p>
    <w:p w:rsidR="004C5E42" w:rsidRDefault="004C5E42" w:rsidP="004C5E42">
      <w:r w:rsidRPr="00453DEA">
        <w:t>The proposed specifications for impurities</w:t>
      </w:r>
      <w:r>
        <w:t xml:space="preserve"> </w:t>
      </w:r>
      <w:r w:rsidRPr="00453DEA">
        <w:t xml:space="preserve">have been adequately qualified. All identified impurities have been assessed for potential mutagenicity </w:t>
      </w:r>
      <w:r>
        <w:t xml:space="preserve">and </w:t>
      </w:r>
      <w:r w:rsidRPr="00453DEA">
        <w:t>are considered non-mutagenic</w:t>
      </w:r>
      <w:r>
        <w:t>.</w:t>
      </w:r>
    </w:p>
    <w:p w:rsidR="004C5E42" w:rsidRDefault="004C5E42" w:rsidP="004C5E42">
      <w:pPr>
        <w:pStyle w:val="Heading4"/>
      </w:pPr>
      <w:r>
        <w:t>Phototoxicity</w:t>
      </w:r>
    </w:p>
    <w:p w:rsidR="004C5E42" w:rsidRPr="00F801F9" w:rsidRDefault="004C5E42" w:rsidP="004C5E42">
      <w:r w:rsidRPr="00F801F9">
        <w:t xml:space="preserve">Voxilaprevir </w:t>
      </w:r>
      <w:r>
        <w:t xml:space="preserve">was </w:t>
      </w:r>
      <w:r w:rsidRPr="00F801F9">
        <w:t xml:space="preserve">phototoxic </w:t>
      </w:r>
      <w:r>
        <w:t xml:space="preserve">under </w:t>
      </w:r>
      <w:r w:rsidRPr="00856FEB">
        <w:rPr>
          <w:i/>
        </w:rPr>
        <w:t>in vitro</w:t>
      </w:r>
      <w:r>
        <w:t xml:space="preserve"> conditions </w:t>
      </w:r>
      <w:r w:rsidRPr="00F801F9">
        <w:t xml:space="preserve">in the </w:t>
      </w:r>
      <w:proofErr w:type="spellStart"/>
      <w:r w:rsidRPr="00F801F9">
        <w:t>Balb</w:t>
      </w:r>
      <w:proofErr w:type="spellEnd"/>
      <w:r w:rsidRPr="00F801F9">
        <w:t>/c3T3 neutral red uptake assay</w:t>
      </w:r>
      <w:r>
        <w:t>.</w:t>
      </w:r>
      <w:r w:rsidRPr="00F801F9">
        <w:t xml:space="preserve"> </w:t>
      </w:r>
      <w:r>
        <w:t>H</w:t>
      </w:r>
      <w:r w:rsidRPr="00F801F9">
        <w:t>owever</w:t>
      </w:r>
      <w:r>
        <w:t>,</w:t>
      </w:r>
      <w:r w:rsidRPr="00F801F9">
        <w:t xml:space="preserve"> </w:t>
      </w:r>
      <w:r>
        <w:t xml:space="preserve">there was no evidence of phototoxicity </w:t>
      </w:r>
      <w:r w:rsidRPr="00F801F9">
        <w:t>in a multiple dose photo</w:t>
      </w:r>
      <w:r>
        <w:t>to</w:t>
      </w:r>
      <w:r w:rsidRPr="00F801F9">
        <w:t>xicity study in Long-Evans pigmented rats at oral doses up to 100</w:t>
      </w:r>
      <w:r w:rsidR="00AA5E62">
        <w:t xml:space="preserve"> mg</w:t>
      </w:r>
      <w:r w:rsidRPr="00F801F9">
        <w:t>/kg/</w:t>
      </w:r>
      <w:proofErr w:type="gramStart"/>
      <w:r w:rsidRPr="00F801F9">
        <w:t>day,</w:t>
      </w:r>
      <w:proofErr w:type="gramEnd"/>
      <w:r w:rsidRPr="00F801F9">
        <w:t xml:space="preserve"> hence no further photo</w:t>
      </w:r>
      <w:r>
        <w:t>to</w:t>
      </w:r>
      <w:r w:rsidRPr="00F801F9">
        <w:t>xicity testing was warranted</w:t>
      </w:r>
      <w:r w:rsidR="00507436">
        <w:t>.</w:t>
      </w:r>
      <w:r>
        <w:rPr>
          <w:rStyle w:val="FootnoteReference"/>
          <w:kern w:val="2"/>
          <w:szCs w:val="20"/>
        </w:rPr>
        <w:footnoteReference w:id="14"/>
      </w:r>
    </w:p>
    <w:p w:rsidR="004C5E42" w:rsidRPr="00EB69F1" w:rsidRDefault="004C5E42" w:rsidP="004C5E42">
      <w:pPr>
        <w:pStyle w:val="Heading4"/>
      </w:pPr>
      <w:r w:rsidRPr="00EB69F1">
        <w:t>Paediatric use</w:t>
      </w:r>
    </w:p>
    <w:p w:rsidR="004C5E42" w:rsidRPr="00E64A3B" w:rsidRDefault="004C5E42" w:rsidP="004C5E42">
      <w:r>
        <w:t>Voxilaprevir is not proposed for paediatric use and no specific studies in juvenile animals were submitted.</w:t>
      </w:r>
    </w:p>
    <w:p w:rsidR="004C5E42" w:rsidRPr="00EB69F1" w:rsidRDefault="004C5E42" w:rsidP="004C5E42">
      <w:pPr>
        <w:pStyle w:val="Heading4"/>
      </w:pPr>
      <w:bookmarkStart w:id="62" w:name="_Toc494287178"/>
      <w:r w:rsidRPr="00EB69F1">
        <w:t>Comments on the</w:t>
      </w:r>
      <w:r>
        <w:t xml:space="preserve"> Nonclinical</w:t>
      </w:r>
      <w:r w:rsidRPr="00EB69F1">
        <w:t xml:space="preserve"> Safety Specification of the Risk Management Plan</w:t>
      </w:r>
      <w:bookmarkEnd w:id="62"/>
    </w:p>
    <w:p w:rsidR="004C5E42" w:rsidRPr="00093F67" w:rsidRDefault="004C5E42" w:rsidP="004C5E42">
      <w:r w:rsidRPr="000D1DCD">
        <w:t>Results and conclusions drawn from the nonclinical program for voxilaprevir detailed in the spons</w:t>
      </w:r>
      <w:r w:rsidR="00062A08">
        <w:t>or’s draft Risk Management Plan</w:t>
      </w:r>
      <w:r w:rsidR="00CF4334">
        <w:t xml:space="preserve"> (RMP)</w:t>
      </w:r>
      <w:r w:rsidRPr="000D1DCD">
        <w:t xml:space="preserve"> are in general concordance with thos</w:t>
      </w:r>
      <w:bookmarkStart w:id="63" w:name="_Toc295290868"/>
      <w:r>
        <w:t xml:space="preserve">e of the </w:t>
      </w:r>
      <w:r w:rsidR="00062A08">
        <w:t>nonclinical evaluator.</w:t>
      </w:r>
    </w:p>
    <w:p w:rsidR="008E7846" w:rsidRDefault="008E7846" w:rsidP="008E7846">
      <w:pPr>
        <w:pStyle w:val="Heading3"/>
      </w:pPr>
      <w:bookmarkStart w:id="64" w:name="_Toc247691515"/>
      <w:bookmarkStart w:id="65" w:name="_Toc314842499"/>
      <w:bookmarkStart w:id="66" w:name="_Toc8291119"/>
      <w:bookmarkEnd w:id="63"/>
      <w:r>
        <w:t>Nonclinical summary and conclusions</w:t>
      </w:r>
      <w:bookmarkEnd w:id="64"/>
      <w:bookmarkEnd w:id="65"/>
      <w:bookmarkEnd w:id="66"/>
    </w:p>
    <w:p w:rsidR="002D6BA0" w:rsidRPr="00D53A42" w:rsidRDefault="002D6BA0" w:rsidP="005B1951">
      <w:pPr>
        <w:pStyle w:val="ListBullet"/>
      </w:pPr>
      <w:r w:rsidRPr="00D53A42">
        <w:t xml:space="preserve">The nonclinical dossier was of high quality. </w:t>
      </w:r>
      <w:r>
        <w:t>Pivotal core safety pharmacology, toxicokinetic and repeat</w:t>
      </w:r>
      <w:r w:rsidR="00062A08">
        <w:t xml:space="preserve"> dose toxicity studies were GLP </w:t>
      </w:r>
      <w:r>
        <w:t>compliant and were generally conducted in accordance with ICH guideline</w:t>
      </w:r>
      <w:r w:rsidR="00062A08">
        <w:t>.</w:t>
      </w:r>
      <w:r w:rsidR="00062A08">
        <w:rPr>
          <w:rStyle w:val="FootnoteReference"/>
        </w:rPr>
        <w:footnoteReference w:id="15"/>
      </w:r>
    </w:p>
    <w:p w:rsidR="002D6BA0" w:rsidRDefault="002D6BA0" w:rsidP="005B1951">
      <w:pPr>
        <w:pStyle w:val="ListBullet"/>
      </w:pPr>
      <w:r>
        <w:t xml:space="preserve">Primary pharmacology studies were conducted entirely </w:t>
      </w:r>
      <w:r w:rsidRPr="00856FEB">
        <w:rPr>
          <w:i/>
        </w:rPr>
        <w:t>in vitro</w:t>
      </w:r>
      <w:r>
        <w:rPr>
          <w:i/>
        </w:rPr>
        <w:t xml:space="preserve"> </w:t>
      </w:r>
      <w:r w:rsidRPr="00F824FF">
        <w:t>using HCV replicons</w:t>
      </w:r>
      <w:r>
        <w:t xml:space="preserve"> (including chimeric replicon carrying HCV NS3 genes from clinical isolates) or in cells infected with genotype 2a </w:t>
      </w:r>
      <w:r w:rsidRPr="008F4F61">
        <w:t>J6/</w:t>
      </w:r>
      <w:r>
        <w:t>JFH-1 infectious virus. Voxilaprevir inhibited proteolytic activity of recombinant NS3/4a enzymes from clinical isolates of HCV genotypes 1b and 3a with K</w:t>
      </w:r>
      <w:r w:rsidRPr="008E7834">
        <w:rPr>
          <w:vertAlign w:val="subscript"/>
        </w:rPr>
        <w:t>i</w:t>
      </w:r>
      <w:r>
        <w:t xml:space="preserve"> values of 38 and 66 </w:t>
      </w:r>
      <w:proofErr w:type="spellStart"/>
      <w:r>
        <w:t>pM</w:t>
      </w:r>
      <w:proofErr w:type="spellEnd"/>
      <w:r>
        <w:t>, respectively. Mode of inhibition was determined to be competitive and binding to NS3 active site was noncovalent.</w:t>
      </w:r>
    </w:p>
    <w:p w:rsidR="002D6BA0" w:rsidRDefault="002D6BA0" w:rsidP="005B1951">
      <w:pPr>
        <w:pStyle w:val="ListBullet"/>
      </w:pPr>
      <w:r w:rsidRPr="00170298">
        <w:lastRenderedPageBreak/>
        <w:t xml:space="preserve">Voxilaprevir demonstrated </w:t>
      </w:r>
      <w:r w:rsidR="007E0F0B">
        <w:t>pan-genotypic</w:t>
      </w:r>
      <w:r w:rsidRPr="00170298">
        <w:t xml:space="preserve"> inhibition with median EC</w:t>
      </w:r>
      <w:r w:rsidRPr="00170298">
        <w:rPr>
          <w:vertAlign w:val="subscript"/>
        </w:rPr>
        <w:t>50</w:t>
      </w:r>
      <w:r w:rsidR="00062A08">
        <w:t xml:space="preserve"> values of 0.2 to </w:t>
      </w:r>
      <w:r w:rsidRPr="00170298">
        <w:t xml:space="preserve">6.6 </w:t>
      </w:r>
      <w:proofErr w:type="spellStart"/>
      <w:r w:rsidRPr="00170298">
        <w:t>nM</w:t>
      </w:r>
      <w:proofErr w:type="spellEnd"/>
      <w:r w:rsidRPr="00170298">
        <w:t xml:space="preserve"> against full length or chimeric laboratory isolates and clinical isolates from subtypes 1a, 2a, 2b, 3a, 4a, 4d, 4r, 5a, 6a, 6e and 6n and infectious genotype 2a</w:t>
      </w:r>
      <w:r w:rsidR="00CF4334">
        <w:t> </w:t>
      </w:r>
      <w:r w:rsidRPr="00170298">
        <w:t>J6/JFH</w:t>
      </w:r>
      <w:r w:rsidR="00CF4334">
        <w:noBreakHyphen/>
      </w:r>
      <w:r w:rsidRPr="00170298">
        <w:t xml:space="preserve">1. In presence of 40% human serum the voxilaprevir activity was reduced by 7 fold and in 40% human plasma </w:t>
      </w:r>
      <w:r>
        <w:t>it was reduced by 12 fold.</w:t>
      </w:r>
    </w:p>
    <w:p w:rsidR="002D6BA0" w:rsidRPr="00170298" w:rsidRDefault="002D6BA0" w:rsidP="005B1951">
      <w:pPr>
        <w:pStyle w:val="ListBullet"/>
      </w:pPr>
      <w:r>
        <w:t>Polymorphisms in the NS3 protease active site did not significantly impact anti-HCV activity of voxilaprevir.</w:t>
      </w:r>
    </w:p>
    <w:p w:rsidR="002D6BA0" w:rsidRPr="008F4F61" w:rsidRDefault="002D6BA0" w:rsidP="005B1951">
      <w:pPr>
        <w:pStyle w:val="ListBullet"/>
      </w:pPr>
      <w:r w:rsidRPr="008F4F61">
        <w:t xml:space="preserve">The primary </w:t>
      </w:r>
      <w:r w:rsidRPr="00856FEB">
        <w:rPr>
          <w:i/>
        </w:rPr>
        <w:t>in vitro</w:t>
      </w:r>
      <w:r w:rsidRPr="008F4F61">
        <w:t xml:space="preserve"> resistance mutations to voxilaprevir were located in the NS3 protease domain and occurred at</w:t>
      </w:r>
      <w:r>
        <w:t xml:space="preserve"> </w:t>
      </w:r>
      <w:r w:rsidRPr="008F4F61">
        <w:t>amino acid positions 41, 156 and 168. Substitutions conferring a greater than 100</w:t>
      </w:r>
      <w:r w:rsidR="00C4145D">
        <w:t xml:space="preserve"> fold</w:t>
      </w:r>
      <w:r w:rsidRPr="008F4F61">
        <w:t xml:space="preserve"> reduction in voxilaprevir susceptibility were </w:t>
      </w:r>
      <w:r>
        <w:t xml:space="preserve">A156L/T in genotype1a, </w:t>
      </w:r>
      <w:r w:rsidRPr="008F4F61">
        <w:t>A156T/V in genotype 1b, A156L/T/V in genotype 2a, A156T/V in genotype 3a, and A156 L/T/V in genotype 4. Variants at position 168 showed no t</w:t>
      </w:r>
      <w:r w:rsidR="00062A08">
        <w:t>o low levels of resistance (1.5 to 17.8</w:t>
      </w:r>
      <w:r w:rsidRPr="008F4F61">
        <w:t xml:space="preserve"> fold). In genotypes 5 and 6, double mutants Q41R+D168H/Y and Q41R+D168H conferred higher levels of</w:t>
      </w:r>
      <w:r w:rsidR="00062A08">
        <w:t xml:space="preserve"> resistance to voxilaprevir (35 to 39</w:t>
      </w:r>
      <w:r w:rsidRPr="008F4F61">
        <w:t xml:space="preserve"> fold) co</w:t>
      </w:r>
      <w:r w:rsidR="00062A08">
        <w:t>mpared with single mutants (2.7</w:t>
      </w:r>
      <w:r w:rsidRPr="008F4F61">
        <w:t xml:space="preserve"> to 13.5</w:t>
      </w:r>
      <w:r w:rsidR="00C4145D">
        <w:t xml:space="preserve"> fold</w:t>
      </w:r>
      <w:r w:rsidRPr="008F4F61">
        <w:t>).</w:t>
      </w:r>
    </w:p>
    <w:p w:rsidR="002D6BA0" w:rsidRDefault="002D6BA0" w:rsidP="005B1951">
      <w:pPr>
        <w:pStyle w:val="ListBullet"/>
      </w:pPr>
      <w:r w:rsidRPr="00EA72C3">
        <w:t xml:space="preserve">Voxilaprevir </w:t>
      </w:r>
      <w:r>
        <w:t xml:space="preserve">demonstrated improved antiviral activity against other currently approved protease inhibitors and </w:t>
      </w:r>
      <w:r w:rsidRPr="00EA72C3">
        <w:t xml:space="preserve">was active against major clinically significant </w:t>
      </w:r>
      <w:r>
        <w:t xml:space="preserve">resistant associated variants </w:t>
      </w:r>
      <w:r w:rsidRPr="00170298">
        <w:t xml:space="preserve">(RAVs), </w:t>
      </w:r>
      <w:r w:rsidRPr="00EA72C3">
        <w:t>including</w:t>
      </w:r>
      <w:r>
        <w:t xml:space="preserve"> Q80K (</w:t>
      </w:r>
      <w:r w:rsidR="00476CD0">
        <w:t xml:space="preserve">&lt; </w:t>
      </w:r>
      <w:r>
        <w:t>1 fold resistance),</w:t>
      </w:r>
      <w:r w:rsidRPr="00EA72C3">
        <w:t xml:space="preserve"> R155K (</w:t>
      </w:r>
      <w:r w:rsidR="00476CD0">
        <w:t>&lt;</w:t>
      </w:r>
      <w:r w:rsidR="00CF4334">
        <w:t> </w:t>
      </w:r>
      <w:r w:rsidRPr="00EA72C3">
        <w:t>2</w:t>
      </w:r>
      <w:r w:rsidR="00CF4334">
        <w:t> </w:t>
      </w:r>
      <w:r w:rsidR="00C4145D">
        <w:t>fold</w:t>
      </w:r>
      <w:r w:rsidR="00062A08">
        <w:t xml:space="preserve"> resistance) and D168A/E/V (2</w:t>
      </w:r>
      <w:r w:rsidRPr="00EA72C3">
        <w:t xml:space="preserve"> to 20</w:t>
      </w:r>
      <w:r w:rsidR="00C4145D">
        <w:t xml:space="preserve"> fold</w:t>
      </w:r>
      <w:r>
        <w:t>). Voxilaprevir was fully active against NS5A inhibitor and nucleoside and nonnucleoside NS5B inhibitor RAVs.</w:t>
      </w:r>
    </w:p>
    <w:p w:rsidR="00476CD0" w:rsidRDefault="002D6BA0" w:rsidP="005B1951">
      <w:pPr>
        <w:pStyle w:val="ListBullet"/>
      </w:pPr>
      <w:r>
        <w:t xml:space="preserve">Voxilaprevir showed: no significant antiviral activity against unrelated viruses; low level cytotoxicity </w:t>
      </w:r>
      <w:r w:rsidRPr="00856FEB">
        <w:rPr>
          <w:i/>
        </w:rPr>
        <w:t>in vitro</w:t>
      </w:r>
      <w:r>
        <w:t>; no off target activity and no notable safety pharmacodynamic activity in a battery of safety pharmacology studies that included the CNS, cardiovascular and respiratory systems</w:t>
      </w:r>
      <w:r w:rsidR="00476CD0">
        <w:t>.</w:t>
      </w:r>
    </w:p>
    <w:p w:rsidR="00476CD0" w:rsidRDefault="002D6BA0" w:rsidP="005B1951">
      <w:pPr>
        <w:pStyle w:val="ListBullet"/>
      </w:pPr>
      <w:r w:rsidRPr="008C5D85">
        <w:t xml:space="preserve">Voxilaprevir </w:t>
      </w:r>
      <w:r>
        <w:t>generally showed additive antiviral activity when tested in combination with other anti-HCV inhibitors (including sofosbuvir and velpatasvir) and anti HIV agents. The only exception was in combination with ribavirin, where minor synergistic effect was observed</w:t>
      </w:r>
      <w:r w:rsidR="00476CD0">
        <w:t>.</w:t>
      </w:r>
    </w:p>
    <w:p w:rsidR="00476CD0" w:rsidRDefault="002D6BA0" w:rsidP="005B1951">
      <w:pPr>
        <w:pStyle w:val="ListBullet"/>
      </w:pPr>
      <w:r w:rsidRPr="00EF049D">
        <w:t xml:space="preserve">Overall, the pharmacokinetic profile in animals </w:t>
      </w:r>
      <w:r>
        <w:t>is comparable to that in</w:t>
      </w:r>
      <w:r w:rsidRPr="00EF049D">
        <w:t xml:space="preserve"> humans</w:t>
      </w:r>
      <w:r w:rsidR="00062A08">
        <w:t xml:space="preserve"> although inter </w:t>
      </w:r>
      <w:r>
        <w:t xml:space="preserve">species differences were observed. </w:t>
      </w:r>
      <w:r w:rsidRPr="00FE4E3E">
        <w:t>Voxilaprevir was absorbed quickly following oral solution administration, reaching maximal plasma concentrations (</w:t>
      </w:r>
      <w:proofErr w:type="spellStart"/>
      <w:r w:rsidRPr="00FE4E3E">
        <w:t>C</w:t>
      </w:r>
      <w:r w:rsidRPr="00FE4E3E">
        <w:rPr>
          <w:vertAlign w:val="subscript"/>
        </w:rPr>
        <w:t>max</w:t>
      </w:r>
      <w:proofErr w:type="spellEnd"/>
      <w:r w:rsidRPr="00FE4E3E">
        <w:t>) between 1.3 to 2.0 h</w:t>
      </w:r>
      <w:r w:rsidR="00062A08">
        <w:t>ours</w:t>
      </w:r>
      <w:r w:rsidRPr="00FE4E3E">
        <w:t xml:space="preserve"> post</w:t>
      </w:r>
      <w:r>
        <w:t xml:space="preserve"> </w:t>
      </w:r>
      <w:r w:rsidRPr="00FE4E3E">
        <w:t xml:space="preserve">dose in </w:t>
      </w:r>
      <w:r>
        <w:t>all species</w:t>
      </w:r>
      <w:r w:rsidRPr="00FE4E3E">
        <w:t xml:space="preserve">. The oral bioavailability </w:t>
      </w:r>
      <w:r>
        <w:t>was variable, being high in rats, moderate to low in dogs and monkeys. Systematic clearance was low in all the animals</w:t>
      </w:r>
      <w:r w:rsidR="00476CD0">
        <w:t>.</w:t>
      </w:r>
    </w:p>
    <w:p w:rsidR="002D6BA0" w:rsidRPr="004C374A" w:rsidRDefault="002D6BA0" w:rsidP="005B1951">
      <w:pPr>
        <w:pStyle w:val="ListBullet"/>
      </w:pPr>
      <w:r>
        <w:t>Plasma protein binding of voxilaprevir was high in all animal species and humans. Voxilaprevir accumulated in the liver, wit</w:t>
      </w:r>
      <w:r w:rsidR="00062A08">
        <w:t xml:space="preserve">h limited distribution to extra </w:t>
      </w:r>
      <w:r>
        <w:t>hepatic tissues. Elimination of voxilaprevir occurs predominantly via faeces as unchanged voxilaprevir. Biliary excretion of parent drug was the major route of elimination for voxilaprevir in all species.</w:t>
      </w:r>
    </w:p>
    <w:p w:rsidR="002D6BA0" w:rsidRPr="00797F50" w:rsidRDefault="002D6BA0" w:rsidP="005B1951">
      <w:pPr>
        <w:pStyle w:val="ListBullet"/>
      </w:pPr>
      <w:r>
        <w:t xml:space="preserve">Based on </w:t>
      </w:r>
      <w:r w:rsidRPr="00856FEB">
        <w:rPr>
          <w:i/>
        </w:rPr>
        <w:t>in vitro</w:t>
      </w:r>
      <w:r>
        <w:t xml:space="preserve"> studies voxilaprevir is an inhibitor of drug transporters P-</w:t>
      </w:r>
      <w:proofErr w:type="spellStart"/>
      <w:r>
        <w:t>gp</w:t>
      </w:r>
      <w:proofErr w:type="spellEnd"/>
      <w:r>
        <w:t xml:space="preserve">, BCRP, OATP1B1 and OATP1B3, </w:t>
      </w:r>
      <w:r w:rsidRPr="00085744">
        <w:t>OATP2B1 and its involvement in drug interactions with these transporters clinically is primarily limited to the process of absorption.</w:t>
      </w:r>
      <w:r>
        <w:t xml:space="preserve"> At clinically relevant concentrations, voxilaprevir is not an inhibitor of hepatic transporters OCT1, renal transporters OCT2, OAT1, </w:t>
      </w:r>
      <w:r w:rsidRPr="00797F50">
        <w:t>OAT3 or MATE1 or CYP or UGT1A1 enzymes.</w:t>
      </w:r>
    </w:p>
    <w:p w:rsidR="00476CD0" w:rsidRDefault="002D6BA0" w:rsidP="005B1951">
      <w:pPr>
        <w:pStyle w:val="ListBullet"/>
      </w:pPr>
      <w:r w:rsidRPr="00797F50">
        <w:t>No acute toxicity studies were conducted with voxilaprevir</w:t>
      </w:r>
      <w:r w:rsidR="00476CD0">
        <w:t>.</w:t>
      </w:r>
    </w:p>
    <w:p w:rsidR="002D6BA0" w:rsidRDefault="00AA5E62" w:rsidP="005B1951">
      <w:pPr>
        <w:pStyle w:val="ListBullet"/>
      </w:pPr>
      <w:r>
        <w:t>Repeat dose</w:t>
      </w:r>
      <w:r w:rsidR="002D6BA0">
        <w:t xml:space="preserve"> toxicity studies by the oral route were conducted in rats (up to 26 weeks) and dogs (up to 39 weeks). Maximum exposures were high in all species. Target organs for toxicity were GI tract (non</w:t>
      </w:r>
      <w:r w:rsidR="00062A08">
        <w:t>-</w:t>
      </w:r>
      <w:r w:rsidR="002D6BA0">
        <w:t xml:space="preserve">glandular stomach) and bile duct in the rat and gall bladder in the dog. In rats, minimal to moderate mixed cell infiltrates and submucosal </w:t>
      </w:r>
      <w:r w:rsidR="00062A08">
        <w:t>oedema</w:t>
      </w:r>
      <w:r w:rsidR="002D6BA0">
        <w:t xml:space="preserve"> were commonly observed in the non</w:t>
      </w:r>
      <w:r w:rsidR="00062A08">
        <w:t>-</w:t>
      </w:r>
      <w:r w:rsidR="002D6BA0">
        <w:t xml:space="preserve">glandular stomach and </w:t>
      </w:r>
      <w:r w:rsidR="002D6BA0">
        <w:lastRenderedPageBreak/>
        <w:t>minimal bile duct hyperplasia was observed which was not always reversible. Mild haematological changes indicative of mild blood loss in the glandular stomach and regenerative response was also observed in the rats. In dogs vomitus containing food was observed in all studies. Other findings included higher total bilirubin and urobilinogen. Epithelial vacuolation and slight epithelial hyperplasia (which was only partially reversible) was observed in the gall bladder in dogs.</w:t>
      </w:r>
    </w:p>
    <w:p w:rsidR="002D6BA0" w:rsidRPr="00297E02" w:rsidRDefault="002D6BA0" w:rsidP="005B1951">
      <w:pPr>
        <w:pStyle w:val="ListBullet"/>
      </w:pPr>
      <w:r w:rsidRPr="00297E02">
        <w:t>The potential genotoxicity of voxilaprevir was investigated in a standard battery of tests. The results were negative in all tests and voxilaprevir is unlikely to pose a mutagenic or clastogenic risk to humans. No carcinogenicity studies with voxilaprevir were submitted which is acceptable based on lack of genotoxicity and the proposed duration of treatment.</w:t>
      </w:r>
    </w:p>
    <w:p w:rsidR="002D6BA0" w:rsidRPr="00990460" w:rsidRDefault="002D6BA0" w:rsidP="005B1951">
      <w:pPr>
        <w:pStyle w:val="ListBullet"/>
      </w:pPr>
      <w:r w:rsidRPr="00990460">
        <w:t xml:space="preserve">Fertility was </w:t>
      </w:r>
      <w:r>
        <w:t>unaffected in male and female rats treated with voxilaprevir at exposure levels 150 times the exposure in humans at the recommended clinical dose. No effects on fetal development were observed in rats and rabbits at the highest doses tested (142 and 4</w:t>
      </w:r>
      <w:r w:rsidRPr="008C452A">
        <w:t xml:space="preserve"> times the exposure in humans at the recommended clinical dose</w:t>
      </w:r>
      <w:r>
        <w:t xml:space="preserve">). Voxilaprevir had no adverse effects on behaviour, reproduction or development </w:t>
      </w:r>
      <w:r w:rsidR="00062A08">
        <w:t>of the offspring in the rat pre</w:t>
      </w:r>
      <w:r>
        <w:t xml:space="preserve"> </w:t>
      </w:r>
      <w:r w:rsidR="00062A08">
        <w:t>and post-natal</w:t>
      </w:r>
      <w:r>
        <w:t xml:space="preserve"> development study at AUC exposures</w:t>
      </w:r>
      <w:r w:rsidR="0075442C">
        <w:t xml:space="preserve"> </w:t>
      </w:r>
      <w:r>
        <w:t>~ 238 fold higher than the human exposure at the recommended clinical dose.</w:t>
      </w:r>
    </w:p>
    <w:p w:rsidR="002D6BA0" w:rsidRPr="008C452A" w:rsidRDefault="002D6BA0" w:rsidP="005B1951">
      <w:pPr>
        <w:pStyle w:val="ListBullet"/>
        <w:rPr>
          <w:sz w:val="18"/>
          <w:szCs w:val="18"/>
        </w:rPr>
      </w:pPr>
      <w:r w:rsidRPr="008C452A">
        <w:t>The proposed limits for impurities have been adequately qualified. All identified impurities have been assessed for potential mutagenicity and are considered non-mutagenic.</w:t>
      </w:r>
    </w:p>
    <w:p w:rsidR="002D6BA0" w:rsidRPr="00EB69F1" w:rsidRDefault="005B1951" w:rsidP="005B1951">
      <w:pPr>
        <w:pStyle w:val="Heading4"/>
      </w:pPr>
      <w:bookmarkStart w:id="67" w:name="_Toc294861479"/>
      <w:bookmarkStart w:id="68" w:name="_Toc295290862"/>
      <w:bookmarkStart w:id="69" w:name="_Toc494287171"/>
      <w:r w:rsidRPr="00EB69F1">
        <w:t>Conclusions and recommendation</w:t>
      </w:r>
      <w:bookmarkEnd w:id="67"/>
      <w:bookmarkEnd w:id="68"/>
      <w:bookmarkEnd w:id="69"/>
    </w:p>
    <w:p w:rsidR="002D6BA0" w:rsidRPr="008C452A" w:rsidRDefault="002D6BA0" w:rsidP="005B1951">
      <w:pPr>
        <w:pStyle w:val="ListBullet"/>
      </w:pPr>
      <w:r w:rsidRPr="008C452A">
        <w:t xml:space="preserve">There are no deficiencies in the </w:t>
      </w:r>
      <w:r w:rsidR="00062A08">
        <w:t>nonclinical</w:t>
      </w:r>
      <w:r w:rsidRPr="008C452A">
        <w:t xml:space="preserve"> data for voxilaprevir</w:t>
      </w:r>
      <w:r w:rsidR="0075442C">
        <w:t>.</w:t>
      </w:r>
    </w:p>
    <w:p w:rsidR="002D6BA0" w:rsidRPr="00EB69F1" w:rsidRDefault="002D6BA0" w:rsidP="005B1951">
      <w:pPr>
        <w:pStyle w:val="ListBullet"/>
      </w:pPr>
      <w:r w:rsidRPr="006A2CE5">
        <w:t xml:space="preserve">Primary pharmacology studies established anti-HCV activity </w:t>
      </w:r>
      <w:r w:rsidRPr="00856FEB">
        <w:rPr>
          <w:i/>
        </w:rPr>
        <w:t>in</w:t>
      </w:r>
      <w:r w:rsidR="00856FEB">
        <w:rPr>
          <w:i/>
        </w:rPr>
        <w:t xml:space="preserve"> </w:t>
      </w:r>
      <w:r w:rsidRPr="00856FEB">
        <w:rPr>
          <w:i/>
        </w:rPr>
        <w:t>vitro</w:t>
      </w:r>
      <w:r w:rsidRPr="006A2CE5">
        <w:t xml:space="preserve"> against HCV genotypes 1</w:t>
      </w:r>
      <w:r w:rsidR="0075442C">
        <w:t xml:space="preserve"> to </w:t>
      </w:r>
      <w:r w:rsidRPr="006A2CE5">
        <w:t>6</w:t>
      </w:r>
      <w:r w:rsidR="0075442C">
        <w:t>.</w:t>
      </w:r>
    </w:p>
    <w:p w:rsidR="002D6BA0" w:rsidRPr="006A2CE5" w:rsidRDefault="002D6BA0" w:rsidP="005B1951">
      <w:pPr>
        <w:pStyle w:val="ListBullet"/>
      </w:pPr>
      <w:r w:rsidRPr="006A2CE5">
        <w:t>No clinically relevant hazards were identified in safety studies</w:t>
      </w:r>
      <w:r w:rsidR="0075442C">
        <w:t>.</w:t>
      </w:r>
    </w:p>
    <w:p w:rsidR="002D6BA0" w:rsidRPr="006A2CE5" w:rsidRDefault="002D6BA0" w:rsidP="005B1951">
      <w:pPr>
        <w:pStyle w:val="ListBullet"/>
      </w:pPr>
      <w:r w:rsidRPr="006A2CE5">
        <w:t>Voxilaprevir is an inhibitor of drug transporters P-</w:t>
      </w:r>
      <w:proofErr w:type="spellStart"/>
      <w:r w:rsidRPr="006A2CE5">
        <w:t>gp</w:t>
      </w:r>
      <w:proofErr w:type="spellEnd"/>
      <w:r w:rsidRPr="006A2CE5">
        <w:t>, BCRP, OATP1B1 and OATP1B3, OATP2B1 and its involvement in drug interactions with these transporters clinically is primarily limited to the process of absorption. At clinically relevant concentrations, voxilaprevir is not an inhibitor of hepatic transporters OCT1, renal transporters OCT2, OAT1, OAT3 or MATE1 or CYP or UGT1A1 enzymes</w:t>
      </w:r>
      <w:r w:rsidR="0075442C">
        <w:t>.</w:t>
      </w:r>
    </w:p>
    <w:p w:rsidR="002D6BA0" w:rsidRPr="006A2CE5" w:rsidRDefault="00AA5E62" w:rsidP="005B1951">
      <w:pPr>
        <w:pStyle w:val="ListBullet"/>
      </w:pPr>
      <w:r>
        <w:t>Repeat dose</w:t>
      </w:r>
      <w:r w:rsidR="002D6BA0" w:rsidRPr="006A2CE5">
        <w:t xml:space="preserve"> toxicity studies identified the gall bladder as the potential target for toxicity, but effects on these are not expected in patients</w:t>
      </w:r>
      <w:r w:rsidR="0075442C">
        <w:t>.</w:t>
      </w:r>
    </w:p>
    <w:p w:rsidR="002D6BA0" w:rsidRPr="006A2CE5" w:rsidRDefault="002D6BA0" w:rsidP="005B1951">
      <w:pPr>
        <w:pStyle w:val="ListBullet"/>
      </w:pPr>
      <w:r w:rsidRPr="006A2CE5">
        <w:t>Voxilaprevir was not genotoxic, and carcinogenicity studies are not warranted</w:t>
      </w:r>
      <w:r w:rsidR="0075442C">
        <w:t>.</w:t>
      </w:r>
    </w:p>
    <w:p w:rsidR="00476CD0" w:rsidRPr="00856FEB" w:rsidRDefault="002D6BA0" w:rsidP="005B1951">
      <w:pPr>
        <w:pStyle w:val="ListBullet"/>
        <w:rPr>
          <w:vertAlign w:val="superscript"/>
        </w:rPr>
      </w:pPr>
      <w:r w:rsidRPr="006A2CE5">
        <w:t>There was no evidence of reproductive toxicity with voxilaprevir and Australian Pregnancy category B1 is appropriate</w:t>
      </w:r>
      <w:r w:rsidR="0075442C">
        <w:t>.</w:t>
      </w:r>
      <w:r w:rsidR="0075442C" w:rsidRPr="00856FEB">
        <w:rPr>
          <w:vertAlign w:val="superscript"/>
        </w:rPr>
        <w:fldChar w:fldCharType="begin"/>
      </w:r>
      <w:r w:rsidR="0075442C" w:rsidRPr="00856FEB">
        <w:rPr>
          <w:vertAlign w:val="superscript"/>
        </w:rPr>
        <w:instrText xml:space="preserve"> NOTEREF _Ref529346610 \h </w:instrText>
      </w:r>
      <w:r w:rsidR="0075442C">
        <w:rPr>
          <w:vertAlign w:val="superscript"/>
        </w:rPr>
        <w:instrText xml:space="preserve"> \* MERGEFORMAT </w:instrText>
      </w:r>
      <w:r w:rsidR="0075442C" w:rsidRPr="00856FEB">
        <w:rPr>
          <w:vertAlign w:val="superscript"/>
        </w:rPr>
      </w:r>
      <w:r w:rsidR="0075442C" w:rsidRPr="00856FEB">
        <w:rPr>
          <w:vertAlign w:val="superscript"/>
        </w:rPr>
        <w:fldChar w:fldCharType="separate"/>
      </w:r>
      <w:r w:rsidR="0075442C" w:rsidRPr="00856FEB">
        <w:rPr>
          <w:vertAlign w:val="superscript"/>
        </w:rPr>
        <w:t>13</w:t>
      </w:r>
      <w:r w:rsidR="0075442C" w:rsidRPr="00856FEB">
        <w:rPr>
          <w:vertAlign w:val="superscript"/>
        </w:rPr>
        <w:fldChar w:fldCharType="end"/>
      </w:r>
    </w:p>
    <w:p w:rsidR="002D6BA0" w:rsidRDefault="002D6BA0" w:rsidP="005B1951">
      <w:pPr>
        <w:pStyle w:val="ListBullet"/>
      </w:pPr>
      <w:r w:rsidRPr="006A2CE5">
        <w:t>There are no nonclinical objections to registration of voxilaprevir</w:t>
      </w:r>
      <w:r w:rsidR="0075442C">
        <w:t>.</w:t>
      </w:r>
    </w:p>
    <w:p w:rsidR="002D6BA0" w:rsidRPr="006A2CE5" w:rsidRDefault="002D6BA0" w:rsidP="005B1951">
      <w:pPr>
        <w:pStyle w:val="ListBullet"/>
      </w:pPr>
      <w:r w:rsidRPr="006A2CE5">
        <w:t>Based on the nonclinical data p</w:t>
      </w:r>
      <w:r>
        <w:t>rovided in this submission for voxilaprevir</w:t>
      </w:r>
      <w:r w:rsidRPr="006A2CE5">
        <w:t xml:space="preserve"> and evaluated in the previous submission for sofosbuvir</w:t>
      </w:r>
      <w:r>
        <w:t xml:space="preserve"> and velpatasvir</w:t>
      </w:r>
      <w:r w:rsidRPr="006A2CE5">
        <w:t xml:space="preserve"> there are no nonclinical objections to the registration of </w:t>
      </w:r>
      <w:r w:rsidR="00476CD0">
        <w:t>Vosevi</w:t>
      </w:r>
      <w:r w:rsidRPr="006A2CE5">
        <w:t>.</w:t>
      </w:r>
    </w:p>
    <w:p w:rsidR="002D6BA0" w:rsidRDefault="002D6BA0" w:rsidP="002D6BA0">
      <w:r w:rsidRPr="00B91B8D">
        <w:rPr>
          <w:kern w:val="2"/>
        </w:rPr>
        <w:t>The</w:t>
      </w:r>
      <w:r w:rsidR="00062A08">
        <w:rPr>
          <w:kern w:val="2"/>
        </w:rPr>
        <w:t xml:space="preserve"> nonclinical evaluator also made comments on the</w:t>
      </w:r>
      <w:r w:rsidRPr="00B91B8D">
        <w:rPr>
          <w:kern w:val="2"/>
        </w:rPr>
        <w:t xml:space="preserve"> draft </w:t>
      </w:r>
      <w:r w:rsidR="00062A08">
        <w:rPr>
          <w:kern w:val="2"/>
        </w:rPr>
        <w:t>PI</w:t>
      </w:r>
      <w:r w:rsidRPr="00B91B8D">
        <w:rPr>
          <w:kern w:val="2"/>
        </w:rPr>
        <w:t xml:space="preserve"> </w:t>
      </w:r>
      <w:r w:rsidR="00062A08">
        <w:rPr>
          <w:kern w:val="2"/>
        </w:rPr>
        <w:t>but these are beyond the scope of the AusPAR.</w:t>
      </w:r>
    </w:p>
    <w:p w:rsidR="008E7846" w:rsidRPr="00254787" w:rsidRDefault="008E7846" w:rsidP="004B51BC">
      <w:pPr>
        <w:pStyle w:val="Heading2"/>
        <w:pageBreakBefore/>
      </w:pPr>
      <w:bookmarkStart w:id="70" w:name="_Toc196046462"/>
      <w:bookmarkStart w:id="71" w:name="_Toc247691516"/>
      <w:bookmarkStart w:id="72" w:name="_Toc314842500"/>
      <w:bookmarkStart w:id="73" w:name="_Toc163441353"/>
      <w:bookmarkStart w:id="74" w:name="_Toc163441348"/>
      <w:bookmarkStart w:id="75" w:name="_Toc8291120"/>
      <w:r>
        <w:lastRenderedPageBreak/>
        <w:t xml:space="preserve">V. </w:t>
      </w:r>
      <w:r w:rsidRPr="00254787">
        <w:t>Clinical</w:t>
      </w:r>
      <w:bookmarkEnd w:id="70"/>
      <w:r>
        <w:t xml:space="preserve"> </w:t>
      </w:r>
      <w:r w:rsidR="003A7F6C">
        <w:t>f</w:t>
      </w:r>
      <w:r>
        <w:t>indings</w:t>
      </w:r>
      <w:bookmarkEnd w:id="71"/>
      <w:bookmarkEnd w:id="72"/>
      <w:bookmarkEnd w:id="75"/>
    </w:p>
    <w:p w:rsidR="00C80137" w:rsidRDefault="00C80137" w:rsidP="00D425BB">
      <w:bookmarkStart w:id="76" w:name="_Toc196046463"/>
      <w:r>
        <w:t xml:space="preserve">A summary of the </w:t>
      </w:r>
      <w:r w:rsidRPr="00FD70B8">
        <w:t>clinical findings is presented in this section.</w:t>
      </w:r>
    </w:p>
    <w:p w:rsidR="008E7846" w:rsidRDefault="008E7846" w:rsidP="008E7846">
      <w:pPr>
        <w:pStyle w:val="Heading3"/>
      </w:pPr>
      <w:bookmarkStart w:id="77" w:name="_Toc247691517"/>
      <w:bookmarkStart w:id="78" w:name="_Toc314842501"/>
      <w:bookmarkStart w:id="79" w:name="_Toc8291121"/>
      <w:r w:rsidRPr="00254787">
        <w:t>Introduction</w:t>
      </w:r>
      <w:bookmarkEnd w:id="76"/>
      <w:bookmarkEnd w:id="77"/>
      <w:bookmarkEnd w:id="78"/>
      <w:bookmarkEnd w:id="79"/>
    </w:p>
    <w:p w:rsidR="001F05BF" w:rsidRPr="001F05BF" w:rsidRDefault="001F05BF" w:rsidP="001F05BF">
      <w:pPr>
        <w:pStyle w:val="Heading4"/>
      </w:pPr>
      <w:bookmarkStart w:id="80" w:name="_Toc496265938"/>
      <w:r w:rsidRPr="001F05BF">
        <w:t>Drug class and therapeutic indication</w:t>
      </w:r>
      <w:bookmarkEnd w:id="80"/>
    </w:p>
    <w:p w:rsidR="00476CD0" w:rsidRDefault="001F05BF" w:rsidP="001F05BF">
      <w:r w:rsidRPr="001F05BF">
        <w:t xml:space="preserve">Sofosbuvir is a nucleotide </w:t>
      </w:r>
      <w:r w:rsidR="003A5113" w:rsidRPr="001F05BF">
        <w:t>analogue</w:t>
      </w:r>
      <w:r w:rsidRPr="001F05BF">
        <w:t xml:space="preserve"> nonstructural protein 5B (NS5B) polymerase inhibitor approved in Australia for use in combination with other agents for the treatment of chronic HCV infection in adults (Sovaldi (sofosbuvir) tablets </w:t>
      </w:r>
      <w:r w:rsidR="000E1116">
        <w:t>(</w:t>
      </w:r>
      <w:r w:rsidRPr="001F05BF">
        <w:t>AUST R 211019</w:t>
      </w:r>
      <w:r w:rsidR="000E1116">
        <w:t>)</w:t>
      </w:r>
      <w:r w:rsidRPr="001F05BF">
        <w:t xml:space="preserve">, Harvoni (sofosbuvir/ ledipasvir) tablets </w:t>
      </w:r>
      <w:r w:rsidR="000E1116">
        <w:t>(</w:t>
      </w:r>
      <w:r w:rsidRPr="001F05BF">
        <w:t>AUST R 222848</w:t>
      </w:r>
      <w:r w:rsidR="000E1116">
        <w:t>)</w:t>
      </w:r>
      <w:r w:rsidRPr="001F05BF">
        <w:t xml:space="preserve">) and Epclusa (sofosbuvir/ velpatasvir) tablets </w:t>
      </w:r>
      <w:r w:rsidR="000E1116">
        <w:t>(</w:t>
      </w:r>
      <w:r w:rsidRPr="001F05BF">
        <w:t>AUST R 266823</w:t>
      </w:r>
      <w:r w:rsidR="000E1116">
        <w:t>)</w:t>
      </w:r>
      <w:r w:rsidRPr="001F05BF">
        <w:t>. Velpatasvir is a novel HCV nonstructural protein 5A (NS5A) inhibitor that has been developed in combination with SOF for the treatment of HCV infection. Voxilaprevir is a novel pan</w:t>
      </w:r>
      <w:r w:rsidR="003A5113">
        <w:t>-</w:t>
      </w:r>
      <w:r w:rsidRPr="001F05BF">
        <w:t>genotypic HCV NS3/4A protease inhibitor (</w:t>
      </w:r>
      <w:r w:rsidR="003A5113">
        <w:t>Pi</w:t>
      </w:r>
      <w:r w:rsidRPr="001F05BF">
        <w:t xml:space="preserve">) with potent antiviral activity across HCV genotypes and an improved resistance profile compared with other developed HCV NS3/4A </w:t>
      </w:r>
      <w:r w:rsidR="00EA6C30">
        <w:t>protease inhibitors</w:t>
      </w:r>
      <w:r w:rsidR="00476CD0">
        <w:t>.</w:t>
      </w:r>
    </w:p>
    <w:p w:rsidR="003A5113" w:rsidRDefault="001F05BF" w:rsidP="001F05BF">
      <w:r w:rsidRPr="001F05BF">
        <w:t>The proposed indication is:</w:t>
      </w:r>
    </w:p>
    <w:p w:rsidR="001F05BF" w:rsidRPr="003A5113" w:rsidRDefault="00476CD0" w:rsidP="003A5113">
      <w:pPr>
        <w:ind w:left="720"/>
        <w:rPr>
          <w:i/>
        </w:rPr>
      </w:pPr>
      <w:r w:rsidRPr="003A5113">
        <w:rPr>
          <w:i/>
        </w:rPr>
        <w:t>Vosevi</w:t>
      </w:r>
      <w:r w:rsidR="001F05BF" w:rsidRPr="003A5113">
        <w:rPr>
          <w:i/>
        </w:rPr>
        <w:t xml:space="preserve"> (sofosbuvir/velpatasvir/voxilaprevir </w:t>
      </w:r>
      <w:r w:rsidR="00D43BF2">
        <w:rPr>
          <w:i/>
        </w:rPr>
        <w:t>fixed dose</w:t>
      </w:r>
      <w:r w:rsidR="001F05BF" w:rsidRPr="003A5113">
        <w:rPr>
          <w:i/>
        </w:rPr>
        <w:t xml:space="preserve"> combination) is indicated for the treatment of chronic hepatitis C v</w:t>
      </w:r>
      <w:r w:rsidR="003A5113" w:rsidRPr="003A5113">
        <w:rPr>
          <w:i/>
        </w:rPr>
        <w:t>irus (HCV) infection in adults.</w:t>
      </w:r>
    </w:p>
    <w:p w:rsidR="001F05BF" w:rsidRPr="001F05BF" w:rsidRDefault="001F05BF" w:rsidP="001F05BF">
      <w:pPr>
        <w:pStyle w:val="Heading5"/>
      </w:pPr>
      <w:bookmarkStart w:id="81" w:name="_Toc496265943"/>
      <w:bookmarkStart w:id="82" w:name="_Toc196046464"/>
      <w:bookmarkStart w:id="83" w:name="_Toc247691518"/>
      <w:bookmarkStart w:id="84" w:name="_Toc314842502"/>
      <w:r w:rsidRPr="001F05BF">
        <w:t>Information on the condition being treated</w:t>
      </w:r>
      <w:bookmarkEnd w:id="81"/>
    </w:p>
    <w:p w:rsidR="00476CD0" w:rsidRDefault="001F05BF" w:rsidP="001F05BF">
      <w:r w:rsidRPr="001F05BF">
        <w:t>Hepatitis C virus infection is a global health challenge with an estimated 200 million individuals infected worldwide</w:t>
      </w:r>
      <w:r w:rsidR="003A5113">
        <w:t>.</w:t>
      </w:r>
      <w:r w:rsidR="003A5113">
        <w:rPr>
          <w:rStyle w:val="FootnoteReference"/>
        </w:rPr>
        <w:footnoteReference w:id="16"/>
      </w:r>
      <w:r w:rsidRPr="001F05BF">
        <w:t xml:space="preserve"> Approximately 80% of infections are related to IV drug use, with lesser numbers attributed to sexual transmission, blood transfusions and tattoos. Acute infections become chronic in 70% to 90% of cases and this leads commonly to cirrhosis, chronic liver failure, hepatocellular carcinoma, liver transplantation and death. </w:t>
      </w:r>
      <w:r w:rsidR="003A5113">
        <w:t xml:space="preserve">After 20 years of infection, 20 to </w:t>
      </w:r>
      <w:r w:rsidRPr="001F05BF">
        <w:t xml:space="preserve">30% of patients will </w:t>
      </w:r>
      <w:r w:rsidR="003A5113">
        <w:t xml:space="preserve">have progressed to cirrhosis, 5 to </w:t>
      </w:r>
      <w:r w:rsidRPr="001F05BF">
        <w:t xml:space="preserve">10% will have </w:t>
      </w:r>
      <w:r w:rsidR="003A5113">
        <w:t xml:space="preserve">developed end stage liver disease and 4 to </w:t>
      </w:r>
      <w:r w:rsidRPr="001F05BF">
        <w:t xml:space="preserve">8% will have died of </w:t>
      </w:r>
      <w:r w:rsidR="003A5113">
        <w:t>liver related</w:t>
      </w:r>
      <w:r w:rsidRPr="001F05BF">
        <w:t xml:space="preserve"> causes. In Australia, </w:t>
      </w:r>
      <w:r w:rsidR="0075442C">
        <w:t>h</w:t>
      </w:r>
      <w:r w:rsidR="0075442C" w:rsidRPr="001F05BF">
        <w:t xml:space="preserve">epatitis </w:t>
      </w:r>
      <w:r w:rsidRPr="001F05BF">
        <w:t>C is a significant public health problem and one of the most commonly reported notifiable diseases. It is estimated that over 280,000 people have been exposed to the hepatitis C virus and there are approximately 10,000 new infections each year (since testing began in 1990)</w:t>
      </w:r>
      <w:r w:rsidR="00476CD0">
        <w:t>.</w:t>
      </w:r>
    </w:p>
    <w:p w:rsidR="001F05BF" w:rsidRPr="001F05BF" w:rsidRDefault="001F05BF" w:rsidP="001F05BF">
      <w:r w:rsidRPr="001F05BF">
        <w:t>HCV has six genotypes (GT) and multiple. Genotypes 1a and 1b account for 60% of global HCV infections.</w:t>
      </w:r>
      <w:r w:rsidR="00476CD0">
        <w:t xml:space="preserve"> </w:t>
      </w:r>
      <w:r w:rsidRPr="001F05BF">
        <w:t>The incidence of HCV genotype 4 infection is low in the US (~</w:t>
      </w:r>
      <w:r w:rsidR="003A5113">
        <w:t xml:space="preserve"> </w:t>
      </w:r>
      <w:r w:rsidRPr="001F05BF">
        <w:t>1%) and in Europe (~</w:t>
      </w:r>
      <w:r w:rsidR="003A5113">
        <w:t xml:space="preserve"> </w:t>
      </w:r>
      <w:r w:rsidRPr="001F05BF">
        <w:t>5% on average). However, in North Africa and the Middle East, it has a prevalence of ~</w:t>
      </w:r>
      <w:r w:rsidR="003A5113">
        <w:t xml:space="preserve"> </w:t>
      </w:r>
      <w:r w:rsidRPr="001F05BF">
        <w:t>50% (up to 90% in Egypt). It is spreading to Europe and the rest of the world through immigration and IV drug use. In Australia, genotype 1 is the most common followed by genotype 3 and genotype 2 which account for 49.6%, 42.2% and approximately 5.6% of all HCV infections, respectively; other genotypes (</w:t>
      </w:r>
      <w:r w:rsidR="00234AF1">
        <w:t>that is</w:t>
      </w:r>
      <w:r w:rsidRPr="001F05BF">
        <w:t xml:space="preserve"> 4, 6) account for the remaining 2.6%</w:t>
      </w:r>
      <w:r w:rsidR="003A5113">
        <w:t>.</w:t>
      </w:r>
      <w:r w:rsidR="003A5113">
        <w:rPr>
          <w:rStyle w:val="FootnoteReference"/>
        </w:rPr>
        <w:footnoteReference w:id="17"/>
      </w:r>
    </w:p>
    <w:p w:rsidR="001F05BF" w:rsidRPr="001F05BF" w:rsidRDefault="001F05BF" w:rsidP="001F05BF">
      <w:pPr>
        <w:pStyle w:val="Heading5"/>
      </w:pPr>
      <w:bookmarkStart w:id="85" w:name="_Toc496265944"/>
      <w:r w:rsidRPr="001F05BF">
        <w:t>Current treatment options</w:t>
      </w:r>
      <w:bookmarkEnd w:id="85"/>
    </w:p>
    <w:p w:rsidR="00476CD0" w:rsidRDefault="001F05BF" w:rsidP="001F05BF">
      <w:r w:rsidRPr="001F05BF">
        <w:t>Until recently, the standard of care treatment for chronic HCV infection was the combination of pegylated interferon and ribavirin (</w:t>
      </w:r>
      <w:proofErr w:type="spellStart"/>
      <w:r w:rsidRPr="001F05BF">
        <w:t>pegIFN</w:t>
      </w:r>
      <w:proofErr w:type="spellEnd"/>
      <w:r w:rsidRPr="001F05BF">
        <w:t xml:space="preserve">/RBV) for 48 weeks. The response to this treatment varies according to HCV genotype and host IL28B genotypic subtypes (CC, CT and TT). Patients with the IL28B CC genotype are able to mount stronger </w:t>
      </w:r>
      <w:r w:rsidRPr="001F05BF">
        <w:lastRenderedPageBreak/>
        <w:t xml:space="preserve">immune responses to the HCV virus and spontaneous viral clearance rates and responsiveness to antiviral therapy are enhanced. In patients with HCV GT1 infection, sustained viral response (SVR) rates following </w:t>
      </w:r>
      <w:proofErr w:type="spellStart"/>
      <w:r w:rsidRPr="001F05BF">
        <w:t>pegIFN</w:t>
      </w:r>
      <w:proofErr w:type="spellEnd"/>
      <w:r w:rsidRPr="001F05BF">
        <w:t xml:space="preserve">/RBV therapy are only 45% in </w:t>
      </w:r>
      <w:r w:rsidR="003A5113">
        <w:t>treatment naïve</w:t>
      </w:r>
      <w:r w:rsidRPr="001F05BF">
        <w:t xml:space="preserve"> patients and significantly lower in prior relapsers and non-responders. Moreover, the side effect profile of </w:t>
      </w:r>
      <w:proofErr w:type="spellStart"/>
      <w:r w:rsidRPr="001F05BF">
        <w:t>pegIFN</w:t>
      </w:r>
      <w:proofErr w:type="spellEnd"/>
      <w:r w:rsidRPr="001F05BF">
        <w:t>/RBV is unfavourable with a high incidence of lethargy, fatigue, depression and anaemia</w:t>
      </w:r>
      <w:r w:rsidR="00476CD0">
        <w:t>.</w:t>
      </w:r>
    </w:p>
    <w:p w:rsidR="00476CD0" w:rsidRDefault="001F05BF" w:rsidP="001F05BF">
      <w:r w:rsidRPr="001F05BF">
        <w:t xml:space="preserve">PegIFN/RBV therapy has now been </w:t>
      </w:r>
      <w:r w:rsidR="003A5113" w:rsidRPr="001F05BF">
        <w:t>superseded</w:t>
      </w:r>
      <w:r w:rsidRPr="001F05BF">
        <w:t xml:space="preserve"> and replaced by DAA combinations with or without RBV. Within the last 5 years, HCV treatment has been transformed by the development and approval of DAAs that target viral proteins and cellular processes essential to HCV replication, such as thos</w:t>
      </w:r>
      <w:r w:rsidR="003A5113">
        <w:t xml:space="preserve">e that contain SOF, an HCV NS5B </w:t>
      </w:r>
      <w:r w:rsidRPr="001F05BF">
        <w:t xml:space="preserve">directed inhibitor with potent, broad genotypic activity. </w:t>
      </w:r>
      <w:proofErr w:type="spellStart"/>
      <w:r w:rsidR="00476CD0">
        <w:t>Harvoni</w:t>
      </w:r>
      <w:proofErr w:type="spellEnd"/>
      <w:r w:rsidRPr="001F05BF">
        <w:t xml:space="preserve"> (</w:t>
      </w:r>
      <w:proofErr w:type="spellStart"/>
      <w:r w:rsidRPr="001F05BF">
        <w:t>lepidasvir</w:t>
      </w:r>
      <w:proofErr w:type="spellEnd"/>
      <w:r w:rsidRPr="001F05BF">
        <w:t xml:space="preserve"> and </w:t>
      </w:r>
      <w:proofErr w:type="spellStart"/>
      <w:r w:rsidRPr="001F05BF">
        <w:t>sofosbuvir</w:t>
      </w:r>
      <w:proofErr w:type="spellEnd"/>
      <w:r w:rsidRPr="001F05BF">
        <w:t>) is well tolerated and effective in HCV genotype 1 infection; and sofosbuvir with RBV is effective in HCV genotypes 2 and 3 infections. It is also approved</w:t>
      </w:r>
      <w:r w:rsidR="003A5113">
        <w:t xml:space="preserve"> for use in genotype 4, 5 and 6 </w:t>
      </w:r>
      <w:r w:rsidRPr="001F05BF">
        <w:t xml:space="preserve">infected patients who are not suitable for </w:t>
      </w:r>
      <w:proofErr w:type="spellStart"/>
      <w:r w:rsidRPr="001F05BF">
        <w:t>pegIFN</w:t>
      </w:r>
      <w:proofErr w:type="spellEnd"/>
      <w:r w:rsidRPr="001F05BF">
        <w:t xml:space="preserve"> treatment. In the </w:t>
      </w:r>
      <w:r w:rsidR="00AA624F">
        <w:rPr>
          <w:rFonts w:eastAsia="TimesNewRoman" w:cs="TimesNewRoman"/>
        </w:rPr>
        <w:t>European Union</w:t>
      </w:r>
      <w:r w:rsidR="00AA624F" w:rsidRPr="001F05BF">
        <w:t xml:space="preserve"> </w:t>
      </w:r>
      <w:r w:rsidR="00AA624F">
        <w:t>(</w:t>
      </w:r>
      <w:r w:rsidRPr="001F05BF">
        <w:t>EU</w:t>
      </w:r>
      <w:r w:rsidR="00AA624F">
        <w:t>)</w:t>
      </w:r>
      <w:r w:rsidRPr="001F05BF">
        <w:t xml:space="preserve">, </w:t>
      </w:r>
      <w:r w:rsidR="00476CD0">
        <w:t>Harvoni</w:t>
      </w:r>
      <w:r w:rsidRPr="001F05BF">
        <w:t xml:space="preserve"> with RBV for 24 weeks is approved for the treatment of genotypes 1 and 4 infection in patients with decompensated cirrhosis, who are either awaiting liver tra</w:t>
      </w:r>
      <w:r w:rsidR="003A5113">
        <w:t>nsplantation or during the post-</w:t>
      </w:r>
      <w:r w:rsidR="003A5113" w:rsidRPr="001F05BF">
        <w:t>transplant</w:t>
      </w:r>
      <w:r w:rsidRPr="001F05BF">
        <w:t xml:space="preserve"> period</w:t>
      </w:r>
      <w:r w:rsidR="00476CD0">
        <w:t>.</w:t>
      </w:r>
    </w:p>
    <w:p w:rsidR="00476CD0" w:rsidRDefault="001F05BF" w:rsidP="001F05BF">
      <w:r w:rsidRPr="001F05BF">
        <w:t xml:space="preserve">Velpatasvir is a novel HCV NS5A inhibitor with potent antiviral activity in vitro against GT1-6 replicons. Compared with </w:t>
      </w:r>
      <w:r w:rsidR="003A5113">
        <w:t>first generation</w:t>
      </w:r>
      <w:r w:rsidRPr="001F05BF">
        <w:t xml:space="preserve"> NS5A inhibitors, VEL has an improved </w:t>
      </w:r>
      <w:r w:rsidRPr="00856FEB">
        <w:rPr>
          <w:i/>
        </w:rPr>
        <w:t>in vitro</w:t>
      </w:r>
      <w:r w:rsidRPr="001F05BF">
        <w:t xml:space="preserve"> resistance profile, with increased coverage of common NS5A </w:t>
      </w:r>
      <w:r w:rsidR="003A5113">
        <w:t>resistance associated</w:t>
      </w:r>
      <w:r w:rsidRPr="001F05BF">
        <w:t xml:space="preserve"> variants (RAVs). Velpatasvir and sofosbuvir have been formulated in a FDC tablet as </w:t>
      </w:r>
      <w:r w:rsidR="00476CD0">
        <w:t>Epclusa</w:t>
      </w:r>
      <w:r w:rsidRPr="001F05BF">
        <w:t xml:space="preserve"> for once daily use. </w:t>
      </w:r>
      <w:r w:rsidR="00476CD0">
        <w:t>Epclusa</w:t>
      </w:r>
      <w:r w:rsidRPr="001F05BF">
        <w:t xml:space="preserve"> is a </w:t>
      </w:r>
      <w:r w:rsidR="003A5113">
        <w:t>well-tolerated</w:t>
      </w:r>
      <w:r w:rsidRPr="001F05BF">
        <w:t>, once daily, single dose, 12 week treatment for patients with HCV infection of any genotype, in non-cirrhotic patients and in those with compensated or decompensated cirrhosis (in combination with RBV). This and other recently approved</w:t>
      </w:r>
      <w:r w:rsidR="003A5113">
        <w:t xml:space="preserve"> DAA </w:t>
      </w:r>
      <w:r w:rsidRPr="001F05BF">
        <w:t xml:space="preserve">based treatment regimens are </w:t>
      </w:r>
      <w:r w:rsidR="003A5113">
        <w:t>well tolerated</w:t>
      </w:r>
      <w:r w:rsidRPr="001F05BF">
        <w:t xml:space="preserve"> and highly effective, resulting in the cure of HCV infection in </w:t>
      </w:r>
      <w:r w:rsidR="00AA5E62">
        <w:t xml:space="preserve">≥ </w:t>
      </w:r>
      <w:r w:rsidRPr="001F05BF">
        <w:t>95% of treated patients</w:t>
      </w:r>
      <w:r w:rsidR="003A5113">
        <w:t>.</w:t>
      </w:r>
      <w:r w:rsidR="003A5113">
        <w:rPr>
          <w:rStyle w:val="FootnoteReference"/>
        </w:rPr>
        <w:footnoteReference w:id="18"/>
      </w:r>
      <w:r w:rsidRPr="001F05BF">
        <w:t xml:space="preserve"> </w:t>
      </w:r>
      <w:r w:rsidR="003A5113">
        <w:rPr>
          <w:rStyle w:val="FootnoteReference"/>
        </w:rPr>
        <w:footnoteReference w:id="19"/>
      </w:r>
      <w:r w:rsidR="003A5113" w:rsidRPr="001F05BF">
        <w:t xml:space="preserve"> </w:t>
      </w:r>
      <w:r w:rsidRPr="001F05BF">
        <w:t>Large registrational clinical studies have demonstrated that subjects previously treated with Peg-IFN and RBV and who failed treatment can be retreated in a manner similar to the initial treatment of naive subjects; thus, currently approved DAA regimens are recommended for use in patients who failed treatment with Peg-IFN and RBV</w:t>
      </w:r>
      <w:r w:rsidR="003A5113">
        <w:t>.</w:t>
      </w:r>
      <w:r w:rsidR="003A5113">
        <w:rPr>
          <w:rStyle w:val="FootnoteReference"/>
        </w:rPr>
        <w:footnoteReference w:id="20"/>
      </w:r>
      <w:r w:rsidR="003A5113">
        <w:t>,</w:t>
      </w:r>
      <w:r w:rsidR="003A5113">
        <w:rPr>
          <w:rStyle w:val="FootnoteReference"/>
        </w:rPr>
        <w:footnoteReference w:id="21"/>
      </w:r>
      <w:r w:rsidRPr="001F05BF">
        <w:t xml:space="preserve"> Additionally, there are approved regimens, including Harvoni (an FDC of ledipasvir </w:t>
      </w:r>
      <w:r w:rsidR="000E1116">
        <w:t>(</w:t>
      </w:r>
      <w:r w:rsidRPr="001F05BF">
        <w:t>LDV; an NS5A inhibitor</w:t>
      </w:r>
      <w:r w:rsidR="000E1116">
        <w:t>)</w:t>
      </w:r>
      <w:r w:rsidRPr="001F05BF">
        <w:t xml:space="preserve"> and SOF) and Epclusa, which are indicated for treatment in patients who previously failed treatment with a NS3/4A </w:t>
      </w:r>
      <w:r w:rsidR="00A34D06">
        <w:t xml:space="preserve">protease inhibitor </w:t>
      </w:r>
      <w:r w:rsidRPr="001F05BF">
        <w:t>with Peg-IFN and RBV. However, retreatment options are li</w:t>
      </w:r>
      <w:r w:rsidR="003A5113">
        <w:t xml:space="preserve">mited for patients who fail DAA </w:t>
      </w:r>
      <w:r w:rsidRPr="001F05BF">
        <w:t>only treatment, particularly regimens that include an NS5A inhibitor</w:t>
      </w:r>
      <w:r w:rsidR="00476CD0">
        <w:t>.</w:t>
      </w:r>
    </w:p>
    <w:p w:rsidR="001F05BF" w:rsidRDefault="001F05BF" w:rsidP="001F05BF">
      <w:pPr>
        <w:pStyle w:val="Heading4"/>
      </w:pPr>
      <w:r w:rsidRPr="00605AD4">
        <w:t xml:space="preserve">Clinical </w:t>
      </w:r>
      <w:r>
        <w:t>r</w:t>
      </w:r>
      <w:r w:rsidRPr="00605AD4">
        <w:t>ationale</w:t>
      </w:r>
    </w:p>
    <w:p w:rsidR="00476CD0" w:rsidRDefault="001F05BF" w:rsidP="001F05BF">
      <w:r w:rsidRPr="001F05BF">
        <w:t xml:space="preserve">Curing HCV infection is associated with numerous health benefits, including more than 70% reduction in the risk of </w:t>
      </w:r>
      <w:r w:rsidR="00AA624F">
        <w:rPr>
          <w:rFonts w:eastAsia="TimesNewRoman" w:cs="TimesNewRoman"/>
        </w:rPr>
        <w:t>hepatocellular carcinoma</w:t>
      </w:r>
      <w:r w:rsidR="00AA624F" w:rsidRPr="001F05BF">
        <w:t xml:space="preserve"> </w:t>
      </w:r>
      <w:r w:rsidR="00AA624F">
        <w:t>(</w:t>
      </w:r>
      <w:r w:rsidRPr="001F05BF">
        <w:t>HCC</w:t>
      </w:r>
      <w:r w:rsidR="00AA624F">
        <w:t>)</w:t>
      </w:r>
      <w:r w:rsidRPr="001F05BF">
        <w:t xml:space="preserve"> and 90% reduction in the risk of </w:t>
      </w:r>
      <w:r w:rsidR="003A5113">
        <w:t>liver related</w:t>
      </w:r>
      <w:r w:rsidRPr="001F05BF">
        <w:t xml:space="preserve"> mortality and liver transplantation</w:t>
      </w:r>
      <w:r w:rsidR="003A5113">
        <w:t>.</w:t>
      </w:r>
      <w:r w:rsidR="003A5113">
        <w:rPr>
          <w:rStyle w:val="FootnoteReference"/>
        </w:rPr>
        <w:footnoteReference w:id="22"/>
      </w:r>
      <w:r w:rsidR="0075442C">
        <w:rPr>
          <w:vertAlign w:val="superscript"/>
        </w:rPr>
        <w:t>,</w:t>
      </w:r>
      <w:r w:rsidR="003A5113">
        <w:rPr>
          <w:rStyle w:val="FootnoteReference"/>
        </w:rPr>
        <w:footnoteReference w:id="23"/>
      </w:r>
      <w:r w:rsidR="0075442C">
        <w:rPr>
          <w:vertAlign w:val="superscript"/>
        </w:rPr>
        <w:t>,</w:t>
      </w:r>
      <w:r w:rsidR="003A5113">
        <w:rPr>
          <w:rStyle w:val="FootnoteReference"/>
        </w:rPr>
        <w:footnoteReference w:id="24"/>
      </w:r>
      <w:r w:rsidR="0075442C">
        <w:rPr>
          <w:vertAlign w:val="superscript"/>
        </w:rPr>
        <w:t>,</w:t>
      </w:r>
      <w:r w:rsidR="003A5113">
        <w:rPr>
          <w:rStyle w:val="FootnoteReference"/>
        </w:rPr>
        <w:footnoteReference w:id="25"/>
      </w:r>
      <w:r w:rsidR="003A5113">
        <w:t xml:space="preserve"> </w:t>
      </w:r>
      <w:r w:rsidRPr="001F05BF">
        <w:t xml:space="preserve">Despite high SVR rates </w:t>
      </w:r>
      <w:r w:rsidRPr="001F05BF">
        <w:lastRenderedPageBreak/>
        <w:t xml:space="preserve">following DAA treatment in both clinical studies and </w:t>
      </w:r>
      <w:r w:rsidR="0075442C">
        <w:t>‘</w:t>
      </w:r>
      <w:r w:rsidRPr="001F05BF">
        <w:t>real-world</w:t>
      </w:r>
      <w:r w:rsidR="0075442C">
        <w:t>‘</w:t>
      </w:r>
      <w:r w:rsidR="0075442C" w:rsidRPr="001F05BF">
        <w:t xml:space="preserve"> </w:t>
      </w:r>
      <w:r w:rsidRPr="001F05BF">
        <w:t>cohorts, there is a popu</w:t>
      </w:r>
      <w:r w:rsidR="003A5113">
        <w:t>lation of patients who fail DAA </w:t>
      </w:r>
      <w:r w:rsidRPr="001F05BF">
        <w:t>based therapies</w:t>
      </w:r>
      <w:r w:rsidR="003A5113" w:rsidRPr="00856FEB">
        <w:rPr>
          <w:vertAlign w:val="superscript"/>
        </w:rPr>
        <w:t>.</w:t>
      </w:r>
      <w:r w:rsidR="003A5113" w:rsidRPr="0075442C">
        <w:rPr>
          <w:rStyle w:val="FootnoteReference"/>
        </w:rPr>
        <w:footnoteReference w:id="26"/>
      </w:r>
      <w:r w:rsidR="0075442C" w:rsidRPr="00856FEB">
        <w:rPr>
          <w:vertAlign w:val="superscript"/>
        </w:rPr>
        <w:t>,</w:t>
      </w:r>
      <w:r w:rsidR="003A5113" w:rsidRPr="0075442C">
        <w:rPr>
          <w:rStyle w:val="FootnoteReference"/>
        </w:rPr>
        <w:footnoteReference w:id="27"/>
      </w:r>
      <w:r w:rsidR="0075442C" w:rsidRPr="00856FEB">
        <w:rPr>
          <w:vertAlign w:val="superscript"/>
        </w:rPr>
        <w:t>,</w:t>
      </w:r>
      <w:r w:rsidR="003A5113" w:rsidRPr="0075442C">
        <w:rPr>
          <w:rStyle w:val="FootnoteReference"/>
        </w:rPr>
        <w:footnoteReference w:id="28"/>
      </w:r>
      <w:r w:rsidR="0075442C" w:rsidRPr="00856FEB">
        <w:rPr>
          <w:vertAlign w:val="superscript"/>
        </w:rPr>
        <w:t>,</w:t>
      </w:r>
      <w:r w:rsidR="003A5113" w:rsidRPr="0075442C">
        <w:rPr>
          <w:rStyle w:val="FootnoteReference"/>
        </w:rPr>
        <w:footnoteReference w:id="29"/>
      </w:r>
      <w:r w:rsidR="0075442C" w:rsidRPr="00856FEB">
        <w:rPr>
          <w:vertAlign w:val="superscript"/>
        </w:rPr>
        <w:t>,</w:t>
      </w:r>
      <w:r w:rsidR="003A5113" w:rsidRPr="0075442C">
        <w:rPr>
          <w:rStyle w:val="FootnoteReference"/>
        </w:rPr>
        <w:footnoteReference w:id="30"/>
      </w:r>
      <w:r w:rsidR="0075442C" w:rsidRPr="00856FEB">
        <w:rPr>
          <w:vertAlign w:val="superscript"/>
        </w:rPr>
        <w:t>,</w:t>
      </w:r>
      <w:r w:rsidR="003A5113" w:rsidRPr="0075442C">
        <w:rPr>
          <w:rStyle w:val="FootnoteReference"/>
        </w:rPr>
        <w:footnoteReference w:id="31"/>
      </w:r>
      <w:r w:rsidRPr="001F05BF">
        <w:t xml:space="preserve"> As more patients are treated for HCV infection with DAAs, the number of patients who fail will increase; by 2020, it is estimated that 117,000 patients in the US will have failed to achieve SVR with </w:t>
      </w:r>
      <w:r w:rsidR="003A5113">
        <w:t>DAA based</w:t>
      </w:r>
      <w:r w:rsidRPr="001F05BF">
        <w:t xml:space="preserve"> therapies, 58% of which have included an NS5A inhibitor</w:t>
      </w:r>
      <w:r w:rsidR="003A5113">
        <w:t>.</w:t>
      </w:r>
      <w:r w:rsidR="003A5113">
        <w:rPr>
          <w:rStyle w:val="FootnoteReference"/>
        </w:rPr>
        <w:footnoteReference w:id="32"/>
      </w:r>
      <w:r w:rsidRPr="001F05BF">
        <w:t xml:space="preserve"> In the US and Canada, patients who have failed treatment with an NS5A and/or NS5B inhibitor have no approved retreatment option. In the EU</w:t>
      </w:r>
      <w:r w:rsidR="0075442C">
        <w:t>;</w:t>
      </w:r>
      <w:r w:rsidRPr="003A5113">
        <w:rPr>
          <w:vertAlign w:val="superscript"/>
        </w:rPr>
        <w:footnoteReference w:id="33"/>
      </w:r>
      <w:r w:rsidRPr="001F05BF">
        <w:t xml:space="preserve"> there are limited treatment options for those patients who have failed treatment with DAAs</w:t>
      </w:r>
      <w:r w:rsidR="00476CD0">
        <w:t>.</w:t>
      </w:r>
    </w:p>
    <w:p w:rsidR="001F05BF" w:rsidRPr="001F05BF" w:rsidRDefault="001F05BF" w:rsidP="001F05BF">
      <w:r w:rsidRPr="001F05BF">
        <w:t xml:space="preserve">There have been no </w:t>
      </w:r>
      <w:r w:rsidR="00476CD0">
        <w:t>Phase III</w:t>
      </w:r>
      <w:r w:rsidRPr="001F05BF">
        <w:t xml:space="preserve"> clinical studies to date which have enrolled subjects who have failed an NS5A </w:t>
      </w:r>
      <w:r w:rsidR="003A5113">
        <w:t>inhibitor containing</w:t>
      </w:r>
      <w:r w:rsidRPr="001F05BF">
        <w:t xml:space="preserve"> regimen. Limited data on retreatment of these patients come from </w:t>
      </w:r>
      <w:r w:rsidR="00476CD0">
        <w:t>Phase II</w:t>
      </w:r>
      <w:r w:rsidRPr="001F05BF">
        <w:t xml:space="preserve"> clinical studies. In one study, subjects with genotype 1 HCV infection who </w:t>
      </w:r>
      <w:r w:rsidR="003A5113">
        <w:t xml:space="preserve">failed 8 or 12 weeks of </w:t>
      </w:r>
      <w:r w:rsidR="00F64A30">
        <w:rPr>
          <w:rFonts w:eastAsia="TimesNewRoman" w:cs="TimesNewRoman"/>
        </w:rPr>
        <w:t>Ledipasvir/sofosbuvir (co-formulated; Harvoni) (</w:t>
      </w:r>
      <w:r w:rsidR="003A5113">
        <w:t>LDV/SOF</w:t>
      </w:r>
      <w:r w:rsidR="00F64A30">
        <w:t>)</w:t>
      </w:r>
      <w:r w:rsidR="003A5113">
        <w:t xml:space="preserve"> </w:t>
      </w:r>
      <w:r w:rsidRPr="001F05BF">
        <w:t>containing regimens and were retreated with 24 weeks of LDV/SOF had an SVR12 rate of 71% and in this population, the presence of baseline NS5A RAVs was associated with virologic failure</w:t>
      </w:r>
      <w:r w:rsidR="003A5113">
        <w:t>.</w:t>
      </w:r>
      <w:r w:rsidR="003A5113">
        <w:rPr>
          <w:rStyle w:val="FootnoteReference"/>
        </w:rPr>
        <w:footnoteReference w:id="34"/>
      </w:r>
      <w:r w:rsidRPr="001F05BF">
        <w:t xml:space="preserve"> A second small study evaluated retreatment with </w:t>
      </w:r>
      <w:r w:rsidR="009E6C8F">
        <w:rPr>
          <w:rFonts w:eastAsia="TimesNewRoman" w:cs="TimesNewRoman"/>
        </w:rPr>
        <w:t>Sofosbuvir/velpatasvir (co-formulated; Epclusa)</w:t>
      </w:r>
      <w:r w:rsidR="0075442C">
        <w:rPr>
          <w:rFonts w:eastAsia="TimesNewRoman" w:cs="TimesNewRoman"/>
        </w:rPr>
        <w:t xml:space="preserve"> </w:t>
      </w:r>
      <w:r w:rsidR="009E6C8F">
        <w:rPr>
          <w:rFonts w:eastAsia="TimesNewRoman" w:cs="TimesNewRoman"/>
        </w:rPr>
        <w:t>(</w:t>
      </w:r>
      <w:r w:rsidRPr="001F05BF">
        <w:t>SOF/VEL</w:t>
      </w:r>
      <w:r w:rsidR="009E6C8F">
        <w:t xml:space="preserve">) </w:t>
      </w:r>
      <w:r w:rsidRPr="001F05BF">
        <w:t>+RBV for 24 weeks in subjects who failed prior treatment with SOF+VEL (most of whom had received VEL 25</w:t>
      </w:r>
      <w:r w:rsidR="00AA5E62">
        <w:t xml:space="preserve"> mg</w:t>
      </w:r>
      <w:r w:rsidRPr="001F05BF">
        <w:t xml:space="preserve"> and/or durations </w:t>
      </w:r>
      <w:r w:rsidR="00476CD0">
        <w:t xml:space="preserve">&lt; </w:t>
      </w:r>
      <w:r w:rsidRPr="001F05BF">
        <w:t>12 weeks); these subjects achieved a higher overall SVR12 rate of 91%, with an SVR12 rate of 76% for a subset of subjects with genotype 3 HCV infection, most of whom had NS5A RAVs at baseline</w:t>
      </w:r>
      <w:r w:rsidR="003A5113">
        <w:t>.</w:t>
      </w:r>
      <w:r w:rsidR="003A5113">
        <w:rPr>
          <w:rStyle w:val="FootnoteReference"/>
        </w:rPr>
        <w:footnoteReference w:id="35"/>
      </w:r>
    </w:p>
    <w:p w:rsidR="001F05BF" w:rsidRPr="001F05BF" w:rsidRDefault="001F05BF" w:rsidP="001F05BF">
      <w:r w:rsidRPr="001F05BF">
        <w:t xml:space="preserve">Similarly, there are currently limited clinical data supporting approved treatment options for patients who have failed a prior HCV treatment regimen that included an NS5B inhibitor, such as SOF. Sofosbuvir has a high barrier to resistance and data have </w:t>
      </w:r>
      <w:r w:rsidRPr="001F05BF">
        <w:lastRenderedPageBreak/>
        <w:t>demonstrated that HCV variants associated with NS5B polymerase, including the SOF signature mutation S282T, are relatively unfit and rapidly revert to wild type</w:t>
      </w:r>
      <w:r w:rsidR="003A5113">
        <w:t>.</w:t>
      </w:r>
      <w:r w:rsidR="003A5113">
        <w:rPr>
          <w:rStyle w:val="FootnoteReference"/>
        </w:rPr>
        <w:footnoteReference w:id="36"/>
      </w:r>
      <w:r w:rsidRPr="001F05BF">
        <w:t xml:space="preserve"> This suggested that successfully retreating patients, who have failed a SOF </w:t>
      </w:r>
      <w:r w:rsidR="003A5113">
        <w:t xml:space="preserve">regimen with an intensified SOF </w:t>
      </w:r>
      <w:r w:rsidRPr="001F05BF">
        <w:t xml:space="preserve">containing regimen, either by extension of therapy or addition of drugs to the regimen, may be possible. A small retreatment study supported this through retreatment of subjects who failed </w:t>
      </w:r>
      <w:proofErr w:type="spellStart"/>
      <w:r w:rsidRPr="001F05BF">
        <w:t>SOF+RBV±Peg-IFN</w:t>
      </w:r>
      <w:proofErr w:type="spellEnd"/>
      <w:r w:rsidRPr="001F05BF">
        <w:t xml:space="preserve"> with regimens containing SOF and another DAA; specifically, 12 weeks of LDV/SOF+RBV led to SVR12 in 98% of subjects (50 of 51) who failed prior treatment with regimens that included SOF</w:t>
      </w:r>
      <w:r w:rsidR="003A5113">
        <w:t>.</w:t>
      </w:r>
      <w:r w:rsidR="003A5113">
        <w:rPr>
          <w:rStyle w:val="FootnoteReference"/>
        </w:rPr>
        <w:footnoteReference w:id="37"/>
      </w:r>
      <w:r w:rsidRPr="001F05BF">
        <w:t xml:space="preserve"> As DAA regimens increase in efficacy, the patients who fail treatment may be increasingly difficult to cure due to the intrinsic host factors that led to an inability to achieve SVR with the initial regimen.</w:t>
      </w:r>
    </w:p>
    <w:p w:rsidR="001F05BF" w:rsidRPr="001F05BF" w:rsidRDefault="001F05BF" w:rsidP="001F05BF">
      <w:r w:rsidRPr="001F05BF">
        <w:t>A highly potent DAA regimen that combines 3 drug classes may offer improved, broad efficacy for patients who failed prior DAA treatment and an FDC tablet combining SOF 400</w:t>
      </w:r>
      <w:r w:rsidR="003A5113">
        <w:t> </w:t>
      </w:r>
      <w:r w:rsidR="00AA5E62">
        <w:t>mg</w:t>
      </w:r>
      <w:r w:rsidRPr="001F05BF">
        <w:t>, VEL 100</w:t>
      </w:r>
      <w:r w:rsidR="00AA5E62">
        <w:t xml:space="preserve"> mg</w:t>
      </w:r>
      <w:r w:rsidRPr="001F05BF">
        <w:t xml:space="preserve"> and VOX 100</w:t>
      </w:r>
      <w:r w:rsidR="00AA5E62">
        <w:t xml:space="preserve"> mg</w:t>
      </w:r>
      <w:r w:rsidRPr="001F05BF">
        <w:t xml:space="preserve"> (SOF/VEL/VOX) was developed as a salvage regimen for this patient population. Voxilaprevir is an HCV NS3/4A </w:t>
      </w:r>
      <w:r w:rsidR="00A34D06">
        <w:t>protease inhibitor</w:t>
      </w:r>
      <w:r w:rsidR="00EA6C30">
        <w:t xml:space="preserve"> </w:t>
      </w:r>
      <w:r w:rsidRPr="001F05BF">
        <w:t xml:space="preserve">with antiviral activity across HCV genotypes and an improved resistance profile compared with previously developed HCV NS3/4A </w:t>
      </w:r>
      <w:r w:rsidR="00EA6C30">
        <w:t>protease inhibitors</w:t>
      </w:r>
      <w:r w:rsidRPr="001F05BF">
        <w:t xml:space="preserve">. </w:t>
      </w:r>
      <w:r w:rsidR="00476CD0">
        <w:t>Phase II</w:t>
      </w:r>
      <w:r w:rsidRPr="001F05BF">
        <w:t xml:space="preserve"> clinical studies demonstrated that the combination of SOF/VEL and VOX for 12 weeks resulted in high SVR12 ra</w:t>
      </w:r>
      <w:r w:rsidR="003A5113">
        <w:t xml:space="preserve">tes across HCV genotypes in DAA </w:t>
      </w:r>
      <w:r w:rsidRPr="001F05BF">
        <w:t xml:space="preserve">experienced subjects, including those with compensated cirrhosis and prior NS5A inhibitor experience. The </w:t>
      </w:r>
      <w:r w:rsidR="00476CD0">
        <w:t>Phase III</w:t>
      </w:r>
      <w:r w:rsidRPr="001F05BF">
        <w:t xml:space="preserve"> clinical studies in this submission evaluated if the proposed FDC of SOF/VEL/VOX could provide an effective, </w:t>
      </w:r>
      <w:r w:rsidR="003A5113">
        <w:t>well tolerated</w:t>
      </w:r>
      <w:r w:rsidRPr="001F05BF">
        <w:t>, pan</w:t>
      </w:r>
      <w:r w:rsidR="003A5113">
        <w:noBreakHyphen/>
        <w:t xml:space="preserve">genotypic, single </w:t>
      </w:r>
      <w:r w:rsidRPr="001F05BF">
        <w:t>tablet regimen for the treatment of patients with HCV infection who have failed prior DAA treatment, including those who have failed prior therapy with an NS5A and/or NS5B inhibitor.</w:t>
      </w:r>
    </w:p>
    <w:p w:rsidR="001F05BF" w:rsidRDefault="001F05BF" w:rsidP="001F05BF">
      <w:pPr>
        <w:pStyle w:val="Heading4"/>
      </w:pPr>
      <w:bookmarkStart w:id="86" w:name="_Toc496265946"/>
      <w:r>
        <w:t>Formulation</w:t>
      </w:r>
      <w:bookmarkEnd w:id="86"/>
    </w:p>
    <w:p w:rsidR="001F05BF" w:rsidRPr="001F05BF" w:rsidRDefault="001F05BF" w:rsidP="001F05BF">
      <w:pPr>
        <w:pStyle w:val="Heading5"/>
      </w:pPr>
      <w:bookmarkStart w:id="87" w:name="_Toc496265947"/>
      <w:r w:rsidRPr="001F05BF">
        <w:t>Formulation development</w:t>
      </w:r>
      <w:bookmarkEnd w:id="87"/>
    </w:p>
    <w:p w:rsidR="001F05BF" w:rsidRPr="001F05BF" w:rsidRDefault="00476CD0" w:rsidP="001F05BF">
      <w:r>
        <w:t>Epclusa</w:t>
      </w:r>
      <w:r w:rsidR="001F05BF" w:rsidRPr="001F05BF">
        <w:t>, the FDC tablet form of sofosbuvir (SOF)/velpatasvir (VEL), 400</w:t>
      </w:r>
      <w:r w:rsidR="00AA5E62">
        <w:t xml:space="preserve"> mg</w:t>
      </w:r>
      <w:r w:rsidR="001F05BF" w:rsidRPr="001F05BF">
        <w:t>/100</w:t>
      </w:r>
      <w:r w:rsidR="00AA5E62">
        <w:t xml:space="preserve"> mg</w:t>
      </w:r>
      <w:r w:rsidR="001F05BF" w:rsidRPr="001F05BF">
        <w:t>, has been previously approved for marketing in Australia (ARTG ID 266823). Hence, the following discussion on formulation development will focus on the previously unapproved active component, voxilaprevir (VOX), which is contained in the triple combination FDC of SOF 400</w:t>
      </w:r>
      <w:r w:rsidR="00AA5E62">
        <w:t xml:space="preserve"> mg</w:t>
      </w:r>
      <w:r w:rsidR="001F05BF" w:rsidRPr="001F05BF">
        <w:t>, VEL 100</w:t>
      </w:r>
      <w:r w:rsidR="00AA5E62">
        <w:t xml:space="preserve"> mg</w:t>
      </w:r>
      <w:r w:rsidR="001F05BF" w:rsidRPr="001F05BF">
        <w:t xml:space="preserve"> and VOX 100</w:t>
      </w:r>
      <w:r w:rsidR="00AA5E62">
        <w:t xml:space="preserve"> mg</w:t>
      </w:r>
      <w:r w:rsidR="001F05BF" w:rsidRPr="001F05BF">
        <w:t xml:space="preserve"> (</w:t>
      </w:r>
      <w:r>
        <w:t>Vosevi</w:t>
      </w:r>
      <w:r w:rsidR="001F05BF" w:rsidRPr="001F05BF">
        <w:t>), as well as the t</w:t>
      </w:r>
      <w:r w:rsidR="003A5113">
        <w:t xml:space="preserve">o be </w:t>
      </w:r>
      <w:r w:rsidR="001F05BF" w:rsidRPr="001F05BF">
        <w:t xml:space="preserve">marketed formulation of </w:t>
      </w:r>
      <w:r>
        <w:t>Vosevi</w:t>
      </w:r>
      <w:r w:rsidR="001F05BF" w:rsidRPr="001F05BF">
        <w:t>.</w:t>
      </w:r>
    </w:p>
    <w:p w:rsidR="001F05BF" w:rsidRPr="001F05BF" w:rsidRDefault="00476CD0" w:rsidP="001F05BF">
      <w:pPr>
        <w:pStyle w:val="Heading6"/>
      </w:pPr>
      <w:r>
        <w:t>Vosevi</w:t>
      </w:r>
      <w:r w:rsidR="001F05BF" w:rsidRPr="001F05BF">
        <w:t xml:space="preserve"> formulation for marketing</w:t>
      </w:r>
    </w:p>
    <w:p w:rsidR="00476CD0" w:rsidRDefault="001F05BF" w:rsidP="001F05BF">
      <w:r w:rsidRPr="001F05BF">
        <w:t xml:space="preserve">SOF/VEL/VOX FDC tablets were developed and utilised in </w:t>
      </w:r>
      <w:r w:rsidR="00476CD0">
        <w:t>Phase I</w:t>
      </w:r>
      <w:r w:rsidR="003A5113">
        <w:t>, II and III</w:t>
      </w:r>
      <w:r w:rsidRPr="001F05BF">
        <w:t xml:space="preserve"> clinical studies. The formulation composition and manufacturing processes for the SOF/VEL/VOX tablets used in </w:t>
      </w:r>
      <w:r w:rsidR="00476CD0">
        <w:t>Phase III</w:t>
      </w:r>
      <w:r w:rsidRPr="001F05BF">
        <w:t xml:space="preserve"> studies are identical to the proposed </w:t>
      </w:r>
      <w:r w:rsidR="003A5113">
        <w:t xml:space="preserve">to be marketed </w:t>
      </w:r>
      <w:r w:rsidRPr="001F05BF">
        <w:t xml:space="preserve">formulation. The results of the </w:t>
      </w:r>
      <w:r w:rsidR="00476CD0">
        <w:t>Phase I</w:t>
      </w:r>
      <w:r w:rsidRPr="001F05BF">
        <w:t xml:space="preserve"> relative bioava</w:t>
      </w:r>
      <w:r w:rsidR="00AC0F8C">
        <w:t>ilability study (GS-US-367-1176</w:t>
      </w:r>
      <w:r w:rsidRPr="001F05BF">
        <w:t>) demonstrated that the pharmacokinetic (PK) performance of the SOF/VEL/VOX FDC (400/100/100</w:t>
      </w:r>
      <w:r w:rsidR="00AA5E62">
        <w:t xml:space="preserve"> mg</w:t>
      </w:r>
      <w:r w:rsidRPr="001F05BF">
        <w:t>) tablets was similar to that of the co-administered SOF/VEL (400/100</w:t>
      </w:r>
      <w:r w:rsidR="00AA5E62">
        <w:t xml:space="preserve"> mg</w:t>
      </w:r>
      <w:r w:rsidRPr="001F05BF">
        <w:t xml:space="preserve">) and VOX </w:t>
      </w:r>
      <w:r w:rsidR="00476CD0">
        <w:t>single agent</w:t>
      </w:r>
      <w:r w:rsidRPr="001F05BF">
        <w:t xml:space="preserve"> (100</w:t>
      </w:r>
      <w:r w:rsidR="00AA5E62">
        <w:t xml:space="preserve"> mg</w:t>
      </w:r>
      <w:r w:rsidRPr="001F05BF">
        <w:t>) tablets</w:t>
      </w:r>
      <w:r w:rsidR="00476CD0">
        <w:t>.</w:t>
      </w:r>
    </w:p>
    <w:p w:rsidR="00605AD4" w:rsidRDefault="00605AD4" w:rsidP="00605AD4">
      <w:pPr>
        <w:pStyle w:val="Heading4"/>
      </w:pPr>
      <w:r w:rsidRPr="00605AD4">
        <w:t>Guidance</w:t>
      </w:r>
    </w:p>
    <w:p w:rsidR="001F05BF" w:rsidRPr="001F05BF" w:rsidRDefault="001F05BF" w:rsidP="001F05BF">
      <w:r w:rsidRPr="001F05BF">
        <w:t xml:space="preserve">Advice on the development of SOF/VEL/VOX for the treatment of HCV was sought from the US Food and Drug Administration (FDA) and national regulatory authorities in the EU. </w:t>
      </w:r>
      <w:r w:rsidRPr="001F05BF">
        <w:lastRenderedPageBreak/>
        <w:t xml:space="preserve">In response to requests from the FDA (and as discussed with national regulatory authorities in the EU as part of scientific advice), </w:t>
      </w:r>
      <w:r w:rsidR="0075442C">
        <w:t>the sponsor</w:t>
      </w:r>
      <w:r w:rsidR="0075442C" w:rsidRPr="001F05BF">
        <w:t xml:space="preserve"> </w:t>
      </w:r>
      <w:r w:rsidRPr="001F05BF">
        <w:t>agreed to the following:</w:t>
      </w:r>
    </w:p>
    <w:p w:rsidR="001F05BF" w:rsidRPr="001F05BF" w:rsidRDefault="001F05BF" w:rsidP="001F05BF">
      <w:pPr>
        <w:pStyle w:val="ListBullet"/>
      </w:pPr>
      <w:r w:rsidRPr="001F05BF">
        <w:t>Conduct a dedicated study to compare the efficacy and safety of SOF/VEL/VOX for 12</w:t>
      </w:r>
      <w:r w:rsidR="00D32A2F">
        <w:t> </w:t>
      </w:r>
      <w:r w:rsidRPr="001F05BF">
        <w:t xml:space="preserve">weeks and SOF/VEL for 12 weeks in </w:t>
      </w:r>
      <w:r w:rsidR="00CE0E69">
        <w:t>DAA experienced</w:t>
      </w:r>
      <w:r w:rsidRPr="001F05BF">
        <w:t xml:space="preserve"> subjects who have not received an NS5A inhibitor (Study GS-US-367-1170 </w:t>
      </w:r>
      <w:r w:rsidR="000E1116">
        <w:t>(</w:t>
      </w:r>
      <w:r w:rsidR="00D32A2F">
        <w:t xml:space="preserve">also known as the </w:t>
      </w:r>
      <w:r w:rsidRPr="001F05BF">
        <w:t>POLARIS-4</w:t>
      </w:r>
      <w:r w:rsidR="00D32A2F">
        <w:t xml:space="preserve"> trial</w:t>
      </w:r>
      <w:r w:rsidR="000E1116">
        <w:t>)</w:t>
      </w:r>
      <w:r w:rsidRPr="001F05BF">
        <w:t>).</w:t>
      </w:r>
    </w:p>
    <w:p w:rsidR="001F05BF" w:rsidRPr="001F05BF" w:rsidRDefault="001F05BF" w:rsidP="001F05BF">
      <w:pPr>
        <w:pStyle w:val="ListBullet"/>
      </w:pPr>
      <w:r w:rsidRPr="001F05BF">
        <w:t xml:space="preserve">Conduct a dedicated study to compare the efficacy and safety of SOF/VEL/VOX for 8 weeks and SOF/VEL for 12 weeks in subjects with genotype 3 HCV </w:t>
      </w:r>
      <w:proofErr w:type="gramStart"/>
      <w:r w:rsidRPr="001F05BF">
        <w:t>infection</w:t>
      </w:r>
      <w:proofErr w:type="gramEnd"/>
      <w:r w:rsidRPr="001F05BF">
        <w:t xml:space="preserve"> and cirrhosis (Study GS-US-367-1173 </w:t>
      </w:r>
      <w:r w:rsidR="000E1116">
        <w:t>(</w:t>
      </w:r>
      <w:r w:rsidR="00D32A2F">
        <w:t xml:space="preserve">also known as the </w:t>
      </w:r>
      <w:r w:rsidRPr="001F05BF">
        <w:t>POLARIS-3</w:t>
      </w:r>
      <w:r w:rsidR="00D32A2F">
        <w:t xml:space="preserve"> trial</w:t>
      </w:r>
      <w:r w:rsidR="000E1116">
        <w:t>)</w:t>
      </w:r>
      <w:r w:rsidRPr="001F05BF">
        <w:t>).</w:t>
      </w:r>
    </w:p>
    <w:p w:rsidR="001F05BF" w:rsidRPr="001F05BF" w:rsidRDefault="001F05BF" w:rsidP="001F05BF">
      <w:r w:rsidRPr="001F05BF">
        <w:t>All study designs were evaluated and approved by the regulatory agencies of the countries in which the studies were conducted.</w:t>
      </w:r>
    </w:p>
    <w:p w:rsidR="00605AD4" w:rsidRDefault="00605AD4" w:rsidP="00605AD4">
      <w:pPr>
        <w:pStyle w:val="Heading4"/>
      </w:pPr>
      <w:r w:rsidRPr="00605AD4">
        <w:t>Contents of the clinical dossier</w:t>
      </w:r>
    </w:p>
    <w:p w:rsidR="001F05BF" w:rsidRDefault="003A5113" w:rsidP="001F05BF">
      <w:pPr>
        <w:pStyle w:val="Heading5"/>
      </w:pPr>
      <w:r>
        <w:t>Clinical Pharmacology</w:t>
      </w:r>
    </w:p>
    <w:p w:rsidR="00476CD0" w:rsidRDefault="001F05BF" w:rsidP="001F05BF">
      <w:r w:rsidRPr="001F05BF">
        <w:t>The current submission consists of 17 studies that contain PK data, which includes 13</w:t>
      </w:r>
      <w:r w:rsidR="00D32A2F">
        <w:t> </w:t>
      </w:r>
      <w:r w:rsidR="00476CD0">
        <w:t>Phase I</w:t>
      </w:r>
      <w:r w:rsidRPr="001F05BF">
        <w:t xml:space="preserve">, 3 </w:t>
      </w:r>
      <w:r w:rsidR="00476CD0">
        <w:t>Phase II</w:t>
      </w:r>
      <w:r w:rsidRPr="001F05BF">
        <w:t xml:space="preserve"> and 1 </w:t>
      </w:r>
      <w:r w:rsidR="00476CD0">
        <w:t>Phase III</w:t>
      </w:r>
      <w:r w:rsidRPr="001F05BF">
        <w:t xml:space="preserve"> </w:t>
      </w:r>
      <w:r w:rsidR="00D32A2F">
        <w:t>studies/</w:t>
      </w:r>
      <w:r w:rsidRPr="001F05BF">
        <w:t>trial</w:t>
      </w:r>
      <w:r w:rsidR="00D32A2F">
        <w:t>s</w:t>
      </w:r>
      <w:r w:rsidRPr="001F05BF">
        <w:t xml:space="preserve">. Two of these studies also contain </w:t>
      </w:r>
      <w:r w:rsidR="00F64A30">
        <w:rPr>
          <w:rFonts w:eastAsia="TimesNewRoman" w:cs="TimesNewRoman"/>
        </w:rPr>
        <w:t>Pharmacodynamics (</w:t>
      </w:r>
      <w:r w:rsidRPr="001F05BF">
        <w:t>PD</w:t>
      </w:r>
      <w:r w:rsidR="00F64A30">
        <w:t>)</w:t>
      </w:r>
      <w:r w:rsidRPr="001F05BF">
        <w:t xml:space="preserve"> data. In addition, four population pharmacokinetic (</w:t>
      </w:r>
      <w:proofErr w:type="spellStart"/>
      <w:r w:rsidRPr="001F05BF">
        <w:t>popPK</w:t>
      </w:r>
      <w:proofErr w:type="spellEnd"/>
      <w:r w:rsidRPr="001F05BF">
        <w:t>) analyses and two Integrated Virology Reports are also included as part of the current submission</w:t>
      </w:r>
      <w:r w:rsidR="00476CD0">
        <w:t>.</w:t>
      </w:r>
    </w:p>
    <w:p w:rsidR="001F05BF" w:rsidRDefault="001F05BF" w:rsidP="001F05BF">
      <w:pPr>
        <w:pStyle w:val="Heading5"/>
      </w:pPr>
      <w:r w:rsidRPr="00DF5E03">
        <w:t>Pivotal efficacy/ safety studies</w:t>
      </w:r>
    </w:p>
    <w:p w:rsidR="001F05BF" w:rsidRPr="00930F02" w:rsidRDefault="001F05BF" w:rsidP="001F05BF">
      <w:pPr>
        <w:pStyle w:val="Default"/>
        <w:spacing w:after="120"/>
        <w:rPr>
          <w:rFonts w:asciiTheme="minorHAnsi" w:hAnsiTheme="minorHAnsi"/>
          <w:sz w:val="22"/>
          <w:szCs w:val="22"/>
        </w:rPr>
      </w:pPr>
      <w:proofErr w:type="gramStart"/>
      <w:r w:rsidRPr="00930F02">
        <w:rPr>
          <w:rFonts w:asciiTheme="minorHAnsi" w:hAnsiTheme="minorHAnsi"/>
          <w:sz w:val="22"/>
          <w:szCs w:val="22"/>
        </w:rPr>
        <w:t xml:space="preserve">Four </w:t>
      </w:r>
      <w:r w:rsidR="00476CD0">
        <w:rPr>
          <w:rFonts w:asciiTheme="minorHAnsi" w:hAnsiTheme="minorHAnsi"/>
          <w:sz w:val="22"/>
          <w:szCs w:val="22"/>
        </w:rPr>
        <w:t>Phase III</w:t>
      </w:r>
      <w:r w:rsidRPr="00930F02">
        <w:rPr>
          <w:rFonts w:asciiTheme="minorHAnsi" w:hAnsiTheme="minorHAnsi"/>
          <w:sz w:val="22"/>
          <w:szCs w:val="22"/>
        </w:rPr>
        <w:t xml:space="preserve"> pivotal studies providing the principal clinical efficacy data for the proposed</w:t>
      </w:r>
      <w:r>
        <w:rPr>
          <w:rFonts w:asciiTheme="minorHAnsi" w:hAnsiTheme="minorHAnsi"/>
          <w:sz w:val="22"/>
          <w:szCs w:val="22"/>
        </w:rPr>
        <w:t xml:space="preserve"> SOF/VEL/VOX treatment regimen.</w:t>
      </w:r>
      <w:proofErr w:type="gramEnd"/>
    </w:p>
    <w:p w:rsidR="001F05BF" w:rsidRPr="001F05BF" w:rsidRDefault="001F05BF" w:rsidP="001F05BF">
      <w:pPr>
        <w:pStyle w:val="Numberbullet0"/>
      </w:pPr>
      <w:r w:rsidRPr="001F05BF">
        <w:t>GS-US-367-1171 (POLARIS-1</w:t>
      </w:r>
      <w:r w:rsidR="00D32A2F">
        <w:t xml:space="preserve"> trial</w:t>
      </w:r>
      <w:r w:rsidRPr="001F05BF">
        <w:t xml:space="preserve">) evaluated SOF/VEL/VOX for 12 weeks or </w:t>
      </w:r>
      <w:r w:rsidR="00D32A2F">
        <w:t>p</w:t>
      </w:r>
      <w:r w:rsidR="00D32A2F" w:rsidRPr="001F05BF">
        <w:t xml:space="preserve">lacebo </w:t>
      </w:r>
      <w:r w:rsidRPr="001F05BF">
        <w:t>for 12 weeks in NS5A inhibitor DAA experienced GT 1, 2, 3, 4, 5 or 6 pa</w:t>
      </w:r>
      <w:r w:rsidR="003A5113">
        <w:t>tients</w:t>
      </w:r>
      <w:r w:rsidR="00D32A2F">
        <w:t>.</w:t>
      </w:r>
    </w:p>
    <w:p w:rsidR="001F05BF" w:rsidRPr="001F05BF" w:rsidRDefault="00D32A2F" w:rsidP="001F05BF">
      <w:pPr>
        <w:pStyle w:val="Numberbullet0"/>
      </w:pPr>
      <w:r>
        <w:t xml:space="preserve">Study </w:t>
      </w:r>
      <w:r w:rsidR="001F05BF" w:rsidRPr="001F05BF">
        <w:t>GS-US-367-1172 (POLARIS-2</w:t>
      </w:r>
      <w:r>
        <w:t xml:space="preserve"> trial</w:t>
      </w:r>
      <w:r w:rsidR="001F05BF" w:rsidRPr="001F05BF">
        <w:t xml:space="preserve">) evaluated SOF/VEL/VOX for 8 weeks or SOF/VEL for 12 weeks in DAA-naïve </w:t>
      </w:r>
      <w:r w:rsidR="003A5113">
        <w:t>GT 1, 2, 3, 4, 5, or 6 patients</w:t>
      </w:r>
      <w:r>
        <w:t>.</w:t>
      </w:r>
    </w:p>
    <w:p w:rsidR="001F05BF" w:rsidRPr="001F05BF" w:rsidRDefault="00D32A2F" w:rsidP="001F05BF">
      <w:pPr>
        <w:pStyle w:val="Numberbullet0"/>
      </w:pPr>
      <w:r>
        <w:t xml:space="preserve">Study </w:t>
      </w:r>
      <w:r w:rsidR="001F05BF" w:rsidRPr="001F05BF">
        <w:t>GS-US-367-1173 (POLARIS-3</w:t>
      </w:r>
      <w:r>
        <w:t xml:space="preserve"> </w:t>
      </w:r>
      <w:proofErr w:type="gramStart"/>
      <w:r>
        <w:t xml:space="preserve">trial </w:t>
      </w:r>
      <w:r w:rsidR="001F05BF" w:rsidRPr="001F05BF">
        <w:t>)</w:t>
      </w:r>
      <w:proofErr w:type="gramEnd"/>
      <w:r w:rsidR="001F05BF" w:rsidRPr="001F05BF">
        <w:t xml:space="preserve"> evaluated SOF/VEL/VOX for 8 weeks or SOF/VEL for 12 we</w:t>
      </w:r>
      <w:r w:rsidR="003A5113">
        <w:t>eks in DAA-naïve GT 3 patients</w:t>
      </w:r>
      <w:r>
        <w:t>.</w:t>
      </w:r>
    </w:p>
    <w:p w:rsidR="00476CD0" w:rsidRDefault="00D32A2F" w:rsidP="001F05BF">
      <w:pPr>
        <w:pStyle w:val="Numberbullet0"/>
      </w:pPr>
      <w:r>
        <w:t xml:space="preserve">Study </w:t>
      </w:r>
      <w:r w:rsidR="001F05BF" w:rsidRPr="001F05BF">
        <w:t>GS-US-367-1170 (POLARIS-4</w:t>
      </w:r>
      <w:r>
        <w:t xml:space="preserve"> trial</w:t>
      </w:r>
      <w:r w:rsidR="001F05BF" w:rsidRPr="001F05BF">
        <w:t xml:space="preserve">) evaluated SOF/VEL/VOX for 12 weeks or SOF/VEL for 12 weeks in </w:t>
      </w:r>
      <w:r>
        <w:t>n</w:t>
      </w:r>
      <w:r w:rsidRPr="001F05BF">
        <w:t>on</w:t>
      </w:r>
      <w:r w:rsidR="001F05BF" w:rsidRPr="001F05BF">
        <w:t>-NS5A inhibitor DAA experienced GT 1, 2, 3, or 4 patients</w:t>
      </w:r>
      <w:r w:rsidR="00476CD0">
        <w:t>.</w:t>
      </w:r>
    </w:p>
    <w:p w:rsidR="001F05BF" w:rsidRDefault="001F05BF" w:rsidP="001F05BF">
      <w:pPr>
        <w:pStyle w:val="Heading5"/>
      </w:pPr>
      <w:r w:rsidRPr="00DF5E03">
        <w:t>Other efficacy/ safety studies</w:t>
      </w:r>
    </w:p>
    <w:p w:rsidR="001F05BF" w:rsidRPr="00930F02" w:rsidRDefault="001F05BF" w:rsidP="001F05BF">
      <w:pPr>
        <w:pStyle w:val="Default"/>
        <w:spacing w:after="120"/>
        <w:rPr>
          <w:rFonts w:asciiTheme="minorHAnsi" w:hAnsiTheme="minorHAnsi"/>
          <w:sz w:val="22"/>
          <w:szCs w:val="22"/>
        </w:rPr>
      </w:pPr>
      <w:r w:rsidRPr="00930F02">
        <w:rPr>
          <w:rFonts w:asciiTheme="minorHAnsi" w:hAnsiTheme="minorHAnsi"/>
          <w:sz w:val="22"/>
          <w:szCs w:val="22"/>
        </w:rPr>
        <w:t xml:space="preserve">Four </w:t>
      </w:r>
      <w:r w:rsidR="00476CD0">
        <w:rPr>
          <w:rFonts w:asciiTheme="minorHAnsi" w:hAnsiTheme="minorHAnsi"/>
          <w:sz w:val="22"/>
          <w:szCs w:val="22"/>
        </w:rPr>
        <w:t>Phase II</w:t>
      </w:r>
      <w:r w:rsidRPr="00930F02">
        <w:rPr>
          <w:rFonts w:asciiTheme="minorHAnsi" w:hAnsiTheme="minorHAnsi"/>
          <w:sz w:val="22"/>
          <w:szCs w:val="22"/>
        </w:rPr>
        <w:t xml:space="preserve"> studies providing key supporting cl</w:t>
      </w:r>
      <w:r>
        <w:rPr>
          <w:rFonts w:asciiTheme="minorHAnsi" w:hAnsiTheme="minorHAnsi"/>
          <w:sz w:val="22"/>
          <w:szCs w:val="22"/>
        </w:rPr>
        <w:t>inical dosing or efficacy data:</w:t>
      </w:r>
    </w:p>
    <w:p w:rsidR="001F05BF" w:rsidRPr="00096602" w:rsidRDefault="00D32A2F" w:rsidP="00E650A8">
      <w:pPr>
        <w:pStyle w:val="Numberbullet0"/>
        <w:numPr>
          <w:ilvl w:val="0"/>
          <w:numId w:val="13"/>
        </w:numPr>
      </w:pPr>
      <w:r>
        <w:t xml:space="preserve">Study </w:t>
      </w:r>
      <w:r w:rsidR="001F05BF" w:rsidRPr="00096602">
        <w:t>GS-US-367-1168 evaluated SOF/VEL/VOX for 6, 8 (with or without RBV), or 12</w:t>
      </w:r>
      <w:r>
        <w:t> </w:t>
      </w:r>
      <w:r w:rsidR="001F05BF" w:rsidRPr="00096602">
        <w:t xml:space="preserve">weeks in </w:t>
      </w:r>
      <w:r>
        <w:t>t</w:t>
      </w:r>
      <w:r w:rsidRPr="00096602">
        <w:t>reatment</w:t>
      </w:r>
      <w:r w:rsidR="001F05BF" w:rsidRPr="00096602">
        <w:t>-naive and DAA experienced genotype (GT)</w:t>
      </w:r>
      <w:r w:rsidR="00AF7415">
        <w:t xml:space="preserve"> </w:t>
      </w:r>
      <w:r w:rsidR="001F05BF" w:rsidRPr="00096602">
        <w:t>1 patients</w:t>
      </w:r>
      <w:r>
        <w:t>.</w:t>
      </w:r>
    </w:p>
    <w:p w:rsidR="001F05BF" w:rsidRPr="00096602" w:rsidRDefault="00D32A2F" w:rsidP="00E650A8">
      <w:pPr>
        <w:pStyle w:val="Numberbullet0"/>
        <w:numPr>
          <w:ilvl w:val="0"/>
          <w:numId w:val="13"/>
        </w:numPr>
      </w:pPr>
      <w:r>
        <w:t xml:space="preserve">Study </w:t>
      </w:r>
      <w:r w:rsidR="001F05BF" w:rsidRPr="00096602">
        <w:t xml:space="preserve">GS-US-367-1169 evaluated SOF/VEL/VOX for 6, 8 or 12 weeks in </w:t>
      </w:r>
      <w:r>
        <w:t>treatment</w:t>
      </w:r>
      <w:r>
        <w:noBreakHyphen/>
      </w:r>
      <w:r w:rsidR="001F05BF" w:rsidRPr="00096602">
        <w:t>naive and treatment experienced (including DAA experienced) GT 1, 2, 3, 4, or 5 patients</w:t>
      </w:r>
      <w:r>
        <w:t>.</w:t>
      </w:r>
    </w:p>
    <w:p w:rsidR="001F05BF" w:rsidRPr="00096602" w:rsidRDefault="00D32A2F" w:rsidP="00E650A8">
      <w:pPr>
        <w:pStyle w:val="Numberbullet0"/>
        <w:numPr>
          <w:ilvl w:val="0"/>
          <w:numId w:val="13"/>
        </w:numPr>
      </w:pPr>
      <w:r>
        <w:t xml:space="preserve">Study </w:t>
      </w:r>
      <w:r w:rsidR="001F05BF" w:rsidRPr="00096602">
        <w:t xml:space="preserve">GS-US-367-1871 (TRILOGY-3) evaluated SOF/VEL/VOX with or without RBV for 12 weeks in </w:t>
      </w:r>
      <w:r w:rsidR="00CE0E69">
        <w:t>DAA experienced</w:t>
      </w:r>
      <w:r w:rsidR="001F05BF" w:rsidRPr="00096602">
        <w:t xml:space="preserve"> GT 1 patients</w:t>
      </w:r>
      <w:r w:rsidR="00856FEB">
        <w:t>.</w:t>
      </w:r>
    </w:p>
    <w:p w:rsidR="00476CD0" w:rsidRDefault="001F05BF" w:rsidP="00E650A8">
      <w:pPr>
        <w:pStyle w:val="Numberbullet0"/>
        <w:numPr>
          <w:ilvl w:val="0"/>
          <w:numId w:val="13"/>
        </w:numPr>
      </w:pPr>
      <w:r w:rsidRPr="00096602">
        <w:t>GS-US-337-1468 (LEPTON</w:t>
      </w:r>
      <w:r w:rsidR="00D32A2F">
        <w:t xml:space="preserve"> trial</w:t>
      </w:r>
      <w:r w:rsidRPr="00096602">
        <w:t xml:space="preserve">) evaluated SOF/VEL+VOX for 4, 6, or 8 weeks in </w:t>
      </w:r>
      <w:r w:rsidR="00D32A2F">
        <w:t>t</w:t>
      </w:r>
      <w:r w:rsidR="00D32A2F" w:rsidRPr="00096602">
        <w:t xml:space="preserve">reatment </w:t>
      </w:r>
      <w:r w:rsidRPr="00096602">
        <w:t>naive and treatment experienced (including DAA experienced) GT 1 or 3 patients</w:t>
      </w:r>
      <w:r w:rsidR="00476CD0">
        <w:t>.</w:t>
      </w:r>
    </w:p>
    <w:p w:rsidR="001F05BF" w:rsidRPr="00096602" w:rsidRDefault="003A5113" w:rsidP="00096602">
      <w:r>
        <w:t>The submission also contained an i</w:t>
      </w:r>
      <w:r w:rsidR="001F05BF" w:rsidRPr="00096602">
        <w:t xml:space="preserve">ntegrated </w:t>
      </w:r>
      <w:r w:rsidR="00096602" w:rsidRPr="00096602">
        <w:t>summary of efficacy and safety</w:t>
      </w:r>
      <w:r w:rsidR="00D35780">
        <w:t>.</w:t>
      </w:r>
    </w:p>
    <w:p w:rsidR="00476CD0" w:rsidRDefault="001F05BF" w:rsidP="00856FEB">
      <w:r w:rsidRPr="009573CF">
        <w:lastRenderedPageBreak/>
        <w:t xml:space="preserve">In addition to the studies outlined above the application to register SOF/VEL/VOX was also supported by </w:t>
      </w:r>
      <w:r w:rsidR="003A5113">
        <w:t xml:space="preserve">cross </w:t>
      </w:r>
      <w:r>
        <w:t>reference to the clinical and</w:t>
      </w:r>
      <w:r w:rsidRPr="009573CF">
        <w:t xml:space="preserve"> </w:t>
      </w:r>
      <w:r w:rsidR="00C4145D">
        <w:t>nonclinical</w:t>
      </w:r>
      <w:r w:rsidRPr="009573CF">
        <w:t xml:space="preserve"> data previously evaluated and approved by the TGA for the sofosbuvir single agent tablet </w:t>
      </w:r>
      <w:r w:rsidR="00476CD0">
        <w:t>Sovaldi</w:t>
      </w:r>
      <w:r w:rsidRPr="009573CF">
        <w:t xml:space="preserve"> (AUST R 2011019) as well as the two sofosbuvir combination tablets </w:t>
      </w:r>
      <w:r w:rsidR="00476CD0">
        <w:t>Harvoni</w:t>
      </w:r>
      <w:r w:rsidRPr="009573CF">
        <w:t xml:space="preserve"> (AUST R 222848) and </w:t>
      </w:r>
      <w:r w:rsidR="00476CD0">
        <w:t>Epclusa</w:t>
      </w:r>
      <w:r w:rsidRPr="009573CF">
        <w:t xml:space="preserve"> (AUST R 266823). A list of previously evaluated studies along with a cross-reference to the releva</w:t>
      </w:r>
      <w:r w:rsidR="003A5113">
        <w:t>nt TGA application was provided.</w:t>
      </w:r>
    </w:p>
    <w:p w:rsidR="00605AD4" w:rsidRDefault="00605AD4" w:rsidP="00605AD4">
      <w:pPr>
        <w:pStyle w:val="Heading4"/>
      </w:pPr>
      <w:r w:rsidRPr="00605AD4">
        <w:t>Paediatric data</w:t>
      </w:r>
    </w:p>
    <w:p w:rsidR="00476CD0" w:rsidRDefault="00096602" w:rsidP="00500337">
      <w:r w:rsidRPr="00096602">
        <w:t>Not applicable</w:t>
      </w:r>
      <w:r w:rsidR="00476CD0">
        <w:t>.</w:t>
      </w:r>
    </w:p>
    <w:p w:rsidR="00605AD4" w:rsidRDefault="00605AD4" w:rsidP="00605AD4">
      <w:pPr>
        <w:pStyle w:val="Heading4"/>
      </w:pPr>
      <w:r w:rsidRPr="00605AD4">
        <w:t>Good clinical practice</w:t>
      </w:r>
    </w:p>
    <w:p w:rsidR="00500337" w:rsidRPr="00500337" w:rsidRDefault="00096602" w:rsidP="00500337">
      <w:r w:rsidRPr="00096602">
        <w:t xml:space="preserve">All studies conducted in the SOF/VEL/VOX development program met the requirement for International Council for Harmonisation (ICH) guidelines. For studies conducted under a United States investigational new drug (IND) application, investigators were required to ensure that the basic principles of Good Clinical Practice (GCP) were adhered to, as outlined in 21 Code of Federal Regulations (CFR) 312, subpart D, </w:t>
      </w:r>
      <w:r w:rsidR="00AF7415">
        <w:t>‘</w:t>
      </w:r>
      <w:r w:rsidRPr="00096602">
        <w:t>Responsibilities of Sponsors and Investigators</w:t>
      </w:r>
      <w:r w:rsidR="00AF7415">
        <w:t>’;</w:t>
      </w:r>
      <w:r w:rsidRPr="00096602">
        <w:t xml:space="preserve"> 21 CFR, part 50, </w:t>
      </w:r>
      <w:r w:rsidR="00AF7415">
        <w:t>‘</w:t>
      </w:r>
      <w:r w:rsidRPr="00096602">
        <w:t>Protection of Human Subjects</w:t>
      </w:r>
      <w:r w:rsidR="00AF7415">
        <w:t>’’</w:t>
      </w:r>
      <w:r w:rsidRPr="00096602">
        <w:t xml:space="preserve"> and 21</w:t>
      </w:r>
      <w:r w:rsidR="00AF7415">
        <w:t> </w:t>
      </w:r>
      <w:r w:rsidRPr="00096602">
        <w:t xml:space="preserve">CFR, part 56, </w:t>
      </w:r>
      <w:r w:rsidR="00AF7415">
        <w:t>‘</w:t>
      </w:r>
      <w:r w:rsidRPr="00096602">
        <w:t>Institutional Review Boards</w:t>
      </w:r>
      <w:r w:rsidR="00AF7415">
        <w:t>’</w:t>
      </w:r>
      <w:r w:rsidRPr="00096602">
        <w:t>. These standards are consistent with the requirements of the European Community Directive 2001/20/EC.</w:t>
      </w:r>
    </w:p>
    <w:p w:rsidR="008E7846" w:rsidRDefault="008E7846" w:rsidP="00605AD4">
      <w:pPr>
        <w:pStyle w:val="Heading3"/>
      </w:pPr>
      <w:bookmarkStart w:id="88" w:name="_Toc8291122"/>
      <w:r w:rsidRPr="00254787">
        <w:t>Pharmacokinetics</w:t>
      </w:r>
      <w:bookmarkEnd w:id="73"/>
      <w:bookmarkEnd w:id="82"/>
      <w:bookmarkEnd w:id="83"/>
      <w:bookmarkEnd w:id="84"/>
      <w:bookmarkEnd w:id="88"/>
    </w:p>
    <w:p w:rsidR="00096602" w:rsidRPr="009A141C" w:rsidRDefault="00096602" w:rsidP="00096602">
      <w:pPr>
        <w:pStyle w:val="Heading4"/>
      </w:pPr>
      <w:bookmarkStart w:id="89" w:name="_Toc496265962"/>
      <w:r>
        <w:t>Studies providing pharmacokinetic information</w:t>
      </w:r>
      <w:bookmarkEnd w:id="89"/>
    </w:p>
    <w:p w:rsidR="00096602" w:rsidRDefault="00AC0F8C" w:rsidP="00096602">
      <w:pPr>
        <w:pStyle w:val="TableTitle"/>
      </w:pPr>
      <w:bookmarkStart w:id="90" w:name="_Toc453839419"/>
      <w:bookmarkStart w:id="91" w:name="_Toc496266069"/>
      <w:r>
        <w:t>Table 7</w:t>
      </w:r>
      <w:r w:rsidR="00096602">
        <w:t>:</w:t>
      </w:r>
      <w:r w:rsidR="00096602" w:rsidRPr="002E2E9A">
        <w:t xml:space="preserve"> Submitted pharmacokinetic studies</w:t>
      </w:r>
      <w:bookmarkEnd w:id="90"/>
      <w:bookmarkEnd w:id="91"/>
    </w:p>
    <w:tbl>
      <w:tblPr>
        <w:tblStyle w:val="TableTGAblue"/>
        <w:tblW w:w="8688" w:type="dxa"/>
        <w:tblLayout w:type="fixed"/>
        <w:tblLook w:val="04A0" w:firstRow="1" w:lastRow="0" w:firstColumn="1" w:lastColumn="0" w:noHBand="0" w:noVBand="1"/>
      </w:tblPr>
      <w:tblGrid>
        <w:gridCol w:w="1592"/>
        <w:gridCol w:w="2365"/>
        <w:gridCol w:w="1478"/>
        <w:gridCol w:w="3253"/>
      </w:tblGrid>
      <w:tr w:rsidR="00096602" w:rsidRPr="00096602" w:rsidTr="00096602">
        <w:trPr>
          <w:cnfStyle w:val="100000000000" w:firstRow="1" w:lastRow="0" w:firstColumn="0" w:lastColumn="0" w:oddVBand="0" w:evenVBand="0" w:oddHBand="0" w:evenHBand="0" w:firstRowFirstColumn="0" w:firstRowLastColumn="0" w:lastRowFirstColumn="0" w:lastRowLastColumn="0"/>
          <w:trHeight w:val="145"/>
        </w:trPr>
        <w:tc>
          <w:tcPr>
            <w:tcW w:w="1592" w:type="dxa"/>
          </w:tcPr>
          <w:p w:rsidR="00096602" w:rsidRPr="00096602" w:rsidRDefault="00096602" w:rsidP="003A5113">
            <w:pPr>
              <w:ind w:left="0" w:right="0"/>
              <w:rPr>
                <w:rFonts w:asciiTheme="minorHAnsi" w:hAnsiTheme="minorHAnsi"/>
              </w:rPr>
            </w:pPr>
            <w:r w:rsidRPr="00096602">
              <w:rPr>
                <w:rFonts w:asciiTheme="minorHAnsi" w:hAnsiTheme="minorHAnsi"/>
              </w:rPr>
              <w:t>PK topic</w:t>
            </w:r>
          </w:p>
        </w:tc>
        <w:tc>
          <w:tcPr>
            <w:tcW w:w="2365" w:type="dxa"/>
          </w:tcPr>
          <w:p w:rsidR="00096602" w:rsidRPr="00096602" w:rsidRDefault="00096602" w:rsidP="003A5113">
            <w:pPr>
              <w:ind w:left="0" w:right="0"/>
              <w:rPr>
                <w:rFonts w:asciiTheme="minorHAnsi" w:hAnsiTheme="minorHAnsi"/>
              </w:rPr>
            </w:pPr>
            <w:r w:rsidRPr="00096602">
              <w:rPr>
                <w:rFonts w:asciiTheme="minorHAnsi" w:hAnsiTheme="minorHAnsi"/>
              </w:rPr>
              <w:t>Subtopic</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Study ID</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w:t>
            </w:r>
          </w:p>
        </w:tc>
      </w:tr>
      <w:tr w:rsidR="00096602" w:rsidRPr="00096602" w:rsidTr="00096602">
        <w:trPr>
          <w:trHeight w:val="145"/>
        </w:trPr>
        <w:tc>
          <w:tcPr>
            <w:tcW w:w="1592" w:type="dxa"/>
            <w:vMerge w:val="restart"/>
          </w:tcPr>
          <w:p w:rsidR="00096602" w:rsidRPr="00096602" w:rsidRDefault="00096602" w:rsidP="003A5113">
            <w:pPr>
              <w:ind w:left="0" w:right="0"/>
              <w:rPr>
                <w:rFonts w:asciiTheme="minorHAnsi" w:hAnsiTheme="minorHAnsi"/>
              </w:rPr>
            </w:pPr>
            <w:r w:rsidRPr="00096602">
              <w:rPr>
                <w:rFonts w:asciiTheme="minorHAnsi" w:hAnsiTheme="minorHAnsi"/>
              </w:rPr>
              <w:t>PK in healthy adults</w:t>
            </w:r>
          </w:p>
        </w:tc>
        <w:tc>
          <w:tcPr>
            <w:tcW w:w="2365" w:type="dxa"/>
            <w:vMerge w:val="restart"/>
          </w:tcPr>
          <w:p w:rsidR="00096602" w:rsidRPr="00096602" w:rsidRDefault="003A5113" w:rsidP="003A5113">
            <w:pPr>
              <w:ind w:left="0" w:right="0"/>
              <w:rPr>
                <w:rFonts w:asciiTheme="minorHAnsi" w:hAnsiTheme="minorHAnsi"/>
              </w:rPr>
            </w:pPr>
            <w:r>
              <w:rPr>
                <w:rFonts w:asciiTheme="minorHAnsi" w:hAnsiTheme="minorHAnsi"/>
              </w:rPr>
              <w:t xml:space="preserve">General PK </w:t>
            </w:r>
          </w:p>
          <w:p w:rsidR="00096602" w:rsidRPr="00096602" w:rsidRDefault="00096602" w:rsidP="003A5113">
            <w:pPr>
              <w:ind w:left="0" w:right="0"/>
              <w:rPr>
                <w:rFonts w:asciiTheme="minorHAnsi" w:hAnsiTheme="minorHAnsi"/>
              </w:rPr>
            </w:pPr>
            <w:r w:rsidRPr="00096602">
              <w:rPr>
                <w:rFonts w:asciiTheme="minorHAnsi" w:hAnsiTheme="minorHAnsi"/>
              </w:rPr>
              <w:t>Single dose</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GS-US-338-1123</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 xml:space="preserve">Therapeutic and supratherapeutic doses of VOX and effect on </w:t>
            </w:r>
            <w:proofErr w:type="spellStart"/>
            <w:r w:rsidRPr="00096602">
              <w:rPr>
                <w:rFonts w:asciiTheme="minorHAnsi" w:hAnsiTheme="minorHAnsi"/>
              </w:rPr>
              <w:t>QTc</w:t>
            </w:r>
            <w:proofErr w:type="spellEnd"/>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vMerge/>
          </w:tcPr>
          <w:p w:rsidR="00096602" w:rsidRPr="00096602" w:rsidRDefault="00096602" w:rsidP="003A5113">
            <w:pPr>
              <w:ind w:left="0" w:right="0"/>
              <w:rPr>
                <w:rFonts w:asciiTheme="minorHAnsi" w:hAnsiTheme="minorHAnsi"/>
              </w:rPr>
            </w:pP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GS-US-338-1124</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 xml:space="preserve">Mass balance of VOX using a dose of radiolabelled </w:t>
            </w:r>
            <w:r w:rsidR="000E1116">
              <w:t>(</w:t>
            </w:r>
            <w:r w:rsidR="00476CD0" w:rsidRPr="00476CD0">
              <w:rPr>
                <w:vertAlign w:val="superscript"/>
              </w:rPr>
              <w:t>14</w:t>
            </w:r>
            <w:r w:rsidR="00476CD0">
              <w:t>C</w:t>
            </w:r>
            <w:r w:rsidR="000E1116">
              <w:t>)</w:t>
            </w:r>
            <w:r w:rsidRPr="00096602">
              <w:rPr>
                <w:rFonts w:asciiTheme="minorHAnsi" w:hAnsiTheme="minorHAnsi"/>
              </w:rPr>
              <w:t>VOX</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tcPr>
          <w:p w:rsidR="00096602" w:rsidRPr="00096602" w:rsidRDefault="00096602" w:rsidP="003A5113">
            <w:pPr>
              <w:ind w:left="0" w:right="0"/>
              <w:rPr>
                <w:rFonts w:asciiTheme="minorHAnsi" w:hAnsiTheme="minorHAnsi"/>
              </w:rPr>
            </w:pPr>
            <w:r w:rsidRPr="00096602">
              <w:rPr>
                <w:rFonts w:asciiTheme="minorHAnsi" w:hAnsiTheme="minorHAnsi"/>
              </w:rPr>
              <w:t>Relative bioavailability</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GS-US-367-1176</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 xml:space="preserve">PKs of </w:t>
            </w:r>
            <w:r w:rsidR="00476CD0">
              <w:rPr>
                <w:rFonts w:asciiTheme="minorHAnsi" w:hAnsiTheme="minorHAnsi"/>
              </w:rPr>
              <w:t>Vosevi</w:t>
            </w:r>
            <w:r w:rsidRPr="00096602">
              <w:rPr>
                <w:rFonts w:asciiTheme="minorHAnsi" w:hAnsiTheme="minorHAnsi"/>
              </w:rPr>
              <w:t xml:space="preserve"> relative to tablet formulations of SOF/VEL FDC and individual agent VOX</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tcPr>
          <w:p w:rsidR="00096602" w:rsidRPr="00096602" w:rsidRDefault="00096602" w:rsidP="003A5113">
            <w:pPr>
              <w:ind w:left="0" w:right="0"/>
              <w:rPr>
                <w:rFonts w:asciiTheme="minorHAnsi" w:hAnsiTheme="minorHAnsi"/>
              </w:rPr>
            </w:pPr>
            <w:r w:rsidRPr="00096602">
              <w:rPr>
                <w:rFonts w:asciiTheme="minorHAnsi" w:hAnsiTheme="minorHAnsi"/>
              </w:rPr>
              <w:t>Escalating single and multiple oral doses</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GS-US-338-1120</w:t>
            </w:r>
          </w:p>
        </w:tc>
        <w:tc>
          <w:tcPr>
            <w:tcW w:w="3253" w:type="dxa"/>
          </w:tcPr>
          <w:p w:rsidR="00096602" w:rsidRPr="00096602" w:rsidRDefault="003A5113" w:rsidP="003A5113">
            <w:pPr>
              <w:ind w:left="0" w:right="0"/>
              <w:rPr>
                <w:rFonts w:asciiTheme="minorHAnsi" w:hAnsiTheme="minorHAnsi"/>
              </w:rPr>
            </w:pPr>
            <w:r>
              <w:rPr>
                <w:rFonts w:asciiTheme="minorHAnsi" w:hAnsiTheme="minorHAnsi"/>
              </w:rPr>
              <w:t xml:space="preserve">Characterise the single and multiple </w:t>
            </w:r>
            <w:r w:rsidR="00096602" w:rsidRPr="00096602">
              <w:rPr>
                <w:rFonts w:asciiTheme="minorHAnsi" w:hAnsiTheme="minorHAnsi"/>
              </w:rPr>
              <w:t>dose PKs of VOX</w:t>
            </w:r>
          </w:p>
        </w:tc>
      </w:tr>
      <w:tr w:rsidR="00096602" w:rsidRPr="00096602" w:rsidTr="00096602">
        <w:trPr>
          <w:trHeight w:val="145"/>
        </w:trPr>
        <w:tc>
          <w:tcPr>
            <w:tcW w:w="1592" w:type="dxa"/>
            <w:vMerge w:val="restart"/>
          </w:tcPr>
          <w:p w:rsidR="00096602" w:rsidRPr="00096602" w:rsidRDefault="00096602" w:rsidP="003A5113">
            <w:pPr>
              <w:ind w:left="0" w:right="0"/>
              <w:rPr>
                <w:rFonts w:asciiTheme="minorHAnsi" w:hAnsiTheme="minorHAnsi"/>
              </w:rPr>
            </w:pPr>
            <w:r w:rsidRPr="00096602">
              <w:rPr>
                <w:rFonts w:asciiTheme="minorHAnsi" w:hAnsiTheme="minorHAnsi"/>
              </w:rPr>
              <w:t>PK in special populations</w:t>
            </w:r>
          </w:p>
        </w:tc>
        <w:tc>
          <w:tcPr>
            <w:tcW w:w="2365" w:type="dxa"/>
            <w:vMerge w:val="restart"/>
          </w:tcPr>
          <w:p w:rsidR="00096602" w:rsidRPr="00096602" w:rsidRDefault="003A5113" w:rsidP="003A5113">
            <w:pPr>
              <w:ind w:left="0" w:right="0"/>
              <w:rPr>
                <w:rFonts w:asciiTheme="minorHAnsi" w:hAnsiTheme="minorHAnsi"/>
              </w:rPr>
            </w:pPr>
            <w:r>
              <w:rPr>
                <w:rFonts w:asciiTheme="minorHAnsi" w:hAnsiTheme="minorHAnsi"/>
              </w:rPr>
              <w:t xml:space="preserve">Target population Multi </w:t>
            </w:r>
            <w:r w:rsidR="00096602" w:rsidRPr="00096602">
              <w:rPr>
                <w:rFonts w:asciiTheme="minorHAnsi" w:hAnsiTheme="minorHAnsi"/>
              </w:rPr>
              <w:t>dose</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GS-US-367-1171</w:t>
            </w:r>
          </w:p>
        </w:tc>
        <w:tc>
          <w:tcPr>
            <w:tcW w:w="3253" w:type="dxa"/>
          </w:tcPr>
          <w:p w:rsidR="00096602" w:rsidRPr="00096602" w:rsidRDefault="00476CD0" w:rsidP="003A5113">
            <w:pPr>
              <w:ind w:left="0" w:right="0"/>
              <w:rPr>
                <w:rFonts w:asciiTheme="minorHAnsi" w:hAnsiTheme="minorHAnsi"/>
              </w:rPr>
            </w:pPr>
            <w:r>
              <w:rPr>
                <w:rFonts w:asciiTheme="minorHAnsi" w:hAnsiTheme="minorHAnsi"/>
              </w:rPr>
              <w:t>Vosevi</w:t>
            </w:r>
            <w:r w:rsidR="003A5113">
              <w:rPr>
                <w:rFonts w:asciiTheme="minorHAnsi" w:hAnsiTheme="minorHAnsi"/>
              </w:rPr>
              <w:t xml:space="preserve"> steady </w:t>
            </w:r>
            <w:r w:rsidR="00096602" w:rsidRPr="00096602">
              <w:rPr>
                <w:rFonts w:asciiTheme="minorHAnsi" w:hAnsiTheme="minorHAnsi"/>
              </w:rPr>
              <w:t>state</w:t>
            </w:r>
            <w:r w:rsidR="003A5113">
              <w:rPr>
                <w:rFonts w:asciiTheme="minorHAnsi" w:hAnsiTheme="minorHAnsi"/>
              </w:rPr>
              <w:t xml:space="preserve"> PKs in direct acting antiviral </w:t>
            </w:r>
            <w:r w:rsidR="00096602" w:rsidRPr="00096602">
              <w:rPr>
                <w:rFonts w:asciiTheme="minorHAnsi" w:hAnsiTheme="minorHAnsi"/>
              </w:rPr>
              <w:t>experienced subjects with chronic HCV infection</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vMerge/>
          </w:tcPr>
          <w:p w:rsidR="00096602" w:rsidRPr="00096602" w:rsidRDefault="00096602" w:rsidP="003A5113">
            <w:pPr>
              <w:ind w:left="0" w:right="0"/>
              <w:rPr>
                <w:rFonts w:asciiTheme="minorHAnsi" w:hAnsiTheme="minorHAnsi"/>
              </w:rPr>
            </w:pP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GS-US-338-1121</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PKs of multiple oral doses of VOX alone or with SOF/VEL FDC in subjects with HCV infection</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vMerge/>
          </w:tcPr>
          <w:p w:rsidR="00096602" w:rsidRPr="00096602" w:rsidRDefault="00096602" w:rsidP="003A5113">
            <w:pPr>
              <w:ind w:left="0" w:right="0"/>
              <w:rPr>
                <w:rFonts w:asciiTheme="minorHAnsi" w:hAnsiTheme="minorHAnsi"/>
              </w:rPr>
            </w:pP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GS-US-367-1169</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Steady-state PKs of SOF/VEL FDC + VOX in patients with non-genotype 1 chronic HCV infection</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vMerge w:val="restart"/>
          </w:tcPr>
          <w:p w:rsidR="00096602" w:rsidRPr="00096602" w:rsidRDefault="00096602" w:rsidP="003A5113">
            <w:pPr>
              <w:ind w:left="0" w:right="0"/>
              <w:rPr>
                <w:rFonts w:asciiTheme="minorHAnsi" w:hAnsiTheme="minorHAnsi"/>
              </w:rPr>
            </w:pPr>
            <w:r w:rsidRPr="00096602">
              <w:rPr>
                <w:rFonts w:asciiTheme="minorHAnsi" w:hAnsiTheme="minorHAnsi"/>
              </w:rPr>
              <w:t>Hepatic impairment</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GS-US-337-1468</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 xml:space="preserve">Comparison of </w:t>
            </w:r>
            <w:r w:rsidR="00CE0E69">
              <w:rPr>
                <w:rFonts w:asciiTheme="minorHAnsi" w:hAnsiTheme="minorHAnsi"/>
              </w:rPr>
              <w:t>steady state</w:t>
            </w:r>
            <w:r w:rsidRPr="00096602">
              <w:rPr>
                <w:rFonts w:asciiTheme="minorHAnsi" w:hAnsiTheme="minorHAnsi"/>
              </w:rPr>
              <w:t xml:space="preserve"> PKs in genotype 1 HCV infected patients with and without cirrhosis</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vMerge/>
          </w:tcPr>
          <w:p w:rsidR="00096602" w:rsidRPr="00096602" w:rsidRDefault="00096602" w:rsidP="003A5113">
            <w:pPr>
              <w:ind w:left="0" w:right="0"/>
              <w:rPr>
                <w:rFonts w:asciiTheme="minorHAnsi" w:hAnsiTheme="minorHAnsi"/>
              </w:rPr>
            </w:pP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GS-US-367-1168</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 xml:space="preserve">Comparison of </w:t>
            </w:r>
            <w:r w:rsidR="00CE0E69">
              <w:rPr>
                <w:rFonts w:asciiTheme="minorHAnsi" w:hAnsiTheme="minorHAnsi"/>
              </w:rPr>
              <w:t>steady state</w:t>
            </w:r>
            <w:r w:rsidRPr="00096602">
              <w:rPr>
                <w:rFonts w:asciiTheme="minorHAnsi" w:hAnsiTheme="minorHAnsi"/>
              </w:rPr>
              <w:t xml:space="preserve"> PKs in genotype 1 HCV infected patients with and without cirrhosis</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tcPr>
          <w:p w:rsidR="00096602" w:rsidRPr="00096602" w:rsidRDefault="00096602" w:rsidP="003A5113">
            <w:pPr>
              <w:ind w:left="0" w:right="0"/>
              <w:rPr>
                <w:rFonts w:asciiTheme="minorHAnsi" w:hAnsiTheme="minorHAnsi"/>
              </w:rPr>
            </w:pPr>
            <w:r w:rsidRPr="00096602">
              <w:rPr>
                <w:rFonts w:asciiTheme="minorHAnsi" w:hAnsiTheme="minorHAnsi"/>
              </w:rPr>
              <w:t>Other genetic variable</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GS-US-367-1905</w:t>
            </w:r>
          </w:p>
        </w:tc>
        <w:tc>
          <w:tcPr>
            <w:tcW w:w="3253" w:type="dxa"/>
          </w:tcPr>
          <w:p w:rsidR="00096602" w:rsidRPr="00096602" w:rsidRDefault="003A5113" w:rsidP="003A5113">
            <w:pPr>
              <w:ind w:left="0" w:right="0"/>
              <w:rPr>
                <w:rFonts w:asciiTheme="minorHAnsi" w:hAnsiTheme="minorHAnsi"/>
              </w:rPr>
            </w:pPr>
            <w:r>
              <w:rPr>
                <w:rFonts w:asciiTheme="minorHAnsi" w:hAnsiTheme="minorHAnsi"/>
              </w:rPr>
              <w:t xml:space="preserve">Steady </w:t>
            </w:r>
            <w:r w:rsidR="00096602" w:rsidRPr="00096602">
              <w:rPr>
                <w:rFonts w:asciiTheme="minorHAnsi" w:hAnsiTheme="minorHAnsi"/>
              </w:rPr>
              <w:t>state PKs of SOF/ VEL/ VOX FDC + VOX in healthy Japanese and Caucasian subjects</w:t>
            </w:r>
          </w:p>
        </w:tc>
      </w:tr>
      <w:tr w:rsidR="00096602" w:rsidRPr="00096602" w:rsidTr="00096602">
        <w:trPr>
          <w:trHeight w:val="145"/>
        </w:trPr>
        <w:tc>
          <w:tcPr>
            <w:tcW w:w="1592" w:type="dxa"/>
            <w:vMerge w:val="restart"/>
          </w:tcPr>
          <w:p w:rsidR="00096602" w:rsidRPr="00096602" w:rsidRDefault="00096602" w:rsidP="003A5113">
            <w:pPr>
              <w:ind w:left="0" w:right="0"/>
              <w:rPr>
                <w:rFonts w:asciiTheme="minorHAnsi" w:hAnsiTheme="minorHAnsi"/>
              </w:rPr>
            </w:pPr>
            <w:r w:rsidRPr="00096602">
              <w:rPr>
                <w:rFonts w:asciiTheme="minorHAnsi" w:hAnsiTheme="minorHAnsi"/>
              </w:rPr>
              <w:t>PK interactions</w:t>
            </w:r>
          </w:p>
        </w:tc>
        <w:tc>
          <w:tcPr>
            <w:tcW w:w="2365" w:type="dxa"/>
          </w:tcPr>
          <w:p w:rsidR="00096602" w:rsidRPr="00096602" w:rsidRDefault="00096602" w:rsidP="003A5113">
            <w:pPr>
              <w:ind w:left="0" w:right="0"/>
              <w:rPr>
                <w:rFonts w:asciiTheme="minorHAnsi" w:hAnsiTheme="minorHAnsi"/>
              </w:rPr>
            </w:pPr>
            <w:r w:rsidRPr="00096602">
              <w:rPr>
                <w:rFonts w:asciiTheme="minorHAnsi" w:hAnsiTheme="minorHAnsi"/>
              </w:rPr>
              <w:t>VOX and SOF/VEL FDC</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GS-US-338-1130</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PKs of VOX upon co-administration with SOF/VEL FDC</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tcPr>
          <w:p w:rsidR="00096602" w:rsidRPr="00096602" w:rsidRDefault="00096602" w:rsidP="003A5113">
            <w:pPr>
              <w:ind w:left="0" w:right="0"/>
              <w:rPr>
                <w:rFonts w:asciiTheme="minorHAnsi" w:hAnsiTheme="minorHAnsi"/>
              </w:rPr>
            </w:pPr>
            <w:r w:rsidRPr="00096602">
              <w:rPr>
                <w:rFonts w:asciiTheme="minorHAnsi" w:hAnsiTheme="minorHAnsi"/>
              </w:rPr>
              <w:t>Famotidine or omeprazole</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GS-US-367-1726</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PK of SOF/VEL/VOX FDC upon co-administration with a representative H2RA or P</w:t>
            </w:r>
            <w:r w:rsidR="003A5113">
              <w:rPr>
                <w:rFonts w:asciiTheme="minorHAnsi" w:hAnsiTheme="minorHAnsi"/>
              </w:rPr>
              <w:t>PI</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tcPr>
          <w:p w:rsidR="00096602" w:rsidRPr="00096602" w:rsidRDefault="00096602" w:rsidP="003A5113">
            <w:pPr>
              <w:ind w:left="0" w:right="0"/>
              <w:rPr>
                <w:rFonts w:asciiTheme="minorHAnsi" w:hAnsiTheme="minorHAnsi"/>
              </w:rPr>
            </w:pPr>
            <w:r w:rsidRPr="00096602">
              <w:rPr>
                <w:rFonts w:asciiTheme="minorHAnsi" w:hAnsiTheme="minorHAnsi"/>
              </w:rPr>
              <w:t>OATP/BCRP and P-</w:t>
            </w:r>
            <w:proofErr w:type="spellStart"/>
            <w:r w:rsidRPr="00096602">
              <w:rPr>
                <w:rFonts w:asciiTheme="minorHAnsi" w:hAnsiTheme="minorHAnsi"/>
              </w:rPr>
              <w:t>gp</w:t>
            </w:r>
            <w:proofErr w:type="spellEnd"/>
            <w:r w:rsidRPr="00096602">
              <w:rPr>
                <w:rFonts w:asciiTheme="minorHAnsi" w:hAnsiTheme="minorHAnsi"/>
              </w:rPr>
              <w:t xml:space="preserve"> substrates and </w:t>
            </w:r>
            <w:r w:rsidR="00AC3806">
              <w:rPr>
                <w:rFonts w:cs="Calibri"/>
              </w:rPr>
              <w:t>anti</w:t>
            </w:r>
            <w:r w:rsidR="000C291D">
              <w:rPr>
                <w:rFonts w:cs="Calibri"/>
              </w:rPr>
              <w:noBreakHyphen/>
            </w:r>
            <w:proofErr w:type="spellStart"/>
            <w:r w:rsidR="00AC3806">
              <w:rPr>
                <w:rFonts w:cs="Calibri"/>
              </w:rPr>
              <w:t>retrovirals</w:t>
            </w:r>
            <w:proofErr w:type="spellEnd"/>
            <w:r w:rsidR="00AC3806" w:rsidRPr="00096602">
              <w:rPr>
                <w:rFonts w:asciiTheme="minorHAnsi" w:hAnsiTheme="minorHAnsi"/>
              </w:rPr>
              <w:t xml:space="preserve"> </w:t>
            </w:r>
            <w:r w:rsidR="00AC3806">
              <w:rPr>
                <w:rFonts w:asciiTheme="minorHAnsi" w:hAnsiTheme="minorHAnsi"/>
              </w:rPr>
              <w:t>(</w:t>
            </w:r>
            <w:r w:rsidRPr="00096602">
              <w:rPr>
                <w:rFonts w:asciiTheme="minorHAnsi" w:hAnsiTheme="minorHAnsi"/>
              </w:rPr>
              <w:t>ARVs</w:t>
            </w:r>
            <w:r w:rsidR="00AC3806">
              <w:rPr>
                <w:rFonts w:asciiTheme="minorHAnsi" w:hAnsiTheme="minorHAnsi"/>
              </w:rPr>
              <w:t>)</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GS-US-367-1727</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Effect of SOF/ VEL/ VOX FDC + VOX on OATP/BCRP and P-</w:t>
            </w:r>
            <w:proofErr w:type="spellStart"/>
            <w:r w:rsidRPr="00096602">
              <w:rPr>
                <w:rFonts w:asciiTheme="minorHAnsi" w:hAnsiTheme="minorHAnsi"/>
              </w:rPr>
              <w:t>gp</w:t>
            </w:r>
            <w:proofErr w:type="spellEnd"/>
            <w:r w:rsidRPr="00096602">
              <w:rPr>
                <w:rFonts w:asciiTheme="minorHAnsi" w:hAnsiTheme="minorHAnsi"/>
              </w:rPr>
              <w:t xml:space="preserve"> substrates using phenotypic probes and the effect of ARVs that inhibit OATP (HIV </w:t>
            </w:r>
            <w:proofErr w:type="spellStart"/>
            <w:r w:rsidR="003A5113">
              <w:rPr>
                <w:rFonts w:asciiTheme="minorHAnsi" w:hAnsiTheme="minorHAnsi"/>
              </w:rPr>
              <w:t>Pi</w:t>
            </w:r>
            <w:r w:rsidRPr="00096602">
              <w:rPr>
                <w:rFonts w:asciiTheme="minorHAnsi" w:hAnsiTheme="minorHAnsi"/>
              </w:rPr>
              <w:t>s</w:t>
            </w:r>
            <w:proofErr w:type="spellEnd"/>
            <w:r w:rsidRPr="00096602">
              <w:rPr>
                <w:rFonts w:asciiTheme="minorHAnsi" w:hAnsiTheme="minorHAnsi"/>
              </w:rPr>
              <w:t>: DRV/r, ATV/r and INSTI EVG/c) on SOF/VEL/VOX PKs</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tcPr>
          <w:p w:rsidR="00096602" w:rsidRPr="00096602" w:rsidRDefault="00096602" w:rsidP="003A5113">
            <w:pPr>
              <w:ind w:left="0" w:right="0"/>
              <w:rPr>
                <w:rFonts w:asciiTheme="minorHAnsi" w:hAnsiTheme="minorHAnsi"/>
              </w:rPr>
            </w:pPr>
            <w:r w:rsidRPr="00096602">
              <w:rPr>
                <w:rFonts w:asciiTheme="minorHAnsi" w:hAnsiTheme="minorHAnsi"/>
              </w:rPr>
              <w:t>FTC/RPV/TAF, EVG/COBI/FTC/TAF or DRV/RTV/FTC/TDF</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GS-US-367-1657</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 xml:space="preserve">DDI between </w:t>
            </w:r>
            <w:r w:rsidR="00476CD0">
              <w:rPr>
                <w:rFonts w:asciiTheme="minorHAnsi" w:hAnsiTheme="minorHAnsi"/>
              </w:rPr>
              <w:t>Vosevi</w:t>
            </w:r>
            <w:r w:rsidRPr="00096602">
              <w:rPr>
                <w:rFonts w:asciiTheme="minorHAnsi" w:hAnsiTheme="minorHAnsi"/>
              </w:rPr>
              <w:t xml:space="preserve"> and a range of antiviral drugs and combinations</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tcPr>
          <w:p w:rsidR="00096602" w:rsidRPr="00096602" w:rsidRDefault="00096602" w:rsidP="003A5113">
            <w:pPr>
              <w:ind w:left="0" w:right="0"/>
              <w:rPr>
                <w:rFonts w:asciiTheme="minorHAnsi" w:hAnsiTheme="minorHAnsi"/>
              </w:rPr>
            </w:pPr>
            <w:r w:rsidRPr="00096602">
              <w:rPr>
                <w:rFonts w:asciiTheme="minorHAnsi" w:hAnsiTheme="minorHAnsi"/>
              </w:rPr>
              <w:t>B/F/TAF FDC</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GS-US-380-1999</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 xml:space="preserve">Effect on </w:t>
            </w:r>
            <w:r w:rsidR="00CE0E69">
              <w:rPr>
                <w:rFonts w:asciiTheme="minorHAnsi" w:hAnsiTheme="minorHAnsi"/>
              </w:rPr>
              <w:t>steady state</w:t>
            </w:r>
            <w:r w:rsidRPr="00096602">
              <w:rPr>
                <w:rFonts w:asciiTheme="minorHAnsi" w:hAnsiTheme="minorHAnsi"/>
              </w:rPr>
              <w:t xml:space="preserve"> PKs of BIC, FTC, TAF and TFV upon administration of B/F/TAF FDC with </w:t>
            </w:r>
            <w:r w:rsidR="00476CD0">
              <w:rPr>
                <w:rFonts w:asciiTheme="minorHAnsi" w:hAnsiTheme="minorHAnsi"/>
              </w:rPr>
              <w:t>Vosevi</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tcPr>
          <w:p w:rsidR="00096602" w:rsidRPr="00096602" w:rsidRDefault="00096602" w:rsidP="003A5113">
            <w:pPr>
              <w:ind w:left="0" w:right="0"/>
              <w:rPr>
                <w:rFonts w:asciiTheme="minorHAnsi" w:hAnsiTheme="minorHAnsi"/>
              </w:rPr>
            </w:pPr>
            <w:r w:rsidRPr="00096602">
              <w:rPr>
                <w:rFonts w:asciiTheme="minorHAnsi" w:hAnsiTheme="minorHAnsi"/>
              </w:rPr>
              <w:t>Hormonal contraception</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GS-US-367-1909</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 xml:space="preserve">DDI between </w:t>
            </w:r>
            <w:r w:rsidR="00476CD0">
              <w:rPr>
                <w:rFonts w:asciiTheme="minorHAnsi" w:hAnsiTheme="minorHAnsi"/>
              </w:rPr>
              <w:t>Vosevi</w:t>
            </w:r>
            <w:r w:rsidRPr="00096602">
              <w:rPr>
                <w:rFonts w:asciiTheme="minorHAnsi" w:hAnsiTheme="minorHAnsi"/>
              </w:rPr>
              <w:t xml:space="preserve"> + VOX and the hormonal contraceptive Ortho Tri-</w:t>
            </w:r>
            <w:proofErr w:type="spellStart"/>
            <w:r w:rsidRPr="00096602">
              <w:rPr>
                <w:rFonts w:asciiTheme="minorHAnsi" w:hAnsiTheme="minorHAnsi"/>
              </w:rPr>
              <w:t>Cyclen</w:t>
            </w:r>
            <w:proofErr w:type="spellEnd"/>
            <w:r w:rsidRPr="00096602">
              <w:rPr>
                <w:rFonts w:asciiTheme="minorHAnsi" w:hAnsiTheme="minorHAnsi"/>
              </w:rPr>
              <w:t xml:space="preserve"> Lo</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tcPr>
          <w:p w:rsidR="00096602" w:rsidRPr="00096602" w:rsidRDefault="00096602" w:rsidP="003A5113">
            <w:pPr>
              <w:ind w:left="0" w:right="0"/>
              <w:rPr>
                <w:rFonts w:asciiTheme="minorHAnsi" w:hAnsiTheme="minorHAnsi"/>
              </w:rPr>
            </w:pPr>
            <w:proofErr w:type="spellStart"/>
            <w:r w:rsidRPr="00096602">
              <w:rPr>
                <w:rFonts w:asciiTheme="minorHAnsi" w:hAnsiTheme="minorHAnsi"/>
              </w:rPr>
              <w:t>CsA</w:t>
            </w:r>
            <w:proofErr w:type="spellEnd"/>
            <w:r w:rsidRPr="00096602">
              <w:rPr>
                <w:rFonts w:asciiTheme="minorHAnsi" w:hAnsiTheme="minorHAnsi"/>
              </w:rPr>
              <w:t xml:space="preserve">, RIF, gemfibrozil </w:t>
            </w:r>
            <w:r w:rsidRPr="00096602">
              <w:rPr>
                <w:rFonts w:asciiTheme="minorHAnsi" w:hAnsiTheme="minorHAnsi"/>
              </w:rPr>
              <w:lastRenderedPageBreak/>
              <w:t>or grapefruit juice</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lastRenderedPageBreak/>
              <w:t>GS-US-338-</w:t>
            </w:r>
            <w:r w:rsidRPr="00096602">
              <w:rPr>
                <w:rFonts w:asciiTheme="minorHAnsi" w:hAnsiTheme="minorHAnsi"/>
              </w:rPr>
              <w:lastRenderedPageBreak/>
              <w:t>1417</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lastRenderedPageBreak/>
              <w:t>To evaluate the effect of a mixed OATP/P-</w:t>
            </w:r>
            <w:proofErr w:type="spellStart"/>
            <w:r w:rsidRPr="00096602">
              <w:rPr>
                <w:rFonts w:asciiTheme="minorHAnsi" w:hAnsiTheme="minorHAnsi"/>
              </w:rPr>
              <w:t>gp</w:t>
            </w:r>
            <w:proofErr w:type="spellEnd"/>
            <w:r w:rsidRPr="00096602">
              <w:rPr>
                <w:rFonts w:asciiTheme="minorHAnsi" w:hAnsiTheme="minorHAnsi"/>
              </w:rPr>
              <w:t xml:space="preserve">/MRP2 inhibitor, </w:t>
            </w:r>
            <w:r w:rsidRPr="00096602">
              <w:rPr>
                <w:rFonts w:asciiTheme="minorHAnsi" w:hAnsiTheme="minorHAnsi"/>
              </w:rPr>
              <w:lastRenderedPageBreak/>
              <w:t>selective OATP1B1/1B3 inhibitor, CYP3A and CYP2C8 inhibitors, CYP3A/CYP2C8/P-</w:t>
            </w:r>
            <w:proofErr w:type="spellStart"/>
            <w:r w:rsidRPr="00096602">
              <w:rPr>
                <w:rFonts w:asciiTheme="minorHAnsi" w:hAnsiTheme="minorHAnsi"/>
              </w:rPr>
              <w:t>gp</w:t>
            </w:r>
            <w:proofErr w:type="spellEnd"/>
            <w:r w:rsidRPr="00096602">
              <w:rPr>
                <w:rFonts w:asciiTheme="minorHAnsi" w:hAnsiTheme="minorHAnsi"/>
              </w:rPr>
              <w:t xml:space="preserve"> induction or intestinal uptake transport inhibition on the PK of VOX</w:t>
            </w:r>
          </w:p>
        </w:tc>
      </w:tr>
      <w:tr w:rsidR="00096602" w:rsidRPr="00096602" w:rsidTr="00096602">
        <w:trPr>
          <w:trHeight w:val="145"/>
        </w:trPr>
        <w:tc>
          <w:tcPr>
            <w:tcW w:w="1592" w:type="dxa"/>
            <w:vMerge w:val="restart"/>
          </w:tcPr>
          <w:p w:rsidR="00096602" w:rsidRPr="00096602" w:rsidRDefault="00096602" w:rsidP="003A5113">
            <w:pPr>
              <w:ind w:left="0" w:right="0"/>
              <w:rPr>
                <w:rFonts w:asciiTheme="minorHAnsi" w:hAnsiTheme="minorHAnsi"/>
              </w:rPr>
            </w:pPr>
            <w:r w:rsidRPr="00096602">
              <w:rPr>
                <w:rFonts w:asciiTheme="minorHAnsi" w:hAnsiTheme="minorHAnsi"/>
              </w:rPr>
              <w:lastRenderedPageBreak/>
              <w:t>Population PK analyses</w:t>
            </w:r>
          </w:p>
        </w:tc>
        <w:tc>
          <w:tcPr>
            <w:tcW w:w="2365" w:type="dxa"/>
            <w:vMerge w:val="restart"/>
          </w:tcPr>
          <w:p w:rsidR="00096602" w:rsidRPr="00096602" w:rsidRDefault="00096602" w:rsidP="003A5113">
            <w:pPr>
              <w:ind w:left="0" w:right="0"/>
              <w:rPr>
                <w:rFonts w:asciiTheme="minorHAnsi" w:hAnsiTheme="minorHAnsi"/>
              </w:rPr>
            </w:pPr>
            <w:r w:rsidRPr="00096602">
              <w:rPr>
                <w:rFonts w:asciiTheme="minorHAnsi" w:hAnsiTheme="minorHAnsi"/>
              </w:rPr>
              <w:t>Target population</w:t>
            </w: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QP-2016-1012</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PopPK analysis of VOX PKs in HCV-infected subjects</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vMerge/>
          </w:tcPr>
          <w:p w:rsidR="00096602" w:rsidRPr="00096602" w:rsidRDefault="00096602" w:rsidP="003A5113">
            <w:pPr>
              <w:ind w:left="0" w:right="0"/>
              <w:rPr>
                <w:rFonts w:asciiTheme="minorHAnsi" w:hAnsiTheme="minorHAnsi"/>
              </w:rPr>
            </w:pP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QP-2016-1009</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PopPK analysis of SOF PKs in HCV-infected subjects</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vMerge/>
          </w:tcPr>
          <w:p w:rsidR="00096602" w:rsidRPr="00096602" w:rsidRDefault="00096602" w:rsidP="003A5113">
            <w:pPr>
              <w:ind w:left="0" w:right="0"/>
              <w:rPr>
                <w:rFonts w:asciiTheme="minorHAnsi" w:hAnsiTheme="minorHAnsi"/>
              </w:rPr>
            </w:pP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QP-2016-1011</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PopPK analysis of VEL PKs in HCV-infected subjects</w:t>
            </w:r>
          </w:p>
        </w:tc>
      </w:tr>
      <w:tr w:rsidR="00096602" w:rsidRPr="00096602" w:rsidTr="00096602">
        <w:trPr>
          <w:trHeight w:val="145"/>
        </w:trPr>
        <w:tc>
          <w:tcPr>
            <w:tcW w:w="1592" w:type="dxa"/>
            <w:vMerge/>
          </w:tcPr>
          <w:p w:rsidR="00096602" w:rsidRPr="00096602" w:rsidRDefault="00096602" w:rsidP="003A5113">
            <w:pPr>
              <w:ind w:left="0" w:right="0"/>
              <w:rPr>
                <w:rFonts w:asciiTheme="minorHAnsi" w:hAnsiTheme="minorHAnsi"/>
              </w:rPr>
            </w:pPr>
          </w:p>
        </w:tc>
        <w:tc>
          <w:tcPr>
            <w:tcW w:w="2365" w:type="dxa"/>
            <w:vMerge/>
          </w:tcPr>
          <w:p w:rsidR="00096602" w:rsidRPr="00096602" w:rsidRDefault="00096602" w:rsidP="003A5113">
            <w:pPr>
              <w:ind w:left="0" w:right="0"/>
              <w:rPr>
                <w:rFonts w:asciiTheme="minorHAnsi" w:hAnsiTheme="minorHAnsi"/>
              </w:rPr>
            </w:pPr>
          </w:p>
        </w:tc>
        <w:tc>
          <w:tcPr>
            <w:tcW w:w="1478" w:type="dxa"/>
          </w:tcPr>
          <w:p w:rsidR="00096602" w:rsidRPr="00096602" w:rsidRDefault="00096602" w:rsidP="003A5113">
            <w:pPr>
              <w:ind w:left="0" w:right="0"/>
              <w:rPr>
                <w:rFonts w:asciiTheme="minorHAnsi" w:hAnsiTheme="minorHAnsi"/>
              </w:rPr>
            </w:pPr>
            <w:r w:rsidRPr="00096602">
              <w:rPr>
                <w:rFonts w:asciiTheme="minorHAnsi" w:hAnsiTheme="minorHAnsi"/>
              </w:rPr>
              <w:t>QP-2016-1010</w:t>
            </w:r>
          </w:p>
        </w:tc>
        <w:tc>
          <w:tcPr>
            <w:tcW w:w="3253" w:type="dxa"/>
          </w:tcPr>
          <w:p w:rsidR="00096602" w:rsidRPr="00096602" w:rsidRDefault="00096602" w:rsidP="003A5113">
            <w:pPr>
              <w:ind w:left="0" w:right="0"/>
              <w:rPr>
                <w:rFonts w:asciiTheme="minorHAnsi" w:hAnsiTheme="minorHAnsi"/>
              </w:rPr>
            </w:pPr>
            <w:r w:rsidRPr="00096602">
              <w:rPr>
                <w:rFonts w:asciiTheme="minorHAnsi" w:hAnsiTheme="minorHAnsi"/>
              </w:rPr>
              <w:t>PopPK analysis of GS-331007 PKs in HCV-infected subjects</w:t>
            </w:r>
          </w:p>
        </w:tc>
      </w:tr>
    </w:tbl>
    <w:p w:rsidR="00AA624F" w:rsidRPr="00500337" w:rsidRDefault="00096602" w:rsidP="00A95AB7">
      <w:pPr>
        <w:pStyle w:val="TableDescription"/>
      </w:pPr>
      <w:r w:rsidRPr="00096602">
        <w:t>* Indicates the primary PK aim of the study.</w:t>
      </w:r>
      <w:r>
        <w:t xml:space="preserve"> </w:t>
      </w:r>
      <w:r w:rsidRPr="00096602">
        <w:t>† Bioequivalence of different formulations.</w:t>
      </w:r>
      <w:r>
        <w:t xml:space="preserve"> </w:t>
      </w:r>
      <w:r w:rsidRPr="00096602">
        <w:t>§ Subjects who would be eligible to receive the drug if approved for the proposed indication.</w:t>
      </w:r>
      <w:r w:rsidR="00AC3806" w:rsidRPr="00AC3806">
        <w:rPr>
          <w:rFonts w:eastAsia="TimesNewRoman" w:cstheme="minorHAnsi"/>
        </w:rPr>
        <w:t xml:space="preserve"> </w:t>
      </w:r>
      <w:r w:rsidR="00AC3806">
        <w:rPr>
          <w:rFonts w:eastAsia="TimesNewRoman" w:cstheme="minorHAnsi"/>
        </w:rPr>
        <w:t>ATV/r:</w:t>
      </w:r>
      <w:r w:rsidR="00AC3806" w:rsidRPr="00AC3806">
        <w:t xml:space="preserve"> </w:t>
      </w:r>
      <w:r w:rsidR="00AC3806">
        <w:t xml:space="preserve">Ritonavir-boosted </w:t>
      </w:r>
      <w:proofErr w:type="spellStart"/>
      <w:r w:rsidR="00AC3806">
        <w:t>atazanavir</w:t>
      </w:r>
      <w:proofErr w:type="spellEnd"/>
      <w:r w:rsidR="00AC3806">
        <w:t xml:space="preserve">; </w:t>
      </w:r>
      <w:r w:rsidR="00AC3806">
        <w:rPr>
          <w:rFonts w:cstheme="minorHAnsi"/>
        </w:rPr>
        <w:t xml:space="preserve">BIC: </w:t>
      </w:r>
      <w:proofErr w:type="spellStart"/>
      <w:r w:rsidR="00AA624F">
        <w:t>b</w:t>
      </w:r>
      <w:r w:rsidR="00AC3806">
        <w:t>ictegravir</w:t>
      </w:r>
      <w:proofErr w:type="spellEnd"/>
      <w:r w:rsidR="00AC3806">
        <w:t xml:space="preserve">; </w:t>
      </w:r>
      <w:r w:rsidR="00AC3806">
        <w:rPr>
          <w:rFonts w:cstheme="minorHAnsi"/>
        </w:rPr>
        <w:t xml:space="preserve">COBI: </w:t>
      </w:r>
      <w:proofErr w:type="spellStart"/>
      <w:r w:rsidR="00AC3806">
        <w:rPr>
          <w:rFonts w:eastAsia="TimesNewRoman" w:cstheme="minorHAnsi"/>
        </w:rPr>
        <w:t>Cobicistat</w:t>
      </w:r>
      <w:proofErr w:type="spellEnd"/>
      <w:r w:rsidR="00AC3806">
        <w:rPr>
          <w:rFonts w:eastAsia="TimesNewRoman" w:cstheme="minorHAnsi"/>
        </w:rPr>
        <w:t xml:space="preserve">; </w:t>
      </w:r>
      <w:proofErr w:type="spellStart"/>
      <w:r w:rsidR="00AC3806">
        <w:rPr>
          <w:rFonts w:cstheme="minorHAnsi"/>
        </w:rPr>
        <w:t>CsA</w:t>
      </w:r>
      <w:proofErr w:type="spellEnd"/>
      <w:r w:rsidR="00AC3806">
        <w:rPr>
          <w:rFonts w:cstheme="minorHAnsi"/>
        </w:rPr>
        <w:t xml:space="preserve">: </w:t>
      </w:r>
      <w:proofErr w:type="spellStart"/>
      <w:r w:rsidR="00AC3806">
        <w:t>Cyclosporin</w:t>
      </w:r>
      <w:proofErr w:type="spellEnd"/>
      <w:r w:rsidR="00AC3806">
        <w:t xml:space="preserve"> A; </w:t>
      </w:r>
      <w:r w:rsidR="00AC3806">
        <w:rPr>
          <w:rFonts w:eastAsia="TimesNewRoman" w:cs="TimesNewRoman"/>
        </w:rPr>
        <w:t>DDI: drug-drug interaction</w:t>
      </w:r>
      <w:r w:rsidR="00AA624F">
        <w:rPr>
          <w:rFonts w:eastAsia="TimesNewRoman" w:cs="TimesNewRoman"/>
        </w:rPr>
        <w:t xml:space="preserve">; </w:t>
      </w:r>
      <w:r w:rsidR="00AA624F">
        <w:rPr>
          <w:rFonts w:cstheme="minorHAnsi"/>
        </w:rPr>
        <w:t xml:space="preserve">DRV: </w:t>
      </w:r>
      <w:r w:rsidR="00AA624F">
        <w:rPr>
          <w:rFonts w:eastAsia="TimesNewRoman" w:cstheme="minorHAnsi"/>
        </w:rPr>
        <w:t xml:space="preserve">Darunavir; </w:t>
      </w:r>
      <w:r w:rsidR="00AA624F">
        <w:rPr>
          <w:rFonts w:cstheme="minorHAnsi"/>
        </w:rPr>
        <w:t xml:space="preserve">DRV/r: </w:t>
      </w:r>
      <w:r w:rsidR="00AA624F">
        <w:t xml:space="preserve">ritonavir-boosted darunavir; </w:t>
      </w:r>
      <w:r w:rsidR="00AA624F">
        <w:rPr>
          <w:rFonts w:cstheme="minorHAnsi"/>
        </w:rPr>
        <w:t xml:space="preserve">EVG: </w:t>
      </w:r>
      <w:r w:rsidR="00AA624F">
        <w:rPr>
          <w:rFonts w:eastAsia="TimesNewRoman" w:cstheme="minorHAnsi"/>
        </w:rPr>
        <w:t xml:space="preserve">elvitegravir; </w:t>
      </w:r>
      <w:r w:rsidR="00AA624F">
        <w:rPr>
          <w:rFonts w:cstheme="minorHAnsi"/>
        </w:rPr>
        <w:t>EVG/c:</w:t>
      </w:r>
      <w:r w:rsidR="00AA624F" w:rsidRPr="00AA624F">
        <w:t xml:space="preserve"> </w:t>
      </w:r>
      <w:r w:rsidR="00AA624F">
        <w:t xml:space="preserve">cobicistat-boosted elvitegravir; </w:t>
      </w:r>
      <w:r w:rsidR="00AA624F">
        <w:rPr>
          <w:rFonts w:cstheme="minorHAnsi"/>
        </w:rPr>
        <w:t xml:space="preserve">FTC: </w:t>
      </w:r>
      <w:r w:rsidR="00AA624F">
        <w:rPr>
          <w:rFonts w:eastAsia="TimesNewRoman" w:cstheme="minorHAnsi"/>
        </w:rPr>
        <w:t xml:space="preserve">Emtricitabine; </w:t>
      </w:r>
      <w:r w:rsidR="00AA624F">
        <w:rPr>
          <w:rFonts w:eastAsia="TimesNewRoman" w:cs="TimesNewRoman"/>
        </w:rPr>
        <w:t>H2RA: H2-receptor antagonist</w:t>
      </w:r>
      <w:r w:rsidR="00F64A30">
        <w:rPr>
          <w:rFonts w:eastAsia="TimesNewRoman" w:cs="TimesNewRoman"/>
        </w:rPr>
        <w:t xml:space="preserve">; </w:t>
      </w:r>
      <w:r w:rsidR="00F64A30">
        <w:rPr>
          <w:rFonts w:cstheme="minorHAnsi"/>
        </w:rPr>
        <w:t xml:space="preserve">INSTI: </w:t>
      </w:r>
      <w:r w:rsidR="00F64A30">
        <w:t xml:space="preserve">HIV integrase strand transfer inhibitor; </w:t>
      </w:r>
      <w:r w:rsidR="00F64A30">
        <w:rPr>
          <w:rFonts w:cstheme="minorHAnsi"/>
        </w:rPr>
        <w:t xml:space="preserve">MRP2: </w:t>
      </w:r>
      <w:r w:rsidR="00F64A30">
        <w:rPr>
          <w:rFonts w:eastAsia="TimesNewRoman"/>
        </w:rPr>
        <w:t xml:space="preserve">Multidrug resistance associated protein 2; </w:t>
      </w:r>
      <w:r w:rsidR="00F64A30">
        <w:rPr>
          <w:rFonts w:cstheme="minorHAnsi"/>
        </w:rPr>
        <w:t xml:space="preserve">PPI: </w:t>
      </w:r>
      <w:r w:rsidR="00F64A30">
        <w:t xml:space="preserve">proton pump inhibitor; </w:t>
      </w:r>
      <w:proofErr w:type="spellStart"/>
      <w:r w:rsidR="00F64A30">
        <w:rPr>
          <w:rFonts w:eastAsia="TimesNewRoman" w:cs="TimesNewRoman"/>
        </w:rPr>
        <w:t>QTc</w:t>
      </w:r>
      <w:proofErr w:type="spellEnd"/>
      <w:r w:rsidR="00F64A30" w:rsidRPr="00F64A30">
        <w:rPr>
          <w:rFonts w:eastAsia="TimesNewRoman" w:cs="TimesNewRoman"/>
        </w:rPr>
        <w:t>:</w:t>
      </w:r>
      <w:r w:rsidR="00F64A30">
        <w:rPr>
          <w:rFonts w:eastAsia="TimesNewRoman" w:cs="TimesNewRoman"/>
        </w:rPr>
        <w:t xml:space="preserve"> QT interval corrected for heart rate; </w:t>
      </w:r>
      <w:r w:rsidR="00F64A30">
        <w:rPr>
          <w:rFonts w:cstheme="minorHAnsi"/>
        </w:rPr>
        <w:t xml:space="preserve">RIF: </w:t>
      </w:r>
      <w:proofErr w:type="spellStart"/>
      <w:r w:rsidR="00F64A30">
        <w:t>Rifampin</w:t>
      </w:r>
      <w:proofErr w:type="spellEnd"/>
      <w:r w:rsidR="009E6C8F">
        <w:t xml:space="preserve">; </w:t>
      </w:r>
      <w:r w:rsidR="009E6C8F">
        <w:rPr>
          <w:rFonts w:cstheme="minorHAnsi"/>
        </w:rPr>
        <w:t xml:space="preserve">RPV: </w:t>
      </w:r>
      <w:proofErr w:type="spellStart"/>
      <w:r w:rsidR="009E6C8F">
        <w:rPr>
          <w:rFonts w:eastAsia="TimesNewRoman" w:cstheme="minorHAnsi"/>
        </w:rPr>
        <w:t>rilpivirine</w:t>
      </w:r>
      <w:proofErr w:type="spellEnd"/>
      <w:r w:rsidR="009E6C8F">
        <w:rPr>
          <w:rFonts w:eastAsia="TimesNewRoman" w:cstheme="minorHAnsi"/>
        </w:rPr>
        <w:t xml:space="preserve">; </w:t>
      </w:r>
      <w:r w:rsidR="009E6C8F">
        <w:rPr>
          <w:rFonts w:cstheme="minorHAnsi"/>
        </w:rPr>
        <w:t xml:space="preserve">RTV: </w:t>
      </w:r>
      <w:r w:rsidR="009E6C8F">
        <w:rPr>
          <w:rFonts w:eastAsia="TimesNewRoman" w:cstheme="minorHAnsi"/>
        </w:rPr>
        <w:t>Ritonavir; TAF: Tenofovir alafenamide; TFV: Tenofovir</w:t>
      </w:r>
      <w:r w:rsidR="000C291D">
        <w:t>.</w:t>
      </w:r>
    </w:p>
    <w:p w:rsidR="00605AD4" w:rsidRPr="003A5113" w:rsidRDefault="00605AD4" w:rsidP="003A5113">
      <w:pPr>
        <w:pStyle w:val="Heading4"/>
      </w:pPr>
      <w:r w:rsidRPr="003A5113">
        <w:t>Evaluator’s conclusions on pharmacokinetics</w:t>
      </w:r>
    </w:p>
    <w:p w:rsidR="00096602" w:rsidRPr="00EC7138" w:rsidRDefault="00096602" w:rsidP="008A29CC">
      <w:pPr>
        <w:pStyle w:val="Heading5"/>
      </w:pPr>
      <w:r w:rsidRPr="00EC7138">
        <w:t>A</w:t>
      </w:r>
      <w:r w:rsidR="00CE0E69">
        <w:t>bsorption</w:t>
      </w:r>
      <w:r w:rsidR="000C291D">
        <w:t>,</w:t>
      </w:r>
      <w:r w:rsidR="00CE0E69">
        <w:t xml:space="preserve"> </w:t>
      </w:r>
      <w:r w:rsidR="000C291D">
        <w:t>d</w:t>
      </w:r>
      <w:r w:rsidR="00CE0E69">
        <w:t>istribution</w:t>
      </w:r>
      <w:r w:rsidR="000C291D">
        <w:t>, m</w:t>
      </w:r>
      <w:r w:rsidR="00CE0E69">
        <w:t xml:space="preserve">etabolism and </w:t>
      </w:r>
      <w:r w:rsidR="000C291D">
        <w:t>e</w:t>
      </w:r>
      <w:r w:rsidR="00CE0E69">
        <w:t>xcretion (ADME)</w:t>
      </w:r>
    </w:p>
    <w:p w:rsidR="00096602" w:rsidRPr="00132EE6" w:rsidRDefault="00096602" w:rsidP="008A29CC">
      <w:pPr>
        <w:pStyle w:val="ListBullet"/>
        <w:rPr>
          <w:lang w:eastAsia="ja-JP"/>
        </w:rPr>
      </w:pPr>
      <w:r w:rsidRPr="00132EE6">
        <w:rPr>
          <w:lang w:eastAsia="ja-JP"/>
        </w:rPr>
        <w:t>A single</w:t>
      </w:r>
      <w:r w:rsidR="000E1116">
        <w:rPr>
          <w:lang w:eastAsia="ja-JP"/>
        </w:rPr>
        <w:t>,</w:t>
      </w:r>
      <w:r w:rsidRPr="00132EE6">
        <w:rPr>
          <w:lang w:eastAsia="ja-JP"/>
        </w:rPr>
        <w:t xml:space="preserve"> </w:t>
      </w:r>
      <w:r w:rsidR="00CE0E69">
        <w:rPr>
          <w:lang w:eastAsia="ja-JP"/>
        </w:rPr>
        <w:t xml:space="preserve">dose strength </w:t>
      </w:r>
      <w:r w:rsidRPr="00132EE6">
        <w:rPr>
          <w:lang w:eastAsia="ja-JP"/>
        </w:rPr>
        <w:t xml:space="preserve">of the </w:t>
      </w:r>
      <w:r w:rsidR="00476CD0">
        <w:rPr>
          <w:lang w:eastAsia="ja-JP"/>
        </w:rPr>
        <w:t>Vosevi</w:t>
      </w:r>
      <w:r w:rsidRPr="00132EE6">
        <w:rPr>
          <w:lang w:eastAsia="ja-JP"/>
        </w:rPr>
        <w:t xml:space="preserve"> FDC oral tablet, which contains 400</w:t>
      </w:r>
      <w:r w:rsidR="00AA5E62">
        <w:rPr>
          <w:lang w:eastAsia="ja-JP"/>
        </w:rPr>
        <w:t xml:space="preserve"> mg</w:t>
      </w:r>
      <w:r w:rsidRPr="00132EE6">
        <w:rPr>
          <w:lang w:eastAsia="ja-JP"/>
        </w:rPr>
        <w:t xml:space="preserve"> SOF/100</w:t>
      </w:r>
      <w:r w:rsidR="000C291D">
        <w:rPr>
          <w:lang w:eastAsia="ja-JP"/>
        </w:rPr>
        <w:t> </w:t>
      </w:r>
      <w:r w:rsidR="00AA5E62">
        <w:rPr>
          <w:lang w:eastAsia="ja-JP"/>
        </w:rPr>
        <w:t>mg</w:t>
      </w:r>
      <w:r w:rsidRPr="00132EE6">
        <w:rPr>
          <w:lang w:eastAsia="ja-JP"/>
        </w:rPr>
        <w:t xml:space="preserve"> VEL/100</w:t>
      </w:r>
      <w:r w:rsidR="00AA5E62">
        <w:rPr>
          <w:lang w:eastAsia="ja-JP"/>
        </w:rPr>
        <w:t xml:space="preserve"> mg</w:t>
      </w:r>
      <w:r w:rsidRPr="00132EE6">
        <w:rPr>
          <w:lang w:eastAsia="ja-JP"/>
        </w:rPr>
        <w:t xml:space="preserve"> VOX, is proposed for marketing.</w:t>
      </w:r>
    </w:p>
    <w:p w:rsidR="00096602" w:rsidRPr="00132EE6" w:rsidRDefault="00096602" w:rsidP="008A29CC">
      <w:pPr>
        <w:pStyle w:val="ListBullet"/>
        <w:rPr>
          <w:lang w:eastAsia="ja-JP"/>
        </w:rPr>
      </w:pPr>
      <w:r w:rsidRPr="00132EE6">
        <w:rPr>
          <w:rFonts w:eastAsiaTheme="minorHAnsi" w:cstheme="minorHAnsi"/>
        </w:rPr>
        <w:t xml:space="preserve">Following administration of a single, oral dose of </w:t>
      </w:r>
      <w:r w:rsidR="00476CD0">
        <w:rPr>
          <w:rFonts w:eastAsiaTheme="minorHAnsi" w:cstheme="minorHAnsi"/>
        </w:rPr>
        <w:t>Vosevi</w:t>
      </w:r>
      <w:r w:rsidRPr="00132EE6">
        <w:rPr>
          <w:rFonts w:eastAsiaTheme="minorHAnsi" w:cstheme="minorHAnsi"/>
        </w:rPr>
        <w:t xml:space="preserve"> to healthy subjects after a moderate fat breakfast, the median </w:t>
      </w:r>
      <w:proofErr w:type="spellStart"/>
      <w:r w:rsidR="00CE0E69" w:rsidRPr="00132EE6">
        <w:rPr>
          <w:rFonts w:eastAsiaTheme="minorHAnsi" w:cstheme="minorHAnsi"/>
        </w:rPr>
        <w:t>T</w:t>
      </w:r>
      <w:r w:rsidR="00CE0E69" w:rsidRPr="00CE0E69">
        <w:rPr>
          <w:rFonts w:eastAsiaTheme="minorHAnsi" w:cstheme="minorHAnsi"/>
          <w:vertAlign w:val="subscript"/>
        </w:rPr>
        <w:t>max</w:t>
      </w:r>
      <w:proofErr w:type="spellEnd"/>
      <w:r w:rsidRPr="00132EE6">
        <w:rPr>
          <w:rFonts w:eastAsiaTheme="minorHAnsi" w:cstheme="minorHAnsi"/>
        </w:rPr>
        <w:t xml:space="preserve"> values for SOF and its 2 inactive circulating metabolites </w:t>
      </w:r>
      <w:r w:rsidRPr="00132EE6">
        <w:rPr>
          <w:rFonts w:eastAsia="TimesNewRoman" w:cs="TimesNewRoman"/>
        </w:rPr>
        <w:t>GS-566500 and GS-331007 were 2.0 h</w:t>
      </w:r>
      <w:r w:rsidR="00CE0E69">
        <w:rPr>
          <w:rFonts w:eastAsia="TimesNewRoman" w:cs="TimesNewRoman"/>
        </w:rPr>
        <w:t>ours</w:t>
      </w:r>
      <w:r w:rsidRPr="00132EE6">
        <w:rPr>
          <w:rFonts w:eastAsia="TimesNewRoman" w:cs="TimesNewRoman"/>
        </w:rPr>
        <w:t>, 3.0</w:t>
      </w:r>
      <w:r w:rsidR="00CE0E69">
        <w:rPr>
          <w:rFonts w:eastAsia="TimesNewRoman" w:cs="TimesNewRoman"/>
        </w:rPr>
        <w:t xml:space="preserve"> hours </w:t>
      </w:r>
      <w:r w:rsidRPr="00132EE6">
        <w:rPr>
          <w:rFonts w:eastAsia="TimesNewRoman" w:cs="TimesNewRoman"/>
        </w:rPr>
        <w:t>and 4.0 h</w:t>
      </w:r>
      <w:r w:rsidR="00CE0E69">
        <w:rPr>
          <w:rFonts w:eastAsia="TimesNewRoman" w:cs="TimesNewRoman"/>
        </w:rPr>
        <w:t>ours</w:t>
      </w:r>
      <w:r w:rsidRPr="00132EE6">
        <w:rPr>
          <w:rFonts w:eastAsia="TimesNewRoman" w:cs="TimesNewRoman"/>
        </w:rPr>
        <w:t xml:space="preserve">, respectively, whereas, for </w:t>
      </w:r>
      <w:r w:rsidRPr="00132EE6">
        <w:rPr>
          <w:rFonts w:eastAsiaTheme="minorHAnsi" w:cstheme="minorHAnsi"/>
        </w:rPr>
        <w:t xml:space="preserve">VEL and VOX the </w:t>
      </w:r>
      <w:proofErr w:type="spellStart"/>
      <w:r w:rsidR="00CE0E69" w:rsidRPr="00132EE6">
        <w:rPr>
          <w:rFonts w:eastAsiaTheme="minorHAnsi" w:cstheme="minorHAnsi"/>
        </w:rPr>
        <w:t>T</w:t>
      </w:r>
      <w:r w:rsidR="00CE0E69" w:rsidRPr="00CE0E69">
        <w:rPr>
          <w:rFonts w:eastAsiaTheme="minorHAnsi" w:cstheme="minorHAnsi"/>
          <w:vertAlign w:val="subscript"/>
        </w:rPr>
        <w:t>max</w:t>
      </w:r>
      <w:proofErr w:type="spellEnd"/>
      <w:r w:rsidRPr="00132EE6">
        <w:rPr>
          <w:rFonts w:eastAsiaTheme="minorHAnsi" w:cstheme="minorHAnsi"/>
        </w:rPr>
        <w:t xml:space="preserve"> values were 4.0</w:t>
      </w:r>
      <w:r w:rsidR="00CE0E69">
        <w:rPr>
          <w:rFonts w:eastAsiaTheme="minorHAnsi" w:cstheme="minorHAnsi"/>
        </w:rPr>
        <w:t xml:space="preserve"> hours </w:t>
      </w:r>
      <w:r w:rsidRPr="00132EE6">
        <w:rPr>
          <w:rFonts w:eastAsiaTheme="minorHAnsi" w:cstheme="minorHAnsi"/>
        </w:rPr>
        <w:t>and 3.5 h</w:t>
      </w:r>
      <w:r w:rsidR="00CE0E69">
        <w:rPr>
          <w:rFonts w:eastAsiaTheme="minorHAnsi" w:cstheme="minorHAnsi"/>
        </w:rPr>
        <w:t>ours</w:t>
      </w:r>
      <w:r w:rsidRPr="00132EE6">
        <w:rPr>
          <w:rFonts w:eastAsiaTheme="minorHAnsi" w:cstheme="minorHAnsi"/>
        </w:rPr>
        <w:t>, respectively.</w:t>
      </w:r>
    </w:p>
    <w:p w:rsidR="00096602" w:rsidRPr="00132EE6" w:rsidRDefault="00096602" w:rsidP="008A29CC">
      <w:pPr>
        <w:pStyle w:val="ListBullet"/>
      </w:pPr>
      <w:r w:rsidRPr="00132EE6">
        <w:rPr>
          <w:rFonts w:eastAsia="Times New Roman"/>
        </w:rPr>
        <w:t>Following a 100</w:t>
      </w:r>
      <w:r w:rsidR="00AA5E62">
        <w:rPr>
          <w:rFonts w:eastAsia="Times New Roman"/>
        </w:rPr>
        <w:t xml:space="preserve"> mg</w:t>
      </w:r>
      <w:r w:rsidRPr="00132EE6">
        <w:rPr>
          <w:rFonts w:eastAsia="Times New Roman"/>
        </w:rPr>
        <w:t xml:space="preserve"> dose, </w:t>
      </w:r>
      <w:r w:rsidRPr="00132EE6">
        <w:t xml:space="preserve">VOX </w:t>
      </w:r>
      <w:proofErr w:type="spellStart"/>
      <w:r w:rsidRPr="00132EE6">
        <w:t>AUC</w:t>
      </w:r>
      <w:r w:rsidRPr="00132EE6">
        <w:rPr>
          <w:vertAlign w:val="subscript"/>
        </w:rPr>
        <w:t>inf</w:t>
      </w:r>
      <w:proofErr w:type="spellEnd"/>
      <w:r w:rsidR="000C291D" w:rsidRPr="00856FEB">
        <w:t>;</w:t>
      </w:r>
      <w:r w:rsidR="00AC3806">
        <w:rPr>
          <w:rStyle w:val="FootnoteReference"/>
        </w:rPr>
        <w:footnoteReference w:id="38"/>
      </w:r>
      <w:r>
        <w:t xml:space="preserve"> and</w:t>
      </w:r>
      <w:r w:rsidRPr="00132EE6">
        <w:t xml:space="preserve"> </w:t>
      </w:r>
      <w:proofErr w:type="spellStart"/>
      <w:r w:rsidR="00CE0E69" w:rsidRPr="00132EE6">
        <w:t>C</w:t>
      </w:r>
      <w:r w:rsidR="00CE0E69" w:rsidRPr="00CE0E69">
        <w:rPr>
          <w:vertAlign w:val="subscript"/>
        </w:rPr>
        <w:t>max</w:t>
      </w:r>
      <w:r w:rsidRPr="00132EE6">
        <w:t>values</w:t>
      </w:r>
      <w:proofErr w:type="spellEnd"/>
      <w:r w:rsidRPr="00132EE6">
        <w:t xml:space="preserve"> were approximately 172% and 306% higher following administration of the solution formulation compared to the tablet form.</w:t>
      </w:r>
    </w:p>
    <w:p w:rsidR="00096602" w:rsidRPr="00132EE6" w:rsidRDefault="00096602" w:rsidP="008A29CC">
      <w:pPr>
        <w:pStyle w:val="ListBullet"/>
        <w:rPr>
          <w:rFonts w:eastAsiaTheme="minorHAnsi" w:cstheme="minorHAnsi"/>
        </w:rPr>
      </w:pPr>
      <w:r w:rsidRPr="00132EE6">
        <w:rPr>
          <w:rFonts w:eastAsiaTheme="minorHAnsi" w:cstheme="minorHAnsi"/>
        </w:rPr>
        <w:t xml:space="preserve">The </w:t>
      </w:r>
      <w:r w:rsidR="003A5113">
        <w:rPr>
          <w:lang w:eastAsia="ja-JP"/>
        </w:rPr>
        <w:t xml:space="preserve">to be marketed </w:t>
      </w:r>
      <w:r w:rsidRPr="00132EE6">
        <w:rPr>
          <w:lang w:eastAsia="ja-JP"/>
        </w:rPr>
        <w:t xml:space="preserve">formulation of </w:t>
      </w:r>
      <w:r w:rsidR="00476CD0">
        <w:rPr>
          <w:lang w:eastAsia="ja-JP"/>
        </w:rPr>
        <w:t>Vosevi</w:t>
      </w:r>
      <w:r w:rsidRPr="00132EE6">
        <w:rPr>
          <w:lang w:eastAsia="ja-JP"/>
        </w:rPr>
        <w:t xml:space="preserve"> was bioequivalent to the </w:t>
      </w:r>
      <w:r w:rsidRPr="00132EE6">
        <w:rPr>
          <w:rFonts w:eastAsiaTheme="minorHAnsi" w:cstheme="minorHAnsi"/>
        </w:rPr>
        <w:t xml:space="preserve">existing tablet formulations of SOF/VEL </w:t>
      </w:r>
      <w:r w:rsidRPr="00132EE6">
        <w:rPr>
          <w:color w:val="000000"/>
        </w:rPr>
        <w:t>(400/100</w:t>
      </w:r>
      <w:r w:rsidR="00AA5E62">
        <w:rPr>
          <w:color w:val="000000"/>
        </w:rPr>
        <w:t xml:space="preserve"> mg</w:t>
      </w:r>
      <w:r w:rsidRPr="00132EE6">
        <w:rPr>
          <w:color w:val="000000"/>
        </w:rPr>
        <w:t xml:space="preserve">) </w:t>
      </w:r>
      <w:r w:rsidRPr="00132EE6">
        <w:rPr>
          <w:rFonts w:eastAsiaTheme="minorHAnsi" w:cstheme="minorHAnsi"/>
        </w:rPr>
        <w:t>FDC + VOX (100</w:t>
      </w:r>
      <w:r w:rsidR="00AA5E62">
        <w:rPr>
          <w:rFonts w:eastAsiaTheme="minorHAnsi" w:cstheme="minorHAnsi"/>
        </w:rPr>
        <w:t xml:space="preserve"> mg</w:t>
      </w:r>
      <w:r w:rsidRPr="00132EE6">
        <w:rPr>
          <w:rFonts w:eastAsiaTheme="minorHAnsi" w:cstheme="minorHAnsi"/>
        </w:rPr>
        <w:t xml:space="preserve"> ) following a moderate fat meal as the 90% </w:t>
      </w:r>
      <w:r w:rsidR="00AC3806">
        <w:rPr>
          <w:rFonts w:eastAsia="TimesNewRoman" w:cs="TimesNewRoman"/>
        </w:rPr>
        <w:t>confidence intervals</w:t>
      </w:r>
      <w:r w:rsidR="00AC3806" w:rsidRPr="00132EE6">
        <w:rPr>
          <w:rFonts w:eastAsiaTheme="minorHAnsi" w:cstheme="minorHAnsi"/>
        </w:rPr>
        <w:t xml:space="preserve"> </w:t>
      </w:r>
      <w:r w:rsidR="00AC3806">
        <w:rPr>
          <w:rFonts w:eastAsiaTheme="minorHAnsi" w:cstheme="minorHAnsi"/>
        </w:rPr>
        <w:t>(</w:t>
      </w:r>
      <w:r w:rsidRPr="00132EE6">
        <w:rPr>
          <w:rFonts w:eastAsiaTheme="minorHAnsi" w:cstheme="minorHAnsi"/>
        </w:rPr>
        <w:t>C</w:t>
      </w:r>
      <w:r w:rsidR="00AC3806" w:rsidRPr="00132EE6">
        <w:rPr>
          <w:rFonts w:eastAsiaTheme="minorHAnsi" w:cstheme="minorHAnsi"/>
        </w:rPr>
        <w:t>i</w:t>
      </w:r>
      <w:r w:rsidRPr="00132EE6">
        <w:rPr>
          <w:rFonts w:eastAsiaTheme="minorHAnsi" w:cstheme="minorHAnsi"/>
        </w:rPr>
        <w:t>s</w:t>
      </w:r>
      <w:r w:rsidR="00AC3806">
        <w:rPr>
          <w:rFonts w:eastAsiaTheme="minorHAnsi" w:cstheme="minorHAnsi"/>
        </w:rPr>
        <w:t>)</w:t>
      </w:r>
      <w:r w:rsidRPr="00132EE6">
        <w:rPr>
          <w:rFonts w:eastAsiaTheme="minorHAnsi" w:cstheme="minorHAnsi"/>
        </w:rPr>
        <w:t xml:space="preserve"> of GLSM ratios for all primary PK parameters were contained within the PK equivalence bounds of 70% to 143%.</w:t>
      </w:r>
    </w:p>
    <w:p w:rsidR="00096602" w:rsidRPr="00132EE6" w:rsidRDefault="00096602" w:rsidP="008A29CC">
      <w:pPr>
        <w:pStyle w:val="ListBullet"/>
        <w:rPr>
          <w:lang w:eastAsia="ja-JP"/>
        </w:rPr>
      </w:pPr>
      <w:r w:rsidRPr="00132EE6">
        <w:t>Under fasted conditions</w:t>
      </w:r>
      <w:r>
        <w:t>,</w:t>
      </w:r>
      <w:r w:rsidRPr="00132EE6">
        <w:t xml:space="preserve"> the two formulations of VOX primarily used in the clinical trials were bioequivalent in terms of their AUC but the </w:t>
      </w:r>
      <w:proofErr w:type="spellStart"/>
      <w:r w:rsidR="00CE0E69" w:rsidRPr="00CE0E69">
        <w:t>C</w:t>
      </w:r>
      <w:r w:rsidR="00CE0E69" w:rsidRPr="00CE0E69">
        <w:rPr>
          <w:vertAlign w:val="subscript"/>
        </w:rPr>
        <w:t>max</w:t>
      </w:r>
      <w:proofErr w:type="spellEnd"/>
      <w:r w:rsidR="00CE0E69">
        <w:t xml:space="preserve"> </w:t>
      </w:r>
      <w:r w:rsidRPr="00CE0E69">
        <w:rPr>
          <w:rFonts w:eastAsia="TimesNewRoman"/>
        </w:rPr>
        <w:t>of</w:t>
      </w:r>
      <w:r w:rsidRPr="00132EE6">
        <w:rPr>
          <w:rFonts w:eastAsia="TimesNewRoman"/>
        </w:rPr>
        <w:t xml:space="preserve"> the modified </w:t>
      </w:r>
      <w:r w:rsidRPr="00132EE6">
        <w:rPr>
          <w:rFonts w:eastAsia="TimesNewRoman"/>
        </w:rPr>
        <w:lastRenderedPageBreak/>
        <w:t>formulation (SSD) was approximately 40% higher than that of the conventional formulation.</w:t>
      </w:r>
    </w:p>
    <w:p w:rsidR="00476CD0" w:rsidRDefault="00096602" w:rsidP="008A29CC">
      <w:pPr>
        <w:pStyle w:val="ListBullet"/>
        <w:rPr>
          <w:rFonts w:eastAsiaTheme="minorHAnsi" w:cstheme="minorHAnsi"/>
        </w:rPr>
      </w:pPr>
      <w:r w:rsidRPr="00132EE6">
        <w:rPr>
          <w:rFonts w:eastAsiaTheme="minorHAnsi" w:cstheme="minorHAnsi"/>
        </w:rPr>
        <w:t xml:space="preserve">Administration of </w:t>
      </w:r>
      <w:r w:rsidR="00476CD0">
        <w:rPr>
          <w:rFonts w:eastAsiaTheme="minorHAnsi" w:cstheme="minorHAnsi"/>
        </w:rPr>
        <w:t>Vosevi</w:t>
      </w:r>
      <w:r w:rsidRPr="00132EE6">
        <w:rPr>
          <w:rFonts w:eastAsiaTheme="minorHAnsi" w:cstheme="minorHAnsi"/>
        </w:rPr>
        <w:t xml:space="preserve"> following a hi</w:t>
      </w:r>
      <w:r w:rsidR="00CE0E69">
        <w:rPr>
          <w:rFonts w:eastAsiaTheme="minorHAnsi" w:cstheme="minorHAnsi"/>
        </w:rPr>
        <w:t xml:space="preserve">gh fat/high </w:t>
      </w:r>
      <w:r w:rsidRPr="00132EE6">
        <w:rPr>
          <w:rFonts w:eastAsiaTheme="minorHAnsi" w:cstheme="minorHAnsi"/>
        </w:rPr>
        <w:t>calorie meal resulted in a 5.35</w:t>
      </w:r>
      <w:r w:rsidR="00C4145D">
        <w:rPr>
          <w:rFonts w:eastAsiaTheme="minorHAnsi" w:cstheme="minorHAnsi"/>
        </w:rPr>
        <w:t xml:space="preserve"> fold</w:t>
      </w:r>
      <w:r w:rsidRPr="00132EE6">
        <w:rPr>
          <w:rFonts w:eastAsiaTheme="minorHAnsi" w:cstheme="minorHAnsi"/>
        </w:rPr>
        <w:t xml:space="preserve"> increase in VOX </w:t>
      </w:r>
      <w:proofErr w:type="spellStart"/>
      <w:r w:rsidRPr="00132EE6">
        <w:rPr>
          <w:rFonts w:eastAsiaTheme="minorHAnsi" w:cstheme="minorHAnsi"/>
        </w:rPr>
        <w:t>AUC</w:t>
      </w:r>
      <w:r w:rsidRPr="00132EE6">
        <w:rPr>
          <w:rFonts w:eastAsiaTheme="minorHAnsi" w:cstheme="minorHAnsi"/>
          <w:vertAlign w:val="subscript"/>
        </w:rPr>
        <w:t>inf</w:t>
      </w:r>
      <w:proofErr w:type="spellEnd"/>
      <w:r w:rsidRPr="00132EE6">
        <w:rPr>
          <w:rFonts w:eastAsiaTheme="minorHAnsi" w:cstheme="minorHAnsi"/>
        </w:rPr>
        <w:t xml:space="preserve"> and modest increases in SOF, GS-566500</w:t>
      </w:r>
      <w:r>
        <w:rPr>
          <w:rFonts w:eastAsiaTheme="minorHAnsi" w:cstheme="minorHAnsi"/>
        </w:rPr>
        <w:t xml:space="preserve"> and</w:t>
      </w:r>
      <w:r w:rsidRPr="00132EE6">
        <w:rPr>
          <w:rFonts w:eastAsiaTheme="minorHAnsi" w:cstheme="minorHAnsi"/>
        </w:rPr>
        <w:t xml:space="preserve"> VEL exposures (</w:t>
      </w:r>
      <w:r w:rsidR="00CE0E69">
        <w:rPr>
          <w:rFonts w:eastAsiaTheme="minorHAnsi" w:cstheme="minorHAnsi"/>
        </w:rPr>
        <w:t xml:space="preserve">a </w:t>
      </w:r>
      <w:r w:rsidRPr="00132EE6">
        <w:rPr>
          <w:rFonts w:eastAsiaTheme="minorHAnsi" w:cstheme="minorHAnsi"/>
        </w:rPr>
        <w:t>1.64</w:t>
      </w:r>
      <w:r w:rsidR="00C4145D">
        <w:rPr>
          <w:rFonts w:eastAsiaTheme="minorHAnsi" w:cstheme="minorHAnsi"/>
        </w:rPr>
        <w:t xml:space="preserve"> fold</w:t>
      </w:r>
      <w:r w:rsidRPr="00132EE6">
        <w:rPr>
          <w:rFonts w:eastAsiaTheme="minorHAnsi" w:cstheme="minorHAnsi"/>
        </w:rPr>
        <w:t xml:space="preserve"> increase in </w:t>
      </w:r>
      <w:proofErr w:type="spellStart"/>
      <w:r w:rsidRPr="00132EE6">
        <w:rPr>
          <w:rFonts w:eastAsiaTheme="minorHAnsi" w:cstheme="minorHAnsi"/>
        </w:rPr>
        <w:t>AUC</w:t>
      </w:r>
      <w:r w:rsidRPr="00132EE6">
        <w:rPr>
          <w:rFonts w:eastAsiaTheme="minorHAnsi" w:cstheme="minorHAnsi"/>
          <w:vertAlign w:val="subscript"/>
        </w:rPr>
        <w:t>inf</w:t>
      </w:r>
      <w:proofErr w:type="spellEnd"/>
      <w:r w:rsidRPr="00132EE6">
        <w:rPr>
          <w:rFonts w:eastAsiaTheme="minorHAnsi" w:cstheme="minorHAnsi"/>
        </w:rPr>
        <w:t xml:space="preserve"> values) compared with exposures achieved under fasted conditions</w:t>
      </w:r>
      <w:r w:rsidR="00476CD0">
        <w:rPr>
          <w:rFonts w:eastAsiaTheme="minorHAnsi" w:cstheme="minorHAnsi"/>
        </w:rPr>
        <w:t>.</w:t>
      </w:r>
    </w:p>
    <w:p w:rsidR="00096602" w:rsidRPr="00132EE6" w:rsidRDefault="00096602" w:rsidP="008A29CC">
      <w:pPr>
        <w:pStyle w:val="ListBullet"/>
        <w:rPr>
          <w:rFonts w:eastAsia="TimesNewRoman"/>
        </w:rPr>
      </w:pPr>
      <w:r w:rsidRPr="00132EE6">
        <w:rPr>
          <w:rFonts w:eastAsia="TimesNewRoman"/>
        </w:rPr>
        <w:t>Following administration of single VOX doses ranging from 100</w:t>
      </w:r>
      <w:r w:rsidR="00AA5E62">
        <w:rPr>
          <w:rFonts w:eastAsia="TimesNewRoman"/>
        </w:rPr>
        <w:t xml:space="preserve"> mg</w:t>
      </w:r>
      <w:r w:rsidRPr="00132EE6">
        <w:rPr>
          <w:rFonts w:eastAsia="TimesNewRoman"/>
        </w:rPr>
        <w:t xml:space="preserve"> to 900</w:t>
      </w:r>
      <w:r w:rsidR="00AA5E62">
        <w:rPr>
          <w:rFonts w:eastAsia="TimesNewRoman"/>
        </w:rPr>
        <w:t xml:space="preserve"> mg</w:t>
      </w:r>
      <w:r w:rsidR="00CE0E69">
        <w:rPr>
          <w:rFonts w:eastAsia="TimesNewRoman"/>
        </w:rPr>
        <w:t xml:space="preserve"> after a moderate </w:t>
      </w:r>
      <w:r w:rsidRPr="00132EE6">
        <w:rPr>
          <w:rFonts w:eastAsia="TimesNewRoman"/>
        </w:rPr>
        <w:t xml:space="preserve">fat meal, VOX </w:t>
      </w:r>
      <w:proofErr w:type="spellStart"/>
      <w:r w:rsidRPr="00132EE6">
        <w:rPr>
          <w:rFonts w:eastAsia="TimesNewRoman"/>
        </w:rPr>
        <w:t>AUC</w:t>
      </w:r>
      <w:r w:rsidRPr="00132EE6">
        <w:rPr>
          <w:rFonts w:eastAsia="TimesNewRoman"/>
          <w:vertAlign w:val="subscript"/>
        </w:rPr>
        <w:t>inf</w:t>
      </w:r>
      <w:proofErr w:type="spellEnd"/>
      <w:r w:rsidRPr="00132EE6">
        <w:rPr>
          <w:rFonts w:eastAsia="TimesNewRoman"/>
          <w:vertAlign w:val="subscript"/>
        </w:rPr>
        <w:t xml:space="preserve"> </w:t>
      </w:r>
      <w:r w:rsidRPr="00132EE6">
        <w:rPr>
          <w:rFonts w:eastAsia="TimesNewRoman"/>
        </w:rPr>
        <w:t xml:space="preserve">and </w:t>
      </w:r>
      <w:proofErr w:type="spellStart"/>
      <w:r w:rsidR="00CE0E69" w:rsidRPr="00132EE6">
        <w:t>C</w:t>
      </w:r>
      <w:r w:rsidR="00CE0E69" w:rsidRPr="00CE0E69">
        <w:rPr>
          <w:vertAlign w:val="subscript"/>
        </w:rPr>
        <w:t>max</w:t>
      </w:r>
      <w:proofErr w:type="spellEnd"/>
      <w:r w:rsidR="00CE0E69" w:rsidRPr="00CE0E69">
        <w:t xml:space="preserve"> </w:t>
      </w:r>
      <w:r w:rsidRPr="00132EE6">
        <w:rPr>
          <w:rFonts w:eastAsia="TimesNewRoman"/>
        </w:rPr>
        <w:t>increased in a greater than dose proportional manner.</w:t>
      </w:r>
    </w:p>
    <w:p w:rsidR="00096602" w:rsidRPr="00132EE6" w:rsidRDefault="00CE0E69" w:rsidP="008A29CC">
      <w:pPr>
        <w:pStyle w:val="ListBullet"/>
      </w:pPr>
      <w:r>
        <w:rPr>
          <w:rFonts w:eastAsia="TimesNewRoman"/>
        </w:rPr>
        <w:t xml:space="preserve">Steady </w:t>
      </w:r>
      <w:r w:rsidR="00096602" w:rsidRPr="00132EE6">
        <w:rPr>
          <w:rFonts w:eastAsia="TimesNewRoman"/>
        </w:rPr>
        <w:t xml:space="preserve">state concentrations of VOX were achieved after 7 days of </w:t>
      </w:r>
      <w:r w:rsidR="00F64A30">
        <w:rPr>
          <w:rFonts w:eastAsia="TimesNewRoman"/>
        </w:rPr>
        <w:t>once daily</w:t>
      </w:r>
      <w:r w:rsidR="00F64A30" w:rsidRPr="00132EE6">
        <w:rPr>
          <w:rFonts w:eastAsia="TimesNewRoman"/>
        </w:rPr>
        <w:t xml:space="preserve"> </w:t>
      </w:r>
      <w:r w:rsidR="00F64A30">
        <w:rPr>
          <w:rFonts w:eastAsia="TimesNewRoman"/>
        </w:rPr>
        <w:t>(</w:t>
      </w:r>
      <w:r w:rsidR="00096602" w:rsidRPr="00132EE6">
        <w:rPr>
          <w:rFonts w:eastAsia="TimesNewRoman"/>
        </w:rPr>
        <w:t>QD</w:t>
      </w:r>
      <w:r w:rsidR="00F64A30">
        <w:rPr>
          <w:rFonts w:eastAsia="TimesNewRoman"/>
        </w:rPr>
        <w:t>)</w:t>
      </w:r>
      <w:r w:rsidR="00096602" w:rsidRPr="00132EE6">
        <w:rPr>
          <w:rFonts w:eastAsia="TimesNewRoman"/>
        </w:rPr>
        <w:t xml:space="preserve"> dosing with 100</w:t>
      </w:r>
      <w:r>
        <w:rPr>
          <w:rFonts w:eastAsia="TimesNewRoman"/>
        </w:rPr>
        <w:t> </w:t>
      </w:r>
      <w:r w:rsidR="00AA5E62">
        <w:rPr>
          <w:rFonts w:eastAsia="TimesNewRoman"/>
        </w:rPr>
        <w:t>mg</w:t>
      </w:r>
      <w:r w:rsidR="00096602" w:rsidRPr="00132EE6">
        <w:rPr>
          <w:rFonts w:eastAsia="TimesNewRoman"/>
        </w:rPr>
        <w:t xml:space="preserve"> in the fasted-state. Under these conditions the accumulation ratios for </w:t>
      </w:r>
      <w:proofErr w:type="spellStart"/>
      <w:r w:rsidR="00096602" w:rsidRPr="00132EE6">
        <w:rPr>
          <w:rFonts w:eastAsia="TimesNewRoman"/>
        </w:rPr>
        <w:t>AUC</w:t>
      </w:r>
      <w:r w:rsidR="00096602" w:rsidRPr="00132EE6">
        <w:rPr>
          <w:rFonts w:eastAsia="TimesNewRoman"/>
          <w:vertAlign w:val="subscript"/>
        </w:rPr>
        <w:t>tau</w:t>
      </w:r>
      <w:proofErr w:type="spellEnd"/>
      <w:r w:rsidR="00096602" w:rsidRPr="00132EE6">
        <w:rPr>
          <w:rFonts w:eastAsia="TimesNewRoman"/>
        </w:rPr>
        <w:t xml:space="preserve">, </w:t>
      </w:r>
      <w:proofErr w:type="spellStart"/>
      <w:r w:rsidRPr="00132EE6">
        <w:t>C</w:t>
      </w:r>
      <w:r w:rsidRPr="00CE0E69">
        <w:rPr>
          <w:vertAlign w:val="subscript"/>
        </w:rPr>
        <w:t>max</w:t>
      </w:r>
      <w:proofErr w:type="spellEnd"/>
      <w:r w:rsidRPr="00CE0E69">
        <w:t xml:space="preserve"> </w:t>
      </w:r>
      <w:r w:rsidR="00096602">
        <w:rPr>
          <w:rFonts w:eastAsia="TimesNewRoman"/>
        </w:rPr>
        <w:t>and</w:t>
      </w:r>
      <w:r w:rsidR="00096602" w:rsidRPr="00132EE6">
        <w:rPr>
          <w:rFonts w:eastAsia="TimesNewRoman"/>
        </w:rPr>
        <w:t xml:space="preserve"> </w:t>
      </w:r>
      <w:proofErr w:type="spellStart"/>
      <w:r w:rsidR="00096602" w:rsidRPr="00132EE6">
        <w:rPr>
          <w:rFonts w:eastAsia="TimesNewRoman"/>
        </w:rPr>
        <w:t>C</w:t>
      </w:r>
      <w:r w:rsidR="00096602" w:rsidRPr="00132EE6">
        <w:rPr>
          <w:rFonts w:eastAsia="TimesNewRoman"/>
          <w:vertAlign w:val="subscript"/>
        </w:rPr>
        <w:t>tau</w:t>
      </w:r>
      <w:proofErr w:type="spellEnd"/>
      <w:r w:rsidR="00096602" w:rsidRPr="00132EE6">
        <w:rPr>
          <w:rFonts w:eastAsia="TimesNewRoman"/>
        </w:rPr>
        <w:t xml:space="preserve"> were 3.83, 2.95</w:t>
      </w:r>
      <w:r w:rsidR="00096602">
        <w:rPr>
          <w:rFonts w:eastAsia="TimesNewRoman"/>
        </w:rPr>
        <w:t xml:space="preserve"> and</w:t>
      </w:r>
      <w:r w:rsidR="00096602" w:rsidRPr="00132EE6">
        <w:rPr>
          <w:rFonts w:eastAsia="TimesNewRoman"/>
        </w:rPr>
        <w:t xml:space="preserve"> 4.22, respectively</w:t>
      </w:r>
      <w:r w:rsidR="00D35780">
        <w:rPr>
          <w:rFonts w:eastAsia="TimesNewRoman"/>
        </w:rPr>
        <w:t>.</w:t>
      </w:r>
      <w:r w:rsidR="00AC3806">
        <w:rPr>
          <w:rStyle w:val="FootnoteReference"/>
          <w:rFonts w:eastAsia="TimesNewRoman"/>
        </w:rPr>
        <w:footnoteReference w:id="39"/>
      </w:r>
    </w:p>
    <w:p w:rsidR="00096602" w:rsidRPr="00132EE6" w:rsidRDefault="00096602" w:rsidP="008A29CC">
      <w:pPr>
        <w:pStyle w:val="ListBullet"/>
      </w:pPr>
      <w:r w:rsidRPr="00132EE6">
        <w:t xml:space="preserve">Following a </w:t>
      </w:r>
      <w:r w:rsidRPr="00132EE6">
        <w:rPr>
          <w:rFonts w:eastAsia="TimesNewRoman"/>
        </w:rPr>
        <w:t>100</w:t>
      </w:r>
      <w:r w:rsidR="00AA5E62">
        <w:rPr>
          <w:rFonts w:eastAsia="TimesNewRoman"/>
        </w:rPr>
        <w:t xml:space="preserve"> mg</w:t>
      </w:r>
      <w:r w:rsidRPr="00132EE6">
        <w:rPr>
          <w:rFonts w:eastAsia="TimesNewRoman" w:cstheme="minorHAnsi"/>
        </w:rPr>
        <w:t xml:space="preserve"> </w:t>
      </w:r>
      <w:r w:rsidRPr="00132EE6">
        <w:rPr>
          <w:rFonts w:eastAsia="TimesNewRoman"/>
        </w:rPr>
        <w:t xml:space="preserve">dose of </w:t>
      </w:r>
      <w:proofErr w:type="spellStart"/>
      <w:r w:rsidRPr="00132EE6">
        <w:rPr>
          <w:rFonts w:eastAsia="TimesNewRoman"/>
        </w:rPr>
        <w:t>radiolabeled</w:t>
      </w:r>
      <w:proofErr w:type="spellEnd"/>
      <w:r w:rsidRPr="00132EE6">
        <w:rPr>
          <w:rFonts w:eastAsia="TimesNewRoman"/>
        </w:rPr>
        <w:t xml:space="preserve"> </w:t>
      </w:r>
      <w:r w:rsidR="000E1116">
        <w:t>(</w:t>
      </w:r>
      <w:r w:rsidR="00476CD0" w:rsidRPr="00476CD0">
        <w:rPr>
          <w:vertAlign w:val="superscript"/>
        </w:rPr>
        <w:t>14</w:t>
      </w:r>
      <w:r w:rsidR="00476CD0">
        <w:t>C</w:t>
      </w:r>
      <w:r w:rsidR="000E1116">
        <w:t>)</w:t>
      </w:r>
      <w:r w:rsidR="00CE0E69">
        <w:t xml:space="preserve"> </w:t>
      </w:r>
      <w:r w:rsidRPr="00132EE6">
        <w:rPr>
          <w:rFonts w:eastAsia="TimesNewRoman"/>
        </w:rPr>
        <w:t>VOX t</w:t>
      </w:r>
      <w:r w:rsidR="00CE0E69">
        <w:rPr>
          <w:rFonts w:eastAsia="TimesNewRoman"/>
        </w:rPr>
        <w:t xml:space="preserve">he </w:t>
      </w:r>
      <w:r w:rsidR="009E6C8F">
        <w:rPr>
          <w:rFonts w:eastAsia="TimesNewRoman"/>
        </w:rPr>
        <w:t>apparent volume of distribution (</w:t>
      </w:r>
      <w:proofErr w:type="spellStart"/>
      <w:r w:rsidR="00CE0E69">
        <w:rPr>
          <w:rFonts w:eastAsia="TimesNewRoman"/>
        </w:rPr>
        <w:t>Vz</w:t>
      </w:r>
      <w:proofErr w:type="spellEnd"/>
      <w:r w:rsidR="00CE0E69">
        <w:rPr>
          <w:rFonts w:eastAsia="TimesNewRoman"/>
        </w:rPr>
        <w:t>/F</w:t>
      </w:r>
      <w:r w:rsidR="009E6C8F">
        <w:rPr>
          <w:rFonts w:eastAsia="TimesNewRoman"/>
        </w:rPr>
        <w:t>)</w:t>
      </w:r>
      <w:r w:rsidR="00CE0E69">
        <w:rPr>
          <w:rFonts w:eastAsia="TimesNewRoman"/>
        </w:rPr>
        <w:t xml:space="preserve"> for VOX was 8011 L (%CV</w:t>
      </w:r>
      <w:r w:rsidR="00D27C5D">
        <w:rPr>
          <w:rFonts w:eastAsia="TimesNewRoman"/>
        </w:rPr>
        <w:t> </w:t>
      </w:r>
      <w:r w:rsidR="003925CF">
        <w:rPr>
          <w:rFonts w:eastAsia="TimesNewRoman"/>
        </w:rPr>
        <w:t xml:space="preserve">= </w:t>
      </w:r>
      <w:r w:rsidRPr="00132EE6">
        <w:rPr>
          <w:rFonts w:eastAsia="TimesNewRoman"/>
        </w:rPr>
        <w:t>42%).</w:t>
      </w:r>
    </w:p>
    <w:p w:rsidR="00476CD0" w:rsidRDefault="00096602" w:rsidP="008A29CC">
      <w:pPr>
        <w:pStyle w:val="ListBullet"/>
        <w:rPr>
          <w:rFonts w:eastAsia="TimesNewRoman" w:cs="TimesNewRoman"/>
        </w:rPr>
      </w:pPr>
      <w:r w:rsidRPr="00132EE6">
        <w:rPr>
          <w:rFonts w:eastAsiaTheme="minorHAnsi"/>
        </w:rPr>
        <w:t>VOX plasma protein binding was high (99.6%) and protein binding in human plasma was 12</w:t>
      </w:r>
      <w:r w:rsidR="00C4145D">
        <w:rPr>
          <w:rFonts w:eastAsiaTheme="minorHAnsi"/>
        </w:rPr>
        <w:t xml:space="preserve"> fold</w:t>
      </w:r>
      <w:r w:rsidRPr="00132EE6">
        <w:rPr>
          <w:rFonts w:eastAsiaTheme="minorHAnsi"/>
        </w:rPr>
        <w:t xml:space="preserve"> higher than in cell culture medium, whereas, </w:t>
      </w:r>
      <w:r w:rsidRPr="00132EE6">
        <w:rPr>
          <w:rFonts w:eastAsia="TimesNewRoman" w:cs="TimesNewRoman"/>
        </w:rPr>
        <w:t>erythrocyte binding was low</w:t>
      </w:r>
      <w:r w:rsidR="00476CD0">
        <w:rPr>
          <w:rFonts w:eastAsia="TimesNewRoman" w:cs="TimesNewRoman"/>
        </w:rPr>
        <w:t>.</w:t>
      </w:r>
    </w:p>
    <w:p w:rsidR="00476CD0" w:rsidRDefault="00096602" w:rsidP="008A29CC">
      <w:pPr>
        <w:pStyle w:val="ListBullet"/>
        <w:rPr>
          <w:rFonts w:eastAsia="TimesNewRoman"/>
        </w:rPr>
      </w:pPr>
      <w:r w:rsidRPr="00132EE6">
        <w:rPr>
          <w:rFonts w:eastAsia="TimesNewRoman"/>
        </w:rPr>
        <w:t xml:space="preserve">Following administration of </w:t>
      </w:r>
      <w:r w:rsidR="000E1116">
        <w:t>(</w:t>
      </w:r>
      <w:r w:rsidR="00476CD0" w:rsidRPr="00476CD0">
        <w:rPr>
          <w:vertAlign w:val="superscript"/>
        </w:rPr>
        <w:t>14</w:t>
      </w:r>
      <w:r w:rsidR="00476CD0">
        <w:t>C</w:t>
      </w:r>
      <w:r w:rsidR="000E1116">
        <w:t>)</w:t>
      </w:r>
      <w:r w:rsidR="00CE0E69">
        <w:t xml:space="preserve"> </w:t>
      </w:r>
      <w:r w:rsidRPr="00132EE6">
        <w:rPr>
          <w:rFonts w:eastAsia="TimesNewRoman"/>
        </w:rPr>
        <w:t xml:space="preserve">VOX, systemic exposure was almost exclusively parent drug (91.0%) and approximately 94% of </w:t>
      </w:r>
      <w:proofErr w:type="gramStart"/>
      <w:r w:rsidRPr="00132EE6">
        <w:rPr>
          <w:rFonts w:eastAsia="TimesNewRoman"/>
        </w:rPr>
        <w:t>all the</w:t>
      </w:r>
      <w:proofErr w:type="gramEnd"/>
      <w:r w:rsidRPr="00132EE6">
        <w:rPr>
          <w:rFonts w:eastAsia="TimesNewRoman"/>
        </w:rPr>
        <w:t xml:space="preserve"> radioactivity recovered was contained in the faeces, whereas, none was recovered in the urine</w:t>
      </w:r>
      <w:r w:rsidR="00476CD0">
        <w:rPr>
          <w:rFonts w:eastAsia="TimesNewRoman"/>
        </w:rPr>
        <w:t>.</w:t>
      </w:r>
    </w:p>
    <w:p w:rsidR="00096602" w:rsidRPr="00132EE6" w:rsidRDefault="00096602" w:rsidP="008A29CC">
      <w:pPr>
        <w:pStyle w:val="ListBullet"/>
        <w:rPr>
          <w:lang w:eastAsia="ja-JP"/>
        </w:rPr>
      </w:pPr>
      <w:r w:rsidRPr="00132EE6">
        <w:t>No circulating metabolites for VEL or VOX have been identified, whereas, two, circulating SOF metabolites have been identified in humans. Neither of the SOF metabolites has anti-HCV activity against the HCV genotype 1a, 1b</w:t>
      </w:r>
      <w:r>
        <w:t xml:space="preserve"> and</w:t>
      </w:r>
      <w:r w:rsidRPr="00132EE6">
        <w:t xml:space="preserve"> 3a replicons.</w:t>
      </w:r>
    </w:p>
    <w:p w:rsidR="00096602" w:rsidRPr="00132EE6" w:rsidRDefault="00096602" w:rsidP="008A29CC">
      <w:pPr>
        <w:pStyle w:val="ListBullet"/>
        <w:rPr>
          <w:rFonts w:eastAsia="TimesNewRoman"/>
        </w:rPr>
      </w:pPr>
      <w:r w:rsidRPr="00132EE6">
        <w:rPr>
          <w:rFonts w:eastAsia="TimesNewRoman"/>
        </w:rPr>
        <w:t>VOX was the major species identified in faeces, accounting for a mean of 39.8% of the administered dose. One known hydrolysis metabolite, M19 (des-</w:t>
      </w:r>
      <w:r w:rsidR="000E1116">
        <w:rPr>
          <w:rFonts w:eastAsia="TimesNewRoman"/>
        </w:rPr>
        <w:t>(</w:t>
      </w:r>
      <w:proofErr w:type="spellStart"/>
      <w:r w:rsidRPr="00132EE6">
        <w:rPr>
          <w:rFonts w:eastAsia="TimesNewRoman"/>
        </w:rPr>
        <w:t>methylcyclopropylsulphonamide</w:t>
      </w:r>
      <w:proofErr w:type="spellEnd"/>
      <w:r w:rsidR="000E1116">
        <w:rPr>
          <w:rFonts w:eastAsia="TimesNewRoman"/>
        </w:rPr>
        <w:t>)</w:t>
      </w:r>
      <w:r w:rsidRPr="00132EE6">
        <w:rPr>
          <w:rFonts w:eastAsia="TimesNewRoman"/>
        </w:rPr>
        <w:t>-VOX, 22.1%) was identified and could be further oxidised into M21 (des-</w:t>
      </w:r>
      <w:r w:rsidR="000E1116">
        <w:rPr>
          <w:rFonts w:eastAsia="TimesNewRoman"/>
        </w:rPr>
        <w:t>(</w:t>
      </w:r>
      <w:proofErr w:type="spellStart"/>
      <w:r w:rsidRPr="00132EE6">
        <w:rPr>
          <w:rFonts w:eastAsia="TimesNewRoman"/>
        </w:rPr>
        <w:t>methylcyclopropylsulphonamide</w:t>
      </w:r>
      <w:proofErr w:type="spellEnd"/>
      <w:r w:rsidR="000E1116">
        <w:rPr>
          <w:rFonts w:eastAsia="TimesNewRoman"/>
        </w:rPr>
        <w:t>)</w:t>
      </w:r>
      <w:r w:rsidRPr="00132EE6">
        <w:rPr>
          <w:rFonts w:eastAsia="TimesNewRoman"/>
        </w:rPr>
        <w:t>-oxy-VOX-1, 5.4%) or M25 (des-</w:t>
      </w:r>
      <w:r w:rsidR="000E1116">
        <w:rPr>
          <w:rFonts w:eastAsia="TimesNewRoman"/>
        </w:rPr>
        <w:t>(</w:t>
      </w:r>
      <w:proofErr w:type="spellStart"/>
      <w:r w:rsidRPr="00132EE6">
        <w:rPr>
          <w:rFonts w:eastAsia="TimesNewRoman"/>
        </w:rPr>
        <w:t>methylcyclopropylsulphonamide</w:t>
      </w:r>
      <w:proofErr w:type="spellEnd"/>
      <w:r w:rsidR="000E1116">
        <w:rPr>
          <w:rFonts w:eastAsia="TimesNewRoman"/>
        </w:rPr>
        <w:t>)</w:t>
      </w:r>
      <w:r w:rsidRPr="00132EE6">
        <w:rPr>
          <w:rFonts w:eastAsia="TimesNewRoman"/>
        </w:rPr>
        <w:t>-oxy-VOX-2, 3.87%) and one dehydrogenation metabolite, M9 (dehydro-VOX-2, 7.50 %) was identified.</w:t>
      </w:r>
    </w:p>
    <w:p w:rsidR="00096602" w:rsidRPr="00EC7138" w:rsidRDefault="00096602" w:rsidP="008A29CC">
      <w:pPr>
        <w:pStyle w:val="Heading5"/>
        <w:rPr>
          <w:lang w:eastAsia="ja-JP"/>
        </w:rPr>
      </w:pPr>
      <w:r w:rsidRPr="00EC7138">
        <w:rPr>
          <w:lang w:eastAsia="ja-JP"/>
        </w:rPr>
        <w:t>Variability</w:t>
      </w:r>
    </w:p>
    <w:p w:rsidR="00096602" w:rsidRPr="00132EE6" w:rsidRDefault="00096602" w:rsidP="00096602">
      <w:pPr>
        <w:rPr>
          <w:rFonts w:asciiTheme="minorHAnsi" w:hAnsiTheme="minorHAnsi"/>
          <w:lang w:eastAsia="ja-JP"/>
        </w:rPr>
      </w:pPr>
      <w:r w:rsidRPr="00132EE6">
        <w:rPr>
          <w:rFonts w:asciiTheme="minorHAnsi" w:hAnsiTheme="minorHAnsi"/>
          <w:lang w:eastAsia="ja-JP"/>
        </w:rPr>
        <w:t xml:space="preserve">Based on </w:t>
      </w:r>
      <w:proofErr w:type="spellStart"/>
      <w:r w:rsidRPr="00132EE6">
        <w:rPr>
          <w:rFonts w:asciiTheme="minorHAnsi" w:hAnsiTheme="minorHAnsi"/>
          <w:lang w:eastAsia="ja-JP"/>
        </w:rPr>
        <w:t>popPK</w:t>
      </w:r>
      <w:proofErr w:type="spellEnd"/>
      <w:r w:rsidRPr="00132EE6">
        <w:rPr>
          <w:rFonts w:asciiTheme="minorHAnsi" w:hAnsiTheme="minorHAnsi"/>
          <w:lang w:eastAsia="ja-JP"/>
        </w:rPr>
        <w:t xml:space="preserve"> analyses, the i</w:t>
      </w:r>
      <w:r w:rsidR="00CE0E69">
        <w:rPr>
          <w:rFonts w:asciiTheme="minorHAnsi" w:eastAsiaTheme="minorHAnsi" w:hAnsiTheme="minorHAnsi"/>
          <w:color w:val="000000"/>
        </w:rPr>
        <w:t>nter</w:t>
      </w:r>
      <w:r w:rsidR="00043F9D">
        <w:rPr>
          <w:rFonts w:asciiTheme="minorHAnsi" w:eastAsiaTheme="minorHAnsi" w:hAnsiTheme="minorHAnsi"/>
          <w:color w:val="000000"/>
        </w:rPr>
        <w:t>-</w:t>
      </w:r>
      <w:r w:rsidRPr="00132EE6">
        <w:rPr>
          <w:rFonts w:asciiTheme="minorHAnsi" w:eastAsiaTheme="minorHAnsi" w:hAnsiTheme="minorHAnsi"/>
          <w:color w:val="000000"/>
        </w:rPr>
        <w:t xml:space="preserve">individual variability on </w:t>
      </w:r>
      <w:r w:rsidR="00AC3806">
        <w:rPr>
          <w:rFonts w:eastAsia="TimesNewRoman" w:cstheme="minorHAnsi"/>
        </w:rPr>
        <w:t>apparent oral clearance after administration of the drug</w:t>
      </w:r>
      <w:r w:rsidR="00AC3806" w:rsidRPr="00132EE6">
        <w:rPr>
          <w:rFonts w:asciiTheme="minorHAnsi" w:eastAsiaTheme="minorHAnsi" w:hAnsiTheme="minorHAnsi"/>
          <w:color w:val="000000"/>
        </w:rPr>
        <w:t xml:space="preserve"> </w:t>
      </w:r>
      <w:r w:rsidR="00AC3806">
        <w:rPr>
          <w:rFonts w:asciiTheme="minorHAnsi" w:eastAsiaTheme="minorHAnsi" w:hAnsiTheme="minorHAnsi"/>
          <w:color w:val="000000"/>
        </w:rPr>
        <w:t>(</w:t>
      </w:r>
      <w:r w:rsidRPr="00132EE6">
        <w:rPr>
          <w:rFonts w:asciiTheme="minorHAnsi" w:eastAsiaTheme="minorHAnsi" w:hAnsiTheme="minorHAnsi"/>
          <w:color w:val="000000"/>
        </w:rPr>
        <w:t>CL/F</w:t>
      </w:r>
      <w:r w:rsidR="00AC3806">
        <w:rPr>
          <w:rFonts w:asciiTheme="minorHAnsi" w:eastAsiaTheme="minorHAnsi" w:hAnsiTheme="minorHAnsi"/>
          <w:color w:val="000000"/>
        </w:rPr>
        <w:t>)</w:t>
      </w:r>
      <w:r w:rsidRPr="00132EE6">
        <w:rPr>
          <w:rFonts w:asciiTheme="minorHAnsi" w:eastAsiaTheme="minorHAnsi" w:hAnsiTheme="minorHAnsi"/>
          <w:color w:val="000000"/>
        </w:rPr>
        <w:t xml:space="preserve">, </w:t>
      </w:r>
      <w:r w:rsidR="009E6C8F">
        <w:rPr>
          <w:rFonts w:eastAsia="TimesNewRoman"/>
        </w:rPr>
        <w:t>apparent central volume</w:t>
      </w:r>
      <w:r w:rsidR="009E6C8F" w:rsidRPr="00132EE6">
        <w:rPr>
          <w:rFonts w:asciiTheme="minorHAnsi" w:eastAsiaTheme="minorHAnsi" w:hAnsiTheme="minorHAnsi"/>
          <w:color w:val="000000"/>
        </w:rPr>
        <w:t xml:space="preserve"> </w:t>
      </w:r>
      <w:r w:rsidR="009E6C8F">
        <w:rPr>
          <w:rFonts w:asciiTheme="minorHAnsi" w:eastAsiaTheme="minorHAnsi" w:hAnsiTheme="minorHAnsi"/>
          <w:color w:val="000000"/>
        </w:rPr>
        <w:t>(</w:t>
      </w:r>
      <w:proofErr w:type="spellStart"/>
      <w:r w:rsidRPr="00132EE6">
        <w:rPr>
          <w:rFonts w:asciiTheme="minorHAnsi" w:eastAsiaTheme="minorHAnsi" w:hAnsiTheme="minorHAnsi"/>
          <w:color w:val="000000"/>
        </w:rPr>
        <w:t>Vc</w:t>
      </w:r>
      <w:proofErr w:type="spellEnd"/>
      <w:r w:rsidRPr="00132EE6">
        <w:rPr>
          <w:rFonts w:asciiTheme="minorHAnsi" w:eastAsiaTheme="minorHAnsi" w:hAnsiTheme="minorHAnsi"/>
          <w:color w:val="000000"/>
        </w:rPr>
        <w:t>/F</w:t>
      </w:r>
      <w:r w:rsidR="009E6C8F">
        <w:rPr>
          <w:rFonts w:asciiTheme="minorHAnsi" w:eastAsiaTheme="minorHAnsi" w:hAnsiTheme="minorHAnsi"/>
          <w:color w:val="000000"/>
        </w:rPr>
        <w:t>)</w:t>
      </w:r>
      <w:r>
        <w:rPr>
          <w:rFonts w:asciiTheme="minorHAnsi" w:eastAsiaTheme="minorHAnsi" w:hAnsiTheme="minorHAnsi"/>
          <w:color w:val="000000"/>
        </w:rPr>
        <w:t xml:space="preserve"> and</w:t>
      </w:r>
      <w:r w:rsidRPr="00132EE6">
        <w:rPr>
          <w:rFonts w:asciiTheme="minorHAnsi" w:eastAsiaTheme="minorHAnsi" w:hAnsiTheme="minorHAnsi"/>
          <w:color w:val="000000"/>
        </w:rPr>
        <w:t xml:space="preserve"> </w:t>
      </w:r>
      <w:r w:rsidR="00F64A30">
        <w:t>absorption rate constant</w:t>
      </w:r>
      <w:r w:rsidR="00F64A30" w:rsidRPr="00132EE6">
        <w:rPr>
          <w:rFonts w:asciiTheme="minorHAnsi" w:eastAsiaTheme="minorHAnsi" w:hAnsiTheme="minorHAnsi"/>
          <w:color w:val="000000"/>
        </w:rPr>
        <w:t xml:space="preserve"> </w:t>
      </w:r>
      <w:r w:rsidR="00F64A30">
        <w:rPr>
          <w:rFonts w:asciiTheme="minorHAnsi" w:eastAsiaTheme="minorHAnsi" w:hAnsiTheme="minorHAnsi"/>
          <w:color w:val="000000"/>
        </w:rPr>
        <w:t>(</w:t>
      </w:r>
      <w:proofErr w:type="spellStart"/>
      <w:r w:rsidRPr="00132EE6">
        <w:rPr>
          <w:rFonts w:asciiTheme="minorHAnsi" w:eastAsiaTheme="minorHAnsi" w:hAnsiTheme="minorHAnsi"/>
          <w:color w:val="000000"/>
        </w:rPr>
        <w:t>Ka</w:t>
      </w:r>
      <w:proofErr w:type="spellEnd"/>
      <w:r w:rsidR="00F64A30">
        <w:rPr>
          <w:rFonts w:asciiTheme="minorHAnsi" w:eastAsiaTheme="minorHAnsi" w:hAnsiTheme="minorHAnsi"/>
          <w:color w:val="000000"/>
        </w:rPr>
        <w:t>)</w:t>
      </w:r>
      <w:r w:rsidRPr="00132EE6">
        <w:rPr>
          <w:rFonts w:asciiTheme="minorHAnsi" w:eastAsiaTheme="minorHAnsi" w:hAnsiTheme="minorHAnsi"/>
          <w:color w:val="000000"/>
        </w:rPr>
        <w:t xml:space="preserve"> for SOF were 41.9%, 34.2%</w:t>
      </w:r>
      <w:r>
        <w:rPr>
          <w:rFonts w:asciiTheme="minorHAnsi" w:eastAsiaTheme="minorHAnsi" w:hAnsiTheme="minorHAnsi"/>
          <w:color w:val="000000"/>
        </w:rPr>
        <w:t xml:space="preserve"> and</w:t>
      </w:r>
      <w:r w:rsidRPr="00132EE6">
        <w:rPr>
          <w:rFonts w:asciiTheme="minorHAnsi" w:eastAsiaTheme="minorHAnsi" w:hAnsiTheme="minorHAnsi"/>
          <w:color w:val="000000"/>
        </w:rPr>
        <w:t xml:space="preserve"> 131%, respectively</w:t>
      </w:r>
      <w:r>
        <w:rPr>
          <w:rFonts w:asciiTheme="minorHAnsi" w:eastAsiaTheme="minorHAnsi" w:hAnsiTheme="minorHAnsi"/>
          <w:color w:val="000000"/>
        </w:rPr>
        <w:t xml:space="preserve"> and</w:t>
      </w:r>
      <w:r w:rsidRPr="00132EE6">
        <w:rPr>
          <w:rFonts w:asciiTheme="minorHAnsi" w:eastAsiaTheme="minorHAnsi" w:hAnsiTheme="minorHAnsi"/>
          <w:color w:val="000000"/>
        </w:rPr>
        <w:t xml:space="preserve"> the residual variability was 97.2%. For VEL, inter-individual variability on CL/F, </w:t>
      </w:r>
      <w:proofErr w:type="spellStart"/>
      <w:r w:rsidRPr="00132EE6">
        <w:rPr>
          <w:rFonts w:asciiTheme="minorHAnsi" w:eastAsiaTheme="minorHAnsi" w:hAnsiTheme="minorHAnsi"/>
          <w:color w:val="000000"/>
        </w:rPr>
        <w:t>Vc</w:t>
      </w:r>
      <w:proofErr w:type="spellEnd"/>
      <w:r w:rsidRPr="00132EE6">
        <w:rPr>
          <w:rFonts w:asciiTheme="minorHAnsi" w:eastAsiaTheme="minorHAnsi" w:hAnsiTheme="minorHAnsi"/>
          <w:color w:val="000000"/>
        </w:rPr>
        <w:t>/F</w:t>
      </w:r>
      <w:r>
        <w:rPr>
          <w:rFonts w:asciiTheme="minorHAnsi" w:eastAsiaTheme="minorHAnsi" w:hAnsiTheme="minorHAnsi"/>
          <w:color w:val="000000"/>
        </w:rPr>
        <w:t xml:space="preserve"> and</w:t>
      </w:r>
      <w:r w:rsidRPr="00132EE6">
        <w:rPr>
          <w:rFonts w:asciiTheme="minorHAnsi" w:eastAsiaTheme="minorHAnsi" w:hAnsiTheme="minorHAnsi"/>
          <w:color w:val="000000"/>
        </w:rPr>
        <w:t xml:space="preserve"> </w:t>
      </w:r>
      <w:proofErr w:type="spellStart"/>
      <w:r w:rsidRPr="00132EE6">
        <w:rPr>
          <w:rFonts w:asciiTheme="minorHAnsi" w:eastAsiaTheme="minorHAnsi" w:hAnsiTheme="minorHAnsi"/>
          <w:color w:val="000000"/>
        </w:rPr>
        <w:t>Ka</w:t>
      </w:r>
      <w:proofErr w:type="spellEnd"/>
      <w:r w:rsidRPr="00132EE6">
        <w:rPr>
          <w:rFonts w:asciiTheme="minorHAnsi" w:eastAsiaTheme="minorHAnsi" w:hAnsiTheme="minorHAnsi"/>
          <w:color w:val="000000"/>
        </w:rPr>
        <w:t xml:space="preserve"> were 54.7%, 77.8% and 110.3%, respectively, and the residual variability was 57.6%. For VOX, </w:t>
      </w:r>
      <w:r w:rsidRPr="00132EE6">
        <w:rPr>
          <w:rFonts w:asciiTheme="minorHAnsi" w:eastAsia="TimesNewRoman" w:hAnsiTheme="minorHAnsi"/>
          <w:color w:val="000000"/>
        </w:rPr>
        <w:t>inter-individual variability was 70.1% for</w:t>
      </w:r>
      <w:r w:rsidR="00AC3806" w:rsidRPr="00AC3806">
        <w:rPr>
          <w:rFonts w:cstheme="minorHAnsi"/>
        </w:rPr>
        <w:t xml:space="preserve"> </w:t>
      </w:r>
      <w:r w:rsidR="00AC3806">
        <w:rPr>
          <w:rFonts w:cstheme="minorHAnsi"/>
        </w:rPr>
        <w:t>clearance</w:t>
      </w:r>
      <w:r w:rsidRPr="00132EE6">
        <w:rPr>
          <w:rFonts w:asciiTheme="minorHAnsi" w:eastAsia="TimesNewRoman" w:hAnsiTheme="minorHAnsi"/>
          <w:color w:val="000000"/>
        </w:rPr>
        <w:t xml:space="preserve"> </w:t>
      </w:r>
      <w:r w:rsidR="00AC3806">
        <w:rPr>
          <w:rFonts w:asciiTheme="minorHAnsi" w:eastAsia="TimesNewRoman" w:hAnsiTheme="minorHAnsi"/>
          <w:color w:val="000000"/>
        </w:rPr>
        <w:t>(</w:t>
      </w:r>
      <w:r w:rsidRPr="00132EE6">
        <w:rPr>
          <w:rFonts w:asciiTheme="minorHAnsi" w:eastAsia="TimesNewRoman" w:hAnsiTheme="minorHAnsi"/>
          <w:color w:val="000000"/>
        </w:rPr>
        <w:t>CL</w:t>
      </w:r>
      <w:r w:rsidR="00AC3806">
        <w:rPr>
          <w:rFonts w:asciiTheme="minorHAnsi" w:eastAsia="TimesNewRoman" w:hAnsiTheme="minorHAnsi"/>
          <w:color w:val="000000"/>
        </w:rPr>
        <w:t>)</w:t>
      </w:r>
      <w:r w:rsidRPr="00132EE6">
        <w:rPr>
          <w:rFonts w:asciiTheme="minorHAnsi" w:eastAsia="TimesNewRoman" w:hAnsiTheme="minorHAnsi"/>
          <w:color w:val="000000"/>
        </w:rPr>
        <w:t xml:space="preserve">, 109.0% for </w:t>
      </w:r>
      <w:proofErr w:type="spellStart"/>
      <w:proofErr w:type="gramStart"/>
      <w:r w:rsidRPr="00132EE6">
        <w:rPr>
          <w:rFonts w:asciiTheme="minorHAnsi" w:eastAsia="TimesNewRoman" w:hAnsiTheme="minorHAnsi"/>
          <w:color w:val="000000"/>
        </w:rPr>
        <w:t>Vc</w:t>
      </w:r>
      <w:proofErr w:type="spellEnd"/>
      <w:proofErr w:type="gramEnd"/>
      <w:r w:rsidRPr="00132EE6">
        <w:rPr>
          <w:rFonts w:asciiTheme="minorHAnsi" w:eastAsia="TimesNewRoman" w:hAnsiTheme="minorHAnsi"/>
          <w:color w:val="000000"/>
        </w:rPr>
        <w:t xml:space="preserve"> and 83.6% for </w:t>
      </w:r>
      <w:proofErr w:type="spellStart"/>
      <w:r w:rsidRPr="00132EE6">
        <w:rPr>
          <w:rFonts w:asciiTheme="minorHAnsi" w:eastAsia="TimesNewRoman" w:hAnsiTheme="minorHAnsi"/>
          <w:color w:val="000000"/>
        </w:rPr>
        <w:t>Ka</w:t>
      </w:r>
      <w:proofErr w:type="spellEnd"/>
      <w:r w:rsidRPr="00132EE6">
        <w:rPr>
          <w:rFonts w:asciiTheme="minorHAnsi" w:eastAsia="TimesNewRoman" w:hAnsiTheme="minorHAnsi"/>
          <w:color w:val="000000"/>
        </w:rPr>
        <w:t xml:space="preserve"> and </w:t>
      </w:r>
      <w:r w:rsidRPr="00132EE6">
        <w:rPr>
          <w:rFonts w:asciiTheme="minorHAnsi" w:eastAsiaTheme="minorHAnsi" w:hAnsiTheme="minorHAnsi"/>
          <w:color w:val="000000"/>
        </w:rPr>
        <w:t>the residual variability was 60.2%.</w:t>
      </w:r>
    </w:p>
    <w:p w:rsidR="00096602" w:rsidRPr="00EC7138" w:rsidRDefault="00096602" w:rsidP="008A29CC">
      <w:pPr>
        <w:pStyle w:val="Heading5"/>
      </w:pPr>
      <w:r w:rsidRPr="00EC7138">
        <w:t>Pharmacokinetics in the target population</w:t>
      </w:r>
    </w:p>
    <w:p w:rsidR="00476CD0" w:rsidRDefault="00096602" w:rsidP="008A29CC">
      <w:pPr>
        <w:pStyle w:val="ListBullet"/>
      </w:pPr>
      <w:r w:rsidRPr="00132EE6">
        <w:t xml:space="preserve">At </w:t>
      </w:r>
      <w:r w:rsidR="00CE0E69">
        <w:t>steady state</w:t>
      </w:r>
      <w:r w:rsidRPr="00132EE6">
        <w:t xml:space="preserve">, following QD dosing with </w:t>
      </w:r>
      <w:r w:rsidR="00476CD0">
        <w:t>Vosevi</w:t>
      </w:r>
      <w:r w:rsidRPr="00132EE6">
        <w:t xml:space="preserve"> to treatment experienced subjects with chronic HCV infection, SOF </w:t>
      </w:r>
      <w:proofErr w:type="spellStart"/>
      <w:r w:rsidR="00CE0E69" w:rsidRPr="00132EE6">
        <w:t>C</w:t>
      </w:r>
      <w:r w:rsidR="00CE0E69" w:rsidRPr="00CE0E69">
        <w:rPr>
          <w:vertAlign w:val="subscript"/>
        </w:rPr>
        <w:t>max</w:t>
      </w:r>
      <w:proofErr w:type="spellEnd"/>
      <w:r w:rsidR="00CE0E69" w:rsidRPr="00CE0E69">
        <w:t xml:space="preserve"> </w:t>
      </w:r>
      <w:r w:rsidRPr="00132EE6">
        <w:t xml:space="preserve">and </w:t>
      </w:r>
      <w:proofErr w:type="spellStart"/>
      <w:r w:rsidRPr="00132EE6">
        <w:t>AUC</w:t>
      </w:r>
      <w:r w:rsidRPr="00132EE6">
        <w:rPr>
          <w:vertAlign w:val="subscript"/>
        </w:rPr>
        <w:t>tau</w:t>
      </w:r>
      <w:proofErr w:type="spellEnd"/>
      <w:r w:rsidRPr="00132EE6">
        <w:t xml:space="preserve"> </w:t>
      </w:r>
      <w:r w:rsidR="00CE0E69">
        <w:t>values were 1371 ng/mL and 1799 </w:t>
      </w:r>
      <w:proofErr w:type="spellStart"/>
      <w:r w:rsidRPr="00132EE6">
        <w:t>ng.h</w:t>
      </w:r>
      <w:proofErr w:type="spellEnd"/>
      <w:r w:rsidRPr="00132EE6">
        <w:t xml:space="preserve">/mL, respectively, VEL </w:t>
      </w:r>
      <w:proofErr w:type="spellStart"/>
      <w:r w:rsidR="00CE0E69" w:rsidRPr="00132EE6">
        <w:t>C</w:t>
      </w:r>
      <w:r w:rsidR="00CE0E69" w:rsidRPr="00CE0E69">
        <w:rPr>
          <w:vertAlign w:val="subscript"/>
        </w:rPr>
        <w:t>max</w:t>
      </w:r>
      <w:proofErr w:type="spellEnd"/>
      <w:r w:rsidR="00CE0E69" w:rsidRPr="00CE0E69">
        <w:t xml:space="preserve"> </w:t>
      </w:r>
      <w:r w:rsidRPr="00132EE6">
        <w:t xml:space="preserve">and </w:t>
      </w:r>
      <w:proofErr w:type="spellStart"/>
      <w:r w:rsidRPr="00132EE6">
        <w:t>AUC</w:t>
      </w:r>
      <w:r w:rsidRPr="00132EE6">
        <w:rPr>
          <w:vertAlign w:val="subscript"/>
        </w:rPr>
        <w:t>tau</w:t>
      </w:r>
      <w:proofErr w:type="spellEnd"/>
      <w:r w:rsidRPr="00132EE6">
        <w:rPr>
          <w:vertAlign w:val="subscript"/>
        </w:rPr>
        <w:t xml:space="preserve"> </w:t>
      </w:r>
      <w:r w:rsidR="00CE0E69">
        <w:t>values were 501 ng/mL and 4004 </w:t>
      </w:r>
      <w:r w:rsidRPr="00132EE6">
        <w:t xml:space="preserve">ng.h/mL, respectively, and the corresponding values for VOX were 339 ng/mL and 2770 </w:t>
      </w:r>
      <w:proofErr w:type="spellStart"/>
      <w:r w:rsidRPr="00132EE6">
        <w:t>ng.h</w:t>
      </w:r>
      <w:proofErr w:type="spellEnd"/>
      <w:r w:rsidRPr="00132EE6">
        <w:t>/</w:t>
      </w:r>
      <w:proofErr w:type="spellStart"/>
      <w:r w:rsidRPr="00132EE6">
        <w:t>mL</w:t>
      </w:r>
      <w:r w:rsidR="00476CD0">
        <w:t>.</w:t>
      </w:r>
      <w:proofErr w:type="spellEnd"/>
    </w:p>
    <w:p w:rsidR="00096602" w:rsidRPr="00132EE6" w:rsidRDefault="00096602" w:rsidP="008A29CC">
      <w:pPr>
        <w:pStyle w:val="ListBullet"/>
      </w:pPr>
      <w:r w:rsidRPr="00132EE6">
        <w:t xml:space="preserve">VOX plasma PKs were similar in subjects with genotype 1a, 1b, 2, 3 or 4 HCV </w:t>
      </w:r>
      <w:proofErr w:type="gramStart"/>
      <w:r w:rsidRPr="00132EE6">
        <w:t>infection</w:t>
      </w:r>
      <w:proofErr w:type="gramEnd"/>
      <w:r w:rsidRPr="00132EE6">
        <w:t xml:space="preserve">. VOX showed </w:t>
      </w:r>
      <w:r w:rsidR="00AA5E62">
        <w:t>dose proportional</w:t>
      </w:r>
      <w:r w:rsidRPr="00132EE6">
        <w:t xml:space="preserve"> increases in exposure across the dose range of 50 to </w:t>
      </w:r>
      <w:r w:rsidRPr="00132EE6">
        <w:lastRenderedPageBreak/>
        <w:t>300</w:t>
      </w:r>
      <w:r w:rsidR="00AA5E62">
        <w:t xml:space="preserve"> mg</w:t>
      </w:r>
      <w:r w:rsidRPr="00132EE6">
        <w:t xml:space="preserve"> when administered in the fasted state and the accumulation ratios for VOX AUC</w:t>
      </w:r>
      <w:r w:rsidRPr="00132EE6">
        <w:rPr>
          <w:vertAlign w:val="subscript"/>
        </w:rPr>
        <w:t>0-24</w:t>
      </w:r>
      <w:r w:rsidRPr="00132EE6">
        <w:t xml:space="preserve">, </w:t>
      </w:r>
      <w:proofErr w:type="spellStart"/>
      <w:r w:rsidR="00CE0E69" w:rsidRPr="00132EE6">
        <w:t>C</w:t>
      </w:r>
      <w:r w:rsidR="00CE0E69" w:rsidRPr="00CE0E69">
        <w:rPr>
          <w:vertAlign w:val="subscript"/>
        </w:rPr>
        <w:t>max</w:t>
      </w:r>
      <w:proofErr w:type="spellEnd"/>
      <w:r w:rsidR="00CE0E69" w:rsidRPr="00CE0E69">
        <w:t xml:space="preserve"> </w:t>
      </w:r>
      <w:r>
        <w:t>and</w:t>
      </w:r>
      <w:r w:rsidRPr="00132EE6">
        <w:t xml:space="preserve"> C</w:t>
      </w:r>
      <w:r w:rsidRPr="00856FEB">
        <w:rPr>
          <w:vertAlign w:val="subscript"/>
        </w:rPr>
        <w:t>24</w:t>
      </w:r>
      <w:r w:rsidR="00043F9D">
        <w:t>;</w:t>
      </w:r>
      <w:r w:rsidR="00AC3806">
        <w:rPr>
          <w:rStyle w:val="FootnoteReference"/>
        </w:rPr>
        <w:footnoteReference w:id="40"/>
      </w:r>
      <w:r w:rsidRPr="00132EE6">
        <w:t xml:space="preserve"> values were 2.6, 2.0 and 2.5, respectively.</w:t>
      </w:r>
    </w:p>
    <w:p w:rsidR="00096602" w:rsidRPr="00EC7138" w:rsidRDefault="00096602" w:rsidP="00096602">
      <w:pPr>
        <w:rPr>
          <w:b/>
          <w:i/>
        </w:rPr>
      </w:pPr>
      <w:r w:rsidRPr="00EC7138">
        <w:rPr>
          <w:b/>
          <w:i/>
        </w:rPr>
        <w:t>Pharmacokinetics in special populations</w:t>
      </w:r>
    </w:p>
    <w:p w:rsidR="00096602" w:rsidRPr="00132EE6" w:rsidRDefault="00096602" w:rsidP="008A29CC">
      <w:pPr>
        <w:pStyle w:val="ListBullet"/>
        <w:rPr>
          <w:lang w:eastAsia="ja-JP"/>
        </w:rPr>
      </w:pPr>
      <w:r w:rsidRPr="00132EE6">
        <w:rPr>
          <w:lang w:eastAsia="ja-JP"/>
        </w:rPr>
        <w:t xml:space="preserve">Two </w:t>
      </w:r>
      <w:r w:rsidR="00476CD0">
        <w:rPr>
          <w:lang w:eastAsia="ja-JP"/>
        </w:rPr>
        <w:t>Phase II</w:t>
      </w:r>
      <w:r w:rsidRPr="00132EE6">
        <w:rPr>
          <w:lang w:eastAsia="ja-JP"/>
        </w:rPr>
        <w:t xml:space="preserve"> trials identified that following doses of </w:t>
      </w:r>
      <w:r w:rsidRPr="00132EE6">
        <w:t xml:space="preserve">SOF/VEL FDC </w:t>
      </w:r>
      <w:r w:rsidRPr="00132EE6">
        <w:rPr>
          <w:rFonts w:eastAsiaTheme="minorHAnsi"/>
        </w:rPr>
        <w:t>(400/100</w:t>
      </w:r>
      <w:r w:rsidR="00AA5E62">
        <w:rPr>
          <w:rFonts w:eastAsiaTheme="minorHAnsi"/>
        </w:rPr>
        <w:t xml:space="preserve"> mg</w:t>
      </w:r>
      <w:r w:rsidRPr="00132EE6">
        <w:rPr>
          <w:rFonts w:eastAsiaTheme="minorHAnsi"/>
        </w:rPr>
        <w:t>)</w:t>
      </w:r>
      <w:r w:rsidRPr="00132EE6">
        <w:t xml:space="preserve"> + VOX 100</w:t>
      </w:r>
      <w:r w:rsidR="00AA5E62">
        <w:t xml:space="preserve"> mg</w:t>
      </w:r>
      <w:r w:rsidRPr="00132EE6">
        <w:t xml:space="preserve"> in patients with genotype 1 HCV infection, VOX exposure was almost 2</w:t>
      </w:r>
      <w:r w:rsidR="00CE0E69">
        <w:t> </w:t>
      </w:r>
      <w:r w:rsidR="00C4145D">
        <w:t>fold</w:t>
      </w:r>
      <w:r w:rsidRPr="00132EE6">
        <w:t xml:space="preserve"> higher in subjects with cirrhosis compared to subjects without cirrhosis.</w:t>
      </w:r>
    </w:p>
    <w:p w:rsidR="00476CD0" w:rsidRDefault="00096602" w:rsidP="008A29CC">
      <w:pPr>
        <w:pStyle w:val="ListBullet"/>
      </w:pPr>
      <w:r w:rsidRPr="00132EE6">
        <w:t xml:space="preserve">In healthy, fed, Japanese and Caucasian subjects administered a single dose of </w:t>
      </w:r>
      <w:r w:rsidR="00476CD0">
        <w:t>Vosevi</w:t>
      </w:r>
      <w:r w:rsidRPr="00132EE6">
        <w:t xml:space="preserve"> FDC + VOX, VOX AUC</w:t>
      </w:r>
      <w:r w:rsidRPr="00132EE6">
        <w:rPr>
          <w:vertAlign w:val="subscript"/>
        </w:rPr>
        <w:t>0-24</w:t>
      </w:r>
      <w:r w:rsidRPr="00132EE6">
        <w:t xml:space="preserve"> and </w:t>
      </w:r>
      <w:proofErr w:type="spellStart"/>
      <w:r w:rsidR="00CE0E69" w:rsidRPr="00132EE6">
        <w:t>C</w:t>
      </w:r>
      <w:r w:rsidR="00CE0E69" w:rsidRPr="00CE0E69">
        <w:rPr>
          <w:vertAlign w:val="subscript"/>
        </w:rPr>
        <w:t>max</w:t>
      </w:r>
      <w:proofErr w:type="spellEnd"/>
      <w:r w:rsidR="00CE0E69" w:rsidRPr="00CE0E69">
        <w:t xml:space="preserve"> </w:t>
      </w:r>
      <w:r w:rsidRPr="00132EE6">
        <w:t xml:space="preserve">values were approximately 108% and 194% higher, respectively, in Japanese than in Caucasian subjects, whereas, at </w:t>
      </w:r>
      <w:r w:rsidR="00CE0E69">
        <w:t>steady state</w:t>
      </w:r>
      <w:r w:rsidRPr="00132EE6">
        <w:t xml:space="preserve">, VOX </w:t>
      </w:r>
      <w:proofErr w:type="spellStart"/>
      <w:r w:rsidRPr="00132EE6">
        <w:t>AUC</w:t>
      </w:r>
      <w:r w:rsidRPr="00132EE6">
        <w:rPr>
          <w:vertAlign w:val="subscript"/>
        </w:rPr>
        <w:t>tau</w:t>
      </w:r>
      <w:proofErr w:type="spellEnd"/>
      <w:r w:rsidRPr="00132EE6">
        <w:t xml:space="preserve"> and </w:t>
      </w:r>
      <w:proofErr w:type="spellStart"/>
      <w:r w:rsidR="00CE0E69" w:rsidRPr="00132EE6">
        <w:t>C</w:t>
      </w:r>
      <w:r w:rsidR="00CE0E69" w:rsidRPr="00CE0E69">
        <w:rPr>
          <w:vertAlign w:val="subscript"/>
        </w:rPr>
        <w:t>max</w:t>
      </w:r>
      <w:proofErr w:type="spellEnd"/>
      <w:r w:rsidR="00CE0E69" w:rsidRPr="00CE0E69">
        <w:t xml:space="preserve"> </w:t>
      </w:r>
      <w:r w:rsidRPr="00132EE6">
        <w:t xml:space="preserve">were approximately 75% and 123% higher, respectively, in Japanese subjects. By contrast, for both SOF and VEL, no clinically significant changes were seen in regards to AUC in Japanese subjects following either single doses or at </w:t>
      </w:r>
      <w:r w:rsidR="00CE0E69">
        <w:t>steady state</w:t>
      </w:r>
      <w:r w:rsidR="00476CD0">
        <w:t>.</w:t>
      </w:r>
    </w:p>
    <w:p w:rsidR="00096602" w:rsidRPr="00EC7138" w:rsidRDefault="00096602" w:rsidP="00096602">
      <w:pPr>
        <w:rPr>
          <w:b/>
          <w:i/>
        </w:rPr>
      </w:pPr>
      <w:r w:rsidRPr="00EC7138">
        <w:rPr>
          <w:b/>
          <w:i/>
        </w:rPr>
        <w:t>Population pharmacokinetics</w:t>
      </w:r>
    </w:p>
    <w:p w:rsidR="00096602" w:rsidRPr="00132EE6" w:rsidRDefault="00096602" w:rsidP="008A29CC">
      <w:pPr>
        <w:pStyle w:val="ListBullet"/>
      </w:pPr>
      <w:r w:rsidRPr="00132EE6">
        <w:t xml:space="preserve">The plasma PKs of SOF were described by a </w:t>
      </w:r>
      <w:r w:rsidR="00CE0E69">
        <w:t>one compartment</w:t>
      </w:r>
      <w:r w:rsidRPr="00132EE6">
        <w:t xml:space="preserve"> model with first order absorption, first order elimination from the central compartment and a lag time. The PK model was parameterised in CL, </w:t>
      </w:r>
      <w:proofErr w:type="spellStart"/>
      <w:proofErr w:type="gramStart"/>
      <w:r w:rsidRPr="00132EE6">
        <w:t>Vc</w:t>
      </w:r>
      <w:proofErr w:type="spellEnd"/>
      <w:proofErr w:type="gramEnd"/>
      <w:r w:rsidRPr="00132EE6">
        <w:t xml:space="preserve">, </w:t>
      </w:r>
      <w:proofErr w:type="spellStart"/>
      <w:r w:rsidRPr="00132EE6">
        <w:t>ka</w:t>
      </w:r>
      <w:proofErr w:type="spellEnd"/>
      <w:r>
        <w:t xml:space="preserve"> and</w:t>
      </w:r>
      <w:r w:rsidRPr="00132EE6">
        <w:t xml:space="preserve"> </w:t>
      </w:r>
      <w:r w:rsidR="009E6C8F">
        <w:t>absorption lag time</w:t>
      </w:r>
      <w:r w:rsidR="009E6C8F" w:rsidRPr="00132EE6">
        <w:t xml:space="preserve"> </w:t>
      </w:r>
      <w:r w:rsidR="009E6C8F">
        <w:t>(</w:t>
      </w:r>
      <w:proofErr w:type="spellStart"/>
      <w:r w:rsidRPr="00132EE6">
        <w:t>T</w:t>
      </w:r>
      <w:r w:rsidRPr="00CE0E69">
        <w:rPr>
          <w:vertAlign w:val="subscript"/>
        </w:rPr>
        <w:t>lag</w:t>
      </w:r>
      <w:proofErr w:type="spellEnd"/>
      <w:r w:rsidR="009E6C8F">
        <w:t>)</w:t>
      </w:r>
      <w:r w:rsidRPr="00132EE6">
        <w:t xml:space="preserve">. Females exhibited 24.4% lower CL/F and 28.6% lower </w:t>
      </w:r>
      <w:proofErr w:type="spellStart"/>
      <w:r w:rsidRPr="00132EE6">
        <w:t>Vc</w:t>
      </w:r>
      <w:proofErr w:type="spellEnd"/>
      <w:r w:rsidRPr="00132EE6">
        <w:t xml:space="preserve">/F compared to males. A 10% decrease in </w:t>
      </w:r>
      <w:r w:rsidR="00AC3806">
        <w:rPr>
          <w:rFonts w:eastAsia="TimesNewRoman" w:cs="TimesNewRoman"/>
        </w:rPr>
        <w:t>creatinine clearance</w:t>
      </w:r>
      <w:r w:rsidR="00AC3806" w:rsidRPr="00132EE6">
        <w:t xml:space="preserve"> </w:t>
      </w:r>
      <w:r w:rsidR="00AC3806">
        <w:t>(</w:t>
      </w:r>
      <w:proofErr w:type="spellStart"/>
      <w:r w:rsidRPr="00132EE6">
        <w:t>CL</w:t>
      </w:r>
      <w:r w:rsidR="00AC3806" w:rsidRPr="00132EE6">
        <w:t>cr</w:t>
      </w:r>
      <w:proofErr w:type="spellEnd"/>
      <w:r w:rsidR="00AC3806">
        <w:t>)</w:t>
      </w:r>
      <w:r w:rsidRPr="00132EE6">
        <w:t xml:space="preserve"> resulted in 2.24% decreased CL/F.</w:t>
      </w:r>
    </w:p>
    <w:p w:rsidR="00096602" w:rsidRPr="00132EE6" w:rsidRDefault="00096602" w:rsidP="008A29CC">
      <w:pPr>
        <w:pStyle w:val="ListBullet"/>
      </w:pPr>
      <w:r w:rsidRPr="00132EE6">
        <w:t>The plasma PKs of VEL were described by a two-compartment model with first order absorption, first order elimination from the central compartment and an absorption lag time</w:t>
      </w:r>
      <w:r w:rsidRPr="00132EE6">
        <w:rPr>
          <w:bCs/>
        </w:rPr>
        <w:t>.</w:t>
      </w:r>
      <w:r w:rsidRPr="00132EE6">
        <w:t xml:space="preserve"> The PK model was parameterised in CL, </w:t>
      </w:r>
      <w:proofErr w:type="spellStart"/>
      <w:proofErr w:type="gramStart"/>
      <w:r w:rsidRPr="00132EE6">
        <w:t>Vc</w:t>
      </w:r>
      <w:proofErr w:type="spellEnd"/>
      <w:proofErr w:type="gramEnd"/>
      <w:r w:rsidRPr="00132EE6">
        <w:t xml:space="preserve">, Q, </w:t>
      </w:r>
      <w:r w:rsidR="009E6C8F">
        <w:rPr>
          <w:rFonts w:eastAsia="TimesNewRoman"/>
        </w:rPr>
        <w:t>peripheral volume</w:t>
      </w:r>
      <w:r w:rsidR="009E6C8F" w:rsidRPr="00132EE6">
        <w:t xml:space="preserve"> </w:t>
      </w:r>
      <w:r w:rsidR="009E6C8F">
        <w:t>(</w:t>
      </w:r>
      <w:proofErr w:type="spellStart"/>
      <w:r w:rsidRPr="00132EE6">
        <w:t>Vp</w:t>
      </w:r>
      <w:proofErr w:type="spellEnd"/>
      <w:r w:rsidR="009E6C8F">
        <w:t>)</w:t>
      </w:r>
      <w:r w:rsidRPr="00132EE6">
        <w:t xml:space="preserve">, </w:t>
      </w:r>
      <w:proofErr w:type="spellStart"/>
      <w:r w:rsidRPr="00132EE6">
        <w:t>ka</w:t>
      </w:r>
      <w:proofErr w:type="spellEnd"/>
      <w:r w:rsidRPr="00132EE6">
        <w:t xml:space="preserve"> and </w:t>
      </w:r>
      <w:proofErr w:type="spellStart"/>
      <w:r w:rsidRPr="00132EE6">
        <w:t>T</w:t>
      </w:r>
      <w:r w:rsidRPr="00CE0E69">
        <w:rPr>
          <w:vertAlign w:val="subscript"/>
        </w:rPr>
        <w:t>lag</w:t>
      </w:r>
      <w:proofErr w:type="spellEnd"/>
      <w:r w:rsidRPr="00132EE6">
        <w:t>. Estimated CL/F for females was 35.6% lower, at 21.2 L/h</w:t>
      </w:r>
      <w:r w:rsidR="00CE0E69">
        <w:t>our</w:t>
      </w:r>
      <w:r w:rsidRPr="00132EE6">
        <w:t xml:space="preserve">. Estimated </w:t>
      </w:r>
      <w:proofErr w:type="spellStart"/>
      <w:r w:rsidRPr="00132EE6">
        <w:t>Vc</w:t>
      </w:r>
      <w:proofErr w:type="spellEnd"/>
      <w:r w:rsidRPr="00132EE6">
        <w:t>/F was 19.3% higher for cirrhotic compared to non-cirrhotic subjects.</w:t>
      </w:r>
    </w:p>
    <w:p w:rsidR="00096602" w:rsidRPr="00132EE6" w:rsidRDefault="00096602" w:rsidP="008A29CC">
      <w:pPr>
        <w:pStyle w:val="ListBullet"/>
        <w:rPr>
          <w:lang w:eastAsia="ja-JP"/>
        </w:rPr>
      </w:pPr>
      <w:r w:rsidRPr="00132EE6">
        <w:t>The plasma</w:t>
      </w:r>
      <w:r w:rsidRPr="00132EE6">
        <w:rPr>
          <w:rFonts w:eastAsia="TimesNewRoman"/>
        </w:rPr>
        <w:t xml:space="preserve"> PKs</w:t>
      </w:r>
      <w:r w:rsidR="00CE0E69">
        <w:rPr>
          <w:rFonts w:eastAsia="TimesNewRoman"/>
        </w:rPr>
        <w:t xml:space="preserve"> of VOX were described by a two </w:t>
      </w:r>
      <w:r w:rsidRPr="00132EE6">
        <w:rPr>
          <w:rFonts w:eastAsia="TimesNewRoman"/>
        </w:rPr>
        <w:t>compartment model with first order absorption, first order elimination from the central compartment and an absorption lag time</w:t>
      </w:r>
      <w:r w:rsidRPr="00132EE6">
        <w:rPr>
          <w:rFonts w:eastAsia="TimesNewRoman"/>
          <w:bCs/>
        </w:rPr>
        <w:t xml:space="preserve">. </w:t>
      </w:r>
      <w:r w:rsidRPr="00132EE6">
        <w:rPr>
          <w:rFonts w:eastAsia="TimesNewRoman"/>
        </w:rPr>
        <w:t xml:space="preserve">The PK model was parameterised in CL, </w:t>
      </w:r>
      <w:proofErr w:type="spellStart"/>
      <w:proofErr w:type="gramStart"/>
      <w:r w:rsidRPr="00132EE6">
        <w:rPr>
          <w:rFonts w:eastAsia="TimesNewRoman"/>
        </w:rPr>
        <w:t>Vc</w:t>
      </w:r>
      <w:proofErr w:type="spellEnd"/>
      <w:proofErr w:type="gramEnd"/>
      <w:r w:rsidRPr="00132EE6">
        <w:rPr>
          <w:rFonts w:eastAsia="TimesNewRoman"/>
        </w:rPr>
        <w:t xml:space="preserve">, Q, </w:t>
      </w:r>
      <w:proofErr w:type="spellStart"/>
      <w:r w:rsidRPr="00132EE6">
        <w:rPr>
          <w:rFonts w:eastAsia="TimesNewRoman"/>
        </w:rPr>
        <w:t>Vp</w:t>
      </w:r>
      <w:proofErr w:type="spellEnd"/>
      <w:r w:rsidRPr="00132EE6">
        <w:rPr>
          <w:rFonts w:eastAsia="TimesNewRoman"/>
        </w:rPr>
        <w:t xml:space="preserve">, </w:t>
      </w:r>
      <w:proofErr w:type="spellStart"/>
      <w:r w:rsidRPr="00132EE6">
        <w:rPr>
          <w:rFonts w:eastAsia="TimesNewRoman"/>
        </w:rPr>
        <w:t>ka</w:t>
      </w:r>
      <w:proofErr w:type="spellEnd"/>
      <w:r w:rsidRPr="00132EE6">
        <w:rPr>
          <w:rFonts w:eastAsia="TimesNewRoman"/>
        </w:rPr>
        <w:t xml:space="preserve"> and </w:t>
      </w:r>
      <w:proofErr w:type="spellStart"/>
      <w:r w:rsidRPr="00132EE6">
        <w:rPr>
          <w:rFonts w:eastAsia="TimesNewRoman"/>
        </w:rPr>
        <w:t>T</w:t>
      </w:r>
      <w:r w:rsidRPr="00CE0E69">
        <w:rPr>
          <w:rFonts w:eastAsia="TimesNewRoman"/>
          <w:vertAlign w:val="subscript"/>
        </w:rPr>
        <w:t>lag</w:t>
      </w:r>
      <w:proofErr w:type="spellEnd"/>
      <w:r w:rsidRPr="00132EE6">
        <w:rPr>
          <w:rFonts w:eastAsia="TimesNewRoman"/>
        </w:rPr>
        <w:t>. Estimated CL/F for subjects with cirrhosis, females, or subjects on calcium channel blockers were 42.6%, 10.6%</w:t>
      </w:r>
      <w:r>
        <w:rPr>
          <w:rFonts w:eastAsia="TimesNewRoman"/>
        </w:rPr>
        <w:t xml:space="preserve"> and</w:t>
      </w:r>
      <w:r w:rsidRPr="00132EE6">
        <w:rPr>
          <w:rFonts w:eastAsia="TimesNewRoman"/>
        </w:rPr>
        <w:t xml:space="preserve"> 13.8% lower than the typical subject. Estimated </w:t>
      </w:r>
      <w:proofErr w:type="spellStart"/>
      <w:r w:rsidRPr="00132EE6">
        <w:rPr>
          <w:rFonts w:eastAsia="TimesNewRoman"/>
        </w:rPr>
        <w:t>Vc</w:t>
      </w:r>
      <w:proofErr w:type="spellEnd"/>
      <w:r w:rsidRPr="00132EE6">
        <w:rPr>
          <w:rFonts w:eastAsia="TimesNewRoman"/>
        </w:rPr>
        <w:t>/F for subjects with cirrhosis was 44.7% lower than non-cirrhotic subjects.</w:t>
      </w:r>
    </w:p>
    <w:p w:rsidR="00096602" w:rsidRPr="00EC7138" w:rsidRDefault="00096602" w:rsidP="00096602">
      <w:pPr>
        <w:pStyle w:val="Heading5"/>
      </w:pPr>
      <w:r w:rsidRPr="00EC7138">
        <w:t>Pharmacokinetic interactions</w:t>
      </w:r>
    </w:p>
    <w:p w:rsidR="00096602" w:rsidRPr="00B75263" w:rsidRDefault="00096602" w:rsidP="00096602">
      <w:pPr>
        <w:pStyle w:val="Heading6"/>
        <w:rPr>
          <w:rFonts w:eastAsia="TimesNewRoman"/>
        </w:rPr>
      </w:pPr>
      <w:r w:rsidRPr="00B75263">
        <w:rPr>
          <w:rFonts w:eastAsia="TimesNewRoman"/>
        </w:rPr>
        <w:t>D</w:t>
      </w:r>
      <w:r w:rsidR="00CE0E69">
        <w:rPr>
          <w:rFonts w:eastAsia="TimesNewRoman"/>
        </w:rPr>
        <w:t>rug-</w:t>
      </w:r>
      <w:r w:rsidR="00043F9D">
        <w:rPr>
          <w:rFonts w:eastAsia="TimesNewRoman"/>
        </w:rPr>
        <w:t>drug i</w:t>
      </w:r>
      <w:r w:rsidR="00CE0E69">
        <w:rPr>
          <w:rFonts w:eastAsia="TimesNewRoman"/>
        </w:rPr>
        <w:t>nteraction (DDI)</w:t>
      </w:r>
      <w:r w:rsidRPr="00B75263">
        <w:rPr>
          <w:rFonts w:eastAsia="TimesNewRoman"/>
        </w:rPr>
        <w:t xml:space="preserve"> between the active components of </w:t>
      </w:r>
      <w:r w:rsidR="00476CD0">
        <w:rPr>
          <w:rFonts w:eastAsia="TimesNewRoman"/>
        </w:rPr>
        <w:t>Vosevi</w:t>
      </w:r>
    </w:p>
    <w:p w:rsidR="00096602" w:rsidRPr="00132EE6" w:rsidRDefault="00096602" w:rsidP="00096602">
      <w:pPr>
        <w:rPr>
          <w:rFonts w:asciiTheme="minorHAnsi" w:eastAsia="TimesNewRoman" w:hAnsiTheme="minorHAnsi"/>
        </w:rPr>
      </w:pPr>
      <w:r w:rsidRPr="00132EE6">
        <w:rPr>
          <w:rFonts w:asciiTheme="minorHAnsi" w:eastAsia="TimesNewRoman" w:hAnsiTheme="minorHAnsi"/>
        </w:rPr>
        <w:t xml:space="preserve">Co-administration of VOX with SOF/VEL FDC resulted in 63%, 72% and 41% reduction in VOX </w:t>
      </w:r>
      <w:proofErr w:type="spellStart"/>
      <w:r w:rsidRPr="00132EE6">
        <w:rPr>
          <w:rFonts w:asciiTheme="minorHAnsi" w:eastAsia="TimesNewRoman" w:hAnsiTheme="minorHAnsi"/>
        </w:rPr>
        <w:t>AUC</w:t>
      </w:r>
      <w:r w:rsidRPr="00132EE6">
        <w:rPr>
          <w:rFonts w:asciiTheme="minorHAnsi" w:eastAsia="TimesNewRoman" w:hAnsiTheme="minorHAnsi"/>
          <w:vertAlign w:val="subscript"/>
        </w:rPr>
        <w:t>tau</w:t>
      </w:r>
      <w:proofErr w:type="spellEnd"/>
      <w:r w:rsidRPr="00132EE6">
        <w:rPr>
          <w:rFonts w:asciiTheme="minorHAnsi" w:eastAsia="TimesNewRoman" w:hAnsiTheme="minorHAnsi"/>
        </w:rPr>
        <w:t xml:space="preserve">, </w:t>
      </w:r>
      <w:proofErr w:type="spellStart"/>
      <w:r w:rsidR="00CE0E69" w:rsidRPr="00132EE6">
        <w:t>C</w:t>
      </w:r>
      <w:r w:rsidR="00CE0E69" w:rsidRPr="00CE0E69">
        <w:rPr>
          <w:vertAlign w:val="subscript"/>
        </w:rPr>
        <w:t>max</w:t>
      </w:r>
      <w:proofErr w:type="spellEnd"/>
      <w:r w:rsidR="00CE0E69" w:rsidRPr="00CE0E69">
        <w:t xml:space="preserve"> </w:t>
      </w:r>
      <w:r>
        <w:rPr>
          <w:rFonts w:asciiTheme="minorHAnsi" w:eastAsia="TimesNewRoman" w:hAnsiTheme="minorHAnsi"/>
        </w:rPr>
        <w:t>and</w:t>
      </w:r>
      <w:r w:rsidRPr="00132EE6">
        <w:rPr>
          <w:rFonts w:asciiTheme="minorHAnsi" w:eastAsia="TimesNewRoman" w:hAnsiTheme="minorHAnsi"/>
        </w:rPr>
        <w:t xml:space="preserve"> </w:t>
      </w:r>
      <w:proofErr w:type="spellStart"/>
      <w:r w:rsidRPr="00132EE6">
        <w:rPr>
          <w:rFonts w:asciiTheme="minorHAnsi" w:eastAsia="TimesNewRoman" w:hAnsiTheme="minorHAnsi"/>
        </w:rPr>
        <w:t>C</w:t>
      </w:r>
      <w:r w:rsidRPr="00132EE6">
        <w:rPr>
          <w:rFonts w:asciiTheme="minorHAnsi" w:eastAsia="TimesNewRoman" w:hAnsiTheme="minorHAnsi"/>
          <w:vertAlign w:val="subscript"/>
        </w:rPr>
        <w:t>tau</w:t>
      </w:r>
      <w:proofErr w:type="spellEnd"/>
      <w:r w:rsidRPr="00132EE6">
        <w:rPr>
          <w:rFonts w:asciiTheme="minorHAnsi" w:eastAsia="TimesNewRoman" w:hAnsiTheme="minorHAnsi"/>
        </w:rPr>
        <w:t>, respectively, whereas, there was no change in SOF, GS-566500, GS-331007 or VEL exposure.</w:t>
      </w:r>
    </w:p>
    <w:p w:rsidR="00096602" w:rsidRPr="00B75263" w:rsidRDefault="00096602" w:rsidP="00096602">
      <w:pPr>
        <w:pStyle w:val="Heading6"/>
        <w:rPr>
          <w:rFonts w:eastAsia="TimesNewRoman"/>
        </w:rPr>
      </w:pPr>
      <w:r w:rsidRPr="00B75263">
        <w:rPr>
          <w:rFonts w:eastAsia="TimesNewRoman"/>
        </w:rPr>
        <w:t xml:space="preserve">Effects of other drugs on the PKs of one or more of the active components of </w:t>
      </w:r>
      <w:r w:rsidR="00476CD0">
        <w:rPr>
          <w:rFonts w:eastAsia="TimesNewRoman"/>
        </w:rPr>
        <w:t>Vosevi</w:t>
      </w:r>
    </w:p>
    <w:p w:rsidR="00096602" w:rsidRPr="00132EE6" w:rsidRDefault="00096602" w:rsidP="00096602">
      <w:pPr>
        <w:pStyle w:val="ListBullet"/>
        <w:rPr>
          <w:rFonts w:cstheme="minorHAnsi"/>
        </w:rPr>
      </w:pPr>
      <w:r w:rsidRPr="0050775E">
        <w:t>When the gastric inhibitor omeprazole 20</w:t>
      </w:r>
      <w:r w:rsidR="00AA5E62">
        <w:t xml:space="preserve"> mg</w:t>
      </w:r>
      <w:r w:rsidRPr="0050775E">
        <w:t xml:space="preserve"> was administered either 2</w:t>
      </w:r>
      <w:r w:rsidR="00CE0E69">
        <w:t xml:space="preserve"> hours </w:t>
      </w:r>
      <w:r w:rsidRPr="0050775E">
        <w:t>prior or 4</w:t>
      </w:r>
      <w:r w:rsidR="00CE0E69">
        <w:t xml:space="preserve"> hours </w:t>
      </w:r>
      <w:r w:rsidRPr="0050775E">
        <w:t xml:space="preserve">after </w:t>
      </w:r>
      <w:r w:rsidR="00476CD0">
        <w:t>Vosevi</w:t>
      </w:r>
      <w:r w:rsidRPr="0050775E">
        <w:t xml:space="preserve"> exposure to SOF and VOX were unchanged,</w:t>
      </w:r>
      <w:r w:rsidRPr="00132EE6">
        <w:rPr>
          <w:rFonts w:cstheme="minorHAnsi"/>
        </w:rPr>
        <w:t xml:space="preserve"> whereas, VEL AUC and </w:t>
      </w:r>
      <w:proofErr w:type="spellStart"/>
      <w:r w:rsidR="00CE0E69" w:rsidRPr="00132EE6">
        <w:t>C</w:t>
      </w:r>
      <w:r w:rsidR="00CE0E69" w:rsidRPr="00CE0E69">
        <w:rPr>
          <w:vertAlign w:val="subscript"/>
        </w:rPr>
        <w:t>max</w:t>
      </w:r>
      <w:proofErr w:type="spellEnd"/>
      <w:r w:rsidR="00CE0E69" w:rsidRPr="00CE0E69">
        <w:t xml:space="preserve"> </w:t>
      </w:r>
      <w:r w:rsidRPr="00132EE6">
        <w:rPr>
          <w:rFonts w:cstheme="minorHAnsi"/>
        </w:rPr>
        <w:t xml:space="preserve">were 54% and 57% lower, respectively, when omeprazole was administered prior to </w:t>
      </w:r>
      <w:r w:rsidR="00476CD0">
        <w:rPr>
          <w:rFonts w:cstheme="minorHAnsi"/>
        </w:rPr>
        <w:t>Vosevi</w:t>
      </w:r>
      <w:r w:rsidRPr="00132EE6">
        <w:rPr>
          <w:rFonts w:cstheme="minorHAnsi"/>
        </w:rPr>
        <w:t xml:space="preserve"> and 51% lower when omeprazole was administered after </w:t>
      </w:r>
      <w:r w:rsidR="00476CD0">
        <w:rPr>
          <w:rFonts w:cstheme="minorHAnsi"/>
        </w:rPr>
        <w:t>Vosevi</w:t>
      </w:r>
      <w:r w:rsidRPr="00132EE6">
        <w:rPr>
          <w:rFonts w:cstheme="minorHAnsi"/>
        </w:rPr>
        <w:t>.</w:t>
      </w:r>
    </w:p>
    <w:p w:rsidR="00096602" w:rsidRPr="00132EE6" w:rsidRDefault="00096602" w:rsidP="00096602">
      <w:pPr>
        <w:pStyle w:val="ListBullet"/>
      </w:pPr>
      <w:r w:rsidRPr="00132EE6">
        <w:t xml:space="preserve">Following co-administration with DRV/r, VOX mean </w:t>
      </w:r>
      <w:proofErr w:type="spellStart"/>
      <w:r w:rsidRPr="00132EE6">
        <w:t>AUC</w:t>
      </w:r>
      <w:r w:rsidRPr="00132EE6">
        <w:rPr>
          <w:vertAlign w:val="subscript"/>
        </w:rPr>
        <w:t>inf</w:t>
      </w:r>
      <w:proofErr w:type="spellEnd"/>
      <w:r w:rsidRPr="00132EE6">
        <w:rPr>
          <w:vertAlign w:val="subscript"/>
        </w:rPr>
        <w:t xml:space="preserve"> </w:t>
      </w:r>
      <w:r w:rsidRPr="00132EE6">
        <w:t xml:space="preserve">and </w:t>
      </w:r>
      <w:proofErr w:type="spellStart"/>
      <w:r w:rsidR="00CE0E69" w:rsidRPr="00132EE6">
        <w:t>C</w:t>
      </w:r>
      <w:r w:rsidR="00CE0E69" w:rsidRPr="00CE0E69">
        <w:rPr>
          <w:vertAlign w:val="subscript"/>
        </w:rPr>
        <w:t>max</w:t>
      </w:r>
      <w:proofErr w:type="spellEnd"/>
      <w:r w:rsidR="00CE0E69" w:rsidRPr="00CE0E69">
        <w:t xml:space="preserve"> </w:t>
      </w:r>
      <w:r w:rsidRPr="00132EE6">
        <w:t xml:space="preserve">were 57% and 25% higher, respectively, relative to </w:t>
      </w:r>
      <w:r w:rsidR="00476CD0">
        <w:t>Vosevi</w:t>
      </w:r>
      <w:r w:rsidRPr="00132EE6">
        <w:t xml:space="preserve"> alone, whereas, the PKs of VEL, SOF, GS</w:t>
      </w:r>
      <w:r w:rsidR="00043F9D">
        <w:noBreakHyphen/>
      </w:r>
      <w:r w:rsidRPr="00132EE6">
        <w:t>566500 and GS-331007 were not affected.</w:t>
      </w:r>
    </w:p>
    <w:p w:rsidR="00476CD0" w:rsidRDefault="00096602" w:rsidP="00096602">
      <w:pPr>
        <w:pStyle w:val="ListBullet"/>
      </w:pPr>
      <w:r w:rsidRPr="00132EE6">
        <w:t xml:space="preserve">Following co-administration with </w:t>
      </w:r>
      <w:r w:rsidR="00AC3806">
        <w:t xml:space="preserve">ritonavir-boosted </w:t>
      </w:r>
      <w:proofErr w:type="spellStart"/>
      <w:r w:rsidR="00AC3806">
        <w:t>atazanavir</w:t>
      </w:r>
      <w:proofErr w:type="spellEnd"/>
      <w:r w:rsidR="00AC3806" w:rsidRPr="00132EE6">
        <w:t xml:space="preserve"> </w:t>
      </w:r>
      <w:r w:rsidR="00AC3806">
        <w:t>(</w:t>
      </w:r>
      <w:r w:rsidRPr="00132EE6">
        <w:t>ATV/r</w:t>
      </w:r>
      <w:r w:rsidR="00AC3806">
        <w:t>)</w:t>
      </w:r>
      <w:r w:rsidRPr="00132EE6">
        <w:t xml:space="preserve">, the </w:t>
      </w:r>
      <w:proofErr w:type="spellStart"/>
      <w:r w:rsidRPr="00132EE6">
        <w:t>AUC</w:t>
      </w:r>
      <w:r>
        <w:rPr>
          <w:vertAlign w:val="subscript"/>
        </w:rPr>
        <w:t>inf</w:t>
      </w:r>
      <w:proofErr w:type="spellEnd"/>
      <w:r w:rsidRPr="00132EE6">
        <w:t xml:space="preserve"> values for VOX, VEL and SOF were 331%, 93% and 40% higher, respectively, than when </w:t>
      </w:r>
      <w:r w:rsidR="00476CD0">
        <w:t>Vosevi</w:t>
      </w:r>
      <w:r w:rsidRPr="00132EE6">
        <w:t xml:space="preserve"> was given alone</w:t>
      </w:r>
      <w:r w:rsidR="00476CD0">
        <w:t>.</w:t>
      </w:r>
    </w:p>
    <w:p w:rsidR="00476CD0" w:rsidRDefault="00096602" w:rsidP="00096602">
      <w:pPr>
        <w:pStyle w:val="ListBullet"/>
      </w:pPr>
      <w:r w:rsidRPr="00132EE6">
        <w:lastRenderedPageBreak/>
        <w:t xml:space="preserve">Following co-administration with EVG/c, the </w:t>
      </w:r>
      <w:proofErr w:type="spellStart"/>
      <w:r w:rsidRPr="00132EE6">
        <w:t>AUC</w:t>
      </w:r>
      <w:r>
        <w:rPr>
          <w:vertAlign w:val="subscript"/>
        </w:rPr>
        <w:t>inf</w:t>
      </w:r>
      <w:proofErr w:type="spellEnd"/>
      <w:r w:rsidRPr="00132EE6">
        <w:t xml:space="preserve"> values for VOX, VEL and SOF increased by 36%, 30% and 31%, respectively, whereas, there were no changes in </w:t>
      </w:r>
      <w:proofErr w:type="spellStart"/>
      <w:r w:rsidRPr="00132EE6">
        <w:t>C</w:t>
      </w:r>
      <w:r w:rsidRPr="00CE0E69">
        <w:rPr>
          <w:vertAlign w:val="subscript"/>
        </w:rPr>
        <w:t>max</w:t>
      </w:r>
      <w:proofErr w:type="spellEnd"/>
      <w:r w:rsidR="00476CD0">
        <w:t>.</w:t>
      </w:r>
    </w:p>
    <w:p w:rsidR="00476CD0" w:rsidRDefault="00096602" w:rsidP="00096602">
      <w:pPr>
        <w:pStyle w:val="ListBullet"/>
        <w:rPr>
          <w:rFonts w:cstheme="minorHAnsi"/>
        </w:rPr>
      </w:pPr>
      <w:r w:rsidRPr="00132EE6">
        <w:rPr>
          <w:rFonts w:cstheme="minorHAnsi"/>
        </w:rPr>
        <w:t xml:space="preserve">VOX </w:t>
      </w:r>
      <w:proofErr w:type="spellStart"/>
      <w:r w:rsidRPr="00132EE6">
        <w:rPr>
          <w:rFonts w:cstheme="minorHAnsi"/>
        </w:rPr>
        <w:t>AUC</w:t>
      </w:r>
      <w:r w:rsidRPr="00132EE6">
        <w:rPr>
          <w:rFonts w:cstheme="minorHAnsi"/>
          <w:vertAlign w:val="subscript"/>
        </w:rPr>
        <w:t>tau</w:t>
      </w:r>
      <w:proofErr w:type="spellEnd"/>
      <w:r w:rsidRPr="00132EE6">
        <w:rPr>
          <w:rFonts w:cstheme="minorHAnsi"/>
        </w:rPr>
        <w:t xml:space="preserve">, </w:t>
      </w:r>
      <w:proofErr w:type="spellStart"/>
      <w:r w:rsidR="00CE0E69" w:rsidRPr="00132EE6">
        <w:t>C</w:t>
      </w:r>
      <w:r w:rsidR="00CE0E69" w:rsidRPr="00CE0E69">
        <w:rPr>
          <w:vertAlign w:val="subscript"/>
        </w:rPr>
        <w:t>max</w:t>
      </w:r>
      <w:proofErr w:type="spellEnd"/>
      <w:r w:rsidR="00CE0E69" w:rsidRPr="00CE0E69">
        <w:t xml:space="preserve"> </w:t>
      </w:r>
      <w:r>
        <w:rPr>
          <w:rFonts w:cstheme="minorHAnsi"/>
        </w:rPr>
        <w:t>and</w:t>
      </w:r>
      <w:r w:rsidRPr="00132EE6">
        <w:rPr>
          <w:rFonts w:cstheme="minorHAnsi"/>
        </w:rPr>
        <w:t xml:space="preserve"> </w:t>
      </w:r>
      <w:proofErr w:type="spellStart"/>
      <w:r w:rsidRPr="00132EE6">
        <w:rPr>
          <w:rFonts w:cstheme="minorHAnsi"/>
        </w:rPr>
        <w:t>C</w:t>
      </w:r>
      <w:r w:rsidRPr="00132EE6">
        <w:rPr>
          <w:rFonts w:cstheme="minorHAnsi"/>
          <w:vertAlign w:val="subscript"/>
        </w:rPr>
        <w:t>tau</w:t>
      </w:r>
      <w:proofErr w:type="spellEnd"/>
      <w:r w:rsidRPr="00132EE6">
        <w:rPr>
          <w:rFonts w:cstheme="minorHAnsi"/>
        </w:rPr>
        <w:t xml:space="preserve"> were 171%, 92%</w:t>
      </w:r>
      <w:r>
        <w:rPr>
          <w:rFonts w:cstheme="minorHAnsi"/>
        </w:rPr>
        <w:t xml:space="preserve"> and</w:t>
      </w:r>
      <w:r w:rsidRPr="00132EE6">
        <w:rPr>
          <w:rFonts w:cstheme="minorHAnsi"/>
        </w:rPr>
        <w:t xml:space="preserve"> 350% higher, respectively, following administration of </w:t>
      </w:r>
      <w:proofErr w:type="spellStart"/>
      <w:r w:rsidR="00476CD0">
        <w:rPr>
          <w:rFonts w:cstheme="minorHAnsi"/>
        </w:rPr>
        <w:t>Vosevi</w:t>
      </w:r>
      <w:r w:rsidRPr="00132EE6">
        <w:rPr>
          <w:rFonts w:cstheme="minorHAnsi"/>
        </w:rPr>
        <w:t>+VOX</w:t>
      </w:r>
      <w:proofErr w:type="spellEnd"/>
      <w:r w:rsidRPr="00132EE6">
        <w:rPr>
          <w:rFonts w:cstheme="minorHAnsi"/>
        </w:rPr>
        <w:t xml:space="preserve"> with EVG/COBI/FTC/TAF compared with </w:t>
      </w:r>
      <w:proofErr w:type="spellStart"/>
      <w:r w:rsidR="00476CD0">
        <w:rPr>
          <w:rFonts w:cstheme="minorHAnsi"/>
        </w:rPr>
        <w:t>Vosevi</w:t>
      </w:r>
      <w:r w:rsidRPr="00132EE6">
        <w:rPr>
          <w:rFonts w:cstheme="minorHAnsi"/>
        </w:rPr>
        <w:t>+VOX</w:t>
      </w:r>
      <w:proofErr w:type="spellEnd"/>
      <w:r w:rsidRPr="00132EE6">
        <w:rPr>
          <w:rFonts w:cstheme="minorHAnsi"/>
        </w:rPr>
        <w:t xml:space="preserve"> alone. VEL </w:t>
      </w:r>
      <w:proofErr w:type="spellStart"/>
      <w:r w:rsidRPr="00132EE6">
        <w:rPr>
          <w:rFonts w:cstheme="minorHAnsi"/>
        </w:rPr>
        <w:t>AUC</w:t>
      </w:r>
      <w:r w:rsidRPr="00132EE6">
        <w:rPr>
          <w:rFonts w:cstheme="minorHAnsi"/>
          <w:vertAlign w:val="subscript"/>
        </w:rPr>
        <w:t>tau</w:t>
      </w:r>
      <w:proofErr w:type="spellEnd"/>
      <w:r w:rsidRPr="00132EE6">
        <w:rPr>
          <w:rFonts w:cstheme="minorHAnsi"/>
        </w:rPr>
        <w:t xml:space="preserve"> and </w:t>
      </w:r>
      <w:proofErr w:type="spellStart"/>
      <w:r w:rsidR="00CE0E69" w:rsidRPr="00132EE6">
        <w:t>C</w:t>
      </w:r>
      <w:r w:rsidR="00CE0E69" w:rsidRPr="00CE0E69">
        <w:rPr>
          <w:vertAlign w:val="subscript"/>
        </w:rPr>
        <w:t>max</w:t>
      </w:r>
      <w:proofErr w:type="spellEnd"/>
      <w:r w:rsidR="00CE0E69" w:rsidRPr="00CE0E69">
        <w:t xml:space="preserve"> </w:t>
      </w:r>
      <w:r w:rsidRPr="00132EE6">
        <w:rPr>
          <w:rFonts w:cstheme="minorHAnsi"/>
        </w:rPr>
        <w:t xml:space="preserve">were unchanged and </w:t>
      </w:r>
      <w:proofErr w:type="spellStart"/>
      <w:r w:rsidRPr="00132EE6">
        <w:rPr>
          <w:rFonts w:cstheme="minorHAnsi"/>
        </w:rPr>
        <w:t>C</w:t>
      </w:r>
      <w:r w:rsidRPr="00132EE6">
        <w:rPr>
          <w:rFonts w:cstheme="minorHAnsi"/>
          <w:vertAlign w:val="subscript"/>
        </w:rPr>
        <w:t>tau</w:t>
      </w:r>
      <w:proofErr w:type="spellEnd"/>
      <w:r w:rsidRPr="00132EE6">
        <w:rPr>
          <w:rFonts w:cstheme="minorHAnsi"/>
        </w:rPr>
        <w:t xml:space="preserve"> was 46% higher following co-administration and SOF </w:t>
      </w:r>
      <w:proofErr w:type="spellStart"/>
      <w:r w:rsidRPr="00132EE6">
        <w:rPr>
          <w:rFonts w:cstheme="minorHAnsi"/>
        </w:rPr>
        <w:t>AUC</w:t>
      </w:r>
      <w:r w:rsidRPr="00132EE6">
        <w:rPr>
          <w:rFonts w:cstheme="minorHAnsi"/>
          <w:vertAlign w:val="subscript"/>
        </w:rPr>
        <w:t>tau</w:t>
      </w:r>
      <w:proofErr w:type="spellEnd"/>
      <w:r w:rsidRPr="00132EE6">
        <w:rPr>
          <w:rFonts w:cstheme="minorHAnsi"/>
        </w:rPr>
        <w:t xml:space="preserve"> was unchanged, while </w:t>
      </w:r>
      <w:proofErr w:type="spellStart"/>
      <w:r w:rsidR="00CE0E69" w:rsidRPr="00132EE6">
        <w:t>C</w:t>
      </w:r>
      <w:r w:rsidR="00CE0E69" w:rsidRPr="00CE0E69">
        <w:rPr>
          <w:vertAlign w:val="subscript"/>
        </w:rPr>
        <w:t>max</w:t>
      </w:r>
      <w:proofErr w:type="spellEnd"/>
      <w:r w:rsidR="00CE0E69" w:rsidRPr="00CE0E69">
        <w:t xml:space="preserve"> </w:t>
      </w:r>
      <w:r w:rsidRPr="00132EE6">
        <w:rPr>
          <w:rFonts w:cstheme="minorHAnsi"/>
        </w:rPr>
        <w:t>was 27% higher, following co-administration</w:t>
      </w:r>
      <w:r w:rsidR="00476CD0">
        <w:rPr>
          <w:rFonts w:cstheme="minorHAnsi"/>
        </w:rPr>
        <w:t>.</w:t>
      </w:r>
    </w:p>
    <w:p w:rsidR="00096602" w:rsidRDefault="00096602" w:rsidP="00096602">
      <w:pPr>
        <w:pStyle w:val="ListBullet"/>
        <w:rPr>
          <w:rFonts w:cstheme="minorHAnsi"/>
        </w:rPr>
      </w:pPr>
      <w:r w:rsidRPr="00132EE6">
        <w:rPr>
          <w:rFonts w:cstheme="minorHAnsi"/>
        </w:rPr>
        <w:t xml:space="preserve">Following co-administration with DRV+RTV+FTC/TDF, VOX </w:t>
      </w:r>
      <w:proofErr w:type="spellStart"/>
      <w:r w:rsidRPr="00132EE6">
        <w:rPr>
          <w:rFonts w:cstheme="minorHAnsi"/>
        </w:rPr>
        <w:t>AUC</w:t>
      </w:r>
      <w:r w:rsidRPr="00132EE6">
        <w:rPr>
          <w:rFonts w:cstheme="minorHAnsi"/>
          <w:vertAlign w:val="subscript"/>
        </w:rPr>
        <w:t>tau</w:t>
      </w:r>
      <w:proofErr w:type="spellEnd"/>
      <w:r w:rsidRPr="00132EE6">
        <w:rPr>
          <w:rFonts w:cstheme="minorHAnsi"/>
        </w:rPr>
        <w:t xml:space="preserve">, </w:t>
      </w:r>
      <w:proofErr w:type="spellStart"/>
      <w:r w:rsidR="00CE0E69" w:rsidRPr="00132EE6">
        <w:t>C</w:t>
      </w:r>
      <w:r w:rsidR="00CE0E69" w:rsidRPr="00CE0E69">
        <w:rPr>
          <w:vertAlign w:val="subscript"/>
        </w:rPr>
        <w:t>max</w:t>
      </w:r>
      <w:proofErr w:type="spellEnd"/>
      <w:r w:rsidR="00CE0E69" w:rsidRPr="00CE0E69">
        <w:t xml:space="preserve"> </w:t>
      </w:r>
      <w:r>
        <w:rPr>
          <w:rFonts w:cstheme="minorHAnsi"/>
        </w:rPr>
        <w:t>and</w:t>
      </w:r>
      <w:r w:rsidRPr="00132EE6">
        <w:rPr>
          <w:rFonts w:cstheme="minorHAnsi"/>
        </w:rPr>
        <w:t xml:space="preserve"> </w:t>
      </w:r>
      <w:proofErr w:type="spellStart"/>
      <w:r w:rsidRPr="00132EE6">
        <w:rPr>
          <w:rFonts w:cstheme="minorHAnsi"/>
        </w:rPr>
        <w:t>C</w:t>
      </w:r>
      <w:r w:rsidRPr="00132EE6">
        <w:rPr>
          <w:rFonts w:cstheme="minorHAnsi"/>
          <w:vertAlign w:val="subscript"/>
        </w:rPr>
        <w:t>tau</w:t>
      </w:r>
      <w:proofErr w:type="spellEnd"/>
      <w:r w:rsidRPr="00132EE6">
        <w:rPr>
          <w:rFonts w:cstheme="minorHAnsi"/>
        </w:rPr>
        <w:t xml:space="preserve"> were 143%, 72%</w:t>
      </w:r>
      <w:r>
        <w:rPr>
          <w:rFonts w:cstheme="minorHAnsi"/>
        </w:rPr>
        <w:t xml:space="preserve"> and</w:t>
      </w:r>
      <w:r w:rsidRPr="00132EE6">
        <w:rPr>
          <w:rFonts w:cstheme="minorHAnsi"/>
        </w:rPr>
        <w:t xml:space="preserve"> 300% higher, respectively, compared with </w:t>
      </w:r>
      <w:proofErr w:type="spellStart"/>
      <w:r w:rsidR="00476CD0">
        <w:rPr>
          <w:rFonts w:cstheme="minorHAnsi"/>
        </w:rPr>
        <w:t>Vosevi</w:t>
      </w:r>
      <w:r w:rsidRPr="00132EE6">
        <w:rPr>
          <w:rFonts w:cstheme="minorHAnsi"/>
        </w:rPr>
        <w:t>+VOX</w:t>
      </w:r>
      <w:proofErr w:type="spellEnd"/>
      <w:r w:rsidRPr="00132EE6">
        <w:rPr>
          <w:rFonts w:cstheme="minorHAnsi"/>
        </w:rPr>
        <w:t xml:space="preserve"> alone, whereas, there was no effect on SOF or VEL exposure.</w:t>
      </w:r>
    </w:p>
    <w:p w:rsidR="00476CD0" w:rsidRDefault="00096602" w:rsidP="00096602">
      <w:pPr>
        <w:pStyle w:val="ListBullet"/>
        <w:rPr>
          <w:rFonts w:cstheme="minorHAnsi"/>
        </w:rPr>
      </w:pPr>
      <w:r w:rsidRPr="00132EE6">
        <w:rPr>
          <w:rFonts w:cstheme="minorHAnsi"/>
        </w:rPr>
        <w:t xml:space="preserve">AUC and </w:t>
      </w:r>
      <w:proofErr w:type="spellStart"/>
      <w:r w:rsidR="00CE0E69" w:rsidRPr="00132EE6">
        <w:t>C</w:t>
      </w:r>
      <w:r w:rsidR="00CE0E69" w:rsidRPr="00CE0E69">
        <w:rPr>
          <w:vertAlign w:val="subscript"/>
        </w:rPr>
        <w:t>max</w:t>
      </w:r>
      <w:proofErr w:type="spellEnd"/>
      <w:r w:rsidR="00CE0E69" w:rsidRPr="00CE0E69">
        <w:t xml:space="preserve"> </w:t>
      </w:r>
      <w:r w:rsidRPr="00132EE6">
        <w:rPr>
          <w:rFonts w:cstheme="minorHAnsi"/>
        </w:rPr>
        <w:t>values for SOF, GS-566500, GS-331007, VEL, or VOX were unchanged following administration of SOF/VEL/VOX with famotidine 40</w:t>
      </w:r>
      <w:r w:rsidR="00AA5E62">
        <w:rPr>
          <w:rFonts w:cstheme="minorHAnsi"/>
        </w:rPr>
        <w:t xml:space="preserve"> mg</w:t>
      </w:r>
      <w:r w:rsidRPr="00132EE6">
        <w:rPr>
          <w:rFonts w:cstheme="minorHAnsi"/>
        </w:rPr>
        <w:t>, simultaneously or staggered by 12 h</w:t>
      </w:r>
      <w:r w:rsidR="00CE0E69">
        <w:rPr>
          <w:rFonts w:cstheme="minorHAnsi"/>
        </w:rPr>
        <w:t>ours</w:t>
      </w:r>
      <w:r w:rsidRPr="00132EE6">
        <w:rPr>
          <w:rFonts w:cstheme="minorHAnsi"/>
        </w:rPr>
        <w:t>, relative to SOF/VEL/VOX alone</w:t>
      </w:r>
      <w:r w:rsidR="00476CD0">
        <w:rPr>
          <w:rFonts w:cstheme="minorHAnsi"/>
        </w:rPr>
        <w:t>.</w:t>
      </w:r>
    </w:p>
    <w:p w:rsidR="00476CD0" w:rsidRDefault="00096602" w:rsidP="00096602">
      <w:pPr>
        <w:pStyle w:val="ListBullet"/>
        <w:rPr>
          <w:rFonts w:cstheme="minorHAnsi"/>
        </w:rPr>
      </w:pPr>
      <w:r w:rsidRPr="00132EE6">
        <w:rPr>
          <w:rFonts w:cstheme="minorHAnsi"/>
        </w:rPr>
        <w:t xml:space="preserve">Co-administration of </w:t>
      </w:r>
      <w:r w:rsidR="00476CD0">
        <w:rPr>
          <w:rFonts w:cstheme="minorHAnsi"/>
        </w:rPr>
        <w:t>Vosevi</w:t>
      </w:r>
      <w:r w:rsidRPr="00132EE6">
        <w:rPr>
          <w:rFonts w:cstheme="minorHAnsi"/>
        </w:rPr>
        <w:t xml:space="preserve"> + VOX with FTC/RPV/TAF had no effect on SOF, VEL or VOX exposure</w:t>
      </w:r>
      <w:r w:rsidR="00476CD0">
        <w:rPr>
          <w:rFonts w:cstheme="minorHAnsi"/>
        </w:rPr>
        <w:t>.</w:t>
      </w:r>
    </w:p>
    <w:p w:rsidR="00096602" w:rsidRPr="00132EE6" w:rsidRDefault="00096602" w:rsidP="00096602">
      <w:pPr>
        <w:pStyle w:val="ListBullet"/>
      </w:pPr>
      <w:r w:rsidRPr="00132EE6">
        <w:t>SOF, VEL and VOX exposure were similar in the presence and absence of BIC</w:t>
      </w:r>
      <w:r w:rsidRPr="00132EE6">
        <w:rPr>
          <w:rFonts w:cs="TimesNewRoman"/>
        </w:rPr>
        <w:t xml:space="preserve">/FTC/TAF or a hormonal </w:t>
      </w:r>
      <w:r w:rsidRPr="00132EE6">
        <w:t>contraceptive containing NGM and EE.</w:t>
      </w:r>
      <w:r w:rsidR="00AC3806">
        <w:rPr>
          <w:rStyle w:val="FootnoteReference"/>
        </w:rPr>
        <w:footnoteReference w:id="41"/>
      </w:r>
    </w:p>
    <w:p w:rsidR="00096602" w:rsidRPr="00B75263" w:rsidRDefault="00096602" w:rsidP="00096602">
      <w:pPr>
        <w:pStyle w:val="Heading6"/>
        <w:rPr>
          <w:rFonts w:eastAsia="TimesNewRoman"/>
        </w:rPr>
      </w:pPr>
      <w:r w:rsidRPr="00B75263">
        <w:rPr>
          <w:rFonts w:eastAsia="TimesNewRoman"/>
        </w:rPr>
        <w:t xml:space="preserve">Effects of </w:t>
      </w:r>
      <w:r w:rsidR="00476CD0">
        <w:rPr>
          <w:rFonts w:eastAsia="TimesNewRoman"/>
        </w:rPr>
        <w:t>Vosevi</w:t>
      </w:r>
      <w:r w:rsidRPr="00B75263">
        <w:rPr>
          <w:rFonts w:eastAsia="TimesNewRoman"/>
        </w:rPr>
        <w:t xml:space="preserve"> on the PKs of other drugs</w:t>
      </w:r>
    </w:p>
    <w:p w:rsidR="00476CD0" w:rsidRDefault="00096602" w:rsidP="00096602">
      <w:pPr>
        <w:pStyle w:val="ListBullet"/>
      </w:pPr>
      <w:r>
        <w:t>C</w:t>
      </w:r>
      <w:r w:rsidRPr="00132EE6">
        <w:t xml:space="preserve">o-administration </w:t>
      </w:r>
      <w:r>
        <w:t>of</w:t>
      </w:r>
      <w:r w:rsidRPr="00132EE6">
        <w:t xml:space="preserve"> </w:t>
      </w:r>
      <w:r w:rsidR="00476CD0">
        <w:t>Vosevi</w:t>
      </w:r>
      <w:r w:rsidRPr="00132EE6">
        <w:t xml:space="preserve"> </w:t>
      </w:r>
      <w:r>
        <w:t xml:space="preserve">with </w:t>
      </w:r>
      <w:r w:rsidR="00F64A30">
        <w:t>pravastatin</w:t>
      </w:r>
      <w:r w:rsidR="00F64A30" w:rsidRPr="00132EE6">
        <w:t xml:space="preserve"> </w:t>
      </w:r>
      <w:r w:rsidR="00F64A30">
        <w:t>(</w:t>
      </w:r>
      <w:r w:rsidRPr="00132EE6">
        <w:t>PRA</w:t>
      </w:r>
      <w:r w:rsidR="00F64A30">
        <w:t>)</w:t>
      </w:r>
      <w:r w:rsidRPr="00132EE6">
        <w:t>, an OATP substrate</w:t>
      </w:r>
      <w:r>
        <w:t xml:space="preserve">, reduced PRA </w:t>
      </w:r>
      <w:proofErr w:type="spellStart"/>
      <w:r w:rsidR="00CE0E69" w:rsidRPr="00132EE6">
        <w:t>C</w:t>
      </w:r>
      <w:r w:rsidR="00CE0E69" w:rsidRPr="00CE0E69">
        <w:rPr>
          <w:vertAlign w:val="subscript"/>
        </w:rPr>
        <w:t>max</w:t>
      </w:r>
      <w:proofErr w:type="spellEnd"/>
      <w:r w:rsidR="00CE0E69" w:rsidRPr="00CE0E69">
        <w:t xml:space="preserve"> </w:t>
      </w:r>
      <w:r>
        <w:t xml:space="preserve">and </w:t>
      </w:r>
      <w:proofErr w:type="spellStart"/>
      <w:r>
        <w:t>AUC</w:t>
      </w:r>
      <w:r>
        <w:rPr>
          <w:vertAlign w:val="subscript"/>
        </w:rPr>
        <w:t>inf</w:t>
      </w:r>
      <w:proofErr w:type="spellEnd"/>
      <w:r>
        <w:t xml:space="preserve"> by 89% and 116%, respectively</w:t>
      </w:r>
      <w:r w:rsidR="00476CD0">
        <w:t>.</w:t>
      </w:r>
    </w:p>
    <w:p w:rsidR="00476CD0" w:rsidRDefault="00096602" w:rsidP="00096602">
      <w:pPr>
        <w:pStyle w:val="ListBullet"/>
      </w:pPr>
      <w:r>
        <w:t>C</w:t>
      </w:r>
      <w:r w:rsidRPr="00132EE6">
        <w:t xml:space="preserve">o-administration </w:t>
      </w:r>
      <w:r>
        <w:t>of</w:t>
      </w:r>
      <w:r w:rsidRPr="00132EE6">
        <w:t xml:space="preserve"> </w:t>
      </w:r>
      <w:r w:rsidR="00476CD0">
        <w:t>Vosevi</w:t>
      </w:r>
      <w:r w:rsidRPr="00132EE6">
        <w:t xml:space="preserve">, </w:t>
      </w:r>
      <w:r>
        <w:t xml:space="preserve">with </w:t>
      </w:r>
      <w:r w:rsidR="009E6C8F">
        <w:t>rosuvastatin</w:t>
      </w:r>
      <w:r w:rsidR="009E6C8F" w:rsidRPr="00132EE6">
        <w:t xml:space="preserve"> </w:t>
      </w:r>
      <w:r w:rsidR="009E6C8F">
        <w:t>(</w:t>
      </w:r>
      <w:r w:rsidRPr="00132EE6">
        <w:t>ROSU</w:t>
      </w:r>
      <w:r w:rsidR="009E6C8F">
        <w:t>)</w:t>
      </w:r>
      <w:r w:rsidRPr="00132EE6">
        <w:t>, an OATP/BCRP substrate</w:t>
      </w:r>
      <w:r>
        <w:t xml:space="preserve">, resulted in a </w:t>
      </w:r>
      <w:r w:rsidRPr="00132EE6">
        <w:t>639% and 1788%</w:t>
      </w:r>
      <w:r>
        <w:t xml:space="preserve"> increase in ROSU </w:t>
      </w:r>
      <w:proofErr w:type="spellStart"/>
      <w:r>
        <w:t>AUC</w:t>
      </w:r>
      <w:r>
        <w:rPr>
          <w:vertAlign w:val="subscript"/>
        </w:rPr>
        <w:t>inf</w:t>
      </w:r>
      <w:proofErr w:type="spellEnd"/>
      <w:r>
        <w:t xml:space="preserve"> and </w:t>
      </w:r>
      <w:proofErr w:type="spellStart"/>
      <w:r>
        <w:t>C</w:t>
      </w:r>
      <w:r w:rsidRPr="00CE0E69">
        <w:rPr>
          <w:vertAlign w:val="subscript"/>
        </w:rPr>
        <w:t>max</w:t>
      </w:r>
      <w:proofErr w:type="spellEnd"/>
      <w:r>
        <w:t>, respectively</w:t>
      </w:r>
      <w:r w:rsidR="00476CD0">
        <w:t>.</w:t>
      </w:r>
    </w:p>
    <w:p w:rsidR="00096602" w:rsidRDefault="00096602" w:rsidP="00096602">
      <w:pPr>
        <w:pStyle w:val="ListBullet"/>
      </w:pPr>
      <w:r>
        <w:t>C</w:t>
      </w:r>
      <w:r w:rsidRPr="00132EE6">
        <w:t xml:space="preserve">o-administration </w:t>
      </w:r>
      <w:r>
        <w:t>of</w:t>
      </w:r>
      <w:r w:rsidRPr="00132EE6">
        <w:t xml:space="preserve"> </w:t>
      </w:r>
      <w:r w:rsidR="00476CD0">
        <w:t>Vosevi</w:t>
      </w:r>
      <w:r w:rsidRPr="00132EE6">
        <w:t xml:space="preserve"> + VOX, </w:t>
      </w:r>
      <w:r>
        <w:t xml:space="preserve">with </w:t>
      </w:r>
      <w:r w:rsidR="00AC3806">
        <w:t xml:space="preserve">dabigatran </w:t>
      </w:r>
      <w:proofErr w:type="spellStart"/>
      <w:r w:rsidR="00AC3806">
        <w:t>etexilate</w:t>
      </w:r>
      <w:proofErr w:type="spellEnd"/>
      <w:r w:rsidR="00AC3806">
        <w:t xml:space="preserve"> (</w:t>
      </w:r>
      <w:r>
        <w:t>DAB</w:t>
      </w:r>
      <w:r w:rsidR="00AC3806">
        <w:t>)</w:t>
      </w:r>
      <w:r w:rsidRPr="00132EE6">
        <w:t>, a P-</w:t>
      </w:r>
      <w:proofErr w:type="spellStart"/>
      <w:r w:rsidRPr="00132EE6">
        <w:t>gp</w:t>
      </w:r>
      <w:proofErr w:type="spellEnd"/>
      <w:r w:rsidRPr="00132EE6">
        <w:t xml:space="preserve"> substrate, </w:t>
      </w:r>
      <w:r>
        <w:t xml:space="preserve">resulted in a 161% and 121% increase in the </w:t>
      </w:r>
      <w:proofErr w:type="spellStart"/>
      <w:r>
        <w:t>AUC</w:t>
      </w:r>
      <w:r>
        <w:rPr>
          <w:vertAlign w:val="subscript"/>
        </w:rPr>
        <w:t>inf</w:t>
      </w:r>
      <w:proofErr w:type="spellEnd"/>
      <w:r w:rsidRPr="0050775E">
        <w:t xml:space="preserve"> values </w:t>
      </w:r>
      <w:r>
        <w:t>for free</w:t>
      </w:r>
      <w:r w:rsidRPr="00132EE6">
        <w:t xml:space="preserve"> </w:t>
      </w:r>
      <w:r>
        <w:t>and total DAB, respectively.</w:t>
      </w:r>
    </w:p>
    <w:p w:rsidR="00476CD0" w:rsidRDefault="00096602" w:rsidP="00096602">
      <w:pPr>
        <w:pStyle w:val="ListBullet"/>
        <w:rPr>
          <w:rFonts w:cstheme="minorHAnsi"/>
        </w:rPr>
      </w:pPr>
      <w:r w:rsidRPr="00132EE6">
        <w:rPr>
          <w:rFonts w:cstheme="minorHAnsi"/>
        </w:rPr>
        <w:t xml:space="preserve">Co-administration with </w:t>
      </w:r>
      <w:proofErr w:type="spellStart"/>
      <w:r w:rsidR="00476CD0">
        <w:rPr>
          <w:rFonts w:cstheme="minorHAnsi"/>
        </w:rPr>
        <w:t>Vosevi</w:t>
      </w:r>
      <w:r w:rsidRPr="00132EE6">
        <w:rPr>
          <w:rFonts w:cstheme="minorHAnsi"/>
        </w:rPr>
        <w:t>+VOX</w:t>
      </w:r>
      <w:proofErr w:type="spellEnd"/>
      <w:r w:rsidRPr="00132EE6">
        <w:rPr>
          <w:rFonts w:cstheme="minorHAnsi"/>
        </w:rPr>
        <w:t xml:space="preserve"> had no effect on FTC or RPV exposure compared with FTC/RPV/TAF alone. However, mean TAF and TFV AUC values were 52% and 79% higher, respectively</w:t>
      </w:r>
      <w:r w:rsidR="00476CD0">
        <w:rPr>
          <w:rFonts w:cstheme="minorHAnsi"/>
        </w:rPr>
        <w:t>.</w:t>
      </w:r>
    </w:p>
    <w:p w:rsidR="00096602" w:rsidRPr="00132EE6" w:rsidRDefault="00096602" w:rsidP="00096602">
      <w:pPr>
        <w:pStyle w:val="ListBullet"/>
        <w:rPr>
          <w:rFonts w:cstheme="minorHAnsi"/>
        </w:rPr>
      </w:pPr>
      <w:r w:rsidRPr="00132EE6">
        <w:rPr>
          <w:rFonts w:cstheme="minorHAnsi"/>
        </w:rPr>
        <w:t xml:space="preserve">Following co-administration with </w:t>
      </w:r>
      <w:r w:rsidR="00476CD0">
        <w:rPr>
          <w:rFonts w:cstheme="minorHAnsi"/>
        </w:rPr>
        <w:t>Vosevi</w:t>
      </w:r>
      <w:r w:rsidRPr="00132EE6">
        <w:rPr>
          <w:rFonts w:cstheme="minorHAnsi"/>
        </w:rPr>
        <w:t xml:space="preserve"> + VOX, EVG </w:t>
      </w:r>
      <w:proofErr w:type="spellStart"/>
      <w:r w:rsidRPr="00132EE6">
        <w:rPr>
          <w:rFonts w:cstheme="minorHAnsi"/>
        </w:rPr>
        <w:t>AUC</w:t>
      </w:r>
      <w:r w:rsidRPr="00132EE6">
        <w:rPr>
          <w:rFonts w:cstheme="minorHAnsi"/>
          <w:vertAlign w:val="subscript"/>
        </w:rPr>
        <w:t>tau</w:t>
      </w:r>
      <w:proofErr w:type="spellEnd"/>
      <w:r w:rsidRPr="00132EE6">
        <w:rPr>
          <w:rFonts w:cstheme="minorHAnsi"/>
        </w:rPr>
        <w:t xml:space="preserve"> and </w:t>
      </w:r>
      <w:proofErr w:type="spellStart"/>
      <w:r w:rsidR="00CE0E69" w:rsidRPr="00132EE6">
        <w:t>C</w:t>
      </w:r>
      <w:r w:rsidR="00CE0E69" w:rsidRPr="00CE0E69">
        <w:rPr>
          <w:vertAlign w:val="subscript"/>
        </w:rPr>
        <w:t>max</w:t>
      </w:r>
      <w:proofErr w:type="spellEnd"/>
      <w:r w:rsidR="00CE0E69" w:rsidRPr="00CE0E69">
        <w:t xml:space="preserve"> </w:t>
      </w:r>
      <w:r w:rsidRPr="00132EE6">
        <w:rPr>
          <w:rFonts w:cstheme="minorHAnsi"/>
        </w:rPr>
        <w:t>were unchanged, wh</w:t>
      </w:r>
      <w:r>
        <w:rPr>
          <w:rFonts w:cstheme="minorHAnsi"/>
        </w:rPr>
        <w:t>ereas,</w:t>
      </w:r>
      <w:r w:rsidRPr="00132EE6">
        <w:rPr>
          <w:rFonts w:cstheme="minorHAnsi"/>
        </w:rPr>
        <w:t xml:space="preserve"> </w:t>
      </w:r>
      <w:proofErr w:type="spellStart"/>
      <w:r w:rsidRPr="00132EE6">
        <w:rPr>
          <w:rFonts w:cstheme="minorHAnsi"/>
        </w:rPr>
        <w:t>C</w:t>
      </w:r>
      <w:r w:rsidRPr="00132EE6">
        <w:rPr>
          <w:rFonts w:cstheme="minorHAnsi"/>
          <w:vertAlign w:val="subscript"/>
        </w:rPr>
        <w:t>tau</w:t>
      </w:r>
      <w:proofErr w:type="spellEnd"/>
      <w:r w:rsidRPr="00132EE6">
        <w:rPr>
          <w:rFonts w:cstheme="minorHAnsi"/>
        </w:rPr>
        <w:t xml:space="preserve"> was 32% higher compared to when EVG/COBI/FTC/TAF was given alone. COBI </w:t>
      </w:r>
      <w:proofErr w:type="spellStart"/>
      <w:r w:rsidRPr="00132EE6">
        <w:rPr>
          <w:rFonts w:cstheme="minorHAnsi"/>
        </w:rPr>
        <w:t>AUC</w:t>
      </w:r>
      <w:r w:rsidRPr="00132EE6">
        <w:rPr>
          <w:rFonts w:cstheme="minorHAnsi"/>
          <w:vertAlign w:val="subscript"/>
        </w:rPr>
        <w:t>tau</w:t>
      </w:r>
      <w:proofErr w:type="spellEnd"/>
      <w:r w:rsidRPr="00132EE6">
        <w:rPr>
          <w:rFonts w:cstheme="minorHAnsi"/>
        </w:rPr>
        <w:t xml:space="preserve"> and </w:t>
      </w:r>
      <w:proofErr w:type="spellStart"/>
      <w:r w:rsidRPr="00132EE6">
        <w:rPr>
          <w:rFonts w:cstheme="minorHAnsi"/>
        </w:rPr>
        <w:t>C</w:t>
      </w:r>
      <w:r w:rsidRPr="00132EE6">
        <w:rPr>
          <w:rFonts w:cstheme="minorHAnsi"/>
          <w:vertAlign w:val="subscript"/>
        </w:rPr>
        <w:t>tau</w:t>
      </w:r>
      <w:proofErr w:type="spellEnd"/>
      <w:r w:rsidRPr="00132EE6">
        <w:rPr>
          <w:rFonts w:cstheme="minorHAnsi"/>
        </w:rPr>
        <w:t xml:space="preserve"> were 50% and 250% higher, respectively, while </w:t>
      </w:r>
      <w:proofErr w:type="spellStart"/>
      <w:r w:rsidR="00CE0E69" w:rsidRPr="00132EE6">
        <w:t>C</w:t>
      </w:r>
      <w:r w:rsidR="00CE0E69" w:rsidRPr="00CE0E69">
        <w:rPr>
          <w:vertAlign w:val="subscript"/>
        </w:rPr>
        <w:t>max</w:t>
      </w:r>
      <w:proofErr w:type="spellEnd"/>
      <w:r w:rsidR="00CE0E69" w:rsidRPr="00CE0E69">
        <w:t xml:space="preserve"> </w:t>
      </w:r>
      <w:r w:rsidRPr="00132EE6">
        <w:rPr>
          <w:rFonts w:cstheme="minorHAnsi"/>
        </w:rPr>
        <w:t>was unchanged, whereas, there were no clinically significant changes in FTC, TAF or TFV exposure following co-administration.</w:t>
      </w:r>
    </w:p>
    <w:p w:rsidR="00096602" w:rsidRPr="00132EE6" w:rsidRDefault="00096602" w:rsidP="00096602">
      <w:pPr>
        <w:pStyle w:val="ListBullet"/>
        <w:rPr>
          <w:rFonts w:cstheme="minorHAnsi"/>
        </w:rPr>
      </w:pPr>
      <w:r w:rsidRPr="00132EE6">
        <w:rPr>
          <w:rFonts w:cstheme="minorHAnsi"/>
        </w:rPr>
        <w:t xml:space="preserve">There was no effect on DRV exposure following co-administration with </w:t>
      </w:r>
      <w:r w:rsidR="00476CD0">
        <w:rPr>
          <w:rFonts w:cstheme="minorHAnsi"/>
        </w:rPr>
        <w:t>Vosevi</w:t>
      </w:r>
      <w:r w:rsidRPr="00132EE6">
        <w:rPr>
          <w:rFonts w:cstheme="minorHAnsi"/>
        </w:rPr>
        <w:t xml:space="preserve"> + VOX compared to when DRV+RTV+FTC/TDF was given alone, whereas, RTV </w:t>
      </w:r>
      <w:proofErr w:type="spellStart"/>
      <w:r w:rsidRPr="00132EE6">
        <w:rPr>
          <w:rFonts w:cstheme="minorHAnsi"/>
        </w:rPr>
        <w:t>AUC</w:t>
      </w:r>
      <w:r w:rsidRPr="00132EE6">
        <w:rPr>
          <w:rFonts w:cstheme="minorHAnsi"/>
          <w:vertAlign w:val="subscript"/>
        </w:rPr>
        <w:t>tau</w:t>
      </w:r>
      <w:proofErr w:type="spellEnd"/>
      <w:r w:rsidRPr="00132EE6">
        <w:rPr>
          <w:rFonts w:cstheme="minorHAnsi"/>
        </w:rPr>
        <w:t xml:space="preserve"> and </w:t>
      </w:r>
      <w:proofErr w:type="spellStart"/>
      <w:r w:rsidR="00CE0E69" w:rsidRPr="00132EE6">
        <w:t>C</w:t>
      </w:r>
      <w:r w:rsidR="00CE0E69" w:rsidRPr="00CE0E69">
        <w:rPr>
          <w:vertAlign w:val="subscript"/>
        </w:rPr>
        <w:t>max</w:t>
      </w:r>
      <w:proofErr w:type="spellEnd"/>
      <w:r w:rsidR="00CE0E69" w:rsidRPr="00CE0E69">
        <w:t xml:space="preserve"> </w:t>
      </w:r>
      <w:r w:rsidRPr="00132EE6">
        <w:rPr>
          <w:rFonts w:cstheme="minorHAnsi"/>
        </w:rPr>
        <w:t xml:space="preserve">were 45% and 60% higher, respectively. FTC exposure was similar following both treatments, whereas, TFV </w:t>
      </w:r>
      <w:proofErr w:type="spellStart"/>
      <w:r w:rsidRPr="00132EE6">
        <w:rPr>
          <w:rFonts w:cstheme="minorHAnsi"/>
        </w:rPr>
        <w:t>AUC</w:t>
      </w:r>
      <w:r w:rsidRPr="00132EE6">
        <w:rPr>
          <w:rFonts w:cstheme="minorHAnsi"/>
          <w:vertAlign w:val="subscript"/>
        </w:rPr>
        <w:t>tau</w:t>
      </w:r>
      <w:proofErr w:type="spellEnd"/>
      <w:r w:rsidRPr="00132EE6">
        <w:rPr>
          <w:rFonts w:cstheme="minorHAnsi"/>
        </w:rPr>
        <w:t xml:space="preserve">, </w:t>
      </w:r>
      <w:proofErr w:type="spellStart"/>
      <w:r w:rsidR="00CE0E69" w:rsidRPr="00132EE6">
        <w:t>C</w:t>
      </w:r>
      <w:r w:rsidR="00CE0E69" w:rsidRPr="00CE0E69">
        <w:rPr>
          <w:vertAlign w:val="subscript"/>
        </w:rPr>
        <w:t>max</w:t>
      </w:r>
      <w:proofErr w:type="spellEnd"/>
      <w:r w:rsidR="00CE0E69" w:rsidRPr="00CE0E69">
        <w:t xml:space="preserve"> </w:t>
      </w:r>
      <w:r w:rsidRPr="00132EE6">
        <w:rPr>
          <w:rFonts w:cstheme="minorHAnsi"/>
        </w:rPr>
        <w:t xml:space="preserve">and </w:t>
      </w:r>
      <w:proofErr w:type="spellStart"/>
      <w:r w:rsidRPr="00132EE6">
        <w:rPr>
          <w:rFonts w:cstheme="minorHAnsi"/>
        </w:rPr>
        <w:t>C</w:t>
      </w:r>
      <w:r w:rsidRPr="00132EE6">
        <w:rPr>
          <w:rFonts w:cstheme="minorHAnsi"/>
          <w:vertAlign w:val="subscript"/>
        </w:rPr>
        <w:t>tau</w:t>
      </w:r>
      <w:proofErr w:type="spellEnd"/>
      <w:r w:rsidRPr="00132EE6">
        <w:rPr>
          <w:rFonts w:cstheme="minorHAnsi"/>
        </w:rPr>
        <w:t xml:space="preserve"> values were 39%, 48% and 47% higher, respectively, following co-administration.</w:t>
      </w:r>
    </w:p>
    <w:p w:rsidR="00096602" w:rsidRDefault="00096602" w:rsidP="00096602">
      <w:pPr>
        <w:pStyle w:val="ListBullet"/>
      </w:pPr>
      <w:r w:rsidRPr="00132EE6">
        <w:rPr>
          <w:rFonts w:eastAsiaTheme="minorHAnsi"/>
        </w:rPr>
        <w:t xml:space="preserve">At </w:t>
      </w:r>
      <w:r w:rsidR="00CE0E69">
        <w:rPr>
          <w:rFonts w:eastAsiaTheme="minorHAnsi"/>
        </w:rPr>
        <w:t>steady state</w:t>
      </w:r>
      <w:r w:rsidRPr="00132EE6">
        <w:rPr>
          <w:rFonts w:eastAsiaTheme="minorHAnsi"/>
        </w:rPr>
        <w:t xml:space="preserve"> following administration of </w:t>
      </w:r>
      <w:r w:rsidRPr="00132EE6">
        <w:rPr>
          <w:rFonts w:cs="TimesNewRoman"/>
        </w:rPr>
        <w:t xml:space="preserve">BIC/FTC/TAF </w:t>
      </w:r>
      <w:r w:rsidRPr="00132EE6">
        <w:t xml:space="preserve">and </w:t>
      </w:r>
      <w:r w:rsidR="00476CD0">
        <w:t>Vosevi</w:t>
      </w:r>
      <w:r w:rsidRPr="00132EE6">
        <w:t xml:space="preserve"> + VOX, BIC and FTC exposure were similar in the presence and absence of </w:t>
      </w:r>
      <w:r w:rsidR="00476CD0">
        <w:t>Vosevi</w:t>
      </w:r>
      <w:r w:rsidRPr="00132EE6">
        <w:t xml:space="preserve"> + VOX, whereas, TAF </w:t>
      </w:r>
      <w:proofErr w:type="spellStart"/>
      <w:r w:rsidRPr="00132EE6">
        <w:t>AUC</w:t>
      </w:r>
      <w:r w:rsidRPr="00132EE6">
        <w:rPr>
          <w:vertAlign w:val="subscript"/>
        </w:rPr>
        <w:t>last</w:t>
      </w:r>
      <w:proofErr w:type="spellEnd"/>
      <w:r>
        <w:t xml:space="preserve"> and</w:t>
      </w:r>
      <w:r w:rsidRPr="00132EE6">
        <w:t xml:space="preserve"> </w:t>
      </w:r>
      <w:proofErr w:type="spellStart"/>
      <w:r w:rsidR="00CE0E69" w:rsidRPr="00132EE6">
        <w:t>C</w:t>
      </w:r>
      <w:r w:rsidR="00CE0E69" w:rsidRPr="00CE0E69">
        <w:rPr>
          <w:vertAlign w:val="subscript"/>
        </w:rPr>
        <w:t>max</w:t>
      </w:r>
      <w:proofErr w:type="spellEnd"/>
      <w:r w:rsidR="00CE0E69" w:rsidRPr="00CE0E69">
        <w:t xml:space="preserve"> </w:t>
      </w:r>
      <w:r w:rsidRPr="00132EE6">
        <w:t>were 58.0%</w:t>
      </w:r>
      <w:r>
        <w:t xml:space="preserve"> and</w:t>
      </w:r>
      <w:r w:rsidRPr="00132EE6">
        <w:t xml:space="preserve"> 28.1% higher, respectively, and TFV </w:t>
      </w:r>
      <w:proofErr w:type="spellStart"/>
      <w:r w:rsidRPr="00132EE6">
        <w:t>AUC</w:t>
      </w:r>
      <w:r w:rsidRPr="00132EE6">
        <w:rPr>
          <w:vertAlign w:val="subscript"/>
        </w:rPr>
        <w:t>tau</w:t>
      </w:r>
      <w:proofErr w:type="spellEnd"/>
      <w:r w:rsidRPr="00132EE6">
        <w:t xml:space="preserve">, </w:t>
      </w:r>
      <w:proofErr w:type="spellStart"/>
      <w:r w:rsidR="00CE0E69" w:rsidRPr="00132EE6">
        <w:t>C</w:t>
      </w:r>
      <w:r w:rsidR="00CE0E69" w:rsidRPr="00CE0E69">
        <w:rPr>
          <w:vertAlign w:val="subscript"/>
        </w:rPr>
        <w:t>max</w:t>
      </w:r>
      <w:proofErr w:type="spellEnd"/>
      <w:r w:rsidR="00CE0E69" w:rsidRPr="00CE0E69">
        <w:t xml:space="preserve"> </w:t>
      </w:r>
      <w:r>
        <w:t>and</w:t>
      </w:r>
      <w:r w:rsidRPr="00132EE6">
        <w:t xml:space="preserve"> </w:t>
      </w:r>
      <w:proofErr w:type="spellStart"/>
      <w:r w:rsidRPr="00132EE6">
        <w:t>C</w:t>
      </w:r>
      <w:r w:rsidRPr="00132EE6">
        <w:rPr>
          <w:vertAlign w:val="subscript"/>
        </w:rPr>
        <w:t>tau</w:t>
      </w:r>
      <w:proofErr w:type="spellEnd"/>
      <w:r w:rsidRPr="00132EE6">
        <w:t xml:space="preserve"> were 67.4%, 51.4%</w:t>
      </w:r>
      <w:r>
        <w:t xml:space="preserve"> and</w:t>
      </w:r>
      <w:r w:rsidR="00CE0E69">
        <w:t xml:space="preserve"> 73.6% higher, respectively.</w:t>
      </w:r>
    </w:p>
    <w:p w:rsidR="00096602" w:rsidRPr="00B75263" w:rsidRDefault="00096602" w:rsidP="00096602">
      <w:pPr>
        <w:pStyle w:val="Heading6"/>
      </w:pPr>
      <w:r w:rsidRPr="00B75263">
        <w:lastRenderedPageBreak/>
        <w:t>Effects of other drugs on VOX PK</w:t>
      </w:r>
    </w:p>
    <w:p w:rsidR="00476CD0" w:rsidRDefault="00096602" w:rsidP="00096602">
      <w:pPr>
        <w:pStyle w:val="ListBullet"/>
      </w:pPr>
      <w:r w:rsidRPr="00132EE6">
        <w:t xml:space="preserve">Co-administration of VOX with </w:t>
      </w:r>
      <w:proofErr w:type="spellStart"/>
      <w:r w:rsidR="00AC3806">
        <w:t>cyclosporin</w:t>
      </w:r>
      <w:proofErr w:type="spellEnd"/>
      <w:r w:rsidR="00AC3806">
        <w:t xml:space="preserve"> A</w:t>
      </w:r>
      <w:r w:rsidR="00AC3806" w:rsidRPr="00132EE6">
        <w:t xml:space="preserve"> </w:t>
      </w:r>
      <w:r w:rsidR="00AC3806">
        <w:t>(</w:t>
      </w:r>
      <w:proofErr w:type="spellStart"/>
      <w:r w:rsidRPr="00132EE6">
        <w:t>CsA</w:t>
      </w:r>
      <w:proofErr w:type="spellEnd"/>
      <w:r w:rsidR="00AC3806">
        <w:t>)</w:t>
      </w:r>
      <w:r w:rsidRPr="00132EE6">
        <w:t>, a mixed OATP/P-</w:t>
      </w:r>
      <w:proofErr w:type="spellStart"/>
      <w:r w:rsidRPr="00132EE6">
        <w:t>gp</w:t>
      </w:r>
      <w:proofErr w:type="spellEnd"/>
      <w:r w:rsidRPr="00132EE6">
        <w:t xml:space="preserve">/MRP2 inhibitor, increased VOX </w:t>
      </w:r>
      <w:proofErr w:type="spellStart"/>
      <w:r w:rsidRPr="00132EE6">
        <w:t>AUC</w:t>
      </w:r>
      <w:r w:rsidRPr="00132EE6">
        <w:rPr>
          <w:vertAlign w:val="subscript"/>
        </w:rPr>
        <w:t>inf</w:t>
      </w:r>
      <w:proofErr w:type="spellEnd"/>
      <w:r>
        <w:rPr>
          <w:vertAlign w:val="subscript"/>
        </w:rPr>
        <w:t xml:space="preserve"> </w:t>
      </w:r>
      <w:r w:rsidRPr="00132EE6">
        <w:t>by 9.4</w:t>
      </w:r>
      <w:r w:rsidR="00C4145D">
        <w:t xml:space="preserve"> fold</w:t>
      </w:r>
      <w:r w:rsidRPr="00132EE6">
        <w:t xml:space="preserve"> and </w:t>
      </w:r>
      <w:proofErr w:type="spellStart"/>
      <w:r w:rsidR="00CE0E69" w:rsidRPr="00132EE6">
        <w:t>C</w:t>
      </w:r>
      <w:r w:rsidR="00CE0E69" w:rsidRPr="00CE0E69">
        <w:rPr>
          <w:vertAlign w:val="subscript"/>
        </w:rPr>
        <w:t>max</w:t>
      </w:r>
      <w:proofErr w:type="spellEnd"/>
      <w:r w:rsidR="00CE0E69" w:rsidRPr="00CE0E69">
        <w:t xml:space="preserve"> </w:t>
      </w:r>
      <w:r w:rsidRPr="00132EE6">
        <w:t>by 19</w:t>
      </w:r>
      <w:r w:rsidR="00C4145D">
        <w:t xml:space="preserve"> fold</w:t>
      </w:r>
      <w:r w:rsidRPr="00132EE6">
        <w:t xml:space="preserve"> in the fasted state</w:t>
      </w:r>
      <w:r w:rsidR="00476CD0">
        <w:t>.</w:t>
      </w:r>
    </w:p>
    <w:p w:rsidR="00476CD0" w:rsidRDefault="00CE0E69" w:rsidP="00096602">
      <w:pPr>
        <w:pStyle w:val="ListBullet"/>
      </w:pPr>
      <w:r>
        <w:t xml:space="preserve">Single </w:t>
      </w:r>
      <w:r w:rsidR="00096602" w:rsidRPr="00132EE6">
        <w:t xml:space="preserve">dose RIF, a potent hepatic OATP inhibitor, increased VOX </w:t>
      </w:r>
      <w:proofErr w:type="spellStart"/>
      <w:r w:rsidR="00096602" w:rsidRPr="00132EE6">
        <w:t>AUC</w:t>
      </w:r>
      <w:r w:rsidR="00096602" w:rsidRPr="00132EE6">
        <w:rPr>
          <w:vertAlign w:val="subscript"/>
        </w:rPr>
        <w:t>inf</w:t>
      </w:r>
      <w:proofErr w:type="spellEnd"/>
      <w:r w:rsidR="00096602" w:rsidRPr="00132EE6">
        <w:rPr>
          <w:vertAlign w:val="subscript"/>
        </w:rPr>
        <w:t xml:space="preserve"> </w:t>
      </w:r>
      <w:r w:rsidR="00096602" w:rsidRPr="00132EE6">
        <w:t>by 7.9</w:t>
      </w:r>
      <w:r w:rsidR="00C4145D">
        <w:t xml:space="preserve"> </w:t>
      </w:r>
      <w:proofErr w:type="gramStart"/>
      <w:r w:rsidR="00C4145D">
        <w:t>fold</w:t>
      </w:r>
      <w:proofErr w:type="gramEnd"/>
      <w:r w:rsidR="00096602" w:rsidRPr="00132EE6">
        <w:t xml:space="preserve"> and </w:t>
      </w:r>
      <w:proofErr w:type="spellStart"/>
      <w:r w:rsidRPr="00132EE6">
        <w:t>C</w:t>
      </w:r>
      <w:r w:rsidRPr="00CE0E69">
        <w:rPr>
          <w:vertAlign w:val="subscript"/>
        </w:rPr>
        <w:t>max</w:t>
      </w:r>
      <w:proofErr w:type="spellEnd"/>
      <w:r w:rsidRPr="00CE0E69">
        <w:t xml:space="preserve"> </w:t>
      </w:r>
      <w:r w:rsidR="00096602" w:rsidRPr="00132EE6">
        <w:t>by 11</w:t>
      </w:r>
      <w:r w:rsidR="00C4145D">
        <w:t xml:space="preserve"> fold</w:t>
      </w:r>
      <w:r w:rsidR="00096602" w:rsidRPr="00132EE6">
        <w:t xml:space="preserve"> in the fasted state</w:t>
      </w:r>
      <w:r w:rsidR="00476CD0">
        <w:t>.</w:t>
      </w:r>
    </w:p>
    <w:p w:rsidR="00476CD0" w:rsidRDefault="00096602" w:rsidP="00096602">
      <w:pPr>
        <w:pStyle w:val="ListBullet"/>
      </w:pPr>
      <w:r w:rsidRPr="00132EE6">
        <w:t>Multiple doses of RIF, a potent inducer of CYP3A/CYP2C8/P-</w:t>
      </w:r>
      <w:proofErr w:type="spellStart"/>
      <w:r w:rsidRPr="00132EE6">
        <w:t>gp</w:t>
      </w:r>
      <w:proofErr w:type="spellEnd"/>
      <w:r w:rsidRPr="00132EE6">
        <w:t xml:space="preserve">, reduced VOX </w:t>
      </w:r>
      <w:proofErr w:type="spellStart"/>
      <w:r w:rsidRPr="00132EE6">
        <w:t>AUC</w:t>
      </w:r>
      <w:r w:rsidRPr="00132EE6">
        <w:rPr>
          <w:vertAlign w:val="subscript"/>
        </w:rPr>
        <w:t>inf</w:t>
      </w:r>
      <w:proofErr w:type="spellEnd"/>
      <w:r>
        <w:rPr>
          <w:vertAlign w:val="subscript"/>
        </w:rPr>
        <w:t xml:space="preserve"> </w:t>
      </w:r>
      <w:r w:rsidRPr="00132EE6">
        <w:t xml:space="preserve">by 73% and median </w:t>
      </w:r>
      <w:r w:rsidR="009E6C8F">
        <w:rPr>
          <w:rFonts w:eastAsia="TimesNewRoman" w:cstheme="minorHAnsi"/>
        </w:rPr>
        <w:t>estimate of the terminal elimination half-life</w:t>
      </w:r>
      <w:r w:rsidRPr="00132EE6">
        <w:t xml:space="preserve"> </w:t>
      </w:r>
      <w:r w:rsidR="009E6C8F">
        <w:t>(</w:t>
      </w:r>
      <w:r w:rsidR="009E6C8F">
        <w:rPr>
          <w:rFonts w:eastAsia="TimesNewRoman" w:cstheme="minorHAnsi"/>
        </w:rPr>
        <w:t>t</w:t>
      </w:r>
      <w:r w:rsidR="009E6C8F">
        <w:rPr>
          <w:rFonts w:eastAsia="TimesNewRoman" w:cstheme="minorHAnsi"/>
          <w:vertAlign w:val="subscript"/>
        </w:rPr>
        <w:t>1/2</w:t>
      </w:r>
      <w:r w:rsidR="009E6C8F">
        <w:rPr>
          <w:rFonts w:eastAsia="TimesNewRoman" w:cstheme="minorHAnsi"/>
        </w:rPr>
        <w:t>)</w:t>
      </w:r>
      <w:r w:rsidR="009E6C8F" w:rsidRPr="00132EE6">
        <w:t xml:space="preserve"> </w:t>
      </w:r>
      <w:r w:rsidRPr="00132EE6">
        <w:t>from 31</w:t>
      </w:r>
      <w:r w:rsidR="00CE0E69">
        <w:t xml:space="preserve"> hours </w:t>
      </w:r>
      <w:r w:rsidRPr="00132EE6">
        <w:t>to 8 h</w:t>
      </w:r>
      <w:r w:rsidR="00CE0E69">
        <w:t>ours</w:t>
      </w:r>
      <w:r w:rsidR="00476CD0">
        <w:t>.</w:t>
      </w:r>
    </w:p>
    <w:p w:rsidR="00096602" w:rsidRPr="00132EE6" w:rsidRDefault="00096602" w:rsidP="00096602">
      <w:pPr>
        <w:pStyle w:val="ListBullet"/>
      </w:pPr>
      <w:r w:rsidRPr="00132EE6">
        <w:t xml:space="preserve">Voriconazole, a CYP3A inhibitor, increased VOX </w:t>
      </w:r>
      <w:proofErr w:type="spellStart"/>
      <w:r w:rsidRPr="00132EE6">
        <w:t>AUC</w:t>
      </w:r>
      <w:r w:rsidRPr="00132EE6">
        <w:rPr>
          <w:vertAlign w:val="subscript"/>
        </w:rPr>
        <w:t>inf</w:t>
      </w:r>
      <w:proofErr w:type="spellEnd"/>
      <w:r>
        <w:rPr>
          <w:vertAlign w:val="subscript"/>
        </w:rPr>
        <w:t xml:space="preserve"> </w:t>
      </w:r>
      <w:r>
        <w:t xml:space="preserve">by </w:t>
      </w:r>
      <w:r w:rsidRPr="00132EE6">
        <w:t>1.8</w:t>
      </w:r>
      <w:r w:rsidR="00C4145D">
        <w:t xml:space="preserve"> fold</w:t>
      </w:r>
      <w:r w:rsidRPr="00132EE6">
        <w:t>.</w:t>
      </w:r>
    </w:p>
    <w:p w:rsidR="00476CD0" w:rsidRDefault="00096602" w:rsidP="00096602">
      <w:pPr>
        <w:pStyle w:val="ListBullet"/>
      </w:pPr>
      <w:r w:rsidRPr="00132EE6">
        <w:t>Co-administration of VOX with grapefruit juice, an intestinal inhibitor of OATP, or gemfibrozil, a CYP2C8 inhibitor, had no effect on VOX exposure</w:t>
      </w:r>
      <w:r w:rsidR="00476CD0">
        <w:t>.</w:t>
      </w:r>
    </w:p>
    <w:p w:rsidR="00096602" w:rsidRPr="00B75263" w:rsidRDefault="00096602" w:rsidP="00096602">
      <w:pPr>
        <w:pStyle w:val="Heading6"/>
        <w:rPr>
          <w:rFonts w:eastAsia="TimesNewRoman"/>
        </w:rPr>
      </w:pPr>
      <w:r>
        <w:rPr>
          <w:rFonts w:eastAsia="TimesNewRoman"/>
        </w:rPr>
        <w:t>Effects o</w:t>
      </w:r>
      <w:r w:rsidRPr="00B75263">
        <w:rPr>
          <w:rFonts w:eastAsia="TimesNewRoman"/>
        </w:rPr>
        <w:t>f VOX on the PKs of other drugs</w:t>
      </w:r>
    </w:p>
    <w:p w:rsidR="00096602" w:rsidRPr="00096602" w:rsidRDefault="00096602" w:rsidP="00096602">
      <w:r w:rsidRPr="00096602">
        <w:t xml:space="preserve">Co-administration of VOX with </w:t>
      </w:r>
      <w:proofErr w:type="spellStart"/>
      <w:r w:rsidRPr="00096602">
        <w:t>CsA</w:t>
      </w:r>
      <w:proofErr w:type="spellEnd"/>
      <w:r w:rsidRPr="00096602">
        <w:t>, a CYP3A substrat</w:t>
      </w:r>
      <w:r>
        <w:t xml:space="preserve">e, did not alter the PK of </w:t>
      </w:r>
      <w:proofErr w:type="spellStart"/>
      <w:r>
        <w:t>CsA</w:t>
      </w:r>
      <w:proofErr w:type="spellEnd"/>
      <w:r>
        <w:t>.</w:t>
      </w:r>
    </w:p>
    <w:p w:rsidR="00096602" w:rsidRPr="00EC7138" w:rsidRDefault="00096602" w:rsidP="00096602">
      <w:pPr>
        <w:rPr>
          <w:rFonts w:asciiTheme="minorHAnsi" w:hAnsiTheme="minorHAnsi"/>
          <w:b/>
          <w:i/>
        </w:rPr>
      </w:pPr>
      <w:r w:rsidRPr="00EC7138">
        <w:rPr>
          <w:rFonts w:asciiTheme="minorHAnsi" w:hAnsiTheme="minorHAnsi"/>
          <w:b/>
          <w:i/>
        </w:rPr>
        <w:t>Limitations of the PK studies</w:t>
      </w:r>
    </w:p>
    <w:p w:rsidR="00096602" w:rsidRPr="00096602" w:rsidRDefault="00096602" w:rsidP="00096602">
      <w:pPr>
        <w:pStyle w:val="ListBullet"/>
      </w:pPr>
      <w:r w:rsidRPr="00096602">
        <w:t xml:space="preserve">No studies examined dose proportionality following increasing doses of </w:t>
      </w:r>
      <w:r w:rsidR="00476CD0">
        <w:t>Vosevi</w:t>
      </w:r>
      <w:r w:rsidR="00CE0E69">
        <w:t>.</w:t>
      </w:r>
    </w:p>
    <w:p w:rsidR="00096602" w:rsidRPr="00096602" w:rsidRDefault="00096602" w:rsidP="00096602">
      <w:pPr>
        <w:pStyle w:val="ListBullet"/>
      </w:pPr>
      <w:r w:rsidRPr="00096602">
        <w:t xml:space="preserve">No studies examined </w:t>
      </w:r>
      <w:r w:rsidR="00476CD0">
        <w:t>Vosevi</w:t>
      </w:r>
      <w:r w:rsidRPr="00096602">
        <w:t xml:space="preserve"> accumulation following multiple doses.</w:t>
      </w:r>
    </w:p>
    <w:p w:rsidR="00096602" w:rsidRPr="00096602" w:rsidRDefault="00096602" w:rsidP="00096602">
      <w:pPr>
        <w:pStyle w:val="ListBullet"/>
      </w:pPr>
      <w:r w:rsidRPr="00096602">
        <w:t xml:space="preserve">No studies directly examined the effect of renal impairment on the PK of </w:t>
      </w:r>
      <w:r w:rsidR="00476CD0">
        <w:t>Vosevi</w:t>
      </w:r>
      <w:r w:rsidRPr="00096602">
        <w:t>.</w:t>
      </w:r>
    </w:p>
    <w:p w:rsidR="00500337" w:rsidRPr="00500337" w:rsidRDefault="00096602" w:rsidP="00500337">
      <w:pPr>
        <w:pStyle w:val="ListBullet"/>
      </w:pPr>
      <w:r w:rsidRPr="00096602">
        <w:t xml:space="preserve">Clinical aspects of the proposed PI related to the PK of </w:t>
      </w:r>
      <w:r w:rsidR="00476CD0">
        <w:t>Vosevi</w:t>
      </w:r>
      <w:r w:rsidRPr="00096602">
        <w:t>, in particular clinically relevant interactions with other drugs, are not satisfactory.</w:t>
      </w:r>
    </w:p>
    <w:p w:rsidR="008E7846" w:rsidRDefault="008E7846" w:rsidP="008E7846">
      <w:pPr>
        <w:pStyle w:val="Heading3"/>
      </w:pPr>
      <w:bookmarkStart w:id="92" w:name="_Toc196046481"/>
      <w:bookmarkStart w:id="93" w:name="_Toc247691520"/>
      <w:bookmarkStart w:id="94" w:name="_Toc314842503"/>
      <w:bookmarkStart w:id="95" w:name="_Toc8291123"/>
      <w:r w:rsidRPr="00254787">
        <w:t>Pharmacodynamics</w:t>
      </w:r>
      <w:bookmarkEnd w:id="74"/>
      <w:bookmarkEnd w:id="92"/>
      <w:bookmarkEnd w:id="93"/>
      <w:bookmarkEnd w:id="94"/>
      <w:bookmarkEnd w:id="95"/>
    </w:p>
    <w:p w:rsidR="00605AD4" w:rsidRDefault="00605AD4" w:rsidP="00605AD4">
      <w:pPr>
        <w:pStyle w:val="Heading4"/>
      </w:pPr>
      <w:r>
        <w:t>Studies providing pharmacodynamic data</w:t>
      </w:r>
    </w:p>
    <w:p w:rsidR="00500337" w:rsidRPr="008A29CC" w:rsidRDefault="008A29CC" w:rsidP="008A29CC">
      <w:r>
        <w:t>A</w:t>
      </w:r>
      <w:r w:rsidRPr="008A29CC">
        <w:t xml:space="preserve">ll of the studies described in the </w:t>
      </w:r>
      <w:r w:rsidRPr="00856FEB">
        <w:t>Pharmacodynamics section</w:t>
      </w:r>
      <w:r w:rsidRPr="008A29CC">
        <w:t xml:space="preserve"> of this report contain PK</w:t>
      </w:r>
      <w:r w:rsidR="003D019C">
        <w:t> </w:t>
      </w:r>
      <w:r w:rsidRPr="008A29CC">
        <w:t xml:space="preserve">data, they have been previously summarised </w:t>
      </w:r>
      <w:r w:rsidRPr="00AC0F8C">
        <w:t xml:space="preserve">in </w:t>
      </w:r>
      <w:r w:rsidR="00AC0F8C" w:rsidRPr="00AC0F8C">
        <w:t>Table 7</w:t>
      </w:r>
      <w:r w:rsidRPr="008A29CC">
        <w:t>.</w:t>
      </w:r>
    </w:p>
    <w:p w:rsidR="00605AD4" w:rsidRDefault="00605AD4" w:rsidP="00605AD4">
      <w:pPr>
        <w:pStyle w:val="Heading4"/>
      </w:pPr>
      <w:r>
        <w:t>Evaluator’s conclusions on pharmacodynamics</w:t>
      </w:r>
    </w:p>
    <w:p w:rsidR="008A29CC" w:rsidRDefault="00476CD0" w:rsidP="008A29CC">
      <w:pPr>
        <w:rPr>
          <w:rFonts w:asciiTheme="minorHAnsi" w:hAnsiTheme="minorHAnsi"/>
          <w:lang w:eastAsia="ja-JP"/>
        </w:rPr>
      </w:pPr>
      <w:r>
        <w:rPr>
          <w:rFonts w:asciiTheme="minorHAnsi" w:hAnsiTheme="minorHAnsi"/>
          <w:lang w:eastAsia="ja-JP"/>
        </w:rPr>
        <w:t>Vosevi</w:t>
      </w:r>
      <w:r w:rsidR="008A29CC" w:rsidRPr="001E0568">
        <w:rPr>
          <w:rFonts w:asciiTheme="minorHAnsi" w:hAnsiTheme="minorHAnsi"/>
          <w:lang w:eastAsia="ja-JP"/>
        </w:rPr>
        <w:t xml:space="preserve"> is a FDC tablet formulation for oral dosing, which contains three active </w:t>
      </w:r>
      <w:r w:rsidR="008A29CC" w:rsidRPr="001E0568">
        <w:rPr>
          <w:rFonts w:asciiTheme="minorHAnsi" w:hAnsiTheme="minorHAnsi"/>
        </w:rPr>
        <w:t>DAA agents</w:t>
      </w:r>
      <w:r w:rsidR="008A29CC" w:rsidRPr="001E0568">
        <w:rPr>
          <w:rFonts w:asciiTheme="minorHAnsi" w:hAnsiTheme="minorHAnsi"/>
          <w:lang w:eastAsia="ja-JP"/>
        </w:rPr>
        <w:t xml:space="preserve">: SOF, </w:t>
      </w:r>
      <w:r w:rsidR="008A29CC" w:rsidRPr="001E0568">
        <w:rPr>
          <w:rFonts w:asciiTheme="minorHAnsi" w:hAnsiTheme="minorHAnsi"/>
        </w:rPr>
        <w:t xml:space="preserve">a </w:t>
      </w:r>
      <w:r w:rsidR="008A29CC" w:rsidRPr="00336975">
        <w:rPr>
          <w:rFonts w:asciiTheme="minorHAnsi" w:eastAsiaTheme="minorHAnsi" w:hAnsiTheme="minorHAnsi"/>
          <w:color w:val="000000"/>
        </w:rPr>
        <w:t>pan-genotypic inhibitor of the</w:t>
      </w:r>
      <w:r w:rsidR="008A29CC" w:rsidRPr="001E0568">
        <w:rPr>
          <w:rFonts w:asciiTheme="minorHAnsi" w:hAnsiTheme="minorHAnsi"/>
        </w:rPr>
        <w:t xml:space="preserve"> HCV NS5B </w:t>
      </w:r>
      <w:r w:rsidR="008A29CC" w:rsidRPr="00336975">
        <w:rPr>
          <w:rFonts w:asciiTheme="minorHAnsi" w:eastAsiaTheme="minorHAnsi" w:hAnsiTheme="minorHAnsi"/>
          <w:color w:val="000000"/>
        </w:rPr>
        <w:t>RNA-dependent RNA polymerase</w:t>
      </w:r>
      <w:r w:rsidR="008A29CC">
        <w:rPr>
          <w:rFonts w:asciiTheme="minorHAnsi" w:eastAsiaTheme="minorHAnsi" w:hAnsiTheme="minorHAnsi"/>
          <w:color w:val="000000"/>
        </w:rPr>
        <w:t>;</w:t>
      </w:r>
      <w:r w:rsidR="008A29CC" w:rsidRPr="001E0568">
        <w:rPr>
          <w:rFonts w:asciiTheme="minorHAnsi" w:hAnsiTheme="minorHAnsi"/>
          <w:lang w:eastAsia="ja-JP"/>
        </w:rPr>
        <w:t xml:space="preserve"> VEL</w:t>
      </w:r>
      <w:r w:rsidR="008A29CC">
        <w:rPr>
          <w:rFonts w:asciiTheme="minorHAnsi" w:hAnsiTheme="minorHAnsi"/>
          <w:lang w:eastAsia="ja-JP"/>
        </w:rPr>
        <w:t xml:space="preserve">, </w:t>
      </w:r>
      <w:r w:rsidR="008A29CC" w:rsidRPr="001E0568">
        <w:rPr>
          <w:rFonts w:asciiTheme="minorHAnsi" w:hAnsiTheme="minorHAnsi"/>
        </w:rPr>
        <w:t>a potent, pan-genotypic, next-generation HCV NS5A inhibitor</w:t>
      </w:r>
      <w:r w:rsidR="008A29CC">
        <w:rPr>
          <w:rFonts w:asciiTheme="minorHAnsi" w:hAnsiTheme="minorHAnsi"/>
        </w:rPr>
        <w:t>;</w:t>
      </w:r>
      <w:r w:rsidR="008A29CC" w:rsidRPr="001E0568">
        <w:rPr>
          <w:rFonts w:asciiTheme="minorHAnsi" w:hAnsiTheme="minorHAnsi"/>
          <w:lang w:eastAsia="ja-JP"/>
        </w:rPr>
        <w:t xml:space="preserve"> and VOX, </w:t>
      </w:r>
      <w:r w:rsidR="008A29CC" w:rsidRPr="001E0568">
        <w:rPr>
          <w:rFonts w:asciiTheme="minorHAnsi" w:hAnsiTheme="minorHAnsi"/>
        </w:rPr>
        <w:t>a pan</w:t>
      </w:r>
      <w:r w:rsidR="00CE0E69">
        <w:rPr>
          <w:rFonts w:asciiTheme="minorHAnsi" w:hAnsiTheme="minorHAnsi"/>
        </w:rPr>
        <w:t>-</w:t>
      </w:r>
      <w:r w:rsidR="008A29CC" w:rsidRPr="001E0568">
        <w:rPr>
          <w:rFonts w:asciiTheme="minorHAnsi" w:hAnsiTheme="minorHAnsi"/>
        </w:rPr>
        <w:t xml:space="preserve">genotypic HCV NS3/4A </w:t>
      </w:r>
      <w:r w:rsidR="00EA6C30">
        <w:rPr>
          <w:rFonts w:asciiTheme="minorHAnsi" w:hAnsiTheme="minorHAnsi"/>
        </w:rPr>
        <w:t>protease inhibitor.</w:t>
      </w:r>
    </w:p>
    <w:p w:rsidR="008A29CC" w:rsidRPr="00543E3B" w:rsidRDefault="008A29CC" w:rsidP="008A29CC">
      <w:pPr>
        <w:pStyle w:val="Heading5"/>
      </w:pPr>
      <w:r w:rsidRPr="00543E3B">
        <w:t xml:space="preserve">Primary </w:t>
      </w:r>
      <w:r w:rsidR="003D019C">
        <w:t>pharmacodynamic</w:t>
      </w:r>
      <w:r>
        <w:t xml:space="preserve"> </w:t>
      </w:r>
      <w:r w:rsidR="00CE0E69">
        <w:t>effects;</w:t>
      </w:r>
      <w:r w:rsidRPr="00543E3B">
        <w:t xml:space="preserve"> HCV RNA</w:t>
      </w:r>
    </w:p>
    <w:p w:rsidR="008A29CC" w:rsidRPr="00415A55" w:rsidRDefault="008A29CC" w:rsidP="008A29CC">
      <w:pPr>
        <w:pStyle w:val="ListBullet"/>
      </w:pPr>
      <w:r w:rsidRPr="004A55F8">
        <w:rPr>
          <w:i/>
        </w:rPr>
        <w:t>In vitro</w:t>
      </w:r>
      <w:r w:rsidRPr="00415A55">
        <w:rPr>
          <w:i/>
        </w:rPr>
        <w:t xml:space="preserve"> </w:t>
      </w:r>
      <w:r w:rsidRPr="00415A55">
        <w:t xml:space="preserve">anti-viral activity of </w:t>
      </w:r>
      <w:r w:rsidR="00476CD0">
        <w:t>Vosevi</w:t>
      </w:r>
      <w:r w:rsidRPr="00415A55">
        <w:t xml:space="preserve"> is unaffected by the signature mutations that may develop following treatment as mutations that affect the activity of one component of </w:t>
      </w:r>
      <w:r w:rsidR="00476CD0">
        <w:t>Vosevi</w:t>
      </w:r>
      <w:r w:rsidRPr="00415A55">
        <w:t xml:space="preserve"> remain fully sensitive to the other 2 classes of anti-HCV drugs contained in the FDC.</w:t>
      </w:r>
    </w:p>
    <w:p w:rsidR="008A29CC" w:rsidRPr="00415A55" w:rsidRDefault="008A29CC" w:rsidP="008A29CC">
      <w:pPr>
        <w:pStyle w:val="ListBullet"/>
      </w:pPr>
      <w:r w:rsidRPr="00415A55">
        <w:t xml:space="preserve">Following 3 days of treatment with </w:t>
      </w:r>
      <w:r w:rsidR="00CE0E69">
        <w:t xml:space="preserve">QD doses of VOX ranging from 50 to </w:t>
      </w:r>
      <w:r w:rsidRPr="00415A55">
        <w:t>300</w:t>
      </w:r>
      <w:r w:rsidR="00AA5E62">
        <w:t xml:space="preserve"> mg</w:t>
      </w:r>
      <w:r w:rsidRPr="00415A55">
        <w:t>, there was a rapid reduction in HCV RNA load for all genotypes, except in subjects with genotype 3a HCV infection who received 50</w:t>
      </w:r>
      <w:r w:rsidR="00AA5E62">
        <w:t xml:space="preserve"> mg</w:t>
      </w:r>
      <w:r w:rsidRPr="00415A55">
        <w:t xml:space="preserve"> VOX. Forty-eight weeks post-treatment HCV RNA levels had returned to near baseline.</w:t>
      </w:r>
    </w:p>
    <w:p w:rsidR="008A29CC" w:rsidRDefault="008A29CC" w:rsidP="008A29CC">
      <w:pPr>
        <w:pStyle w:val="Heading5"/>
      </w:pPr>
      <w:r w:rsidRPr="00543E3B">
        <w:lastRenderedPageBreak/>
        <w:t>Secondary pharmacodynamic effects</w:t>
      </w:r>
    </w:p>
    <w:p w:rsidR="008A29CC" w:rsidRPr="007B1B4C" w:rsidRDefault="008A29CC" w:rsidP="008A29CC">
      <w:pPr>
        <w:pStyle w:val="Heading6"/>
        <w:rPr>
          <w:rFonts w:eastAsia="TimesNewRoman"/>
        </w:rPr>
      </w:pPr>
      <w:r w:rsidRPr="007B1B4C">
        <w:rPr>
          <w:rFonts w:eastAsia="TimesNewRoman"/>
        </w:rPr>
        <w:t>Integrated virology</w:t>
      </w:r>
    </w:p>
    <w:p w:rsidR="008A29CC" w:rsidRPr="00415A55" w:rsidRDefault="008A29CC" w:rsidP="008A29CC">
      <w:pPr>
        <w:autoSpaceDE w:val="0"/>
        <w:autoSpaceDN w:val="0"/>
        <w:rPr>
          <w:rFonts w:asciiTheme="minorHAnsi" w:eastAsia="TimesNewRoman" w:hAnsiTheme="minorHAnsi"/>
        </w:rPr>
      </w:pPr>
      <w:r w:rsidRPr="00415A55">
        <w:t xml:space="preserve">Integrated virology studies based on the results of </w:t>
      </w:r>
      <w:r w:rsidR="00476CD0">
        <w:t>Phase II</w:t>
      </w:r>
      <w:r w:rsidRPr="00415A55">
        <w:t xml:space="preserve"> or </w:t>
      </w:r>
      <w:r w:rsidR="00CE0E69">
        <w:t>III</w:t>
      </w:r>
      <w:r w:rsidRPr="00415A55">
        <w:t xml:space="preserve"> trials identified that the existence of baseline RAVs for NS3 and/or NS5A had little to no impact on treatment outcome following treatment with </w:t>
      </w:r>
      <w:r w:rsidR="00476CD0">
        <w:t>Vosevi</w:t>
      </w:r>
      <w:r w:rsidRPr="00415A55">
        <w:t xml:space="preserve"> for 8 weeks or 12 weeks in </w:t>
      </w:r>
      <w:r w:rsidR="00CE0E69">
        <w:t>DAA naive</w:t>
      </w:r>
      <w:r w:rsidRPr="00415A55">
        <w:t xml:space="preserve"> or </w:t>
      </w:r>
      <w:r w:rsidR="00CE0E69">
        <w:t>DAA experienced</w:t>
      </w:r>
      <w:r w:rsidRPr="00415A55">
        <w:t xml:space="preserve"> subjects, respectively. Virological failure was low (85 out of 1303 subjects or 6.5%) in subjects treated with </w:t>
      </w:r>
      <w:r w:rsidR="00476CD0">
        <w:t>Vosevi</w:t>
      </w:r>
      <w:r w:rsidRPr="00415A55">
        <w:t xml:space="preserve"> </w:t>
      </w:r>
      <w:r w:rsidR="004F5F76">
        <w:t xml:space="preserve">at any duration </w:t>
      </w:r>
      <w:r w:rsidRPr="00415A55">
        <w:t>and baseline or treatment-emergent RAVs were rare in subjects who experienced treatment failure (3 out of 1303 subjects).</w:t>
      </w:r>
    </w:p>
    <w:p w:rsidR="008A29CC" w:rsidRPr="00543E3B" w:rsidRDefault="008A29CC" w:rsidP="008A29CC">
      <w:pPr>
        <w:pStyle w:val="Heading6"/>
        <w:rPr>
          <w:rFonts w:eastAsia="TimesNewRoman"/>
          <w:u w:val="single"/>
        </w:rPr>
      </w:pPr>
      <w:r w:rsidRPr="00543E3B">
        <w:rPr>
          <w:rFonts w:eastAsia="TimesNewRoman"/>
        </w:rPr>
        <w:t>NS3 resistance</w:t>
      </w:r>
    </w:p>
    <w:p w:rsidR="008A29CC" w:rsidRPr="00415A55" w:rsidRDefault="008A29CC" w:rsidP="008A29CC">
      <w:r w:rsidRPr="00415A55">
        <w:t xml:space="preserve">In a </w:t>
      </w:r>
      <w:r w:rsidR="00476CD0">
        <w:t>Phase I</w:t>
      </w:r>
      <w:r w:rsidRPr="00415A55">
        <w:t xml:space="preserve"> trial, which examined HCV virology following 3 days treatment with </w:t>
      </w:r>
      <w:r w:rsidR="00CE0E69">
        <w:t xml:space="preserve">QD doses of VOX ranging from 50 to </w:t>
      </w:r>
      <w:r w:rsidRPr="00415A55">
        <w:t>300</w:t>
      </w:r>
      <w:r w:rsidR="00AA5E62">
        <w:t xml:space="preserve"> mg</w:t>
      </w:r>
      <w:r w:rsidRPr="00415A55">
        <w:t>, 26% of subjects developed NS3 RAVs during VOX treatment, which reduced virus susceptibility to VOX by ≤ 1.6</w:t>
      </w:r>
      <w:r w:rsidR="00C4145D">
        <w:t xml:space="preserve"> fold</w:t>
      </w:r>
      <w:r w:rsidRPr="00415A55">
        <w:t>; however, the appearance of RAVs did not appear to be dose related. The majority of treatment-emergent NS3 RAVs could no longer be detected 12 weeks after treatment; however, new RAVs were detected in 10.4% of subjects at weeks 12 and 24. NS3 RAVs were detected at baseline in approximately 20% of subjects with HCV genotype 1a, 1b and 3, whereas, no RAVs were identified in subjects with HCV genotype 2 or 4. No significant differences in viral load reduction were observed for subjects with and without NS3 RAVs at baseline.</w:t>
      </w:r>
    </w:p>
    <w:p w:rsidR="008A29CC" w:rsidRPr="003B4920" w:rsidRDefault="008A29CC" w:rsidP="008A29CC">
      <w:pPr>
        <w:pStyle w:val="Heading5"/>
        <w:rPr>
          <w:lang w:eastAsia="ja-JP"/>
        </w:rPr>
      </w:pPr>
      <w:r w:rsidRPr="003B4920">
        <w:t>Time course of pharmacodynamic effects</w:t>
      </w:r>
    </w:p>
    <w:p w:rsidR="008A29CC" w:rsidRDefault="008A29CC" w:rsidP="008A29CC">
      <w:pPr>
        <w:rPr>
          <w:rFonts w:eastAsia="TimesNewRoman"/>
        </w:rPr>
      </w:pPr>
      <w:r>
        <w:rPr>
          <w:rFonts w:eastAsia="TimesNewRoman"/>
        </w:rPr>
        <w:t xml:space="preserve">There was a </w:t>
      </w:r>
      <w:r w:rsidRPr="008B1B64">
        <w:rPr>
          <w:rFonts w:eastAsia="TimesNewRoman"/>
        </w:rPr>
        <w:t>rapid reduction in HCV RNA across all genotypes</w:t>
      </w:r>
      <w:r>
        <w:rPr>
          <w:rFonts w:eastAsia="TimesNewRoman"/>
        </w:rPr>
        <w:t xml:space="preserve"> following QD dosing with VOX for 3 days, with decreases </w:t>
      </w:r>
      <w:r w:rsidRPr="008B1B64">
        <w:rPr>
          <w:rFonts w:eastAsia="TimesNewRoman"/>
        </w:rPr>
        <w:t xml:space="preserve">in HCV RNA </w:t>
      </w:r>
      <w:r>
        <w:rPr>
          <w:rFonts w:eastAsia="TimesNewRoman"/>
        </w:rPr>
        <w:t>compared to placebo occurring as early as 4</w:t>
      </w:r>
      <w:r w:rsidR="00CE0E69">
        <w:rPr>
          <w:rFonts w:eastAsia="TimesNewRoman"/>
        </w:rPr>
        <w:t xml:space="preserve"> hours </w:t>
      </w:r>
      <w:r>
        <w:rPr>
          <w:rFonts w:eastAsia="TimesNewRoman"/>
        </w:rPr>
        <w:t>to 6</w:t>
      </w:r>
      <w:r w:rsidR="00CE0E69">
        <w:rPr>
          <w:rFonts w:eastAsia="TimesNewRoman"/>
        </w:rPr>
        <w:t xml:space="preserve"> hours </w:t>
      </w:r>
      <w:r>
        <w:rPr>
          <w:rFonts w:eastAsia="TimesNewRoman"/>
        </w:rPr>
        <w:t>following the first administration of VOX.</w:t>
      </w:r>
    </w:p>
    <w:p w:rsidR="008A29CC" w:rsidRPr="003B4920" w:rsidRDefault="008A29CC" w:rsidP="008A29CC">
      <w:pPr>
        <w:pStyle w:val="Heading5"/>
        <w:rPr>
          <w:rFonts w:eastAsiaTheme="minorHAnsi"/>
        </w:rPr>
      </w:pPr>
      <w:r w:rsidRPr="003B4920">
        <w:t>Relationship between drug concentration and pharmacodynamic effects</w:t>
      </w:r>
    </w:p>
    <w:p w:rsidR="00476CD0" w:rsidRDefault="008A29CC" w:rsidP="008A29CC">
      <w:pPr>
        <w:pStyle w:val="ListBullet"/>
      </w:pPr>
      <w:r>
        <w:t xml:space="preserve">Following administration of </w:t>
      </w:r>
      <w:r w:rsidRPr="003B4920">
        <w:t>VOX dose</w:t>
      </w:r>
      <w:r>
        <w:t>s</w:t>
      </w:r>
      <w:r w:rsidRPr="003B4920">
        <w:t xml:space="preserve"> rang</w:t>
      </w:r>
      <w:r>
        <w:t>ing from</w:t>
      </w:r>
      <w:r w:rsidRPr="003B4920">
        <w:t xml:space="preserve"> 50 to 300</w:t>
      </w:r>
      <w:r w:rsidR="00AA5E62">
        <w:t xml:space="preserve"> mg</w:t>
      </w:r>
      <w:r>
        <w:t xml:space="preserve"> n</w:t>
      </w:r>
      <w:r w:rsidRPr="003B4920">
        <w:t xml:space="preserve">o </w:t>
      </w:r>
      <w:r w:rsidR="00CE0E69">
        <w:t>exposure response</w:t>
      </w:r>
      <w:r w:rsidRPr="003B4920">
        <w:t xml:space="preserve"> relationships were observed for subjects with genotype 1a, 1b, 2, or 4 HCV </w:t>
      </w:r>
      <w:proofErr w:type="gramStart"/>
      <w:r w:rsidRPr="003B4920">
        <w:t>infection</w:t>
      </w:r>
      <w:proofErr w:type="gramEnd"/>
      <w:r>
        <w:t>. By contrast, i</w:t>
      </w:r>
      <w:r w:rsidRPr="003B4920">
        <w:t xml:space="preserve">n subjects with genotype 3 HCV infection, an </w:t>
      </w:r>
      <w:r w:rsidR="00CE0E69">
        <w:t>exposure response</w:t>
      </w:r>
      <w:r w:rsidRPr="003B4920">
        <w:t xml:space="preserve"> relationship was identified and adequately described by a simple </w:t>
      </w:r>
      <w:r w:rsidR="00AA624F">
        <w:rPr>
          <w:rFonts w:eastAsia="TimesNewRoman" w:cs="TimesNewRoman"/>
        </w:rPr>
        <w:t>maximum (pharmacodynamics) effect</w:t>
      </w:r>
      <w:r w:rsidR="00AA624F" w:rsidRPr="003B4920">
        <w:t xml:space="preserve"> </w:t>
      </w:r>
      <w:r w:rsidR="00AA624F">
        <w:t>(</w:t>
      </w:r>
      <w:proofErr w:type="spellStart"/>
      <w:r w:rsidR="00CE0E69" w:rsidRPr="003B4920">
        <w:t>E</w:t>
      </w:r>
      <w:r w:rsidR="00CE0E69" w:rsidRPr="00CE0E69">
        <w:rPr>
          <w:vertAlign w:val="subscript"/>
        </w:rPr>
        <w:t>max</w:t>
      </w:r>
      <w:proofErr w:type="spellEnd"/>
      <w:r w:rsidR="00AA624F">
        <w:t>)</w:t>
      </w:r>
      <w:r w:rsidRPr="003B4920">
        <w:t xml:space="preserve"> model </w:t>
      </w:r>
      <w:r w:rsidR="003D019C" w:rsidRPr="003B4920">
        <w:t>utili</w:t>
      </w:r>
      <w:r w:rsidR="003D019C">
        <w:t>s</w:t>
      </w:r>
      <w:r w:rsidR="003D019C" w:rsidRPr="003B4920">
        <w:t xml:space="preserve">ing </w:t>
      </w:r>
      <w:r w:rsidRPr="003B4920">
        <w:t>VOX AUC</w:t>
      </w:r>
      <w:r w:rsidRPr="003B4920">
        <w:rPr>
          <w:vertAlign w:val="subscript"/>
        </w:rPr>
        <w:t>0-24</w:t>
      </w:r>
      <w:r w:rsidRPr="003B4920">
        <w:t xml:space="preserve"> on Day 3 of treatment</w:t>
      </w:r>
      <w:r w:rsidR="00476CD0">
        <w:t>.</w:t>
      </w:r>
    </w:p>
    <w:p w:rsidR="00500337" w:rsidRPr="00500337" w:rsidRDefault="008A29CC" w:rsidP="00500337">
      <w:pPr>
        <w:pStyle w:val="ListBullet"/>
      </w:pPr>
      <w:r w:rsidRPr="003B4920">
        <w:t xml:space="preserve">The </w:t>
      </w:r>
      <w:proofErr w:type="spellStart"/>
      <w:r w:rsidR="00CE0E69" w:rsidRPr="003B4920">
        <w:t>E</w:t>
      </w:r>
      <w:r w:rsidR="00CE0E69" w:rsidRPr="00CE0E69">
        <w:rPr>
          <w:vertAlign w:val="subscript"/>
        </w:rPr>
        <w:t>max</w:t>
      </w:r>
      <w:proofErr w:type="spellEnd"/>
      <w:r w:rsidRPr="003B4920">
        <w:t xml:space="preserve"> model </w:t>
      </w:r>
      <w:r>
        <w:t>predicted that</w:t>
      </w:r>
      <w:r w:rsidRPr="003B4920">
        <w:t xml:space="preserve"> </w:t>
      </w:r>
      <w:r>
        <w:t xml:space="preserve">the </w:t>
      </w:r>
      <w:r w:rsidRPr="003B4920">
        <w:t xml:space="preserve">exposures achieved </w:t>
      </w:r>
      <w:r>
        <w:t xml:space="preserve">following administration of </w:t>
      </w:r>
      <w:r w:rsidRPr="003B4920">
        <w:t>SOF/VEL FDC</w:t>
      </w:r>
      <w:r>
        <w:t xml:space="preserve"> in combination with VOX 100</w:t>
      </w:r>
      <w:r w:rsidR="00AA5E62">
        <w:t xml:space="preserve"> mg</w:t>
      </w:r>
      <w:r>
        <w:t xml:space="preserve"> would</w:t>
      </w:r>
      <w:r w:rsidRPr="003B4920">
        <w:t xml:space="preserve"> provide </w:t>
      </w:r>
      <w:r w:rsidR="00476CD0">
        <w:t xml:space="preserve">&gt; </w:t>
      </w:r>
      <w:r w:rsidRPr="003B4920">
        <w:t xml:space="preserve">90% of maximal antiviral response in subjects with genotype 1a, 1b, 2, 3, or 4 HCV </w:t>
      </w:r>
      <w:proofErr w:type="gramStart"/>
      <w:r w:rsidRPr="003B4920">
        <w:t>infection</w:t>
      </w:r>
      <w:proofErr w:type="gramEnd"/>
      <w:r>
        <w:t>.</w:t>
      </w:r>
    </w:p>
    <w:p w:rsidR="008E7846" w:rsidRDefault="00605AD4" w:rsidP="00605AD4">
      <w:pPr>
        <w:pStyle w:val="Heading3"/>
      </w:pPr>
      <w:bookmarkStart w:id="96" w:name="_Toc8291124"/>
      <w:r>
        <w:t>Dosage selection for the pivotal studies</w:t>
      </w:r>
      <w:bookmarkEnd w:id="96"/>
    </w:p>
    <w:p w:rsidR="005F3B70" w:rsidRPr="005F3B70" w:rsidRDefault="005F3B70" w:rsidP="005F3B70">
      <w:pPr>
        <w:pStyle w:val="Heading4"/>
      </w:pPr>
      <w:bookmarkStart w:id="97" w:name="_Toc416353695"/>
      <w:bookmarkStart w:id="98" w:name="_Toc421005262"/>
      <w:bookmarkStart w:id="99" w:name="_Toc432079144"/>
      <w:bookmarkStart w:id="100" w:name="_Toc432080717"/>
      <w:bookmarkStart w:id="101" w:name="_Toc496265983"/>
      <w:r w:rsidRPr="005F3B70">
        <w:t>Pharmacokinetics and pharmacodynamics: dose finding studies</w:t>
      </w:r>
      <w:bookmarkEnd w:id="97"/>
      <w:bookmarkEnd w:id="98"/>
      <w:bookmarkEnd w:id="99"/>
      <w:bookmarkEnd w:id="100"/>
      <w:bookmarkEnd w:id="101"/>
    </w:p>
    <w:p w:rsidR="00476CD0" w:rsidRDefault="005F3B70" w:rsidP="005F3B70">
      <w:r w:rsidRPr="005F3B70">
        <w:t xml:space="preserve">Collectively, data from dose-ranging studies within the SOF </w:t>
      </w:r>
      <w:r w:rsidR="00476CD0">
        <w:t>single agent</w:t>
      </w:r>
      <w:r w:rsidRPr="005F3B70">
        <w:t xml:space="preserve"> development program and the SOF/VEL development program supported selection of SOF 400</w:t>
      </w:r>
      <w:r w:rsidR="00AA5E62">
        <w:t xml:space="preserve"> mg</w:t>
      </w:r>
      <w:r w:rsidRPr="005F3B70">
        <w:t xml:space="preserve"> for the treatment of chronic HCV infection in combination with RBV or Peg-IFN+RBV. The combined efficacy and safety data from the SOF </w:t>
      </w:r>
      <w:r w:rsidR="00476CD0">
        <w:t>Phase II</w:t>
      </w:r>
      <w:r w:rsidRPr="005F3B70">
        <w:t xml:space="preserve"> </w:t>
      </w:r>
      <w:r w:rsidR="00CE0E69">
        <w:t>dose finding</w:t>
      </w:r>
      <w:r w:rsidRPr="005F3B70">
        <w:t xml:space="preserve"> Studies P7977-0221 and P7977-0422 supported the selection of the SOF 400</w:t>
      </w:r>
      <w:r w:rsidR="00AA5E62">
        <w:t xml:space="preserve"> mg</w:t>
      </w:r>
      <w:r w:rsidRPr="005F3B70">
        <w:t xml:space="preserve"> dose in the SOF/VEL/VOX development program</w:t>
      </w:r>
      <w:r w:rsidR="00476CD0">
        <w:t>.</w:t>
      </w:r>
    </w:p>
    <w:p w:rsidR="005F3B70" w:rsidRPr="005F3B70" w:rsidRDefault="005F3B70" w:rsidP="005F3B70">
      <w:r w:rsidRPr="005F3B70">
        <w:t xml:space="preserve">Using PK and antiviral response data following VEL monotherapy, </w:t>
      </w:r>
      <w:proofErr w:type="spellStart"/>
      <w:r w:rsidR="00CE0E69" w:rsidRPr="003B4920">
        <w:t>E</w:t>
      </w:r>
      <w:r w:rsidR="00CE0E69" w:rsidRPr="00CE0E69">
        <w:rPr>
          <w:vertAlign w:val="subscript"/>
        </w:rPr>
        <w:t>max</w:t>
      </w:r>
      <w:proofErr w:type="spellEnd"/>
      <w:r w:rsidRPr="005F3B70">
        <w:t xml:space="preserve"> modelling predicted VEL exposures at a 100</w:t>
      </w:r>
      <w:r w:rsidR="00AA5E62">
        <w:t xml:space="preserve"> mg</w:t>
      </w:r>
      <w:r w:rsidRPr="005F3B70">
        <w:t xml:space="preserve"> dose would achieve near maximal (</w:t>
      </w:r>
      <w:r w:rsidR="00AA5E62">
        <w:t xml:space="preserve">≥ </w:t>
      </w:r>
      <w:r w:rsidRPr="005F3B70">
        <w:t>99.5%) antiviral effect, and doses above 100</w:t>
      </w:r>
      <w:r w:rsidR="00AA5E62">
        <w:t xml:space="preserve"> mg</w:t>
      </w:r>
      <w:r w:rsidRPr="005F3B70">
        <w:t xml:space="preserve"> are unlikely to cause further meaningful reductions in HCV RNA. </w:t>
      </w:r>
      <w:r w:rsidR="00476CD0">
        <w:t>Phase II</w:t>
      </w:r>
      <w:r w:rsidRPr="005F3B70">
        <w:t xml:space="preserve"> studies were conducted evaluating antiviral efficacy (SVR at 12 weeks following completion of all treatment </w:t>
      </w:r>
      <w:r w:rsidR="000E1116">
        <w:t>(</w:t>
      </w:r>
      <w:r w:rsidRPr="005F3B70">
        <w:t>SVR12</w:t>
      </w:r>
      <w:r w:rsidR="000E1116">
        <w:t>)</w:t>
      </w:r>
      <w:r w:rsidRPr="005F3B70">
        <w:t>) following administration of SOF 400</w:t>
      </w:r>
      <w:r w:rsidR="00AA5E62">
        <w:t xml:space="preserve"> mg</w:t>
      </w:r>
      <w:r w:rsidRPr="005F3B70">
        <w:t xml:space="preserve"> with VEL 25</w:t>
      </w:r>
      <w:r w:rsidR="00AA5E62">
        <w:t xml:space="preserve"> mg</w:t>
      </w:r>
      <w:r w:rsidRPr="005F3B70">
        <w:t xml:space="preserve"> or 100</w:t>
      </w:r>
      <w:r w:rsidR="00AA5E62">
        <w:t xml:space="preserve"> mg</w:t>
      </w:r>
      <w:r w:rsidRPr="005F3B70">
        <w:t>. High SVR12 rates were achieved across all HCV genotypes in subjects receiving SOF 400</w:t>
      </w:r>
      <w:r w:rsidR="00AA5E62">
        <w:t xml:space="preserve"> mg</w:t>
      </w:r>
      <w:r w:rsidRPr="005F3B70">
        <w:t xml:space="preserve"> + VEL 100</w:t>
      </w:r>
      <w:r w:rsidR="00AA5E62">
        <w:t xml:space="preserve"> mg</w:t>
      </w:r>
      <w:r w:rsidRPr="005F3B70">
        <w:t xml:space="preserve"> for 12 weeks; these results </w:t>
      </w:r>
      <w:r w:rsidRPr="005F3B70">
        <w:lastRenderedPageBreak/>
        <w:t>supported evaluation of SOF/VEL 400/100</w:t>
      </w:r>
      <w:r w:rsidR="00AA5E62">
        <w:t xml:space="preserve"> mg</w:t>
      </w:r>
      <w:r w:rsidRPr="005F3B70">
        <w:t xml:space="preserve"> in </w:t>
      </w:r>
      <w:r w:rsidR="00476CD0">
        <w:t>Phase III</w:t>
      </w:r>
      <w:r w:rsidRPr="005F3B70">
        <w:t xml:space="preserve"> studies and the selection of the VEL 100</w:t>
      </w:r>
      <w:r w:rsidR="00AA5E62">
        <w:t xml:space="preserve"> mg</w:t>
      </w:r>
      <w:r w:rsidRPr="005F3B70">
        <w:t xml:space="preserve"> dose in the SOF/VEL/VOX development program.</w:t>
      </w:r>
    </w:p>
    <w:p w:rsidR="00476CD0" w:rsidRDefault="005F3B70" w:rsidP="005F3B70">
      <w:r w:rsidRPr="005F3B70">
        <w:t xml:space="preserve">Using PK and antiviral response data following VOX monotherapy, </w:t>
      </w:r>
      <w:proofErr w:type="spellStart"/>
      <w:r w:rsidR="00CE0E69" w:rsidRPr="003B4920">
        <w:t>E</w:t>
      </w:r>
      <w:r w:rsidR="00CE0E69" w:rsidRPr="00CE0E69">
        <w:rPr>
          <w:vertAlign w:val="subscript"/>
        </w:rPr>
        <w:t>max</w:t>
      </w:r>
      <w:proofErr w:type="spellEnd"/>
      <w:r w:rsidRPr="005F3B70">
        <w:t xml:space="preserve"> modelling predicted VOX exposures at a 100</w:t>
      </w:r>
      <w:r w:rsidR="00AA5E62">
        <w:t xml:space="preserve"> mg</w:t>
      </w:r>
      <w:r w:rsidRPr="005F3B70">
        <w:t xml:space="preserve"> dose when administered as SOF/VEL/VOX with food would achieve near maximal (</w:t>
      </w:r>
      <w:r w:rsidR="00AA5E62">
        <w:t xml:space="preserve">≥ </w:t>
      </w:r>
      <w:r w:rsidRPr="005F3B70">
        <w:t>90%) antiviral effect, and doses above 100</w:t>
      </w:r>
      <w:r w:rsidR="00AA5E62">
        <w:t xml:space="preserve"> mg</w:t>
      </w:r>
      <w:r w:rsidRPr="005F3B70">
        <w:t xml:space="preserve"> are unlikely to cause further meaningful reductions in HCV RNA. </w:t>
      </w:r>
      <w:r w:rsidR="00476CD0">
        <w:t>Phase II</w:t>
      </w:r>
      <w:r w:rsidRPr="005F3B70">
        <w:t xml:space="preserve"> studies were conducted evaluating antiviral efficacy (SVR12) following administration of SOF/VEL 400/100</w:t>
      </w:r>
      <w:r w:rsidR="00AA5E62">
        <w:t xml:space="preserve"> mg</w:t>
      </w:r>
      <w:r w:rsidRPr="005F3B70">
        <w:t xml:space="preserve"> with VOX 100</w:t>
      </w:r>
      <w:r w:rsidR="00AA5E62">
        <w:t xml:space="preserve"> mg</w:t>
      </w:r>
      <w:r w:rsidRPr="005F3B70">
        <w:t>. High SVR12 rates were achieved across all HCV genotypes in subjects receiving SOF/VEL 400/100</w:t>
      </w:r>
      <w:r w:rsidR="00AA5E62">
        <w:t xml:space="preserve"> mg</w:t>
      </w:r>
      <w:r w:rsidRPr="005F3B70">
        <w:t xml:space="preserve"> + VOX 100</w:t>
      </w:r>
      <w:r w:rsidR="00AA5E62">
        <w:t xml:space="preserve"> mg</w:t>
      </w:r>
      <w:r w:rsidRPr="005F3B70">
        <w:t>; these results supported evaluation of SOF/VEL/VOX 400/100/100</w:t>
      </w:r>
      <w:r w:rsidR="00AA5E62">
        <w:t xml:space="preserve"> mg</w:t>
      </w:r>
      <w:r w:rsidRPr="005F3B70">
        <w:t xml:space="preserve"> in </w:t>
      </w:r>
      <w:r w:rsidR="00476CD0">
        <w:t>Phase III</w:t>
      </w:r>
      <w:r w:rsidRPr="005F3B70">
        <w:t xml:space="preserve"> studies</w:t>
      </w:r>
      <w:r w:rsidR="00476CD0">
        <w:t>.</w:t>
      </w:r>
    </w:p>
    <w:p w:rsidR="005F3B70" w:rsidRPr="005F3B70" w:rsidRDefault="005F3B70" w:rsidP="005F3B70">
      <w:r w:rsidRPr="005F3B70">
        <w:t xml:space="preserve">The </w:t>
      </w:r>
      <w:r w:rsidR="00476CD0">
        <w:t>Phase I</w:t>
      </w:r>
      <w:r w:rsidRPr="005F3B70">
        <w:t xml:space="preserve"> Study GS-US-367-1176 established the PK of SOF/VEL/VOX 400/100/100</w:t>
      </w:r>
      <w:r w:rsidR="00AA5E62">
        <w:t xml:space="preserve"> mg</w:t>
      </w:r>
      <w:r w:rsidRPr="005F3B70">
        <w:t xml:space="preserve"> FDC to be similar to co-administered SOF/VEL+VOX. The SOF/VEL/VOX FDC was administered to subjects with HCV infection in all </w:t>
      </w:r>
      <w:r w:rsidR="00476CD0">
        <w:t>Phase III</w:t>
      </w:r>
      <w:r w:rsidRPr="005F3B70">
        <w:t xml:space="preserve"> studies (GS-US-367-1171 </w:t>
      </w:r>
      <w:r w:rsidR="000E1116">
        <w:t>(</w:t>
      </w:r>
      <w:r w:rsidRPr="005F3B70">
        <w:t>POLARIS-1</w:t>
      </w:r>
      <w:r w:rsidR="000E1116">
        <w:t>)</w:t>
      </w:r>
      <w:r w:rsidRPr="005F3B70">
        <w:t xml:space="preserve">, GS-US-367-1170 </w:t>
      </w:r>
      <w:r w:rsidR="000E1116">
        <w:t>(</w:t>
      </w:r>
      <w:r w:rsidRPr="005F3B70">
        <w:t>POLARIS-4</w:t>
      </w:r>
      <w:r w:rsidR="000E1116">
        <w:t>)</w:t>
      </w:r>
      <w:r w:rsidRPr="005F3B70">
        <w:t xml:space="preserve">, GS-US-367-1172 </w:t>
      </w:r>
      <w:r w:rsidR="000E1116">
        <w:t>(</w:t>
      </w:r>
      <w:r w:rsidRPr="005F3B70">
        <w:t>POLARIS-2</w:t>
      </w:r>
      <w:r w:rsidR="000E1116">
        <w:t>)</w:t>
      </w:r>
      <w:r w:rsidRPr="005F3B70">
        <w:t xml:space="preserve"> and GS-US</w:t>
      </w:r>
      <w:r w:rsidR="00E45B2D">
        <w:noBreakHyphen/>
      </w:r>
      <w:r w:rsidRPr="005F3B70">
        <w:t>367</w:t>
      </w:r>
      <w:r w:rsidR="00E45B2D">
        <w:noBreakHyphen/>
      </w:r>
      <w:r w:rsidRPr="005F3B70">
        <w:t xml:space="preserve">1173 </w:t>
      </w:r>
      <w:r w:rsidR="000E1116">
        <w:t>(</w:t>
      </w:r>
      <w:r w:rsidRPr="005F3B70">
        <w:t>POLARIS-3</w:t>
      </w:r>
      <w:r w:rsidR="000E1116">
        <w:t>)</w:t>
      </w:r>
      <w:r w:rsidRPr="005F3B70">
        <w:t xml:space="preserve">). Based on population-based PK for SOF, GS-331007, VEL and VOX, model-predicted percentage of </w:t>
      </w:r>
      <w:proofErr w:type="spellStart"/>
      <w:r w:rsidR="00CE0E69" w:rsidRPr="003B4920">
        <w:t>E</w:t>
      </w:r>
      <w:r w:rsidR="00CE0E69" w:rsidRPr="00CE0E69">
        <w:rPr>
          <w:vertAlign w:val="subscript"/>
        </w:rPr>
        <w:t>max</w:t>
      </w:r>
      <w:proofErr w:type="spellEnd"/>
      <w:r w:rsidRPr="005F3B70">
        <w:t xml:space="preserve"> for HCV RNA suppression from SOF/VEL/VOX </w:t>
      </w:r>
      <w:r w:rsidR="00CE0E69">
        <w:t>Phase </w:t>
      </w:r>
      <w:r w:rsidR="00476CD0">
        <w:t>III</w:t>
      </w:r>
      <w:r w:rsidRPr="005F3B70">
        <w:t xml:space="preserve"> studies resides in the near-maximal portion of the </w:t>
      </w:r>
      <w:r w:rsidR="00CE0E69">
        <w:t>exposure response</w:t>
      </w:r>
      <w:r w:rsidRPr="005F3B70">
        <w:t xml:space="preserve"> curves for each analyte, with mean (%CV) predicted maximal HCV RNA suppression (% of </w:t>
      </w:r>
      <w:proofErr w:type="spellStart"/>
      <w:r w:rsidR="00CE0E69" w:rsidRPr="003B4920">
        <w:t>E</w:t>
      </w:r>
      <w:r w:rsidR="00CE0E69" w:rsidRPr="00CE0E69">
        <w:rPr>
          <w:vertAlign w:val="subscript"/>
        </w:rPr>
        <w:t>max</w:t>
      </w:r>
      <w:proofErr w:type="spellEnd"/>
      <w:r w:rsidRPr="005F3B70">
        <w:t>) estimated as 87.4% (3.67%) for SOF, 94.9% (2.62%) for GS-331007, 99.6% (0.26%) for VEL, and at least 87.4% (8.82%) for VOX. These data further support the use of SOF 400</w:t>
      </w:r>
      <w:r w:rsidR="00D35780">
        <w:t> </w:t>
      </w:r>
      <w:r w:rsidR="00AA5E62">
        <w:t>mg</w:t>
      </w:r>
      <w:r w:rsidRPr="005F3B70">
        <w:t>, VEL 100</w:t>
      </w:r>
      <w:r w:rsidR="00AA5E62">
        <w:t xml:space="preserve"> mg</w:t>
      </w:r>
      <w:r w:rsidRPr="005F3B70">
        <w:t xml:space="preserve"> and VOX 100</w:t>
      </w:r>
      <w:r w:rsidR="00AA5E62">
        <w:t xml:space="preserve"> mg</w:t>
      </w:r>
      <w:r w:rsidRPr="005F3B70">
        <w:t xml:space="preserve"> doses as components of the SOF/VEL/VOX FDC tablet.</w:t>
      </w:r>
    </w:p>
    <w:p w:rsidR="005F3B70" w:rsidRPr="005F3B70" w:rsidRDefault="005F3B70" w:rsidP="005F3B70">
      <w:pPr>
        <w:pStyle w:val="Heading4"/>
      </w:pPr>
      <w:bookmarkStart w:id="102" w:name="_Toc416353696"/>
      <w:bookmarkStart w:id="103" w:name="_Toc421005263"/>
      <w:bookmarkStart w:id="104" w:name="_Toc432079145"/>
      <w:bookmarkStart w:id="105" w:name="_Toc432080718"/>
      <w:bookmarkStart w:id="106" w:name="_Toc496265984"/>
      <w:r w:rsidRPr="005F3B70">
        <w:t>Phase II dose finding studies</w:t>
      </w:r>
      <w:bookmarkEnd w:id="102"/>
      <w:bookmarkEnd w:id="103"/>
      <w:bookmarkEnd w:id="104"/>
      <w:bookmarkEnd w:id="105"/>
      <w:bookmarkEnd w:id="106"/>
    </w:p>
    <w:p w:rsidR="00476CD0" w:rsidRDefault="005F3B70" w:rsidP="005F3B70">
      <w:r w:rsidRPr="005F3B70">
        <w:t xml:space="preserve">The efficacy and safety of SOF/VEL+VOX or SOF/VEL/VOX were evaluated in four </w:t>
      </w:r>
      <w:r w:rsidR="00476CD0">
        <w:t>Phase II</w:t>
      </w:r>
      <w:r w:rsidRPr="005F3B70">
        <w:t xml:space="preserve"> studies in </w:t>
      </w:r>
      <w:r w:rsidR="00CE0E69">
        <w:t>DAA experienced</w:t>
      </w:r>
      <w:r w:rsidRPr="005F3B70">
        <w:t xml:space="preserve"> and </w:t>
      </w:r>
      <w:r w:rsidR="00CE0E69">
        <w:t>DAA naive</w:t>
      </w:r>
      <w:r w:rsidRPr="005F3B70">
        <w:t xml:space="preserve"> subjects with HCV infection with or without cirrhosis (Studies GS-US-337-1468 </w:t>
      </w:r>
      <w:r w:rsidR="000E1116">
        <w:t>(</w:t>
      </w:r>
      <w:r w:rsidRPr="005F3B70">
        <w:t>LEPTON, Cohorts 4 and 5</w:t>
      </w:r>
      <w:r w:rsidR="000E1116">
        <w:t>)</w:t>
      </w:r>
      <w:r w:rsidRPr="005F3B70">
        <w:t>, GS-US-367-1168, GS</w:t>
      </w:r>
      <w:r w:rsidR="0034184C">
        <w:noBreakHyphen/>
      </w:r>
      <w:r w:rsidRPr="005F3B70">
        <w:t>US</w:t>
      </w:r>
      <w:r w:rsidR="0034184C">
        <w:noBreakHyphen/>
      </w:r>
      <w:r w:rsidRPr="005F3B70">
        <w:t xml:space="preserve">367-1169 and GS-US-367-1871 </w:t>
      </w:r>
      <w:r w:rsidR="000E1116">
        <w:t>(</w:t>
      </w:r>
      <w:r w:rsidRPr="005F3B70">
        <w:t>TRILOGY-3</w:t>
      </w:r>
      <w:r w:rsidR="000E1116">
        <w:t>)</w:t>
      </w:r>
      <w:r w:rsidRPr="005F3B70">
        <w:t xml:space="preserve">). Results of the </w:t>
      </w:r>
      <w:r w:rsidR="00476CD0">
        <w:t>Phase II</w:t>
      </w:r>
      <w:r w:rsidRPr="005F3B70">
        <w:t xml:space="preserve"> studies confirmed the selection of the VOX dose of 100</w:t>
      </w:r>
      <w:r w:rsidR="00AA5E62">
        <w:t xml:space="preserve"> mg</w:t>
      </w:r>
      <w:r w:rsidRPr="005F3B70">
        <w:t xml:space="preserve"> and treatment duration of 8 or 12 weeks as the most efficacious and appropriate for evaluation in the </w:t>
      </w:r>
      <w:r w:rsidR="00476CD0">
        <w:t>Phase III</w:t>
      </w:r>
      <w:r w:rsidRPr="005F3B70">
        <w:t xml:space="preserve"> studies. Across the four </w:t>
      </w:r>
      <w:r w:rsidR="00476CD0">
        <w:t>Phase II</w:t>
      </w:r>
      <w:r w:rsidRPr="005F3B70">
        <w:t xml:space="preserve"> studies, the SVR12 rates in these specifically defined populations were 97.</w:t>
      </w:r>
      <w:r w:rsidR="00CE0E69">
        <w:t xml:space="preserve">0% (131 of 135 subjects) in DAA </w:t>
      </w:r>
      <w:r w:rsidRPr="005F3B70">
        <w:t xml:space="preserve">naïve subjects receiving 8 weeks of treatment and 99.2% (124 of 125 subjects) in </w:t>
      </w:r>
      <w:r w:rsidR="00CE0E69">
        <w:t>DAA experienced</w:t>
      </w:r>
      <w:r w:rsidRPr="005F3B70">
        <w:t xml:space="preserve"> subjects receiving 12 weeks of </w:t>
      </w:r>
      <w:r w:rsidRPr="00AC0F8C">
        <w:t>treatment (</w:t>
      </w:r>
      <w:r w:rsidR="000E1116" w:rsidRPr="00AC0F8C">
        <w:t>Table</w:t>
      </w:r>
      <w:r w:rsidR="00D35780">
        <w:t> </w:t>
      </w:r>
      <w:r w:rsidR="00AC0F8C">
        <w:t>8</w:t>
      </w:r>
      <w:r w:rsidRPr="005F3B70">
        <w:t>)</w:t>
      </w:r>
      <w:r w:rsidR="00476CD0">
        <w:t>.</w:t>
      </w:r>
    </w:p>
    <w:p w:rsidR="000E1116" w:rsidRDefault="000E1116" w:rsidP="000E1116">
      <w:pPr>
        <w:pStyle w:val="Tabletitle0"/>
      </w:pPr>
      <w:bookmarkStart w:id="107" w:name="_Ref485290288"/>
      <w:bookmarkStart w:id="108" w:name="_Toc496266275"/>
      <w:r w:rsidRPr="00AC0F8C">
        <w:t xml:space="preserve">Table </w:t>
      </w:r>
      <w:r w:rsidR="00AC0F8C" w:rsidRPr="00AC0F8C">
        <w:t>8</w:t>
      </w:r>
      <w:r w:rsidRPr="00AC0F8C">
        <w:t>:</w:t>
      </w:r>
      <w:r>
        <w:t xml:space="preserve"> SO</w:t>
      </w:r>
      <w:r w:rsidR="00AC0F8C">
        <w:t>F/VEL+VOX or SOF/VEL/VOX Phase II</w:t>
      </w:r>
      <w:r>
        <w:t xml:space="preserve"> study results for 8 weeks of treatment in DAA-naïve subjects and 12 weeks of treatment in DAA experienced subjects</w:t>
      </w:r>
      <w:bookmarkEnd w:id="107"/>
      <w:bookmarkEnd w:id="108"/>
    </w:p>
    <w:p w:rsidR="000E1116" w:rsidRDefault="000E1116" w:rsidP="005F3B70">
      <w:r>
        <w:rPr>
          <w:noProof/>
          <w:lang w:eastAsia="en-AU"/>
        </w:rPr>
        <w:drawing>
          <wp:inline distT="0" distB="0" distL="0" distR="0" wp14:anchorId="1BA0E6B9" wp14:editId="06C00660">
            <wp:extent cx="5400040" cy="2253478"/>
            <wp:effectExtent l="0" t="0" r="0" b="0"/>
            <wp:docPr id="17" name="Picture 17" descr="Table 8: SOF/VEL+VOX or SOF/VEL/VOX Phase II study results for 8 weeks of treatment in DAA-naïve subjects and 12 weeks of treatment in DAA experienc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253478"/>
                    </a:xfrm>
                    <a:prstGeom prst="rect">
                      <a:avLst/>
                    </a:prstGeom>
                  </pic:spPr>
                </pic:pic>
              </a:graphicData>
            </a:graphic>
          </wp:inline>
        </w:drawing>
      </w:r>
    </w:p>
    <w:p w:rsidR="005F3B70" w:rsidRPr="005F3B70" w:rsidRDefault="005F3B70" w:rsidP="005F3B70">
      <w:pPr>
        <w:pStyle w:val="Heading4"/>
      </w:pPr>
      <w:bookmarkStart w:id="109" w:name="_Toc416353712"/>
      <w:bookmarkStart w:id="110" w:name="_Toc421005265"/>
      <w:bookmarkStart w:id="111" w:name="_Toc432079147"/>
      <w:bookmarkStart w:id="112" w:name="_Toc432080720"/>
      <w:bookmarkStart w:id="113" w:name="_Toc496265985"/>
      <w:r w:rsidRPr="005F3B70">
        <w:lastRenderedPageBreak/>
        <w:t>Phase III pivotal studies investigating more than one dose regimen</w:t>
      </w:r>
      <w:bookmarkEnd w:id="109"/>
      <w:bookmarkEnd w:id="110"/>
      <w:bookmarkEnd w:id="111"/>
      <w:bookmarkEnd w:id="112"/>
      <w:bookmarkEnd w:id="113"/>
    </w:p>
    <w:p w:rsidR="005F3B70" w:rsidRPr="005F3B70" w:rsidRDefault="005F3B70" w:rsidP="005F3B70">
      <w:r w:rsidRPr="005F3B70">
        <w:t xml:space="preserve">The pivotal </w:t>
      </w:r>
      <w:r w:rsidR="00476CD0">
        <w:t>Phase III</w:t>
      </w:r>
      <w:r w:rsidR="00507436">
        <w:t xml:space="preserve"> POLARIS-1 and POLARIS-</w:t>
      </w:r>
      <w:r w:rsidRPr="005F3B70">
        <w:t xml:space="preserve">4 </w:t>
      </w:r>
      <w:r w:rsidR="00852D86">
        <w:t xml:space="preserve">trials </w:t>
      </w:r>
      <w:r w:rsidRPr="005F3B70">
        <w:t xml:space="preserve">evaluated 12 weeks duration of treatment with proposed FDC of SOF/VEL/VOX in </w:t>
      </w:r>
      <w:r w:rsidR="00CE0E69">
        <w:t>DAA experienced</w:t>
      </w:r>
      <w:r w:rsidRPr="005F3B70">
        <w:t xml:space="preserve"> HCV patients while the </w:t>
      </w:r>
      <w:r w:rsidR="00476CD0">
        <w:t>Phase III</w:t>
      </w:r>
      <w:r w:rsidR="00507436">
        <w:t xml:space="preserve"> POLARIS-2 and POLARIS-</w:t>
      </w:r>
      <w:r w:rsidRPr="005F3B70">
        <w:t xml:space="preserve">3 </w:t>
      </w:r>
      <w:r w:rsidR="00852D86">
        <w:t xml:space="preserve">trials </w:t>
      </w:r>
      <w:r w:rsidRPr="005F3B70">
        <w:t>evaluated efficacy of 8 weeks treatment with SOF/VEL/VOX in DAA-</w:t>
      </w:r>
      <w:r w:rsidR="003A5113">
        <w:t>treatment naïve</w:t>
      </w:r>
      <w:r w:rsidRPr="005F3B70">
        <w:t xml:space="preserve"> HCV patients.</w:t>
      </w:r>
    </w:p>
    <w:p w:rsidR="005F3B70" w:rsidRPr="005F3B70" w:rsidRDefault="005F3B70" w:rsidP="005F3B70">
      <w:pPr>
        <w:pStyle w:val="Heading4"/>
      </w:pPr>
      <w:bookmarkStart w:id="114" w:name="_Toc416353713"/>
      <w:bookmarkStart w:id="115" w:name="_Toc421005266"/>
      <w:bookmarkStart w:id="116" w:name="_Toc432079148"/>
      <w:bookmarkStart w:id="117" w:name="_Toc432080721"/>
      <w:bookmarkStart w:id="118" w:name="_Toc496265986"/>
      <w:r w:rsidRPr="005F3B70">
        <w:t>Evaluator’s conclusions on dose finding for the pivotal studies</w:t>
      </w:r>
      <w:bookmarkEnd w:id="114"/>
      <w:bookmarkEnd w:id="115"/>
      <w:bookmarkEnd w:id="116"/>
      <w:bookmarkEnd w:id="117"/>
      <w:bookmarkEnd w:id="118"/>
    </w:p>
    <w:p w:rsidR="00476CD0" w:rsidRDefault="005F3B70" w:rsidP="005F3B70">
      <w:r w:rsidRPr="005F3B70">
        <w:t>The proposed rationale for selection of doses of individual components for the proposed FDC of SOF/VEL/VOX (400/100/100</w:t>
      </w:r>
      <w:r w:rsidR="00AA5E62">
        <w:t xml:space="preserve"> mg</w:t>
      </w:r>
      <w:r w:rsidRPr="005F3B70">
        <w:t>) is justified</w:t>
      </w:r>
      <w:r w:rsidR="00476CD0">
        <w:t>.</w:t>
      </w:r>
    </w:p>
    <w:p w:rsidR="008E7846" w:rsidRPr="00254787" w:rsidRDefault="008E7846" w:rsidP="008E7846">
      <w:pPr>
        <w:pStyle w:val="Heading3"/>
      </w:pPr>
      <w:bookmarkStart w:id="119" w:name="_Toc163441372"/>
      <w:bookmarkStart w:id="120" w:name="_Toc196046485"/>
      <w:bookmarkStart w:id="121" w:name="_Toc247691521"/>
      <w:bookmarkStart w:id="122" w:name="_Toc314842504"/>
      <w:bookmarkStart w:id="123" w:name="_Toc8291125"/>
      <w:r w:rsidRPr="00254787">
        <w:t>Efficacy</w:t>
      </w:r>
      <w:bookmarkEnd w:id="119"/>
      <w:bookmarkEnd w:id="120"/>
      <w:bookmarkEnd w:id="121"/>
      <w:bookmarkEnd w:id="122"/>
      <w:bookmarkEnd w:id="123"/>
    </w:p>
    <w:p w:rsidR="00605AD4" w:rsidRDefault="00605AD4" w:rsidP="00605AD4">
      <w:pPr>
        <w:pStyle w:val="Heading4"/>
      </w:pPr>
      <w:bookmarkStart w:id="124" w:name="_Toc184439992"/>
      <w:bookmarkStart w:id="125" w:name="_Toc184440279"/>
      <w:bookmarkStart w:id="126" w:name="_Toc184444657"/>
      <w:bookmarkStart w:id="127" w:name="_Toc196046487"/>
      <w:r>
        <w:t>Studies providing efficacy data</w:t>
      </w:r>
    </w:p>
    <w:p w:rsidR="005F3B70" w:rsidRPr="0068098B" w:rsidRDefault="005F3B70" w:rsidP="005F3B70">
      <w:pPr>
        <w:pStyle w:val="Heading5"/>
        <w:rPr>
          <w:rFonts w:eastAsia="TimesNewRoman"/>
        </w:rPr>
      </w:pPr>
      <w:r w:rsidRPr="0068098B">
        <w:rPr>
          <w:rFonts w:eastAsia="TimesNewRoman"/>
        </w:rPr>
        <w:t xml:space="preserve">Four pivotal </w:t>
      </w:r>
      <w:r w:rsidR="00476CD0">
        <w:rPr>
          <w:rFonts w:eastAsia="TimesNewRoman"/>
        </w:rPr>
        <w:t>Phase III</w:t>
      </w:r>
      <w:r w:rsidR="00CE0E69">
        <w:rPr>
          <w:rFonts w:eastAsia="TimesNewRoman"/>
        </w:rPr>
        <w:t xml:space="preserve"> studies</w:t>
      </w:r>
    </w:p>
    <w:p w:rsidR="005F3B70" w:rsidRPr="005F3B70" w:rsidRDefault="00BB6256" w:rsidP="00E650A8">
      <w:pPr>
        <w:pStyle w:val="Numberbullet0"/>
        <w:numPr>
          <w:ilvl w:val="0"/>
          <w:numId w:val="15"/>
        </w:numPr>
        <w:rPr>
          <w:color w:val="000000"/>
        </w:rPr>
      </w:pPr>
      <w:r>
        <w:t xml:space="preserve">Study </w:t>
      </w:r>
      <w:r w:rsidR="00507436">
        <w:t>GS-US-367-1171 (POLARIS-</w:t>
      </w:r>
      <w:r w:rsidR="005F3B70">
        <w:t>1</w:t>
      </w:r>
      <w:r>
        <w:t xml:space="preserve"> trial</w:t>
      </w:r>
      <w:r w:rsidR="005F3B70">
        <w:t xml:space="preserve">): </w:t>
      </w:r>
      <w:r w:rsidR="005F3B70" w:rsidRPr="00962DF7">
        <w:t xml:space="preserve">A </w:t>
      </w:r>
      <w:r w:rsidR="00476CD0">
        <w:t>Phase III</w:t>
      </w:r>
      <w:r w:rsidR="005F3B70" w:rsidRPr="00962DF7">
        <w:t xml:space="preserve">, </w:t>
      </w:r>
      <w:r w:rsidR="00CE0E69" w:rsidRPr="00962DF7">
        <w:t>global, multicent</w:t>
      </w:r>
      <w:r w:rsidR="00CE0E69">
        <w:t>re</w:t>
      </w:r>
      <w:r w:rsidR="00CE0E69" w:rsidRPr="00962DF7">
        <w:t>, random</w:t>
      </w:r>
      <w:r w:rsidR="00CE0E69">
        <w:t>ise</w:t>
      </w:r>
      <w:r w:rsidR="00CE0E69" w:rsidRPr="00962DF7">
        <w:t xml:space="preserve">d, </w:t>
      </w:r>
      <w:r w:rsidR="00CE0E69">
        <w:t>double blind</w:t>
      </w:r>
      <w:r w:rsidR="00CE0E69" w:rsidRPr="00962DF7">
        <w:t>,</w:t>
      </w:r>
      <w:r w:rsidR="00CE0E69">
        <w:t xml:space="preserve"> placebo controlled</w:t>
      </w:r>
      <w:r w:rsidR="00CE0E69" w:rsidRPr="00962DF7">
        <w:t xml:space="preserve"> study to investigate the safety and efficacy of </w:t>
      </w:r>
      <w:r w:rsidR="00CE0E69">
        <w:t>sofosbuvir</w:t>
      </w:r>
      <w:r w:rsidR="00CE0E69" w:rsidRPr="00962DF7">
        <w:t>/</w:t>
      </w:r>
      <w:r w:rsidR="00CE0E69">
        <w:t>velpatasvir</w:t>
      </w:r>
      <w:r w:rsidR="005F3B70" w:rsidRPr="00962DF7">
        <w:t xml:space="preserve">/GS-9857 </w:t>
      </w:r>
      <w:r w:rsidR="00D43BF2">
        <w:t>fixed dose</w:t>
      </w:r>
      <w:r w:rsidR="00CE0E69" w:rsidRPr="00962DF7">
        <w:t xml:space="preserve"> combination for 12 weeks in </w:t>
      </w:r>
      <w:r w:rsidR="00D43BF2">
        <w:t>direct acting</w:t>
      </w:r>
      <w:r w:rsidR="00CE0E69" w:rsidRPr="00962DF7">
        <w:t xml:space="preserve"> </w:t>
      </w:r>
      <w:r w:rsidR="00D43BF2">
        <w:t>antiviral experienced</w:t>
      </w:r>
      <w:r w:rsidR="00CE0E69" w:rsidRPr="00962DF7">
        <w:t xml:space="preserve"> subjects with chronic</w:t>
      </w:r>
      <w:r w:rsidR="005F3B70" w:rsidRPr="00962DF7">
        <w:t xml:space="preserve"> HCV </w:t>
      </w:r>
      <w:r w:rsidR="00CE0E69">
        <w:t>i</w:t>
      </w:r>
      <w:r w:rsidR="005F3B70" w:rsidRPr="00962DF7">
        <w:t>nfection</w:t>
      </w:r>
      <w:r w:rsidR="005F3B70" w:rsidRPr="005F3B70">
        <w:rPr>
          <w:color w:val="000000"/>
        </w:rPr>
        <w:t>.</w:t>
      </w:r>
    </w:p>
    <w:p w:rsidR="00476CD0" w:rsidRDefault="00BB6256" w:rsidP="00E650A8">
      <w:pPr>
        <w:pStyle w:val="Numberbullet0"/>
        <w:numPr>
          <w:ilvl w:val="0"/>
          <w:numId w:val="15"/>
        </w:numPr>
      </w:pPr>
      <w:r>
        <w:t xml:space="preserve">Study </w:t>
      </w:r>
      <w:r w:rsidR="005F3B70" w:rsidRPr="006E5A7E">
        <w:t>GS</w:t>
      </w:r>
      <w:r w:rsidR="00507436">
        <w:rPr>
          <w:color w:val="000000"/>
        </w:rPr>
        <w:t>-US-367-1170 (POLARIS-</w:t>
      </w:r>
      <w:r w:rsidR="005F3B70" w:rsidRPr="005F3B70">
        <w:rPr>
          <w:color w:val="000000"/>
        </w:rPr>
        <w:t>4</w:t>
      </w:r>
      <w:r>
        <w:rPr>
          <w:color w:val="000000"/>
        </w:rPr>
        <w:t xml:space="preserve"> trial</w:t>
      </w:r>
      <w:r w:rsidR="005F3B70" w:rsidRPr="005F3B70">
        <w:rPr>
          <w:color w:val="000000"/>
        </w:rPr>
        <w:t xml:space="preserve">): </w:t>
      </w:r>
      <w:r w:rsidR="005F3B70" w:rsidRPr="006E5A7E">
        <w:t xml:space="preserve">A </w:t>
      </w:r>
      <w:r w:rsidR="00476CD0">
        <w:t>Phase III</w:t>
      </w:r>
      <w:r w:rsidR="005F3B70" w:rsidRPr="006E5A7E">
        <w:t xml:space="preserve">, </w:t>
      </w:r>
      <w:r w:rsidR="00D43BF2" w:rsidRPr="006E5A7E">
        <w:t>global, multicentre, random</w:t>
      </w:r>
      <w:r w:rsidR="00D43BF2">
        <w:t>ise</w:t>
      </w:r>
      <w:r w:rsidR="00D43BF2" w:rsidRPr="006E5A7E">
        <w:t xml:space="preserve">d, </w:t>
      </w:r>
      <w:r w:rsidR="00D43BF2">
        <w:t>open label</w:t>
      </w:r>
      <w:r w:rsidR="00D43BF2" w:rsidRPr="006E5A7E">
        <w:t xml:space="preserve"> study to investigate the safety and efficacy of </w:t>
      </w:r>
      <w:r w:rsidR="00D43BF2">
        <w:t>sofosbuvir</w:t>
      </w:r>
      <w:r w:rsidR="00D43BF2" w:rsidRPr="006E5A7E">
        <w:t>/</w:t>
      </w:r>
      <w:r w:rsidR="00D43BF2">
        <w:t>velpatasvir</w:t>
      </w:r>
      <w:r w:rsidR="005F3B70" w:rsidRPr="006E5A7E">
        <w:t xml:space="preserve">/GS-9857 </w:t>
      </w:r>
      <w:r w:rsidR="00D43BF2">
        <w:t>fixed dose</w:t>
      </w:r>
      <w:r w:rsidR="00D43BF2" w:rsidRPr="006E5A7E">
        <w:t xml:space="preserve"> combination for 12 weeks and </w:t>
      </w:r>
      <w:r w:rsidR="00D43BF2">
        <w:t>sofosbuvir</w:t>
      </w:r>
      <w:r w:rsidR="00D43BF2" w:rsidRPr="006E5A7E">
        <w:t>/</w:t>
      </w:r>
      <w:r w:rsidR="00D43BF2">
        <w:t>velpatasvir</w:t>
      </w:r>
      <w:r w:rsidR="00D43BF2" w:rsidRPr="006E5A7E">
        <w:t xml:space="preserve"> for 12 weeks in </w:t>
      </w:r>
      <w:r w:rsidR="00D43BF2">
        <w:t>direct acting</w:t>
      </w:r>
      <w:r w:rsidR="00D43BF2" w:rsidRPr="006E5A7E">
        <w:t xml:space="preserve"> </w:t>
      </w:r>
      <w:r w:rsidR="00D43BF2">
        <w:t>antiviral experienced</w:t>
      </w:r>
      <w:r w:rsidR="00D43BF2" w:rsidRPr="006E5A7E">
        <w:t xml:space="preserve"> subjects with chro</w:t>
      </w:r>
      <w:r w:rsidR="005F3B70" w:rsidRPr="006E5A7E">
        <w:t xml:space="preserve">nic HCV </w:t>
      </w:r>
      <w:r w:rsidR="00D43BF2" w:rsidRPr="006E5A7E">
        <w:t>infection who have not received a</w:t>
      </w:r>
      <w:r w:rsidR="005F3B70" w:rsidRPr="006E5A7E">
        <w:t xml:space="preserve">n NS5A </w:t>
      </w:r>
      <w:r w:rsidR="00D43BF2">
        <w:t>i</w:t>
      </w:r>
      <w:r w:rsidR="005F3B70" w:rsidRPr="006E5A7E">
        <w:t>nhibitor</w:t>
      </w:r>
      <w:r w:rsidR="00476CD0">
        <w:t>.</w:t>
      </w:r>
    </w:p>
    <w:p w:rsidR="005F3B70" w:rsidRPr="005F3B70" w:rsidRDefault="00BB6256" w:rsidP="00E650A8">
      <w:pPr>
        <w:pStyle w:val="Numberbullet0"/>
        <w:numPr>
          <w:ilvl w:val="0"/>
          <w:numId w:val="15"/>
        </w:numPr>
        <w:rPr>
          <w:color w:val="000000"/>
        </w:rPr>
      </w:pPr>
      <w:r>
        <w:rPr>
          <w:color w:val="000000"/>
        </w:rPr>
        <w:t xml:space="preserve">Study </w:t>
      </w:r>
      <w:r w:rsidR="005F3B70" w:rsidRPr="005F3B70">
        <w:rPr>
          <w:color w:val="000000"/>
        </w:rPr>
        <w:t>GS-US-367-1172 (POLARIS-2</w:t>
      </w:r>
      <w:r>
        <w:rPr>
          <w:color w:val="000000"/>
        </w:rPr>
        <w:t xml:space="preserve"> trial</w:t>
      </w:r>
      <w:r w:rsidR="005F3B70" w:rsidRPr="005F3B70">
        <w:rPr>
          <w:color w:val="000000"/>
        </w:rPr>
        <w:t xml:space="preserve">): </w:t>
      </w:r>
      <w:r w:rsidR="005F3B70">
        <w:t xml:space="preserve">A </w:t>
      </w:r>
      <w:r w:rsidR="00476CD0">
        <w:t>Phase III</w:t>
      </w:r>
      <w:r w:rsidR="005F3B70">
        <w:t xml:space="preserve">, </w:t>
      </w:r>
      <w:r w:rsidR="00D43BF2">
        <w:t>global, multicentre</w:t>
      </w:r>
      <w:r w:rsidR="00D43BF2" w:rsidRPr="005F3A68">
        <w:t>, random</w:t>
      </w:r>
      <w:r w:rsidR="00D43BF2">
        <w:t>ise</w:t>
      </w:r>
      <w:r w:rsidR="00D43BF2" w:rsidRPr="005F3A68">
        <w:t xml:space="preserve">d, </w:t>
      </w:r>
      <w:r w:rsidR="00D43BF2">
        <w:t>open label</w:t>
      </w:r>
      <w:r w:rsidR="00D43BF2" w:rsidRPr="005F3A68">
        <w:t xml:space="preserve"> study to investigate the safety and efficacy of </w:t>
      </w:r>
      <w:r w:rsidR="00D43BF2">
        <w:t>sofosbuvir</w:t>
      </w:r>
      <w:r w:rsidR="00D43BF2" w:rsidRPr="005F3A68">
        <w:t>/</w:t>
      </w:r>
      <w:r w:rsidR="00D43BF2">
        <w:t>velpatasvir</w:t>
      </w:r>
      <w:r w:rsidR="005F3B70" w:rsidRPr="005F3A68">
        <w:t>/GS-</w:t>
      </w:r>
      <w:r w:rsidR="00D43BF2" w:rsidRPr="005F3A68">
        <w:t xml:space="preserve">9857 </w:t>
      </w:r>
      <w:r w:rsidR="00D43BF2">
        <w:t>fixed dose</w:t>
      </w:r>
      <w:r w:rsidR="00D43BF2" w:rsidRPr="005F3A68">
        <w:t xml:space="preserve"> combination for 8 weeks compared to </w:t>
      </w:r>
      <w:r w:rsidR="00D43BF2">
        <w:t>sofosbuvir</w:t>
      </w:r>
      <w:r w:rsidR="00D43BF2" w:rsidRPr="005F3A68">
        <w:t>/</w:t>
      </w:r>
      <w:r w:rsidR="00D43BF2">
        <w:t>velpatasvir</w:t>
      </w:r>
      <w:r w:rsidR="00D43BF2" w:rsidRPr="005F3A68">
        <w:t xml:space="preserve"> for 12 weeks in </w:t>
      </w:r>
      <w:r w:rsidR="00D43BF2">
        <w:t xml:space="preserve">direct acting antiviral </w:t>
      </w:r>
      <w:r w:rsidR="00D43BF2" w:rsidRPr="005F3A68">
        <w:t xml:space="preserve">naïve subjects with chronic </w:t>
      </w:r>
      <w:r w:rsidR="00D43BF2">
        <w:t>HCV i</w:t>
      </w:r>
      <w:r w:rsidR="005F3B70" w:rsidRPr="005F3A68">
        <w:t>nfection</w:t>
      </w:r>
      <w:r w:rsidR="005F3B70">
        <w:t>.</w:t>
      </w:r>
    </w:p>
    <w:p w:rsidR="005F3B70" w:rsidRPr="005F3B70" w:rsidRDefault="00BB6256" w:rsidP="00E650A8">
      <w:pPr>
        <w:pStyle w:val="Numberbullet0"/>
        <w:numPr>
          <w:ilvl w:val="0"/>
          <w:numId w:val="15"/>
        </w:numPr>
        <w:rPr>
          <w:color w:val="000000"/>
        </w:rPr>
      </w:pPr>
      <w:r>
        <w:rPr>
          <w:color w:val="000000"/>
        </w:rPr>
        <w:t xml:space="preserve">Study </w:t>
      </w:r>
      <w:r w:rsidR="005F3B70" w:rsidRPr="005F3B70">
        <w:rPr>
          <w:color w:val="000000"/>
        </w:rPr>
        <w:t>GS-US-367-1173 (POLARIS-3</w:t>
      </w:r>
      <w:r>
        <w:rPr>
          <w:color w:val="000000"/>
        </w:rPr>
        <w:t xml:space="preserve"> trial</w:t>
      </w:r>
      <w:r w:rsidR="005F3B70" w:rsidRPr="005F3B70">
        <w:rPr>
          <w:color w:val="000000"/>
        </w:rPr>
        <w:t xml:space="preserve">): A </w:t>
      </w:r>
      <w:r w:rsidR="00476CD0">
        <w:rPr>
          <w:rFonts w:eastAsiaTheme="minorHAnsi"/>
        </w:rPr>
        <w:t>Phase III</w:t>
      </w:r>
      <w:r w:rsidR="005F3B70" w:rsidRPr="005F3B70">
        <w:rPr>
          <w:rFonts w:eastAsiaTheme="minorHAnsi"/>
        </w:rPr>
        <w:t xml:space="preserve">, </w:t>
      </w:r>
      <w:r w:rsidR="00D43BF2" w:rsidRPr="005F3B70">
        <w:rPr>
          <w:rFonts w:eastAsiaTheme="minorHAnsi"/>
        </w:rPr>
        <w:t xml:space="preserve">global, multicentre, randomised, </w:t>
      </w:r>
      <w:r w:rsidR="00D43BF2">
        <w:rPr>
          <w:rFonts w:eastAsiaTheme="minorHAnsi"/>
        </w:rPr>
        <w:t>open label</w:t>
      </w:r>
      <w:r w:rsidR="00D43BF2" w:rsidRPr="005F3B70">
        <w:rPr>
          <w:rFonts w:eastAsiaTheme="minorHAnsi"/>
        </w:rPr>
        <w:t xml:space="preserve"> study to investigate the safety and efficacy of </w:t>
      </w:r>
      <w:r w:rsidR="00D43BF2">
        <w:rPr>
          <w:rFonts w:eastAsiaTheme="minorHAnsi"/>
        </w:rPr>
        <w:t>sofosbuvir</w:t>
      </w:r>
      <w:r w:rsidR="005F3B70" w:rsidRPr="005F3B70">
        <w:rPr>
          <w:rFonts w:eastAsiaTheme="minorHAnsi"/>
        </w:rPr>
        <w:t>/</w:t>
      </w:r>
      <w:r w:rsidR="00476CD0">
        <w:rPr>
          <w:rFonts w:eastAsiaTheme="minorHAnsi"/>
        </w:rPr>
        <w:t>velpatasvir</w:t>
      </w:r>
      <w:r w:rsidR="005F3B70" w:rsidRPr="005F3B70">
        <w:rPr>
          <w:rFonts w:eastAsiaTheme="minorHAnsi"/>
        </w:rPr>
        <w:t xml:space="preserve">/GS-9857 </w:t>
      </w:r>
      <w:r w:rsidR="00D43BF2">
        <w:rPr>
          <w:rFonts w:eastAsiaTheme="minorHAnsi"/>
        </w:rPr>
        <w:t>fixed dose</w:t>
      </w:r>
      <w:r w:rsidR="00D43BF2" w:rsidRPr="005F3B70">
        <w:rPr>
          <w:rFonts w:eastAsiaTheme="minorHAnsi"/>
        </w:rPr>
        <w:t xml:space="preserve"> combination for 8 weeks and </w:t>
      </w:r>
      <w:r w:rsidR="00D43BF2">
        <w:rPr>
          <w:rFonts w:eastAsiaTheme="minorHAnsi"/>
        </w:rPr>
        <w:t>sofosbuvir</w:t>
      </w:r>
      <w:r w:rsidR="00D43BF2" w:rsidRPr="005F3B70">
        <w:rPr>
          <w:rFonts w:eastAsiaTheme="minorHAnsi"/>
        </w:rPr>
        <w:t>/</w:t>
      </w:r>
      <w:r w:rsidR="00D43BF2">
        <w:rPr>
          <w:rFonts w:eastAsiaTheme="minorHAnsi"/>
        </w:rPr>
        <w:t>velpatasvir</w:t>
      </w:r>
      <w:r w:rsidR="00D43BF2" w:rsidRPr="005F3B70">
        <w:rPr>
          <w:rFonts w:eastAsiaTheme="minorHAnsi"/>
        </w:rPr>
        <w:t xml:space="preserve"> for 12 weeks in subjects with chronic geno</w:t>
      </w:r>
      <w:r w:rsidR="005F3B70" w:rsidRPr="005F3B70">
        <w:rPr>
          <w:rFonts w:eastAsiaTheme="minorHAnsi"/>
        </w:rPr>
        <w:t xml:space="preserve">type 3 HCV </w:t>
      </w:r>
      <w:proofErr w:type="gramStart"/>
      <w:r w:rsidR="00D43BF2">
        <w:rPr>
          <w:rFonts w:eastAsiaTheme="minorHAnsi"/>
        </w:rPr>
        <w:t>i</w:t>
      </w:r>
      <w:r w:rsidR="005F3B70" w:rsidRPr="005F3B70">
        <w:rPr>
          <w:rFonts w:eastAsiaTheme="minorHAnsi"/>
        </w:rPr>
        <w:t>nfection</w:t>
      </w:r>
      <w:proofErr w:type="gramEnd"/>
      <w:r w:rsidR="005F3B70" w:rsidRPr="005F3B70">
        <w:rPr>
          <w:rFonts w:eastAsiaTheme="minorHAnsi"/>
        </w:rPr>
        <w:t xml:space="preserve"> and </w:t>
      </w:r>
      <w:r w:rsidR="00D43BF2">
        <w:rPr>
          <w:rFonts w:eastAsiaTheme="minorHAnsi"/>
        </w:rPr>
        <w:t>c</w:t>
      </w:r>
      <w:r w:rsidR="005F3B70" w:rsidRPr="005F3B70">
        <w:rPr>
          <w:rFonts w:eastAsiaTheme="minorHAnsi"/>
        </w:rPr>
        <w:t>irrhosis</w:t>
      </w:r>
      <w:r w:rsidR="00D35780">
        <w:rPr>
          <w:rFonts w:eastAsiaTheme="minorHAnsi"/>
        </w:rPr>
        <w:t>.</w:t>
      </w:r>
    </w:p>
    <w:p w:rsidR="005F3B70" w:rsidRPr="005F3B70" w:rsidRDefault="005F3B70" w:rsidP="005F3B70">
      <w:pPr>
        <w:pStyle w:val="Heading5"/>
        <w:rPr>
          <w:rFonts w:eastAsia="TimesNewRoman"/>
        </w:rPr>
      </w:pPr>
      <w:r w:rsidRPr="005F3B70">
        <w:rPr>
          <w:rFonts w:eastAsia="TimesNewRoman"/>
        </w:rPr>
        <w:t xml:space="preserve">Four supportive </w:t>
      </w:r>
      <w:r w:rsidR="00476CD0">
        <w:rPr>
          <w:rFonts w:eastAsia="TimesNewRoman"/>
        </w:rPr>
        <w:t>Phase II</w:t>
      </w:r>
      <w:r w:rsidR="00D43BF2">
        <w:rPr>
          <w:rFonts w:eastAsia="TimesNewRoman"/>
        </w:rPr>
        <w:t xml:space="preserve"> studies</w:t>
      </w:r>
    </w:p>
    <w:p w:rsidR="00476CD0" w:rsidRDefault="00BB6256" w:rsidP="00E650A8">
      <w:pPr>
        <w:pStyle w:val="Numberbullet0"/>
        <w:numPr>
          <w:ilvl w:val="0"/>
          <w:numId w:val="14"/>
        </w:numPr>
      </w:pPr>
      <w:r>
        <w:t xml:space="preserve">Study </w:t>
      </w:r>
      <w:r w:rsidR="005F3B70" w:rsidRPr="006E5A7E">
        <w:t>GS-US-337-1468 (LEPTON</w:t>
      </w:r>
      <w:r>
        <w:t xml:space="preserve"> trial</w:t>
      </w:r>
      <w:r w:rsidR="005F3B70" w:rsidRPr="006E5A7E">
        <w:t xml:space="preserve">): A </w:t>
      </w:r>
      <w:r w:rsidR="00476CD0">
        <w:t>Phase II</w:t>
      </w:r>
      <w:r w:rsidR="009140CB" w:rsidRPr="006E5A7E">
        <w:t xml:space="preserve">, multicentre, </w:t>
      </w:r>
      <w:r w:rsidR="009140CB">
        <w:t>open label</w:t>
      </w:r>
      <w:r w:rsidR="009140CB" w:rsidRPr="006E5A7E">
        <w:t xml:space="preserve"> study to assess the efficacy and safety of oral regimens for the treatment of chronic </w:t>
      </w:r>
      <w:r w:rsidR="005F3B70" w:rsidRPr="006E5A7E">
        <w:t xml:space="preserve">HCV </w:t>
      </w:r>
      <w:r w:rsidR="009140CB">
        <w:t>i</w:t>
      </w:r>
      <w:r w:rsidR="005F3B70" w:rsidRPr="006E5A7E">
        <w:t>nfection</w:t>
      </w:r>
      <w:r w:rsidR="00476CD0">
        <w:t>.</w:t>
      </w:r>
    </w:p>
    <w:p w:rsidR="005F3B70" w:rsidRPr="005F3B70" w:rsidRDefault="00BB6256" w:rsidP="00E650A8">
      <w:pPr>
        <w:pStyle w:val="Numberbullet0"/>
        <w:numPr>
          <w:ilvl w:val="0"/>
          <w:numId w:val="14"/>
        </w:numPr>
        <w:rPr>
          <w:color w:val="000000"/>
        </w:rPr>
      </w:pPr>
      <w:r>
        <w:rPr>
          <w:color w:val="000000"/>
        </w:rPr>
        <w:t xml:space="preserve">Study </w:t>
      </w:r>
      <w:r w:rsidR="005F3B70" w:rsidRPr="005F3B70">
        <w:rPr>
          <w:color w:val="000000"/>
        </w:rPr>
        <w:t xml:space="preserve">GS-US-367-1168: </w:t>
      </w:r>
      <w:r w:rsidR="005F3B70" w:rsidRPr="005F3B70">
        <w:rPr>
          <w:rFonts w:eastAsiaTheme="minorHAnsi"/>
        </w:rPr>
        <w:t xml:space="preserve">A </w:t>
      </w:r>
      <w:r w:rsidR="00476CD0">
        <w:rPr>
          <w:rFonts w:eastAsiaTheme="minorHAnsi"/>
        </w:rPr>
        <w:t>Phase II</w:t>
      </w:r>
      <w:r w:rsidR="005F3B70" w:rsidRPr="005F3B70">
        <w:rPr>
          <w:rFonts w:eastAsiaTheme="minorHAnsi"/>
        </w:rPr>
        <w:t xml:space="preserve">, </w:t>
      </w:r>
      <w:r w:rsidR="009140CB" w:rsidRPr="005F3B70">
        <w:rPr>
          <w:rFonts w:eastAsiaTheme="minorHAnsi"/>
        </w:rPr>
        <w:t xml:space="preserve">global, multicentre, </w:t>
      </w:r>
      <w:r w:rsidR="009140CB">
        <w:rPr>
          <w:rFonts w:eastAsiaTheme="minorHAnsi"/>
        </w:rPr>
        <w:t>open label</w:t>
      </w:r>
      <w:r w:rsidR="009140CB" w:rsidRPr="005F3B70">
        <w:rPr>
          <w:rFonts w:eastAsiaTheme="minorHAnsi"/>
        </w:rPr>
        <w:t xml:space="preserve"> study to investigate the safety and efficacy o</w:t>
      </w:r>
      <w:r w:rsidR="005F3B70" w:rsidRPr="005F3B70">
        <w:rPr>
          <w:rFonts w:eastAsiaTheme="minorHAnsi"/>
        </w:rPr>
        <w:t xml:space="preserve">f GS-9857 </w:t>
      </w:r>
      <w:r w:rsidR="009140CB">
        <w:rPr>
          <w:rFonts w:eastAsiaTheme="minorHAnsi"/>
        </w:rPr>
        <w:t>p</w:t>
      </w:r>
      <w:r w:rsidR="005F3B70" w:rsidRPr="005F3B70">
        <w:rPr>
          <w:rFonts w:eastAsiaTheme="minorHAnsi"/>
        </w:rPr>
        <w:t xml:space="preserve">lus </w:t>
      </w:r>
      <w:r w:rsidR="00F45B1B">
        <w:rPr>
          <w:rFonts w:eastAsiaTheme="minorHAnsi"/>
        </w:rPr>
        <w:t>sofosbuvir</w:t>
      </w:r>
      <w:r w:rsidR="005F3B70" w:rsidRPr="005F3B70">
        <w:rPr>
          <w:rFonts w:eastAsiaTheme="minorHAnsi"/>
        </w:rPr>
        <w:t xml:space="preserve">/GS-5816 </w:t>
      </w:r>
      <w:r w:rsidR="009140CB" w:rsidRPr="005F3B70">
        <w:rPr>
          <w:rFonts w:eastAsiaTheme="minorHAnsi"/>
        </w:rPr>
        <w:t xml:space="preserve">fixed dose combination in subjects with chronic genotype </w:t>
      </w:r>
      <w:r w:rsidR="005F3B70" w:rsidRPr="005F3B70">
        <w:rPr>
          <w:rFonts w:eastAsiaTheme="minorHAnsi"/>
        </w:rPr>
        <w:t xml:space="preserve">1 HCV </w:t>
      </w:r>
      <w:r w:rsidR="009140CB">
        <w:rPr>
          <w:rFonts w:eastAsiaTheme="minorHAnsi"/>
        </w:rPr>
        <w:t>i</w:t>
      </w:r>
      <w:r w:rsidR="005F3B70" w:rsidRPr="005F3B70">
        <w:rPr>
          <w:rFonts w:eastAsiaTheme="minorHAnsi"/>
        </w:rPr>
        <w:t>nfection.</w:t>
      </w:r>
    </w:p>
    <w:p w:rsidR="005F3B70" w:rsidRPr="005F3B70" w:rsidRDefault="00BB6256" w:rsidP="00E650A8">
      <w:pPr>
        <w:pStyle w:val="Numberbullet0"/>
        <w:numPr>
          <w:ilvl w:val="0"/>
          <w:numId w:val="14"/>
        </w:numPr>
        <w:rPr>
          <w:color w:val="000000"/>
        </w:rPr>
      </w:pPr>
      <w:r>
        <w:rPr>
          <w:color w:val="000000"/>
        </w:rPr>
        <w:t xml:space="preserve">Study </w:t>
      </w:r>
      <w:r w:rsidR="005F3B70" w:rsidRPr="005F3B70">
        <w:rPr>
          <w:color w:val="000000"/>
        </w:rPr>
        <w:t>GS-US-367-1169:</w:t>
      </w:r>
      <w:r w:rsidR="00476CD0">
        <w:rPr>
          <w:color w:val="000000"/>
        </w:rPr>
        <w:t xml:space="preserve"> </w:t>
      </w:r>
      <w:r w:rsidR="005F3B70" w:rsidRPr="00AA70D2">
        <w:t xml:space="preserve">A </w:t>
      </w:r>
      <w:r w:rsidR="00476CD0">
        <w:t>Phase II</w:t>
      </w:r>
      <w:r w:rsidR="005F3B70" w:rsidRPr="00AA70D2">
        <w:t xml:space="preserve">, </w:t>
      </w:r>
      <w:r w:rsidR="009140CB" w:rsidRPr="00AA70D2">
        <w:t>global, multicent</w:t>
      </w:r>
      <w:r w:rsidR="009140CB">
        <w:t>re</w:t>
      </w:r>
      <w:r w:rsidR="009140CB" w:rsidRPr="00AA70D2">
        <w:t xml:space="preserve">, </w:t>
      </w:r>
      <w:r w:rsidR="009140CB">
        <w:t>open label</w:t>
      </w:r>
      <w:r w:rsidR="009140CB" w:rsidRPr="00AA70D2">
        <w:t xml:space="preserve"> study to investigate the safety and efficacy</w:t>
      </w:r>
      <w:r w:rsidR="005F3B70" w:rsidRPr="00AA70D2">
        <w:t xml:space="preserve"> of GS-9857 </w:t>
      </w:r>
      <w:r w:rsidR="009140CB">
        <w:t>p</w:t>
      </w:r>
      <w:r w:rsidR="005F3B70" w:rsidRPr="00AA70D2">
        <w:t xml:space="preserve">lus </w:t>
      </w:r>
      <w:r w:rsidR="00F45B1B">
        <w:t>sofosbuvir</w:t>
      </w:r>
      <w:r w:rsidR="005F3B70" w:rsidRPr="00AA70D2">
        <w:t xml:space="preserve">/GS-5816 </w:t>
      </w:r>
      <w:r w:rsidR="009140CB" w:rsidRPr="00AA70D2">
        <w:t>fixed dose combination in subjects with chronic non-geno</w:t>
      </w:r>
      <w:r w:rsidR="005F3B70" w:rsidRPr="00AA70D2">
        <w:t xml:space="preserve">type 1 HCV </w:t>
      </w:r>
      <w:r w:rsidR="009140CB">
        <w:t>i</w:t>
      </w:r>
      <w:r w:rsidR="005F3B70" w:rsidRPr="00AA70D2">
        <w:t>nfection</w:t>
      </w:r>
      <w:r w:rsidR="005F3B70">
        <w:t>.</w:t>
      </w:r>
    </w:p>
    <w:p w:rsidR="00500337" w:rsidRPr="005F3B70" w:rsidRDefault="00BB6256" w:rsidP="00E650A8">
      <w:pPr>
        <w:pStyle w:val="Numberbullet0"/>
        <w:numPr>
          <w:ilvl w:val="0"/>
          <w:numId w:val="14"/>
        </w:numPr>
        <w:rPr>
          <w:color w:val="000000"/>
        </w:rPr>
      </w:pPr>
      <w:r>
        <w:rPr>
          <w:color w:val="000000"/>
        </w:rPr>
        <w:t xml:space="preserve">Study </w:t>
      </w:r>
      <w:r w:rsidR="005F3B70" w:rsidRPr="005F3B70">
        <w:rPr>
          <w:color w:val="000000"/>
        </w:rPr>
        <w:t xml:space="preserve">GS-US-367-1871: </w:t>
      </w:r>
      <w:r w:rsidR="005F3B70" w:rsidRPr="00AA70D2">
        <w:t xml:space="preserve">A </w:t>
      </w:r>
      <w:r w:rsidR="00476CD0">
        <w:t>Phase II</w:t>
      </w:r>
      <w:r w:rsidR="005F3B70" w:rsidRPr="00AA70D2">
        <w:t xml:space="preserve">, </w:t>
      </w:r>
      <w:r w:rsidR="009140CB">
        <w:t>open label</w:t>
      </w:r>
      <w:r w:rsidR="009140CB" w:rsidRPr="00AA70D2">
        <w:t xml:space="preserve"> study to investigate the safety and efficacy </w:t>
      </w:r>
      <w:r w:rsidR="005F3B70" w:rsidRPr="00AA70D2">
        <w:t xml:space="preserve">of </w:t>
      </w:r>
      <w:r w:rsidR="00F45B1B">
        <w:t>sofosbuvir</w:t>
      </w:r>
      <w:r w:rsidR="005F3B70" w:rsidRPr="00AA70D2">
        <w:t xml:space="preserve">/GS-5816/GS-9857 </w:t>
      </w:r>
      <w:r w:rsidR="009140CB">
        <w:t>fixed dose</w:t>
      </w:r>
      <w:r w:rsidR="009140CB" w:rsidRPr="00AA70D2">
        <w:t xml:space="preserve"> combination with or without ribavirin in subjects with chronic genotype </w:t>
      </w:r>
      <w:r w:rsidR="005F3B70" w:rsidRPr="00AA70D2">
        <w:t xml:space="preserve">1 HCV </w:t>
      </w:r>
      <w:r w:rsidR="009140CB" w:rsidRPr="00AA70D2">
        <w:t>infection previously treated with a direct acting antiviral regimen</w:t>
      </w:r>
      <w:r w:rsidR="009140CB">
        <w:t>.</w:t>
      </w:r>
    </w:p>
    <w:p w:rsidR="008E7846" w:rsidRDefault="00605AD4" w:rsidP="00605AD4">
      <w:pPr>
        <w:pStyle w:val="Heading4"/>
      </w:pPr>
      <w:r>
        <w:lastRenderedPageBreak/>
        <w:t>Evaluator’s conclusions on efficacy</w:t>
      </w:r>
    </w:p>
    <w:p w:rsidR="005F3B70" w:rsidRPr="005F3B70" w:rsidRDefault="005F3B70" w:rsidP="005F3B70">
      <w:r w:rsidRPr="005F3B70">
        <w:t>Efficacy of SOF/VEL/VOX (400/100/100</w:t>
      </w:r>
      <w:r w:rsidR="00AA5E62">
        <w:t xml:space="preserve"> mg</w:t>
      </w:r>
      <w:r w:rsidRPr="005F3B70">
        <w:t xml:space="preserve">) fixed dose combination was evaluated in 1760 patients with chronic HCV infection in four pivotal </w:t>
      </w:r>
      <w:r w:rsidR="00476CD0">
        <w:t>Phase III</w:t>
      </w:r>
      <w:r w:rsidRPr="005F3B70">
        <w:t xml:space="preserve"> studies. Two studies</w:t>
      </w:r>
      <w:r w:rsidR="00476CD0">
        <w:t xml:space="preserve"> </w:t>
      </w:r>
      <w:r w:rsidRPr="005F3B70">
        <w:t>evaluated the proposed 12</w:t>
      </w:r>
      <w:r w:rsidR="00AA5E62">
        <w:t xml:space="preserve"> week</w:t>
      </w:r>
      <w:r w:rsidRPr="005F3B70">
        <w:t xml:space="preserve"> dosing in 597 </w:t>
      </w:r>
      <w:r w:rsidR="00CE0E69">
        <w:t>DAA experienced</w:t>
      </w:r>
      <w:r w:rsidR="009140CB">
        <w:t xml:space="preserve"> HCV patients </w:t>
      </w:r>
      <w:r w:rsidR="000E1116">
        <w:t>(</w:t>
      </w:r>
      <w:r w:rsidR="009140CB">
        <w:t>Studies</w:t>
      </w:r>
      <w:r w:rsidR="00BB6256">
        <w:t> </w:t>
      </w:r>
      <w:r w:rsidR="009140CB">
        <w:t>GS</w:t>
      </w:r>
      <w:r w:rsidR="009140CB">
        <w:noBreakHyphen/>
      </w:r>
      <w:r w:rsidRPr="005F3B70">
        <w:t>US-367-1171 (POLARIS-1</w:t>
      </w:r>
      <w:r w:rsidR="00BB6256">
        <w:t xml:space="preserve"> trial</w:t>
      </w:r>
      <w:r w:rsidRPr="005F3B70">
        <w:t>) and GS-US-367-1170 (POLARIS-4</w:t>
      </w:r>
      <w:r w:rsidR="00BB6256">
        <w:t xml:space="preserve"> trial </w:t>
      </w:r>
      <w:r w:rsidRPr="005F3B70">
        <w:t>)</w:t>
      </w:r>
      <w:r w:rsidR="000E1116">
        <w:t>)</w:t>
      </w:r>
      <w:r w:rsidRPr="005F3B70">
        <w:t xml:space="preserve"> while 2 other </w:t>
      </w:r>
      <w:r w:rsidR="00476CD0">
        <w:t>Phase III</w:t>
      </w:r>
      <w:r w:rsidRPr="005F3B70">
        <w:t xml:space="preserve"> studies evaluated a shorter 8</w:t>
      </w:r>
      <w:r w:rsidR="00AA5E62">
        <w:t xml:space="preserve"> week</w:t>
      </w:r>
      <w:r w:rsidRPr="005F3B70">
        <w:t xml:space="preserve"> dosing with proposed FDC of SOF/VEL/VOX (compared with 12 week treatment with SOF/VEL) in 1163 DAA-naïve HCV patients </w:t>
      </w:r>
      <w:r w:rsidR="000E1116">
        <w:t>(</w:t>
      </w:r>
      <w:r w:rsidR="00BB6256">
        <w:t xml:space="preserve">Study </w:t>
      </w:r>
      <w:r w:rsidRPr="005F3B70">
        <w:t>GS-US-367-1172 (POLARIS-2</w:t>
      </w:r>
      <w:r w:rsidR="00BB6256">
        <w:t xml:space="preserve"> trial</w:t>
      </w:r>
      <w:r w:rsidRPr="005F3B70">
        <w:t xml:space="preserve">) and </w:t>
      </w:r>
      <w:r w:rsidR="00BB6256">
        <w:t xml:space="preserve">Study </w:t>
      </w:r>
      <w:r w:rsidRPr="005F3B70">
        <w:t>GS-US-367-1173 (POLARIS</w:t>
      </w:r>
      <w:r w:rsidR="00BB6256">
        <w:noBreakHyphen/>
      </w:r>
      <w:r w:rsidRPr="005F3B70">
        <w:t>3</w:t>
      </w:r>
      <w:r w:rsidR="00BB6256">
        <w:t xml:space="preserve"> trial</w:t>
      </w:r>
      <w:r w:rsidRPr="005F3B70">
        <w:t>)</w:t>
      </w:r>
      <w:r w:rsidR="000E1116">
        <w:t>)</w:t>
      </w:r>
      <w:r w:rsidRPr="005F3B70">
        <w:t xml:space="preserve">. The study design, efficacy endpoints and patients enrolled in the pivotal </w:t>
      </w:r>
      <w:r w:rsidR="00476CD0">
        <w:t>Phase III</w:t>
      </w:r>
      <w:r w:rsidRPr="005F3B70">
        <w:t xml:space="preserve"> studies</w:t>
      </w:r>
      <w:r w:rsidR="009140CB">
        <w:t xml:space="preserve"> complied with the TGA adopted </w:t>
      </w:r>
      <w:r w:rsidRPr="005F3B70">
        <w:t>CHMP guidelines</w:t>
      </w:r>
      <w:r w:rsidR="009140CB">
        <w:t>.</w:t>
      </w:r>
      <w:r w:rsidR="009140CB">
        <w:rPr>
          <w:rStyle w:val="FootnoteReference"/>
        </w:rPr>
        <w:footnoteReference w:id="42"/>
      </w:r>
    </w:p>
    <w:p w:rsidR="00476CD0" w:rsidRDefault="005F3B70" w:rsidP="005F3B70">
      <w:r w:rsidRPr="005F3B70">
        <w:t xml:space="preserve">Results from the four </w:t>
      </w:r>
      <w:r w:rsidR="00476CD0">
        <w:t>Phase II</w:t>
      </w:r>
      <w:r w:rsidRPr="005F3B70">
        <w:t xml:space="preserve"> studies provided evidence to support the duration for treatment with SOF/VEL/VOX in the </w:t>
      </w:r>
      <w:r w:rsidR="00476CD0">
        <w:t>Phase III</w:t>
      </w:r>
      <w:r w:rsidRPr="005F3B70">
        <w:t xml:space="preserve"> efficacy studies: 8 weeks for subjects who were DAA naive (treatment naive or tr</w:t>
      </w:r>
      <w:r w:rsidR="009140CB">
        <w:t xml:space="preserve">eatment experienced with an IFN </w:t>
      </w:r>
      <w:r w:rsidRPr="005F3B70">
        <w:t xml:space="preserve">based regimen) and 12 weeks for subjects who were DAA experienced (failed </w:t>
      </w:r>
      <w:r w:rsidR="003A5113">
        <w:t>DAA based</w:t>
      </w:r>
      <w:r w:rsidRPr="005F3B70">
        <w:t xml:space="preserve"> regimen with or without an NS5A inhibitor, excluding those whose only DAA exposure was an NS3/4A </w:t>
      </w:r>
      <w:r w:rsidR="003A5113">
        <w:t>Pi</w:t>
      </w:r>
      <w:r w:rsidRPr="005F3B70">
        <w:t xml:space="preserve">). Across the four </w:t>
      </w:r>
      <w:r w:rsidR="00476CD0">
        <w:t>Phase II</w:t>
      </w:r>
      <w:r w:rsidRPr="005F3B70">
        <w:t xml:space="preserve"> studies, the SVR12 rates in these specifically defined populations were 97.0% (131 of 135 subjects) in DAA-naïve subjects receiving 8 weeks of treatment and 99.2% (124 of 125 subjects) in </w:t>
      </w:r>
      <w:r w:rsidR="00CE0E69">
        <w:t>DAA experienced</w:t>
      </w:r>
      <w:r w:rsidRPr="005F3B70">
        <w:t xml:space="preserve"> subjects receiving 12 weeks of treatment </w:t>
      </w:r>
      <w:r w:rsidRPr="00AC0F8C">
        <w:t>(</w:t>
      </w:r>
      <w:r w:rsidR="000E1116" w:rsidRPr="00AC0F8C">
        <w:t xml:space="preserve">Table </w:t>
      </w:r>
      <w:r w:rsidR="00AC0F8C" w:rsidRPr="00AC0F8C">
        <w:t>8</w:t>
      </w:r>
      <w:r w:rsidRPr="00AC0F8C">
        <w:t>)</w:t>
      </w:r>
      <w:r w:rsidR="00476CD0" w:rsidRPr="00AC0F8C">
        <w:t>.</w:t>
      </w:r>
    </w:p>
    <w:p w:rsidR="00476CD0" w:rsidRDefault="005F3B70" w:rsidP="005F3B70">
      <w:r w:rsidRPr="005F3B70">
        <w:t xml:space="preserve">Overall, more than 2000 subjects have been treated with SOF/VEL/VOX or SOF/VEL+VOX in </w:t>
      </w:r>
      <w:r w:rsidR="00476CD0">
        <w:t>Phase II</w:t>
      </w:r>
      <w:r w:rsidRPr="005F3B70">
        <w:t xml:space="preserve"> and </w:t>
      </w:r>
      <w:r w:rsidR="00476CD0">
        <w:t>Phase III</w:t>
      </w:r>
      <w:r w:rsidRPr="005F3B70">
        <w:t xml:space="preserve"> studies in the US, France, Germany, the United Kingdom, Canada, Australia and New Zealand</w:t>
      </w:r>
      <w:r w:rsidR="00476CD0">
        <w:t>.</w:t>
      </w:r>
    </w:p>
    <w:p w:rsidR="005F3B70" w:rsidRDefault="005F3B70" w:rsidP="005F3B70">
      <w:pPr>
        <w:pStyle w:val="Heading5"/>
      </w:pPr>
      <w:r w:rsidRPr="005F3B70">
        <w:rPr>
          <w:rFonts w:eastAsia="TimesNewRoman"/>
        </w:rPr>
        <w:t xml:space="preserve">Efficacy in </w:t>
      </w:r>
      <w:r w:rsidR="00CE0E69">
        <w:rPr>
          <w:rFonts w:eastAsia="TimesNewRoman"/>
        </w:rPr>
        <w:t>DAA experienced</w:t>
      </w:r>
      <w:r w:rsidRPr="005F3B70">
        <w:rPr>
          <w:rFonts w:eastAsia="TimesNewRoman"/>
        </w:rPr>
        <w:t xml:space="preserve"> subjects</w:t>
      </w:r>
    </w:p>
    <w:p w:rsidR="005F3B70" w:rsidRPr="005F3B70" w:rsidRDefault="005F3B70" w:rsidP="005F3B70">
      <w:r w:rsidRPr="005F3B70">
        <w:t xml:space="preserve">Overall, 445 </w:t>
      </w:r>
      <w:r w:rsidR="00CE0E69">
        <w:t>DAA experienced</w:t>
      </w:r>
      <w:r w:rsidRPr="005F3B70">
        <w:t xml:space="preserve"> subjects were treated with SOF/VEL/VOX for 12 weeks in two pivotal </w:t>
      </w:r>
      <w:r w:rsidR="00476CD0">
        <w:t>Phase III</w:t>
      </w:r>
      <w:r w:rsidRPr="005F3B70">
        <w:t xml:space="preserve"> studies (POLARIS-1</w:t>
      </w:r>
      <w:r w:rsidR="00BB6256">
        <w:t xml:space="preserve"> and</w:t>
      </w:r>
      <w:r w:rsidRPr="005F3B70">
        <w:t xml:space="preserve"> POLARIS-4</w:t>
      </w:r>
      <w:r w:rsidR="00BB6256">
        <w:t xml:space="preserve"> trials</w:t>
      </w:r>
      <w:r w:rsidRPr="005F3B70">
        <w:t xml:space="preserve">), including 263 who failed prior treatment with an NS5A inhibitor. Subjects with genotypes 1, 2, 3, 4, 5 and 6 HCV infection were enrolled in </w:t>
      </w:r>
      <w:r w:rsidR="00BB6256">
        <w:t xml:space="preserve">the </w:t>
      </w:r>
      <w:r w:rsidRPr="005F3B70">
        <w:t xml:space="preserve">POLARIS-1 </w:t>
      </w:r>
      <w:r w:rsidR="00BB6256">
        <w:t xml:space="preserve">trial </w:t>
      </w:r>
      <w:r w:rsidRPr="005F3B70">
        <w:t xml:space="preserve">and subjects with genotypes 1, 2, 3 and 4 HCV infection were enrolled in </w:t>
      </w:r>
      <w:r w:rsidR="00BB6256">
        <w:t xml:space="preserve">the </w:t>
      </w:r>
      <w:r w:rsidRPr="005F3B70">
        <w:t>POLARIS-4</w:t>
      </w:r>
      <w:r w:rsidR="00BB6256">
        <w:t xml:space="preserve"> trial</w:t>
      </w:r>
      <w:r w:rsidRPr="005F3B70">
        <w:t xml:space="preserve">. An additional 125 </w:t>
      </w:r>
      <w:r w:rsidR="00CE0E69">
        <w:t>DAA experienced</w:t>
      </w:r>
      <w:r w:rsidRPr="005F3B70">
        <w:t xml:space="preserve"> subjects, including 55 NS5A </w:t>
      </w:r>
      <w:r w:rsidR="000D5C0A">
        <w:t>inhibitor experienced</w:t>
      </w:r>
      <w:r w:rsidRPr="005F3B70">
        <w:t xml:space="preserve"> subjects, were treated with 12 weeks of SOF/VEL+VOX or SOF/VEL/VOX in three </w:t>
      </w:r>
      <w:r w:rsidR="00476CD0">
        <w:t>Phase II</w:t>
      </w:r>
      <w:r w:rsidRPr="005F3B70">
        <w:t xml:space="preserve"> studies </w:t>
      </w:r>
      <w:r w:rsidR="000E1116">
        <w:t>(</w:t>
      </w:r>
      <w:r w:rsidR="00BB6256">
        <w:t xml:space="preserve">Studies </w:t>
      </w:r>
      <w:r w:rsidRPr="005F3B70">
        <w:t>GS-US-367-1168, GS</w:t>
      </w:r>
      <w:r w:rsidR="00BB6256">
        <w:noBreakHyphen/>
      </w:r>
      <w:r w:rsidRPr="005F3B70">
        <w:t>US-367-1169 and GS-US-367-1871(</w:t>
      </w:r>
      <w:r w:rsidR="00BB6256">
        <w:t xml:space="preserve">the </w:t>
      </w:r>
      <w:r w:rsidRPr="005F3B70">
        <w:t>TRILOGY-3</w:t>
      </w:r>
      <w:r w:rsidR="00BB6256">
        <w:t xml:space="preserve"> trial</w:t>
      </w:r>
      <w:r w:rsidRPr="005F3B70">
        <w:t>)</w:t>
      </w:r>
      <w:r w:rsidR="000E1116">
        <w:t>)</w:t>
      </w:r>
      <w:r w:rsidRPr="005F3B70">
        <w:t xml:space="preserve">. </w:t>
      </w:r>
      <w:r w:rsidR="00BB6256">
        <w:t xml:space="preserve">The </w:t>
      </w:r>
      <w:r w:rsidRPr="005F3B70">
        <w:t>POLARIS-1</w:t>
      </w:r>
      <w:r w:rsidR="00BB6256">
        <w:t xml:space="preserve"> trial </w:t>
      </w:r>
      <w:r w:rsidRPr="005F3B70">
        <w:t>included subjects who had previously received an NS5A inhibitor and POLARIS-4</w:t>
      </w:r>
      <w:r w:rsidR="00BB6256">
        <w:t xml:space="preserve"> trial</w:t>
      </w:r>
      <w:r w:rsidRPr="005F3B70">
        <w:t xml:space="preserve"> included </w:t>
      </w:r>
      <w:r w:rsidR="00CE0E69">
        <w:t>DAA experienced</w:t>
      </w:r>
      <w:r w:rsidRPr="005F3B70">
        <w:t xml:space="preserve"> subjects who had not previously received an NS5A inhibitor. In these studies, subjects whose only DAA exposure was an NS3/4A </w:t>
      </w:r>
      <w:r w:rsidR="00A34D06">
        <w:t>protease inhibitor</w:t>
      </w:r>
      <w:r w:rsidR="00EA6C30">
        <w:t xml:space="preserve"> </w:t>
      </w:r>
      <w:r w:rsidRPr="005F3B70">
        <w:t>were excluded, given the availability of approved regimens to treat these individuals (</w:t>
      </w:r>
      <w:r w:rsidR="009140CB">
        <w:t>for example</w:t>
      </w:r>
      <w:r w:rsidRPr="005F3B70">
        <w:t>, LDV/SOF and SOF/VEL).</w:t>
      </w:r>
    </w:p>
    <w:p w:rsidR="005F3B70" w:rsidRDefault="005F3B70" w:rsidP="005F3B70">
      <w:r w:rsidRPr="005F3B70">
        <w:t xml:space="preserve">Treatment with SOF/VEL/VOX for 12 weeks in </w:t>
      </w:r>
      <w:r w:rsidR="00CE0E69">
        <w:t>DAA experienced</w:t>
      </w:r>
      <w:r w:rsidRPr="005F3B70">
        <w:t xml:space="preserve"> subjects demonstrated consistently high SVR12 rates across genotypes and regardless of cirrhosis status or prior treatment regimen </w:t>
      </w:r>
      <w:r w:rsidRPr="00AC0F8C">
        <w:t>(</w:t>
      </w:r>
      <w:r w:rsidR="00BB6256">
        <w:t xml:space="preserve">see </w:t>
      </w:r>
      <w:r w:rsidRPr="00AC0F8C">
        <w:t>Table</w:t>
      </w:r>
      <w:r w:rsidR="00AC0F8C" w:rsidRPr="00AC0F8C">
        <w:t xml:space="preserve"> 9</w:t>
      </w:r>
      <w:r w:rsidRPr="00AC0F8C">
        <w:t>).</w:t>
      </w:r>
      <w:r w:rsidRPr="005F3B70">
        <w:t xml:space="preserve"> In both studies, the SOF/VEL/VOX 12 Week group met the primary efficacy endpoint. The contribution of VOX to the regimen was demonstrated in</w:t>
      </w:r>
      <w:r w:rsidR="00BB6256">
        <w:t xml:space="preserve"> the </w:t>
      </w:r>
      <w:r w:rsidRPr="005F3B70">
        <w:t>POLARIS-4</w:t>
      </w:r>
      <w:r w:rsidR="00BB6256">
        <w:t xml:space="preserve"> trial</w:t>
      </w:r>
      <w:r w:rsidRPr="005F3B70">
        <w:t xml:space="preserve"> where overall and acro</w:t>
      </w:r>
      <w:r w:rsidR="009140CB">
        <w:t>ss subgroups SOF/VEL/VOX for 12 </w:t>
      </w:r>
      <w:r w:rsidRPr="005F3B70">
        <w:t xml:space="preserve">weeks led to higher SVR12 rates compared to SOF/VEL for 12 weeks. The SVR12 rates were consistent between the </w:t>
      </w:r>
      <w:r w:rsidR="00476CD0">
        <w:t>Phase II</w:t>
      </w:r>
      <w:r w:rsidRPr="005F3B70">
        <w:t xml:space="preserve"> and </w:t>
      </w:r>
      <w:r w:rsidR="00476CD0">
        <w:t>Phase III</w:t>
      </w:r>
      <w:r w:rsidRPr="005F3B70">
        <w:t xml:space="preserve"> studies.</w:t>
      </w:r>
    </w:p>
    <w:p w:rsidR="000E1116" w:rsidRDefault="000E1116" w:rsidP="000E1116">
      <w:pPr>
        <w:pStyle w:val="Tabletitle0"/>
      </w:pPr>
      <w:r w:rsidRPr="00AC0F8C">
        <w:lastRenderedPageBreak/>
        <w:t xml:space="preserve">Table </w:t>
      </w:r>
      <w:r w:rsidR="00AC0F8C" w:rsidRPr="00AC0F8C">
        <w:t>9:</w:t>
      </w:r>
      <w:r w:rsidRPr="00AC0F8C">
        <w:t xml:space="preserve"> </w:t>
      </w:r>
      <w:r w:rsidR="00BB6256">
        <w:t xml:space="preserve">Studies </w:t>
      </w:r>
      <w:r w:rsidRPr="00AC0F8C">
        <w:t>GS</w:t>
      </w:r>
      <w:r>
        <w:t>-US-367-1171 and GS-US-367-1170</w:t>
      </w:r>
      <w:r w:rsidR="00BB6256">
        <w:t>;</w:t>
      </w:r>
      <w:r>
        <w:t xml:space="preserve"> SVR12 by HCV </w:t>
      </w:r>
      <w:r w:rsidR="00BB6256">
        <w:t xml:space="preserve">genotype </w:t>
      </w:r>
      <w:r>
        <w:t xml:space="preserve">and by </w:t>
      </w:r>
      <w:r w:rsidR="00BB6256">
        <w:t xml:space="preserve">cirrhosis status </w:t>
      </w:r>
      <w:r>
        <w:t xml:space="preserve">(Full </w:t>
      </w:r>
      <w:r w:rsidR="00BB6256">
        <w:t>analysis set</w:t>
      </w:r>
      <w:r>
        <w:t>)</w:t>
      </w:r>
    </w:p>
    <w:p w:rsidR="000E1116" w:rsidRPr="005F3B70" w:rsidRDefault="000E1116" w:rsidP="000E1116">
      <w:r>
        <w:rPr>
          <w:noProof/>
          <w:lang w:eastAsia="en-AU"/>
        </w:rPr>
        <w:drawing>
          <wp:inline distT="0" distB="0" distL="0" distR="0" wp14:anchorId="0FC14913" wp14:editId="051D1A39">
            <wp:extent cx="5400040" cy="3487526"/>
            <wp:effectExtent l="0" t="0" r="0" b="0"/>
            <wp:docPr id="18" name="Picture 18" descr="Table 9: GS-US-367-1171 and GS-US-367-1170: SVR12 by HCV Genotype and by Cirrhosis Statu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3487526"/>
                    </a:xfrm>
                    <a:prstGeom prst="rect">
                      <a:avLst/>
                    </a:prstGeom>
                  </pic:spPr>
                </pic:pic>
              </a:graphicData>
            </a:graphic>
          </wp:inline>
        </w:drawing>
      </w:r>
    </w:p>
    <w:p w:rsidR="005F3B70" w:rsidRDefault="005F3B70" w:rsidP="005F3B70">
      <w:pPr>
        <w:pStyle w:val="Heading5"/>
      </w:pPr>
      <w:r w:rsidRPr="005F3B70">
        <w:rPr>
          <w:rFonts w:eastAsia="TimesNewRoman"/>
        </w:rPr>
        <w:t>Efficacy in DAA-naïve subjects</w:t>
      </w:r>
    </w:p>
    <w:p w:rsidR="00476CD0" w:rsidRDefault="005F3B70" w:rsidP="005F3B70">
      <w:r w:rsidRPr="005F3B70">
        <w:t xml:space="preserve">A total of 611 </w:t>
      </w:r>
      <w:r w:rsidR="00CE0E69">
        <w:t>DAA naive</w:t>
      </w:r>
      <w:r w:rsidRPr="005F3B70">
        <w:t xml:space="preserve"> subjects were treated with SOF/VEL/VOX for 8 weeks in the POLARIS-2 and POLARIS-3 </w:t>
      </w:r>
      <w:r w:rsidR="00BB6256">
        <w:t>trials</w:t>
      </w:r>
      <w:r w:rsidR="00BB6256" w:rsidRPr="005F3B70">
        <w:t xml:space="preserve"> </w:t>
      </w:r>
      <w:r w:rsidRPr="005F3B70">
        <w:t xml:space="preserve">including 233, 63, 202, 63, 18, 30, and 2 subjects with genotype 1, 2, 3, 4, 5, 6, or unknown HCV infection, respectively. An additional 135 </w:t>
      </w:r>
      <w:r w:rsidR="00CE0E69">
        <w:t>DAA naive</w:t>
      </w:r>
      <w:r w:rsidRPr="005F3B70">
        <w:t xml:space="preserve"> subjects were treated with 8 weeks of SOF/VEL+VOX in 3 </w:t>
      </w:r>
      <w:r w:rsidR="00476CD0">
        <w:t>Phase II</w:t>
      </w:r>
      <w:r w:rsidRPr="005F3B70">
        <w:t xml:space="preserve"> studies, </w:t>
      </w:r>
      <w:r w:rsidR="00BB6256">
        <w:t>Studies </w:t>
      </w:r>
      <w:r w:rsidRPr="005F3B70">
        <w:t>GS-US-337-1468 (LEPTON</w:t>
      </w:r>
      <w:r w:rsidR="00BB6256">
        <w:t xml:space="preserve"> trial</w:t>
      </w:r>
      <w:r w:rsidRPr="005F3B70">
        <w:t>; Cohorts 4 and 5), GS-US-367-1168 and GS</w:t>
      </w:r>
      <w:r w:rsidR="00BB6256">
        <w:noBreakHyphen/>
      </w:r>
      <w:r w:rsidRPr="005F3B70">
        <w:t>US</w:t>
      </w:r>
      <w:r w:rsidR="00BB6256">
        <w:noBreakHyphen/>
      </w:r>
      <w:r w:rsidRPr="005F3B70">
        <w:t xml:space="preserve">367-1169. </w:t>
      </w:r>
      <w:r w:rsidR="00BB6256">
        <w:t xml:space="preserve">The </w:t>
      </w:r>
      <w:r w:rsidRPr="005F3B70">
        <w:t>POLARIS-2</w:t>
      </w:r>
      <w:r w:rsidR="00BB6256">
        <w:t xml:space="preserve"> trial</w:t>
      </w:r>
      <w:r w:rsidRPr="005F3B70">
        <w:t xml:space="preserve"> included </w:t>
      </w:r>
      <w:r w:rsidR="00CE0E69">
        <w:t>DAA naive</w:t>
      </w:r>
      <w:r w:rsidRPr="005F3B70">
        <w:t xml:space="preserve"> subjects with genotype 1, 2, 3, 4, 5, or 6 HCV </w:t>
      </w:r>
      <w:proofErr w:type="gramStart"/>
      <w:r w:rsidRPr="005F3B70">
        <w:t>infection</w:t>
      </w:r>
      <w:proofErr w:type="gramEnd"/>
      <w:r w:rsidRPr="005F3B70">
        <w:t xml:space="preserve"> without cirrhosis or with compensated cirrhosis (excluding subjects with genotype 3 HCV infection and cirrhosis) and </w:t>
      </w:r>
      <w:r w:rsidR="00BB6256">
        <w:t xml:space="preserve">the </w:t>
      </w:r>
      <w:r w:rsidRPr="005F3B70">
        <w:t>POLARIS-3</w:t>
      </w:r>
      <w:r w:rsidR="00BB6256">
        <w:t xml:space="preserve"> trial</w:t>
      </w:r>
      <w:r w:rsidRPr="005F3B70">
        <w:t xml:space="preserve"> included </w:t>
      </w:r>
      <w:r w:rsidR="00CE0E69">
        <w:t>DAA naive</w:t>
      </w:r>
      <w:r w:rsidRPr="005F3B70">
        <w:t xml:space="preserve"> subjects with genotype 3 HCV infection with compensated cirrhosis. In these studies, subjects were treatment naive or failed prior treatment with an IFN-based regimen</w:t>
      </w:r>
      <w:r w:rsidR="00476CD0">
        <w:t>.</w:t>
      </w:r>
    </w:p>
    <w:p w:rsidR="005F3B70" w:rsidRDefault="009140CB" w:rsidP="005F3B70">
      <w:r>
        <w:t xml:space="preserve">SOF/VEL/VOX for 8 weeks in DAA </w:t>
      </w:r>
      <w:r w:rsidR="005F3B70" w:rsidRPr="005F3B70">
        <w:t>naïve subjects demonstrated high SVR12 rates, but did not demonstrate non-inferiority to 12 weeks of treatment with SOF/</w:t>
      </w:r>
      <w:r w:rsidR="005F3B70" w:rsidRPr="00AC0F8C">
        <w:t xml:space="preserve">VEL </w:t>
      </w:r>
      <w:r w:rsidR="0084539B" w:rsidRPr="00AC0F8C">
        <w:t xml:space="preserve">(Table </w:t>
      </w:r>
      <w:r w:rsidR="00AC0F8C" w:rsidRPr="00AC0F8C">
        <w:t>10</w:t>
      </w:r>
      <w:r w:rsidR="005F3B70" w:rsidRPr="005F3B70">
        <w:t>). This difference between the regimens was primarily due to a lower SVR12 rate (91.7%) in subjects with genotype 1a HCV infection</w:t>
      </w:r>
      <w:r>
        <w:t xml:space="preserve"> treated with SOF/VEL/VOX for 8 </w:t>
      </w:r>
      <w:r w:rsidR="005F3B70" w:rsidRPr="005F3B70">
        <w:t xml:space="preserve">weeks. In subjects with HCV genotypes other than genotype 1a treated for 8 weeks with SOF/VEL/VOX, the pooled SVR12 rate was 96.6%. In general, the SVR12 rates were consistent between the </w:t>
      </w:r>
      <w:r w:rsidR="00476CD0">
        <w:t>Phase II</w:t>
      </w:r>
      <w:r w:rsidR="005F3B70" w:rsidRPr="005F3B70">
        <w:t xml:space="preserve"> and </w:t>
      </w:r>
      <w:r w:rsidR="00476CD0">
        <w:t>Phase III</w:t>
      </w:r>
      <w:r w:rsidR="005F3B70" w:rsidRPr="005F3B70">
        <w:t xml:space="preserve"> programs. Across studies, SOF/VEL/VOX for 8 weeks among subjects with genotype 3 HCV infection without cirrhosis or with cirrhosis resulted in an SVR12 rate of 97.5% (197 of 202 subjects), comparable to that of SOF/VEL for 12 weeks (96.5% </w:t>
      </w:r>
      <w:r w:rsidR="000E1116">
        <w:t>(</w:t>
      </w:r>
      <w:r w:rsidR="005F3B70" w:rsidRPr="005F3B70">
        <w:t>191 of 198 subjects</w:t>
      </w:r>
      <w:r w:rsidR="000E1116">
        <w:t>)</w:t>
      </w:r>
      <w:r w:rsidR="005F3B70" w:rsidRPr="005F3B70">
        <w:t>). Efficacy of 12 weeks tr</w:t>
      </w:r>
      <w:r>
        <w:t xml:space="preserve">eatment with SOF/VEL/VOX in DAA </w:t>
      </w:r>
      <w:r w:rsidR="003A5113">
        <w:t>treatment naïve</w:t>
      </w:r>
      <w:r w:rsidR="005F3B70" w:rsidRPr="005F3B70">
        <w:t xml:space="preserve"> HCV patients was not evaluated. The efficacy results demonstrate that 8 weeks of tr</w:t>
      </w:r>
      <w:r>
        <w:t xml:space="preserve">eatment with SOF/VEL/VOX in DAA </w:t>
      </w:r>
      <w:r w:rsidR="005F3B70" w:rsidRPr="005F3B70">
        <w:t xml:space="preserve">naïve subjects with genotype 3 HCV infection without cirrhosis or with compensated cirrhosis achieves similar SVR12 rates to 12 weeks of treatment with SOF/VEL which may be relevant in regions of the world where genotype 3 HCV </w:t>
      </w:r>
      <w:proofErr w:type="gramStart"/>
      <w:r w:rsidR="005F3B70" w:rsidRPr="005F3B70">
        <w:t>infection</w:t>
      </w:r>
      <w:proofErr w:type="gramEnd"/>
      <w:r w:rsidR="005F3B70" w:rsidRPr="005F3B70">
        <w:t xml:space="preserve"> is prevalent. However, there was inadequate evidence to support 8 weeks treatment with SOF./VEL/VOX over currently approved treatment with SOF/VEL in HCV patients with other genotypes.</w:t>
      </w:r>
    </w:p>
    <w:p w:rsidR="000E1116" w:rsidRDefault="000E1116" w:rsidP="00AC0F8C">
      <w:pPr>
        <w:pStyle w:val="Tabletitle0"/>
        <w:tabs>
          <w:tab w:val="left" w:pos="1134"/>
        </w:tabs>
      </w:pPr>
      <w:bookmarkStart w:id="128" w:name="_Ref485290801"/>
      <w:bookmarkStart w:id="129" w:name="_Toc496266299"/>
      <w:r w:rsidRPr="00C775DA">
        <w:lastRenderedPageBreak/>
        <w:t xml:space="preserve">Table </w:t>
      </w:r>
      <w:r w:rsidR="00AC0F8C">
        <w:t>10</w:t>
      </w:r>
      <w:r w:rsidRPr="00C775DA">
        <w:t xml:space="preserve">: </w:t>
      </w:r>
      <w:r w:rsidR="00BB6256">
        <w:t>Studies</w:t>
      </w:r>
      <w:r>
        <w:t>GS-US-367-1172 and GS-US-367-1173</w:t>
      </w:r>
      <w:r w:rsidR="00BB6256">
        <w:t>;</w:t>
      </w:r>
      <w:r>
        <w:t xml:space="preserve"> SVR12 by HCV genotype and by cirrhosis status (FAS)</w:t>
      </w:r>
      <w:bookmarkEnd w:id="128"/>
      <w:bookmarkEnd w:id="129"/>
    </w:p>
    <w:p w:rsidR="000E1116" w:rsidRPr="005F3B70" w:rsidRDefault="0084539B" w:rsidP="005F3B70">
      <w:r>
        <w:rPr>
          <w:noProof/>
          <w:lang w:eastAsia="en-AU"/>
        </w:rPr>
        <w:drawing>
          <wp:inline distT="0" distB="0" distL="0" distR="0" wp14:anchorId="4883B8A6" wp14:editId="004F9E23">
            <wp:extent cx="5400040" cy="3457526"/>
            <wp:effectExtent l="0" t="0" r="0" b="0"/>
            <wp:docPr id="19" name="Picture 19" descr="Table 10: GS-US-367-1172 and GS-US-367-1173 SVR12 by HCV genotype and by cirrhosis statu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457526"/>
                    </a:xfrm>
                    <a:prstGeom prst="rect">
                      <a:avLst/>
                    </a:prstGeom>
                  </pic:spPr>
                </pic:pic>
              </a:graphicData>
            </a:graphic>
          </wp:inline>
        </w:drawing>
      </w:r>
    </w:p>
    <w:p w:rsidR="005F3B70" w:rsidRDefault="005F3B70" w:rsidP="005F3B70">
      <w:pPr>
        <w:pStyle w:val="Heading5"/>
      </w:pPr>
      <w:r w:rsidRPr="005F3B70">
        <w:rPr>
          <w:rFonts w:eastAsia="TimesNewRoman"/>
        </w:rPr>
        <w:t>Persistence of effects and/or tolerance effects</w:t>
      </w:r>
    </w:p>
    <w:p w:rsidR="00476CD0" w:rsidRDefault="005F3B70" w:rsidP="005F3B70">
      <w:r w:rsidRPr="005F3B70">
        <w:t xml:space="preserve">Historically, SVR has been defined at 24 weeks following completion of treatment. However, recently SVR12 has been adopted by regulatory authorities as the primary efficacy endpoint for evaluation of HCV treatments and has been accepted to support the recent marketing authorisations of HCV treatments. Data evaluating the concordance between SVR12 and SVR24 from the </w:t>
      </w:r>
      <w:r w:rsidR="00476CD0">
        <w:t>Phase III</w:t>
      </w:r>
      <w:r w:rsidRPr="005F3B70">
        <w:t xml:space="preserve"> studies of the SOF/VEL/VOX development program (POLARIS-1, POLARIS-4, POLARIS-2</w:t>
      </w:r>
      <w:r w:rsidR="0084539B">
        <w:t xml:space="preserve"> </w:t>
      </w:r>
      <w:r w:rsidRPr="005F3B70">
        <w:t>and POLARIS-3</w:t>
      </w:r>
      <w:r w:rsidR="00BB6256">
        <w:t xml:space="preserve"> trials</w:t>
      </w:r>
      <w:r w:rsidRPr="005F3B70">
        <w:t xml:space="preserve">) will be reported in the final report for each study and was not provided in the current submission. An analysis was performed to evaluate the concordance between SVR12 and SVR24 in subjects receiving SOF/VEL+VOX or SOF/VEL/VOX in the </w:t>
      </w:r>
      <w:r w:rsidR="00476CD0">
        <w:t>Phase II</w:t>
      </w:r>
      <w:r w:rsidRPr="005F3B70">
        <w:t xml:space="preserve"> </w:t>
      </w:r>
      <w:r w:rsidR="00BB6256">
        <w:t>S</w:t>
      </w:r>
      <w:r w:rsidR="00BB6256" w:rsidRPr="005F3B70">
        <w:t xml:space="preserve">tudies </w:t>
      </w:r>
      <w:r w:rsidRPr="005F3B70">
        <w:t>GS-US-337-1468 (LEPTON</w:t>
      </w:r>
      <w:r w:rsidR="00BB6256">
        <w:t xml:space="preserve"> trial</w:t>
      </w:r>
      <w:r w:rsidRPr="005F3B70">
        <w:t>; Cohorts 4 and 5), GS-US-367-1168, GS-US-367-1169 and GS-US-367-1871 (TRILOGY-3</w:t>
      </w:r>
      <w:r w:rsidR="00BB6256">
        <w:t xml:space="preserve"> trial</w:t>
      </w:r>
      <w:r w:rsidRPr="005F3B70">
        <w:t>). Across these 4 studies, of the 476 subjects who achieved SVR12, 475 subjects also achieved SVR24. The 1 subject who relapsed between post treatment Weeks</w:t>
      </w:r>
      <w:r w:rsidR="00BB6256">
        <w:t> </w:t>
      </w:r>
      <w:r w:rsidRPr="005F3B70">
        <w:t>12 and 24 had received SOF/VEL+VOX for 4 weeks (</w:t>
      </w:r>
      <w:r w:rsidR="00BB6256">
        <w:t xml:space="preserve">Study </w:t>
      </w:r>
      <w:r w:rsidRPr="005F3B70">
        <w:t>GS-US-367-1468)</w:t>
      </w:r>
      <w:r w:rsidR="00476CD0">
        <w:t>.</w:t>
      </w:r>
    </w:p>
    <w:p w:rsidR="005F3B70" w:rsidRDefault="005F3B70" w:rsidP="005F3B70">
      <w:pPr>
        <w:pStyle w:val="Heading5"/>
      </w:pPr>
      <w:r>
        <w:t>Efficacy conclusions</w:t>
      </w:r>
    </w:p>
    <w:p w:rsidR="009140CB" w:rsidRDefault="005F3B70" w:rsidP="005F3B70">
      <w:r w:rsidRPr="005F3B70">
        <w:t xml:space="preserve">Overall, the </w:t>
      </w:r>
      <w:r w:rsidR="00476CD0">
        <w:t>Phase II</w:t>
      </w:r>
      <w:r w:rsidRPr="005F3B70">
        <w:t xml:space="preserve"> and </w:t>
      </w:r>
      <w:r w:rsidR="009140CB">
        <w:t>III</w:t>
      </w:r>
      <w:r w:rsidRPr="005F3B70">
        <w:t xml:space="preserve"> efficacy data support the proposed dosing regimen of SOF/VEL/VOX (400/100/100</w:t>
      </w:r>
      <w:r w:rsidR="00AA5E62">
        <w:t xml:space="preserve"> mg</w:t>
      </w:r>
      <w:r w:rsidRPr="005F3B70">
        <w:t xml:space="preserve">) one tablet daily with food for 12 weeks in </w:t>
      </w:r>
      <w:r w:rsidR="00CE0E69">
        <w:t>DAA experienced</w:t>
      </w:r>
      <w:r w:rsidRPr="005F3B70">
        <w:t xml:space="preserve"> adult patients with HCV infection. SOF/VEL/VOX administered for 12 weeks in </w:t>
      </w:r>
      <w:r w:rsidR="00BB6256">
        <w:t xml:space="preserve">the </w:t>
      </w:r>
      <w:r w:rsidRPr="005F3B70">
        <w:t>POLARIS-1 and POLARIS-4</w:t>
      </w:r>
      <w:r w:rsidR="00BB6256">
        <w:t xml:space="preserve"> trials</w:t>
      </w:r>
      <w:r w:rsidRPr="005F3B70">
        <w:t xml:space="preserve"> resulted in SVR12 rates of 96.2% and 97.3%, respectively. There are no currently approved regimens for patients who have not achieved SVR following treat</w:t>
      </w:r>
      <w:r w:rsidR="009140CB">
        <w:t xml:space="preserve">ment with the DAA </w:t>
      </w:r>
      <w:r w:rsidRPr="005F3B70">
        <w:t>containing regimens as defined in these studies. Hence, the cumulative efficacy data support the use of SOF/VEL/VOX for 12 weeks for the treatment of HCV infection in patients who have failed treatment with at least one prior DAA, regardless of genotype, in patients without cirrhosis</w:t>
      </w:r>
      <w:r w:rsidR="009140CB">
        <w:t xml:space="preserve"> or with compensated cirrhosis.</w:t>
      </w:r>
    </w:p>
    <w:p w:rsidR="005F3B70" w:rsidRPr="005F3B70" w:rsidRDefault="005F3B70" w:rsidP="005F3B70">
      <w:r w:rsidRPr="005F3B70">
        <w:t>There is inadequate</w:t>
      </w:r>
      <w:r w:rsidR="009140CB">
        <w:t xml:space="preserve"> evidence to support use in DAA </w:t>
      </w:r>
      <w:r w:rsidRPr="005F3B70">
        <w:t>treatment naïve patients with HCV infection of all genotypes (POLARIS-2</w:t>
      </w:r>
      <w:r w:rsidR="00BB6256">
        <w:t xml:space="preserve"> trial</w:t>
      </w:r>
      <w:r w:rsidRPr="005F3B70">
        <w:t>).</w:t>
      </w:r>
      <w:r w:rsidR="00476CD0">
        <w:t xml:space="preserve"> </w:t>
      </w:r>
      <w:r w:rsidRPr="005F3B70">
        <w:t xml:space="preserve">However, there was some evidence to suggest </w:t>
      </w:r>
      <w:r w:rsidRPr="005F3B70">
        <w:lastRenderedPageBreak/>
        <w:t>efficacy of 8 weeks of SOF/VEL/VOX in DAA-treatment naïve patients with HCV genotype 3 and compensated cirrhosis (POLARIS-3</w:t>
      </w:r>
      <w:r w:rsidR="00BB6256">
        <w:t xml:space="preserve"> trial</w:t>
      </w:r>
      <w:r w:rsidRPr="005F3B70">
        <w:t>).</w:t>
      </w:r>
    </w:p>
    <w:p w:rsidR="005F3B70" w:rsidRPr="005F3B70" w:rsidRDefault="005F3B70" w:rsidP="005F3B70">
      <w:pPr>
        <w:pStyle w:val="Heading5"/>
        <w:rPr>
          <w:rFonts w:eastAsia="TimesNewRoman"/>
        </w:rPr>
      </w:pPr>
      <w:r w:rsidRPr="005F3B70">
        <w:rPr>
          <w:rFonts w:eastAsia="TimesNewRoman"/>
        </w:rPr>
        <w:t>Li</w:t>
      </w:r>
      <w:r w:rsidR="009140CB">
        <w:rPr>
          <w:rFonts w:eastAsia="TimesNewRoman"/>
        </w:rPr>
        <w:t>mitations of the efficacy data</w:t>
      </w:r>
    </w:p>
    <w:p w:rsidR="00476CD0" w:rsidRDefault="005F3B70" w:rsidP="005F3B70">
      <w:pPr>
        <w:pStyle w:val="ListBullet"/>
      </w:pPr>
      <w:r w:rsidRPr="005F3B70">
        <w:t xml:space="preserve">Despite the positive results from the </w:t>
      </w:r>
      <w:r w:rsidR="00476CD0">
        <w:t>Phase II</w:t>
      </w:r>
      <w:r w:rsidRPr="005F3B70">
        <w:t xml:space="preserve"> studies regarding concordance between the SVR12 and SVR24, it is imperative that the sponsors provide results of the SVR24 in the four pivotal </w:t>
      </w:r>
      <w:r w:rsidR="00476CD0">
        <w:t>Phase III</w:t>
      </w:r>
      <w:r w:rsidRPr="005F3B70">
        <w:t xml:space="preserve"> studies and this could a condition following approval of proposed FDC. It is noted that the sponsors are conducting 3 registry studies, in which subjects are being followed for up to 3 or 5 years after their initial treatment study in accordance with both US and European Union guidelines. These long term data should also enable assessment of efficacy/ safety of the proposed SOF/VEL/VOX FDC</w:t>
      </w:r>
      <w:r w:rsidR="00476CD0">
        <w:t>.</w:t>
      </w:r>
    </w:p>
    <w:p w:rsidR="005F3B70" w:rsidRPr="005F3B70" w:rsidRDefault="005F3B70" w:rsidP="005F3B70">
      <w:pPr>
        <w:pStyle w:val="ListBullet"/>
      </w:pPr>
      <w:r w:rsidRPr="005F3B70">
        <w:t>Lack of unequivocal evidence of efficacy of 8</w:t>
      </w:r>
      <w:r w:rsidR="00AA5E62">
        <w:t xml:space="preserve"> week</w:t>
      </w:r>
      <w:r w:rsidRPr="005F3B70">
        <w:t xml:space="preserve"> tr</w:t>
      </w:r>
      <w:r w:rsidR="009140CB">
        <w:t xml:space="preserve">eatment with SOF/VEL/VOX in DAA </w:t>
      </w:r>
      <w:r w:rsidRPr="005F3B70">
        <w:t>treatment naïve HCV patients; the proposed 12</w:t>
      </w:r>
      <w:r w:rsidR="00AA5E62">
        <w:t xml:space="preserve"> week</w:t>
      </w:r>
      <w:r w:rsidRPr="005F3B70">
        <w:t xml:space="preserve"> treatment with SOF/V</w:t>
      </w:r>
      <w:r w:rsidR="009140CB">
        <w:t xml:space="preserve">EL/VOX was not evaluated in DAA </w:t>
      </w:r>
      <w:r w:rsidR="003A5113">
        <w:t>treatment naïve</w:t>
      </w:r>
      <w:r w:rsidRPr="005F3B70">
        <w:t xml:space="preserve"> patients.</w:t>
      </w:r>
    </w:p>
    <w:p w:rsidR="00476CD0" w:rsidRDefault="005F3B70" w:rsidP="005F3B70">
      <w:pPr>
        <w:pStyle w:val="ListBullet"/>
      </w:pPr>
      <w:r w:rsidRPr="005F3B70">
        <w:t>The proposed PI only provides dosing recommendations in HCV patients who have failed treatment with at least one prior DAA. There are no</w:t>
      </w:r>
      <w:r w:rsidR="009140CB">
        <w:t xml:space="preserve"> dosing recommendations for DAA </w:t>
      </w:r>
      <w:r w:rsidR="003A5113">
        <w:t>treatment naïve</w:t>
      </w:r>
      <w:r w:rsidRPr="005F3B70">
        <w:t xml:space="preserve"> HCV patients in the PI although the proposed indication is for all adult patients with chronic HCV</w:t>
      </w:r>
      <w:r w:rsidR="00476CD0">
        <w:t>.</w:t>
      </w:r>
    </w:p>
    <w:p w:rsidR="00476CD0" w:rsidRDefault="005F3B70" w:rsidP="00500337">
      <w:pPr>
        <w:pStyle w:val="ListBullet"/>
      </w:pPr>
      <w:r w:rsidRPr="005F3B70">
        <w:t>Proposed FDC of SOF/VEL/VOX was not evaluated in HCV patients with HBV or HIV co-infection or in patients with liver transplants</w:t>
      </w:r>
      <w:r w:rsidR="00476CD0">
        <w:t>.</w:t>
      </w:r>
    </w:p>
    <w:p w:rsidR="008E7846" w:rsidRPr="002E238E" w:rsidRDefault="008E7846" w:rsidP="008E7846">
      <w:pPr>
        <w:pStyle w:val="Heading3"/>
      </w:pPr>
      <w:bookmarkStart w:id="130" w:name="_Toc163441378"/>
      <w:bookmarkStart w:id="131" w:name="_Toc196046495"/>
      <w:bookmarkStart w:id="132" w:name="_Toc247691522"/>
      <w:bookmarkStart w:id="133" w:name="_Toc314842505"/>
      <w:bookmarkStart w:id="134" w:name="_Toc8291126"/>
      <w:bookmarkEnd w:id="124"/>
      <w:bookmarkEnd w:id="125"/>
      <w:bookmarkEnd w:id="126"/>
      <w:bookmarkEnd w:id="127"/>
      <w:r w:rsidRPr="002E238E">
        <w:t>Safety</w:t>
      </w:r>
      <w:bookmarkEnd w:id="130"/>
      <w:bookmarkEnd w:id="131"/>
      <w:bookmarkEnd w:id="132"/>
      <w:bookmarkEnd w:id="133"/>
      <w:bookmarkEnd w:id="134"/>
    </w:p>
    <w:p w:rsidR="00605AD4" w:rsidRDefault="00605AD4" w:rsidP="00605AD4">
      <w:pPr>
        <w:pStyle w:val="Heading4"/>
      </w:pPr>
      <w:bookmarkStart w:id="135" w:name="_Toc247691524"/>
      <w:bookmarkStart w:id="136" w:name="_Toc314842508"/>
      <w:bookmarkStart w:id="137" w:name="_Toc196046504"/>
      <w:bookmarkStart w:id="138" w:name="_Toc163441390"/>
      <w:r w:rsidRPr="00605AD4">
        <w:t>Studies providing safety data</w:t>
      </w:r>
    </w:p>
    <w:p w:rsidR="00476CD0" w:rsidRDefault="005F3B70" w:rsidP="00500337">
      <w:r w:rsidRPr="005F3B70">
        <w:t>Overall, 15 clinical studies provided the main safety data for SOF/VEL/VOX , including 4</w:t>
      </w:r>
      <w:r w:rsidR="00BB6256">
        <w:t> </w:t>
      </w:r>
      <w:r w:rsidR="00476CD0">
        <w:t>Phase III</w:t>
      </w:r>
      <w:r w:rsidRPr="005F3B70">
        <w:t xml:space="preserve"> studies of SOF/VEL/VOX as an FDC tablet, 4 </w:t>
      </w:r>
      <w:r w:rsidR="00476CD0">
        <w:t>Phase II</w:t>
      </w:r>
      <w:r w:rsidRPr="005F3B70">
        <w:t xml:space="preserve"> studies of SOF/VEL+VOX (with VOX as an individual agent) or SOF/VEL/VOX (with VOX in the FDC) with or without RBV, and 7 </w:t>
      </w:r>
      <w:r w:rsidR="00476CD0">
        <w:t>Phase I</w:t>
      </w:r>
      <w:r w:rsidRPr="005F3B70">
        <w:t xml:space="preserve"> studies of SOF/VEL/VOX as an FDC tablet or SOF/VEL as an FDC table</w:t>
      </w:r>
      <w:r w:rsidR="00AC0F8C">
        <w:t>t</w:t>
      </w:r>
      <w:r w:rsidRPr="005F3B70">
        <w:t xml:space="preserve"> plus VOX as an individual agent. Supportive safety data was provided from the </w:t>
      </w:r>
      <w:r w:rsidR="00476CD0">
        <w:t>Phase I</w:t>
      </w:r>
      <w:r w:rsidRPr="005F3B70">
        <w:t xml:space="preserve"> and </w:t>
      </w:r>
      <w:r w:rsidR="009140CB">
        <w:t>II</w:t>
      </w:r>
      <w:r w:rsidRPr="005F3B70">
        <w:t xml:space="preserve"> studies and from 11 clinical studies of SOF/VEL FDC or SOF+VEL as individual agents, 31</w:t>
      </w:r>
      <w:r w:rsidR="00BB6256">
        <w:t> </w:t>
      </w:r>
      <w:r w:rsidRPr="005F3B70">
        <w:t xml:space="preserve">clinical studies of SOF, 9 clinical studies of VEL and 8 clinical studies of VOX as individual </w:t>
      </w:r>
      <w:r w:rsidRPr="00AC0F8C">
        <w:t xml:space="preserve">agents </w:t>
      </w:r>
      <w:r w:rsidR="0084539B" w:rsidRPr="00AC0F8C">
        <w:t xml:space="preserve">(Table </w:t>
      </w:r>
      <w:r w:rsidR="00AC0F8C" w:rsidRPr="00AC0F8C">
        <w:t>11</w:t>
      </w:r>
      <w:r w:rsidRPr="005F3B70">
        <w:t>)</w:t>
      </w:r>
      <w:r w:rsidR="00476CD0">
        <w:t>.</w:t>
      </w:r>
    </w:p>
    <w:p w:rsidR="005F3B70" w:rsidRDefault="005F3B70" w:rsidP="00AC0F8C">
      <w:pPr>
        <w:pStyle w:val="TableTitle"/>
        <w:tabs>
          <w:tab w:val="left" w:pos="2694"/>
        </w:tabs>
      </w:pPr>
      <w:bookmarkStart w:id="139" w:name="_Ref485290805"/>
      <w:bookmarkStart w:id="140" w:name="_Toc496266300"/>
      <w:r>
        <w:lastRenderedPageBreak/>
        <w:t xml:space="preserve">Table </w:t>
      </w:r>
      <w:r w:rsidR="00AC0F8C">
        <w:t xml:space="preserve">11: </w:t>
      </w:r>
      <w:r>
        <w:t>Safety data supporting the proposed indication for SOF/VEL/VOX</w:t>
      </w:r>
      <w:bookmarkEnd w:id="139"/>
      <w:bookmarkEnd w:id="140"/>
    </w:p>
    <w:p w:rsidR="005F3B70" w:rsidRPr="00500337" w:rsidRDefault="005F3B70" w:rsidP="00500337">
      <w:r>
        <w:rPr>
          <w:noProof/>
          <w:lang w:eastAsia="en-AU"/>
        </w:rPr>
        <w:drawing>
          <wp:inline distT="0" distB="0" distL="0" distR="0" wp14:anchorId="2A6EC129" wp14:editId="75F51C41">
            <wp:extent cx="5400040" cy="5097153"/>
            <wp:effectExtent l="0" t="0" r="0" b="8255"/>
            <wp:docPr id="13" name="Picture 13" descr="Table 11: Safety data supporting the proposed indication for SOF/VEL/V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5097153"/>
                    </a:xfrm>
                    <a:prstGeom prst="rect">
                      <a:avLst/>
                    </a:prstGeom>
                  </pic:spPr>
                </pic:pic>
              </a:graphicData>
            </a:graphic>
          </wp:inline>
        </w:drawing>
      </w:r>
    </w:p>
    <w:p w:rsidR="00605AD4" w:rsidRDefault="00605AD4" w:rsidP="00605AD4">
      <w:pPr>
        <w:pStyle w:val="Heading4"/>
      </w:pPr>
      <w:r w:rsidRPr="00605AD4">
        <w:t>Patient exposure</w:t>
      </w:r>
    </w:p>
    <w:p w:rsidR="00476CD0" w:rsidRDefault="00B40C5E" w:rsidP="00B40C5E">
      <w:r w:rsidRPr="00B40C5E">
        <w:t>A total of 2</w:t>
      </w:r>
      <w:r w:rsidR="009140CB">
        <w:t>,</w:t>
      </w:r>
      <w:r w:rsidRPr="00B40C5E">
        <w:t>869 subjects were evaluated as part of the primary safety data, including 1</w:t>
      </w:r>
      <w:r w:rsidR="009140CB">
        <w:t>,</w:t>
      </w:r>
      <w:r w:rsidRPr="00B40C5E">
        <w:t xml:space="preserve">908 subjects in the </w:t>
      </w:r>
      <w:r w:rsidR="00BB6256">
        <w:t>i</w:t>
      </w:r>
      <w:r w:rsidRPr="00B40C5E">
        <w:t xml:space="preserve">ntegrated </w:t>
      </w:r>
      <w:r w:rsidR="00476CD0">
        <w:t>Phase III</w:t>
      </w:r>
      <w:r w:rsidRPr="00B40C5E">
        <w:t xml:space="preserve"> </w:t>
      </w:r>
      <w:r w:rsidR="00BB6256">
        <w:t>s</w:t>
      </w:r>
      <w:r w:rsidR="00BB6256" w:rsidRPr="00B40C5E">
        <w:t xml:space="preserve">afety </w:t>
      </w:r>
      <w:r w:rsidR="00BB6256">
        <w:t>p</w:t>
      </w:r>
      <w:r w:rsidR="00BB6256" w:rsidRPr="00B40C5E">
        <w:t>opulation</w:t>
      </w:r>
      <w:r w:rsidRPr="00B40C5E">
        <w:t xml:space="preserve">, 543 subjects in the </w:t>
      </w:r>
      <w:r w:rsidR="00476CD0">
        <w:t>Phase II</w:t>
      </w:r>
      <w:r w:rsidRPr="00B40C5E">
        <w:t xml:space="preserve"> </w:t>
      </w:r>
      <w:r w:rsidR="00BB6256">
        <w:t>s</w:t>
      </w:r>
      <w:r w:rsidR="00BB6256" w:rsidRPr="00B40C5E">
        <w:t xml:space="preserve">afety </w:t>
      </w:r>
      <w:r w:rsidR="00BB6256">
        <w:t>p</w:t>
      </w:r>
      <w:r w:rsidR="00BB6256" w:rsidRPr="00B40C5E">
        <w:t xml:space="preserve">opulation </w:t>
      </w:r>
      <w:r w:rsidRPr="00B40C5E">
        <w:t xml:space="preserve">and 418 subjects in the </w:t>
      </w:r>
      <w:r w:rsidR="00476CD0">
        <w:t>Phase I</w:t>
      </w:r>
      <w:r w:rsidRPr="00B40C5E">
        <w:t xml:space="preserve"> </w:t>
      </w:r>
      <w:r w:rsidR="00BB6256">
        <w:t>s</w:t>
      </w:r>
      <w:r w:rsidR="00BB6256" w:rsidRPr="00B40C5E">
        <w:t xml:space="preserve">afety </w:t>
      </w:r>
      <w:r w:rsidRPr="00AC0F8C">
        <w:t xml:space="preserve">population. Table </w:t>
      </w:r>
      <w:r w:rsidR="00AC0F8C" w:rsidRPr="00AC0F8C">
        <w:t>12</w:t>
      </w:r>
      <w:r w:rsidRPr="00AC0F8C">
        <w:t xml:space="preserve"> (provides</w:t>
      </w:r>
      <w:r w:rsidRPr="00B40C5E">
        <w:t xml:space="preserve"> overview of studies providing safety data for the SOF/VEL/VOX Integrated </w:t>
      </w:r>
      <w:r w:rsidR="00476CD0">
        <w:t>Phase III</w:t>
      </w:r>
      <w:r w:rsidRPr="00B40C5E">
        <w:t xml:space="preserve"> Safety population. The Integrated </w:t>
      </w:r>
      <w:r w:rsidR="00476CD0">
        <w:t>Phase III</w:t>
      </w:r>
      <w:r w:rsidRPr="00B40C5E">
        <w:t xml:space="preserve"> Safety Population data have been pooled by treatment regimen as follows: SOF/VEL/VOX 8 Week Group (includes subjects who received SOF/VEL/VOX for 8 weeks in Studies GS-US-367-1172 and GS</w:t>
      </w:r>
      <w:r w:rsidR="00BB6256">
        <w:noBreakHyphen/>
      </w:r>
      <w:r w:rsidRPr="00B40C5E">
        <w:t>US</w:t>
      </w:r>
      <w:r w:rsidR="00BB6256">
        <w:noBreakHyphen/>
      </w:r>
      <w:r w:rsidRPr="00B40C5E">
        <w:t>367</w:t>
      </w:r>
      <w:r w:rsidR="00BB6256">
        <w:noBreakHyphen/>
      </w:r>
      <w:r w:rsidRPr="00B40C5E">
        <w:t>1173); SOF/VEL/VOX 12 Week Group (includes subjects who received SOF/VEL/VOX for 12 weeks in Studies GS-US-367-1171 and GS-US-367-1170); SOF/VEL 12 Week Group (includes subjects who received SOF/VEL for 12 weeks in Studies GS-US-367-1170, GS</w:t>
      </w:r>
      <w:r w:rsidR="00BB6256">
        <w:noBreakHyphen/>
      </w:r>
      <w:r w:rsidRPr="00B40C5E">
        <w:t>US</w:t>
      </w:r>
      <w:r w:rsidR="00BB6256">
        <w:noBreakHyphen/>
      </w:r>
      <w:r w:rsidRPr="00B40C5E">
        <w:t>367</w:t>
      </w:r>
      <w:r w:rsidR="00BB6256">
        <w:noBreakHyphen/>
      </w:r>
      <w:r w:rsidRPr="00B40C5E">
        <w:t>1172 and GS-US-367-1173); Placebo 12 Week Group (includes subjects who received SOF/VEL/VOX placebo for 12 weeks in Study GS-US-367-</w:t>
      </w:r>
      <w:r w:rsidRPr="00AC0F8C">
        <w:t xml:space="preserve">1171). Tables </w:t>
      </w:r>
      <w:r w:rsidR="00AC0F8C" w:rsidRPr="00AC0F8C">
        <w:t>13</w:t>
      </w:r>
      <w:r w:rsidRPr="00AC0F8C">
        <w:t xml:space="preserve"> and </w:t>
      </w:r>
      <w:r w:rsidR="00AC0F8C" w:rsidRPr="00AC0F8C">
        <w:t>14</w:t>
      </w:r>
      <w:r w:rsidRPr="00AC0F8C">
        <w:t xml:space="preserve"> provi</w:t>
      </w:r>
      <w:r w:rsidRPr="00B40C5E">
        <w:t xml:space="preserve">de overview of studies providing safety data for the </w:t>
      </w:r>
      <w:r w:rsidR="00476CD0">
        <w:t>Phase II</w:t>
      </w:r>
      <w:r w:rsidRPr="00B40C5E">
        <w:t xml:space="preserve"> and </w:t>
      </w:r>
      <w:r w:rsidR="00476CD0">
        <w:t>Phase I</w:t>
      </w:r>
      <w:r w:rsidRPr="00B40C5E">
        <w:t xml:space="preserve"> safety populations, respectively</w:t>
      </w:r>
      <w:r w:rsidR="00476CD0">
        <w:t>.</w:t>
      </w:r>
    </w:p>
    <w:p w:rsidR="0084539B" w:rsidRPr="008627F1" w:rsidRDefault="0084539B" w:rsidP="0084539B">
      <w:pPr>
        <w:pStyle w:val="Tabletitle0"/>
      </w:pPr>
      <w:r w:rsidRPr="00AC0F8C">
        <w:lastRenderedPageBreak/>
        <w:t xml:space="preserve">Table </w:t>
      </w:r>
      <w:r w:rsidR="00AC0F8C" w:rsidRPr="00AC0F8C">
        <w:t>1</w:t>
      </w:r>
      <w:r w:rsidR="00AC0F8C">
        <w:t>2:</w:t>
      </w:r>
      <w:r>
        <w:t xml:space="preserve"> </w:t>
      </w:r>
      <w:r w:rsidRPr="007805B8">
        <w:t xml:space="preserve">Overview of studies providing safety data </w:t>
      </w:r>
      <w:r>
        <w:t>for the SOF/VEL/VOX integrated Phase III</w:t>
      </w:r>
      <w:r w:rsidRPr="007805B8">
        <w:t xml:space="preserve"> safety </w:t>
      </w:r>
      <w:r>
        <w:t>population</w:t>
      </w:r>
    </w:p>
    <w:p w:rsidR="0084539B" w:rsidRDefault="0084539B" w:rsidP="00B40C5E">
      <w:r>
        <w:rPr>
          <w:noProof/>
          <w:lang w:eastAsia="en-AU"/>
        </w:rPr>
        <w:drawing>
          <wp:inline distT="0" distB="0" distL="0" distR="0" wp14:anchorId="5749EC10" wp14:editId="49F204CB">
            <wp:extent cx="5400040" cy="3337525"/>
            <wp:effectExtent l="0" t="0" r="0" b="0"/>
            <wp:docPr id="20" name="Picture 20" descr="Table 12: Overview of studies providing safety data for the SOF/VEL/VOX integrated Phase III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337525"/>
                    </a:xfrm>
                    <a:prstGeom prst="rect">
                      <a:avLst/>
                    </a:prstGeom>
                  </pic:spPr>
                </pic:pic>
              </a:graphicData>
            </a:graphic>
          </wp:inline>
        </w:drawing>
      </w:r>
    </w:p>
    <w:p w:rsidR="0084539B" w:rsidRDefault="0084539B" w:rsidP="0084539B">
      <w:pPr>
        <w:pStyle w:val="Tabletitle0"/>
      </w:pPr>
      <w:r w:rsidRPr="00AC0F8C">
        <w:t xml:space="preserve">Tables </w:t>
      </w:r>
      <w:r w:rsidR="00AC0F8C" w:rsidRPr="00AC0F8C">
        <w:t>1</w:t>
      </w:r>
      <w:r w:rsidR="00AC0F8C">
        <w:t>3:</w:t>
      </w:r>
      <w:r w:rsidRPr="0084539B">
        <w:t xml:space="preserve"> </w:t>
      </w:r>
      <w:r>
        <w:t>Overview of studies providing safety data for SOF/VEL/VOX Phase II safety population</w:t>
      </w:r>
    </w:p>
    <w:p w:rsidR="0084539B" w:rsidRDefault="0084539B" w:rsidP="0084539B">
      <w:r>
        <w:rPr>
          <w:noProof/>
          <w:lang w:eastAsia="en-AU"/>
        </w:rPr>
        <w:drawing>
          <wp:inline distT="0" distB="0" distL="0" distR="0" wp14:anchorId="64AEB78F" wp14:editId="1DC4E4A9">
            <wp:extent cx="5400040" cy="4630996"/>
            <wp:effectExtent l="0" t="0" r="0" b="0"/>
            <wp:docPr id="23" name="Picture 23" descr="Tables 13: Overview of studies providing safety data for SOF/VEL/VOX Phase II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4630996"/>
                    </a:xfrm>
                    <a:prstGeom prst="rect">
                      <a:avLst/>
                    </a:prstGeom>
                  </pic:spPr>
                </pic:pic>
              </a:graphicData>
            </a:graphic>
          </wp:inline>
        </w:drawing>
      </w:r>
    </w:p>
    <w:p w:rsidR="0084539B" w:rsidRDefault="00AC0F8C" w:rsidP="0084539B">
      <w:pPr>
        <w:pStyle w:val="Tabletitle0"/>
      </w:pPr>
      <w:r>
        <w:lastRenderedPageBreak/>
        <w:t xml:space="preserve">Table 14: </w:t>
      </w:r>
      <w:r w:rsidR="0084539B">
        <w:t>Overview of Studies Providing Safety Data for the SOF/VEL/VOX Phase I Safety Population</w:t>
      </w:r>
    </w:p>
    <w:p w:rsidR="0084539B" w:rsidRDefault="0084539B" w:rsidP="0084539B">
      <w:r>
        <w:rPr>
          <w:noProof/>
          <w:lang w:eastAsia="en-AU"/>
        </w:rPr>
        <w:drawing>
          <wp:inline distT="0" distB="0" distL="0" distR="0" wp14:anchorId="2584D69A" wp14:editId="7429960D">
            <wp:extent cx="4754079" cy="5435193"/>
            <wp:effectExtent l="0" t="0" r="8890" b="0"/>
            <wp:docPr id="24" name="Picture 24" descr="Table 14: Overview of Studies Providing Safety Data for the SOF/VEL/VOX Phase I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62140" cy="5444409"/>
                    </a:xfrm>
                    <a:prstGeom prst="rect">
                      <a:avLst/>
                    </a:prstGeom>
                  </pic:spPr>
                </pic:pic>
              </a:graphicData>
            </a:graphic>
          </wp:inline>
        </w:drawing>
      </w:r>
    </w:p>
    <w:p w:rsidR="0084539B" w:rsidRDefault="0084539B" w:rsidP="0084539B">
      <w:pPr>
        <w:pStyle w:val="Tabletitle0"/>
      </w:pPr>
      <w:r>
        <w:lastRenderedPageBreak/>
        <w:t>Table</w:t>
      </w:r>
      <w:r w:rsidR="00AC0F8C">
        <w:t xml:space="preserve"> 14:</w:t>
      </w:r>
      <w:r>
        <w:t xml:space="preserve"> (continued) Overview of Studies Providing Safety Data for the SOF/VEL/VOX Phase I Safety Population</w:t>
      </w:r>
    </w:p>
    <w:p w:rsidR="0084539B" w:rsidRPr="0084539B" w:rsidRDefault="0084539B" w:rsidP="0084539B">
      <w:r>
        <w:rPr>
          <w:noProof/>
          <w:lang w:eastAsia="en-AU"/>
        </w:rPr>
        <w:drawing>
          <wp:inline distT="0" distB="0" distL="0" distR="0" wp14:anchorId="7A6E7531" wp14:editId="7A92DE65">
            <wp:extent cx="4740249" cy="5883783"/>
            <wp:effectExtent l="0" t="0" r="3810" b="3175"/>
            <wp:docPr id="25" name="Picture 25" descr="Table 14: (continued) Overview of Studies Providing Safety Data for the SOF/VEL/VOX Phase I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45935" cy="5890841"/>
                    </a:xfrm>
                    <a:prstGeom prst="rect">
                      <a:avLst/>
                    </a:prstGeom>
                  </pic:spPr>
                </pic:pic>
              </a:graphicData>
            </a:graphic>
          </wp:inline>
        </w:drawing>
      </w:r>
    </w:p>
    <w:p w:rsidR="00476CD0" w:rsidRDefault="00B40C5E" w:rsidP="00B40C5E">
      <w:r w:rsidRPr="00B40C5E">
        <w:t>A total of 2</w:t>
      </w:r>
      <w:r w:rsidR="009140CB">
        <w:t>,</w:t>
      </w:r>
      <w:r w:rsidRPr="00B40C5E">
        <w:t xml:space="preserve">017 subjects have received at least 1 dose of SOF/VEL/VOX or SOF/VEL+VOX, including 1056 subjects in 4 SOF/VEL/VOX </w:t>
      </w:r>
      <w:r w:rsidR="00476CD0">
        <w:t>Phase III</w:t>
      </w:r>
      <w:r w:rsidRPr="00B40C5E">
        <w:t xml:space="preserve"> studies, 543 subjects in 4 SOF/VEL/VOX or SOF/VEL+VOX </w:t>
      </w:r>
      <w:r w:rsidR="00476CD0">
        <w:t>Phase II</w:t>
      </w:r>
      <w:r w:rsidRPr="00B40C5E">
        <w:t xml:space="preserve"> studies and 418 subjects in 7 SOF/VEL/VOX, SOF/VEL+VOX, or SOF/VEL/VOX+VOX </w:t>
      </w:r>
      <w:r w:rsidR="00476CD0">
        <w:t>Phase I</w:t>
      </w:r>
      <w:r w:rsidRPr="00B40C5E">
        <w:t xml:space="preserve"> </w:t>
      </w:r>
      <w:r w:rsidRPr="00AC0F8C">
        <w:t xml:space="preserve">studies (Table </w:t>
      </w:r>
      <w:r w:rsidR="00AC0F8C" w:rsidRPr="00AC0F8C">
        <w:t>15</w:t>
      </w:r>
      <w:r w:rsidRPr="00AC0F8C">
        <w:t>).</w:t>
      </w:r>
      <w:r w:rsidRPr="00B40C5E">
        <w:t xml:space="preserve"> Among the subjects in the </w:t>
      </w:r>
      <w:r w:rsidR="00476CD0">
        <w:t>Phase III</w:t>
      </w:r>
      <w:r w:rsidRPr="00B40C5E">
        <w:t xml:space="preserve"> and </w:t>
      </w:r>
      <w:r w:rsidR="00476CD0">
        <w:t>Phase II</w:t>
      </w:r>
      <w:r w:rsidRPr="00B40C5E">
        <w:t xml:space="preserve"> studies who received the 8</w:t>
      </w:r>
      <w:r w:rsidR="00AA5E62">
        <w:t xml:space="preserve"> week</w:t>
      </w:r>
      <w:r w:rsidRPr="00B40C5E">
        <w:t xml:space="preserve"> treatment regimens, 99.4% (804 of 809 subjects) received SOF/VEL/VOX or SOF/VEL+VOX for at least 8 weeks. Among the subjects in the </w:t>
      </w:r>
      <w:r w:rsidR="00476CD0">
        <w:t>Phase III</w:t>
      </w:r>
      <w:r w:rsidRPr="00B40C5E">
        <w:t xml:space="preserve"> and </w:t>
      </w:r>
      <w:r w:rsidR="00476CD0">
        <w:t>Phase II</w:t>
      </w:r>
      <w:r w:rsidRPr="00B40C5E">
        <w:t xml:space="preserve"> studies who received the 12</w:t>
      </w:r>
      <w:r w:rsidR="00AA5E62">
        <w:t xml:space="preserve"> week</w:t>
      </w:r>
      <w:r w:rsidRPr="00B40C5E">
        <w:t xml:space="preserve"> treatment regimens, 99.4% (626 of 630 subjects) received SOF/VEL/VOX or SOF/VEL+VOX for at least 12 weeks</w:t>
      </w:r>
      <w:r w:rsidR="00476CD0">
        <w:t>.</w:t>
      </w:r>
    </w:p>
    <w:p w:rsidR="0084539B" w:rsidRDefault="0084539B" w:rsidP="0084539B">
      <w:pPr>
        <w:pStyle w:val="Tabletitle0"/>
      </w:pPr>
      <w:bookmarkStart w:id="141" w:name="_Ref485290819"/>
      <w:bookmarkStart w:id="142" w:name="_Toc496266304"/>
      <w:r>
        <w:lastRenderedPageBreak/>
        <w:t xml:space="preserve">Table </w:t>
      </w:r>
      <w:r w:rsidR="00AC0F8C">
        <w:t>15</w:t>
      </w:r>
      <w:r>
        <w:t>: Subjects treated with SOF/VEL/VOX, SOF/VEL+VOX or SOF/VEL/VOX+VOX in Phase I, II and III clinical studies</w:t>
      </w:r>
      <w:bookmarkEnd w:id="141"/>
      <w:bookmarkEnd w:id="142"/>
    </w:p>
    <w:p w:rsidR="0084539B" w:rsidRDefault="0084539B" w:rsidP="00B40C5E">
      <w:r>
        <w:rPr>
          <w:noProof/>
          <w:lang w:eastAsia="en-AU"/>
        </w:rPr>
        <w:drawing>
          <wp:inline distT="0" distB="0" distL="0" distR="0" wp14:anchorId="6F6AC3CC" wp14:editId="6DE653BB">
            <wp:extent cx="5400040" cy="6534856"/>
            <wp:effectExtent l="0" t="0" r="0" b="0"/>
            <wp:docPr id="26" name="Picture 26" descr="Table 15: Subjects treated with SOF/VEL/VOX, SOF/VEL+VOX or SOF/VEL/VOX+VOX in Phase I, II and III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6534856"/>
                    </a:xfrm>
                    <a:prstGeom prst="rect">
                      <a:avLst/>
                    </a:prstGeom>
                  </pic:spPr>
                </pic:pic>
              </a:graphicData>
            </a:graphic>
          </wp:inline>
        </w:drawing>
      </w:r>
    </w:p>
    <w:p w:rsidR="00476CD0" w:rsidRDefault="00B40C5E" w:rsidP="00B40C5E">
      <w:r w:rsidRPr="00B40C5E">
        <w:t>Of the 1</w:t>
      </w:r>
      <w:r w:rsidR="009140CB">
        <w:t>,</w:t>
      </w:r>
      <w:r w:rsidRPr="00B40C5E">
        <w:t xml:space="preserve">912 subjects who were randomised or enrolled into the 4 </w:t>
      </w:r>
      <w:r w:rsidR="00476CD0">
        <w:t>Phase III</w:t>
      </w:r>
      <w:r w:rsidRPr="00B40C5E">
        <w:t xml:space="preserve"> studies that comprise the Integrated </w:t>
      </w:r>
      <w:r w:rsidR="00476CD0">
        <w:t>Phase III</w:t>
      </w:r>
      <w:r w:rsidRPr="00B40C5E">
        <w:t xml:space="preserve"> Safety Population, 1</w:t>
      </w:r>
      <w:r w:rsidR="009140CB">
        <w:t>,</w:t>
      </w:r>
      <w:r w:rsidRPr="00B40C5E">
        <w:t>908 received at least 1 dose of study drug and were included in the Safety Analysis Set. This Safety Analysis Set included 611 subjects who received at least 1 dose of the SOF/VEL/VOX 8</w:t>
      </w:r>
      <w:r w:rsidR="00AA5E62">
        <w:t xml:space="preserve"> week</w:t>
      </w:r>
      <w:r w:rsidRPr="00B40C5E">
        <w:t xml:space="preserve"> regimen, 445 subjects who received at least 1 dose of the SOF/VEL/VOX 12</w:t>
      </w:r>
      <w:r w:rsidR="00AA5E62">
        <w:t xml:space="preserve"> week</w:t>
      </w:r>
      <w:r w:rsidRPr="00B40C5E">
        <w:t xml:space="preserve"> regimen, 700 subjects who received at least 1 dose of the SOF/VEL 12</w:t>
      </w:r>
      <w:r w:rsidR="00AA5E62">
        <w:t xml:space="preserve"> week</w:t>
      </w:r>
      <w:r w:rsidRPr="00B40C5E">
        <w:t xml:space="preserve"> regimen, and 152 subjects who received at least 1 dose of the Placebo 12</w:t>
      </w:r>
      <w:r w:rsidR="00AA5E62">
        <w:t xml:space="preserve"> week</w:t>
      </w:r>
      <w:r w:rsidRPr="00B40C5E">
        <w:t xml:space="preserve"> regimen. The demographics and baseline characteristics of subjects in the </w:t>
      </w:r>
      <w:proofErr w:type="gramStart"/>
      <w:r w:rsidRPr="00B40C5E">
        <w:t>Integrated</w:t>
      </w:r>
      <w:proofErr w:type="gramEnd"/>
      <w:r w:rsidRPr="00B40C5E">
        <w:t xml:space="preserve"> safety population were </w:t>
      </w:r>
      <w:r w:rsidR="009140CB">
        <w:t xml:space="preserve">representative of the broad HCV </w:t>
      </w:r>
      <w:r w:rsidRPr="00B40C5E">
        <w:t xml:space="preserve">infected population, taking into consideration the </w:t>
      </w:r>
      <w:r w:rsidR="00CE0E69">
        <w:t>DAA experienced</w:t>
      </w:r>
      <w:r w:rsidRPr="00B40C5E">
        <w:t xml:space="preserve"> subjects who received SOF/VEL/VOX or placebo for 12 weeks. Demographics in the SOF/VEL/VOX, SOF/VEL and Placebo groups were generally consistent with each other with respect to </w:t>
      </w:r>
      <w:r w:rsidRPr="00B40C5E">
        <w:lastRenderedPageBreak/>
        <w:t>sex, race, body mass index (BMI) and HCV RNA levels. Subjects enrolled in the SOF/VEL/VOX 12 Week group from Studies GS-US-367-1171 and GS-US-367-1170 and the Placebo group from Study GS-US-367-1171 were DAA experienced; these subjects were older, more likely to have IL28B non-CC genotypes and more likely to be cirrhotic (SOF/VEL/VOX 12 Week group only</w:t>
      </w:r>
      <w:r w:rsidRPr="00AC0F8C">
        <w:t xml:space="preserve">) (Table </w:t>
      </w:r>
      <w:r w:rsidR="00AC0F8C" w:rsidRPr="00AC0F8C">
        <w:t>16</w:t>
      </w:r>
      <w:r w:rsidRPr="00B40C5E">
        <w:t>)</w:t>
      </w:r>
      <w:r w:rsidR="00476CD0">
        <w:t>.</w:t>
      </w:r>
    </w:p>
    <w:p w:rsidR="0084539B" w:rsidRDefault="0084539B" w:rsidP="0084539B">
      <w:pPr>
        <w:pStyle w:val="Tabletitle0"/>
      </w:pPr>
      <w:r w:rsidRPr="00AC0F8C">
        <w:lastRenderedPageBreak/>
        <w:t xml:space="preserve">Table </w:t>
      </w:r>
      <w:r w:rsidR="00AC0F8C" w:rsidRPr="00AC0F8C">
        <w:t>16:</w:t>
      </w:r>
      <w:r w:rsidRPr="00AC0F8C">
        <w:t xml:space="preserve"> Baseline characteristics</w:t>
      </w:r>
      <w:r w:rsidR="00AC0F8C">
        <w:t xml:space="preserve"> in the SOF/VEL/VOX integrated P</w:t>
      </w:r>
      <w:r w:rsidRPr="00AC0F8C">
        <w:t xml:space="preserve">hase </w:t>
      </w:r>
      <w:r w:rsidR="00AC0F8C">
        <w:t>III</w:t>
      </w:r>
      <w:r w:rsidRPr="00AC0F8C">
        <w:t xml:space="preserve"> safety</w:t>
      </w:r>
      <w:r>
        <w:t xml:space="preserve"> population (safety analysis set</w:t>
      </w:r>
      <w:r w:rsidR="00AC0F8C">
        <w:t>)</w:t>
      </w:r>
    </w:p>
    <w:p w:rsidR="0084539B" w:rsidRPr="0084539B" w:rsidRDefault="00E1265F" w:rsidP="0084539B">
      <w:r>
        <w:rPr>
          <w:noProof/>
          <w:lang w:eastAsia="en-AU"/>
        </w:rPr>
        <w:drawing>
          <wp:inline distT="0" distB="0" distL="0" distR="0" wp14:anchorId="3827190E" wp14:editId="4EF90C1F">
            <wp:extent cx="4629150" cy="7953375"/>
            <wp:effectExtent l="0" t="0" r="0" b="9525"/>
            <wp:docPr id="29" name="Picture 29" descr="Table 16: Baseline characteristics in the SOF/VEL/VOX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29150" cy="7953375"/>
                    </a:xfrm>
                    <a:prstGeom prst="rect">
                      <a:avLst/>
                    </a:prstGeom>
                  </pic:spPr>
                </pic:pic>
              </a:graphicData>
            </a:graphic>
          </wp:inline>
        </w:drawing>
      </w:r>
    </w:p>
    <w:p w:rsidR="00605AD4" w:rsidRPr="00B40C5E" w:rsidRDefault="00605AD4" w:rsidP="00B40C5E">
      <w:pPr>
        <w:pStyle w:val="Heading4"/>
      </w:pPr>
      <w:r w:rsidRPr="00B40C5E">
        <w:lastRenderedPageBreak/>
        <w:t>Safety issues with the potential for major regulatory impact</w:t>
      </w:r>
    </w:p>
    <w:p w:rsidR="00B40C5E" w:rsidRPr="00B40C5E" w:rsidRDefault="00B40C5E" w:rsidP="00B40C5E">
      <w:pPr>
        <w:pStyle w:val="Heading5"/>
      </w:pPr>
      <w:bookmarkStart w:id="143" w:name="_Toc272414669"/>
      <w:bookmarkStart w:id="144" w:name="_Toc290888533"/>
      <w:bookmarkStart w:id="145" w:name="_Toc416353749"/>
      <w:bookmarkStart w:id="146" w:name="_Toc421005292"/>
      <w:bookmarkStart w:id="147" w:name="_Toc432079169"/>
      <w:bookmarkStart w:id="148" w:name="_Toc432080742"/>
      <w:bookmarkStart w:id="149" w:name="_Toc496266017"/>
      <w:r w:rsidRPr="00B40C5E">
        <w:t>Liver function</w:t>
      </w:r>
      <w:bookmarkEnd w:id="143"/>
      <w:bookmarkEnd w:id="144"/>
      <w:bookmarkEnd w:id="145"/>
      <w:bookmarkEnd w:id="146"/>
      <w:r w:rsidRPr="00B40C5E">
        <w:t xml:space="preserve"> and liver toxicity</w:t>
      </w:r>
      <w:bookmarkEnd w:id="147"/>
      <w:bookmarkEnd w:id="148"/>
      <w:bookmarkEnd w:id="149"/>
    </w:p>
    <w:p w:rsidR="00B40C5E" w:rsidRPr="00B40C5E" w:rsidRDefault="00B40C5E" w:rsidP="00B40C5E">
      <w:pPr>
        <w:pStyle w:val="Heading6"/>
      </w:pPr>
      <w:r w:rsidRPr="00B40C5E">
        <w:t>Integrated safety analyses</w:t>
      </w:r>
    </w:p>
    <w:p w:rsidR="00476CD0" w:rsidRDefault="00B40C5E" w:rsidP="00B40C5E">
      <w:r w:rsidRPr="00B40C5E">
        <w:t xml:space="preserve">For subjects receiving SOF/VEL/VOX for 8 or 12 weeks, there was a higher rate of Grade 1 hyperbilirubinemia compared with subjects receiving SOF/VEL or placebo. Similar to other NS3/4A </w:t>
      </w:r>
      <w:proofErr w:type="spellStart"/>
      <w:r w:rsidR="003A5113">
        <w:t>Pi</w:t>
      </w:r>
      <w:r w:rsidRPr="00B40C5E">
        <w:t>s</w:t>
      </w:r>
      <w:proofErr w:type="spellEnd"/>
      <w:r w:rsidRPr="00B40C5E">
        <w:t>, VOX is an inhibitor of organic anion transporting polypeptide (OATP</w:t>
      </w:r>
      <w:proofErr w:type="gramStart"/>
      <w:r w:rsidRPr="00B40C5E">
        <w:t>)1B1</w:t>
      </w:r>
      <w:proofErr w:type="gramEnd"/>
      <w:r w:rsidRPr="00B40C5E">
        <w:t xml:space="preserve"> and OATP1B3 which is likely responsible for the increase in Grade 1 total bilirubin in subjects receiving SOF/VEL/VOX. This increase is observed more often in subjects with cirrhosis (9.9%, 40 subjects) than in subjects without cirrhosis (3.7%, 24 subjects). The change in total bilirubin during treatment with SOF/VEL/VOX was similar between subjects with and without cirrhosis. No </w:t>
      </w:r>
      <w:r w:rsidR="00AC3806">
        <w:rPr>
          <w:rFonts w:eastAsia="TimesNewRoman" w:cs="TimesNewRoman"/>
        </w:rPr>
        <w:t>adverse events</w:t>
      </w:r>
      <w:r w:rsidR="00AC3806" w:rsidRPr="00B40C5E">
        <w:t xml:space="preserve"> </w:t>
      </w:r>
      <w:r w:rsidR="00AC3806">
        <w:t>(</w:t>
      </w:r>
      <w:r w:rsidRPr="00B40C5E">
        <w:t>AEs</w:t>
      </w:r>
      <w:r w:rsidR="00AC3806">
        <w:t>)</w:t>
      </w:r>
      <w:r w:rsidRPr="00B40C5E">
        <w:t xml:space="preserve"> of jaundice were reported. In all treatment groups, the incidence of Grade 3 elevations in total bilirubin was low with only 1 subject in the SOF/VEL/VOX 12 Week group (0.2%) and 1 subject in the SOF/VEL 12 Week group (0.1%) reporting a Grade 3 elevation. Both of these cases were assessed by the </w:t>
      </w:r>
      <w:r w:rsidR="00AA624F">
        <w:rPr>
          <w:rFonts w:eastAsia="TimesNewRoman" w:cs="TimesNewRoman"/>
        </w:rPr>
        <w:t>Independent Adjudication Committee</w:t>
      </w:r>
      <w:r w:rsidR="00AA624F" w:rsidRPr="00B40C5E">
        <w:t xml:space="preserve"> </w:t>
      </w:r>
      <w:r w:rsidR="00AA624F">
        <w:t>(</w:t>
      </w:r>
      <w:r w:rsidRPr="00B40C5E">
        <w:t>IAC</w:t>
      </w:r>
      <w:r w:rsidR="00AA624F">
        <w:t>)</w:t>
      </w:r>
      <w:r w:rsidRPr="00B40C5E">
        <w:t xml:space="preserve"> to be unlikely to be related to study drug. No subjects in any treatment group reported Grade 4 increases in total </w:t>
      </w:r>
      <w:r w:rsidRPr="00AC0F8C">
        <w:t>bilirubin (Table</w:t>
      </w:r>
      <w:r w:rsidR="00AC0F8C" w:rsidRPr="00AC0F8C">
        <w:t xml:space="preserve"> 17</w:t>
      </w:r>
      <w:r w:rsidRPr="00B40C5E">
        <w:t xml:space="preserve">). Decreases from baseline in median total bilirubin values during treatment were observed in the SOF/VEL 12 Week group, but not in the SOF/VEL/VOX or Placebo groups. This comparative lack of decrease in the SOF/VEL/VOX group, compared to the SOF/VEL group, is likely due to VOX inhibition of OATP1B1 and OATP1B3 which transports bilirubin into hepatocytes. However, 4 weeks post-treatment, total bilirubin values for the SOF/VEL/VOX and SOF/VEL groups were similar, consistent with a transporter-mediated effect of VOX </w:t>
      </w:r>
      <w:r w:rsidRPr="00C349F9">
        <w:t xml:space="preserve">(Figure </w:t>
      </w:r>
      <w:r w:rsidR="00C349F9" w:rsidRPr="00C349F9">
        <w:t>4</w:t>
      </w:r>
      <w:r w:rsidRPr="00C349F9">
        <w:t>).</w:t>
      </w:r>
      <w:r w:rsidRPr="00B40C5E">
        <w:t xml:space="preserve"> The median (Q1, Q3) change from baseline in total bilirubin at the end of treatment was 0.0 (-0.1, 0.1), 0.0 (-0.2, 0.1), -0.1 (-0.2, 0) and 0 (-0.2, 0.1)</w:t>
      </w:r>
      <w:r w:rsidR="00AA5E62">
        <w:t xml:space="preserve"> mg</w:t>
      </w:r>
      <w:r w:rsidRPr="00B40C5E">
        <w:t>/</w:t>
      </w:r>
      <w:proofErr w:type="spellStart"/>
      <w:r w:rsidRPr="00B40C5E">
        <w:t>d</w:t>
      </w:r>
      <w:r w:rsidR="009140CB">
        <w:t>L</w:t>
      </w:r>
      <w:proofErr w:type="spellEnd"/>
      <w:r w:rsidRPr="00B40C5E">
        <w:t xml:space="preserve"> in the SOF/VEL/VOX 8 week, SOF/VEL/VOX 12 week, SOF/VEL 12 week and placebo 12 week groups, respectively</w:t>
      </w:r>
      <w:r w:rsidR="00476CD0">
        <w:t>.</w:t>
      </w:r>
    </w:p>
    <w:p w:rsidR="00E1265F" w:rsidRDefault="00E1265F" w:rsidP="00E1265F">
      <w:pPr>
        <w:pStyle w:val="Tabletitle0"/>
      </w:pPr>
      <w:r w:rsidRPr="00AC0F8C">
        <w:t xml:space="preserve">Table </w:t>
      </w:r>
      <w:r w:rsidR="00AC0F8C" w:rsidRPr="00AC0F8C">
        <w:t>17</w:t>
      </w:r>
      <w:r w:rsidR="00AC0F8C">
        <w:t>:</w:t>
      </w:r>
      <w:r w:rsidRPr="00E1265F">
        <w:t xml:space="preserve"> </w:t>
      </w:r>
      <w:r>
        <w:t>Total bilirubin graded abnormalities</w:t>
      </w:r>
      <w:r w:rsidR="00AC0F8C">
        <w:t xml:space="preserve"> in the SOF/VEL/VOX integrated Phase III</w:t>
      </w:r>
      <w:r>
        <w:t xml:space="preserve"> safety population (safety analysis set)</w:t>
      </w:r>
    </w:p>
    <w:p w:rsidR="00E1265F" w:rsidRDefault="00E1265F" w:rsidP="00E1265F">
      <w:r>
        <w:rPr>
          <w:noProof/>
          <w:lang w:eastAsia="en-AU"/>
        </w:rPr>
        <w:drawing>
          <wp:inline distT="0" distB="0" distL="0" distR="0" wp14:anchorId="4352D987" wp14:editId="5C6FE8D5">
            <wp:extent cx="5400040" cy="2224632"/>
            <wp:effectExtent l="0" t="0" r="0" b="4445"/>
            <wp:docPr id="33" name="Picture 33" descr="Table 17: Total bilirubin graded abnormalities in the SOF/VEL/VOX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2224632"/>
                    </a:xfrm>
                    <a:prstGeom prst="rect">
                      <a:avLst/>
                    </a:prstGeom>
                  </pic:spPr>
                </pic:pic>
              </a:graphicData>
            </a:graphic>
          </wp:inline>
        </w:drawing>
      </w:r>
    </w:p>
    <w:p w:rsidR="00E1265F" w:rsidRDefault="00AC0F8C" w:rsidP="00E1265F">
      <w:pPr>
        <w:pStyle w:val="FigureTitle"/>
      </w:pPr>
      <w:bookmarkStart w:id="150" w:name="_Ref485290935"/>
      <w:bookmarkStart w:id="151" w:name="_Toc496266355"/>
      <w:r>
        <w:lastRenderedPageBreak/>
        <w:t xml:space="preserve">Figure </w:t>
      </w:r>
      <w:r w:rsidR="00C349F9">
        <w:t>4</w:t>
      </w:r>
      <w:r>
        <w:t xml:space="preserve">: </w:t>
      </w:r>
      <w:r w:rsidR="00E1265F">
        <w:t>Median (Q1, Q3) total bilirubin (mg/</w:t>
      </w:r>
      <w:proofErr w:type="spellStart"/>
      <w:r w:rsidR="00E1265F">
        <w:t>dL</w:t>
      </w:r>
      <w:proofErr w:type="spellEnd"/>
      <w:r w:rsidR="00E1265F">
        <w:t>) by visit</w:t>
      </w:r>
      <w:r w:rsidR="00C349F9">
        <w:t xml:space="preserve"> in the SOF/VEL/VOX integrated Phase III</w:t>
      </w:r>
      <w:r w:rsidR="00E1265F">
        <w:t xml:space="preserve"> safety population (safety analysis set)</w:t>
      </w:r>
      <w:bookmarkEnd w:id="150"/>
      <w:bookmarkEnd w:id="151"/>
    </w:p>
    <w:p w:rsidR="00E1265F" w:rsidRPr="00E1265F" w:rsidRDefault="00E1265F" w:rsidP="00E1265F">
      <w:r>
        <w:rPr>
          <w:noProof/>
          <w:lang w:eastAsia="en-AU"/>
        </w:rPr>
        <w:drawing>
          <wp:inline distT="0" distB="0" distL="0" distR="0" wp14:anchorId="4C441695" wp14:editId="6B233ED9">
            <wp:extent cx="5400040" cy="2964253"/>
            <wp:effectExtent l="0" t="0" r="0" b="7620"/>
            <wp:docPr id="34" name="Picture 34" descr="Figure 4: Median (Q1, Q3) total bilirubin (mg/dL) by visit in the SOF/VEL/VOX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964253"/>
                    </a:xfrm>
                    <a:prstGeom prst="rect">
                      <a:avLst/>
                    </a:prstGeom>
                  </pic:spPr>
                </pic:pic>
              </a:graphicData>
            </a:graphic>
          </wp:inline>
        </w:drawing>
      </w:r>
    </w:p>
    <w:p w:rsidR="00476CD0" w:rsidRDefault="00B40C5E" w:rsidP="00B40C5E">
      <w:r w:rsidRPr="00B40C5E">
        <w:t xml:space="preserve">For subjects receiving placebo for 12 weeks, the rate of graded </w:t>
      </w:r>
      <w:r w:rsidR="00AC3806">
        <w:rPr>
          <w:rFonts w:cs="Calibri"/>
        </w:rPr>
        <w:t>alanine aminotransferase</w:t>
      </w:r>
      <w:r w:rsidR="00AC3806" w:rsidRPr="00B40C5E">
        <w:t xml:space="preserve"> </w:t>
      </w:r>
      <w:r w:rsidR="00AC3806">
        <w:t>(</w:t>
      </w:r>
      <w:r w:rsidRPr="00B40C5E">
        <w:t>ALT</w:t>
      </w:r>
      <w:r w:rsidR="00AC3806">
        <w:t>)</w:t>
      </w:r>
      <w:r w:rsidRPr="00B40C5E">
        <w:t xml:space="preserve"> elevations was higher than for subjects receiving SOF/VEL/VOX or SOF/VEL, consistent with untreated HCV infection. The incidence of graded ALT elevations was similar and low across all SOF/VEL/VOX and SOF/VEL </w:t>
      </w:r>
      <w:r w:rsidRPr="00AC0F8C">
        <w:t xml:space="preserve">groups (Table </w:t>
      </w:r>
      <w:r w:rsidR="00AC0F8C" w:rsidRPr="00AC0F8C">
        <w:t>18</w:t>
      </w:r>
      <w:r w:rsidRPr="00AC0F8C">
        <w:t>). Overall</w:t>
      </w:r>
      <w:r w:rsidRPr="00B40C5E">
        <w:t xml:space="preserve">, there were decreases in ALT coincident with viral suppression for subjects receiving SOF/VEL/VOX and SOF/VEL </w:t>
      </w:r>
      <w:r w:rsidRPr="00C349F9">
        <w:t xml:space="preserve">(Figure </w:t>
      </w:r>
      <w:r w:rsidR="00C349F9" w:rsidRPr="00C349F9">
        <w:t>5</w:t>
      </w:r>
      <w:r w:rsidRPr="00C349F9">
        <w:t>). One subject in the SOF/VEL/VOX 12 Week group and 1 subject in the SOF/VEL 12 Week group</w:t>
      </w:r>
      <w:r w:rsidRPr="00B40C5E">
        <w:t xml:space="preserve"> had a Grade 3 elevation in ALT</w:t>
      </w:r>
      <w:r w:rsidR="00476CD0">
        <w:t>.</w:t>
      </w:r>
    </w:p>
    <w:p w:rsidR="00E1265F" w:rsidRDefault="00E1265F" w:rsidP="00E1265F">
      <w:pPr>
        <w:pStyle w:val="Tabletitle0"/>
      </w:pPr>
      <w:bookmarkStart w:id="152" w:name="_Ref485290939"/>
      <w:bookmarkStart w:id="153" w:name="_Toc496266356"/>
      <w:r>
        <w:t xml:space="preserve">Table </w:t>
      </w:r>
      <w:r w:rsidR="00AC0F8C">
        <w:t>18</w:t>
      </w:r>
      <w:r>
        <w:t>: ALT graded abnormalities in the SOF/VEL/VOX integrated Phase III safety population (safety analysis set)</w:t>
      </w:r>
      <w:bookmarkEnd w:id="152"/>
      <w:bookmarkEnd w:id="153"/>
    </w:p>
    <w:p w:rsidR="00E1265F" w:rsidRDefault="00E1265F" w:rsidP="00B40C5E">
      <w:r>
        <w:rPr>
          <w:noProof/>
          <w:lang w:eastAsia="en-AU"/>
        </w:rPr>
        <w:drawing>
          <wp:inline distT="0" distB="0" distL="0" distR="0" wp14:anchorId="422EFA2D" wp14:editId="1F40670B">
            <wp:extent cx="5400040" cy="1998476"/>
            <wp:effectExtent l="0" t="0" r="0" b="1905"/>
            <wp:docPr id="35" name="Picture 35" descr="Table 18: ALT graded abnormalities in the SOF/VEL/VOX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1998476"/>
                    </a:xfrm>
                    <a:prstGeom prst="rect">
                      <a:avLst/>
                    </a:prstGeom>
                  </pic:spPr>
                </pic:pic>
              </a:graphicData>
            </a:graphic>
          </wp:inline>
        </w:drawing>
      </w:r>
    </w:p>
    <w:p w:rsidR="00E1265F" w:rsidRDefault="00E1265F" w:rsidP="00E1265F">
      <w:pPr>
        <w:pStyle w:val="FigureTitle"/>
      </w:pPr>
      <w:bookmarkStart w:id="154" w:name="_Ref485290942"/>
      <w:bookmarkStart w:id="155" w:name="_Toc496266357"/>
      <w:r>
        <w:lastRenderedPageBreak/>
        <w:t xml:space="preserve">Figure </w:t>
      </w:r>
      <w:r w:rsidR="00C349F9">
        <w:t>5</w:t>
      </w:r>
      <w:r>
        <w:t>: Median (Q1, Q3) ALT (U/L) by visit in t</w:t>
      </w:r>
      <w:r w:rsidR="00C349F9">
        <w:t>he SOF/VEL/VOX integrated Phase </w:t>
      </w:r>
      <w:r>
        <w:t>III safety population (safety analysis set)</w:t>
      </w:r>
      <w:bookmarkEnd w:id="154"/>
      <w:bookmarkEnd w:id="155"/>
    </w:p>
    <w:p w:rsidR="00E1265F" w:rsidRDefault="00E1265F" w:rsidP="00B40C5E">
      <w:r>
        <w:rPr>
          <w:noProof/>
          <w:lang w:eastAsia="en-AU"/>
        </w:rPr>
        <w:drawing>
          <wp:inline distT="0" distB="0" distL="0" distR="0" wp14:anchorId="04BDCA8C" wp14:editId="000FFD28">
            <wp:extent cx="5400040" cy="3061753"/>
            <wp:effectExtent l="0" t="0" r="0" b="5715"/>
            <wp:docPr id="37" name="Picture 37" descr="Figure 5: Median (Q1, Q3) ALT (U/L) by visit in the SOF/VEL/VOX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061753"/>
                    </a:xfrm>
                    <a:prstGeom prst="rect">
                      <a:avLst/>
                    </a:prstGeom>
                  </pic:spPr>
                </pic:pic>
              </a:graphicData>
            </a:graphic>
          </wp:inline>
        </w:drawing>
      </w:r>
    </w:p>
    <w:p w:rsidR="00B40C5E" w:rsidRDefault="00B40C5E" w:rsidP="00C349F9">
      <w:r w:rsidRPr="00B40C5E">
        <w:t xml:space="preserve">Similar to the graded elevations observed in ALT, the rate of graded </w:t>
      </w:r>
      <w:r w:rsidR="00AC3806">
        <w:rPr>
          <w:rFonts w:eastAsia="TimesNewRoman" w:cs="TimesNewRoman"/>
        </w:rPr>
        <w:t>aspartate aminotransferase</w:t>
      </w:r>
      <w:r w:rsidR="00AC3806" w:rsidRPr="00B40C5E">
        <w:t xml:space="preserve"> </w:t>
      </w:r>
      <w:r w:rsidR="00AC3806">
        <w:t>(</w:t>
      </w:r>
      <w:r w:rsidRPr="00B40C5E">
        <w:t>AST</w:t>
      </w:r>
      <w:r w:rsidR="00AC3806">
        <w:t>)</w:t>
      </w:r>
      <w:r w:rsidRPr="00B40C5E">
        <w:t xml:space="preserve"> elevations for subjects receiving placebo for 12 weeks was higher than for subjects receiving SOF/VEL/VOX or SOF/VEL, consistent with untreated HCV infection. The incidence of graded AST elevations was similar and low across all SOF/VEL/VOX and SOF/VEL groups </w:t>
      </w:r>
      <w:r w:rsidRPr="00AC0F8C">
        <w:t xml:space="preserve">(Table </w:t>
      </w:r>
      <w:r w:rsidR="00AC0F8C" w:rsidRPr="00AC0F8C">
        <w:t>19</w:t>
      </w:r>
      <w:r w:rsidRPr="00AC0F8C">
        <w:t>).</w:t>
      </w:r>
      <w:r w:rsidRPr="00B40C5E">
        <w:t xml:space="preserve"> Overall, there were decreases in AST coincident with viral suppression for subjects receiving SOF/VEL/VOX and SOF/</w:t>
      </w:r>
      <w:r w:rsidRPr="00C349F9">
        <w:t xml:space="preserve">VEL (Figure </w:t>
      </w:r>
      <w:r w:rsidR="00C349F9" w:rsidRPr="00C349F9">
        <w:t>6</w:t>
      </w:r>
      <w:r w:rsidRPr="00C349F9">
        <w:t>).</w:t>
      </w:r>
      <w:r w:rsidRPr="00B40C5E">
        <w:t xml:space="preserve"> Two subjects in the SOF/VEL/VOX 8 Week group, 2 subjects in the SOF/VEL/VOX 12 Week group, and 1 subject in the SOF/VEL 12 Week group had Grade 3 elevations in AST. For all 5 of these subjects across the treatment groups, the Grade 3 elevation in AST was associated with Grade 3 or 4 elevations in creatine kinase in the context of exercise. None of these subjects had Grade 3 or 4 elevations in ALT.</w:t>
      </w:r>
    </w:p>
    <w:p w:rsidR="00E1265F" w:rsidRDefault="00E1265F" w:rsidP="00E1265F">
      <w:pPr>
        <w:pStyle w:val="Tabletitle0"/>
      </w:pPr>
      <w:bookmarkStart w:id="156" w:name="_Ref485290945"/>
      <w:bookmarkStart w:id="157" w:name="_Toc496266358"/>
      <w:r>
        <w:t xml:space="preserve">Table </w:t>
      </w:r>
      <w:r w:rsidR="00AC0F8C">
        <w:t>19</w:t>
      </w:r>
      <w:r>
        <w:t>: AST graded abnormalities in the SOF/VEL/VOX integrated Phase III safety population (safety analysis set)</w:t>
      </w:r>
      <w:bookmarkEnd w:id="156"/>
      <w:bookmarkEnd w:id="157"/>
    </w:p>
    <w:p w:rsidR="00E1265F" w:rsidRDefault="00E1265F" w:rsidP="00B40C5E">
      <w:r>
        <w:rPr>
          <w:noProof/>
          <w:lang w:eastAsia="en-AU"/>
        </w:rPr>
        <w:drawing>
          <wp:inline distT="0" distB="0" distL="0" distR="0" wp14:anchorId="006FA607" wp14:editId="5640FA63">
            <wp:extent cx="5400040" cy="1994438"/>
            <wp:effectExtent l="0" t="0" r="0" b="6350"/>
            <wp:docPr id="38" name="Picture 38" descr="Table 19: AST graded abnormalities in the SOF/VEL/VOX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1994438"/>
                    </a:xfrm>
                    <a:prstGeom prst="rect">
                      <a:avLst/>
                    </a:prstGeom>
                  </pic:spPr>
                </pic:pic>
              </a:graphicData>
            </a:graphic>
          </wp:inline>
        </w:drawing>
      </w:r>
    </w:p>
    <w:p w:rsidR="004B23FD" w:rsidRDefault="004B23FD" w:rsidP="004B23FD">
      <w:pPr>
        <w:pStyle w:val="FigureTitle"/>
      </w:pPr>
      <w:bookmarkStart w:id="158" w:name="_Ref485290947"/>
      <w:bookmarkStart w:id="159" w:name="_Toc496266359"/>
      <w:r>
        <w:lastRenderedPageBreak/>
        <w:t xml:space="preserve">Figure </w:t>
      </w:r>
      <w:r w:rsidR="00C349F9">
        <w:t>6</w:t>
      </w:r>
      <w:r>
        <w:t>: Median (Q1, Q3) AST (U/L) by visit in t</w:t>
      </w:r>
      <w:r w:rsidR="00C349F9">
        <w:t>he SOF/VEL/VOX integrated Phase </w:t>
      </w:r>
      <w:r>
        <w:t>III safety population (safety analysis set)</w:t>
      </w:r>
      <w:bookmarkEnd w:id="158"/>
      <w:bookmarkEnd w:id="159"/>
    </w:p>
    <w:p w:rsidR="004B23FD" w:rsidRPr="00B40C5E" w:rsidRDefault="004B23FD" w:rsidP="00B40C5E">
      <w:r>
        <w:rPr>
          <w:noProof/>
          <w:lang w:eastAsia="en-AU"/>
        </w:rPr>
        <w:drawing>
          <wp:inline distT="0" distB="0" distL="0" distR="0" wp14:anchorId="15D29708" wp14:editId="4AF8BB2A">
            <wp:extent cx="5400040" cy="3031176"/>
            <wp:effectExtent l="0" t="0" r="0" b="0"/>
            <wp:docPr id="39" name="Picture 39" descr="Figure 6: Median (Q1, Q3) AST (U/L) by visit in the SOF/VEL/VOX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040" cy="3031176"/>
                    </a:xfrm>
                    <a:prstGeom prst="rect">
                      <a:avLst/>
                    </a:prstGeom>
                  </pic:spPr>
                </pic:pic>
              </a:graphicData>
            </a:graphic>
          </wp:inline>
        </w:drawing>
      </w:r>
    </w:p>
    <w:p w:rsidR="00B40C5E" w:rsidRPr="00B40C5E" w:rsidRDefault="00B40C5E" w:rsidP="00B40C5E">
      <w:r w:rsidRPr="00B40C5E">
        <w:t xml:space="preserve">Thirty-five cases from the SOF/VEL/VOX </w:t>
      </w:r>
      <w:r w:rsidR="00476CD0">
        <w:t>Phase III</w:t>
      </w:r>
      <w:r w:rsidRPr="00B40C5E">
        <w:t xml:space="preserve"> studies (SOF/VEL/VOX: 18 cases, SOF/VEL: 8 cases, Placebo: 9 cases) and 11 cases from the SOF/VEL/VOX </w:t>
      </w:r>
      <w:r w:rsidR="00476CD0">
        <w:t>Phase II</w:t>
      </w:r>
      <w:r w:rsidRPr="00B40C5E">
        <w:t xml:space="preserve"> studies (SOF/VEL/VOX with RBV: 6 cases, SOF/VEL/VOX: 5 cases) were reviewed by the Independent Adjudication Committee (IAC)</w:t>
      </w:r>
      <w:r w:rsidRPr="009140CB">
        <w:rPr>
          <w:vertAlign w:val="superscript"/>
        </w:rPr>
        <w:footnoteReference w:id="43"/>
      </w:r>
      <w:r w:rsidRPr="00B40C5E">
        <w:t xml:space="preserve"> members. Overall, 42 cases were assessed unanimously by the IAC as “Unlikely” prior to the meeting. The remaining 4 cases were discussed by the group during the meeting. Of these 4 cases, the IAC identified 2 cases as “Unlikely” </w:t>
      </w:r>
      <w:r w:rsidR="00AA624F">
        <w:rPr>
          <w:rFonts w:eastAsia="TimesNewRoman" w:cs="TimesNewRoman"/>
        </w:rPr>
        <w:t>drug-induced liver injury</w:t>
      </w:r>
      <w:r w:rsidR="00AA624F" w:rsidRPr="00B40C5E">
        <w:t xml:space="preserve"> </w:t>
      </w:r>
      <w:r w:rsidR="00AA624F">
        <w:t>(</w:t>
      </w:r>
      <w:r w:rsidRPr="00B40C5E">
        <w:t>DILI</w:t>
      </w:r>
      <w:r w:rsidR="00AA624F">
        <w:t>)</w:t>
      </w:r>
      <w:r w:rsidRPr="00B40C5E">
        <w:t>, 1 case as “Probably</w:t>
      </w:r>
      <w:r w:rsidRPr="009140CB">
        <w:rPr>
          <w:vertAlign w:val="superscript"/>
        </w:rPr>
        <w:footnoteReference w:id="44"/>
      </w:r>
      <w:r w:rsidRPr="00B40C5E">
        <w:t>” DILI and 1 case as “Possibly”</w:t>
      </w:r>
      <w:r w:rsidRPr="009140CB">
        <w:rPr>
          <w:vertAlign w:val="superscript"/>
        </w:rPr>
        <w:footnoteReference w:id="45"/>
      </w:r>
      <w:r w:rsidRPr="00B40C5E">
        <w:t xml:space="preserve"> DILI. The case identified as possibly DILI was that of the subject above who met multiple laboratory criteria; although the subject was hospitalised in the post treatment period for “binge drinking”, the IAC noted that the laboratory abnormalities occurred during treatment. The case identified as probably DILI was that of a woman with cirrhosis taking oral contraceptives who experienced an unexplained increase in ALT and AST at Week 2 of treatment with SOF/VEL+VOX+RBV in the </w:t>
      </w:r>
      <w:r w:rsidR="00476CD0">
        <w:t>Phase II</w:t>
      </w:r>
      <w:r w:rsidRPr="00B40C5E">
        <w:t xml:space="preserve"> </w:t>
      </w:r>
      <w:r w:rsidR="00476CD0">
        <w:t>Study</w:t>
      </w:r>
      <w:r w:rsidRPr="00B40C5E">
        <w:t xml:space="preserve"> GS-US-367-1168. The ALT and AST decreased when study drugs were discontinued after specified stopping criteria were met, and there was no alternative explanation for the laboratory abnormalities.</w:t>
      </w:r>
    </w:p>
    <w:p w:rsidR="00B40C5E" w:rsidRPr="00B40C5E" w:rsidRDefault="00B40C5E" w:rsidP="00B40C5E">
      <w:pPr>
        <w:pStyle w:val="Heading6"/>
        <w:rPr>
          <w:rStyle w:val="Heading6Char"/>
          <w:rFonts w:eastAsia="Cambria"/>
          <w:bCs/>
          <w:i/>
        </w:rPr>
      </w:pPr>
      <w:r w:rsidRPr="00B40C5E">
        <w:lastRenderedPageBreak/>
        <w:t xml:space="preserve">Pivotal studies in </w:t>
      </w:r>
      <w:r w:rsidR="00CE0E69">
        <w:t>DAA experienced</w:t>
      </w:r>
      <w:r w:rsidR="009140CB">
        <w:t xml:space="preserve"> subjects</w:t>
      </w:r>
    </w:p>
    <w:p w:rsidR="00B40C5E" w:rsidRDefault="00B40C5E" w:rsidP="00B40C5E">
      <w:r w:rsidRPr="00B40C5E">
        <w:t>Study GS-US-367-1171 (POLARIS-1): Grade 3 or 4 increased ALT was reported in 3 subjects</w:t>
      </w:r>
      <w:r w:rsidRPr="009140CB">
        <w:rPr>
          <w:vertAlign w:val="superscript"/>
        </w:rPr>
        <w:footnoteReference w:id="46"/>
      </w:r>
      <w:r w:rsidRPr="00B40C5E">
        <w:t xml:space="preserve"> in the Placebo 12 Week group, which was consistent with untreated, chronic HCV </w:t>
      </w:r>
      <w:r w:rsidRPr="00AC0F8C">
        <w:t xml:space="preserve">infection (Table </w:t>
      </w:r>
      <w:r w:rsidR="00AC0F8C">
        <w:t>20</w:t>
      </w:r>
      <w:r w:rsidRPr="00B40C5E">
        <w:t>). No subjects in the SOF/VEL/VOX 12 Week group had Grade 3 or 4 ALT elevations. Grade 3 increases in AST were reported in 2 subjects (0.8%) in the SOF/VEL/VOX 12 Week group (both were transient and isolated and concurrent with elevations in creatine kinase) and 7 subjects (4.6%) in the Placebo 12 Week group which were consistent with untreated, chronic HCV infection. A Grade 3 increase in total bilirubin was reported in 1 subject</w:t>
      </w:r>
      <w:r w:rsidRPr="009140CB">
        <w:rPr>
          <w:vertAlign w:val="superscript"/>
        </w:rPr>
        <w:footnoteReference w:id="47"/>
      </w:r>
      <w:r w:rsidRPr="00B40C5E">
        <w:t xml:space="preserve"> (0.4%) in the SOF/VEL/VOX 12 Week group.</w:t>
      </w:r>
      <w:r w:rsidR="00476CD0">
        <w:t xml:space="preserve"> </w:t>
      </w:r>
      <w:r w:rsidRPr="00B40C5E">
        <w:t xml:space="preserve">No subjects in the Placebo 12 Week group had Grade 3 or 4 total bilirubin elevations. Coincident with suppression of viral replication, the SOF/VEL/VOX 12 Week group had a decrease from baseline in median ALT for the duration of the treatment period and at the post treatment Week 4 visit. No relevant changes in ALT were observed in the Placebo 12 Week </w:t>
      </w:r>
      <w:r w:rsidRPr="00C349F9">
        <w:t xml:space="preserve">group (Figure </w:t>
      </w:r>
      <w:r w:rsidR="00C349F9" w:rsidRPr="00C349F9">
        <w:t>7</w:t>
      </w:r>
      <w:r w:rsidRPr="00C349F9">
        <w:t>). No notable</w:t>
      </w:r>
      <w:r w:rsidRPr="00B40C5E">
        <w:t xml:space="preserve"> changes in median total bilirubin values were observed in the SOF/VEL/VOX 12 Week group or Placebo 12 Week group.</w:t>
      </w:r>
    </w:p>
    <w:p w:rsidR="004B23FD" w:rsidRDefault="004B23FD" w:rsidP="004B23FD">
      <w:pPr>
        <w:pStyle w:val="Tabletitle0"/>
      </w:pPr>
      <w:bookmarkStart w:id="160" w:name="_Ref485290968"/>
      <w:bookmarkStart w:id="161" w:name="_Toc496266319"/>
      <w:r>
        <w:t xml:space="preserve">Table </w:t>
      </w:r>
      <w:r w:rsidR="00AC0F8C">
        <w:t>20</w:t>
      </w:r>
      <w:r>
        <w:t>: GS-US-367-1171. Grade 3 or above coagulation and chemistry laboratory abnormalities (safety analysis set)</w:t>
      </w:r>
      <w:bookmarkEnd w:id="160"/>
      <w:bookmarkEnd w:id="161"/>
    </w:p>
    <w:p w:rsidR="004B23FD" w:rsidRDefault="004B23FD" w:rsidP="004B23FD">
      <w:r>
        <w:rPr>
          <w:noProof/>
          <w:lang w:eastAsia="en-AU"/>
        </w:rPr>
        <w:drawing>
          <wp:inline distT="0" distB="0" distL="0" distR="0" wp14:anchorId="43310902" wp14:editId="4B3367E5">
            <wp:extent cx="5400040" cy="4822536"/>
            <wp:effectExtent l="0" t="0" r="0" b="0"/>
            <wp:docPr id="40" name="Picture 40" descr="Table 20: GS-US-367-1171. Grade 3 or above coagulation and chemistry laboratory abnormalit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4822536"/>
                    </a:xfrm>
                    <a:prstGeom prst="rect">
                      <a:avLst/>
                    </a:prstGeom>
                  </pic:spPr>
                </pic:pic>
              </a:graphicData>
            </a:graphic>
          </wp:inline>
        </w:drawing>
      </w:r>
    </w:p>
    <w:p w:rsidR="004B23FD" w:rsidRDefault="004B23FD" w:rsidP="004B23FD">
      <w:pPr>
        <w:pStyle w:val="FigureTitle"/>
      </w:pPr>
      <w:bookmarkStart w:id="162" w:name="_Ref485290975"/>
      <w:bookmarkStart w:id="163" w:name="_Toc496266321"/>
      <w:r>
        <w:lastRenderedPageBreak/>
        <w:t>Figure 7: GS-US-367-1171. Median (Q1, Q3) ALT (U/L) by visit (safety analysis set)</w:t>
      </w:r>
      <w:bookmarkEnd w:id="162"/>
      <w:bookmarkEnd w:id="163"/>
    </w:p>
    <w:p w:rsidR="004B23FD" w:rsidRPr="004B23FD" w:rsidRDefault="004B23FD" w:rsidP="004B23FD">
      <w:r>
        <w:rPr>
          <w:noProof/>
          <w:lang w:eastAsia="en-AU"/>
        </w:rPr>
        <w:drawing>
          <wp:inline distT="0" distB="0" distL="0" distR="0" wp14:anchorId="0E2591B0" wp14:editId="5252CA14">
            <wp:extent cx="5400040" cy="3058869"/>
            <wp:effectExtent l="0" t="0" r="0" b="8255"/>
            <wp:docPr id="41" name="Picture 41" descr="Figure 7: GS-US-367-1171. Median (Q1, Q3) ALT (U/L) by visi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00040" cy="3058869"/>
                    </a:xfrm>
                    <a:prstGeom prst="rect">
                      <a:avLst/>
                    </a:prstGeom>
                  </pic:spPr>
                </pic:pic>
              </a:graphicData>
            </a:graphic>
          </wp:inline>
        </w:drawing>
      </w:r>
    </w:p>
    <w:p w:rsidR="00B40C5E" w:rsidRPr="00B40C5E" w:rsidRDefault="00507436" w:rsidP="00B40C5E">
      <w:r>
        <w:t>Study GS-US-367-1170 (POLARIS-</w:t>
      </w:r>
      <w:r w:rsidR="00B40C5E" w:rsidRPr="00B40C5E">
        <w:t xml:space="preserve">4): One subject had Grade 3 increased ALT in the SOF/VEL/VOX 12 Week Group, while no Grade 3 or 4 increased ALT was observed in the SOF/VEL 12 Week group. Coincident with decreases in HCV RNA, reductions from baseline in median ALT values were observed in both treatment groups for the duration of treatment and at the post treatment Week 4 visit. Median changes from baseline to post treatment Week 4 ranged from −40 to −38 U/L across both treatment </w:t>
      </w:r>
      <w:r w:rsidR="00B40C5E" w:rsidRPr="00C349F9">
        <w:t xml:space="preserve">groups (Figure </w:t>
      </w:r>
      <w:r w:rsidR="00C349F9" w:rsidRPr="00C349F9">
        <w:t>8</w:t>
      </w:r>
      <w:r w:rsidR="00B40C5E" w:rsidRPr="00C349F9">
        <w:t>).</w:t>
      </w:r>
      <w:r w:rsidR="00B40C5E" w:rsidRPr="00B40C5E">
        <w:t xml:space="preserve"> No Grade 3 or </w:t>
      </w:r>
      <w:proofErr w:type="gramStart"/>
      <w:r w:rsidR="00B40C5E" w:rsidRPr="00B40C5E">
        <w:t>4 increased total bilirubin</w:t>
      </w:r>
      <w:proofErr w:type="gramEnd"/>
      <w:r w:rsidR="00B40C5E" w:rsidRPr="00B40C5E">
        <w:t xml:space="preserve"> was observed in either treatment group. Decreases from baseline in median total bilirubin values during treatment were observed in the SOF/VEL 12 Week group during treatment, but not observed during treatment in the SOF/VEL/VOX 12 Week group. This difference was likely due to VOX inhibition of OATP1B1 and OATP1B3 which transports bilirubin into hepatocytes. At post treatment Week 4, this difference resolved and the median total bilirubin values were similar in both treatment groups.</w:t>
      </w:r>
    </w:p>
    <w:p w:rsidR="00476CD0" w:rsidRDefault="009140CB" w:rsidP="00B40C5E">
      <w:pPr>
        <w:pStyle w:val="Comment"/>
      </w:pPr>
      <w:r w:rsidRPr="009140CB">
        <w:rPr>
          <w:b/>
        </w:rPr>
        <w:t>Comment</w:t>
      </w:r>
      <w:r>
        <w:t xml:space="preserve">: </w:t>
      </w:r>
      <w:r w:rsidR="00CE0E69">
        <w:t>DAA experienced</w:t>
      </w:r>
      <w:r w:rsidR="00B40C5E" w:rsidRPr="00B40C5E">
        <w:t xml:space="preserve"> subjects reported low incidence of Grade 3 or 4 increase in ALT following treatment with SOF/VEL/VOX for 12 weeks as only 1 of the 445 subjects treated with SOF/VEL/VOX for 12 weeks reported a Grade 3 increase in ALT (Grade 4 increase in ALT was not reported)</w:t>
      </w:r>
      <w:r w:rsidR="00476CD0">
        <w:t>.</w:t>
      </w:r>
    </w:p>
    <w:p w:rsidR="004B23FD" w:rsidRDefault="004B23FD" w:rsidP="004B23FD">
      <w:pPr>
        <w:pStyle w:val="FigureTitle"/>
      </w:pPr>
      <w:bookmarkStart w:id="164" w:name="_Ref485290979"/>
      <w:bookmarkStart w:id="165" w:name="_Toc496266328"/>
      <w:r>
        <w:lastRenderedPageBreak/>
        <w:t>Figure 8: GS-US-367-1170. Median (Q1, Q3) ALT (U/L) by visit (safety analysis set)</w:t>
      </w:r>
      <w:bookmarkEnd w:id="164"/>
      <w:bookmarkEnd w:id="165"/>
    </w:p>
    <w:p w:rsidR="004B23FD" w:rsidRPr="004B23FD" w:rsidRDefault="004B23FD" w:rsidP="004B23FD">
      <w:r>
        <w:rPr>
          <w:noProof/>
          <w:lang w:eastAsia="en-AU"/>
        </w:rPr>
        <w:drawing>
          <wp:inline distT="0" distB="0" distL="0" distR="0" wp14:anchorId="4D1F437F" wp14:editId="436D3DFF">
            <wp:extent cx="5400040" cy="3039253"/>
            <wp:effectExtent l="0" t="0" r="0" b="8890"/>
            <wp:docPr id="42" name="Picture 42" descr="Figure 8: GS-US-367-1170. Median (Q1, Q3) ALT (U/L) by visi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3039253"/>
                    </a:xfrm>
                    <a:prstGeom prst="rect">
                      <a:avLst/>
                    </a:prstGeom>
                  </pic:spPr>
                </pic:pic>
              </a:graphicData>
            </a:graphic>
          </wp:inline>
        </w:drawing>
      </w:r>
    </w:p>
    <w:p w:rsidR="00B40C5E" w:rsidRDefault="00B40C5E" w:rsidP="00B40C5E">
      <w:pPr>
        <w:pStyle w:val="Heading6"/>
      </w:pPr>
      <w:r w:rsidRPr="00B40C5E">
        <w:t>Pivotal</w:t>
      </w:r>
      <w:r w:rsidR="009140CB">
        <w:t xml:space="preserve"> studies in DAA naïve subjects</w:t>
      </w:r>
    </w:p>
    <w:p w:rsidR="00476CD0" w:rsidRDefault="00B40C5E" w:rsidP="00B40C5E">
      <w:r w:rsidRPr="00B40C5E">
        <w:t>Study GS-US-367-1172 (POLARIS-2): No Grade 3 or 4 ALT elevations were reported for subjects in the SOF/VEL/VOX 8 Week group. One subject in the SOF/VEL 12 Week group had a Grade 3 ALT elevation (this subject without cirrhosis and with baseline BMI 28.4 kg/</w:t>
      </w:r>
      <w:r w:rsidR="009140CB" w:rsidRPr="00B40C5E">
        <w:t>m</w:t>
      </w:r>
      <w:r w:rsidR="009140CB" w:rsidRPr="009140CB">
        <w:rPr>
          <w:vertAlign w:val="superscript"/>
        </w:rPr>
        <w:t>2</w:t>
      </w:r>
      <w:r w:rsidRPr="00B40C5E">
        <w:t xml:space="preserve"> had Grade 3 increased ALT at Week 12). Coincident with decreases in HCV RNA, reductions from baseline in median ALT values were observed in both treatment groups for the duration of treatment and at the post treatment Week 4 visit. During treatment, median changes from baseline ranged from −24 to −34 U/L, with no notable differences between the </w:t>
      </w:r>
      <w:r w:rsidRPr="00C349F9">
        <w:t xml:space="preserve">groups (Figure </w:t>
      </w:r>
      <w:r w:rsidR="00C349F9" w:rsidRPr="00C349F9">
        <w:t>9</w:t>
      </w:r>
      <w:r w:rsidRPr="00C349F9">
        <w:t>). One</w:t>
      </w:r>
      <w:r w:rsidRPr="00B40C5E">
        <w:t xml:space="preserve"> subject (0.2%) in the SOF/VEL 12 Week group had Grade 3 increases in total bilirubin</w:t>
      </w:r>
      <w:r w:rsidR="00476CD0">
        <w:t>.</w:t>
      </w:r>
    </w:p>
    <w:p w:rsidR="004B23FD" w:rsidRDefault="004B23FD" w:rsidP="004B23FD">
      <w:pPr>
        <w:pStyle w:val="FigureTitle"/>
      </w:pPr>
      <w:bookmarkStart w:id="166" w:name="_Ref485290985"/>
      <w:bookmarkStart w:id="167" w:name="_Toc496266335"/>
      <w:r>
        <w:t xml:space="preserve">Figure </w:t>
      </w:r>
      <w:r w:rsidR="00C349F9">
        <w:t>9</w:t>
      </w:r>
      <w:r>
        <w:t>: GS-US-367-1172. Median (Q1, Q3) ALT (U/L) by visit (safety analysis set)</w:t>
      </w:r>
      <w:bookmarkEnd w:id="166"/>
      <w:bookmarkEnd w:id="167"/>
    </w:p>
    <w:p w:rsidR="004B23FD" w:rsidRPr="004B23FD" w:rsidRDefault="004B23FD" w:rsidP="004B23FD">
      <w:r>
        <w:rPr>
          <w:noProof/>
          <w:lang w:eastAsia="en-AU"/>
        </w:rPr>
        <w:drawing>
          <wp:inline distT="0" distB="0" distL="0" distR="0" wp14:anchorId="50F037D4" wp14:editId="2A9A91D7">
            <wp:extent cx="5400040" cy="3101561"/>
            <wp:effectExtent l="0" t="0" r="0" b="3810"/>
            <wp:docPr id="43" name="Picture 43" descr="Figure 9: GS-US-367-1172. Median (Q1, Q3) ALT (U/L) by visi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00040" cy="3101561"/>
                    </a:xfrm>
                    <a:prstGeom prst="rect">
                      <a:avLst/>
                    </a:prstGeom>
                  </pic:spPr>
                </pic:pic>
              </a:graphicData>
            </a:graphic>
          </wp:inline>
        </w:drawing>
      </w:r>
    </w:p>
    <w:p w:rsidR="00B40C5E" w:rsidRDefault="00B40C5E" w:rsidP="00B40C5E">
      <w:r w:rsidRPr="00B40C5E">
        <w:t xml:space="preserve">Study GS-US-367-1173 (POLARIS-3): There were no Grade 3 or 4 elevations in ALT or total bilirubin in either treatment group. Coincident with decreases in HCV RNA, reductions </w:t>
      </w:r>
      <w:r w:rsidRPr="00B40C5E">
        <w:lastRenderedPageBreak/>
        <w:t xml:space="preserve">from baseline in median ALT values were observed in both treatment groups for the duration of treatment and at the post treatment Week 4 visit. Median changes from baseline ranged from −41 to −106 U/L for both treatment groups, with no notable differences between the </w:t>
      </w:r>
      <w:r w:rsidRPr="00C349F9">
        <w:t xml:space="preserve">groups (Figure </w:t>
      </w:r>
      <w:r w:rsidR="00C349F9" w:rsidRPr="00C349F9">
        <w:t>10</w:t>
      </w:r>
      <w:r w:rsidRPr="00C349F9">
        <w:t>).</w:t>
      </w:r>
      <w:r w:rsidRPr="00B40C5E">
        <w:t xml:space="preserve"> Decreases from baseline in median total bilirubin values during treatment were observed in the SOF/VEL 12 Week group, but not in the SOF/VEL/VOX 8 Week group. This difference is likely due to VOX inhibition of OATP, which transports bilirubin into hepatocytes. At post treatment Week 4, this difference had resolved and the median total bilirubin values were similar in both treatment groups.</w:t>
      </w:r>
    </w:p>
    <w:p w:rsidR="004B23FD" w:rsidRDefault="004B23FD" w:rsidP="004B23FD">
      <w:pPr>
        <w:pStyle w:val="FigureTitle"/>
      </w:pPr>
      <w:bookmarkStart w:id="168" w:name="_Ref485290989"/>
      <w:bookmarkStart w:id="169" w:name="_Toc496266342"/>
      <w:r>
        <w:t xml:space="preserve">Figure </w:t>
      </w:r>
      <w:r w:rsidR="00C349F9">
        <w:t>10</w:t>
      </w:r>
      <w:r>
        <w:t>: GS-US-367-1173. Median (Q1, Q3) ALT (U/L) by visit (safety analysis set)</w:t>
      </w:r>
      <w:bookmarkEnd w:id="168"/>
      <w:bookmarkEnd w:id="169"/>
    </w:p>
    <w:p w:rsidR="00B40C5E" w:rsidRPr="00B40C5E" w:rsidRDefault="00180E04" w:rsidP="00A95AB7">
      <w:r w:rsidRPr="00A2119F">
        <w:rPr>
          <w:noProof/>
          <w:lang w:eastAsia="en-AU"/>
        </w:rPr>
        <w:drawing>
          <wp:inline distT="0" distB="0" distL="0" distR="0" wp14:anchorId="06D9A612" wp14:editId="66C4C685">
            <wp:extent cx="5400040" cy="2802136"/>
            <wp:effectExtent l="0" t="0" r="0" b="0"/>
            <wp:docPr id="44" name="Picture 44" descr="Figure 10: GS-US-367-1173. Median (Q1, Q3) ALT (U/L) by visi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40" cy="2802136"/>
                    </a:xfrm>
                    <a:prstGeom prst="rect">
                      <a:avLst/>
                    </a:prstGeom>
                  </pic:spPr>
                </pic:pic>
              </a:graphicData>
            </a:graphic>
          </wp:inline>
        </w:drawing>
      </w:r>
      <w:r w:rsidR="00B40C5E" w:rsidRPr="00B40C5E">
        <w:t>Other studies</w:t>
      </w:r>
    </w:p>
    <w:p w:rsidR="00476CD0" w:rsidRDefault="00B40C5E" w:rsidP="00B40C5E">
      <w:r w:rsidRPr="00B40C5E">
        <w:t>Study GS-US-337-1468 (LEPTON, Cohorts 4 and 5): There were no clinically meaningful increases in ALT or total bilirubin values during treatment with SOF/VEL+VOX</w:t>
      </w:r>
      <w:r w:rsidR="00476CD0">
        <w:t>.</w:t>
      </w:r>
    </w:p>
    <w:p w:rsidR="00476CD0" w:rsidRDefault="009140CB" w:rsidP="00B40C5E">
      <w:r>
        <w:t>Study GS-US-367-1168:</w:t>
      </w:r>
      <w:r w:rsidR="00B40C5E" w:rsidRPr="00B40C5E">
        <w:t xml:space="preserve"> The only Grade 3 or 4 laboratory abnormality reported as an AE was the Grade 3 elevated ALT in t</w:t>
      </w:r>
      <w:r>
        <w:t xml:space="preserve">he subject who met the protocol </w:t>
      </w:r>
      <w:r w:rsidR="00B40C5E" w:rsidRPr="00B40C5E">
        <w:t>defined stopping criteria</w:t>
      </w:r>
      <w:r w:rsidR="00476CD0">
        <w:t>.</w:t>
      </w:r>
    </w:p>
    <w:p w:rsidR="00476CD0" w:rsidRDefault="00B40C5E" w:rsidP="00B40C5E">
      <w:r w:rsidRPr="00B40C5E">
        <w:t>Study GS-US-367-1169: No clinically meaningful increases in ALT or total bilirubin values were observed during treatment with SOF/VEL+VOX</w:t>
      </w:r>
      <w:r w:rsidR="00476CD0">
        <w:t>.</w:t>
      </w:r>
    </w:p>
    <w:p w:rsidR="00476CD0" w:rsidRDefault="00B40C5E" w:rsidP="00B40C5E">
      <w:r w:rsidRPr="00B40C5E">
        <w:t>Study GS-US-367-1871 (TRILOGY-3): No clinically meaningful increases in ALT or total bilirubin values were observed during treatment with SOF/VEL/VOX</w:t>
      </w:r>
      <w:r w:rsidR="00476CD0">
        <w:t>.</w:t>
      </w:r>
    </w:p>
    <w:p w:rsidR="00B40C5E" w:rsidRPr="00B40C5E" w:rsidRDefault="00B40C5E" w:rsidP="00B40C5E">
      <w:pPr>
        <w:pStyle w:val="Heading5"/>
      </w:pPr>
      <w:bookmarkStart w:id="170" w:name="_Toc272414670"/>
      <w:bookmarkStart w:id="171" w:name="_Toc290888534"/>
      <w:bookmarkStart w:id="172" w:name="_Toc416353750"/>
      <w:bookmarkStart w:id="173" w:name="_Toc421005293"/>
      <w:bookmarkStart w:id="174" w:name="_Toc432079170"/>
      <w:bookmarkStart w:id="175" w:name="_Toc432080743"/>
      <w:bookmarkStart w:id="176" w:name="_Toc496266018"/>
      <w:r w:rsidRPr="00B40C5E">
        <w:t>Renal function</w:t>
      </w:r>
      <w:bookmarkEnd w:id="170"/>
      <w:bookmarkEnd w:id="171"/>
      <w:bookmarkEnd w:id="172"/>
      <w:bookmarkEnd w:id="173"/>
      <w:r w:rsidRPr="00B40C5E">
        <w:t xml:space="preserve"> and renal toxicity</w:t>
      </w:r>
      <w:bookmarkEnd w:id="174"/>
      <w:bookmarkEnd w:id="175"/>
      <w:bookmarkEnd w:id="176"/>
    </w:p>
    <w:p w:rsidR="00B40C5E" w:rsidRPr="00B40C5E" w:rsidRDefault="00B40C5E" w:rsidP="00B40C5E">
      <w:pPr>
        <w:pStyle w:val="Heading6"/>
      </w:pPr>
      <w:r w:rsidRPr="00B40C5E">
        <w:t>Integrated safety analyses</w:t>
      </w:r>
    </w:p>
    <w:p w:rsidR="00B40C5E" w:rsidRPr="00B40C5E" w:rsidRDefault="00B40C5E" w:rsidP="00B40C5E">
      <w:r w:rsidRPr="00B40C5E">
        <w:t xml:space="preserve">For subjects in all treatment groups, median creatinine and </w:t>
      </w:r>
      <w:r w:rsidR="00AA624F">
        <w:rPr>
          <w:rFonts w:eastAsia="TimesNewRoman" w:cs="TimesNewRoman"/>
        </w:rPr>
        <w:t>estimated glomerular filtration rate</w:t>
      </w:r>
      <w:r w:rsidR="00AA624F" w:rsidRPr="00B40C5E">
        <w:t xml:space="preserve"> </w:t>
      </w:r>
      <w:r w:rsidR="00AA624F">
        <w:t>(</w:t>
      </w:r>
      <w:proofErr w:type="spellStart"/>
      <w:r w:rsidRPr="00B40C5E">
        <w:t>eGFR</w:t>
      </w:r>
      <w:proofErr w:type="spellEnd"/>
      <w:r w:rsidR="00AA624F">
        <w:t>)</w:t>
      </w:r>
      <w:r w:rsidRPr="00B40C5E">
        <w:t xml:space="preserve"> values remained stable from baseline through the end of treatment and at post-treatment Week 4.</w:t>
      </w:r>
    </w:p>
    <w:p w:rsidR="00476CD0" w:rsidRDefault="00B40C5E" w:rsidP="00B40C5E">
      <w:r w:rsidRPr="00B40C5E">
        <w:t xml:space="preserve">No events of renal failure were reported for any subjects in the </w:t>
      </w:r>
      <w:r w:rsidR="00476CD0">
        <w:t>Phase III</w:t>
      </w:r>
      <w:r w:rsidRPr="00B40C5E">
        <w:t xml:space="preserve"> Integrated Safety Population</w:t>
      </w:r>
      <w:r w:rsidR="00476CD0">
        <w:t>.</w:t>
      </w:r>
    </w:p>
    <w:p w:rsidR="00B40C5E" w:rsidRDefault="00B40C5E" w:rsidP="00B40C5E">
      <w:pPr>
        <w:pStyle w:val="Heading6"/>
      </w:pPr>
      <w:r w:rsidRPr="00B40C5E">
        <w:t xml:space="preserve">Pivotal studies in </w:t>
      </w:r>
      <w:r w:rsidR="00CE0E69">
        <w:t>DAA experienced</w:t>
      </w:r>
      <w:r w:rsidR="009140CB">
        <w:t xml:space="preserve"> subjects</w:t>
      </w:r>
    </w:p>
    <w:p w:rsidR="00476CD0" w:rsidRDefault="00B40C5E" w:rsidP="00B40C5E">
      <w:r w:rsidRPr="00B40C5E">
        <w:t xml:space="preserve">No clinically significant changes in renal function parameters were observed in the four pivotal </w:t>
      </w:r>
      <w:r w:rsidR="00476CD0">
        <w:t>Phase III</w:t>
      </w:r>
      <w:r w:rsidRPr="00B40C5E">
        <w:t xml:space="preserve"> studies</w:t>
      </w:r>
      <w:r w:rsidR="00476CD0">
        <w:t>.</w:t>
      </w:r>
    </w:p>
    <w:p w:rsidR="00B40C5E" w:rsidRPr="00B40C5E" w:rsidRDefault="00B40C5E" w:rsidP="00B40C5E">
      <w:pPr>
        <w:pStyle w:val="Heading6"/>
      </w:pPr>
      <w:r w:rsidRPr="00B40C5E">
        <w:lastRenderedPageBreak/>
        <w:t>Other studies</w:t>
      </w:r>
    </w:p>
    <w:p w:rsidR="00476CD0" w:rsidRDefault="00B40C5E" w:rsidP="00B40C5E">
      <w:r w:rsidRPr="00B40C5E">
        <w:t xml:space="preserve">No clinically significant changes in renal function parameters were observed in the four </w:t>
      </w:r>
      <w:r w:rsidR="00476CD0">
        <w:t>Phase II</w:t>
      </w:r>
      <w:r w:rsidRPr="00B40C5E">
        <w:t xml:space="preserve"> studies</w:t>
      </w:r>
      <w:r w:rsidR="00476CD0">
        <w:t>.</w:t>
      </w:r>
    </w:p>
    <w:p w:rsidR="00B40C5E" w:rsidRPr="00B40C5E" w:rsidRDefault="00B40C5E" w:rsidP="00B40C5E">
      <w:pPr>
        <w:pStyle w:val="Heading5"/>
      </w:pPr>
      <w:bookmarkStart w:id="177" w:name="_Toc272414671"/>
      <w:bookmarkStart w:id="178" w:name="_Toc290888535"/>
      <w:bookmarkStart w:id="179" w:name="_Toc416353751"/>
      <w:bookmarkStart w:id="180" w:name="_Toc421005294"/>
      <w:bookmarkStart w:id="181" w:name="_Toc432079171"/>
      <w:bookmarkStart w:id="182" w:name="_Toc432080744"/>
      <w:bookmarkStart w:id="183" w:name="_Toc496266019"/>
      <w:r w:rsidRPr="00B40C5E">
        <w:t>Other clinical chemistry</w:t>
      </w:r>
      <w:bookmarkEnd w:id="177"/>
      <w:bookmarkEnd w:id="178"/>
      <w:bookmarkEnd w:id="179"/>
      <w:bookmarkEnd w:id="180"/>
      <w:bookmarkEnd w:id="181"/>
      <w:bookmarkEnd w:id="182"/>
      <w:bookmarkEnd w:id="183"/>
    </w:p>
    <w:p w:rsidR="00B40C5E" w:rsidRPr="00B40C5E" w:rsidRDefault="00B40C5E" w:rsidP="00B40C5E">
      <w:pPr>
        <w:pStyle w:val="Heading6"/>
      </w:pPr>
      <w:r w:rsidRPr="00B40C5E">
        <w:t>Integrated safety analyses</w:t>
      </w:r>
    </w:p>
    <w:p w:rsidR="00476CD0" w:rsidRDefault="00B40C5E" w:rsidP="00B40C5E">
      <w:r w:rsidRPr="00B40C5E">
        <w:t xml:space="preserve">Overall, in the </w:t>
      </w:r>
      <w:r w:rsidR="00476CD0">
        <w:t>Phase III</w:t>
      </w:r>
      <w:r w:rsidRPr="00B40C5E">
        <w:t xml:space="preserve"> Integrated Safety Population, graded laboratory abnormalities were observed more often in the Placebo 12 Week group (75.7%) and SOF/VEL/VOX 12 Week group (68.9%) compared to the SOF/VEL/VOX 8 Week group (57.8%) and SOF/VEL 12 Week group (58.7%), most likely reflecting the higher percentage of subjects with cirrhosis in the Placebo 12 Week and SOF/VEL/VOX 12 Week groups</w:t>
      </w:r>
      <w:r w:rsidR="00476CD0">
        <w:t>.</w:t>
      </w:r>
    </w:p>
    <w:p w:rsidR="00476CD0" w:rsidRDefault="00B40C5E" w:rsidP="00B40C5E">
      <w:r w:rsidRPr="00B40C5E">
        <w:t>The majority of subjects in the SOF/VEL/VOX 8 Week group had at least 1 graded laboratory abnormality (57.8%, 353 subjects). For 51.6% of subjects, these laboratory abnormalities were Grade 1 or 2. Subjects had low rates of Grade 3 (5.4%, 33 subjects) and Grade 4 (0.8%, 5 subjects) laboratory abnormalities. Among subjects in the SOF/VEL/VOX 12 Week group, 68.9% (306 subjects) had at least 1 graded laboratory abnormality. Compared to the SOF/VEL/VOX 8 Week group, the higher incidence of graded laboratory abnormalities in the SOF/VEL/VOX 12 Week group was mostly due to more subjects in the SOF/VEL/VOX group with Grade 1 or 2 laboratory abnormalities (62.4%), notably in decreased platelets and increased total bilirubin, consistent with more subjects with cirrhosis enrolled in the 12</w:t>
      </w:r>
      <w:r w:rsidR="00AA5E62">
        <w:t xml:space="preserve"> week</w:t>
      </w:r>
      <w:r w:rsidRPr="00B40C5E">
        <w:t xml:space="preserve"> duration regimen. Similar to those receiving 8 weeks of SOF/VEL/VOX, subjects receiving 12 weeks of SOF/VEL/VOX had low rates of Grade 3 and 4 laboratory abnormalities: 5.2% (23 subjects) had at least 1 Grade 3 laboratory abnormality and 1.4% (6 subjects) had at least 1 Grade 4 laboratory abnormality. The rate of subjects with at least 1 graded laboratory abnormality in the SOF/VEL 12 Week group (58.7%, 410 subjects) was similar to the SOF/VEL/VOX 8 Week group. Most of the laboratory abnormalities were Grade 1 or 2 (53.7%). The rate of Grade 3 (4.2%) and Grade 4 (0.9%) lab abnormalities was lower. Of all the treatment groups, the Placebo 12 Week group had the highest rate of subjects with at least 1 graded laboratory abnormality (75.7%, 115 subjects), largely due to the higher rates of graded ALT and AST abnormalities consistent with untreated HCV infection</w:t>
      </w:r>
      <w:r w:rsidR="00476CD0">
        <w:t>.</w:t>
      </w:r>
    </w:p>
    <w:p w:rsidR="00476CD0" w:rsidRDefault="00B40C5E" w:rsidP="00B40C5E">
      <w:r w:rsidRPr="00B40C5E">
        <w:t xml:space="preserve">Across the treatment groups, the most common Grade 3 or 4 laboratory abnormalities were increased glucose, increased lipase and increased creatine </w:t>
      </w:r>
      <w:r w:rsidRPr="00AC0F8C">
        <w:t xml:space="preserve">kinase (Table </w:t>
      </w:r>
      <w:r w:rsidR="00AC0F8C" w:rsidRPr="00AC0F8C">
        <w:t>21</w:t>
      </w:r>
      <w:r w:rsidRPr="00AC0F8C">
        <w:t>).</w:t>
      </w:r>
      <w:r w:rsidR="00476CD0">
        <w:t xml:space="preserve"> </w:t>
      </w:r>
      <w:r w:rsidRPr="00B40C5E">
        <w:t>Elevations in glucose were observed primarily among subjects with a history of diabetes or subjects who had glucose elevations prior to initiation of study drug. Elevations in lipase were asymptomatic and were generally isolated or transient and intermittent; there were no AEs of pancreatitis and no trends in lipase elevations over time.</w:t>
      </w:r>
      <w:r w:rsidR="00476CD0">
        <w:t xml:space="preserve"> </w:t>
      </w:r>
      <w:r w:rsidRPr="00B40C5E">
        <w:t>All elevations in creatine kinase, except for 2, were related to exercise or physical exertion, according to the investigator. The Grade 3 increases in INR were not confirmed or were related to concurrent warfarin dosing. The Grade 3 decreases in sodium were observed in subjects who had Grade 2 decreased sodium at baseline and were related to diuretic intake or excessive intake of water, according to the investigator</w:t>
      </w:r>
      <w:r w:rsidR="00476CD0">
        <w:t>.</w:t>
      </w:r>
    </w:p>
    <w:p w:rsidR="00180E04" w:rsidRDefault="00AC0F8C" w:rsidP="00180E04">
      <w:pPr>
        <w:pStyle w:val="Tabletitle0"/>
      </w:pPr>
      <w:bookmarkStart w:id="184" w:name="_Ref485291008"/>
      <w:bookmarkStart w:id="185" w:name="_Toc496266349"/>
      <w:r>
        <w:lastRenderedPageBreak/>
        <w:t xml:space="preserve">Table 21: </w:t>
      </w:r>
      <w:r w:rsidR="00180E04">
        <w:t>Grade 3 or 4 chemistry laboratory abnormalities</w:t>
      </w:r>
      <w:r>
        <w:t xml:space="preserve"> in the SOF/VEL/VOX integrated Phase III</w:t>
      </w:r>
      <w:r w:rsidR="00180E04">
        <w:t xml:space="preserve"> safety population (safety analysis set)</w:t>
      </w:r>
      <w:bookmarkEnd w:id="184"/>
      <w:bookmarkEnd w:id="185"/>
    </w:p>
    <w:p w:rsidR="00180E04" w:rsidRDefault="00180E04" w:rsidP="00B40C5E">
      <w:r>
        <w:rPr>
          <w:noProof/>
          <w:lang w:eastAsia="en-AU"/>
        </w:rPr>
        <w:drawing>
          <wp:inline distT="0" distB="0" distL="0" distR="0" wp14:anchorId="2600CF2F" wp14:editId="08190303">
            <wp:extent cx="5400040" cy="6156392"/>
            <wp:effectExtent l="0" t="0" r="0" b="0"/>
            <wp:docPr id="45" name="Picture 45" descr="Table 21: Grade 3 or 4 chemistry laboratory abnormalities in the SOF/VEL/VOX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6156392"/>
                    </a:xfrm>
                    <a:prstGeom prst="rect">
                      <a:avLst/>
                    </a:prstGeom>
                  </pic:spPr>
                </pic:pic>
              </a:graphicData>
            </a:graphic>
          </wp:inline>
        </w:drawing>
      </w:r>
    </w:p>
    <w:p w:rsidR="00B40C5E" w:rsidRDefault="00B40C5E" w:rsidP="00B40C5E">
      <w:pPr>
        <w:pStyle w:val="Heading6"/>
      </w:pPr>
      <w:r w:rsidRPr="00B40C5E">
        <w:t xml:space="preserve">Pivotal studies in </w:t>
      </w:r>
      <w:r w:rsidR="00CE0E69">
        <w:t>DAA experienced</w:t>
      </w:r>
      <w:r w:rsidR="009140CB">
        <w:t xml:space="preserve"> subjects</w:t>
      </w:r>
    </w:p>
    <w:p w:rsidR="00180E04" w:rsidRDefault="00B40C5E" w:rsidP="00B40C5E">
      <w:r w:rsidRPr="00B40C5E">
        <w:t xml:space="preserve">Study GS-US-367-1171 (POLARIS-1): Most subjects had at least 1 laboratory abnormality with majority being Grade 1 (39.5%, 164 of 415 subjects) or Grade 2 (22.2%, 92 of 415 subjects). Overall, the incidence of Grade 3 and 4 laboratory abnormalities was low (9.6%, 40 of 415 subjects). The incidence of Grade 3 and 4 coagulation and chemistry laboratory abnormalities was similar for both treatment groups. Grade 3 chemistry laboratory abnormalities were reported for ALT, AST, creatine kinase, serum glucose (hyperglycaemia), lipase and total bilirubin (hyperbilirubinemia). Grade 4 chemistry laboratory abnormalities were reported for ALT, creatine kinase and </w:t>
      </w:r>
      <w:r w:rsidRPr="00AC0F8C">
        <w:t xml:space="preserve">lipase (Table </w:t>
      </w:r>
      <w:r w:rsidR="00AC0F8C" w:rsidRPr="00AC0F8C">
        <w:t>20)</w:t>
      </w:r>
      <w:r w:rsidR="00476CD0" w:rsidRPr="00AC0F8C">
        <w:t>.</w:t>
      </w:r>
    </w:p>
    <w:p w:rsidR="009140CB" w:rsidRDefault="00B40C5E" w:rsidP="00B40C5E">
      <w:r w:rsidRPr="00B40C5E">
        <w:t xml:space="preserve">Grade 3 increases in serum glucose were reported for 4 subjects (1.5%) in the SOF/VEL/VOX 12 Week group and 7 subjects (4.6%) in the Placebo 12 Week group. All subjects with increased serum glucose had a history of diabetes or impaired glucose </w:t>
      </w:r>
      <w:r w:rsidRPr="00B40C5E">
        <w:lastRenderedPageBreak/>
        <w:t>tolerance, with the exception of 3 subjects in the Placebo 12 Week group. No Grade 4 increases in serum glucose were reported.</w:t>
      </w:r>
    </w:p>
    <w:p w:rsidR="009140CB" w:rsidRDefault="00B40C5E" w:rsidP="00B40C5E">
      <w:r w:rsidRPr="00B40C5E">
        <w:t>Grade 3 increases in lipase were reported for 3 subjects (1.1%) in the SOF/VEL/VOX 12 Week group and 3 subjects (2.0%) in the Placebo 12 Week group. All of the Grade 3 lipase elevations were isolated events or intermittent and transient and all were asymptomatic, with no cases of clinical pancreatitis. Grade 4 increases in lipase were reported for 3 subjects (1.1%) in the SOF/VEL/VOX 12 Week group and 1 subject (0.7%) in the Placebo 12 Week group, none of which were associated with clinical pancreatitis</w:t>
      </w:r>
      <w:r w:rsidR="009140CB">
        <w:t>.</w:t>
      </w:r>
    </w:p>
    <w:p w:rsidR="00476CD0" w:rsidRDefault="00B40C5E" w:rsidP="00B40C5E">
      <w:r w:rsidRPr="00B40C5E">
        <w:t>Grade 3 increases in creatine kinase were reported for 2 subjects (0.8%) subjects in the SOF/VEL/VOX 12 Week group and 2 subjects (1.3%) in the Placebo 12 Week group. None of the Grade 3 creatine kinase elevations were reported as AEs, all were associated with exercise and all were considered not related to study drug by the investigators</w:t>
      </w:r>
      <w:r w:rsidR="00476CD0">
        <w:t>.</w:t>
      </w:r>
    </w:p>
    <w:p w:rsidR="00B40C5E" w:rsidRDefault="00507436" w:rsidP="00B40C5E">
      <w:r>
        <w:t>Study GS-US-367-1170 (POLARIS-</w:t>
      </w:r>
      <w:r w:rsidR="00B40C5E" w:rsidRPr="00B40C5E">
        <w:t xml:space="preserve">4): Most subjects had at least 1 laboratory abnormality with majority of them being Grade 1 (36.6%, 122/ 333) or Grade 2 (22.2%, 74/ 333). A similar percentage of subjects had Grade 3 laboratory abnormalities in the SOF/VEL/VOX 12 Week (5.5%, 10 of 182 subjects) and SOF/VEL 12 Week (6.0%, 9 of 151 subjects) groups. One subject had a Grade 4 laboratory abnormality in each treatment </w:t>
      </w:r>
      <w:r w:rsidR="00B40C5E" w:rsidRPr="00AC0F8C">
        <w:t xml:space="preserve">group (Table </w:t>
      </w:r>
      <w:r w:rsidR="00AC0F8C">
        <w:t>22</w:t>
      </w:r>
      <w:r w:rsidR="00B40C5E">
        <w:t>).</w:t>
      </w:r>
    </w:p>
    <w:p w:rsidR="00180E04" w:rsidRDefault="00180E04" w:rsidP="00180E04">
      <w:pPr>
        <w:pStyle w:val="Tabletitle0"/>
      </w:pPr>
      <w:bookmarkStart w:id="186" w:name="_Ref485291018"/>
      <w:bookmarkStart w:id="187" w:name="_Toc496266326"/>
      <w:r>
        <w:t xml:space="preserve">Table </w:t>
      </w:r>
      <w:r w:rsidR="00AC0F8C">
        <w:t xml:space="preserve">22: </w:t>
      </w:r>
      <w:r>
        <w:t>GS-US-367-1170. Grade 3 or 4 coagulation and chemistry laboratory abnormalities (safety analysis set)</w:t>
      </w:r>
      <w:bookmarkEnd w:id="186"/>
      <w:bookmarkEnd w:id="187"/>
    </w:p>
    <w:p w:rsidR="00180E04" w:rsidRDefault="00180E04" w:rsidP="00B40C5E">
      <w:r>
        <w:rPr>
          <w:noProof/>
          <w:lang w:eastAsia="en-AU"/>
        </w:rPr>
        <w:drawing>
          <wp:inline distT="0" distB="0" distL="0" distR="0" wp14:anchorId="429541C3" wp14:editId="7308AE1A">
            <wp:extent cx="5400040" cy="3886183"/>
            <wp:effectExtent l="0" t="0" r="0" b="635"/>
            <wp:docPr id="47" name="Picture 47" descr="Table 22: GS-US-367-1170. Grade 3 or 4 coagulation and chemistry laboratory abnormalit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40" cy="3886183"/>
                    </a:xfrm>
                    <a:prstGeom prst="rect">
                      <a:avLst/>
                    </a:prstGeom>
                  </pic:spPr>
                </pic:pic>
              </a:graphicData>
            </a:graphic>
          </wp:inline>
        </w:drawing>
      </w:r>
    </w:p>
    <w:p w:rsidR="00B40C5E" w:rsidRDefault="00B40C5E" w:rsidP="00B40C5E">
      <w:r w:rsidRPr="00B40C5E">
        <w:t xml:space="preserve">Increased lipase was the only Grade 4 chemistry laboratory abnormality observed in this study. Grade 4 increased lipase was observed in 2 subjects (1 in each treatment group) </w:t>
      </w:r>
      <w:proofErr w:type="gramStart"/>
      <w:r w:rsidRPr="00B40C5E">
        <w:t>Two</w:t>
      </w:r>
      <w:proofErr w:type="gramEnd"/>
      <w:r w:rsidRPr="00B40C5E">
        <w:t xml:space="preserve"> subjects in the SOF/VEL/VOX 12 Week group had a Grade 3 increased lipase; all these grade 3 and 4 lipase abnormalities were asymptomatic and not associated with any cases of clinical pancreatitis.</w:t>
      </w:r>
    </w:p>
    <w:p w:rsidR="00B40C5E" w:rsidRPr="00B40C5E" w:rsidRDefault="00B40C5E" w:rsidP="00B40C5E">
      <w:r w:rsidRPr="00B40C5E">
        <w:t xml:space="preserve">Increased serum glucose was the most commonly observed Grade 3 chemistry laboratory abnormality, with 4 subjects (2.2%) in the SOF/VEL/VOX 12 Week group and 3 subjects </w:t>
      </w:r>
      <w:r w:rsidRPr="00B40C5E">
        <w:lastRenderedPageBreak/>
        <w:t>(2.0%) in the SOF/VEL 12 Week group and all these subjects had medical history of diabetes. Additional Grade 3 chemistry laboratory abnormalities of increased creatine kinase (transient and related to heavy exercise) and increased ALT (heavy alcohol use during study)</w:t>
      </w:r>
      <w:r w:rsidR="00B14720">
        <w:t xml:space="preserve"> </w:t>
      </w:r>
      <w:r w:rsidRPr="00B40C5E">
        <w:t>were observed in 1 subject each in the SOF/VEL/VOX 12 Week group</w:t>
      </w:r>
      <w:r w:rsidR="009140CB">
        <w:t>.</w:t>
      </w:r>
    </w:p>
    <w:p w:rsidR="00755126" w:rsidRDefault="00B40C5E" w:rsidP="00755126">
      <w:pPr>
        <w:pStyle w:val="Heading6"/>
      </w:pPr>
      <w:r w:rsidRPr="00B40C5E">
        <w:t>Pivotal</w:t>
      </w:r>
      <w:r w:rsidR="009140CB">
        <w:t xml:space="preserve"> studies in DAA-naïve subjects</w:t>
      </w:r>
    </w:p>
    <w:p w:rsidR="00B40C5E" w:rsidRPr="00B40C5E" w:rsidRDefault="00B40C5E" w:rsidP="00B40C5E">
      <w:r w:rsidRPr="00B40C5E">
        <w:t>Study GS-US-367-1172 (POLARIS-2): Most subjects had at least 1 laboratory abnormality but most were Grade 1 (35.7%, 336 of 940 subjects) or Grade 2 (14.8%, 139 of 940 subjects). Overall, the incidence of Grade 3 and 4 laboratory abnormalities was low (4.3%, 40 of 940 subjects).</w:t>
      </w:r>
      <w:r w:rsidR="00476CD0">
        <w:t xml:space="preserve"> </w:t>
      </w:r>
      <w:r w:rsidRPr="00B40C5E">
        <w:t xml:space="preserve">The most common Grade 3 or 4 chemistry laboratory abnormalities across both treatment groups were increased serum glucose (hyperglycaemia), increased lipase and increased creatine kinase. Grade 3 increases in serum glucose (hyperglycaemia) were reported for 7 subjects (1.4%) in the SOF/VEL/VOX 8 Week group and 3 subjects (0.7%) in the SOF/VEL 12 Week group and all subjects had history of diabetes. Grade </w:t>
      </w:r>
      <w:proofErr w:type="gramStart"/>
      <w:r w:rsidRPr="00B40C5E">
        <w:t>3 increased lipase</w:t>
      </w:r>
      <w:proofErr w:type="gramEnd"/>
      <w:r w:rsidRPr="00B40C5E">
        <w:t xml:space="preserve"> was reported for 4 subjects (0.8%) in the SOF/VEL/VOX 8 Week group and 2 subjects (0.5%) in the SOF/VEL 12 Week group. One subject in each group (0.2%) had a Grade 4 increase in lipase. All of the Grade 3 and 4 lipase elevations were isolated events or intermittent and transient and none were associated with clinical symptoms, clinical pancreatitis or related gastrointestinal AEs. Grade 3 increase in creatine kinase was reported for 2 subjects (0.4%) in the SOF/VEL/VOX 8 Week group. Grade 4 </w:t>
      </w:r>
      <w:proofErr w:type="gramStart"/>
      <w:r w:rsidRPr="00B40C5E">
        <w:t>increase</w:t>
      </w:r>
      <w:proofErr w:type="gramEnd"/>
      <w:r w:rsidRPr="00B40C5E">
        <w:t xml:space="preserve"> in creatine kinase was reported in 2 subjects (0.4%) in the SOF/VEL/VOX 8 Week group and 2 subjects (0.5%) in the SOF/VEL 12 Week group. All of the Grade 3 and 4 creatine kinase elevations were isolated events and all but 1 of the 6 events were attributed to rigorous physical activity.</w:t>
      </w:r>
    </w:p>
    <w:p w:rsidR="00476CD0" w:rsidRDefault="00B40C5E" w:rsidP="00B40C5E">
      <w:r w:rsidRPr="00B40C5E">
        <w:t>Study GS-US-367-1173 (POLARIS-3): Most subjects had at least 1 laboratory abnormality, majority of which were Grade 1</w:t>
      </w:r>
      <w:r w:rsidR="00476CD0">
        <w:t xml:space="preserve"> </w:t>
      </w:r>
      <w:r w:rsidRPr="00B40C5E">
        <w:t xml:space="preserve">(36.7%, 80/218) or Grade 2 (24.3%, 53/218). Overall, the incidence of Grade 3 and 4 laboratory abnormalities was low (10.6% (23/218). There was no Grade 3 or 4 coagulation laboratory abnormalities in the study. Grade 3 chemistry laboratory abnormalities were reported for AST, creatine kinase, serum glucose (hyperglycaemia), lipase and sodium (hyponatremia). One Grade 4 chemistry laboratory abnormality was reported for creatine kinase. The most common Grade 3 chemistry laboratory abnormalities across both treatment groups were increased serum glucose and elevated lipase </w:t>
      </w:r>
      <w:r w:rsidRPr="00AC0F8C">
        <w:t xml:space="preserve">(Table </w:t>
      </w:r>
      <w:r w:rsidR="00AC0F8C" w:rsidRPr="00AC0F8C">
        <w:t>23</w:t>
      </w:r>
      <w:r w:rsidRPr="00B40C5E">
        <w:t xml:space="preserve">). Grade 3 increases in serum glucose were reported for 8 subjects (7.3%) in the SOF/VEL/VOX 8 Week group and 3 subjects (2.8%) in the SOF/VEL 12 Week group. All but 1 of the subjects with Grade 3 increased serum glucose had a medical history of diabetes. Grade </w:t>
      </w:r>
      <w:proofErr w:type="gramStart"/>
      <w:r w:rsidRPr="00B40C5E">
        <w:t>3 elevated lipase</w:t>
      </w:r>
      <w:proofErr w:type="gramEnd"/>
      <w:r w:rsidRPr="00B40C5E">
        <w:t xml:space="preserve"> was observed in 2 subjects (1.8%) in the SOF/VEL/VOX 8 Week group and 1 subject (0.9%) in the SOF/VEL 12 Week group; these elevations were isolated events or transient and all were asymptomatic, with no cases of clinical pancreatitis. A Grade 3 increase in creatine kinase was reported for 1 subject (0.9%) in the SOF/VEL 12 Week group and a Grade 4 increase in creatine kinase was reported for 1 subject (0.9%) in the SOF/VEL/VOX 8 Week group; both these cases were attributed by the respective investigators to rigorous physical activity and both subjects had concurrent Grade 3 elevated AST levels</w:t>
      </w:r>
      <w:r w:rsidR="00476CD0">
        <w:t>.</w:t>
      </w:r>
    </w:p>
    <w:p w:rsidR="00180E04" w:rsidRDefault="00180E04" w:rsidP="00180E04">
      <w:pPr>
        <w:pStyle w:val="Tabletitle0"/>
      </w:pPr>
      <w:bookmarkStart w:id="188" w:name="_Ref485291021"/>
      <w:bookmarkStart w:id="189" w:name="_Toc496266340"/>
      <w:r>
        <w:lastRenderedPageBreak/>
        <w:t xml:space="preserve">Table </w:t>
      </w:r>
      <w:r w:rsidR="00AC0F8C">
        <w:t>23</w:t>
      </w:r>
      <w:r>
        <w:t>: GS-US-367-1173. Grade 3 or 4 chemistry laboratory abnormalities (safety analysis set)</w:t>
      </w:r>
      <w:bookmarkEnd w:id="188"/>
      <w:bookmarkEnd w:id="189"/>
    </w:p>
    <w:p w:rsidR="00180E04" w:rsidRDefault="00180E04" w:rsidP="00B40C5E">
      <w:r>
        <w:rPr>
          <w:noProof/>
          <w:lang w:eastAsia="en-AU"/>
        </w:rPr>
        <w:drawing>
          <wp:inline distT="0" distB="0" distL="0" distR="0" wp14:anchorId="2F0C1A9A" wp14:editId="7E6542DC">
            <wp:extent cx="5157216" cy="3055375"/>
            <wp:effectExtent l="0" t="0" r="5715" b="0"/>
            <wp:docPr id="92" name="Picture 92" descr="Table 23: GS-US-367-1173. Grade 3 or 4 chemistry laboratory abnormalitie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7216" cy="3055375"/>
                    </a:xfrm>
                    <a:prstGeom prst="rect">
                      <a:avLst/>
                    </a:prstGeom>
                    <a:noFill/>
                    <a:ln>
                      <a:noFill/>
                    </a:ln>
                  </pic:spPr>
                </pic:pic>
              </a:graphicData>
            </a:graphic>
          </wp:inline>
        </w:drawing>
      </w:r>
    </w:p>
    <w:p w:rsidR="00B40C5E" w:rsidRPr="00B40C5E" w:rsidRDefault="00B40C5E" w:rsidP="00755126">
      <w:pPr>
        <w:pStyle w:val="Heading6"/>
      </w:pPr>
      <w:r w:rsidRPr="00B40C5E">
        <w:t>Other studies</w:t>
      </w:r>
    </w:p>
    <w:p w:rsidR="00B40C5E" w:rsidRPr="00B40C5E" w:rsidRDefault="00B40C5E" w:rsidP="00B40C5E">
      <w:r w:rsidRPr="00B40C5E">
        <w:t xml:space="preserve">In </w:t>
      </w:r>
      <w:r w:rsidR="00476CD0">
        <w:t>Phase II</w:t>
      </w:r>
      <w:r w:rsidRPr="00B40C5E">
        <w:t xml:space="preserve"> </w:t>
      </w:r>
      <w:r w:rsidR="00476CD0">
        <w:t>Study</w:t>
      </w:r>
      <w:r w:rsidRPr="00B40C5E">
        <w:t xml:space="preserve"> GS-US-337-1468 (Cohorts 4 and 5), the most commonly observed Grade 3 or 4 chemistry abnormalities were increased lipase (7 subjects; 4.3%) and increased glucose (6 subjects; 3.7%). Grade 4 chemistry laboratory abnormalities were observed for increased creatine kinase and increased lipase. In addition, 1 subject experienced a Grade 3 elevation in AST. The majority of the Grade 3 and Grade 4 lipase elevations were intermittent and transient and none were associated with an AE of pancreatitis. All of the Grade 3 glucose elevations were intermittent and all but 1 subject had a medical history of diabetes. No AEs were associated with the elevations in glucose. Two subjects experienced increased creatine kinase levels, both of which were associated with exercise.</w:t>
      </w:r>
    </w:p>
    <w:p w:rsidR="00B40C5E" w:rsidRPr="00B40C5E" w:rsidRDefault="00B40C5E" w:rsidP="00B40C5E">
      <w:bookmarkStart w:id="190" w:name="_Toc272414672"/>
      <w:bookmarkStart w:id="191" w:name="_Toc290888536"/>
      <w:bookmarkStart w:id="192" w:name="_Toc416353752"/>
      <w:bookmarkStart w:id="193" w:name="_Toc421005295"/>
      <w:bookmarkStart w:id="194" w:name="_Toc432079172"/>
      <w:bookmarkStart w:id="195" w:name="_Toc432080745"/>
      <w:r w:rsidRPr="00B40C5E">
        <w:t>In Study GS-US-367-1168, across the SOF/VEL+VOX treatment groups, the most common (</w:t>
      </w:r>
      <w:r w:rsidR="00476CD0">
        <w:t xml:space="preserve">&gt; </w:t>
      </w:r>
      <w:r w:rsidRPr="00B40C5E">
        <w:t xml:space="preserve">1 subject) Grade 3 or 4 chemistry laboratory abnormalities were increased serum glucose (4 subjects, 3 of whom had a history of diabetes), asymptomatic elevated lipase (6 subjects) and elevated total bilirubin (4 subjects, 3 of whom received RBV). The only Grade 3 or 4 laboratory abnormality reported as an AE was </w:t>
      </w:r>
      <w:proofErr w:type="gramStart"/>
      <w:r w:rsidRPr="00B40C5E">
        <w:t>an</w:t>
      </w:r>
      <w:proofErr w:type="gramEnd"/>
      <w:r w:rsidRPr="00B40C5E">
        <w:t xml:space="preserve"> Grade 3 elevated ALT in a subject</w:t>
      </w:r>
      <w:r w:rsidRPr="00B14720">
        <w:rPr>
          <w:vertAlign w:val="superscript"/>
        </w:rPr>
        <w:footnoteReference w:id="48"/>
      </w:r>
      <w:r w:rsidRPr="00B40C5E">
        <w:t xml:space="preserve"> who met the protocol-defined stopping criteria of elevation of ALT and/or AST </w:t>
      </w:r>
      <w:r w:rsidR="00476CD0">
        <w:t xml:space="preserve">&gt; </w:t>
      </w:r>
      <w:r w:rsidRPr="00B40C5E">
        <w:t xml:space="preserve">5 </w:t>
      </w:r>
      <w:r w:rsidR="009140CB">
        <w:t>x</w:t>
      </w:r>
      <w:r w:rsidRPr="00B40C5E">
        <w:t xml:space="preserve"> baseline/Day 1 value.</w:t>
      </w:r>
    </w:p>
    <w:p w:rsidR="00476CD0" w:rsidRDefault="00B40C5E" w:rsidP="00B40C5E">
      <w:r w:rsidRPr="00B40C5E">
        <w:t>In Study GS-US-367-1169, chemistry laboratory abnormalities included 1 subject with Grade 3 increased glucose, 1 subject with Grade 4 increased creatine kinase and 4 subjects with Grade 3 (n</w:t>
      </w:r>
      <w:r w:rsidR="003925CF">
        <w:t xml:space="preserve"> = </w:t>
      </w:r>
      <w:r w:rsidRPr="00B40C5E">
        <w:t>1) or Grade 4 (n</w:t>
      </w:r>
      <w:r w:rsidR="003925CF">
        <w:t xml:space="preserve"> = </w:t>
      </w:r>
      <w:r w:rsidRPr="00B40C5E">
        <w:t>3) increased lipase. All of the Grade 3 and Grade 4 lipase elevations were transient and none were associated with pancreatitis or any other AEs. None of the other Grade 3 or 4 laboratory abnormalities was reported as an AE. No clinically meaningful changes in ALT or elevations in total bilirubin values were observed during treatment with SOF/VEL+VOX</w:t>
      </w:r>
      <w:r w:rsidR="00476CD0">
        <w:t>.</w:t>
      </w:r>
    </w:p>
    <w:p w:rsidR="00476CD0" w:rsidRDefault="00B40C5E" w:rsidP="00B40C5E">
      <w:r w:rsidRPr="00B40C5E">
        <w:t>In Study GS-US-367-1871, chemistry laboratory abnormalities included 1 subject with Grade 3 increased ALT and 1 subject with Grade 3 increased glucose. No Grade 4 chemistry laboratory abnormalities were reported. None of the Grade 3 laboratory abnormalities were reported as AEs</w:t>
      </w:r>
      <w:r w:rsidR="00476CD0">
        <w:t>.</w:t>
      </w:r>
    </w:p>
    <w:p w:rsidR="00B40C5E" w:rsidRPr="00B40C5E" w:rsidRDefault="00B40C5E" w:rsidP="00755126">
      <w:pPr>
        <w:pStyle w:val="Heading5"/>
      </w:pPr>
      <w:bookmarkStart w:id="196" w:name="_Toc496266020"/>
      <w:r w:rsidRPr="00B40C5E">
        <w:lastRenderedPageBreak/>
        <w:t>Haematology</w:t>
      </w:r>
      <w:bookmarkEnd w:id="190"/>
      <w:bookmarkEnd w:id="191"/>
      <w:bookmarkEnd w:id="192"/>
      <w:bookmarkEnd w:id="193"/>
      <w:r w:rsidRPr="00B40C5E">
        <w:t xml:space="preserve"> and haematological toxicity</w:t>
      </w:r>
      <w:bookmarkEnd w:id="194"/>
      <w:bookmarkEnd w:id="195"/>
      <w:bookmarkEnd w:id="196"/>
    </w:p>
    <w:p w:rsidR="00B40C5E" w:rsidRPr="00B40C5E" w:rsidRDefault="00B40C5E" w:rsidP="00755126">
      <w:pPr>
        <w:pStyle w:val="Heading6"/>
      </w:pPr>
      <w:r w:rsidRPr="00B40C5E">
        <w:t>Integrated safety analyses</w:t>
      </w:r>
    </w:p>
    <w:p w:rsidR="00B40C5E" w:rsidRPr="00B40C5E" w:rsidRDefault="00B40C5E" w:rsidP="00B40C5E">
      <w:r w:rsidRPr="00B40C5E">
        <w:t>Across groups, few subjects had Grade 3 or 4 haematology laboratory abnormalities (</w:t>
      </w:r>
      <w:r w:rsidR="00476CD0">
        <w:t xml:space="preserve">&lt; </w:t>
      </w:r>
      <w:r w:rsidRPr="00B40C5E">
        <w:t xml:space="preserve">1% for each </w:t>
      </w:r>
      <w:r w:rsidRPr="00AC0F8C">
        <w:t xml:space="preserve">parameter) (Table </w:t>
      </w:r>
      <w:r w:rsidR="00AC0F8C" w:rsidRPr="00AC0F8C">
        <w:t>24</w:t>
      </w:r>
      <w:r w:rsidRPr="00AC0F8C">
        <w:t>). None</w:t>
      </w:r>
      <w:r w:rsidRPr="00B40C5E">
        <w:t xml:space="preserve"> of the Grade 3 or 4 haematology abnormalities were considered clinically important with regard to study treatment; in all cases, subjects had either 1) graded abnormalities at baseline and at various treatment assessments or 2) isolated Grade 3 or 4 abnormalities, with graded assessments at all other on-treatment time points, or 3) clinical explanation for the abnormality with concurrent AEs (</w:t>
      </w:r>
      <w:r w:rsidR="009140CB">
        <w:t>for example</w:t>
      </w:r>
      <w:r w:rsidRPr="00B40C5E">
        <w:t>, gastrointestinal bleeding or surgery).</w:t>
      </w:r>
    </w:p>
    <w:p w:rsidR="00476CD0" w:rsidRDefault="00B40C5E" w:rsidP="00B40C5E">
      <w:r w:rsidRPr="00B40C5E">
        <w:t xml:space="preserve">No events of pancytopenia were reported in the </w:t>
      </w:r>
      <w:r w:rsidR="00476CD0">
        <w:t>Phase III</w:t>
      </w:r>
      <w:r w:rsidRPr="00B40C5E">
        <w:t xml:space="preserve"> Integrated Safety Population</w:t>
      </w:r>
      <w:r w:rsidR="00476CD0">
        <w:t>.</w:t>
      </w:r>
    </w:p>
    <w:p w:rsidR="00180E04" w:rsidRDefault="00180E04" w:rsidP="00180E04">
      <w:pPr>
        <w:pStyle w:val="Tabletitle0"/>
      </w:pPr>
      <w:bookmarkStart w:id="197" w:name="_Ref485291027"/>
      <w:bookmarkStart w:id="198" w:name="_Toc496266364"/>
      <w:r>
        <w:t xml:space="preserve">Table </w:t>
      </w:r>
      <w:r w:rsidR="00AC0F8C">
        <w:t>24</w:t>
      </w:r>
      <w:r>
        <w:t>: Grade 3 or 4 haematology laboratory abnormalities in the SOF/VEL/VOX integrated Phase III safety population (safety analysis set)</w:t>
      </w:r>
      <w:bookmarkEnd w:id="197"/>
      <w:bookmarkEnd w:id="198"/>
    </w:p>
    <w:p w:rsidR="00180E04" w:rsidRDefault="00180E04" w:rsidP="00B40C5E">
      <w:r>
        <w:rPr>
          <w:noProof/>
          <w:lang w:eastAsia="en-AU"/>
        </w:rPr>
        <w:drawing>
          <wp:inline distT="0" distB="0" distL="0" distR="0" wp14:anchorId="0DC2E59D" wp14:editId="08EF7CE6">
            <wp:extent cx="5400040" cy="4168300"/>
            <wp:effectExtent l="0" t="0" r="0" b="3810"/>
            <wp:docPr id="48" name="Picture 48" descr="Table 24: Grade 3 or 4 haematology laboratory abnormalities in the SOF/VEL/VOX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4168300"/>
                    </a:xfrm>
                    <a:prstGeom prst="rect">
                      <a:avLst/>
                    </a:prstGeom>
                  </pic:spPr>
                </pic:pic>
              </a:graphicData>
            </a:graphic>
          </wp:inline>
        </w:drawing>
      </w:r>
    </w:p>
    <w:p w:rsidR="00755126" w:rsidRDefault="00B40C5E" w:rsidP="00755126">
      <w:pPr>
        <w:pStyle w:val="Heading6"/>
      </w:pPr>
      <w:r w:rsidRPr="00B40C5E">
        <w:t xml:space="preserve">Pivotal studies in </w:t>
      </w:r>
      <w:r w:rsidR="00CE0E69">
        <w:t>DAA experienced</w:t>
      </w:r>
      <w:r w:rsidR="009140CB">
        <w:t xml:space="preserve"> subjects</w:t>
      </w:r>
    </w:p>
    <w:p w:rsidR="00B40C5E" w:rsidRPr="00B40C5E" w:rsidRDefault="00B40C5E" w:rsidP="00B40C5E">
      <w:r w:rsidRPr="00B40C5E">
        <w:t>Study GS-US-367-1171 (POLARIS-1): In the SOF/VEL/VOX 12 Week group, Grade 3 haematology laboratory abnormalities were reported for decreased haemoglobin (0.4%, 1 subject) and decreased platelets (0.8%, 2 subjects). One subject (0.4%) had a Grade 4 haematology laboratory abnormality of decreased neutrophils: In the Placebo 12 Week group, Grade 3 haematology laboratory abnormalities were reported for decreased haemoglobin (0.7%, 1 subject) and decreased lymphocytes (0.7%, 1 subject); a Grade 4 haematology laboratory abnormality was reported for decreased lymphocytes (0.7%, 1 subject. The only Grade 3 coagulation laboratory abnormality was for INR: a Grade 3 INR was reported for 2 subjects (1.3%) in the Placebo 12 Week group and none in the SOF/VEL/VOX 12 Week group.</w:t>
      </w:r>
    </w:p>
    <w:p w:rsidR="00B40C5E" w:rsidRPr="00B40C5E" w:rsidRDefault="00507436" w:rsidP="00B40C5E">
      <w:r>
        <w:t>Study GS-US-367-1170 (POLARIS-</w:t>
      </w:r>
      <w:r w:rsidR="00B40C5E" w:rsidRPr="00B40C5E">
        <w:t xml:space="preserve">4): Ten subjects had Grade 3 haematology laboratory abnormalities: 4 subjects (2.2%) in the SOF/VEL/VOX 12 Week group and 6 subjects </w:t>
      </w:r>
      <w:r w:rsidR="00B40C5E" w:rsidRPr="00B40C5E">
        <w:lastRenderedPageBreak/>
        <w:t>(4.0%) in the SOF/VEL 12 Week group.</w:t>
      </w:r>
      <w:r w:rsidR="00476CD0">
        <w:t xml:space="preserve"> </w:t>
      </w:r>
      <w:r w:rsidR="00B40C5E" w:rsidRPr="00B40C5E">
        <w:t>No AEs were associated with any of these Grade 3 haematology laboratory abnormalities. No meaningful changes in median haemoglobin or median platelets were observed in either treatment group. One Grade 3 coagulation laboratory abnormality was observed in a subject in the SOF/VEL 12 Week group; this increased INR was not confirmed upon retest. No Grade 4 coagulation laboratory abnormality was observed in either treatment group.</w:t>
      </w:r>
    </w:p>
    <w:p w:rsidR="00755126" w:rsidRDefault="00B40C5E" w:rsidP="00755126">
      <w:pPr>
        <w:pStyle w:val="Heading6"/>
      </w:pPr>
      <w:r w:rsidRPr="00B40C5E">
        <w:t>Pivotal</w:t>
      </w:r>
      <w:r w:rsidR="009140CB">
        <w:t xml:space="preserve"> studies in DAA-naïve subjects</w:t>
      </w:r>
    </w:p>
    <w:p w:rsidR="00476CD0" w:rsidRDefault="00B40C5E" w:rsidP="00B40C5E">
      <w:r w:rsidRPr="00B40C5E">
        <w:t>Study GS-US-367-1172 (POLARIS-2): In general, Grade 3 decreases in haemoglobin, lymphocytes and neutrophils were similar in both groups (either isolated events or intermittent and transient and none were assessed as AEs. All of the subjects with Grade 3 decreased platelets had cirrhosis and all had graded decreases in platelets at screening, baseline/Day 1 and during treatment. The only reported Grade 4 haematology laboratory abnormality was decreased lymphocytes (0.2%, 1 subject in the SOF/VEL 12 Week group)</w:t>
      </w:r>
      <w:r w:rsidR="00476CD0">
        <w:t>.</w:t>
      </w:r>
    </w:p>
    <w:p w:rsidR="00B40C5E" w:rsidRPr="00B40C5E" w:rsidRDefault="00B40C5E" w:rsidP="00B40C5E">
      <w:r w:rsidRPr="00B40C5E">
        <w:t>Study GS-US-367-1173 (POLARIS-3): In general, haematology laboratory abnormalities were either isolated events or intermittent and transient and none were reported as AEs. The most commonly reported Grade 3 or 4 AEs were decreased haemoglobin, lymphocytes, platelets or neutrophils with no significant differences between treatment groups. There were no clinically meaningful changes in median haemoglobin or median platelet values during treatment with SOF/VEL/VOX or SOF/VEL.</w:t>
      </w:r>
    </w:p>
    <w:p w:rsidR="00B40C5E" w:rsidRPr="00B40C5E" w:rsidRDefault="00B40C5E" w:rsidP="00755126">
      <w:pPr>
        <w:pStyle w:val="Heading6"/>
      </w:pPr>
      <w:r w:rsidRPr="00B40C5E">
        <w:t>Other studies</w:t>
      </w:r>
    </w:p>
    <w:p w:rsidR="00476CD0" w:rsidRDefault="00B40C5E" w:rsidP="00B40C5E">
      <w:bookmarkStart w:id="199" w:name="_Toc272414674"/>
      <w:bookmarkStart w:id="200" w:name="_Toc290888538"/>
      <w:bookmarkStart w:id="201" w:name="_Toc416353753"/>
      <w:bookmarkStart w:id="202" w:name="_Toc421005296"/>
      <w:bookmarkStart w:id="203" w:name="_Toc432079173"/>
      <w:bookmarkStart w:id="204" w:name="_Toc432080746"/>
      <w:r w:rsidRPr="00B40C5E">
        <w:t xml:space="preserve">There were no clinically relevant changes in haematology parameters in the four </w:t>
      </w:r>
      <w:r w:rsidR="00476CD0">
        <w:t>Phase II</w:t>
      </w:r>
      <w:r w:rsidRPr="00B40C5E">
        <w:t xml:space="preserve"> studies</w:t>
      </w:r>
      <w:r w:rsidR="00476CD0">
        <w:t>.</w:t>
      </w:r>
    </w:p>
    <w:p w:rsidR="00B40C5E" w:rsidRPr="00B40C5E" w:rsidRDefault="00B40C5E" w:rsidP="00755126">
      <w:pPr>
        <w:pStyle w:val="Heading5"/>
      </w:pPr>
      <w:bookmarkStart w:id="205" w:name="_Toc272414675"/>
      <w:bookmarkStart w:id="206" w:name="_Toc290888539"/>
      <w:bookmarkStart w:id="207" w:name="_Toc416353754"/>
      <w:bookmarkStart w:id="208" w:name="_Toc421005297"/>
      <w:bookmarkStart w:id="209" w:name="_Toc432079174"/>
      <w:bookmarkStart w:id="210" w:name="_Toc432080747"/>
      <w:bookmarkStart w:id="211" w:name="_Toc496266021"/>
      <w:bookmarkEnd w:id="199"/>
      <w:bookmarkEnd w:id="200"/>
      <w:bookmarkEnd w:id="201"/>
      <w:bookmarkEnd w:id="202"/>
      <w:bookmarkEnd w:id="203"/>
      <w:bookmarkEnd w:id="204"/>
      <w:r w:rsidRPr="00B40C5E">
        <w:t>Electrocardiograph</w:t>
      </w:r>
      <w:bookmarkEnd w:id="205"/>
      <w:bookmarkEnd w:id="206"/>
      <w:bookmarkEnd w:id="207"/>
      <w:bookmarkEnd w:id="208"/>
      <w:r w:rsidRPr="00B40C5E">
        <w:t xml:space="preserve"> findings and cardiovascular safety</w:t>
      </w:r>
      <w:bookmarkEnd w:id="209"/>
      <w:bookmarkEnd w:id="210"/>
      <w:bookmarkEnd w:id="211"/>
    </w:p>
    <w:p w:rsidR="00B40C5E" w:rsidRPr="00B40C5E" w:rsidRDefault="00B40C5E" w:rsidP="00755126">
      <w:pPr>
        <w:pStyle w:val="Heading6"/>
      </w:pPr>
      <w:r w:rsidRPr="00B40C5E">
        <w:t>Integrated safety analyses</w:t>
      </w:r>
    </w:p>
    <w:p w:rsidR="00476CD0" w:rsidRDefault="00B40C5E" w:rsidP="00B40C5E">
      <w:r w:rsidRPr="00B40C5E">
        <w:t>Cardiac safety assessments included analysis of cardiac failure events, cardiac arrhythmia/ bradycardia events, the effect of beta blockers and calcium-channel blockers on heart rate and any safety events in subjects with amiodarone use during treatment</w:t>
      </w:r>
      <w:r w:rsidR="00476CD0">
        <w:t>.</w:t>
      </w:r>
    </w:p>
    <w:p w:rsidR="00B40C5E" w:rsidRPr="00B40C5E" w:rsidRDefault="00B40C5E" w:rsidP="00B40C5E">
      <w:r w:rsidRPr="00B40C5E">
        <w:t xml:space="preserve">Seven subjects in the Integrated </w:t>
      </w:r>
      <w:r w:rsidR="00476CD0">
        <w:t>Phase III</w:t>
      </w:r>
      <w:r w:rsidRPr="00B40C5E">
        <w:t xml:space="preserve"> Safety Population had cardiac arrhythmias/ bradycardia events: 1 subject in the SOF/VEL/VOX 8 Week group, 2 subjects in the SOF/VEL/VOX 12 Week group, 2 subjects in the SOF/VEL 12 Week group, and 2 subjects in the Placebo 12 Week group</w:t>
      </w:r>
      <w:r w:rsidR="009140CB">
        <w:t xml:space="preserve">. One 85 </w:t>
      </w:r>
      <w:r w:rsidRPr="00B40C5E">
        <w:t xml:space="preserve">year old male with history of hypertension, chronic AF and GI bleed receiving SOF/VEL/VOX for 12 weeks had a Grade 3 </w:t>
      </w:r>
      <w:r w:rsidR="009E6C8F">
        <w:rPr>
          <w:rFonts w:eastAsia="TimesNewRoman" w:cs="TimesNewRoman"/>
        </w:rPr>
        <w:t>serious adverse event</w:t>
      </w:r>
      <w:r w:rsidR="009E6C8F" w:rsidRPr="00B40C5E">
        <w:t xml:space="preserve"> </w:t>
      </w:r>
      <w:r w:rsidR="009E6C8F">
        <w:t>(</w:t>
      </w:r>
      <w:r w:rsidRPr="00B40C5E">
        <w:t>SAE</w:t>
      </w:r>
      <w:r w:rsidR="009E6C8F">
        <w:t>)</w:t>
      </w:r>
      <w:r w:rsidRPr="00B40C5E">
        <w:t xml:space="preserve"> of congestive heart failure on baseline/Day 1 prior to starting treatment with SOF/VEL/VOX. The AE was resolved and led to interruption of study drug for only 2 days; it was considered unrelated to study drug.</w:t>
      </w:r>
    </w:p>
    <w:p w:rsidR="00B40C5E" w:rsidRPr="00B40C5E" w:rsidRDefault="00B40C5E" w:rsidP="00B40C5E">
      <w:r w:rsidRPr="00B40C5E">
        <w:t xml:space="preserve">For subjects who received a beta blocker, a calcium-channel blocker with chronotropic effects (diltiazem or verapamil), or neither at any time during the first 2 weeks of study treatment, an analysis was performed to identify subjects with (1) any AE in the SOC of cardiac disorders and/or (2) the preferred terms of syncope and dizziness during that time. There were no subjects in the SOF/VEL/VOX 8 and 12 Week groups who received calcium channel blockers during the first 2 weeks of treatment and the data are presented only for the subjects who were or were not on beta blockers. Two subjects in the SOF/VEL 12 Week group and 1 subject in the Placebo 12 Week group received a calcium channel blocker during the first 2 weeks of study </w:t>
      </w:r>
      <w:proofErr w:type="gramStart"/>
      <w:r w:rsidRPr="00B40C5E">
        <w:t>treatment,</w:t>
      </w:r>
      <w:proofErr w:type="gramEnd"/>
      <w:r w:rsidRPr="00B40C5E">
        <w:t xml:space="preserve"> however no AEs of interest were reported during that time.</w:t>
      </w:r>
    </w:p>
    <w:p w:rsidR="00476CD0" w:rsidRDefault="00B40C5E" w:rsidP="00B40C5E">
      <w:r w:rsidRPr="00B40C5E">
        <w:t>The number and percentage of subjects with AEs of interest during the first 2 weeks of treatment who were or were not using beta blockers during that time showed similar AE profile</w:t>
      </w:r>
      <w:r w:rsidR="00476CD0">
        <w:t xml:space="preserve"> </w:t>
      </w:r>
      <w:r w:rsidR="00D27C5D">
        <w:t>regardless of beta blocker use.</w:t>
      </w:r>
    </w:p>
    <w:p w:rsidR="00B40C5E" w:rsidRPr="00B40C5E" w:rsidRDefault="00B40C5E" w:rsidP="00B40C5E">
      <w:r w:rsidRPr="00B40C5E">
        <w:lastRenderedPageBreak/>
        <w:t>Of the 65 subjects in the SOF/VEL/VOX 8 Week group who used a beta blocker during the first 2 weeks of treatment, 5 subjects (7.7%) reported AEs of interest: 2 subjects experienced palpitations, 2 subjects experienced dizziness and 1 subject experienced acute myocardial infarction. All AEs were Grade 1 or Grade 2 in severity and only the event of acute myocardial infarction was considered serious. All events of palpitations and dizziness were considered related to study drug. None of these AEs resulted in an interruption or modification of dosing and all subjects completed study treatment. Of the 546 subjects in the SOF/VEL/VOX 8 Week group who did not take beta blockers during the first 2 weeks of treatment, 16 subjects (2.9%) experienced at least 1 of the defined AEs of interest, including dizziness (12 subjects, 2.2%), palpitations (3 subjects, 0.5%) and tachycardia (1 subject, 0.2%) during that time. Most of these (94%, 15 subjects) were Grade 1 events and none were considered serious.</w:t>
      </w:r>
    </w:p>
    <w:p w:rsidR="00B40C5E" w:rsidRPr="00B40C5E" w:rsidRDefault="00B40C5E" w:rsidP="00B40C5E">
      <w:r w:rsidRPr="00B40C5E">
        <w:t>Of the 56 subjects in the SOF/VEL/VOX 12 Week group who used a beta blocker during the first 2 weeks of treatment, 3 subjects (5.4%) had AEs of interest during that time: 2 subjects experienced dizziness and 1 subject experienced congestive cardiac failure, all of whom completed study treatment. The 2 AEs of dizziness were Grade 1 in severity, considered unrelated to study drug and did not result in an interruption or modification of dosing. The AE of congestive cardiac failure was Grade 3 in severity, and considered serious and unrelated to study drug. Of the 389 subjects in the SOF/VEL/VOX 12 Week group who did not take beta blockers during the first 2 weeks of treatment, 11 subjects (2.8%) experienced at least 1 of the defined AEs of interest, including dizziness (9 subjects, 2.3%), palpitations (1 subject, 0.3%) and ECG QT prolongation (1 subject 0.3%) during that time. Most of these (73%, 8 subjects) were Grade 1 events and none were considered serious.</w:t>
      </w:r>
    </w:p>
    <w:p w:rsidR="00B40C5E" w:rsidRPr="00B40C5E" w:rsidRDefault="00B40C5E" w:rsidP="00B40C5E">
      <w:r w:rsidRPr="00B40C5E">
        <w:t>Of the 64 subjects in the SOF/VEL 12 Week group who used a beta blocker during the first 2 weeks of treatment, none experienced an AE of interest during that time. Of the 634 subjects in the SOF/VEL 12 Week group who did not take beta blockers during the first 2 weeks of treatment, 13 subjects (2.1%) experienced at least 1 of the defined AEs of interest, including dizziness (11 subjects, 1.7%), palpitations (1 subject, 0.2%) and cardiac discomfort (1 subject, 0.2%) during that time.</w:t>
      </w:r>
      <w:r w:rsidR="00476CD0">
        <w:t xml:space="preserve"> </w:t>
      </w:r>
      <w:r w:rsidRPr="00B40C5E">
        <w:t>All of these (100%, 13 subjects) were Grade 1 events and none were considered serious.</w:t>
      </w:r>
    </w:p>
    <w:p w:rsidR="00476CD0" w:rsidRDefault="00B40C5E" w:rsidP="00B40C5E">
      <w:r w:rsidRPr="00B40C5E">
        <w:t xml:space="preserve">Of the 26 subjects in the Placebo 12 Week group who used a beta blocker during the first 2 weeks of treatment, 1 subject (3.8%) with a family history of sudden cardiac </w:t>
      </w:r>
      <w:proofErr w:type="gramStart"/>
      <w:r w:rsidRPr="00B40C5E">
        <w:t>death,</w:t>
      </w:r>
      <w:proofErr w:type="gramEnd"/>
      <w:r w:rsidRPr="00B40C5E">
        <w:t xml:space="preserve"> had 2 AEs of interest during that time of ventricular fibrillation and atrial fibrillation. Of the 126 subjects in the Placebo 12 Week group who did not take beta blockers during the first 2 weeks of treatment, 8 subjects (6.3%) experienced at least 1 of the defined AEs of interest, including dizziness (8 subjects, 6.3%) during that time. Most of these (75%, 6 subjects) were Grade 1 events and none were consid</w:t>
      </w:r>
      <w:r w:rsidR="005F50AC">
        <w:t>ered serious.</w:t>
      </w:r>
    </w:p>
    <w:p w:rsidR="00476CD0" w:rsidRDefault="00B40C5E" w:rsidP="00B40C5E">
      <w:r w:rsidRPr="00B40C5E">
        <w:t>Analysis of heart rate at baseline and during study treatment was performed for subjects who were taking a stable regimen of beta blocker or calcium-channel blocker (diltiazem or verapamil) and for subjects who were not taking a stable regimen</w:t>
      </w:r>
      <w:r w:rsidRPr="009140CB">
        <w:rPr>
          <w:vertAlign w:val="superscript"/>
        </w:rPr>
        <w:footnoteReference w:id="49"/>
      </w:r>
      <w:r w:rsidRPr="009140CB">
        <w:rPr>
          <w:vertAlign w:val="superscript"/>
        </w:rPr>
        <w:t xml:space="preserve"> </w:t>
      </w:r>
      <w:r w:rsidRPr="00B40C5E">
        <w:t xml:space="preserve">of beta blocker or calcium-channel blocker during treatment. There were no subjects in any treatment group in the Integrated </w:t>
      </w:r>
      <w:r w:rsidR="00476CD0">
        <w:t>Phase III</w:t>
      </w:r>
      <w:r w:rsidRPr="00B40C5E">
        <w:t xml:space="preserve"> Safety Population taking stable calcium channel blockers and the data are presented for the subjects who were or were not taking beta blockers. The heart rate analyses did not reveal any trend of decreased heart rate for subjects using beta blockers during treatment with SOF/VEL/VOX, SOF/VEL, or placebo. The observed pulse decreases across the 4 groups were similar whether compared by median, 90th percentile or maximal on-treatment decrease, and none were clinically relevant; there was no </w:t>
      </w:r>
      <w:r w:rsidRPr="00B40C5E">
        <w:lastRenderedPageBreak/>
        <w:t>difference in maximum on-treatment pulse rate in subjects who were or were not on stable beta-blocker use</w:t>
      </w:r>
      <w:r w:rsidR="00476CD0">
        <w:t>.</w:t>
      </w:r>
    </w:p>
    <w:p w:rsidR="00476CD0" w:rsidRDefault="00B40C5E" w:rsidP="00B40C5E">
      <w:proofErr w:type="gramStart"/>
      <w:r w:rsidRPr="00B40C5E">
        <w:t>As symptomatic bradycardia has been reported in patients taking amiodarone with SOF in combination with another DAA, an analysis of AEs for subjects who received amiodarone while on study treatment was conducted.</w:t>
      </w:r>
      <w:proofErr w:type="gramEnd"/>
      <w:r w:rsidRPr="00B40C5E">
        <w:t xml:space="preserve"> Only 1 subject</w:t>
      </w:r>
      <w:r w:rsidRPr="009140CB">
        <w:rPr>
          <w:vertAlign w:val="superscript"/>
        </w:rPr>
        <w:footnoteReference w:id="50"/>
      </w:r>
      <w:r w:rsidRPr="00B40C5E">
        <w:t xml:space="preserve"> in the Placebo 12 Week group received amiodarone during treatment</w:t>
      </w:r>
      <w:r w:rsidR="00476CD0">
        <w:t>.</w:t>
      </w:r>
    </w:p>
    <w:p w:rsidR="00B40C5E" w:rsidRPr="00B40C5E" w:rsidRDefault="00B40C5E" w:rsidP="00755126">
      <w:pPr>
        <w:pStyle w:val="Heading6"/>
      </w:pPr>
      <w:r w:rsidRPr="00B40C5E">
        <w:t>Pivotal and/or main efficacy studies</w:t>
      </w:r>
    </w:p>
    <w:p w:rsidR="00476CD0" w:rsidRDefault="00B40C5E" w:rsidP="00B40C5E">
      <w:r w:rsidRPr="00B40C5E">
        <w:t xml:space="preserve">There were no clinically relevant changes in the ECG in the individual pivotal </w:t>
      </w:r>
      <w:r w:rsidR="00476CD0">
        <w:t>Phase III</w:t>
      </w:r>
      <w:r w:rsidRPr="00B40C5E">
        <w:t xml:space="preserve"> studies with exception of one subject in the SOF/VEL 12 Week group in Study GS-US-367-1172 (POLARIS-2) who had an ECG with atrial flutter</w:t>
      </w:r>
      <w:r w:rsidRPr="00A95AB7">
        <w:rPr>
          <w:vertAlign w:val="superscript"/>
        </w:rPr>
        <w:footnoteReference w:id="51"/>
      </w:r>
      <w:r w:rsidRPr="00B40C5E">
        <w:t xml:space="preserve"> considered clinically significant at the Week 12 visit</w:t>
      </w:r>
      <w:r w:rsidR="009140CB">
        <w:t>. The subject was asymptomatic.</w:t>
      </w:r>
    </w:p>
    <w:p w:rsidR="00B40C5E" w:rsidRPr="00B40C5E" w:rsidRDefault="00B40C5E" w:rsidP="00755126">
      <w:pPr>
        <w:pStyle w:val="Heading6"/>
      </w:pPr>
      <w:r w:rsidRPr="00B40C5E">
        <w:t>Other studies</w:t>
      </w:r>
    </w:p>
    <w:p w:rsidR="00476CD0" w:rsidRDefault="00B40C5E" w:rsidP="00B40C5E">
      <w:r w:rsidRPr="00B40C5E">
        <w:t xml:space="preserve">No clinically significant changes in ECG were reported in the four </w:t>
      </w:r>
      <w:r w:rsidR="00476CD0">
        <w:t>Phase II</w:t>
      </w:r>
      <w:r w:rsidRPr="00B40C5E">
        <w:t xml:space="preserve"> studies</w:t>
      </w:r>
      <w:r w:rsidR="00476CD0">
        <w:t>.</w:t>
      </w:r>
    </w:p>
    <w:p w:rsidR="00B40C5E" w:rsidRPr="00B40C5E" w:rsidRDefault="00B40C5E" w:rsidP="00755126">
      <w:pPr>
        <w:pStyle w:val="Heading5"/>
      </w:pPr>
      <w:bookmarkStart w:id="212" w:name="_Toc272414676"/>
      <w:bookmarkStart w:id="213" w:name="_Toc290888540"/>
      <w:bookmarkStart w:id="214" w:name="_Toc416353755"/>
      <w:bookmarkStart w:id="215" w:name="_Toc421005298"/>
      <w:bookmarkStart w:id="216" w:name="_Toc432079175"/>
      <w:bookmarkStart w:id="217" w:name="_Toc432080748"/>
      <w:bookmarkStart w:id="218" w:name="_Ref485291063"/>
      <w:bookmarkStart w:id="219" w:name="_Ref485291182"/>
      <w:bookmarkStart w:id="220" w:name="_Toc496266022"/>
      <w:r w:rsidRPr="00B40C5E">
        <w:t>Vital signs</w:t>
      </w:r>
      <w:bookmarkEnd w:id="212"/>
      <w:bookmarkEnd w:id="213"/>
      <w:bookmarkEnd w:id="214"/>
      <w:bookmarkEnd w:id="215"/>
      <w:r w:rsidRPr="00B40C5E">
        <w:t xml:space="preserve"> and clinical examination findings</w:t>
      </w:r>
      <w:bookmarkEnd w:id="216"/>
      <w:bookmarkEnd w:id="217"/>
      <w:bookmarkEnd w:id="218"/>
      <w:bookmarkEnd w:id="219"/>
      <w:bookmarkEnd w:id="220"/>
    </w:p>
    <w:p w:rsidR="00476CD0" w:rsidRDefault="00B40C5E" w:rsidP="00B40C5E">
      <w:r w:rsidRPr="00B40C5E">
        <w:t xml:space="preserve">No clinically relevant changes from baseline in mean SBP. DBP, pulse or BMI were observed in the </w:t>
      </w:r>
      <w:r w:rsidR="00476CD0">
        <w:t>Phase III</w:t>
      </w:r>
      <w:r w:rsidRPr="00B40C5E">
        <w:t xml:space="preserve"> Integrated safety population</w:t>
      </w:r>
      <w:r w:rsidR="009140CB">
        <w:t xml:space="preserve">, </w:t>
      </w:r>
      <w:r w:rsidR="009140CB" w:rsidRPr="00B40C5E">
        <w:t xml:space="preserve">during the four </w:t>
      </w:r>
      <w:r w:rsidR="009140CB">
        <w:t>Phase III</w:t>
      </w:r>
      <w:r w:rsidR="009140CB" w:rsidRPr="00B40C5E">
        <w:t xml:space="preserve"> studies</w:t>
      </w:r>
      <w:r w:rsidR="009140CB">
        <w:t xml:space="preserve"> or </w:t>
      </w:r>
      <w:r w:rsidR="009140CB" w:rsidRPr="00B40C5E">
        <w:t xml:space="preserve">during the four </w:t>
      </w:r>
      <w:r w:rsidR="009140CB">
        <w:t>Phase II</w:t>
      </w:r>
      <w:r w:rsidR="009140CB" w:rsidRPr="00B40C5E">
        <w:t xml:space="preserve"> studies</w:t>
      </w:r>
      <w:r w:rsidR="009140CB">
        <w:t>.</w:t>
      </w:r>
    </w:p>
    <w:p w:rsidR="00B40C5E" w:rsidRPr="00B40C5E" w:rsidRDefault="00B40C5E" w:rsidP="00755126">
      <w:pPr>
        <w:pStyle w:val="Heading5"/>
      </w:pPr>
      <w:bookmarkStart w:id="221" w:name="_Toc432079176"/>
      <w:bookmarkStart w:id="222" w:name="_Toc432080749"/>
      <w:bookmarkStart w:id="223" w:name="_Toc496266023"/>
      <w:r w:rsidRPr="00B40C5E">
        <w:t>Immunogenicity and immunological events</w:t>
      </w:r>
      <w:bookmarkEnd w:id="221"/>
      <w:bookmarkEnd w:id="222"/>
      <w:bookmarkEnd w:id="223"/>
    </w:p>
    <w:p w:rsidR="00B40C5E" w:rsidRPr="00B40C5E" w:rsidRDefault="00B40C5E" w:rsidP="00755126">
      <w:pPr>
        <w:pStyle w:val="Heading6"/>
      </w:pPr>
      <w:r w:rsidRPr="00B40C5E">
        <w:t>Integrated safety analyses</w:t>
      </w:r>
      <w:r w:rsidR="009140CB">
        <w:t xml:space="preserve">, </w:t>
      </w:r>
      <w:r w:rsidR="009140CB" w:rsidRPr="00B40C5E">
        <w:t>Pivotal and/or main efficacy studies</w:t>
      </w:r>
      <w:r w:rsidR="009140CB">
        <w:t xml:space="preserve">, and </w:t>
      </w:r>
      <w:proofErr w:type="gramStart"/>
      <w:r w:rsidR="009140CB" w:rsidRPr="00B40C5E">
        <w:t>Other</w:t>
      </w:r>
      <w:proofErr w:type="gramEnd"/>
      <w:r w:rsidR="009140CB" w:rsidRPr="00B40C5E">
        <w:t xml:space="preserve"> studies</w:t>
      </w:r>
    </w:p>
    <w:p w:rsidR="00476CD0" w:rsidRDefault="00B40C5E" w:rsidP="00B40C5E">
      <w:proofErr w:type="gramStart"/>
      <w:r w:rsidRPr="00B40C5E">
        <w:t>None</w:t>
      </w:r>
      <w:r w:rsidR="00476CD0">
        <w:t>.</w:t>
      </w:r>
      <w:proofErr w:type="gramEnd"/>
    </w:p>
    <w:p w:rsidR="00B40C5E" w:rsidRPr="00B40C5E" w:rsidRDefault="00B40C5E" w:rsidP="00755126">
      <w:pPr>
        <w:pStyle w:val="Heading5"/>
      </w:pPr>
      <w:bookmarkStart w:id="224" w:name="_Toc432079177"/>
      <w:bookmarkStart w:id="225" w:name="_Toc432080750"/>
      <w:bookmarkStart w:id="226" w:name="_Toc496266024"/>
      <w:r w:rsidRPr="00B40C5E">
        <w:t>Serious skin reactions</w:t>
      </w:r>
      <w:bookmarkEnd w:id="224"/>
      <w:bookmarkEnd w:id="225"/>
      <w:bookmarkEnd w:id="226"/>
    </w:p>
    <w:p w:rsidR="00B40C5E" w:rsidRPr="00B40C5E" w:rsidRDefault="00B40C5E" w:rsidP="00755126">
      <w:pPr>
        <w:pStyle w:val="Heading6"/>
      </w:pPr>
      <w:r w:rsidRPr="00B40C5E">
        <w:t>Integrated safety analyses</w:t>
      </w:r>
    </w:p>
    <w:p w:rsidR="00476CD0" w:rsidRDefault="00B40C5E" w:rsidP="00B40C5E">
      <w:r w:rsidRPr="00B40C5E">
        <w:t xml:space="preserve">No dermatologic events were reported for any subjects in the Integrated </w:t>
      </w:r>
      <w:r w:rsidR="00476CD0">
        <w:t>Phase III</w:t>
      </w:r>
      <w:r w:rsidRPr="00B40C5E">
        <w:t xml:space="preserve"> Safety Population receiving SOF/VEL/VOX for 8 weeks, SOF/VEL for 12 weeks, or placebo. One subject in the SOF/VEL/VOX 12 Week group developed angioedema attributed by the investigator to </w:t>
      </w:r>
      <w:proofErr w:type="spellStart"/>
      <w:r w:rsidRPr="00B40C5E">
        <w:t>ramipril</w:t>
      </w:r>
      <w:proofErr w:type="spellEnd"/>
      <w:r w:rsidRPr="00B40C5E">
        <w:t xml:space="preserve"> initiated the day prior to the onset of the AE (one day prior to treatment discontinuation). This event led to premature discontinuation of study drug and was resolved on post treatment Day 4. The AE was considered unrelated to study drug by the investigator</w:t>
      </w:r>
      <w:r w:rsidR="00476CD0">
        <w:t>.</w:t>
      </w:r>
    </w:p>
    <w:p w:rsidR="00B40C5E" w:rsidRPr="00B40C5E" w:rsidRDefault="00B40C5E" w:rsidP="00755126">
      <w:pPr>
        <w:pStyle w:val="Heading6"/>
      </w:pPr>
      <w:r w:rsidRPr="00B40C5E">
        <w:t>Pivotal and/or main efficacy studies</w:t>
      </w:r>
    </w:p>
    <w:p w:rsidR="00476CD0" w:rsidRDefault="00B40C5E" w:rsidP="00B40C5E">
      <w:r w:rsidRPr="00B40C5E">
        <w:t xml:space="preserve">There </w:t>
      </w:r>
      <w:proofErr w:type="gramStart"/>
      <w:r w:rsidRPr="00B40C5E">
        <w:t>was no serious skin reactions</w:t>
      </w:r>
      <w:proofErr w:type="gramEnd"/>
      <w:r w:rsidRPr="00B40C5E">
        <w:t xml:space="preserve"> except one case of angioedema</w:t>
      </w:r>
      <w:r w:rsidR="00476CD0">
        <w:t>.</w:t>
      </w:r>
    </w:p>
    <w:p w:rsidR="00B40C5E" w:rsidRPr="00B40C5E" w:rsidRDefault="00B40C5E" w:rsidP="00755126">
      <w:pPr>
        <w:pStyle w:val="Heading6"/>
      </w:pPr>
      <w:r w:rsidRPr="00B40C5E">
        <w:t>Other studies</w:t>
      </w:r>
    </w:p>
    <w:p w:rsidR="00476CD0" w:rsidRDefault="00B40C5E" w:rsidP="00B40C5E">
      <w:bookmarkStart w:id="227" w:name="_Toc272414678"/>
      <w:bookmarkStart w:id="228" w:name="_Toc290888542"/>
      <w:bookmarkStart w:id="229" w:name="_Toc416353757"/>
      <w:bookmarkStart w:id="230" w:name="_Toc421005300"/>
      <w:bookmarkStart w:id="231" w:name="_Toc432079178"/>
      <w:bookmarkStart w:id="232" w:name="_Toc432080751"/>
      <w:r w:rsidRPr="00B40C5E">
        <w:t xml:space="preserve">No serious skin reactions were reported in the </w:t>
      </w:r>
      <w:r w:rsidR="00476CD0">
        <w:t>Phase II</w:t>
      </w:r>
      <w:r w:rsidRPr="00B40C5E">
        <w:t xml:space="preserve"> studies</w:t>
      </w:r>
      <w:r w:rsidR="00476CD0">
        <w:t>.</w:t>
      </w:r>
    </w:p>
    <w:p w:rsidR="00B40C5E" w:rsidRPr="00B40C5E" w:rsidRDefault="00B40C5E" w:rsidP="00755126">
      <w:pPr>
        <w:pStyle w:val="Heading5"/>
      </w:pPr>
      <w:bookmarkStart w:id="233" w:name="_Toc496266025"/>
      <w:r w:rsidRPr="00B40C5E">
        <w:t>Other safety parameter</w:t>
      </w:r>
      <w:bookmarkEnd w:id="227"/>
      <w:bookmarkEnd w:id="228"/>
      <w:bookmarkEnd w:id="229"/>
      <w:bookmarkEnd w:id="230"/>
      <w:bookmarkEnd w:id="231"/>
      <w:bookmarkEnd w:id="232"/>
      <w:r w:rsidRPr="00B40C5E">
        <w:t>s</w:t>
      </w:r>
      <w:bookmarkEnd w:id="233"/>
    </w:p>
    <w:p w:rsidR="00476CD0" w:rsidRDefault="009140CB" w:rsidP="00B40C5E">
      <w:r>
        <w:t>Besides the cardiac events</w:t>
      </w:r>
      <w:r w:rsidR="00B40C5E" w:rsidRPr="00B40C5E">
        <w:t xml:space="preserve">, other adverse events of special interest (AESI) included Dermatologic events, pancytopenia (including aplastic anaemia) events, psychiatric events </w:t>
      </w:r>
      <w:r w:rsidR="00B40C5E" w:rsidRPr="00B40C5E">
        <w:lastRenderedPageBreak/>
        <w:t>relevant to suicide ideation or attempt, pancreatitis events, rhabdomyolysis/myopathy events and renal failure</w:t>
      </w:r>
      <w:r w:rsidR="00476CD0">
        <w:t>.</w:t>
      </w:r>
    </w:p>
    <w:p w:rsidR="00B40C5E" w:rsidRPr="00B40C5E" w:rsidRDefault="00B40C5E" w:rsidP="00B40C5E">
      <w:r w:rsidRPr="00B40C5E">
        <w:t xml:space="preserve">No events of pancreatitis, rhabdomyolysis or myopathy were reported for any subjects in the </w:t>
      </w:r>
      <w:r w:rsidR="00476CD0">
        <w:t>Phase III</w:t>
      </w:r>
      <w:r w:rsidRPr="00B40C5E">
        <w:t xml:space="preserve"> Integrated Safety Population. No psychiatric events relevant to suicidal ideation/ attempt were reported for any subjects in the SOF/VEL/VOX 8 Week or 12 Week groups, or the Placebo 12 Week group. One subject receiving SOF/VEL for 12 weeks reported a psychiatric event</w:t>
      </w:r>
      <w:r w:rsidR="009140CB">
        <w:t>.</w:t>
      </w:r>
      <w:r w:rsidRPr="009140CB">
        <w:rPr>
          <w:vertAlign w:val="superscript"/>
        </w:rPr>
        <w:footnoteReference w:id="52"/>
      </w:r>
    </w:p>
    <w:p w:rsidR="00B40C5E" w:rsidRPr="00B40C5E" w:rsidRDefault="00B40C5E" w:rsidP="00755126">
      <w:pPr>
        <w:pStyle w:val="Heading4"/>
      </w:pPr>
      <w:bookmarkStart w:id="234" w:name="_Toc272414686"/>
      <w:bookmarkStart w:id="235" w:name="_Ref273005527"/>
      <w:bookmarkStart w:id="236" w:name="_Toc290888550"/>
      <w:bookmarkStart w:id="237" w:name="_Toc416353765"/>
      <w:bookmarkStart w:id="238" w:name="_Toc421005308"/>
      <w:bookmarkStart w:id="239" w:name="_Toc432079179"/>
      <w:bookmarkStart w:id="240" w:name="_Toc432080752"/>
      <w:bookmarkStart w:id="241" w:name="_Toc496266026"/>
      <w:r w:rsidRPr="00B40C5E">
        <w:t>Other safety issues</w:t>
      </w:r>
      <w:bookmarkEnd w:id="234"/>
      <w:bookmarkEnd w:id="235"/>
      <w:bookmarkEnd w:id="236"/>
      <w:bookmarkEnd w:id="237"/>
      <w:bookmarkEnd w:id="238"/>
      <w:bookmarkEnd w:id="239"/>
      <w:bookmarkEnd w:id="240"/>
      <w:bookmarkEnd w:id="241"/>
    </w:p>
    <w:p w:rsidR="00B40C5E" w:rsidRPr="00B40C5E" w:rsidRDefault="00B40C5E" w:rsidP="00755126">
      <w:pPr>
        <w:pStyle w:val="Heading5"/>
      </w:pPr>
      <w:bookmarkStart w:id="242" w:name="_Toc241374322"/>
      <w:bookmarkStart w:id="243" w:name="_Ref272331212"/>
      <w:bookmarkStart w:id="244" w:name="_Toc272414687"/>
      <w:bookmarkStart w:id="245" w:name="_Toc290888551"/>
      <w:bookmarkStart w:id="246" w:name="_Toc416353766"/>
      <w:bookmarkStart w:id="247" w:name="_Toc421005309"/>
      <w:bookmarkStart w:id="248" w:name="_Toc432079180"/>
      <w:bookmarkStart w:id="249" w:name="_Toc432080753"/>
      <w:bookmarkStart w:id="250" w:name="_Toc496266027"/>
      <w:r w:rsidRPr="00B40C5E">
        <w:t>Safety in special populations</w:t>
      </w:r>
      <w:bookmarkEnd w:id="242"/>
      <w:bookmarkEnd w:id="243"/>
      <w:bookmarkEnd w:id="244"/>
      <w:bookmarkEnd w:id="245"/>
      <w:bookmarkEnd w:id="246"/>
      <w:bookmarkEnd w:id="247"/>
      <w:bookmarkEnd w:id="248"/>
      <w:bookmarkEnd w:id="249"/>
      <w:bookmarkEnd w:id="250"/>
    </w:p>
    <w:p w:rsidR="00B40C5E" w:rsidRPr="00B40C5E" w:rsidRDefault="00B40C5E" w:rsidP="00B40C5E">
      <w:bookmarkStart w:id="251" w:name="_Toc241374324"/>
      <w:bookmarkStart w:id="252" w:name="_Ref272331214"/>
      <w:bookmarkStart w:id="253" w:name="_Toc272414688"/>
      <w:bookmarkStart w:id="254" w:name="_Toc290888552"/>
      <w:bookmarkStart w:id="255" w:name="_Toc416353767"/>
      <w:bookmarkStart w:id="256" w:name="_Toc421005310"/>
      <w:bookmarkStart w:id="257" w:name="_Toc432079181"/>
      <w:bookmarkStart w:id="258" w:name="_Toc432080754"/>
      <w:proofErr w:type="gramStart"/>
      <w:r w:rsidRPr="00B40C5E">
        <w:t xml:space="preserve">Adverse Events and Clinical Laboratory Evaluations by Demographics and Baseline Characteristics for the Integrated </w:t>
      </w:r>
      <w:r w:rsidR="00476CD0">
        <w:t>Phase III</w:t>
      </w:r>
      <w:r w:rsidR="009140CB">
        <w:t xml:space="preserve"> Safety Population.</w:t>
      </w:r>
      <w:proofErr w:type="gramEnd"/>
    </w:p>
    <w:p w:rsidR="00755126" w:rsidRDefault="00755126" w:rsidP="00755126">
      <w:pPr>
        <w:pStyle w:val="Heading6"/>
      </w:pPr>
      <w:r>
        <w:t>Gender</w:t>
      </w:r>
    </w:p>
    <w:p w:rsidR="00476CD0" w:rsidRDefault="00B40C5E" w:rsidP="00B40C5E">
      <w:r w:rsidRPr="00B40C5E">
        <w:t>The incidence of overall AEs was greater (</w:t>
      </w:r>
      <w:r w:rsidR="00AA5E62">
        <w:t xml:space="preserve">≥ </w:t>
      </w:r>
      <w:r w:rsidRPr="00B40C5E">
        <w:t xml:space="preserve">10%) for female subjects compared with male subjects in the SOF/VEL/VOX 8 Week group (79.4% </w:t>
      </w:r>
      <w:r w:rsidR="00AA5E62">
        <w:t>versus</w:t>
      </w:r>
      <w:r w:rsidRPr="00B40C5E">
        <w:t xml:space="preserve"> 66.9%) and the</w:t>
      </w:r>
      <w:r w:rsidR="00476CD0">
        <w:t xml:space="preserve"> </w:t>
      </w:r>
      <w:r w:rsidRPr="00B40C5E">
        <w:t>SOF/VEL/VOX 12 Week group (87.3%</w:t>
      </w:r>
      <w:r w:rsidR="00476CD0">
        <w:t xml:space="preserve"> </w:t>
      </w:r>
      <w:r w:rsidR="00AA5E62">
        <w:t>versus</w:t>
      </w:r>
      <w:r w:rsidRPr="00B40C5E">
        <w:t xml:space="preserve"> 74.9%) mainly due to a higher incidence of nausea and headache in females. In the Placebo 12 Week group, the incidence of overall AEs was slightly higher for female subjects compared with male subjects (74.2%</w:t>
      </w:r>
      <w:r w:rsidR="00476CD0">
        <w:t xml:space="preserve"> </w:t>
      </w:r>
      <w:r w:rsidR="00AA5E62">
        <w:t>versus</w:t>
      </w:r>
      <w:r w:rsidRPr="00B40C5E">
        <w:t xml:space="preserve"> 69.4%) primarily due to higher incidence of nausea and diarrhoea in females. In the SOF/VEL 12 Week group, the incidence of overall AEs was</w:t>
      </w:r>
      <w:r w:rsidR="00476CD0">
        <w:t xml:space="preserve"> </w:t>
      </w:r>
      <w:r w:rsidRPr="00B40C5E">
        <w:t xml:space="preserve">similar for female subjects compared with male subjects (72.6% </w:t>
      </w:r>
      <w:r w:rsidR="00AA5E62">
        <w:t>versus</w:t>
      </w:r>
      <w:r w:rsidRPr="00B40C5E">
        <w:t xml:space="preserve"> 69.6%).</w:t>
      </w:r>
      <w:r w:rsidR="00476CD0">
        <w:t xml:space="preserve"> </w:t>
      </w:r>
      <w:r w:rsidRPr="00B40C5E">
        <w:t>The incidence of Grade 3 or 4 AEs and SAEs was similar for both females and males receiving SOF/VEL/VOX for 8 weeks (2.8% and 3.5%, respectively, for females and 1.8% and 2.1%, respectively, for males) or SOF/VEL/VOX for 12 weeks (3.9% and 2.9%, respectively, for females and 0.9% and 1.7%, respectively, for males). Similar percentages of females and males in the SOF/VEL/VOX 8 and 12 Week groups had Grade 3 or above laboratory abnormalities (4.6% and 7.6%, respectively, in</w:t>
      </w:r>
      <w:r w:rsidR="00476CD0">
        <w:t xml:space="preserve"> </w:t>
      </w:r>
      <w:r w:rsidRPr="00B40C5E">
        <w:t>the 8 Week group; and 5.0% and 7.0%, respectively, in the 12 Week group), and the most</w:t>
      </w:r>
      <w:r w:rsidR="00476CD0">
        <w:t xml:space="preserve"> </w:t>
      </w:r>
      <w:r w:rsidRPr="00B40C5E">
        <w:t>frequent Grade 3 or 4 laboratory abnormalities for both sexes were elevated glucose and elevated lipase</w:t>
      </w:r>
      <w:r w:rsidR="00476CD0">
        <w:t>.</w:t>
      </w:r>
    </w:p>
    <w:p w:rsidR="00755126" w:rsidRDefault="009140CB" w:rsidP="00755126">
      <w:pPr>
        <w:pStyle w:val="Heading6"/>
      </w:pPr>
      <w:r>
        <w:t>Race</w:t>
      </w:r>
    </w:p>
    <w:p w:rsidR="00B40C5E" w:rsidRPr="00B40C5E" w:rsidRDefault="00B40C5E" w:rsidP="00B40C5E">
      <w:r w:rsidRPr="00B40C5E">
        <w:t>Across all treatment groups overall, the percentage of non-Black subjects with AEs (74.3%) was greater (</w:t>
      </w:r>
      <w:r w:rsidR="00476CD0">
        <w:t xml:space="preserve">&gt; </w:t>
      </w:r>
      <w:r w:rsidRPr="00B40C5E">
        <w:t>10%) than the percentage of Black subjects with AEs (60.5%). This trend for more AEs in non-Black subjects compared to Black subjects was also seen within each treatment group, except for the Placebo group. This difference was mainly due to a greater overall incidence of general disorders and administration site conditions, gastrointestinal disorders, and infections and infestations in non-Black subjects (34.0%, 35.6% and 16.4%, respectively) compared with Black subjects (20.5%, 28.6% and 7.0%, respectively). Overall, the percentage of subjects with Grade 3 or 4 AEs or SAEs did not differ across race categories. Across treatment groups, there was a higher percentage of Grade 3 or above laboratory abnormalities in non-Blacks co</w:t>
      </w:r>
      <w:r w:rsidR="009140CB">
        <w:t xml:space="preserve">mpared with Blacks (range: 5.3% to </w:t>
      </w:r>
      <w:r w:rsidRPr="00B40C5E">
        <w:t>16.2% compared with 1.6%</w:t>
      </w:r>
      <w:r w:rsidR="009140CB">
        <w:t xml:space="preserve"> to </w:t>
      </w:r>
      <w:r w:rsidRPr="00B40C5E">
        <w:t>4.5%, respectively)</w:t>
      </w:r>
    </w:p>
    <w:p w:rsidR="00755126" w:rsidRDefault="009140CB" w:rsidP="00755126">
      <w:pPr>
        <w:pStyle w:val="Heading6"/>
      </w:pPr>
      <w:r>
        <w:t>Age</w:t>
      </w:r>
    </w:p>
    <w:p w:rsidR="00476CD0" w:rsidRDefault="00B40C5E" w:rsidP="00B40C5E">
      <w:r w:rsidRPr="00B40C5E">
        <w:t xml:space="preserve">Overall, the percentage of AEs was similar for subjects </w:t>
      </w:r>
      <w:r w:rsidR="00476CD0">
        <w:t xml:space="preserve">&lt; </w:t>
      </w:r>
      <w:r w:rsidRPr="00B40C5E">
        <w:t xml:space="preserve">65 years and </w:t>
      </w:r>
      <w:r w:rsidR="00AA5E62">
        <w:t xml:space="preserve">≥ </w:t>
      </w:r>
      <w:r w:rsidRPr="00B40C5E">
        <w:t xml:space="preserve">65 years of age (72.9% and 73.5%, respectively). Similar percentages of AEs were also seen between the age categories within the SOF/VEL/VOX 12 Week group and the SOF/VEL 12 Week group. The SOF/VEL/VOX 8 Week group had a higher percentage of AEs in subjects </w:t>
      </w:r>
      <w:r w:rsidR="00476CD0">
        <w:t xml:space="preserve">&lt; </w:t>
      </w:r>
      <w:r w:rsidRPr="00B40C5E">
        <w:t xml:space="preserve">65 years </w:t>
      </w:r>
      <w:r w:rsidRPr="00B40C5E">
        <w:lastRenderedPageBreak/>
        <w:t xml:space="preserve">than </w:t>
      </w:r>
      <w:r w:rsidR="00AA5E62">
        <w:t xml:space="preserve">≥ </w:t>
      </w:r>
      <w:r w:rsidRPr="00B40C5E">
        <w:t xml:space="preserve">65 years of age (73.6% and 63.2%, respectively), whereas the Placebo group had a lower percentage of AEs in subjects </w:t>
      </w:r>
      <w:r w:rsidR="00476CD0">
        <w:t xml:space="preserve">&lt; </w:t>
      </w:r>
      <w:r w:rsidRPr="00B40C5E">
        <w:t xml:space="preserve">65 years of age (67.8% and 80.6%, respectively). Overall, the incidence of subjects with Grade 3 or 4 AEs or SAEs was low and did not differ across age categories. Across treatment groups, there was a slightly higher percentage of the number of Grade 3 or above laboratory abnormalities in subjects </w:t>
      </w:r>
      <w:r w:rsidR="00476CD0">
        <w:t xml:space="preserve">&lt; </w:t>
      </w:r>
      <w:r w:rsidRPr="00B40C5E">
        <w:t xml:space="preserve">65 years of age compared with subjects </w:t>
      </w:r>
      <w:r w:rsidR="00AA5E62">
        <w:t xml:space="preserve">≥ </w:t>
      </w:r>
      <w:r w:rsidR="009140CB">
        <w:t xml:space="preserve">65 years of age (range: 5.1% to </w:t>
      </w:r>
      <w:r w:rsidRPr="00B40C5E">
        <w:t>16</w:t>
      </w:r>
      <w:r w:rsidR="009140CB">
        <w:t xml:space="preserve">.5% compared with 3.5% to </w:t>
      </w:r>
      <w:r w:rsidRPr="00B40C5E">
        <w:t>6.5%, respectively)</w:t>
      </w:r>
      <w:r w:rsidR="00476CD0">
        <w:t>.</w:t>
      </w:r>
    </w:p>
    <w:p w:rsidR="00755126" w:rsidRDefault="00B14720" w:rsidP="00755126">
      <w:pPr>
        <w:pStyle w:val="Heading6"/>
      </w:pPr>
      <w:r>
        <w:t>BMI</w:t>
      </w:r>
    </w:p>
    <w:p w:rsidR="00476CD0" w:rsidRDefault="00B40C5E" w:rsidP="00B40C5E">
      <w:r w:rsidRPr="00B40C5E">
        <w:t xml:space="preserve">Overall, the percentage of AEs was similar for subjects with a baseline BMI </w:t>
      </w:r>
      <w:r w:rsidR="00476CD0">
        <w:t xml:space="preserve">&lt; </w:t>
      </w:r>
      <w:r w:rsidRPr="00B40C5E">
        <w:t>30 kg/</w:t>
      </w:r>
      <w:r w:rsidR="009140CB" w:rsidRPr="00B40C5E">
        <w:t>m</w:t>
      </w:r>
      <w:r w:rsidR="009140CB" w:rsidRPr="009140CB">
        <w:rPr>
          <w:vertAlign w:val="superscript"/>
        </w:rPr>
        <w:t>2</w:t>
      </w:r>
      <w:r w:rsidRPr="00B40C5E">
        <w:t xml:space="preserve"> and </w:t>
      </w:r>
      <w:r w:rsidR="00AA5E62">
        <w:t xml:space="preserve">≥ </w:t>
      </w:r>
      <w:r w:rsidRPr="00B40C5E">
        <w:t>30 kg/</w:t>
      </w:r>
      <w:r w:rsidR="009140CB" w:rsidRPr="00B40C5E">
        <w:t>m</w:t>
      </w:r>
      <w:r w:rsidR="009140CB" w:rsidRPr="009140CB">
        <w:rPr>
          <w:vertAlign w:val="superscript"/>
        </w:rPr>
        <w:t>2</w:t>
      </w:r>
      <w:r w:rsidRPr="00B40C5E">
        <w:t xml:space="preserve"> (73.0% and 72.7%, respectively). Similar percentages of AEs were also seen between the BMI categories within each treatment group. The rates of Grade 3 or above AEs and SAEs were low for both BMI groups: 1.4% and 1.9%, respectively, for subjects with BMI </w:t>
      </w:r>
      <w:r w:rsidR="00476CD0">
        <w:t xml:space="preserve">&lt; </w:t>
      </w:r>
      <w:r w:rsidRPr="00B40C5E">
        <w:t>30 kg/</w:t>
      </w:r>
      <w:r w:rsidR="009140CB" w:rsidRPr="00B40C5E">
        <w:t>m</w:t>
      </w:r>
      <w:r w:rsidR="009140CB" w:rsidRPr="009140CB">
        <w:rPr>
          <w:vertAlign w:val="superscript"/>
        </w:rPr>
        <w:t>2</w:t>
      </w:r>
      <w:r w:rsidRPr="00B40C5E">
        <w:t xml:space="preserve">; and 3.4% and 3.9%, respectively for subjects with BMI </w:t>
      </w:r>
      <w:r w:rsidR="00AA5E62">
        <w:t xml:space="preserve">≥ </w:t>
      </w:r>
      <w:proofErr w:type="gramStart"/>
      <w:r w:rsidRPr="00B40C5E">
        <w:t>30 kg/</w:t>
      </w:r>
      <w:r w:rsidR="009140CB" w:rsidRPr="00B40C5E">
        <w:t>m</w:t>
      </w:r>
      <w:r w:rsidR="009140CB" w:rsidRPr="009140CB">
        <w:rPr>
          <w:vertAlign w:val="superscript"/>
        </w:rPr>
        <w:t>2</w:t>
      </w:r>
      <w:proofErr w:type="gramEnd"/>
      <w:r w:rsidRPr="00B40C5E">
        <w:t xml:space="preserve">). Across treatment groups, there was a slightly higher percentage of the number of Grade 3 or above laboratory abnormalities in subjects with a baseline BMI </w:t>
      </w:r>
      <w:r w:rsidR="00AA5E62">
        <w:t xml:space="preserve">≥ </w:t>
      </w:r>
      <w:r w:rsidRPr="00B40C5E">
        <w:t>30 kg/</w:t>
      </w:r>
      <w:r w:rsidR="009140CB" w:rsidRPr="00B40C5E">
        <w:t>m</w:t>
      </w:r>
      <w:r w:rsidR="009140CB" w:rsidRPr="009140CB">
        <w:rPr>
          <w:vertAlign w:val="superscript"/>
        </w:rPr>
        <w:t>2</w:t>
      </w:r>
      <w:r w:rsidRPr="00B40C5E">
        <w:t xml:space="preserve"> compared with subjects with a baseline BMI </w:t>
      </w:r>
      <w:r w:rsidR="00476CD0">
        <w:t xml:space="preserve">&lt; </w:t>
      </w:r>
      <w:r w:rsidRPr="00B40C5E">
        <w:t>30 kg/</w:t>
      </w:r>
      <w:r w:rsidR="009140CB" w:rsidRPr="00B40C5E">
        <w:t>m</w:t>
      </w:r>
      <w:r w:rsidR="009140CB" w:rsidRPr="009140CB">
        <w:rPr>
          <w:vertAlign w:val="superscript"/>
        </w:rPr>
        <w:t>2</w:t>
      </w:r>
      <w:r w:rsidR="009140CB">
        <w:t xml:space="preserve"> (range: 6.2% to 19.2% and 4.1% to </w:t>
      </w:r>
      <w:r w:rsidRPr="00B40C5E">
        <w:t>12.0%, respectively)</w:t>
      </w:r>
      <w:r w:rsidR="00476CD0">
        <w:t>.</w:t>
      </w:r>
    </w:p>
    <w:p w:rsidR="00755126" w:rsidRDefault="009140CB" w:rsidP="00755126">
      <w:pPr>
        <w:pStyle w:val="Heading6"/>
      </w:pPr>
      <w:proofErr w:type="spellStart"/>
      <w:proofErr w:type="gramStart"/>
      <w:r>
        <w:t>eGFR</w:t>
      </w:r>
      <w:proofErr w:type="spellEnd"/>
      <w:proofErr w:type="gramEnd"/>
    </w:p>
    <w:p w:rsidR="00B40C5E" w:rsidRPr="00B40C5E" w:rsidRDefault="00B40C5E" w:rsidP="00B40C5E">
      <w:r w:rsidRPr="00B40C5E">
        <w:t xml:space="preserve">Overall, the percentage of AEs was similar for subjects with a baseline </w:t>
      </w:r>
      <w:proofErr w:type="spellStart"/>
      <w:r w:rsidRPr="00B40C5E">
        <w:t>eGFR</w:t>
      </w:r>
      <w:proofErr w:type="spellEnd"/>
      <w:r w:rsidRPr="00B40C5E">
        <w:t xml:space="preserve"> </w:t>
      </w:r>
      <w:r w:rsidR="00476CD0">
        <w:t xml:space="preserve">&lt; </w:t>
      </w:r>
      <w:r w:rsidRPr="00B40C5E">
        <w:t xml:space="preserve">and </w:t>
      </w:r>
      <w:r w:rsidR="009140CB">
        <w:t>&gt; 90 </w:t>
      </w:r>
      <w:r w:rsidRPr="00B40C5E">
        <w:t xml:space="preserve">mL/min (71.8% and 73.3%, respectively). Similar percentages of AEs were also seen between the </w:t>
      </w:r>
      <w:proofErr w:type="spellStart"/>
      <w:r w:rsidRPr="00B40C5E">
        <w:t>eGFR</w:t>
      </w:r>
      <w:proofErr w:type="spellEnd"/>
      <w:r w:rsidRPr="00B40C5E">
        <w:t xml:space="preserve"> categories within each treatment group. The rates of Grade 3 or above AEs and SAEs were low for both </w:t>
      </w:r>
      <w:proofErr w:type="spellStart"/>
      <w:r w:rsidRPr="00B40C5E">
        <w:t>eGFR</w:t>
      </w:r>
      <w:proofErr w:type="spellEnd"/>
      <w:r w:rsidRPr="00B40C5E">
        <w:t xml:space="preserve"> groups: 1.3% and 2.2%, respectively, for subjects with </w:t>
      </w:r>
      <w:proofErr w:type="spellStart"/>
      <w:r w:rsidRPr="00B40C5E">
        <w:t>eGFR</w:t>
      </w:r>
      <w:proofErr w:type="spellEnd"/>
      <w:r w:rsidRPr="00B40C5E">
        <w:t xml:space="preserve"> </w:t>
      </w:r>
      <w:r w:rsidR="00476CD0">
        <w:t xml:space="preserve">&lt; </w:t>
      </w:r>
      <w:r w:rsidRPr="00B40C5E">
        <w:t xml:space="preserve">90 mL/min; and 2.1% and 2.6%, respectively for subjects with </w:t>
      </w:r>
      <w:proofErr w:type="spellStart"/>
      <w:r w:rsidRPr="00B40C5E">
        <w:t>eGFR</w:t>
      </w:r>
      <w:proofErr w:type="spellEnd"/>
      <w:r w:rsidRPr="00B40C5E">
        <w:t xml:space="preserve"> </w:t>
      </w:r>
      <w:r w:rsidR="00D27C5D">
        <w:t>≥ 90 </w:t>
      </w:r>
      <w:r w:rsidRPr="00B40C5E">
        <w:t xml:space="preserve">mL/min. Across treatment groups, there was a higher percentage of the number of Grade 3 or above laboratory abnormalities in subjects with a baseline </w:t>
      </w:r>
      <w:proofErr w:type="spellStart"/>
      <w:r w:rsidRPr="00B40C5E">
        <w:t>eGFR</w:t>
      </w:r>
      <w:proofErr w:type="spellEnd"/>
      <w:r w:rsidRPr="00B40C5E">
        <w:t xml:space="preserve"> </w:t>
      </w:r>
      <w:r w:rsidR="00AA5E62">
        <w:t xml:space="preserve">≥ </w:t>
      </w:r>
      <w:r w:rsidRPr="00B40C5E">
        <w:t xml:space="preserve">90 mL/min compared with subjects with a baseline </w:t>
      </w:r>
      <w:proofErr w:type="spellStart"/>
      <w:r w:rsidRPr="00B40C5E">
        <w:t>eGFR</w:t>
      </w:r>
      <w:proofErr w:type="spellEnd"/>
      <w:r w:rsidRPr="00B40C5E">
        <w:t xml:space="preserve"> </w:t>
      </w:r>
      <w:r w:rsidR="00476CD0">
        <w:t xml:space="preserve">&lt; </w:t>
      </w:r>
      <w:r w:rsidRPr="00B40C5E">
        <w:t>90 mL/min (range</w:t>
      </w:r>
      <w:r w:rsidR="009140CB">
        <w:t xml:space="preserve">: 6.1% to 16.5% compared with 1.7% to </w:t>
      </w:r>
      <w:r w:rsidRPr="00B40C5E">
        <w:t>8.1%, respectively)</w:t>
      </w:r>
    </w:p>
    <w:p w:rsidR="00755126" w:rsidRDefault="009140CB" w:rsidP="00755126">
      <w:pPr>
        <w:pStyle w:val="Heading6"/>
      </w:pPr>
      <w:r>
        <w:t xml:space="preserve">History of </w:t>
      </w:r>
      <w:proofErr w:type="spellStart"/>
      <w:r>
        <w:t>sulfa</w:t>
      </w:r>
      <w:proofErr w:type="spellEnd"/>
      <w:r>
        <w:t xml:space="preserve"> allergy</w:t>
      </w:r>
    </w:p>
    <w:p w:rsidR="00476CD0" w:rsidRDefault="00B40C5E" w:rsidP="00B40C5E">
      <w:r w:rsidRPr="00B40C5E">
        <w:t xml:space="preserve">Safety was evaluated in subjects with or without a history of </w:t>
      </w:r>
      <w:proofErr w:type="spellStart"/>
      <w:r w:rsidRPr="00B40C5E">
        <w:t>sulfa</w:t>
      </w:r>
      <w:proofErr w:type="spellEnd"/>
      <w:r w:rsidRPr="00B40C5E">
        <w:t xml:space="preserve"> allergy in the Integrated </w:t>
      </w:r>
      <w:r w:rsidR="00476CD0">
        <w:t>Phase III</w:t>
      </w:r>
      <w:r w:rsidRPr="00B40C5E">
        <w:t xml:space="preserve"> Safety Population because the structure of VOX contains a sulphonamide. Overall, the percentage of AEs was similar for subjects with and without a history of </w:t>
      </w:r>
      <w:proofErr w:type="spellStart"/>
      <w:r w:rsidRPr="00B40C5E">
        <w:t>sulfa</w:t>
      </w:r>
      <w:proofErr w:type="spellEnd"/>
      <w:r w:rsidRPr="00B40C5E">
        <w:t xml:space="preserve"> allergy (77.8% and 72.8%, respectively). Across treatment groups, there were a total of 54 subjects with a history of </w:t>
      </w:r>
      <w:proofErr w:type="spellStart"/>
      <w:r w:rsidRPr="00B40C5E">
        <w:t>sulfa</w:t>
      </w:r>
      <w:proofErr w:type="spellEnd"/>
      <w:r w:rsidRPr="00B40C5E">
        <w:t xml:space="preserve"> drug allergy, 25 of who received SOF/VEL/VOX for either 8 of 12 weeks. Among subjects receiving SOF/VEL/VOX, the percentage of AEs was similar for subjects with or without a history of </w:t>
      </w:r>
      <w:proofErr w:type="spellStart"/>
      <w:r w:rsidRPr="00B40C5E">
        <w:t>sulfa</w:t>
      </w:r>
      <w:proofErr w:type="spellEnd"/>
      <w:r w:rsidRPr="00B40C5E">
        <w:t xml:space="preserve"> allergy (76.0% and 74.8%). The percentage was also similar for subjects with a history of </w:t>
      </w:r>
      <w:proofErr w:type="spellStart"/>
      <w:r w:rsidRPr="00B40C5E">
        <w:t>sulfa</w:t>
      </w:r>
      <w:proofErr w:type="spellEnd"/>
      <w:r w:rsidRPr="00B40C5E">
        <w:t xml:space="preserve"> allergy and receiving SOF/VEL/VOX, SOF/VEL, or placebo (76.0%, 83.3% and 60.0%, respectively). Among subjects with and without a history of </w:t>
      </w:r>
      <w:proofErr w:type="spellStart"/>
      <w:r w:rsidRPr="00B40C5E">
        <w:t>sulfa</w:t>
      </w:r>
      <w:proofErr w:type="spellEnd"/>
      <w:r w:rsidRPr="00B40C5E">
        <w:t xml:space="preserve"> allergy, AEs in skin and subcutaneous tissue disorders, including rash, were reported similarly by subjects taking SOF/VEL/VOX, SOF/VEL or placebo. There was one subject in the SOF/VEL/VOX 12 Week group without a history of </w:t>
      </w:r>
      <w:proofErr w:type="spellStart"/>
      <w:r w:rsidRPr="00B40C5E">
        <w:t>sulfa</w:t>
      </w:r>
      <w:proofErr w:type="spellEnd"/>
      <w:r w:rsidRPr="00B40C5E">
        <w:t xml:space="preserve"> allergy that reported a Grade 1 AE of urticaria on study Day 3 which resolved on study Day 55. This event was considered related to study drug by the investigator and did not result in a change in dosing</w:t>
      </w:r>
      <w:r w:rsidR="00476CD0">
        <w:t>.</w:t>
      </w:r>
    </w:p>
    <w:p w:rsidR="00755126" w:rsidRDefault="009140CB" w:rsidP="00755126">
      <w:pPr>
        <w:pStyle w:val="Heading6"/>
      </w:pPr>
      <w:r>
        <w:t>Hepatic impairment</w:t>
      </w:r>
    </w:p>
    <w:p w:rsidR="00476CD0" w:rsidRDefault="00B40C5E" w:rsidP="00B40C5E">
      <w:r w:rsidRPr="00B40C5E">
        <w:t xml:space="preserve">The SOF/VEL/VOX </w:t>
      </w:r>
      <w:r w:rsidR="00476CD0">
        <w:t>Phase III</w:t>
      </w:r>
      <w:r w:rsidRPr="00B40C5E">
        <w:t xml:space="preserve"> program included subjects with compensated cirrhosis (37.6%), but excluded subjects with a history of hepatic decompensation. Overall, the percentage of AEs was approximately the same for subjects with and without cirrhosis (72.8% and 73.0%, respectively). Similar percentages of AEs were also seen in subjects with and without cirrhosis within each treatment group, except for the Placebo group in which subjects with cirrhosis had fewer AEs (62.7%) compared to those without cirrhosis </w:t>
      </w:r>
      <w:r w:rsidRPr="00B40C5E">
        <w:lastRenderedPageBreak/>
        <w:t>(74.3%). Overall, the rates of Grade 3 or above AEs and SAEs were similar for subjects with and without cirrhosis: 2.4% and 2.5%, respectively, for subjects with cirrhosis; and 1.7% and 2.4%, respectively for subjects without cirrhosis. The SAEs reported for more than 1 subject included cerebral haemorrhage in 2 subjects with cirrhosis, and road traffic accident in 2 subjects without</w:t>
      </w:r>
      <w:r w:rsidR="00476CD0">
        <w:t xml:space="preserve"> </w:t>
      </w:r>
      <w:r w:rsidRPr="00B40C5E">
        <w:t>cirrhosis, none of which were considered related to study drug by the investigator. Compared to other groups, subjects who received 12 weeks of placebo had more Grade 3 or 4 laboratory abnormalities consistent with untreated HCV infection and, within that group, more Grade 3 or 4 laboratory abnormalities were reported in subjects with cirrhosis (33.3%) compared to subjects without cirrhosis (5.0%). Across treatment groups with SOF/VEL/VOX and SOF/VEL, Grade 3 or above laboratory abnormalities were lower overall, but reported for a higher percentage of subjects with cirr</w:t>
      </w:r>
      <w:r w:rsidR="00D51BB6">
        <w:t xml:space="preserve">hosis (range: 7.7% to </w:t>
      </w:r>
      <w:r w:rsidRPr="00B40C5E">
        <w:t>12.0%) than</w:t>
      </w:r>
      <w:r w:rsidR="00D51BB6">
        <w:t xml:space="preserve"> without cirrhosis (range: 3.4% to </w:t>
      </w:r>
      <w:r w:rsidRPr="00B40C5E">
        <w:t>5.4%). Overall, the primary Grade 3 or 4 laboratory abnormalities leading to the difference between cirrhotic and non-cirrhotic subjects were increased glucose (4.2%, 30 of 716 subjects; and 0.8% 9 of 1189 subjects, respectively) and decreased platelets (2.0%, 14 of 716 subjects; and 0.0%, respectively). A slight increase in Grade 1 total bilirubin was observed in subjects receiving SOF/VEL/VOX</w:t>
      </w:r>
      <w:r w:rsidR="00476CD0">
        <w:t>.</w:t>
      </w:r>
    </w:p>
    <w:p w:rsidR="00755126" w:rsidRDefault="00D51BB6" w:rsidP="00755126">
      <w:pPr>
        <w:pStyle w:val="Heading6"/>
      </w:pPr>
      <w:r>
        <w:t>Renal impairment</w:t>
      </w:r>
    </w:p>
    <w:p w:rsidR="00476CD0" w:rsidRDefault="00B40C5E" w:rsidP="00B40C5E">
      <w:r w:rsidRPr="00B40C5E">
        <w:t xml:space="preserve">The </w:t>
      </w:r>
      <w:r w:rsidR="00476CD0">
        <w:t>Phase III</w:t>
      </w:r>
      <w:r w:rsidRPr="00B40C5E">
        <w:t xml:space="preserve"> studies included in the Integrated </w:t>
      </w:r>
      <w:r w:rsidR="00476CD0">
        <w:t>Phase III</w:t>
      </w:r>
      <w:r w:rsidRPr="00B40C5E">
        <w:t xml:space="preserve"> Safety Population excluded subjects with </w:t>
      </w:r>
      <w:proofErr w:type="spellStart"/>
      <w:r w:rsidRPr="00B40C5E">
        <w:t>eGFR</w:t>
      </w:r>
      <w:proofErr w:type="spellEnd"/>
      <w:r w:rsidRPr="00B40C5E">
        <w:t xml:space="preserve"> </w:t>
      </w:r>
      <w:r w:rsidR="00476CD0">
        <w:t xml:space="preserve">&lt; </w:t>
      </w:r>
      <w:r w:rsidRPr="00B40C5E">
        <w:t xml:space="preserve">50 mL/min. However, 24.2% of subjects in the Integrated </w:t>
      </w:r>
      <w:r w:rsidR="00476CD0">
        <w:t>Phase III</w:t>
      </w:r>
      <w:r w:rsidRPr="00B40C5E">
        <w:t xml:space="preserve"> Safety Population had mild renal impairment. The 461 subjects having </w:t>
      </w:r>
      <w:proofErr w:type="spellStart"/>
      <w:r w:rsidRPr="00B40C5E">
        <w:t>eGFR</w:t>
      </w:r>
      <w:proofErr w:type="spellEnd"/>
      <w:r w:rsidRPr="00B40C5E">
        <w:t xml:space="preserve"> </w:t>
      </w:r>
      <w:r w:rsidR="00476CD0">
        <w:t xml:space="preserve">&lt; </w:t>
      </w:r>
      <w:r w:rsidRPr="00B40C5E">
        <w:t xml:space="preserve">90 mL/min at baseline in the Integrated </w:t>
      </w:r>
      <w:r w:rsidR="00476CD0">
        <w:t>Phase III</w:t>
      </w:r>
      <w:r w:rsidRPr="00B40C5E">
        <w:t xml:space="preserve"> Safety Population had similar percentages of AEs, Grade 3 or 4 AEs, SAEs, and graded laboratory abnormalities compared to the 1447 subjects with baseline </w:t>
      </w:r>
      <w:proofErr w:type="spellStart"/>
      <w:r w:rsidRPr="00B40C5E">
        <w:t>eGFR</w:t>
      </w:r>
      <w:proofErr w:type="spellEnd"/>
      <w:r w:rsidRPr="00B40C5E">
        <w:t xml:space="preserve"> </w:t>
      </w:r>
      <w:r w:rsidR="00AA5E62">
        <w:t xml:space="preserve">≥ </w:t>
      </w:r>
      <w:r w:rsidRPr="00B40C5E">
        <w:t>90 mL/min</w:t>
      </w:r>
      <w:r w:rsidR="00476CD0">
        <w:t>.</w:t>
      </w:r>
    </w:p>
    <w:p w:rsidR="00755126" w:rsidRDefault="00D51BB6" w:rsidP="00755126">
      <w:pPr>
        <w:pStyle w:val="Heading6"/>
      </w:pPr>
      <w:r>
        <w:t xml:space="preserve">Pregnancy and </w:t>
      </w:r>
      <w:r w:rsidR="00142CB6">
        <w:t>l</w:t>
      </w:r>
      <w:r>
        <w:t>actation</w:t>
      </w:r>
    </w:p>
    <w:p w:rsidR="00B40C5E" w:rsidRPr="00B40C5E" w:rsidRDefault="00B40C5E" w:rsidP="00B40C5E">
      <w:r w:rsidRPr="00B40C5E">
        <w:t>Nonclinical studies of SOF/VEL/VOX as an FDC were not performed, as co-administration of SOF, VEL and VOX in the SOF/VEL/VOX FDC tablet is not expected to alter the effect of any component during pregnancy or lactation. Therefore, the studies conducted with SOF, VEL and VOX as individual agents support the use of SOF/VEL/VOX.</w:t>
      </w:r>
    </w:p>
    <w:p w:rsidR="00B40C5E" w:rsidRPr="00B40C5E" w:rsidRDefault="00D51BB6" w:rsidP="00B40C5E">
      <w:r>
        <w:t xml:space="preserve">There are no adequate and well </w:t>
      </w:r>
      <w:r w:rsidR="00B40C5E" w:rsidRPr="00B40C5E">
        <w:t>controlled clinical studies in pregnant women. Pregnant and breastfeeding women were excluded in all clinical studies conducted to date with SOF, VEL, SOF/VEL and SOF/VEL/VOX. Women of childbearing potential included in studies were required to use 2 highly effective methods of birth control. Pregnancy, once determined required withdrawal of the subject from the study.</w:t>
      </w:r>
    </w:p>
    <w:p w:rsidR="00476CD0" w:rsidRDefault="00B40C5E" w:rsidP="00B40C5E">
      <w:r w:rsidRPr="00B40C5E">
        <w:t xml:space="preserve">Overall, 2 pregnancies were reported for subjects who received SOF/VEL/VOX or SOF/VEL+VOX in the clinical development program. In </w:t>
      </w:r>
      <w:r w:rsidR="00476CD0">
        <w:t>Study</w:t>
      </w:r>
      <w:r w:rsidRPr="00B40C5E">
        <w:t xml:space="preserve"> GS</w:t>
      </w:r>
      <w:r w:rsidR="00D51BB6">
        <w:t>-US-367-1172 (POLARIS</w:t>
      </w:r>
      <w:r w:rsidR="00507436">
        <w:noBreakHyphen/>
      </w:r>
      <w:r w:rsidR="00D51BB6">
        <w:t xml:space="preserve">2) in DAA </w:t>
      </w:r>
      <w:r w:rsidRPr="00B40C5E">
        <w:t>naïve patients, 2 subjects in the SOF/VEL/VOX 8 Week group became preg</w:t>
      </w:r>
      <w:r w:rsidR="00D51BB6">
        <w:t xml:space="preserve">nant during the study; (1) a 29 year </w:t>
      </w:r>
      <w:r w:rsidRPr="00B40C5E">
        <w:t>old female without cirrhosis, prematurely discontinued study drug on Day 28 following confirmation of pregnancy. The pregnancy ended in</w:t>
      </w:r>
      <w:r w:rsidR="00D51BB6">
        <w:t xml:space="preserve"> an elective abortion. (2) a 43 year </w:t>
      </w:r>
      <w:r w:rsidRPr="00B40C5E">
        <w:t>old female without cirrhosis, had pregnancy confirmed on post treatment Day 55, after completing 8 weeks of treatment. The pregnancy ended in a miscarriage, which was reported as a non-treatment emergent SAE</w:t>
      </w:r>
      <w:r w:rsidR="00476CD0">
        <w:t>.</w:t>
      </w:r>
    </w:p>
    <w:p w:rsidR="00755126" w:rsidRDefault="00B40C5E" w:rsidP="00755126">
      <w:pPr>
        <w:pStyle w:val="Heading6"/>
      </w:pPr>
      <w:r w:rsidRPr="00B40C5E">
        <w:t>Overdose, drug abuse, withdrawal/rebound, effects on ability to drive or operate machinery o</w:t>
      </w:r>
      <w:r w:rsidR="00D51BB6">
        <w:t>r impairment of mental ability</w:t>
      </w:r>
    </w:p>
    <w:p w:rsidR="00476CD0" w:rsidRDefault="00B40C5E" w:rsidP="00B40C5E">
      <w:r w:rsidRPr="00B40C5E">
        <w:t>There is no known antidote for SOF/VEL/VOX. If an overdose with SOF/VEL/VOX occurs, standard supportive treatment should be given as necessary, including observation of the clinical status of the patient and monitoring of vital signs. Haemodialysis can efficiently remove the predominant circulating SOF metabolite, GS-331007, with an extraction ratio of 53%.</w:t>
      </w:r>
      <w:r w:rsidR="00476CD0">
        <w:t xml:space="preserve"> </w:t>
      </w:r>
      <w:r w:rsidRPr="00B40C5E">
        <w:t>Haemodialysis is unlikely to result in significant removal of VEL or VOX, as they are highly bound to plasma proteins</w:t>
      </w:r>
      <w:r w:rsidR="00476CD0">
        <w:t>.</w:t>
      </w:r>
    </w:p>
    <w:p w:rsidR="00B40C5E" w:rsidRPr="00B40C5E" w:rsidRDefault="00B40C5E" w:rsidP="00B40C5E">
      <w:r w:rsidRPr="00B40C5E">
        <w:lastRenderedPageBreak/>
        <w:t>SOF, VEL and VOX are not pharmacologically or structurally related to drugs known to have abuse potential; therefore, drug abuse with SOF/VEL/VOX is unlikely. There have been no reports of SOF/VEL/VOX dependence from any clinical study.</w:t>
      </w:r>
    </w:p>
    <w:p w:rsidR="00476CD0" w:rsidRDefault="00B40C5E" w:rsidP="00B40C5E">
      <w:r w:rsidRPr="00B40C5E">
        <w:t>No formal clinical studies for withdrawal or rebound effects of SOF/VEL/VOX have been conducted. However, there were no discernible patterns of AEs occurring after treatment discontinuation from a SOF/VEL/VOX-containing regimen</w:t>
      </w:r>
      <w:r w:rsidR="00476CD0">
        <w:t>.</w:t>
      </w:r>
    </w:p>
    <w:p w:rsidR="00B40C5E" w:rsidRPr="00B40C5E" w:rsidRDefault="00B40C5E" w:rsidP="00B40C5E">
      <w:r w:rsidRPr="00B40C5E">
        <w:t>No studies have been conducted to evaluate the effects of SOF/VEL/VOX on the ability to drive or operate machinery.</w:t>
      </w:r>
    </w:p>
    <w:p w:rsidR="00B40C5E" w:rsidRPr="00B40C5E" w:rsidRDefault="00B40C5E" w:rsidP="00755126">
      <w:pPr>
        <w:pStyle w:val="Heading6"/>
      </w:pPr>
      <w:r w:rsidRPr="00B40C5E">
        <w:t xml:space="preserve">Safety </w:t>
      </w:r>
      <w:r w:rsidR="00142CB6" w:rsidRPr="00B40C5E">
        <w:t>results from dose finding clinical pharmacology studies</w:t>
      </w:r>
    </w:p>
    <w:p w:rsidR="00476CD0" w:rsidRDefault="00B40C5E" w:rsidP="00B40C5E">
      <w:r w:rsidRPr="00B40C5E">
        <w:t>As the SOF/VEL FDC has been previously approved for marketing in Australia, two dose finding studies were undertaken as part of the current application to examine the safety and tolerability of VOX</w:t>
      </w:r>
      <w:r w:rsidR="00476CD0">
        <w:t>.</w:t>
      </w:r>
    </w:p>
    <w:p w:rsidR="00B40C5E" w:rsidRPr="00B40C5E" w:rsidRDefault="00180E04" w:rsidP="00B40C5E">
      <w:r>
        <w:t>Study GS-US-338-1120</w:t>
      </w:r>
      <w:r w:rsidR="00B40C5E" w:rsidRPr="00B40C5E">
        <w:t xml:space="preserve"> investigated escalating single and multiple oral doses of VOX ranging from 30</w:t>
      </w:r>
      <w:r w:rsidR="00AA5E62">
        <w:t xml:space="preserve"> mg</w:t>
      </w:r>
      <w:r w:rsidR="00B40C5E" w:rsidRPr="00B40C5E">
        <w:t xml:space="preserve"> to 300</w:t>
      </w:r>
      <w:r w:rsidR="00AA5E62">
        <w:t xml:space="preserve"> mg</w:t>
      </w:r>
      <w:r w:rsidR="00B40C5E" w:rsidRPr="00B40C5E">
        <w:t xml:space="preserve"> in healthy subjects. A total of 16 of 81 subjects had an AE in this study. The most frequently reported AEs across all subjects were headache (7 subjects), constipation (3 subjects) and nau</w:t>
      </w:r>
      <w:r w:rsidR="00D51BB6">
        <w:t xml:space="preserve">sea (3 subjects). In the single and multiple </w:t>
      </w:r>
      <w:r w:rsidR="00B40C5E" w:rsidRPr="00B40C5E">
        <w:t>ascending dose part of the study there was no difference in the incidence of subjects with AEs with increasing doses of VOX. In addition, no notable differences in laboratory abnormalities were observed between the VOX 30</w:t>
      </w:r>
      <w:r w:rsidR="00AA5E62">
        <w:t xml:space="preserve"> mg</w:t>
      </w:r>
      <w:r w:rsidR="00B40C5E" w:rsidRPr="00B40C5E">
        <w:t>, 100</w:t>
      </w:r>
      <w:r w:rsidR="00AA5E62">
        <w:t xml:space="preserve"> mg</w:t>
      </w:r>
      <w:r w:rsidR="00B40C5E" w:rsidRPr="00B40C5E">
        <w:t>, 300</w:t>
      </w:r>
      <w:r w:rsidR="00AA5E62">
        <w:t xml:space="preserve"> mg</w:t>
      </w:r>
      <w:r w:rsidR="00B40C5E" w:rsidRPr="00B40C5E">
        <w:t xml:space="preserve"> or placebo treated groups.</w:t>
      </w:r>
    </w:p>
    <w:p w:rsidR="00B40C5E" w:rsidRPr="00B40C5E" w:rsidRDefault="00B40C5E" w:rsidP="00B40C5E">
      <w:r w:rsidRPr="00B40C5E">
        <w:t>Study GS-US-338-1121 was undertaken in subjects with genotype 1a and genotype 3 HCV and examined VOX doses ranging from 50 to 300</w:t>
      </w:r>
      <w:r w:rsidR="00AA5E62">
        <w:t xml:space="preserve"> mg</w:t>
      </w:r>
      <w:r w:rsidRPr="00B40C5E">
        <w:t xml:space="preserve"> or placebo administered QD for three days. The most commonly reported AEs included diarrhoea and headache and there was no evidence of dose-dependency with respect to the incidence of any AEs. In addition, </w:t>
      </w:r>
      <w:r w:rsidR="00D51BB6">
        <w:t xml:space="preserve">there was no evidence of a dose </w:t>
      </w:r>
      <w:r w:rsidRPr="00B40C5E">
        <w:t>dependent relationship between the incidence of Grade 3 and Grade 4 laboratory abnormalities and VOX dose, nor were Grade 3 or Grade 4 laboratory abnormalities associated with AEs.</w:t>
      </w:r>
    </w:p>
    <w:p w:rsidR="00B40C5E" w:rsidRPr="00B40C5E" w:rsidRDefault="00B40C5E" w:rsidP="00755126">
      <w:pPr>
        <w:pStyle w:val="Heading5"/>
      </w:pPr>
      <w:bookmarkStart w:id="259" w:name="_Toc496266028"/>
      <w:r w:rsidRPr="00B40C5E">
        <w:t>Safety related to drug-drug interactions and other interactions</w:t>
      </w:r>
      <w:bookmarkEnd w:id="251"/>
      <w:bookmarkEnd w:id="252"/>
      <w:bookmarkEnd w:id="253"/>
      <w:bookmarkEnd w:id="254"/>
      <w:bookmarkEnd w:id="255"/>
      <w:bookmarkEnd w:id="256"/>
      <w:bookmarkEnd w:id="257"/>
      <w:bookmarkEnd w:id="258"/>
      <w:bookmarkEnd w:id="259"/>
    </w:p>
    <w:p w:rsidR="00B40C5E" w:rsidRPr="00B40C5E" w:rsidRDefault="00B40C5E" w:rsidP="00B40C5E">
      <w:bookmarkStart w:id="260" w:name="_Toc241374326"/>
      <w:bookmarkStart w:id="261" w:name="_Ref272333048"/>
      <w:bookmarkStart w:id="262" w:name="_Toc272414679"/>
      <w:bookmarkStart w:id="263" w:name="_Toc290888543"/>
      <w:bookmarkStart w:id="264" w:name="_Toc416353758"/>
      <w:bookmarkStart w:id="265" w:name="_Toc421005301"/>
      <w:bookmarkStart w:id="266" w:name="_Toc432079182"/>
      <w:bookmarkStart w:id="267" w:name="_Toc432080755"/>
      <w:r w:rsidRPr="00B40C5E">
        <w:t xml:space="preserve">In the four DDI studies in which subjects were co-administered with </w:t>
      </w:r>
      <w:proofErr w:type="gramStart"/>
      <w:r w:rsidRPr="00B40C5E">
        <w:t xml:space="preserve">either </w:t>
      </w:r>
      <w:r w:rsidR="00476CD0">
        <w:t>Vosevi</w:t>
      </w:r>
      <w:proofErr w:type="gramEnd"/>
      <w:r w:rsidRPr="00B40C5E">
        <w:t xml:space="preserve"> or </w:t>
      </w:r>
      <w:r w:rsidR="00476CD0">
        <w:t>Vosevi</w:t>
      </w:r>
      <w:r w:rsidRPr="00B40C5E">
        <w:t xml:space="preserve"> + VOX, 62 of 183 subjects experienced AEs. There were no Grade 3 or 4 AEs, SAEs or deaths and the most commonly occurring AEs across all studies were headache and constipation. In the single DDI study in which VOX alone was co-administered, 55 of 98 subjects experienced AEs. There were no Grade 3 or 4 AEs, SAEs or deaths and the most commonly occurring AEs were nausea (n</w:t>
      </w:r>
      <w:r w:rsidR="003925CF">
        <w:t xml:space="preserve"> = </w:t>
      </w:r>
      <w:r w:rsidRPr="00B40C5E">
        <w:t>4) and headache (n</w:t>
      </w:r>
      <w:r w:rsidR="003925CF">
        <w:t xml:space="preserve"> = </w:t>
      </w:r>
      <w:r w:rsidRPr="00B40C5E">
        <w:t>2).</w:t>
      </w:r>
    </w:p>
    <w:bookmarkEnd w:id="260"/>
    <w:bookmarkEnd w:id="261"/>
    <w:bookmarkEnd w:id="262"/>
    <w:bookmarkEnd w:id="263"/>
    <w:bookmarkEnd w:id="264"/>
    <w:bookmarkEnd w:id="265"/>
    <w:bookmarkEnd w:id="266"/>
    <w:bookmarkEnd w:id="267"/>
    <w:p w:rsidR="00B40C5E" w:rsidRPr="00B40C5E" w:rsidRDefault="00B40C5E" w:rsidP="00B40C5E">
      <w:pPr>
        <w:pStyle w:val="Heading4"/>
      </w:pPr>
      <w:r w:rsidRPr="00B40C5E">
        <w:t>Post</w:t>
      </w:r>
      <w:r w:rsidR="00D51BB6">
        <w:t>-</w:t>
      </w:r>
      <w:r w:rsidRPr="00B40C5E">
        <w:t>marketing data</w:t>
      </w:r>
    </w:p>
    <w:p w:rsidR="00B40C5E" w:rsidRPr="00B40C5E" w:rsidRDefault="00D51BB6" w:rsidP="00B40C5E">
      <w:r>
        <w:t>S</w:t>
      </w:r>
      <w:r w:rsidR="00F45B1B">
        <w:t>ofosbuvir</w:t>
      </w:r>
      <w:r w:rsidR="00B40C5E" w:rsidRPr="00B40C5E">
        <w:t>/velpatasvir/voxilaprevir has not been marketed in any country at the time of this marketing application.</w:t>
      </w:r>
    </w:p>
    <w:p w:rsidR="00476CD0" w:rsidRDefault="00B40C5E" w:rsidP="00500337">
      <w:r w:rsidRPr="00B40C5E">
        <w:t>In accordance with both US and European Union guidelines, Gilead is conducting 3 registry studies, in which subjects are being followed for up to 3 or 5 years after their initial treatment study</w:t>
      </w:r>
      <w:r w:rsidR="00D51BB6">
        <w:t>.</w:t>
      </w:r>
      <w:r w:rsidR="00D51BB6">
        <w:rPr>
          <w:rStyle w:val="FootnoteReference"/>
        </w:rPr>
        <w:footnoteReference w:id="53"/>
      </w:r>
      <w:r w:rsidRPr="00B40C5E">
        <w:t xml:space="preserve"> </w:t>
      </w:r>
      <w:r w:rsidR="00D51BB6">
        <w:rPr>
          <w:rStyle w:val="FootnoteReference"/>
        </w:rPr>
        <w:footnoteReference w:id="54"/>
      </w:r>
      <w:r w:rsidR="00D51BB6">
        <w:t xml:space="preserve"> </w:t>
      </w:r>
      <w:r w:rsidR="00D51BB6">
        <w:rPr>
          <w:rStyle w:val="FootnoteReference"/>
        </w:rPr>
        <w:footnoteReference w:id="55"/>
      </w:r>
      <w:r w:rsidRPr="00B40C5E">
        <w:t xml:space="preserve"> Subjects who do not achieve SVR are eligible for enrolment in the Sequence Registry Study (GS-US-248-0123), which is monitoring the persistence of resistance mutations for up to 3 years. Subjects who achieve SVR are eligible for enrolment in the SVR Registry Study (GS-US-248-0122), which is evaluating durability of </w:t>
      </w:r>
      <w:r w:rsidRPr="00B40C5E">
        <w:lastRenderedPageBreak/>
        <w:t>SVR for up to 3 years post treatment. Subjects with cirrhosis who achieve SVR following treatment with a SOF-based regimen without IFN are eligible for enrolment in the SVR Cirrhosis Registry Study (GS-US-337-1431), which is evaluating durability of SVR and clinical progression or regression of liver disease (including the incide</w:t>
      </w:r>
      <w:r w:rsidR="00755126">
        <w:t>nce of HCC) for up to 5 years</w:t>
      </w:r>
      <w:r w:rsidR="00476CD0">
        <w:t>.</w:t>
      </w:r>
    </w:p>
    <w:p w:rsidR="00605AD4" w:rsidRPr="00605AD4" w:rsidRDefault="00605AD4" w:rsidP="00605AD4">
      <w:pPr>
        <w:pStyle w:val="Heading4"/>
      </w:pPr>
      <w:r w:rsidRPr="00605AD4">
        <w:t>Evaluator’s conclusions on safety</w:t>
      </w:r>
    </w:p>
    <w:p w:rsidR="00B40C5E" w:rsidRPr="00B40C5E" w:rsidRDefault="00B40C5E" w:rsidP="00B40C5E">
      <w:r w:rsidRPr="00B40C5E">
        <w:t xml:space="preserve">A comprehensive nonclinical pharmacology and virology, PK and toxicology program was undertaken to support SOF/VEL/VOX for the treatment of HCV. No specific safety findings from the nonclinical program have been identified as safety events of interest in the clinical development program. A total of 2017 subjects have received at least 1 dose of SOF/VEL/VOX or SOF/VEL+VOX, including 1056 subjects in 4 SOF/VEL/VOX </w:t>
      </w:r>
      <w:r w:rsidR="00476CD0">
        <w:t>Phase III</w:t>
      </w:r>
      <w:r w:rsidRPr="00B40C5E">
        <w:t xml:space="preserve"> studies, 543 subjects in 4 SOF/VEL/VOX or SOF/VEL+VOX </w:t>
      </w:r>
      <w:r w:rsidR="00476CD0">
        <w:t>Phase II</w:t>
      </w:r>
      <w:r w:rsidRPr="00B40C5E">
        <w:t xml:space="preserve"> studies and 418 subjects in 7 SOF/VEL/VOX, SOF/VEL+VOX, or SOF/VEL/VOX+VOX </w:t>
      </w:r>
      <w:r w:rsidR="00476CD0">
        <w:t>Phase I</w:t>
      </w:r>
      <w:r w:rsidRPr="00B40C5E">
        <w:t xml:space="preserve"> studies. Of the 1912 subjects who were randomised or enrolled into the 4 </w:t>
      </w:r>
      <w:r w:rsidR="00476CD0">
        <w:t>Phase III</w:t>
      </w:r>
      <w:r w:rsidRPr="00B40C5E">
        <w:t xml:space="preserve"> studies that comprise the Integrated </w:t>
      </w:r>
      <w:r w:rsidR="00476CD0">
        <w:t>Phase III</w:t>
      </w:r>
      <w:r w:rsidRPr="00B40C5E">
        <w:t xml:space="preserve"> Safety Population, 1</w:t>
      </w:r>
      <w:r w:rsidR="00D51BB6">
        <w:t>,</w:t>
      </w:r>
      <w:r w:rsidRPr="00B40C5E">
        <w:t>908 received at least 1 dose of study drug and were included in the Safety Analysis Set. This Safety Analysis Set included 611 subjects who received at least 1 dose of the SOF/VEL/VOX 8</w:t>
      </w:r>
      <w:r w:rsidR="00AA5E62">
        <w:t xml:space="preserve"> week</w:t>
      </w:r>
      <w:r w:rsidRPr="00B40C5E">
        <w:t xml:space="preserve"> regimen, 445 subjects who received at least 1 dose of the SOF/VEL/VOX 12</w:t>
      </w:r>
      <w:r w:rsidR="00AA5E62">
        <w:t xml:space="preserve"> week</w:t>
      </w:r>
      <w:r w:rsidRPr="00B40C5E">
        <w:t xml:space="preserve"> regimen, 700 subjects who received at least 1 dose of the SOF/VEL 12</w:t>
      </w:r>
      <w:r w:rsidR="00AA5E62">
        <w:t xml:space="preserve"> week</w:t>
      </w:r>
      <w:r w:rsidRPr="00B40C5E">
        <w:t xml:space="preserve"> regimen and 152 subjects who received at least 1 dose of the Placebo 12</w:t>
      </w:r>
      <w:r w:rsidR="00AA5E62">
        <w:t xml:space="preserve"> week</w:t>
      </w:r>
      <w:r w:rsidRPr="00B40C5E">
        <w:t xml:space="preserve"> regimen.</w:t>
      </w:r>
    </w:p>
    <w:p w:rsidR="00476CD0" w:rsidRDefault="00B40C5E" w:rsidP="00B40C5E">
      <w:r w:rsidRPr="00B40C5E">
        <w:t xml:space="preserve">The demographic and baseline disease </w:t>
      </w:r>
      <w:r w:rsidR="00D51BB6">
        <w:t xml:space="preserve">characteristics of the 1056 HCV </w:t>
      </w:r>
      <w:r w:rsidRPr="00B40C5E">
        <w:t xml:space="preserve">infected subjects who were treated with SOF/VEL/VOX in the Integrated </w:t>
      </w:r>
      <w:r w:rsidR="00476CD0">
        <w:t>Phase III</w:t>
      </w:r>
      <w:r w:rsidRPr="00B40C5E">
        <w:t xml:space="preserve"> Safety Population are </w:t>
      </w:r>
      <w:r w:rsidR="00D51BB6">
        <w:t xml:space="preserve">representative of the broad HCV </w:t>
      </w:r>
      <w:r w:rsidRPr="00B40C5E">
        <w:t xml:space="preserve">infected population, taking into consideration that subjects who received 12 weeks of treatment were </w:t>
      </w:r>
      <w:r w:rsidR="00CE0E69">
        <w:t>DAA experienced</w:t>
      </w:r>
      <w:r w:rsidRPr="00B40C5E">
        <w:t xml:space="preserve"> subjects enrolled in Study GS-US-367-1171 (POLARIS-1) and Study GS-US-367-1170 (POLARIS-4), and those who received 8 weeks of treatment were </w:t>
      </w:r>
      <w:r w:rsidR="00CE0E69">
        <w:t>DAA naive</w:t>
      </w:r>
      <w:r w:rsidRPr="00B40C5E">
        <w:t xml:space="preserve"> subjects enrolled in Study GS-US-367-1172 (POLARIS-2) and Study GS-US-367-1173 (POLARIS-3). Compared to the </w:t>
      </w:r>
      <w:r w:rsidR="00CE0E69">
        <w:t>DAA naive</w:t>
      </w:r>
      <w:r w:rsidRPr="00B40C5E">
        <w:t xml:space="preserve"> subjects receiving 8 weeks of SOF/VEL/VOX, the </w:t>
      </w:r>
      <w:r w:rsidR="00CE0E69">
        <w:t>DAA experienced</w:t>
      </w:r>
      <w:r w:rsidRPr="00B40C5E">
        <w:t xml:space="preserve"> subjects who received 12 weeks of SOF/VEL/VOX (12 weeks </w:t>
      </w:r>
      <w:r w:rsidR="00AA5E62">
        <w:t>versus</w:t>
      </w:r>
      <w:r w:rsidRPr="00B40C5E">
        <w:t xml:space="preserve"> 8 weeks) were more likely to be male (77.1% </w:t>
      </w:r>
      <w:r w:rsidR="00AA5E62">
        <w:t>versus</w:t>
      </w:r>
      <w:r w:rsidRPr="00B40C5E">
        <w:t xml:space="preserve"> 53.8%), older </w:t>
      </w:r>
      <w:r w:rsidR="00D51BB6">
        <w:t xml:space="preserve">(mean age </w:t>
      </w:r>
      <w:r w:rsidR="000E1116">
        <w:t>(</w:t>
      </w:r>
      <w:r w:rsidR="00D51BB6">
        <w:t>range</w:t>
      </w:r>
      <w:r w:rsidR="000E1116">
        <w:t>)</w:t>
      </w:r>
      <w:r w:rsidR="00D51BB6">
        <w:t xml:space="preserve">: 58 years </w:t>
      </w:r>
      <w:r w:rsidR="000E1116">
        <w:t>(</w:t>
      </w:r>
      <w:r w:rsidR="00D51BB6">
        <w:t xml:space="preserve">24 to </w:t>
      </w:r>
      <w:r w:rsidRPr="00B40C5E">
        <w:t>85 years</w:t>
      </w:r>
      <w:r w:rsidR="000E1116">
        <w:t>)</w:t>
      </w:r>
      <w:r w:rsidRPr="00B40C5E">
        <w:t xml:space="preserve"> </w:t>
      </w:r>
      <w:r w:rsidR="00AA5E62">
        <w:t>versus</w:t>
      </w:r>
      <w:r w:rsidR="00D51BB6">
        <w:t xml:space="preserve"> 53 years </w:t>
      </w:r>
      <w:r w:rsidR="000E1116">
        <w:t>(</w:t>
      </w:r>
      <w:r w:rsidR="00D51BB6">
        <w:t xml:space="preserve">18 to </w:t>
      </w:r>
      <w:r w:rsidRPr="00B40C5E">
        <w:t>78 years</w:t>
      </w:r>
      <w:r w:rsidR="000E1116">
        <w:t>)</w:t>
      </w:r>
      <w:r w:rsidRPr="00B40C5E">
        <w:t xml:space="preserve">), cirrhotic (46.1% </w:t>
      </w:r>
      <w:r w:rsidR="00AA5E62">
        <w:t>versus</w:t>
      </w:r>
      <w:r w:rsidRPr="00B40C5E">
        <w:t xml:space="preserve"> 32.7%) and infected with HCV genotype 1 (51.2% </w:t>
      </w:r>
      <w:r w:rsidR="00AA5E62">
        <w:t>versus</w:t>
      </w:r>
      <w:r w:rsidRPr="00B40C5E">
        <w:t xml:space="preserve"> 38.1%), consistent with the population of patients who have been prioritised for and failed prior treatment with DAAs to date</w:t>
      </w:r>
      <w:r w:rsidR="00476CD0">
        <w:t>.</w:t>
      </w:r>
    </w:p>
    <w:p w:rsidR="00B40C5E" w:rsidRPr="00B40C5E" w:rsidRDefault="00B40C5E" w:rsidP="00B40C5E">
      <w:r w:rsidRPr="00B40C5E">
        <w:t>Overall, the number and characteristics of patients evaluated in the SOF/VEL/VOX clinical study was adequate to assess safety of the proposed FDC in treatment of chronic HCV infection.</w:t>
      </w:r>
    </w:p>
    <w:p w:rsidR="00B40C5E" w:rsidRDefault="00B40C5E" w:rsidP="00B40C5E">
      <w:r w:rsidRPr="00B40C5E">
        <w:t xml:space="preserve">Treatment with SOF/VEL/VOX for 8 or 12 weeks in the Integrated </w:t>
      </w:r>
      <w:r w:rsidR="00476CD0">
        <w:t>Phase III</w:t>
      </w:r>
      <w:r w:rsidRPr="00B40C5E">
        <w:t xml:space="preserve"> Safety Population was safe and well tolerated, irrespective of age, sex, </w:t>
      </w:r>
      <w:proofErr w:type="gramStart"/>
      <w:r w:rsidRPr="00B40C5E">
        <w:t>race</w:t>
      </w:r>
      <w:proofErr w:type="gramEnd"/>
      <w:r w:rsidRPr="00B40C5E">
        <w:t xml:space="preserve"> and cirrhosis status, with no </w:t>
      </w:r>
      <w:r w:rsidR="00AA5E62">
        <w:t>drug related</w:t>
      </w:r>
      <w:r w:rsidRPr="00B40C5E">
        <w:t xml:space="preserve"> SAEs and 1 treatment discontinuation due to AE. In general, the AE profile was similar between subjects receiving SOF/VEL/VOX, SOF/VEL and placebo. Across all groups, there was a low frequency of Grade 3 or 4 AEs, SAEs and AEs leading to discontinuation. Overall, in the Integrated </w:t>
      </w:r>
      <w:r w:rsidR="00476CD0">
        <w:t>Phase III</w:t>
      </w:r>
      <w:r w:rsidRPr="00B40C5E">
        <w:t xml:space="preserve"> safety population, the AE profile was similar between subjects receiving SOF/VEL/VOX, SOF/VEL and placebo. Across all groups, 1.9% of subjects had Grade 3 or 4 AEs, 2.5% had SAEs and 0.4% had AEs leading to </w:t>
      </w:r>
      <w:r w:rsidRPr="00AC0F8C">
        <w:t xml:space="preserve">discontinuation (Table </w:t>
      </w:r>
      <w:r w:rsidR="00AC0F8C" w:rsidRPr="00AC0F8C">
        <w:t>25</w:t>
      </w:r>
      <w:r w:rsidRPr="00AC0F8C">
        <w:t>). The</w:t>
      </w:r>
      <w:r w:rsidRPr="00B40C5E">
        <w:t xml:space="preserve"> only SAE reported in more than 1 subject was cerebral haemorrhage, which was reported for 2 subjects, 1 of whom had poorly controlled hypertension and another who had hypertension as well as diabetes and hyperlipidaemia. There were two deaths, 1 treatment-emergent illicit drug overdose and 1 non-treatment emergent death due to complications from pre-existing hypertension.</w:t>
      </w:r>
    </w:p>
    <w:p w:rsidR="00180E04" w:rsidRDefault="005F50AC" w:rsidP="00180E04">
      <w:pPr>
        <w:pStyle w:val="Tabletitle0"/>
      </w:pPr>
      <w:bookmarkStart w:id="268" w:name="_Ref485290838"/>
      <w:bookmarkStart w:id="269" w:name="_Toc496266309"/>
      <w:r>
        <w:lastRenderedPageBreak/>
        <w:t xml:space="preserve">Table </w:t>
      </w:r>
      <w:r w:rsidR="00AC0F8C">
        <w:t>25</w:t>
      </w:r>
      <w:r>
        <w:t xml:space="preserve">: </w:t>
      </w:r>
      <w:r w:rsidR="00180E04">
        <w:t>Overall summary of adverse events</w:t>
      </w:r>
      <w:r>
        <w:t xml:space="preserve"> in t</w:t>
      </w:r>
      <w:r w:rsidR="00AC0F8C">
        <w:t>he SOF/VEL/VOX integrated Phase </w:t>
      </w:r>
      <w:r>
        <w:t>III</w:t>
      </w:r>
      <w:r w:rsidR="00180E04">
        <w:t xml:space="preserve"> safety population (safety analysis set)</w:t>
      </w:r>
      <w:bookmarkEnd w:id="268"/>
      <w:bookmarkEnd w:id="269"/>
    </w:p>
    <w:p w:rsidR="00180E04" w:rsidRPr="00B40C5E" w:rsidRDefault="005F50AC" w:rsidP="00B40C5E">
      <w:r>
        <w:rPr>
          <w:noProof/>
          <w:lang w:eastAsia="en-AU"/>
        </w:rPr>
        <w:drawing>
          <wp:inline distT="0" distB="0" distL="0" distR="0" wp14:anchorId="66973442" wp14:editId="51BCA45D">
            <wp:extent cx="5400040" cy="2893868"/>
            <wp:effectExtent l="0" t="0" r="0" b="1905"/>
            <wp:docPr id="49" name="Picture 49" descr="Table 25: Overall summary of adverse events in the SOF/VEL/VOX integrated Phase III safety population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2893868"/>
                    </a:xfrm>
                    <a:prstGeom prst="rect">
                      <a:avLst/>
                    </a:prstGeom>
                  </pic:spPr>
                </pic:pic>
              </a:graphicData>
            </a:graphic>
          </wp:inline>
        </w:drawing>
      </w:r>
    </w:p>
    <w:p w:rsidR="00B40C5E" w:rsidRPr="00B40C5E" w:rsidRDefault="00B40C5E" w:rsidP="00B40C5E">
      <w:r w:rsidRPr="00B40C5E">
        <w:t xml:space="preserve">Subjects treated with SOF/VEL/VOX for 8 or 12 weeks had a higher incidence of gastrointestinal AEs (mainly diarrhoea and nausea) compared with subjects treated with SOF/VEL for 12 weeks which was consistent with the known effects of some NS3/4A </w:t>
      </w:r>
      <w:proofErr w:type="spellStart"/>
      <w:r w:rsidR="003A5113">
        <w:t>Pi</w:t>
      </w:r>
      <w:r w:rsidRPr="00B40C5E">
        <w:t>s</w:t>
      </w:r>
      <w:proofErr w:type="spellEnd"/>
      <w:r w:rsidRPr="00B40C5E">
        <w:t>. The incidence of diarrhoea was 17.2%, 18.7%, 6.3% and 12.5% in the SOF/VEL/VOX 8 week, SOF/VEL/VOX 12 week, SOF/VEL 12 week and placebo groups, respectively; corresponding incidence of nausea was 16.9%, 13.3%, 8.9% and 7.7%, respectively. However, the diarrhoea and nausea reported in subjects receiving SOF/VEL/VOX were mostly mild and were not treatment-limiting with no subject discontinuing or interrupting treatment due to diarrhoea or nausea.</w:t>
      </w:r>
    </w:p>
    <w:p w:rsidR="00476CD0" w:rsidRDefault="00B40C5E" w:rsidP="00B40C5E">
      <w:r w:rsidRPr="00B40C5E">
        <w:t xml:space="preserve">Although the structure of VOX contains a sulphonamide which is known to be a frequent cause of allergic drug reactions, there was no signal for allergic reaction among subjects receiving SOF/VEL/VOX with or without a history of </w:t>
      </w:r>
      <w:proofErr w:type="spellStart"/>
      <w:r w:rsidRPr="00B40C5E">
        <w:t>sulfa</w:t>
      </w:r>
      <w:proofErr w:type="spellEnd"/>
      <w:r w:rsidRPr="00B40C5E">
        <w:t xml:space="preserve"> allergy. The incidence of AEs for subjects with a history of </w:t>
      </w:r>
      <w:proofErr w:type="spellStart"/>
      <w:r w:rsidRPr="00B40C5E">
        <w:t>sulfa</w:t>
      </w:r>
      <w:proofErr w:type="spellEnd"/>
      <w:r w:rsidRPr="00B40C5E">
        <w:t xml:space="preserve"> allergy receiving SOF/VEL/VOX was not different from the incidence for subjects receiving SOF/VEL/VOX without a history of </w:t>
      </w:r>
      <w:proofErr w:type="spellStart"/>
      <w:r w:rsidRPr="00B40C5E">
        <w:t>sulfa</w:t>
      </w:r>
      <w:proofErr w:type="spellEnd"/>
      <w:r w:rsidRPr="00B40C5E">
        <w:t xml:space="preserve"> allergy or the incidence for subjects with a history of a </w:t>
      </w:r>
      <w:proofErr w:type="spellStart"/>
      <w:r w:rsidRPr="00B40C5E">
        <w:t>sulfa</w:t>
      </w:r>
      <w:proofErr w:type="spellEnd"/>
      <w:r w:rsidRPr="00B40C5E">
        <w:t xml:space="preserve"> allergy receiving SOF/VEL or placebo. Interpretation may have been limited by small number of subjects with </w:t>
      </w:r>
      <w:proofErr w:type="spellStart"/>
      <w:r w:rsidRPr="00B40C5E">
        <w:t>sulfa</w:t>
      </w:r>
      <w:proofErr w:type="spellEnd"/>
      <w:r w:rsidRPr="00B40C5E">
        <w:t xml:space="preserve"> allergy</w:t>
      </w:r>
      <w:r w:rsidR="00476CD0">
        <w:t>.</w:t>
      </w:r>
    </w:p>
    <w:p w:rsidR="00B40C5E" w:rsidRPr="00B40C5E" w:rsidRDefault="00B40C5E" w:rsidP="00B40C5E">
      <w:r w:rsidRPr="00B40C5E">
        <w:t xml:space="preserve">A comprehensive analysis of safety events historically associated with some antiviral nucleoside/nucleotide inhibitors was performed for SOF/VEL/VOX in the Integrated </w:t>
      </w:r>
      <w:r w:rsidR="00476CD0">
        <w:t>Phase III</w:t>
      </w:r>
      <w:r w:rsidRPr="00B40C5E">
        <w:t xml:space="preserve"> Safety Population, including cardiac events, dermatologic events, pancytopenia events, psychiatric events related to suicide ideation or attempt, pancreatitis events, rhabdomyolysis/ myopathy events and renal events. Cardiac safety was assessed by an analysis of AEs related to cardiac failure or arrhythmias/bradycardia. One subject had a Grade 3 SAE of congestive heart failure</w:t>
      </w:r>
      <w:r w:rsidRPr="00D51BB6">
        <w:rPr>
          <w:vertAlign w:val="superscript"/>
        </w:rPr>
        <w:footnoteReference w:id="56"/>
      </w:r>
      <w:r w:rsidRPr="00B40C5E">
        <w:t xml:space="preserve"> and 3 subjects who received SOF/VEL/VOX experienced cardiac arrhythmias</w:t>
      </w:r>
      <w:r w:rsidR="00D51BB6">
        <w:t>.</w:t>
      </w:r>
      <w:r w:rsidRPr="00D51BB6">
        <w:rPr>
          <w:vertAlign w:val="superscript"/>
        </w:rPr>
        <w:footnoteReference w:id="57"/>
      </w:r>
      <w:r w:rsidR="00476CD0">
        <w:t xml:space="preserve"> </w:t>
      </w:r>
      <w:r w:rsidRPr="00B40C5E">
        <w:t xml:space="preserve">Heart rate analyses among subjects taking a stable beta blocker did not reveal any trend of decreased heart rate during treatment with SOF/VEL/VOX. Notably, no treatment-emergent pancytopenia events, psychiatric events related to suicide ideation or attempt, pancreatitis events, rhabdomyolysis/myopathy events or renal failure were observed in subjects receiving SOF/VEL/VOX. One subject </w:t>
      </w:r>
      <w:r w:rsidRPr="00B40C5E">
        <w:lastRenderedPageBreak/>
        <w:t xml:space="preserve">experienced a dermatologic event of angioedema that led to discontinuation of SOF/VEL/VOX. The angioedema was assessed as unrelated to study drug and attributed to </w:t>
      </w:r>
      <w:proofErr w:type="spellStart"/>
      <w:r w:rsidRPr="00B40C5E">
        <w:t>ramipril</w:t>
      </w:r>
      <w:proofErr w:type="spellEnd"/>
      <w:r w:rsidRPr="00B40C5E">
        <w:t xml:space="preserve"> initiated the day prior to the onset of the AE (one day prior to treatment discontinuation).</w:t>
      </w:r>
    </w:p>
    <w:p w:rsidR="00476CD0" w:rsidRDefault="00B40C5E" w:rsidP="00B40C5E">
      <w:r w:rsidRPr="00B40C5E">
        <w:t xml:space="preserve">In the </w:t>
      </w:r>
      <w:r w:rsidR="00476CD0">
        <w:t>Phase III</w:t>
      </w:r>
      <w:r w:rsidRPr="00B40C5E">
        <w:t xml:space="preserve"> Integrated Safety Population, graded laboratory abnormalities were observed more often in the Placebo 12 Week group (75.7%) and SOF/VEL/VOX 12 Week group (68.9%) compared to the SOF/VEL/VOX 8 Week group (57.8%) and SOF/VEL 12 Week group (58.7%), largely due to the higher rates of graded ALT and AST abnormalities consistent with untreated HCV infection. The higher incidence of graded laboratory abnormalities in the SOF/VEL/VOX 12 Week group compared to the 8 Week group was mostly due to more subjects in the 12 week group with Grade 1 or 2 laboratory abnormalities (62.4%), notably in decreased platelets and increased total bilirubin, consistent with more subjects with cirrhosis enrolled in the 12</w:t>
      </w:r>
      <w:r w:rsidR="00AA5E62">
        <w:t xml:space="preserve"> week</w:t>
      </w:r>
      <w:r w:rsidRPr="00B40C5E">
        <w:t xml:space="preserve"> duration regimen in the studies for </w:t>
      </w:r>
      <w:r w:rsidR="00CE0E69">
        <w:t>DAA experienced</w:t>
      </w:r>
      <w:r w:rsidRPr="00B40C5E">
        <w:t xml:space="preserve"> subjects</w:t>
      </w:r>
      <w:r w:rsidR="00476CD0">
        <w:t>.</w:t>
      </w:r>
    </w:p>
    <w:p w:rsidR="00B40C5E" w:rsidRPr="00B40C5E" w:rsidRDefault="00B40C5E" w:rsidP="00B40C5E">
      <w:r w:rsidRPr="00B40C5E">
        <w:t>The rate of Grade 3 or 4 laboratory abnormalities in the SOF/VEL/VOX groups was similar to the SOF/VEL group and lower than the Placebo group. A similar pattern of Grade 3 or 4 laboratory abnormalities was seen across the groups. In the SOF/VEL/VOX groups, Grade 3 elevations in glucose were seen in a small number of subjects (2.2%), all of whom had diabetes and/or elevations in glucose prior to dosing. Grade 4 elevations observed during treatment with SOF/VEL/VOX included lipase (5 subjects with asymptomatic, single isolated or transient, intermittent events) and creatine kinase (4 subjects with elevations related to exercise with no cases of rhabdomyolysis).</w:t>
      </w:r>
    </w:p>
    <w:p w:rsidR="00B40C5E" w:rsidRPr="00B40C5E" w:rsidRDefault="00B40C5E" w:rsidP="00B40C5E">
      <w:r w:rsidRPr="00B40C5E">
        <w:t xml:space="preserve">The overall safety profile for the </w:t>
      </w:r>
      <w:r w:rsidR="00476CD0">
        <w:t>Phase II</w:t>
      </w:r>
      <w:r w:rsidRPr="00B40C5E">
        <w:t xml:space="preserve"> Safety Population was similar to that of the Integrated </w:t>
      </w:r>
      <w:r w:rsidR="00476CD0">
        <w:t>Phase III</w:t>
      </w:r>
      <w:r w:rsidRPr="00B40C5E">
        <w:t xml:space="preserve"> Safety Population. Treatment with SOF/VEL/VOX and SOF/VEL+VOX was generally safe and well tolerated. Overall, SOF/VEL/VOX, SOF/VEL+VOX were</w:t>
      </w:r>
      <w:r w:rsidR="00476CD0">
        <w:t xml:space="preserve"> </w:t>
      </w:r>
      <w:r w:rsidRPr="00B40C5E">
        <w:t xml:space="preserve">generally well tolerated in the </w:t>
      </w:r>
      <w:r w:rsidR="00476CD0">
        <w:t>Phase I</w:t>
      </w:r>
      <w:r w:rsidRPr="00B40C5E">
        <w:t xml:space="preserve"> studies, and no safety signal was identified.</w:t>
      </w:r>
    </w:p>
    <w:p w:rsidR="00D51BB6" w:rsidRDefault="00B40C5E" w:rsidP="00B40C5E">
      <w:r w:rsidRPr="00B40C5E">
        <w:t xml:space="preserve">Due to the known association of some NS3/4A </w:t>
      </w:r>
      <w:proofErr w:type="spellStart"/>
      <w:r w:rsidR="003A5113">
        <w:t>Pi</w:t>
      </w:r>
      <w:r w:rsidRPr="00B40C5E">
        <w:t>s</w:t>
      </w:r>
      <w:proofErr w:type="spellEnd"/>
      <w:r w:rsidRPr="00B40C5E">
        <w:t xml:space="preserve"> with hepatotoxicity, particular attention was given to hepatic events and </w:t>
      </w:r>
      <w:r w:rsidR="003A5113">
        <w:t>liver related</w:t>
      </w:r>
      <w:r w:rsidRPr="00B40C5E">
        <w:t xml:space="preserve"> abnormalities in the SOF/VEL/VOX clinical development program. The rates of Grade 3 or 4 elevations in total bilirubin, ALT and AST among subjects receiving SOF/VEL/VOX were low and similar to those receiving SOF/VEL.</w:t>
      </w:r>
      <w:r w:rsidR="00476CD0">
        <w:t xml:space="preserve"> </w:t>
      </w:r>
      <w:r w:rsidRPr="00B40C5E">
        <w:t xml:space="preserve">Slight increases in total bilirubin values were observed, consistent with VOX inhibition of OATP1B1 and OATP1B3. No pattern of VOX-associated ALT elevation was observed; of the 1056 subjects receiving SOF/VEL/VOX in the Integrated </w:t>
      </w:r>
      <w:r w:rsidR="00476CD0">
        <w:t>Phase III</w:t>
      </w:r>
      <w:r w:rsidRPr="00B40C5E">
        <w:t xml:space="preserve"> Safety Population, 1 subject had a Grade 3 elevation in ALT (0.1%) and none </w:t>
      </w:r>
      <w:r w:rsidR="00D51BB6">
        <w:t>had a Grade 4 elevation in ALT.</w:t>
      </w:r>
    </w:p>
    <w:p w:rsidR="00D51BB6" w:rsidRDefault="00B40C5E" w:rsidP="00B40C5E">
      <w:r w:rsidRPr="00B40C5E">
        <w:t xml:space="preserve">Seventeen subjects (1.6%) met prespecified criteria for on-treatment elevations in </w:t>
      </w:r>
      <w:r w:rsidR="003A5113">
        <w:t>liver related</w:t>
      </w:r>
      <w:r w:rsidRPr="00B40C5E">
        <w:t xml:space="preserve"> laboratory parameters (</w:t>
      </w:r>
      <w:r w:rsidR="009140CB">
        <w:t>for example</w:t>
      </w:r>
      <w:r w:rsidRPr="00B40C5E">
        <w:t xml:space="preserve">, total bilirubin, ALT and AST). This rate was comparable to that in the SOF/VEL group (8 subjects, 1.1%) and lower than that in the Placebo group (8 subjects, 5.2%). Of these 17 subjects meeting the prespecified criteria in the SOF/VEL/VOX groups, 8 subjects with ALT </w:t>
      </w:r>
      <w:r w:rsidR="00476CD0">
        <w:t xml:space="preserve">&gt; </w:t>
      </w:r>
      <w:r w:rsidRPr="00B40C5E">
        <w:t xml:space="preserve">5 </w:t>
      </w:r>
      <w:r w:rsidR="00D51BB6">
        <w:t>x</w:t>
      </w:r>
      <w:r w:rsidRPr="00B40C5E">
        <w:t xml:space="preserve"> </w:t>
      </w:r>
      <w:r w:rsidR="009E6C8F">
        <w:rPr>
          <w:rFonts w:eastAsia="TimesNewRoman" w:cs="TimesNewRoman"/>
        </w:rPr>
        <w:t>upper limit of normal</w:t>
      </w:r>
      <w:r w:rsidR="009E6C8F" w:rsidRPr="00B40C5E">
        <w:t xml:space="preserve"> </w:t>
      </w:r>
      <w:r w:rsidR="009E6C8F">
        <w:t>(</w:t>
      </w:r>
      <w:r w:rsidRPr="00B40C5E">
        <w:t>ULN</w:t>
      </w:r>
      <w:r w:rsidR="009E6C8F">
        <w:t>)</w:t>
      </w:r>
      <w:r w:rsidRPr="00B40C5E">
        <w:t xml:space="preserve"> had elevated values at screening and/or baseline, with a subsequent decline on treatment with viral suppression, 8 subjects with total bilirubin </w:t>
      </w:r>
      <w:r w:rsidR="00476CD0">
        <w:t xml:space="preserve">&gt; </w:t>
      </w:r>
      <w:r w:rsidRPr="00B40C5E">
        <w:t xml:space="preserve">2 </w:t>
      </w:r>
      <w:r w:rsidR="00D51BB6">
        <w:t>x</w:t>
      </w:r>
      <w:r w:rsidRPr="00B40C5E">
        <w:t xml:space="preserve"> ULN had cirrhosis and/or elevated values at screening or baseline and 1 subject met all criteria who had cirrhosis and heavy alcohol use c</w:t>
      </w:r>
      <w:r w:rsidR="00D51BB6">
        <w:t>onfirmed during post treatment.</w:t>
      </w:r>
    </w:p>
    <w:p w:rsidR="00B40C5E" w:rsidRPr="00B40C5E" w:rsidRDefault="00B40C5E" w:rsidP="00B40C5E">
      <w:r w:rsidRPr="00B40C5E">
        <w:t xml:space="preserve">Overall, potential hepatotoxicity of the proposed SOF/VEL/VOX was adequately evaluated in the clinical studies and of the 46 cases reviewed by the IAC in the Integrated </w:t>
      </w:r>
      <w:r w:rsidR="00476CD0">
        <w:t>Phase III</w:t>
      </w:r>
      <w:r w:rsidRPr="00B40C5E">
        <w:t xml:space="preserve"> and </w:t>
      </w:r>
      <w:r w:rsidR="00476CD0">
        <w:t>Phase II</w:t>
      </w:r>
      <w:r w:rsidRPr="00B40C5E">
        <w:t xml:space="preserve"> Safety </w:t>
      </w:r>
      <w:r w:rsidR="00D51BB6" w:rsidRPr="00B40C5E">
        <w:t>Population;</w:t>
      </w:r>
      <w:r w:rsidRPr="00B40C5E">
        <w:t xml:space="preserve"> the IAC determined 1 case to be “Possibly” DILI and 1 case to be “Probably DILI”.</w:t>
      </w:r>
    </w:p>
    <w:p w:rsidR="00476CD0" w:rsidRDefault="00B40C5E" w:rsidP="00B40C5E">
      <w:r w:rsidRPr="00B40C5E">
        <w:t xml:space="preserve">Overall, treatment with SOF/VEL/VOX for 8 or 12 weeks in HCV-infected subjects in the Integrated </w:t>
      </w:r>
      <w:r w:rsidR="00476CD0">
        <w:t>Phase III</w:t>
      </w:r>
      <w:r w:rsidRPr="00B40C5E">
        <w:t xml:space="preserve"> Safety Population was well tolerated with a low frequency of Grade 3 or 4 AEs, SAEs and AEs leading to discontinuation of SOF/VEL/VOX; no SAEs were assessed as related to SOF/VEL/VOX. Compared to SOF/VEL and placebo, there are similar </w:t>
      </w:r>
      <w:r w:rsidRPr="00B40C5E">
        <w:lastRenderedPageBreak/>
        <w:t>rates of AEs overall, with the only notable difference being</w:t>
      </w:r>
      <w:r w:rsidR="00D51BB6">
        <w:t xml:space="preserve"> increased rates of mild (Grade </w:t>
      </w:r>
      <w:r w:rsidRPr="00B40C5E">
        <w:t>1) nausea and diarrhoea</w:t>
      </w:r>
      <w:r w:rsidR="00476CD0">
        <w:t>.</w:t>
      </w:r>
    </w:p>
    <w:p w:rsidR="00B40C5E" w:rsidRPr="00B40C5E" w:rsidRDefault="00B40C5E" w:rsidP="00B40C5E">
      <w:r w:rsidRPr="00B40C5E">
        <w:t>Limitations of safety data:</w:t>
      </w:r>
    </w:p>
    <w:p w:rsidR="00476CD0" w:rsidRDefault="00B40C5E" w:rsidP="00B40C5E">
      <w:pPr>
        <w:pStyle w:val="ListBullet"/>
      </w:pPr>
      <w:r w:rsidRPr="00B40C5E">
        <w:t>In DAA-treatment naïve HCV patients, addition of VOX in the proposed FDC did not offer any tolerability or safety advantage compared to 12 weeks treatment with the SOF/VEL FDC</w:t>
      </w:r>
      <w:r w:rsidR="00476CD0">
        <w:t>.</w:t>
      </w:r>
    </w:p>
    <w:p w:rsidR="00605AD4" w:rsidRPr="00605AD4" w:rsidRDefault="00B40C5E" w:rsidP="00605AD4">
      <w:pPr>
        <w:pStyle w:val="ListBullet"/>
      </w:pPr>
      <w:r w:rsidRPr="00B40C5E">
        <w:t>Safety of SOF/VEL/VOX FDC was not evaluated in HCV patients with HBV or HIV co-infection or in patients with liver transplants</w:t>
      </w:r>
      <w:r w:rsidR="00D51BB6">
        <w:t>.</w:t>
      </w:r>
    </w:p>
    <w:p w:rsidR="00605AD4" w:rsidRPr="00605AD4" w:rsidRDefault="00605AD4" w:rsidP="00605AD4">
      <w:pPr>
        <w:pStyle w:val="Heading3"/>
        <w:rPr>
          <w:rFonts w:eastAsia="Cambria"/>
        </w:rPr>
      </w:pPr>
      <w:bookmarkStart w:id="270" w:name="_Toc8291127"/>
      <w:r w:rsidRPr="00605AD4">
        <w:rPr>
          <w:rFonts w:eastAsia="Cambria"/>
        </w:rPr>
        <w:t xml:space="preserve">First </w:t>
      </w:r>
      <w:r w:rsidR="00142CB6" w:rsidRPr="00605AD4">
        <w:rPr>
          <w:rFonts w:eastAsia="Cambria"/>
        </w:rPr>
        <w:t>round benefit-risk assessment</w:t>
      </w:r>
      <w:bookmarkEnd w:id="270"/>
    </w:p>
    <w:p w:rsidR="00605AD4" w:rsidRDefault="00605AD4" w:rsidP="00605AD4">
      <w:pPr>
        <w:pStyle w:val="Heading4"/>
      </w:pPr>
      <w:r w:rsidRPr="00605AD4">
        <w:t>First round assessment of benefits</w:t>
      </w:r>
    </w:p>
    <w:p w:rsidR="00755126" w:rsidRPr="00755126" w:rsidRDefault="00AC0F8C" w:rsidP="00F17AFC">
      <w:pPr>
        <w:pStyle w:val="Tabletitle0"/>
      </w:pPr>
      <w:r>
        <w:t>Table 26:</w:t>
      </w:r>
      <w:r w:rsidR="00F17AFC" w:rsidRPr="00F17AFC">
        <w:t xml:space="preserve"> </w:t>
      </w:r>
      <w:r w:rsidR="00F17AFC" w:rsidRPr="00605AD4">
        <w:t>First round assessment of benefits</w:t>
      </w:r>
    </w:p>
    <w:tbl>
      <w:tblPr>
        <w:tblStyle w:val="TableTGAblue"/>
        <w:tblW w:w="0" w:type="auto"/>
        <w:tblLook w:val="04A0" w:firstRow="1" w:lastRow="0" w:firstColumn="1" w:lastColumn="0" w:noHBand="0" w:noVBand="1"/>
      </w:tblPr>
      <w:tblGrid>
        <w:gridCol w:w="4358"/>
        <w:gridCol w:w="4362"/>
      </w:tblGrid>
      <w:tr w:rsidR="00755126" w:rsidRPr="00755126" w:rsidTr="00755126">
        <w:trPr>
          <w:cnfStyle w:val="100000000000" w:firstRow="1" w:lastRow="0" w:firstColumn="0" w:lastColumn="0" w:oddVBand="0" w:evenVBand="0" w:oddHBand="0" w:evenHBand="0" w:firstRowFirstColumn="0" w:firstRowLastColumn="0" w:lastRowFirstColumn="0" w:lastRowLastColumn="0"/>
        </w:trPr>
        <w:tc>
          <w:tcPr>
            <w:tcW w:w="4358" w:type="dxa"/>
          </w:tcPr>
          <w:p w:rsidR="00755126" w:rsidRPr="00755126" w:rsidRDefault="00755126" w:rsidP="00755126">
            <w:pPr>
              <w:ind w:left="0"/>
            </w:pPr>
            <w:r w:rsidRPr="00755126">
              <w:t>Benefits</w:t>
            </w:r>
          </w:p>
        </w:tc>
        <w:tc>
          <w:tcPr>
            <w:tcW w:w="4362" w:type="dxa"/>
          </w:tcPr>
          <w:p w:rsidR="00755126" w:rsidRPr="00755126" w:rsidRDefault="00755126" w:rsidP="00755126">
            <w:pPr>
              <w:ind w:left="0"/>
            </w:pPr>
            <w:r w:rsidRPr="00755126">
              <w:t>Strengths and Uncertainties</w:t>
            </w:r>
          </w:p>
        </w:tc>
      </w:tr>
      <w:tr w:rsidR="00755126" w:rsidRPr="00755126" w:rsidTr="00755126">
        <w:tc>
          <w:tcPr>
            <w:tcW w:w="4358" w:type="dxa"/>
          </w:tcPr>
          <w:p w:rsidR="00755126" w:rsidRPr="00755126" w:rsidRDefault="00755126" w:rsidP="00755126">
            <w:pPr>
              <w:ind w:left="0"/>
            </w:pPr>
            <w:r w:rsidRPr="00755126">
              <w:t xml:space="preserve">Treatment with SOF/VEL/VOX for 12 weeks in </w:t>
            </w:r>
            <w:r w:rsidR="00CE0E69">
              <w:t>DAA experienced</w:t>
            </w:r>
            <w:r w:rsidRPr="00755126">
              <w:t xml:space="preserve"> subjects demonstrated consistently high SVR12 rates.</w:t>
            </w:r>
          </w:p>
        </w:tc>
        <w:tc>
          <w:tcPr>
            <w:tcW w:w="4362" w:type="dxa"/>
          </w:tcPr>
          <w:p w:rsidR="00D51BB6" w:rsidRDefault="00755126" w:rsidP="00D51BB6">
            <w:pPr>
              <w:ind w:left="0"/>
            </w:pPr>
            <w:r w:rsidRPr="00755126">
              <w:t xml:space="preserve">SOF/VEL/VOX administered for 12 weeks in Studies GS-US-367-1171 (POLARIS-1) and GS-US-367-1170 (POLARIS-4) resulted in SVR12 rates of 96.2% and 97.3%, respectively. The contribution of VOX to the regimen was demonstrated in POLARIS-4, where overall and across subgroups SOF/VEL/VOX for 12 weeks led to higher SVR12 rates compared to SOF/VEL for 12 weeks. The SVR12 rates were consistent between the </w:t>
            </w:r>
            <w:r w:rsidR="00476CD0">
              <w:t>Phase II</w:t>
            </w:r>
            <w:r w:rsidRPr="00755126">
              <w:t xml:space="preserve"> and </w:t>
            </w:r>
            <w:r w:rsidR="00476CD0">
              <w:t>Phase III</w:t>
            </w:r>
            <w:r w:rsidRPr="00755126">
              <w:t xml:space="preserve"> studies.</w:t>
            </w:r>
          </w:p>
          <w:p w:rsidR="00755126" w:rsidRPr="00755126" w:rsidRDefault="00755126" w:rsidP="00D51BB6">
            <w:pPr>
              <w:ind w:left="0"/>
            </w:pPr>
            <w:r w:rsidRPr="00755126">
              <w:t xml:space="preserve">No SVR24 data were provided in this submission, although sponsors have assured that these will be provided on completion of the studies. </w:t>
            </w:r>
          </w:p>
        </w:tc>
      </w:tr>
      <w:tr w:rsidR="00755126" w:rsidRPr="00755126" w:rsidTr="00755126">
        <w:tc>
          <w:tcPr>
            <w:tcW w:w="4358" w:type="dxa"/>
          </w:tcPr>
          <w:p w:rsidR="00755126" w:rsidRPr="00755126" w:rsidRDefault="00755126" w:rsidP="00755126">
            <w:pPr>
              <w:ind w:left="0"/>
            </w:pPr>
            <w:r w:rsidRPr="00755126">
              <w:t>There are no currently approved regimens for patients who have not achieved SVR following treatment with the DAA-containing regimens as defined in these studies.</w:t>
            </w:r>
            <w:r w:rsidR="00476CD0">
              <w:t xml:space="preserve"> </w:t>
            </w:r>
            <w:r w:rsidRPr="00755126">
              <w:t xml:space="preserve">The SOF/VEL/VOX FDC was granted Breakthrough Therapy designation by the FDA for the treatment of chronic genotype 1 HCV patients who previously failed an NS5A </w:t>
            </w:r>
            <w:r w:rsidR="003A5113">
              <w:t>inhibitor containing</w:t>
            </w:r>
            <w:r w:rsidRPr="00755126">
              <w:t xml:space="preserve"> regimen.</w:t>
            </w:r>
          </w:p>
        </w:tc>
        <w:tc>
          <w:tcPr>
            <w:tcW w:w="4362" w:type="dxa"/>
          </w:tcPr>
          <w:p w:rsidR="00755126" w:rsidRPr="00755126" w:rsidRDefault="00755126" w:rsidP="00755126">
            <w:pPr>
              <w:ind w:left="0"/>
            </w:pPr>
            <w:r w:rsidRPr="00755126">
              <w:t xml:space="preserve">In POLARIS-1, 61% of patients had failed prior treatment with NS5B+NS5A inhibitor (SOF+LDV was most common prior treatment); 31% had failed prior treatment with NS5A inhibitor + NS3 inhibitor with or without another DAA. In POLARIS-4, 73% of patients had received prior treatment with a NS5B inhibitor and 25% had received NS5B+NS3 inhibitor. </w:t>
            </w:r>
          </w:p>
        </w:tc>
      </w:tr>
      <w:tr w:rsidR="00755126" w:rsidRPr="00755126" w:rsidTr="00755126">
        <w:tc>
          <w:tcPr>
            <w:tcW w:w="4358" w:type="dxa"/>
          </w:tcPr>
          <w:p w:rsidR="00755126" w:rsidRPr="00755126" w:rsidRDefault="00755126" w:rsidP="00755126">
            <w:pPr>
              <w:ind w:left="0"/>
            </w:pPr>
            <w:r w:rsidRPr="00755126">
              <w:t xml:space="preserve">Efficacy of proposed FDC of SOF/VEL/VOX for 12 weeks was shown in HCV adult </w:t>
            </w:r>
            <w:r w:rsidR="00CE0E69">
              <w:t>DAA experienced</w:t>
            </w:r>
            <w:r w:rsidRPr="00755126">
              <w:t xml:space="preserve"> patients across genotypes.</w:t>
            </w:r>
          </w:p>
        </w:tc>
        <w:tc>
          <w:tcPr>
            <w:tcW w:w="4362" w:type="dxa"/>
          </w:tcPr>
          <w:p w:rsidR="00D51BB6" w:rsidRDefault="00755126" w:rsidP="00755126">
            <w:r w:rsidRPr="00755126">
              <w:t xml:space="preserve">POLARIS-1: SVR12 rates following </w:t>
            </w:r>
            <w:r w:rsidR="00476CD0">
              <w:t>Vosevi</w:t>
            </w:r>
            <w:r w:rsidRPr="00755126">
              <w:t xml:space="preserve"> treatment for 12 weeks by HCV genotype were:</w:t>
            </w:r>
          </w:p>
          <w:p w:rsidR="00476CD0" w:rsidRDefault="00755126" w:rsidP="00755126">
            <w:r w:rsidRPr="00755126">
              <w:t>GT-1a</w:t>
            </w:r>
            <w:r w:rsidR="003925CF">
              <w:t xml:space="preserve"> = </w:t>
            </w:r>
            <w:r w:rsidRPr="00755126">
              <w:t>96% (97/101), GT1b</w:t>
            </w:r>
            <w:r w:rsidR="003925CF">
              <w:t xml:space="preserve"> = </w:t>
            </w:r>
            <w:r w:rsidRPr="00755126">
              <w:t>100% (45/45), GT-2</w:t>
            </w:r>
            <w:r w:rsidR="003925CF">
              <w:t xml:space="preserve"> = </w:t>
            </w:r>
            <w:r w:rsidRPr="00755126">
              <w:t>100% (5/5), GT-3</w:t>
            </w:r>
            <w:r w:rsidR="003925CF">
              <w:t xml:space="preserve"> = </w:t>
            </w:r>
            <w:r w:rsidRPr="00755126">
              <w:t>95% (74/78), GT-4</w:t>
            </w:r>
            <w:r w:rsidR="003925CF">
              <w:t xml:space="preserve"> = </w:t>
            </w:r>
            <w:r w:rsidRPr="00755126">
              <w:t>91% (20/22), GT-</w:t>
            </w:r>
            <w:r w:rsidRPr="00755126">
              <w:lastRenderedPageBreak/>
              <w:t>5</w:t>
            </w:r>
            <w:r w:rsidR="003925CF">
              <w:t xml:space="preserve"> = </w:t>
            </w:r>
            <w:r w:rsidRPr="00755126">
              <w:t>100% (1/1), GT-6</w:t>
            </w:r>
            <w:r w:rsidR="003925CF">
              <w:t xml:space="preserve"> = </w:t>
            </w:r>
            <w:r w:rsidRPr="00755126">
              <w:t>100% (6/6). None of subjects in placebo groups achieved SVR4. SVR12 rate was 92.9% in subjects with genotype 3 HCV infection and cirrhosis</w:t>
            </w:r>
            <w:r w:rsidR="00476CD0">
              <w:t>.</w:t>
            </w:r>
          </w:p>
          <w:p w:rsidR="00D51BB6" w:rsidRDefault="00755126" w:rsidP="00D51BB6">
            <w:pPr>
              <w:ind w:left="0"/>
            </w:pPr>
            <w:r w:rsidRPr="00755126">
              <w:t xml:space="preserve">POLARIS-4: SVR12 rates by HCV genotypes following 12 weeks treatment with </w:t>
            </w:r>
            <w:r w:rsidR="00476CD0">
              <w:t>Vosevi</w:t>
            </w:r>
            <w:r w:rsidRPr="00755126">
              <w:t xml:space="preserve"> </w:t>
            </w:r>
            <w:r w:rsidR="00AA5E62">
              <w:t>versus</w:t>
            </w:r>
            <w:r w:rsidRPr="00755126">
              <w:t xml:space="preserve"> SOF/VEL were:</w:t>
            </w:r>
          </w:p>
          <w:p w:rsidR="00D51BB6" w:rsidRPr="00D27C5D" w:rsidRDefault="00755126" w:rsidP="00D27C5D">
            <w:pPr>
              <w:pStyle w:val="TableBullet"/>
              <w:rPr>
                <w:sz w:val="22"/>
                <w:szCs w:val="22"/>
              </w:rPr>
            </w:pPr>
            <w:r w:rsidRPr="00D27C5D">
              <w:rPr>
                <w:sz w:val="22"/>
                <w:szCs w:val="22"/>
              </w:rPr>
              <w:t>GT1a</w:t>
            </w:r>
            <w:r w:rsidR="003925CF" w:rsidRPr="00D27C5D">
              <w:rPr>
                <w:sz w:val="22"/>
                <w:szCs w:val="22"/>
              </w:rPr>
              <w:t xml:space="preserve"> = </w:t>
            </w:r>
            <w:r w:rsidRPr="00D27C5D">
              <w:rPr>
                <w:sz w:val="22"/>
                <w:szCs w:val="22"/>
              </w:rPr>
              <w:t xml:space="preserve">98% (53/54) </w:t>
            </w:r>
            <w:r w:rsidR="00AA5E62" w:rsidRPr="00D27C5D">
              <w:rPr>
                <w:sz w:val="22"/>
                <w:szCs w:val="22"/>
              </w:rPr>
              <w:t>versus</w:t>
            </w:r>
            <w:r w:rsidRPr="00D27C5D">
              <w:rPr>
                <w:sz w:val="22"/>
                <w:szCs w:val="22"/>
              </w:rPr>
              <w:t xml:space="preserve"> 89% (39/44</w:t>
            </w:r>
          </w:p>
          <w:p w:rsidR="00D51BB6" w:rsidRPr="00D27C5D" w:rsidRDefault="00755126" w:rsidP="00D27C5D">
            <w:pPr>
              <w:pStyle w:val="TableBullet"/>
              <w:rPr>
                <w:sz w:val="22"/>
                <w:szCs w:val="22"/>
              </w:rPr>
            </w:pPr>
            <w:r w:rsidRPr="00D27C5D">
              <w:rPr>
                <w:sz w:val="22"/>
                <w:szCs w:val="22"/>
              </w:rPr>
              <w:t>GT-1b</w:t>
            </w:r>
            <w:r w:rsidR="003925CF" w:rsidRPr="00D27C5D">
              <w:rPr>
                <w:sz w:val="22"/>
                <w:szCs w:val="22"/>
              </w:rPr>
              <w:t xml:space="preserve"> = </w:t>
            </w:r>
            <w:r w:rsidRPr="00D27C5D">
              <w:rPr>
                <w:sz w:val="22"/>
                <w:szCs w:val="22"/>
              </w:rPr>
              <w:t xml:space="preserve">96% (23/24) </w:t>
            </w:r>
            <w:r w:rsidR="00AA5E62" w:rsidRPr="00D27C5D">
              <w:rPr>
                <w:sz w:val="22"/>
                <w:szCs w:val="22"/>
              </w:rPr>
              <w:t>versus</w:t>
            </w:r>
            <w:r w:rsidR="00D27C5D">
              <w:rPr>
                <w:sz w:val="22"/>
                <w:szCs w:val="22"/>
              </w:rPr>
              <w:t xml:space="preserve"> 95% (21/22)</w:t>
            </w:r>
          </w:p>
          <w:p w:rsidR="00D51BB6" w:rsidRPr="00D27C5D" w:rsidRDefault="00755126" w:rsidP="00D27C5D">
            <w:pPr>
              <w:pStyle w:val="TableBullet"/>
              <w:rPr>
                <w:sz w:val="22"/>
                <w:szCs w:val="22"/>
              </w:rPr>
            </w:pPr>
            <w:r w:rsidRPr="00D27C5D">
              <w:rPr>
                <w:sz w:val="22"/>
                <w:szCs w:val="22"/>
              </w:rPr>
              <w:t>GT-2</w:t>
            </w:r>
            <w:r w:rsidR="003925CF" w:rsidRPr="00D27C5D">
              <w:rPr>
                <w:sz w:val="22"/>
                <w:szCs w:val="22"/>
              </w:rPr>
              <w:t xml:space="preserve"> = </w:t>
            </w:r>
            <w:r w:rsidRPr="00D27C5D">
              <w:rPr>
                <w:sz w:val="22"/>
                <w:szCs w:val="22"/>
              </w:rPr>
              <w:t xml:space="preserve">100% (31/31) </w:t>
            </w:r>
            <w:r w:rsidR="00AA5E62" w:rsidRPr="00D27C5D">
              <w:rPr>
                <w:sz w:val="22"/>
                <w:szCs w:val="22"/>
              </w:rPr>
              <w:t>versus</w:t>
            </w:r>
            <w:r w:rsidRPr="00D27C5D">
              <w:rPr>
                <w:sz w:val="22"/>
                <w:szCs w:val="22"/>
              </w:rPr>
              <w:t xml:space="preserve"> 97% (32/33)</w:t>
            </w:r>
          </w:p>
          <w:p w:rsidR="00D51BB6" w:rsidRPr="00D27C5D" w:rsidRDefault="00755126" w:rsidP="00D27C5D">
            <w:pPr>
              <w:pStyle w:val="TableBullet"/>
              <w:rPr>
                <w:sz w:val="22"/>
                <w:szCs w:val="22"/>
              </w:rPr>
            </w:pPr>
            <w:r w:rsidRPr="00D27C5D">
              <w:rPr>
                <w:sz w:val="22"/>
                <w:szCs w:val="22"/>
              </w:rPr>
              <w:t>GT-3</w:t>
            </w:r>
            <w:r w:rsidR="003925CF" w:rsidRPr="00D27C5D">
              <w:rPr>
                <w:sz w:val="22"/>
                <w:szCs w:val="22"/>
              </w:rPr>
              <w:t xml:space="preserve"> = </w:t>
            </w:r>
            <w:r w:rsidRPr="00D27C5D">
              <w:rPr>
                <w:sz w:val="22"/>
                <w:szCs w:val="22"/>
              </w:rPr>
              <w:t xml:space="preserve">94% (51/54) </w:t>
            </w:r>
            <w:r w:rsidR="00AA5E62" w:rsidRPr="00D27C5D">
              <w:rPr>
                <w:sz w:val="22"/>
                <w:szCs w:val="22"/>
              </w:rPr>
              <w:t>versus</w:t>
            </w:r>
            <w:r w:rsidRPr="00D27C5D">
              <w:rPr>
                <w:sz w:val="22"/>
                <w:szCs w:val="22"/>
              </w:rPr>
              <w:t xml:space="preserve"> 85% (44/52)</w:t>
            </w:r>
          </w:p>
          <w:p w:rsidR="00755126" w:rsidRPr="00755126" w:rsidRDefault="00755126" w:rsidP="00D27C5D">
            <w:pPr>
              <w:pStyle w:val="TableBullet"/>
            </w:pPr>
            <w:r w:rsidRPr="00D27C5D">
              <w:rPr>
                <w:sz w:val="22"/>
                <w:szCs w:val="22"/>
              </w:rPr>
              <w:t>GT-4</w:t>
            </w:r>
            <w:r w:rsidR="003925CF" w:rsidRPr="00D27C5D">
              <w:rPr>
                <w:sz w:val="22"/>
                <w:szCs w:val="22"/>
              </w:rPr>
              <w:t xml:space="preserve"> = </w:t>
            </w:r>
            <w:r w:rsidRPr="00D27C5D">
              <w:rPr>
                <w:sz w:val="22"/>
                <w:szCs w:val="22"/>
              </w:rPr>
              <w:t xml:space="preserve">100% (19/19) </w:t>
            </w:r>
            <w:r w:rsidR="00AA5E62" w:rsidRPr="00D27C5D">
              <w:rPr>
                <w:sz w:val="22"/>
                <w:szCs w:val="22"/>
              </w:rPr>
              <w:t>versus</w:t>
            </w:r>
            <w:r w:rsidR="00D51BB6" w:rsidRPr="00D27C5D">
              <w:rPr>
                <w:sz w:val="22"/>
                <w:szCs w:val="22"/>
              </w:rPr>
              <w:t xml:space="preserve"> 0/0.</w:t>
            </w:r>
          </w:p>
        </w:tc>
      </w:tr>
      <w:tr w:rsidR="00755126" w:rsidRPr="00755126" w:rsidTr="00755126">
        <w:tc>
          <w:tcPr>
            <w:tcW w:w="4358" w:type="dxa"/>
          </w:tcPr>
          <w:p w:rsidR="00755126" w:rsidRPr="00755126" w:rsidRDefault="00755126" w:rsidP="00755126">
            <w:pPr>
              <w:ind w:left="0"/>
            </w:pPr>
            <w:r w:rsidRPr="00755126">
              <w:lastRenderedPageBreak/>
              <w:t xml:space="preserve">Efficacy of proposed FDC of SOF/VEL/VOX for 12 weeks was shown in HCV adult </w:t>
            </w:r>
            <w:r w:rsidR="00CE0E69">
              <w:t>DAA experienced</w:t>
            </w:r>
            <w:r w:rsidRPr="00755126">
              <w:t xml:space="preserve"> patients with and</w:t>
            </w:r>
            <w:r w:rsidR="00D51BB6">
              <w:t xml:space="preserve"> without compensated cirrhosis.</w:t>
            </w:r>
          </w:p>
        </w:tc>
        <w:tc>
          <w:tcPr>
            <w:tcW w:w="4362" w:type="dxa"/>
          </w:tcPr>
          <w:p w:rsidR="00D51BB6" w:rsidRDefault="00755126" w:rsidP="00D27C5D">
            <w:pPr>
              <w:ind w:left="0" w:right="0"/>
            </w:pPr>
            <w:r w:rsidRPr="00755126">
              <w:t xml:space="preserve">POLARIS-1: SVR12 rate with </w:t>
            </w:r>
            <w:r w:rsidR="00476CD0">
              <w:t>Vosevi</w:t>
            </w:r>
            <w:r w:rsidRPr="00755126">
              <w:t xml:space="preserve"> was:</w:t>
            </w:r>
          </w:p>
          <w:p w:rsidR="00D51BB6" w:rsidRPr="00D27C5D" w:rsidRDefault="00755126" w:rsidP="00D27C5D">
            <w:pPr>
              <w:pStyle w:val="TableBullet"/>
              <w:rPr>
                <w:sz w:val="22"/>
              </w:rPr>
            </w:pPr>
            <w:r w:rsidRPr="00D27C5D">
              <w:rPr>
                <w:sz w:val="22"/>
              </w:rPr>
              <w:t>Without cirrhosis</w:t>
            </w:r>
            <w:r w:rsidR="003925CF" w:rsidRPr="00D27C5D">
              <w:rPr>
                <w:sz w:val="22"/>
              </w:rPr>
              <w:t xml:space="preserve"> = </w:t>
            </w:r>
            <w:r w:rsidRPr="00D27C5D">
              <w:rPr>
                <w:sz w:val="22"/>
              </w:rPr>
              <w:t>98.6% (140/142)</w:t>
            </w:r>
          </w:p>
          <w:p w:rsidR="00476CD0" w:rsidRPr="00D27C5D" w:rsidRDefault="00755126" w:rsidP="00D27C5D">
            <w:pPr>
              <w:pStyle w:val="TableBullet"/>
              <w:rPr>
                <w:sz w:val="22"/>
              </w:rPr>
            </w:pPr>
            <w:r w:rsidRPr="00D27C5D">
              <w:rPr>
                <w:sz w:val="22"/>
              </w:rPr>
              <w:t>With compensated cirrhosis</w:t>
            </w:r>
            <w:r w:rsidR="003925CF" w:rsidRPr="00D27C5D">
              <w:rPr>
                <w:sz w:val="22"/>
              </w:rPr>
              <w:t xml:space="preserve"> = </w:t>
            </w:r>
            <w:r w:rsidRPr="00D27C5D">
              <w:rPr>
                <w:sz w:val="22"/>
              </w:rPr>
              <w:t>93.4% (113/121)</w:t>
            </w:r>
            <w:r w:rsidR="00476CD0" w:rsidRPr="00D27C5D">
              <w:rPr>
                <w:sz w:val="22"/>
              </w:rPr>
              <w:t>.</w:t>
            </w:r>
          </w:p>
          <w:p w:rsidR="00D51BB6" w:rsidRDefault="00755126" w:rsidP="00D51BB6">
            <w:pPr>
              <w:ind w:left="0"/>
            </w:pPr>
            <w:r w:rsidRPr="00755126">
              <w:t xml:space="preserve">POLARIS-4 </w:t>
            </w:r>
            <w:r w:rsidR="00476CD0">
              <w:t>Vosevi</w:t>
            </w:r>
            <w:r w:rsidRPr="00755126">
              <w:t xml:space="preserve"> </w:t>
            </w:r>
            <w:r w:rsidR="00AA5E62">
              <w:t>versus</w:t>
            </w:r>
            <w:r w:rsidR="00D51BB6">
              <w:t xml:space="preserve"> SOF/VEL:</w:t>
            </w:r>
          </w:p>
          <w:p w:rsidR="00755126" w:rsidRPr="00755126" w:rsidRDefault="00755126" w:rsidP="00D51BB6">
            <w:pPr>
              <w:ind w:left="0"/>
            </w:pPr>
            <w:r w:rsidRPr="00755126">
              <w:t xml:space="preserve">Without cirrhosis: 98% (96/98) </w:t>
            </w:r>
            <w:r w:rsidR="00AA5E62">
              <w:t>versus</w:t>
            </w:r>
            <w:r w:rsidRPr="00755126">
              <w:t xml:space="preserve"> 93.9% (77/82) With compensated cirrhosis: 96.4% (81/84) </w:t>
            </w:r>
            <w:r w:rsidR="00AA5E62">
              <w:t>versus</w:t>
            </w:r>
            <w:r w:rsidRPr="00755126">
              <w:t xml:space="preserve"> 85.5% (56/69).</w:t>
            </w:r>
          </w:p>
        </w:tc>
      </w:tr>
      <w:tr w:rsidR="00755126" w:rsidRPr="00755126" w:rsidTr="00755126">
        <w:tc>
          <w:tcPr>
            <w:tcW w:w="4358" w:type="dxa"/>
          </w:tcPr>
          <w:p w:rsidR="00755126" w:rsidRPr="00755126" w:rsidRDefault="00755126" w:rsidP="00755126">
            <w:pPr>
              <w:ind w:left="0"/>
            </w:pPr>
            <w:r w:rsidRPr="00755126">
              <w:t xml:space="preserve">Efficacy of proposed FDC of SOF/VEL/VOX for 12 weeks in HCV adult </w:t>
            </w:r>
            <w:r w:rsidR="00CE0E69">
              <w:t>DAA experienced</w:t>
            </w:r>
            <w:r w:rsidRPr="00755126">
              <w:t xml:space="preserve"> patients was not affected by type of prior DAA treatments. </w:t>
            </w:r>
          </w:p>
        </w:tc>
        <w:tc>
          <w:tcPr>
            <w:tcW w:w="4362" w:type="dxa"/>
          </w:tcPr>
          <w:p w:rsidR="00755126" w:rsidRPr="00755126" w:rsidRDefault="00755126" w:rsidP="00755126">
            <w:pPr>
              <w:ind w:left="0"/>
            </w:pPr>
            <w:r w:rsidRPr="00755126">
              <w:t>POLARIS-1: SVR12 rates by prior HCV treatment regimens were high regardless of prior DAA class combinations: NS5A+NS5B inhibitor</w:t>
            </w:r>
            <w:r w:rsidR="003925CF">
              <w:t xml:space="preserve"> = </w:t>
            </w:r>
            <w:r w:rsidRPr="00755126">
              <w:t>93.8% (151 of 161), NS5A+NS3 inhibitor±NS5B inhibitor</w:t>
            </w:r>
            <w:r w:rsidR="003925CF">
              <w:t xml:space="preserve"> = </w:t>
            </w:r>
            <w:r w:rsidRPr="00755126">
              <w:t>100.0% (83 of 83) or specific DAA combinations: LDV+SOF</w:t>
            </w:r>
            <w:r w:rsidR="003925CF">
              <w:t xml:space="preserve"> = </w:t>
            </w:r>
            <w:r w:rsidRPr="00755126">
              <w:t>94.7% (107 of 113), DCV+SOF</w:t>
            </w:r>
            <w:r w:rsidR="003925CF">
              <w:t xml:space="preserve"> = </w:t>
            </w:r>
            <w:r w:rsidRPr="00755126">
              <w:t>94.3% (33 of 35).</w:t>
            </w:r>
          </w:p>
          <w:p w:rsidR="00D51BB6" w:rsidRDefault="00755126" w:rsidP="00D51BB6">
            <w:pPr>
              <w:ind w:left="0"/>
            </w:pPr>
            <w:r w:rsidRPr="00755126">
              <w:t xml:space="preserve">POLARIS-4: SVR12 rates were higher in the </w:t>
            </w:r>
            <w:r w:rsidR="00476CD0">
              <w:t>Vosevi</w:t>
            </w:r>
            <w:r w:rsidRPr="00755126">
              <w:t xml:space="preserve"> group compared with the SOF/VEL group for all subgroups of prior DAA exposure:</w:t>
            </w:r>
          </w:p>
          <w:p w:rsidR="00D51BB6" w:rsidRDefault="00755126" w:rsidP="00D51BB6">
            <w:pPr>
              <w:ind w:left="0"/>
            </w:pPr>
            <w:r w:rsidRPr="00755126">
              <w:t>Non NS5A+DAAs</w:t>
            </w:r>
            <w:r w:rsidR="003925CF">
              <w:t xml:space="preserve"> = </w:t>
            </w:r>
            <w:r w:rsidRPr="00755126">
              <w:t xml:space="preserve">97.3% </w:t>
            </w:r>
            <w:r w:rsidR="00AA5E62">
              <w:t>versus</w:t>
            </w:r>
            <w:r w:rsidRPr="00755126">
              <w:t xml:space="preserve"> 90%</w:t>
            </w:r>
          </w:p>
          <w:p w:rsidR="00D51BB6" w:rsidRDefault="00755126" w:rsidP="00D51BB6">
            <w:pPr>
              <w:ind w:left="0"/>
            </w:pPr>
            <w:r w:rsidRPr="00755126">
              <w:t>NS5B only</w:t>
            </w:r>
            <w:r w:rsidR="003925CF">
              <w:t xml:space="preserve"> = </w:t>
            </w:r>
            <w:r w:rsidRPr="00755126">
              <w:t xml:space="preserve">97% </w:t>
            </w:r>
            <w:r w:rsidR="00AA5E62">
              <w:t>versus</w:t>
            </w:r>
            <w:r w:rsidRPr="00755126">
              <w:t xml:space="preserve"> 90.8%</w:t>
            </w:r>
          </w:p>
          <w:p w:rsidR="00755126" w:rsidRPr="00755126" w:rsidRDefault="00755126" w:rsidP="00D51BB6">
            <w:pPr>
              <w:ind w:left="0"/>
            </w:pPr>
            <w:r w:rsidRPr="00755126">
              <w:t>NS5B+NS3</w:t>
            </w:r>
            <w:r w:rsidR="003925CF">
              <w:t xml:space="preserve"> = </w:t>
            </w:r>
            <w:r w:rsidRPr="00755126">
              <w:t xml:space="preserve">97.8% </w:t>
            </w:r>
            <w:r w:rsidR="00AA5E62">
              <w:t>versus</w:t>
            </w:r>
            <w:r w:rsidRPr="00755126">
              <w:t xml:space="preserve"> 86.8% </w:t>
            </w:r>
          </w:p>
        </w:tc>
      </w:tr>
      <w:tr w:rsidR="00755126" w:rsidRPr="00755126" w:rsidTr="00755126">
        <w:tc>
          <w:tcPr>
            <w:tcW w:w="4358" w:type="dxa"/>
          </w:tcPr>
          <w:p w:rsidR="00755126" w:rsidRPr="00755126" w:rsidRDefault="00755126" w:rsidP="00755126">
            <w:pPr>
              <w:ind w:left="0"/>
            </w:pPr>
            <w:r w:rsidRPr="00755126">
              <w:t>Simple once daily oral dos</w:t>
            </w:r>
            <w:r w:rsidR="00D51BB6">
              <w:t>ing.</w:t>
            </w:r>
          </w:p>
        </w:tc>
        <w:tc>
          <w:tcPr>
            <w:tcW w:w="4362" w:type="dxa"/>
          </w:tcPr>
          <w:p w:rsidR="00755126" w:rsidRPr="00755126" w:rsidRDefault="00755126" w:rsidP="00755126">
            <w:pPr>
              <w:ind w:left="0"/>
            </w:pPr>
            <w:r w:rsidRPr="00755126">
              <w:t>This may hel</w:t>
            </w:r>
            <w:r w:rsidR="00D51BB6">
              <w:t>p improve treatment compliance.</w:t>
            </w:r>
          </w:p>
        </w:tc>
      </w:tr>
      <w:tr w:rsidR="00755126" w:rsidRPr="00755126" w:rsidTr="00755126">
        <w:tc>
          <w:tcPr>
            <w:tcW w:w="4358" w:type="dxa"/>
          </w:tcPr>
          <w:p w:rsidR="00755126" w:rsidRPr="00755126" w:rsidRDefault="00755126" w:rsidP="00755126">
            <w:pPr>
              <w:ind w:left="0"/>
            </w:pPr>
            <w:r w:rsidRPr="00755126">
              <w:t xml:space="preserve">Baseline RAV status did not affect efficacy of proposed SOF/VEL/VOX FDC and it was effective against substitutions </w:t>
            </w:r>
            <w:r w:rsidRPr="00755126">
              <w:lastRenderedPageBreak/>
              <w:t xml:space="preserve">associated with resistance to other classes of DAAs with </w:t>
            </w:r>
            <w:r w:rsidR="00D51BB6">
              <w:t>different mechanisms of action.</w:t>
            </w:r>
          </w:p>
        </w:tc>
        <w:tc>
          <w:tcPr>
            <w:tcW w:w="4362" w:type="dxa"/>
          </w:tcPr>
          <w:p w:rsidR="00755126" w:rsidRPr="00755126" w:rsidRDefault="00755126" w:rsidP="00755126">
            <w:pPr>
              <w:ind w:left="0"/>
            </w:pPr>
            <w:r w:rsidRPr="00755126">
              <w:lastRenderedPageBreak/>
              <w:t xml:space="preserve">In POLARIS-1, SVR12 was achieved for 97% (199/205) and 98% (42/43) with or without any NS3 or NS5A RAVs, </w:t>
            </w:r>
            <w:r w:rsidRPr="00755126">
              <w:lastRenderedPageBreak/>
              <w:t>respectively; SVR12 was achieved in 95% (18/199) patients with baseline NS5B RAVs.</w:t>
            </w:r>
          </w:p>
          <w:p w:rsidR="00755126" w:rsidRPr="00755126" w:rsidRDefault="00755126" w:rsidP="00755126">
            <w:pPr>
              <w:ind w:left="0"/>
            </w:pPr>
            <w:r w:rsidRPr="00755126">
              <w:t>In POLARIS-4, SVR12 was achieved for 100% (83/83) and 99% (84/85) with or without any NS3 or NS5A RAVs, respectively; SVR12 was achieved in 100% (14/14) patients with baseline NS5B RAVs.</w:t>
            </w:r>
          </w:p>
        </w:tc>
      </w:tr>
      <w:tr w:rsidR="00755126" w:rsidRPr="00755126" w:rsidTr="00755126">
        <w:tc>
          <w:tcPr>
            <w:tcW w:w="4358" w:type="dxa"/>
          </w:tcPr>
          <w:p w:rsidR="00D51BB6" w:rsidRDefault="00755126" w:rsidP="00D51BB6">
            <w:pPr>
              <w:ind w:left="0"/>
            </w:pPr>
            <w:r w:rsidRPr="00755126">
              <w:lastRenderedPageBreak/>
              <w:t xml:space="preserve">SVR12 rates following treatment with 8 weeks of </w:t>
            </w:r>
            <w:r w:rsidR="00476CD0">
              <w:t>Vosevi</w:t>
            </w:r>
            <w:r w:rsidRPr="00755126">
              <w:t xml:space="preserve"> and 12 weeks of SOF/VEL were similar in DAA-</w:t>
            </w:r>
            <w:r w:rsidR="003A5113">
              <w:t>treatment naïve</w:t>
            </w:r>
            <w:r w:rsidRPr="00755126">
              <w:t xml:space="preserve"> patients with HCV genotype 3 and com</w:t>
            </w:r>
            <w:r w:rsidR="00D51BB6">
              <w:t>pensated cirrhosis (POLARIS-3).</w:t>
            </w:r>
          </w:p>
          <w:p w:rsidR="00755126" w:rsidRPr="00755126" w:rsidRDefault="00755126" w:rsidP="00D51BB6">
            <w:pPr>
              <w:ind w:left="0"/>
            </w:pPr>
            <w:r w:rsidRPr="00755126">
              <w:t>The reduced duration of treatment could potentially help to improve treatment adherence in regions of the world where ge</w:t>
            </w:r>
            <w:r w:rsidR="00D51BB6">
              <w:t>notype 3 HCV is more prevalent.</w:t>
            </w:r>
          </w:p>
        </w:tc>
        <w:tc>
          <w:tcPr>
            <w:tcW w:w="4362" w:type="dxa"/>
          </w:tcPr>
          <w:p w:rsidR="00476CD0" w:rsidRDefault="00755126" w:rsidP="00D27C5D">
            <w:pPr>
              <w:ind w:left="0" w:right="0"/>
            </w:pPr>
            <w:r w:rsidRPr="00755126">
              <w:t>However, there was inadequate evidence to support 8 weeks treatment with SOF/VEL/VOX over currently approved treatment with SOF/VEL (for 12 weeks) in HCV patients with other genotypes (POLARIS-2)</w:t>
            </w:r>
            <w:r w:rsidR="00476CD0">
              <w:t>.</w:t>
            </w:r>
          </w:p>
          <w:p w:rsidR="00755126" w:rsidRPr="00755126" w:rsidRDefault="00755126" w:rsidP="00755126">
            <w:pPr>
              <w:ind w:left="0"/>
            </w:pPr>
            <w:r w:rsidRPr="00755126">
              <w:t>Efficacy of 12 weeks treatment with SOF/VEL/VOX in DAA-</w:t>
            </w:r>
            <w:r w:rsidR="003A5113">
              <w:t>treatment naïve</w:t>
            </w:r>
            <w:r w:rsidRPr="00755126">
              <w:t xml:space="preserve"> HCV patients was not evaluated.</w:t>
            </w:r>
          </w:p>
        </w:tc>
      </w:tr>
    </w:tbl>
    <w:p w:rsidR="00AC3806" w:rsidRPr="00500337" w:rsidRDefault="00AC3806" w:rsidP="00A95AB7">
      <w:pPr>
        <w:pStyle w:val="TableDescription"/>
      </w:pPr>
      <w:r>
        <w:t xml:space="preserve">DCV: </w:t>
      </w:r>
      <w:proofErr w:type="spellStart"/>
      <w:r>
        <w:t>Daclatasvir</w:t>
      </w:r>
      <w:proofErr w:type="spellEnd"/>
      <w:r>
        <w:t xml:space="preserve"> (BMS-790052)</w:t>
      </w:r>
    </w:p>
    <w:p w:rsidR="00605AD4" w:rsidRDefault="00605AD4" w:rsidP="00605AD4">
      <w:pPr>
        <w:pStyle w:val="Heading4"/>
      </w:pPr>
      <w:r w:rsidRPr="00605AD4">
        <w:t>First round assessment of risks</w:t>
      </w:r>
    </w:p>
    <w:p w:rsidR="00F17AFC" w:rsidRPr="00F17AFC" w:rsidRDefault="00AC0F8C" w:rsidP="00F17AFC">
      <w:pPr>
        <w:pStyle w:val="Tabletitle0"/>
      </w:pPr>
      <w:r>
        <w:t>Table 27:</w:t>
      </w:r>
      <w:r w:rsidR="00F17AFC">
        <w:t xml:space="preserve"> </w:t>
      </w:r>
      <w:r w:rsidR="00F17AFC" w:rsidRPr="00605AD4">
        <w:t>First round assessment of risks</w:t>
      </w:r>
    </w:p>
    <w:tbl>
      <w:tblPr>
        <w:tblStyle w:val="TableTGAblue"/>
        <w:tblW w:w="0" w:type="auto"/>
        <w:tblLook w:val="04A0" w:firstRow="1" w:lastRow="0" w:firstColumn="1" w:lastColumn="0" w:noHBand="0" w:noVBand="1"/>
      </w:tblPr>
      <w:tblGrid>
        <w:gridCol w:w="4360"/>
        <w:gridCol w:w="4360"/>
      </w:tblGrid>
      <w:tr w:rsidR="00F17AFC" w:rsidRPr="00F17AFC" w:rsidTr="00F17AFC">
        <w:trPr>
          <w:cnfStyle w:val="100000000000" w:firstRow="1" w:lastRow="0" w:firstColumn="0" w:lastColumn="0" w:oddVBand="0" w:evenVBand="0" w:oddHBand="0" w:evenHBand="0" w:firstRowFirstColumn="0" w:firstRowLastColumn="0" w:lastRowFirstColumn="0" w:lastRowLastColumn="0"/>
        </w:trPr>
        <w:tc>
          <w:tcPr>
            <w:tcW w:w="4395" w:type="dxa"/>
          </w:tcPr>
          <w:p w:rsidR="00F17AFC" w:rsidRPr="00F17AFC" w:rsidRDefault="00F17AFC" w:rsidP="00F17AFC">
            <w:pPr>
              <w:ind w:left="0"/>
            </w:pPr>
            <w:r w:rsidRPr="00F17AFC">
              <w:t>Risks</w:t>
            </w:r>
          </w:p>
        </w:tc>
        <w:tc>
          <w:tcPr>
            <w:tcW w:w="4394" w:type="dxa"/>
          </w:tcPr>
          <w:p w:rsidR="00F17AFC" w:rsidRPr="00F17AFC" w:rsidRDefault="00F17AFC" w:rsidP="00F17AFC">
            <w:pPr>
              <w:ind w:left="0"/>
            </w:pPr>
            <w:r w:rsidRPr="00F17AFC">
              <w:t>Strengths and Uncertainties</w:t>
            </w:r>
          </w:p>
        </w:tc>
      </w:tr>
      <w:tr w:rsidR="00F17AFC" w:rsidRPr="00F17AFC" w:rsidTr="00F17AFC">
        <w:tc>
          <w:tcPr>
            <w:tcW w:w="4395" w:type="dxa"/>
          </w:tcPr>
          <w:p w:rsidR="00F17AFC" w:rsidRPr="00F17AFC" w:rsidRDefault="00F17AFC" w:rsidP="00F17AFC">
            <w:pPr>
              <w:ind w:left="0"/>
            </w:pPr>
            <w:r w:rsidRPr="00F17AFC">
              <w:t>Treatment with SOF/VEL/VOX FDC for 8 or 12 weeks was associated with higher incidence of diarrhoea and nausea compared to SOF/VEL or placebo treatment groups. This may potentially affect treatment compliance.</w:t>
            </w:r>
          </w:p>
        </w:tc>
        <w:tc>
          <w:tcPr>
            <w:tcW w:w="4394" w:type="dxa"/>
          </w:tcPr>
          <w:p w:rsidR="00F17AFC" w:rsidRPr="00F17AFC" w:rsidRDefault="00F17AFC" w:rsidP="00F17AFC">
            <w:pPr>
              <w:ind w:left="0"/>
            </w:pPr>
            <w:r w:rsidRPr="00F17AFC">
              <w:t>Diarrhoea and nausea reported in subjects receiving SOF/VEL/VOX were mostly mild and were not treatment-limiting with no subject discontinuing or interrupting treatment due to diarrhoea or nausea.</w:t>
            </w:r>
          </w:p>
        </w:tc>
      </w:tr>
      <w:tr w:rsidR="00F17AFC" w:rsidRPr="00F17AFC" w:rsidTr="00F17AFC">
        <w:tc>
          <w:tcPr>
            <w:tcW w:w="4395" w:type="dxa"/>
          </w:tcPr>
          <w:p w:rsidR="00F17AFC" w:rsidRPr="00F17AFC" w:rsidRDefault="00F17AFC" w:rsidP="00F17AFC">
            <w:pPr>
              <w:ind w:left="0"/>
            </w:pPr>
            <w:r w:rsidRPr="00F17AFC">
              <w:t>Important identified risk of severe bradycardia and heart block when used with concomitant amiodarone.</w:t>
            </w:r>
          </w:p>
          <w:p w:rsidR="00F17AFC" w:rsidRPr="00F17AFC" w:rsidRDefault="00F17AFC" w:rsidP="00F17AFC">
            <w:pPr>
              <w:ind w:left="0"/>
            </w:pPr>
            <w:r w:rsidRPr="00F17AFC">
              <w:t xml:space="preserve">Risks of other drug interactions with moderate and potent inducers of </w:t>
            </w:r>
            <w:proofErr w:type="spellStart"/>
            <w:r w:rsidRPr="00F17AFC">
              <w:t>Pgp</w:t>
            </w:r>
            <w:proofErr w:type="spellEnd"/>
            <w:r w:rsidRPr="00F17AFC">
              <w:t xml:space="preserve">, CYP3A4, CYP2C8 and/or CYP2B6, </w:t>
            </w:r>
            <w:proofErr w:type="spellStart"/>
            <w:r w:rsidRPr="00F17AFC">
              <w:t>P</w:t>
            </w:r>
            <w:r w:rsidR="003A5113">
              <w:t>Pi</w:t>
            </w:r>
            <w:r w:rsidRPr="00F17AFC">
              <w:t>s</w:t>
            </w:r>
            <w:proofErr w:type="spellEnd"/>
            <w:r w:rsidRPr="00F17AFC">
              <w:t xml:space="preserve">, </w:t>
            </w:r>
            <w:proofErr w:type="spellStart"/>
            <w:r w:rsidRPr="00F17AFC">
              <w:t>rosuvastatin</w:t>
            </w:r>
            <w:proofErr w:type="spellEnd"/>
            <w:r w:rsidRPr="00F17AFC">
              <w:t xml:space="preserve">, pravastatin, </w:t>
            </w:r>
            <w:proofErr w:type="spellStart"/>
            <w:r w:rsidRPr="00F17AFC">
              <w:t>Pgp</w:t>
            </w:r>
            <w:proofErr w:type="spellEnd"/>
            <w:r w:rsidRPr="00F17AFC">
              <w:t xml:space="preserve"> substrates with a narrow therapeutic window (</w:t>
            </w:r>
            <w:r w:rsidR="009140CB">
              <w:t>for example</w:t>
            </w:r>
            <w:r w:rsidR="00D51BB6">
              <w:t>, digoxin), TDF.</w:t>
            </w:r>
          </w:p>
        </w:tc>
        <w:tc>
          <w:tcPr>
            <w:tcW w:w="4394" w:type="dxa"/>
          </w:tcPr>
          <w:p w:rsidR="00F17AFC" w:rsidRPr="00F17AFC" w:rsidRDefault="00F17AFC" w:rsidP="00F17AFC">
            <w:pPr>
              <w:ind w:left="0"/>
            </w:pPr>
            <w:r w:rsidRPr="00F17AFC">
              <w:t>Adequate instructions and warnings provided i</w:t>
            </w:r>
            <w:r w:rsidR="00D51BB6">
              <w:t>n the proposed PI, CMI and RMP.</w:t>
            </w:r>
          </w:p>
        </w:tc>
      </w:tr>
      <w:tr w:rsidR="00F17AFC" w:rsidRPr="00F17AFC" w:rsidTr="00F17AFC">
        <w:tc>
          <w:tcPr>
            <w:tcW w:w="4395" w:type="dxa"/>
          </w:tcPr>
          <w:p w:rsidR="00F17AFC" w:rsidRPr="00F17AFC" w:rsidRDefault="00F17AFC" w:rsidP="00F17AFC">
            <w:pPr>
              <w:ind w:left="0"/>
            </w:pPr>
            <w:r w:rsidRPr="00F17AFC">
              <w:t>Risk of development of resistance</w:t>
            </w:r>
          </w:p>
        </w:tc>
        <w:tc>
          <w:tcPr>
            <w:tcW w:w="4394" w:type="dxa"/>
          </w:tcPr>
          <w:p w:rsidR="00F17AFC" w:rsidRPr="00F17AFC" w:rsidRDefault="00F17AFC" w:rsidP="00F17AFC">
            <w:pPr>
              <w:ind w:left="0"/>
            </w:pPr>
          </w:p>
        </w:tc>
      </w:tr>
      <w:tr w:rsidR="00F17AFC" w:rsidRPr="00F17AFC" w:rsidTr="00F17AFC">
        <w:tc>
          <w:tcPr>
            <w:tcW w:w="4395" w:type="dxa"/>
          </w:tcPr>
          <w:p w:rsidR="00F17AFC" w:rsidRPr="00F17AFC" w:rsidRDefault="00F17AFC" w:rsidP="00F17AFC">
            <w:pPr>
              <w:ind w:left="0"/>
            </w:pPr>
            <w:r w:rsidRPr="00F17AFC">
              <w:t>Increased lipases most common grade 3/ 4 laboratory abnormality</w:t>
            </w:r>
          </w:p>
        </w:tc>
        <w:tc>
          <w:tcPr>
            <w:tcW w:w="4394" w:type="dxa"/>
          </w:tcPr>
          <w:p w:rsidR="00F17AFC" w:rsidRPr="00F17AFC" w:rsidRDefault="00F17AFC" w:rsidP="00F17AFC">
            <w:pPr>
              <w:ind w:left="0"/>
            </w:pPr>
            <w:r w:rsidRPr="00F17AFC">
              <w:t>However, none of the Grade 3/ 4 AEs of increased lipases wa</w:t>
            </w:r>
            <w:r w:rsidR="00D51BB6">
              <w:t>s associated with pancreatitis.</w:t>
            </w:r>
          </w:p>
        </w:tc>
      </w:tr>
      <w:tr w:rsidR="00F17AFC" w:rsidRPr="00F17AFC" w:rsidTr="00F17AFC">
        <w:tc>
          <w:tcPr>
            <w:tcW w:w="4395" w:type="dxa"/>
          </w:tcPr>
          <w:p w:rsidR="00F17AFC" w:rsidRPr="00F17AFC" w:rsidRDefault="00F17AFC" w:rsidP="00F17AFC">
            <w:pPr>
              <w:ind w:left="0"/>
            </w:pPr>
            <w:r w:rsidRPr="00F17AFC">
              <w:lastRenderedPageBreak/>
              <w:t>Increased serum glucose was</w:t>
            </w:r>
            <w:r w:rsidR="00D51BB6">
              <w:t xml:space="preserve"> common laboratory abnormality.</w:t>
            </w:r>
          </w:p>
        </w:tc>
        <w:tc>
          <w:tcPr>
            <w:tcW w:w="4394" w:type="dxa"/>
          </w:tcPr>
          <w:p w:rsidR="00F17AFC" w:rsidRPr="00F17AFC" w:rsidRDefault="00F17AFC" w:rsidP="00F17AFC">
            <w:pPr>
              <w:ind w:left="0"/>
            </w:pPr>
            <w:r w:rsidRPr="00F17AFC">
              <w:t>Almost all patients with increased serum glucose had medical history of diabetes.</w:t>
            </w:r>
          </w:p>
        </w:tc>
      </w:tr>
      <w:tr w:rsidR="00F17AFC" w:rsidRPr="00F17AFC" w:rsidTr="00F17AFC">
        <w:tc>
          <w:tcPr>
            <w:tcW w:w="4395" w:type="dxa"/>
          </w:tcPr>
          <w:p w:rsidR="00F17AFC" w:rsidRPr="00F17AFC" w:rsidRDefault="00F17AFC" w:rsidP="00F17AFC">
            <w:pPr>
              <w:ind w:left="0"/>
            </w:pPr>
            <w:r w:rsidRPr="00F17AFC">
              <w:t>Increased total bilirubin</w:t>
            </w:r>
          </w:p>
        </w:tc>
        <w:tc>
          <w:tcPr>
            <w:tcW w:w="4394" w:type="dxa"/>
          </w:tcPr>
          <w:p w:rsidR="00F17AFC" w:rsidRPr="00F17AFC" w:rsidRDefault="00F17AFC" w:rsidP="00F17AFC">
            <w:pPr>
              <w:ind w:left="0"/>
            </w:pPr>
            <w:r w:rsidRPr="00F17AFC">
              <w:t xml:space="preserve">Grade 1 elevations in total bilirubin were not associated with AEs of jaundice and were not clinically significant. These effects of VOX were similar to other NS3/4A </w:t>
            </w:r>
            <w:proofErr w:type="spellStart"/>
            <w:r w:rsidR="003A5113">
              <w:t>Pi</w:t>
            </w:r>
            <w:r w:rsidRPr="00F17AFC">
              <w:t>s</w:t>
            </w:r>
            <w:proofErr w:type="spellEnd"/>
            <w:r w:rsidRPr="00F17AFC">
              <w:t xml:space="preserve"> (which are inhibitors of OATP1B1 and OATP1B3 which transport bilirubin into hepatocytes, likely resulting in the small observe</w:t>
            </w:r>
            <w:r w:rsidR="00D51BB6">
              <w:t>d increase in total bilirubin).</w:t>
            </w:r>
          </w:p>
        </w:tc>
      </w:tr>
      <w:tr w:rsidR="00F17AFC" w:rsidRPr="00F17AFC" w:rsidTr="00F17AFC">
        <w:tc>
          <w:tcPr>
            <w:tcW w:w="4395" w:type="dxa"/>
          </w:tcPr>
          <w:p w:rsidR="00F17AFC" w:rsidRPr="00F17AFC" w:rsidRDefault="00F17AFC" w:rsidP="00D51BB6">
            <w:pPr>
              <w:ind w:left="0"/>
            </w:pPr>
            <w:r w:rsidRPr="00F17AFC">
              <w:t>Lack of SVR24 data following treatment wi</w:t>
            </w:r>
            <w:r w:rsidR="00D51BB6">
              <w:t>th proposed FDC in the pivotal P</w:t>
            </w:r>
            <w:r w:rsidRPr="00F17AFC">
              <w:t xml:space="preserve">hase </w:t>
            </w:r>
            <w:r w:rsidR="00D51BB6">
              <w:t>III</w:t>
            </w:r>
            <w:r w:rsidRPr="00F17AFC">
              <w:t xml:space="preserve"> studies.</w:t>
            </w:r>
          </w:p>
        </w:tc>
        <w:tc>
          <w:tcPr>
            <w:tcW w:w="4394" w:type="dxa"/>
          </w:tcPr>
          <w:p w:rsidR="00F17AFC" w:rsidRPr="00F17AFC" w:rsidRDefault="00F17AFC" w:rsidP="00F17AFC">
            <w:pPr>
              <w:ind w:left="0"/>
            </w:pPr>
            <w:r w:rsidRPr="00F17AFC">
              <w:t>Sponsors have assured that the SVR24 data will be provided in the final CSRs.</w:t>
            </w:r>
          </w:p>
        </w:tc>
      </w:tr>
      <w:tr w:rsidR="00F17AFC" w:rsidRPr="00F17AFC" w:rsidTr="00F17AFC">
        <w:tc>
          <w:tcPr>
            <w:tcW w:w="4395" w:type="dxa"/>
          </w:tcPr>
          <w:p w:rsidR="00F17AFC" w:rsidRPr="00F17AFC" w:rsidRDefault="00F17AFC" w:rsidP="00F17AFC">
            <w:pPr>
              <w:ind w:left="0"/>
            </w:pPr>
            <w:r w:rsidRPr="00F17AFC">
              <w:t xml:space="preserve">No efficacy/ safety data in HCV patients with HBV or HIV co-infection or in liver transplant patients. </w:t>
            </w:r>
          </w:p>
        </w:tc>
        <w:tc>
          <w:tcPr>
            <w:tcW w:w="4394" w:type="dxa"/>
          </w:tcPr>
          <w:p w:rsidR="00F17AFC" w:rsidRPr="00F17AFC" w:rsidRDefault="00F17AFC" w:rsidP="00F17AFC">
            <w:pPr>
              <w:ind w:left="0"/>
            </w:pPr>
          </w:p>
        </w:tc>
      </w:tr>
      <w:tr w:rsidR="00F17AFC" w:rsidRPr="00F17AFC" w:rsidTr="00F17AFC">
        <w:tc>
          <w:tcPr>
            <w:tcW w:w="4395" w:type="dxa"/>
          </w:tcPr>
          <w:p w:rsidR="00F17AFC" w:rsidRPr="00F17AFC" w:rsidRDefault="00F17AFC" w:rsidP="00F17AFC">
            <w:pPr>
              <w:ind w:left="0"/>
            </w:pPr>
            <w:r w:rsidRPr="00F17AFC">
              <w:t>No efficacy/ safety data in children, patients with severe renal impairment, moderate to severe</w:t>
            </w:r>
            <w:r w:rsidR="00D51BB6">
              <w:t xml:space="preserve"> hepatic impairment, pregnancy.</w:t>
            </w:r>
          </w:p>
        </w:tc>
        <w:tc>
          <w:tcPr>
            <w:tcW w:w="4394" w:type="dxa"/>
          </w:tcPr>
          <w:p w:rsidR="00F17AFC" w:rsidRPr="00F17AFC" w:rsidRDefault="00F17AFC" w:rsidP="00F17AFC">
            <w:pPr>
              <w:ind w:left="0"/>
            </w:pPr>
          </w:p>
        </w:tc>
      </w:tr>
    </w:tbl>
    <w:p w:rsidR="00605AD4" w:rsidRPr="00605AD4" w:rsidRDefault="00605AD4" w:rsidP="00605AD4">
      <w:pPr>
        <w:pStyle w:val="Heading4"/>
      </w:pPr>
      <w:r w:rsidRPr="00605AD4">
        <w:t>First round assessment of benefit-risk balance</w:t>
      </w:r>
    </w:p>
    <w:p w:rsidR="00476CD0" w:rsidRDefault="00F17AFC" w:rsidP="00F17AFC">
      <w:r w:rsidRPr="00F17AFC">
        <w:t xml:space="preserve">Chronic hepatitis C virus (HCV) infection is a major public health challenge for Australia and is the most common cause of liver disease requiring liver transplantation in Australia. The burden of liver disease due to HCV is projected to triple by 2030. However, HCV infection is curable, and viral eradication is associated with multiple clinical benefits, including improvement in quality of life, loss of infectivity, </w:t>
      </w:r>
      <w:proofErr w:type="gramStart"/>
      <w:r w:rsidRPr="00F17AFC">
        <w:t>regression</w:t>
      </w:r>
      <w:proofErr w:type="gramEnd"/>
      <w:r w:rsidRPr="00F17AFC">
        <w:t xml:space="preserve"> of cirrhosis, lower risk of liver failure and HCC, and reduction in mortality. Until recently, the treatment of HCV involved interferon therapy, which had limited efficacy and was poorly tolerated. The introduction of </w:t>
      </w:r>
      <w:r w:rsidR="00D43BF2">
        <w:t>direct acting</w:t>
      </w:r>
      <w:r w:rsidRPr="00F17AFC">
        <w:t xml:space="preserve"> antiviral (DAA) therapies for HCV that are highly effective and well tolerated is a major medical advance</w:t>
      </w:r>
      <w:r w:rsidR="00476CD0">
        <w:t>.</w:t>
      </w:r>
    </w:p>
    <w:p w:rsidR="00476CD0" w:rsidRDefault="00F17AFC" w:rsidP="00F17AFC">
      <w:r w:rsidRPr="00F17AFC">
        <w:t xml:space="preserve">The proposed </w:t>
      </w:r>
      <w:r w:rsidR="00476CD0">
        <w:t>Vosevi</w:t>
      </w:r>
      <w:r w:rsidRPr="00F17AFC">
        <w:t xml:space="preserve"> regimen combines 400</w:t>
      </w:r>
      <w:r w:rsidR="00AA5E62">
        <w:t xml:space="preserve"> mg</w:t>
      </w:r>
      <w:r w:rsidRPr="00F17AFC">
        <w:t xml:space="preserve"> of sofosbuvir, a nucleotide </w:t>
      </w:r>
      <w:r w:rsidR="00D51BB6" w:rsidRPr="00F17AFC">
        <w:t>analogue</w:t>
      </w:r>
      <w:r w:rsidRPr="00F17AFC">
        <w:t xml:space="preserve"> NS5B polymerase inhibitor, with 100</w:t>
      </w:r>
      <w:r w:rsidR="00AA5E62">
        <w:t xml:space="preserve"> mg</w:t>
      </w:r>
      <w:r w:rsidRPr="00F17AFC">
        <w:t xml:space="preserve"> of velpatasvir, an NS5A inhibitor, and 100</w:t>
      </w:r>
      <w:r w:rsidR="00AA5E62">
        <w:t xml:space="preserve"> mg</w:t>
      </w:r>
      <w:r w:rsidRPr="00F17AFC">
        <w:t xml:space="preserve"> of voxilaprevir, an investigational pan</w:t>
      </w:r>
      <w:r w:rsidR="00D51BB6">
        <w:t>-</w:t>
      </w:r>
      <w:r w:rsidRPr="00F17AFC">
        <w:t>genotypic NS3/4A protease inhibitor (SOF/VEL/VOX).</w:t>
      </w:r>
      <w:r w:rsidR="00476CD0">
        <w:t xml:space="preserve"> Vosevi</w:t>
      </w:r>
      <w:r w:rsidRPr="00F17AFC">
        <w:t xml:space="preserve"> has been evaluated in a diverse range of subjects with respect to demographic characteristics including prior HCV treatment experience, cirrhosis status and HCV genotype which is representative of the target patient population in all geographic areas</w:t>
      </w:r>
      <w:r w:rsidR="00476CD0">
        <w:t>.</w:t>
      </w:r>
    </w:p>
    <w:p w:rsidR="00F17AFC" w:rsidRPr="00F17AFC" w:rsidRDefault="00F17AFC" w:rsidP="00F17AFC">
      <w:r w:rsidRPr="00F17AFC">
        <w:t>The main evidence to support the proposed SOF/VEL/VOX</w:t>
      </w:r>
      <w:r w:rsidR="00476CD0">
        <w:t xml:space="preserve"> </w:t>
      </w:r>
      <w:r w:rsidRPr="00F17AFC">
        <w:t xml:space="preserve">FDC was provided by two pivotal </w:t>
      </w:r>
      <w:r w:rsidR="00476CD0">
        <w:t>Phase III</w:t>
      </w:r>
      <w:r w:rsidRPr="00F17AFC">
        <w:t xml:space="preserve"> studies (POLARIS-1 and POLARIS-4), which evaluated 12 weeks of the </w:t>
      </w:r>
      <w:r w:rsidR="00D43BF2">
        <w:t>fixed dose</w:t>
      </w:r>
      <w:r w:rsidRPr="00F17AFC">
        <w:t xml:space="preserve"> combination in </w:t>
      </w:r>
      <w:r w:rsidR="00CE0E69">
        <w:t>DAA experienced</w:t>
      </w:r>
      <w:r w:rsidRPr="00F17AFC">
        <w:t xml:space="preserve"> patients with HCV genotypes 1-6, including those who failed prior treatment with an NS5A </w:t>
      </w:r>
      <w:r w:rsidR="003A5113">
        <w:t>inhibitor containing</w:t>
      </w:r>
      <w:r w:rsidRPr="00F17AFC">
        <w:t xml:space="preserve"> regimen. Across the two pivotal </w:t>
      </w:r>
      <w:r w:rsidR="00476CD0">
        <w:t>Phase III</w:t>
      </w:r>
      <w:r w:rsidRPr="00F17AFC">
        <w:t xml:space="preserve"> studies, 97% of patients treated with SOF/VEL/VOX (n</w:t>
      </w:r>
      <w:r w:rsidR="003925CF">
        <w:t xml:space="preserve"> = </w:t>
      </w:r>
      <w:r w:rsidRPr="00F17AFC">
        <w:t xml:space="preserve">430/445) achieved the primary efficacy endpoint of SVR12. In </w:t>
      </w:r>
      <w:r w:rsidR="00CE0E69">
        <w:t>DAA experienced</w:t>
      </w:r>
      <w:r w:rsidRPr="00F17AFC">
        <w:t xml:space="preserve"> subjects without cirrhosis or with compensated cirrhosis, treatment with SOF/VEL/VOX for 12 weeks was a </w:t>
      </w:r>
      <w:r w:rsidRPr="00F17AFC">
        <w:lastRenderedPageBreak/>
        <w:t>highly efficacious treatment for HCV infection regardless of genotype or prior DAA treatment. There was a low rate of virologic failure following treatment with SOF/VEL/VOX administered for 12 weeks and no impact of baseline RAVs on treatment outcome.</w:t>
      </w:r>
    </w:p>
    <w:p w:rsidR="00F17AFC" w:rsidRPr="00F17AFC" w:rsidRDefault="00F17AFC" w:rsidP="00F17AFC">
      <w:r w:rsidRPr="00F17AFC">
        <w:t xml:space="preserve">In these studies, subjects whose only DAA exposure was an NS3/4A </w:t>
      </w:r>
      <w:r w:rsidR="00A34D06">
        <w:t>protease inhibitor</w:t>
      </w:r>
      <w:r w:rsidR="00EA6C30">
        <w:t xml:space="preserve"> </w:t>
      </w:r>
      <w:r w:rsidRPr="00F17AFC">
        <w:t>were excluded, given the availability of approved regimens to treat these individuals (</w:t>
      </w:r>
      <w:r w:rsidR="009140CB">
        <w:t>for example</w:t>
      </w:r>
      <w:r w:rsidRPr="00F17AFC">
        <w:t>, LDV/SOF and SOF/VEL).</w:t>
      </w:r>
    </w:p>
    <w:p w:rsidR="00476CD0" w:rsidRDefault="00F17AFC" w:rsidP="00F17AFC">
      <w:r w:rsidRPr="00F17AFC">
        <w:t xml:space="preserve">The </w:t>
      </w:r>
      <w:r w:rsidR="00F64A30">
        <w:rPr>
          <w:rFonts w:eastAsia="TimesNewRoman" w:cs="TimesNewRoman"/>
        </w:rPr>
        <w:t>marketing authorisation application (</w:t>
      </w:r>
      <w:r w:rsidRPr="00F17AFC">
        <w:t>MAA</w:t>
      </w:r>
      <w:r w:rsidR="00F64A30">
        <w:t>)</w:t>
      </w:r>
      <w:r w:rsidRPr="00F17AFC">
        <w:t xml:space="preserve"> also includes data from two additional </w:t>
      </w:r>
      <w:r w:rsidR="00476CD0">
        <w:t>Phase III</w:t>
      </w:r>
      <w:r w:rsidRPr="00F17AFC">
        <w:t xml:space="preserve"> studies (POLARIS-2 and POLARIS-3), which evaluated 8 weeks of SOF/VEL/VOX in 611 DAA-naïve patients with genotypes 1-6. In POLARIS-3, 96 percent of patients with genotype 3 infection and cirrhosis treated with SOF/VEL/VOX (n</w:t>
      </w:r>
      <w:r w:rsidR="003925CF">
        <w:t xml:space="preserve"> = </w:t>
      </w:r>
      <w:r w:rsidRPr="00F17AFC">
        <w:t>106/110) achieved the primary efficacy endpoint of SVR12. In POLARIS-2, SOF/VEL/VOX for 8 weeks in DAA-naïve subjects demonstrated high SVR12 rates, but did not demonstrate non-inferiority to 12 weeks of treatment with SOF/</w:t>
      </w:r>
      <w:r w:rsidRPr="00AC0F8C">
        <w:t xml:space="preserve">VEL (Table </w:t>
      </w:r>
      <w:r w:rsidR="00AC0F8C" w:rsidRPr="00AC0F8C">
        <w:t>10</w:t>
      </w:r>
      <w:r w:rsidRPr="00AC0F8C">
        <w:t>). This</w:t>
      </w:r>
      <w:r w:rsidRPr="00F17AFC">
        <w:t xml:space="preserve"> difference between the regimens was primarily due to a lower SVR12 rate (91.7%) in subjects with genotype 1a HCV infection treated with SOF/VEL/VOX for 8 weeks.</w:t>
      </w:r>
      <w:r w:rsidR="00476CD0">
        <w:t xml:space="preserve"> </w:t>
      </w:r>
      <w:r w:rsidRPr="00F17AFC">
        <w:t>Overall, there was inadequate evidence to support 8 weeks treatment with SOF./VEL/VOX over currently approved treatment with SOF/VEL in HCV patients with the exception of GT3 with compensated cirrhosis. Furthermore, the proposed PI only provides dosing recommendations in HCV patients who have failed treatment with at least one prior DAA. There are no recommendations regarding DAA-</w:t>
      </w:r>
      <w:r w:rsidR="003A5113">
        <w:t>treatment naïve</w:t>
      </w:r>
      <w:r w:rsidRPr="00F17AFC">
        <w:t xml:space="preserve"> HCV in the proposed PI although the proposed indication is for all adult patients with chronic HCV</w:t>
      </w:r>
      <w:r w:rsidR="00476CD0">
        <w:t>.</w:t>
      </w:r>
    </w:p>
    <w:p w:rsidR="00F17AFC" w:rsidRPr="00F17AFC" w:rsidRDefault="00F17AFC" w:rsidP="00F17AFC">
      <w:r w:rsidRPr="00F17AFC">
        <w:t xml:space="preserve">The SOF/VEL/VOX clinical development program has allowed extensive characterisation of the safety of the proposed FDC especially the high number of subjects with cirrhosis enrolled in the Integrated </w:t>
      </w:r>
      <w:r w:rsidR="00476CD0">
        <w:t>Phase III</w:t>
      </w:r>
      <w:r w:rsidRPr="00F17AFC">
        <w:t xml:space="preserve"> Safety Population provides evidence for safety of the proposed SOF/VEL/VOX FDC in this more vulnerable population. Overall, treatment with SOF/VEL/VOX for 8 or 12 weeks in HCV-infected subjects in the Integrated </w:t>
      </w:r>
      <w:r w:rsidR="00476CD0">
        <w:t>Phase III</w:t>
      </w:r>
      <w:r w:rsidRPr="00F17AFC">
        <w:t xml:space="preserve"> Safety Population was well tolerated with a low frequency of Grade 3 or 4 AEs, SAEs and AEs leading to discontinuation of SOF/VEL/VOX; no SAEs were assessed as related to SOF/VEL/VOX. Compared to SOF/VEL and placebo, there are similar rates of AEs overall, with the only notable difference being increased rates of mild (Grade 1) nausea and diarrhoea.</w:t>
      </w:r>
    </w:p>
    <w:p w:rsidR="00F17AFC" w:rsidRPr="00F17AFC" w:rsidRDefault="00D43BF2" w:rsidP="00F17AFC">
      <w:r>
        <w:t>Direct acting</w:t>
      </w:r>
      <w:r w:rsidR="00F17AFC" w:rsidRPr="00F17AFC">
        <w:t xml:space="preserve"> antiviral treatments have transformed the treatment of chronic hepatitis C. However, for some patients who have failed to achieve a cure with these regimens, effective and </w:t>
      </w:r>
      <w:r w:rsidR="003A5113">
        <w:t>well tolerated</w:t>
      </w:r>
      <w:r w:rsidR="00F17AFC" w:rsidRPr="00F17AFC">
        <w:t xml:space="preserve"> therapies are still needed.</w:t>
      </w:r>
      <w:r w:rsidR="00476CD0">
        <w:t xml:space="preserve"> </w:t>
      </w:r>
      <w:r w:rsidR="00F17AFC" w:rsidRPr="00F17AFC">
        <w:t xml:space="preserve">The proposed </w:t>
      </w:r>
      <w:r w:rsidR="00476CD0">
        <w:t>Vosevi</w:t>
      </w:r>
      <w:r w:rsidR="00F17AFC" w:rsidRPr="00F17AFC">
        <w:t xml:space="preserve"> FDC of SOF/VEL/VOX has the potential to fill that need by offering single tablet dosing and high cure rates across all HCV genotypes for patients with and without cirrhosis, who have failed prior treatment with other highly effective regimens. </w:t>
      </w:r>
      <w:r w:rsidR="00476CD0">
        <w:t>Vosevi</w:t>
      </w:r>
      <w:r w:rsidR="00F17AFC" w:rsidRPr="00F17AFC">
        <w:t xml:space="preserve"> is proposed as a salvage therapy for patients with HCV genotypes 1 through 6 who were not cured with previous treatments of direct acting antivirals.</w:t>
      </w:r>
      <w:r w:rsidR="00476CD0">
        <w:t xml:space="preserve"> </w:t>
      </w:r>
      <w:r w:rsidR="00F17AFC" w:rsidRPr="00F17AFC">
        <w:t xml:space="preserve">The FDA has granted the investigational drug breakthrough therapy designation for the treatment of patients with chronic genotype 1 hepatitis C who have previously failed an NS5A </w:t>
      </w:r>
      <w:r w:rsidR="003A5113">
        <w:t>inhibitor containing</w:t>
      </w:r>
      <w:r w:rsidR="00F17AFC" w:rsidRPr="00F17AFC">
        <w:t xml:space="preserve"> regimen.</w:t>
      </w:r>
    </w:p>
    <w:p w:rsidR="00476CD0" w:rsidRDefault="00F17AFC" w:rsidP="00F17AFC">
      <w:r w:rsidRPr="00F17AFC">
        <w:t>Overall, the cumulative efficacy data support the use of SOF/VEL/VOX for 12 weeks for the treatment of HCV infection in patients who have failed treatment with at least one prior DAA, regardless of genotype, in patients without cirrhosis or with compensated cirrhosis. However, there is inadequate evidence to support use in all DAA-treatment naïve HCV patients; the only definite evidence of efficacy of SOF/VEL/VOX (8 weeks treatment) was in DAA-naïve patients with HCV GT3 infection and compensated cirrhosis. Furthermore, the proposed 12</w:t>
      </w:r>
      <w:r w:rsidR="00AA5E62">
        <w:t xml:space="preserve"> week</w:t>
      </w:r>
      <w:r w:rsidRPr="00F17AFC">
        <w:t xml:space="preserve"> treatment with SOF/VEL/VOX was not evaluated in DAA-</w:t>
      </w:r>
      <w:r w:rsidR="003A5113">
        <w:t>treatment naïve</w:t>
      </w:r>
      <w:r w:rsidRPr="00F17AFC">
        <w:t xml:space="preserve"> patients. The pivotal studies are still on-going and detailed resistance data will be available in the final study reports. The impact of drug resistant HCV variants in patients who do not achieve SVR12 cannot be quantified, but it is a potential risk for the wider </w:t>
      </w:r>
      <w:r w:rsidRPr="00F17AFC">
        <w:lastRenderedPageBreak/>
        <w:t xml:space="preserve">community. However, the overall risk is low because the percentage of patients with virologic failure and relapse following treatment with </w:t>
      </w:r>
      <w:r w:rsidR="00476CD0">
        <w:t>Vosevi</w:t>
      </w:r>
      <w:r w:rsidRPr="00F17AFC">
        <w:t xml:space="preserve"> is extremely low. The proposed FDC of SOF/VEL/VOX was not evaluated in HCV patients with HBV or HIV co-infection or in patients with renal/ liver transplants and patients with decompensated cirrhosis. Hence, the generalised proposed indication which implies that </w:t>
      </w:r>
      <w:r w:rsidR="00476CD0">
        <w:t>Vosevi</w:t>
      </w:r>
      <w:r w:rsidRPr="00F17AFC">
        <w:t xml:space="preserve"> can be used in all adult patients with chronic HCV is not justified</w:t>
      </w:r>
      <w:r w:rsidR="00476CD0">
        <w:t>.</w:t>
      </w:r>
    </w:p>
    <w:p w:rsidR="00476CD0" w:rsidRDefault="00F17AFC" w:rsidP="00F17AFC">
      <w:r w:rsidRPr="00F17AFC">
        <w:t xml:space="preserve">The benefit-risk balance of </w:t>
      </w:r>
      <w:r w:rsidR="00476CD0">
        <w:t>Vosevi</w:t>
      </w:r>
      <w:r w:rsidRPr="00F17AFC">
        <w:t xml:space="preserve"> is unfavourable for the proposed usage (treatment of chronic hepatitis C virus (HCV) infection in adults) but may become favourable if changes recommended </w:t>
      </w:r>
      <w:r w:rsidR="00D51BB6">
        <w:t xml:space="preserve">below </w:t>
      </w:r>
      <w:r w:rsidRPr="00F17AFC">
        <w:t>are adopted</w:t>
      </w:r>
      <w:r w:rsidR="00476CD0">
        <w:t>.</w:t>
      </w:r>
    </w:p>
    <w:p w:rsidR="00605AD4" w:rsidRPr="00605AD4" w:rsidRDefault="00605AD4" w:rsidP="00605AD4">
      <w:pPr>
        <w:pStyle w:val="Heading3"/>
        <w:rPr>
          <w:rFonts w:eastAsia="Cambria"/>
        </w:rPr>
      </w:pPr>
      <w:bookmarkStart w:id="271" w:name="_Toc8291128"/>
      <w:r w:rsidRPr="00605AD4">
        <w:rPr>
          <w:rFonts w:eastAsia="Cambria"/>
        </w:rPr>
        <w:t xml:space="preserve">First </w:t>
      </w:r>
      <w:r w:rsidR="00142CB6" w:rsidRPr="00605AD4">
        <w:rPr>
          <w:rFonts w:eastAsia="Cambria"/>
        </w:rPr>
        <w:t>round recommendation regarding authorisation</w:t>
      </w:r>
      <w:bookmarkEnd w:id="271"/>
    </w:p>
    <w:p w:rsidR="00D51BB6" w:rsidRDefault="00F17AFC" w:rsidP="00F17AFC">
      <w:r w:rsidRPr="00F17AFC">
        <w:t xml:space="preserve">Approval is not recommended for </w:t>
      </w:r>
      <w:r w:rsidR="00476CD0">
        <w:t>Vosevi</w:t>
      </w:r>
      <w:r w:rsidRPr="00F17AFC">
        <w:t xml:space="preserve"> (SOF/VEL/VOX 400/100/100</w:t>
      </w:r>
      <w:r w:rsidR="00AA5E62">
        <w:t xml:space="preserve"> mg</w:t>
      </w:r>
      <w:r w:rsidRPr="00F17AFC">
        <w:t xml:space="preserve">) for proposed indication: </w:t>
      </w:r>
    </w:p>
    <w:p w:rsidR="00F17AFC" w:rsidRPr="00D51BB6" w:rsidRDefault="00476CD0" w:rsidP="00D51BB6">
      <w:pPr>
        <w:ind w:left="720"/>
        <w:rPr>
          <w:i/>
        </w:rPr>
      </w:pPr>
      <w:r w:rsidRPr="00D51BB6">
        <w:rPr>
          <w:i/>
        </w:rPr>
        <w:t>Vosevi</w:t>
      </w:r>
      <w:r w:rsidR="00F17AFC" w:rsidRPr="00D51BB6">
        <w:rPr>
          <w:i/>
        </w:rPr>
        <w:t xml:space="preserve"> (sofosbuvir/velpatasvir/voxilaprevir </w:t>
      </w:r>
      <w:r w:rsidR="00D43BF2" w:rsidRPr="00D51BB6">
        <w:rPr>
          <w:i/>
        </w:rPr>
        <w:t>fixed dose</w:t>
      </w:r>
      <w:r w:rsidR="00F17AFC" w:rsidRPr="00D51BB6">
        <w:rPr>
          <w:i/>
        </w:rPr>
        <w:t xml:space="preserve"> combination) is indicated for the treatment of chronic hepatitis C v</w:t>
      </w:r>
      <w:r w:rsidR="00D51BB6" w:rsidRPr="00D51BB6">
        <w:rPr>
          <w:i/>
        </w:rPr>
        <w:t>irus (HCV) infection in adults.</w:t>
      </w:r>
    </w:p>
    <w:p w:rsidR="00476CD0" w:rsidRDefault="00F17AFC" w:rsidP="00F17AFC">
      <w:r w:rsidRPr="00F17AFC">
        <w:t xml:space="preserve">Overall, the cumulative efficacy data support the use of SOF/VEL/VOX for 12 weeks for the treatment of HCV infection in adult patients who have failed treatment with at least one prior DAA, regardless of genotype, in patients without cirrhosis or with compensated cirrhosis. However, there is inadequate evidence to support use of 8 weeks of treatment with SOF/VEL/VOX in DAA-treatment naïve patients and efficacy of 12 weeks treatment with proposed FDC in DAA-treatment naïve patients was not evaluated. Hence, the wording of the proposed indication should specify that </w:t>
      </w:r>
      <w:r w:rsidR="00476CD0">
        <w:t>Vosevi</w:t>
      </w:r>
      <w:r w:rsidRPr="00F17AFC">
        <w:t xml:space="preserve"> can only be used in patients who have failed at least one prior DAA treatment</w:t>
      </w:r>
      <w:r w:rsidR="00476CD0">
        <w:t>.</w:t>
      </w:r>
    </w:p>
    <w:p w:rsidR="00476CD0" w:rsidRDefault="00F17AFC" w:rsidP="00F17AFC">
      <w:r w:rsidRPr="00F17AFC">
        <w:t>Furthermore, the proposed indication should provide reference to ‘dosing and administration’ and ‘clinical trials’ sections of PI</w:t>
      </w:r>
      <w:r w:rsidR="00476CD0">
        <w:t>.</w:t>
      </w:r>
    </w:p>
    <w:p w:rsidR="00F17AFC" w:rsidRPr="00F17AFC" w:rsidRDefault="00F17AFC" w:rsidP="00F17AFC">
      <w:r w:rsidRPr="00F17AFC">
        <w:t xml:space="preserve">Hence, it is recommended that </w:t>
      </w:r>
      <w:r w:rsidR="00476CD0">
        <w:t>Vosevi</w:t>
      </w:r>
      <w:r w:rsidRPr="00F17AFC">
        <w:t xml:space="preserve"> be approved for the following modified indication:</w:t>
      </w:r>
    </w:p>
    <w:p w:rsidR="00F17AFC" w:rsidRPr="00F17AFC" w:rsidRDefault="00476CD0" w:rsidP="00F17AFC">
      <w:pPr>
        <w:ind w:left="720"/>
        <w:rPr>
          <w:i/>
        </w:rPr>
      </w:pPr>
      <w:r>
        <w:rPr>
          <w:i/>
        </w:rPr>
        <w:t>Vosevi</w:t>
      </w:r>
      <w:r w:rsidR="00F17AFC" w:rsidRPr="00F17AFC">
        <w:rPr>
          <w:i/>
        </w:rPr>
        <w:t xml:space="preserve"> (sofosbuvir/velpatasvir/voxilaprevir </w:t>
      </w:r>
      <w:r w:rsidR="00D43BF2">
        <w:rPr>
          <w:i/>
        </w:rPr>
        <w:t>fixed dose</w:t>
      </w:r>
      <w:r w:rsidR="00F17AFC" w:rsidRPr="00F17AFC">
        <w:rPr>
          <w:i/>
        </w:rPr>
        <w:t xml:space="preserve"> combination) is indicated for the treatment of chronic hepatitis C virus (HCV) infection in adults who have failed treatment with at least one prior DAA, regardless of genotype, in patients without cirrhosis or with compensated cirrhosis (see dosage and admin</w:t>
      </w:r>
      <w:r w:rsidR="00D51BB6">
        <w:rPr>
          <w:i/>
        </w:rPr>
        <w:t xml:space="preserve">istration and clinical trials) </w:t>
      </w:r>
    </w:p>
    <w:p w:rsidR="00F17AFC" w:rsidRPr="00F17AFC" w:rsidRDefault="00F17AFC" w:rsidP="00F17AFC">
      <w:r w:rsidRPr="00F17AFC">
        <w:t>Approval for the above modified indication is also subject to the following:</w:t>
      </w:r>
    </w:p>
    <w:p w:rsidR="00F17AFC" w:rsidRPr="00F17AFC" w:rsidRDefault="00F17AFC" w:rsidP="00F17AFC">
      <w:pPr>
        <w:pStyle w:val="ListBullet"/>
      </w:pPr>
      <w:r w:rsidRPr="00F17AFC">
        <w:t>Incorporation of suggested changes to the proposed PI and CMI.</w:t>
      </w:r>
    </w:p>
    <w:p w:rsidR="00476CD0" w:rsidRDefault="00F17AFC" w:rsidP="00F17AFC">
      <w:pPr>
        <w:pStyle w:val="ListBullet"/>
      </w:pPr>
      <w:r w:rsidRPr="00F17AFC">
        <w:t>Satisfactory response to clinical questions</w:t>
      </w:r>
      <w:r w:rsidR="00476CD0">
        <w:t>.</w:t>
      </w:r>
    </w:p>
    <w:p w:rsidR="00476CD0" w:rsidRDefault="00F17AFC" w:rsidP="00605AD4">
      <w:pPr>
        <w:pStyle w:val="ListBullet"/>
      </w:pPr>
      <w:r w:rsidRPr="00F17AFC">
        <w:t xml:space="preserve">Provision of data evaluating the concordance between SVR12 and SVR24 from the final reports of each of the </w:t>
      </w:r>
      <w:r w:rsidR="00476CD0">
        <w:t>Phase III</w:t>
      </w:r>
      <w:r w:rsidRPr="00F17AFC">
        <w:t xml:space="preserve"> studies of the SOF/VEL/VOX development program (GS-US-367-1171 </w:t>
      </w:r>
      <w:r w:rsidR="000E1116">
        <w:t>(</w:t>
      </w:r>
      <w:r w:rsidRPr="00F17AFC">
        <w:t>POLARIS-1</w:t>
      </w:r>
      <w:r w:rsidR="000E1116">
        <w:t>)</w:t>
      </w:r>
      <w:r w:rsidRPr="00F17AFC">
        <w:t xml:space="preserve">, GS-US-367-1170 </w:t>
      </w:r>
      <w:r w:rsidR="000E1116">
        <w:t>(</w:t>
      </w:r>
      <w:r w:rsidRPr="00F17AFC">
        <w:t>POLARIS-4</w:t>
      </w:r>
      <w:r w:rsidR="000E1116">
        <w:t>)</w:t>
      </w:r>
      <w:r w:rsidRPr="00F17AFC">
        <w:t xml:space="preserve">, GS-US-367-1172 </w:t>
      </w:r>
      <w:r w:rsidR="000E1116">
        <w:t>(</w:t>
      </w:r>
      <w:r w:rsidRPr="00F17AFC">
        <w:t>POLARIS-2</w:t>
      </w:r>
      <w:r w:rsidR="000E1116">
        <w:t>)</w:t>
      </w:r>
      <w:r w:rsidRPr="00F17AFC">
        <w:t xml:space="preserve"> and GS-US-367-1173 </w:t>
      </w:r>
      <w:r w:rsidR="000E1116">
        <w:t>(</w:t>
      </w:r>
      <w:r w:rsidRPr="00F17AFC">
        <w:t>POLARIS-3</w:t>
      </w:r>
      <w:r w:rsidR="000E1116">
        <w:t>)</w:t>
      </w:r>
      <w:r w:rsidRPr="00F17AFC">
        <w:t>)</w:t>
      </w:r>
      <w:r w:rsidR="00476CD0">
        <w:t>.</w:t>
      </w:r>
    </w:p>
    <w:p w:rsidR="00605AD4" w:rsidRPr="00575D6B" w:rsidRDefault="00575D6B" w:rsidP="00605AD4">
      <w:pPr>
        <w:pStyle w:val="Heading3"/>
      </w:pPr>
      <w:bookmarkStart w:id="272" w:name="_Toc8291129"/>
      <w:r w:rsidRPr="002F5122">
        <w:t xml:space="preserve">Clinical </w:t>
      </w:r>
      <w:r w:rsidR="00142CB6" w:rsidRPr="002F5122">
        <w:t>questions</w:t>
      </w:r>
      <w:r w:rsidR="00142CB6">
        <w:t xml:space="preserve"> and </w:t>
      </w:r>
      <w:r w:rsidR="00142CB6" w:rsidRPr="00605AD4">
        <w:rPr>
          <w:rFonts w:eastAsia="Cambria"/>
        </w:rPr>
        <w:t>second round evaluation</w:t>
      </w:r>
      <w:bookmarkEnd w:id="272"/>
    </w:p>
    <w:p w:rsidR="00F17AFC" w:rsidRDefault="00F17AFC" w:rsidP="00F17AFC">
      <w:pPr>
        <w:pStyle w:val="Heading4"/>
      </w:pPr>
      <w:r w:rsidRPr="00F17AFC">
        <w:t>Question 1 (Effic</w:t>
      </w:r>
      <w:r w:rsidR="00045317">
        <w:t>acy):</w:t>
      </w:r>
    </w:p>
    <w:p w:rsidR="00F17AFC" w:rsidRPr="00F17AFC" w:rsidRDefault="00F17AFC" w:rsidP="00F17AFC">
      <w:pPr>
        <w:rPr>
          <w:b/>
          <w:i/>
        </w:rPr>
      </w:pPr>
      <w:r w:rsidRPr="00F17AFC">
        <w:rPr>
          <w:b/>
          <w:i/>
        </w:rPr>
        <w:t xml:space="preserve">Could you please provide SVR24 data from the 4 pivotal </w:t>
      </w:r>
      <w:r w:rsidR="00476CD0">
        <w:rPr>
          <w:b/>
          <w:i/>
        </w:rPr>
        <w:t>Phase III</w:t>
      </w:r>
      <w:r w:rsidRPr="00F17AFC">
        <w:rPr>
          <w:b/>
          <w:i/>
        </w:rPr>
        <w:t xml:space="preserve"> studies, if it has been </w:t>
      </w:r>
      <w:proofErr w:type="gramStart"/>
      <w:r w:rsidRPr="00F17AFC">
        <w:rPr>
          <w:b/>
          <w:i/>
        </w:rPr>
        <w:t>completed.</w:t>
      </w:r>
      <w:proofErr w:type="gramEnd"/>
    </w:p>
    <w:p w:rsidR="00F17AFC" w:rsidRDefault="00D51BB6" w:rsidP="00F17AFC">
      <w:pPr>
        <w:pStyle w:val="Heading5"/>
      </w:pPr>
      <w:r>
        <w:lastRenderedPageBreak/>
        <w:t xml:space="preserve">Sponsor’s </w:t>
      </w:r>
      <w:r w:rsidR="00142CB6">
        <w:t>r</w:t>
      </w:r>
      <w:r>
        <w:t>esponse</w:t>
      </w:r>
    </w:p>
    <w:p w:rsidR="00476CD0" w:rsidRDefault="00F17AFC" w:rsidP="00F17AFC">
      <w:r w:rsidRPr="00F17AFC">
        <w:t>SVR24 data by post-treatment visit for POLARIS-1, POLARIS-2, POLARIS-3 and POLARIS-4 was provided in th</w:t>
      </w:r>
      <w:r w:rsidR="00D51BB6">
        <w:t>e</w:t>
      </w:r>
      <w:r w:rsidRPr="00F17AFC">
        <w:t xml:space="preserve"> response</w:t>
      </w:r>
      <w:r w:rsidR="00476CD0">
        <w:t>.</w:t>
      </w:r>
    </w:p>
    <w:p w:rsidR="00F17AFC" w:rsidRDefault="00F17AFC" w:rsidP="00F17AFC">
      <w:r w:rsidRPr="00F17AFC">
        <w:t>Gilead proposes to update the data from POLARIS-4 and POLARIS-2 in (SVR12 in DAA-Experienced and DAA-Naive Patients With or Without Baseline RAVs) and in (SVR12 by HCV Genotype and Virologic Outcome in POLARIS-4 and POLARIS-2</w:t>
      </w:r>
      <w:r w:rsidR="00D51BB6">
        <w:t xml:space="preserve"> </w:t>
      </w:r>
      <w:r w:rsidRPr="00F17AFC">
        <w:t>based on a post-treatment Week 24 analysis of virologic outcome. In these two studies, there were subjects who were initially counted as not having achieved</w:t>
      </w:r>
      <w:r w:rsidR="00D51BB6">
        <w:t xml:space="preserve"> SVR12 because of a missed post </w:t>
      </w:r>
      <w:r w:rsidRPr="00F17AFC">
        <w:t xml:space="preserve">treatment Week 12 visit who then returned for the post-treatment Week 24 visit and had an HCV RNA </w:t>
      </w:r>
      <w:r w:rsidR="00476CD0">
        <w:t xml:space="preserve">&lt; </w:t>
      </w:r>
      <w:r w:rsidR="00F64A30">
        <w:rPr>
          <w:rFonts w:eastAsia="TimesNewRoman" w:cs="TimesNewRoman"/>
        </w:rPr>
        <w:t>lower limit of quantitation</w:t>
      </w:r>
      <w:r w:rsidR="00F64A30" w:rsidRPr="00F17AFC">
        <w:t xml:space="preserve"> </w:t>
      </w:r>
      <w:r w:rsidR="00F64A30">
        <w:t>(</w:t>
      </w:r>
      <w:r w:rsidRPr="00F17AFC">
        <w:t>LLOQ</w:t>
      </w:r>
      <w:r w:rsidR="00F64A30">
        <w:t>)</w:t>
      </w:r>
      <w:r w:rsidRPr="00F17AFC">
        <w:t>; as per the statistical analysis plan, these subjects were imputed as having achieved SVR12 in the final analysis. These updates have been incorporated into the United States Prescribing Information, the EU Summary of Product Characteristics and Canadian Product Monograph. Similar post-treatment Week 24 analyses of SVR12 and virologic outcome were also conducted for POLARIS-1 and POLARIS-3; however, no revisions were needed.</w:t>
      </w:r>
    </w:p>
    <w:p w:rsidR="00F17AFC" w:rsidRDefault="00F17AFC" w:rsidP="00F17AFC">
      <w:pPr>
        <w:pStyle w:val="Heading5"/>
      </w:pPr>
      <w:r w:rsidRPr="00F17AFC">
        <w:t xml:space="preserve">Evaluator’s </w:t>
      </w:r>
      <w:r w:rsidR="00142CB6">
        <w:t>comments on sponsor’s response</w:t>
      </w:r>
      <w:r w:rsidR="00D51BB6">
        <w:t>:</w:t>
      </w:r>
    </w:p>
    <w:p w:rsidR="00476CD0" w:rsidRDefault="00F17AFC" w:rsidP="00F17AFC">
      <w:r w:rsidRPr="00F17AFC">
        <w:t xml:space="preserve">Review of this SVR24 data indicates maintenance of long term efficacy over 24 months in all 4 </w:t>
      </w:r>
      <w:r w:rsidRPr="00F64A30">
        <w:t xml:space="preserve">studies (Refer Table </w:t>
      </w:r>
      <w:r w:rsidR="00F64A30" w:rsidRPr="00F64A30">
        <w:t>43</w:t>
      </w:r>
      <w:r w:rsidRPr="00F64A30">
        <w:t>)</w:t>
      </w:r>
      <w:r w:rsidR="00476CD0" w:rsidRPr="00F64A30">
        <w:t>.</w:t>
      </w:r>
    </w:p>
    <w:p w:rsidR="00F17AFC" w:rsidRDefault="00183653" w:rsidP="00F17AFC">
      <w:pPr>
        <w:pStyle w:val="Heading4"/>
      </w:pPr>
      <w:r>
        <w:t>Question 2 (Safety)</w:t>
      </w:r>
    </w:p>
    <w:p w:rsidR="00F17AFC" w:rsidRPr="00F17AFC" w:rsidRDefault="00F17AFC" w:rsidP="00F17AFC">
      <w:pPr>
        <w:rPr>
          <w:b/>
          <w:i/>
        </w:rPr>
      </w:pPr>
      <w:r w:rsidRPr="00F17AFC">
        <w:rPr>
          <w:b/>
          <w:i/>
        </w:rPr>
        <w:t>There is lack of data on safety in patients with HBV or HIV co-infection or in those with liver transplants. Do you plan to conduct any studies in these patient populations?</w:t>
      </w:r>
    </w:p>
    <w:p w:rsidR="00F17AFC" w:rsidRDefault="00D51BB6" w:rsidP="00F17AFC">
      <w:pPr>
        <w:pStyle w:val="Heading5"/>
      </w:pPr>
      <w:r>
        <w:t xml:space="preserve">Sponsor’s </w:t>
      </w:r>
      <w:r w:rsidR="00142CB6">
        <w:t>r</w:t>
      </w:r>
      <w:r>
        <w:t>esponse:</w:t>
      </w:r>
    </w:p>
    <w:p w:rsidR="00F17AFC" w:rsidRPr="00F17AFC" w:rsidRDefault="00F17AFC" w:rsidP="00F17AFC">
      <w:r w:rsidRPr="00F17AFC">
        <w:t xml:space="preserve">Gilead is not planning further studies with </w:t>
      </w:r>
      <w:r w:rsidR="00476CD0">
        <w:t>Vosevi</w:t>
      </w:r>
      <w:r w:rsidRPr="00F17AFC">
        <w:t xml:space="preserve"> in these specific patient populations, as described further below.</w:t>
      </w:r>
    </w:p>
    <w:p w:rsidR="00476CD0" w:rsidRDefault="00F17AFC" w:rsidP="00F17AFC">
      <w:r w:rsidRPr="00F17AFC">
        <w:t>HCV/HBV Coinfection: Gilead has conducted clinical studies treating subjects with untreated chronic HBV infection with ledipasvir/sofosbuvir (GS-US-337-0122 and GS-US-337-1655). Given there is no data suggesting that the risk of HBV reactivation differs among DAA regimens, Gilead does not plan to study SOF/VEL/VOX in HCV/HBV coinfection. The current PI provides information on the screening for HBV and risk and monitoring for HBV reactivation during HCV treatment with DAAs</w:t>
      </w:r>
      <w:r w:rsidR="00476CD0">
        <w:t>.</w:t>
      </w:r>
    </w:p>
    <w:p w:rsidR="00476CD0" w:rsidRDefault="00F17AFC" w:rsidP="00F17AFC">
      <w:r w:rsidRPr="00F17AFC">
        <w:t xml:space="preserve">HCV/HIV Coinfection: Given that HCV/HIV coinfection is no longer considered a special population outside management of drug-drug interactions and that results from the </w:t>
      </w:r>
      <w:r w:rsidR="00183653">
        <w:t>Phase </w:t>
      </w:r>
      <w:r w:rsidR="00476CD0">
        <w:t>I</w:t>
      </w:r>
      <w:r w:rsidRPr="00F17AFC">
        <w:t xml:space="preserve"> drug-drug interaction studies (GS-US-367-1657 and GS-US-380-1999) provide information in the PI on safe concomitant use of HIV medications with SOF/VEL/VOX, Gilead does not plan to conduct a study in subjects with HCV/HIV coinfection</w:t>
      </w:r>
      <w:r w:rsidR="00476CD0">
        <w:t>.</w:t>
      </w:r>
    </w:p>
    <w:p w:rsidR="00476CD0" w:rsidRDefault="00F17AFC" w:rsidP="00F17AFC">
      <w:r w:rsidRPr="00F17AFC">
        <w:t xml:space="preserve">Liver Transplant: There are no plans to conduct a study with SOF/VEL/VOX in patients following liver transplant. Relevant </w:t>
      </w:r>
      <w:r w:rsidR="00476CD0">
        <w:t>Phase I</w:t>
      </w:r>
      <w:r w:rsidRPr="00F17AFC">
        <w:t xml:space="preserve"> data on drug-drug interactions with tacrolimus and cyclosporine are included in the current PI and provide relevant information on the safe concomitant use of immunosuppressants in this patient population</w:t>
      </w:r>
      <w:r w:rsidR="00476CD0">
        <w:t>.</w:t>
      </w:r>
    </w:p>
    <w:p w:rsidR="00F17AFC" w:rsidRPr="00F17AFC" w:rsidRDefault="00F17AFC" w:rsidP="00F17AFC">
      <w:r w:rsidRPr="00F17AFC">
        <w:t>Further information on the safety of SOF/VEL/VOX use in HCV/HBV, HCV/HIV co</w:t>
      </w:r>
      <w:r w:rsidR="00183653">
        <w:t>-</w:t>
      </w:r>
      <w:r w:rsidRPr="00F17AFC">
        <w:t>infected and liver transplant patients will be obtained through routine pharmacovigilance.</w:t>
      </w:r>
    </w:p>
    <w:p w:rsidR="00F17AFC" w:rsidRDefault="00F17AFC" w:rsidP="00F17AFC">
      <w:pPr>
        <w:pStyle w:val="Heading5"/>
      </w:pPr>
      <w:r w:rsidRPr="00F17AFC">
        <w:t xml:space="preserve">Evaluator’s </w:t>
      </w:r>
      <w:r w:rsidR="00142CB6">
        <w:t>comments on sponsor’s response:</w:t>
      </w:r>
    </w:p>
    <w:p w:rsidR="00476CD0" w:rsidRDefault="00F17AFC" w:rsidP="00F17AFC">
      <w:r w:rsidRPr="00F17AFC">
        <w:t>The sponsor’s response is satisfactory</w:t>
      </w:r>
      <w:r w:rsidR="00476CD0">
        <w:t>.</w:t>
      </w:r>
    </w:p>
    <w:p w:rsidR="00605AD4" w:rsidRPr="00605AD4" w:rsidRDefault="00605AD4" w:rsidP="00546154">
      <w:pPr>
        <w:pStyle w:val="Heading3"/>
        <w:rPr>
          <w:rFonts w:eastAsia="Cambria"/>
        </w:rPr>
      </w:pPr>
      <w:bookmarkStart w:id="273" w:name="_Toc8291130"/>
      <w:r w:rsidRPr="00605AD4">
        <w:rPr>
          <w:rFonts w:eastAsia="Cambria"/>
        </w:rPr>
        <w:lastRenderedPageBreak/>
        <w:t xml:space="preserve">Second </w:t>
      </w:r>
      <w:r w:rsidR="00142CB6" w:rsidRPr="00605AD4">
        <w:rPr>
          <w:rFonts w:eastAsia="Cambria"/>
        </w:rPr>
        <w:t>round benefit-risk assessment</w:t>
      </w:r>
      <w:bookmarkEnd w:id="273"/>
    </w:p>
    <w:p w:rsidR="00F17AFC" w:rsidRPr="00F17AFC" w:rsidRDefault="00F17AFC" w:rsidP="00F17AFC">
      <w:pPr>
        <w:pStyle w:val="Heading4"/>
      </w:pPr>
      <w:bookmarkStart w:id="274" w:name="_Toc272414709"/>
      <w:bookmarkStart w:id="275" w:name="_Toc290888575"/>
      <w:bookmarkStart w:id="276" w:name="_Toc416353792"/>
      <w:bookmarkStart w:id="277" w:name="_Toc421005334"/>
      <w:bookmarkStart w:id="278" w:name="_Toc432079207"/>
      <w:bookmarkStart w:id="279" w:name="_Toc432080780"/>
      <w:bookmarkStart w:id="280" w:name="_Toc496266054"/>
      <w:r w:rsidRPr="00F17AFC">
        <w:t>Second round assessment of benefits</w:t>
      </w:r>
      <w:bookmarkEnd w:id="274"/>
      <w:bookmarkEnd w:id="275"/>
      <w:bookmarkEnd w:id="276"/>
      <w:bookmarkEnd w:id="277"/>
      <w:bookmarkEnd w:id="278"/>
      <w:bookmarkEnd w:id="279"/>
      <w:bookmarkEnd w:id="280"/>
    </w:p>
    <w:p w:rsidR="00476CD0" w:rsidRDefault="00F17AFC" w:rsidP="00F17AFC">
      <w:bookmarkStart w:id="281" w:name="_Toc272414710"/>
      <w:bookmarkStart w:id="282" w:name="_Toc290888576"/>
      <w:bookmarkStart w:id="283" w:name="_Toc416353793"/>
      <w:bookmarkStart w:id="284" w:name="_Toc421005335"/>
      <w:bookmarkStart w:id="285" w:name="_Toc432079208"/>
      <w:bookmarkStart w:id="286" w:name="_Toc432080781"/>
      <w:r w:rsidRPr="00F17AFC">
        <w:t xml:space="preserve">After consideration of the responses to clinical questions, the benefits of </w:t>
      </w:r>
      <w:r w:rsidR="00476CD0">
        <w:t>Vosevi</w:t>
      </w:r>
      <w:r w:rsidRPr="00F17AFC">
        <w:t xml:space="preserve"> in the proposed usage are unchanged from those identified in</w:t>
      </w:r>
      <w:r w:rsidR="00183653">
        <w:t xml:space="preserve"> the first round assessment of benefits</w:t>
      </w:r>
      <w:r w:rsidR="00476CD0">
        <w:t>.</w:t>
      </w:r>
    </w:p>
    <w:p w:rsidR="00F17AFC" w:rsidRPr="00F17AFC" w:rsidRDefault="00F17AFC" w:rsidP="00F17AFC">
      <w:pPr>
        <w:pStyle w:val="Heading4"/>
      </w:pPr>
      <w:bookmarkStart w:id="287" w:name="_Toc496266055"/>
      <w:r w:rsidRPr="00F17AFC">
        <w:t>Second round assessment of risks</w:t>
      </w:r>
      <w:bookmarkEnd w:id="281"/>
      <w:bookmarkEnd w:id="282"/>
      <w:bookmarkEnd w:id="283"/>
      <w:bookmarkEnd w:id="284"/>
      <w:bookmarkEnd w:id="285"/>
      <w:bookmarkEnd w:id="286"/>
      <w:bookmarkEnd w:id="287"/>
    </w:p>
    <w:p w:rsidR="00F17AFC" w:rsidRPr="00F17AFC" w:rsidRDefault="00F17AFC" w:rsidP="00F17AFC">
      <w:bookmarkStart w:id="288" w:name="_Toc272414711"/>
      <w:bookmarkStart w:id="289" w:name="_Toc290888577"/>
      <w:bookmarkStart w:id="290" w:name="_Toc416353794"/>
      <w:bookmarkStart w:id="291" w:name="_Toc421005336"/>
      <w:bookmarkStart w:id="292" w:name="_Toc432079209"/>
      <w:bookmarkStart w:id="293" w:name="_Toc432080782"/>
      <w:r w:rsidRPr="00F17AFC">
        <w:t xml:space="preserve">After consideration of the responses to clinical questions, the risks of </w:t>
      </w:r>
      <w:r w:rsidR="00476CD0">
        <w:t>Vosevi</w:t>
      </w:r>
      <w:r w:rsidRPr="00F17AFC">
        <w:t xml:space="preserve"> in the proposed usage are unchanged from those identified in</w:t>
      </w:r>
      <w:r w:rsidR="00183653">
        <w:t xml:space="preserve"> the first round assessment of risks</w:t>
      </w:r>
      <w:r w:rsidRPr="00F17AFC">
        <w:t>.</w:t>
      </w:r>
    </w:p>
    <w:p w:rsidR="00F17AFC" w:rsidRPr="00F17AFC" w:rsidRDefault="00F17AFC" w:rsidP="00F17AFC">
      <w:pPr>
        <w:pStyle w:val="Heading4"/>
      </w:pPr>
      <w:bookmarkStart w:id="294" w:name="_Toc496266056"/>
      <w:r w:rsidRPr="00F17AFC">
        <w:t xml:space="preserve">Second round assessment of benefit-risk </w:t>
      </w:r>
      <w:bookmarkEnd w:id="288"/>
      <w:bookmarkEnd w:id="289"/>
      <w:bookmarkEnd w:id="290"/>
      <w:bookmarkEnd w:id="291"/>
      <w:r w:rsidRPr="00F17AFC">
        <w:t>balance</w:t>
      </w:r>
      <w:bookmarkEnd w:id="292"/>
      <w:bookmarkEnd w:id="293"/>
      <w:bookmarkEnd w:id="294"/>
    </w:p>
    <w:p w:rsidR="00183653" w:rsidRDefault="00F17AFC" w:rsidP="00F17AFC">
      <w:r w:rsidRPr="00F17AFC">
        <w:t xml:space="preserve">The benefit risk balance of </w:t>
      </w:r>
      <w:r w:rsidR="00476CD0">
        <w:t>Vosevi</w:t>
      </w:r>
      <w:r w:rsidRPr="00F17AFC">
        <w:t xml:space="preserve"> is favourable for the</w:t>
      </w:r>
      <w:r w:rsidR="00183653">
        <w:t xml:space="preserve"> following proposed indication:</w:t>
      </w:r>
    </w:p>
    <w:p w:rsidR="00F17AFC" w:rsidRPr="00F17AFC" w:rsidRDefault="00476CD0" w:rsidP="00183653">
      <w:pPr>
        <w:ind w:left="720"/>
      </w:pPr>
      <w:r w:rsidRPr="00183653">
        <w:rPr>
          <w:i/>
        </w:rPr>
        <w:t>Vosevi</w:t>
      </w:r>
      <w:r w:rsidR="00F17AFC" w:rsidRPr="00183653">
        <w:rPr>
          <w:i/>
        </w:rPr>
        <w:t xml:space="preserve"> (sofosbuvir/velpatasvir/voxilaprevir </w:t>
      </w:r>
      <w:r w:rsidR="00D43BF2" w:rsidRPr="00183653">
        <w:rPr>
          <w:i/>
        </w:rPr>
        <w:t>fixed dose</w:t>
      </w:r>
      <w:r w:rsidR="00F17AFC" w:rsidRPr="00183653">
        <w:rPr>
          <w:i/>
        </w:rPr>
        <w:t xml:space="preserve"> combination) is indicated for the treatment of chronic hepatitis C virus (HCV) infection in adults who have failed treatment with at least one prior DAA, regardless of genotype, in patients without cirrhosis or with compensated cirrhosis (see dosage and administration and clinical trials)</w:t>
      </w:r>
      <w:r w:rsidR="00183653">
        <w:rPr>
          <w:i/>
        </w:rPr>
        <w:t>.</w:t>
      </w:r>
    </w:p>
    <w:p w:rsidR="00F17AFC" w:rsidRPr="00F17AFC" w:rsidRDefault="00F17AFC" w:rsidP="00F17AFC">
      <w:pPr>
        <w:pStyle w:val="Heading4"/>
      </w:pPr>
      <w:bookmarkStart w:id="295" w:name="_Toc496266057"/>
      <w:r w:rsidRPr="00F17AFC">
        <w:t>Second round recommendation regarding authorisation</w:t>
      </w:r>
      <w:bookmarkEnd w:id="295"/>
    </w:p>
    <w:p w:rsidR="00F17AFC" w:rsidRPr="00F17AFC" w:rsidRDefault="00F17AFC" w:rsidP="00F17AFC">
      <w:r w:rsidRPr="00F17AFC">
        <w:t xml:space="preserve">Approval of </w:t>
      </w:r>
      <w:r w:rsidR="00476CD0">
        <w:t>Vosevi</w:t>
      </w:r>
      <w:r w:rsidRPr="00F17AFC">
        <w:t xml:space="preserve"> is recommende</w:t>
      </w:r>
      <w:r w:rsidR="00183653">
        <w:t xml:space="preserve">d for the </w:t>
      </w:r>
      <w:r w:rsidR="00C11679">
        <w:t>proposed</w:t>
      </w:r>
      <w:r w:rsidR="00183653">
        <w:t xml:space="preserve"> indication</w:t>
      </w:r>
      <w:r w:rsidR="00C11679">
        <w:t xml:space="preserve"> (above in the second round assessment of benefit risk balance).</w:t>
      </w:r>
    </w:p>
    <w:p w:rsidR="00476CD0" w:rsidRDefault="00F17AFC" w:rsidP="00546154">
      <w:r w:rsidRPr="00F17AFC">
        <w:t>The approval is subject to incorporation of suggested changes to proposed PI</w:t>
      </w:r>
      <w:r w:rsidR="00476CD0">
        <w:t>.</w:t>
      </w:r>
    </w:p>
    <w:p w:rsidR="008E7846" w:rsidRPr="00E41208" w:rsidRDefault="008E7846" w:rsidP="00546154">
      <w:pPr>
        <w:pStyle w:val="Heading2"/>
      </w:pPr>
      <w:bookmarkStart w:id="296" w:name="_Toc8291131"/>
      <w:r w:rsidRPr="00E41208">
        <w:t>V</w:t>
      </w:r>
      <w:r w:rsidR="00500337">
        <w:t>I</w:t>
      </w:r>
      <w:r w:rsidRPr="00E41208">
        <w:t xml:space="preserve">. Pharmacovigilance </w:t>
      </w:r>
      <w:r>
        <w:t>f</w:t>
      </w:r>
      <w:r w:rsidRPr="00E41208">
        <w:t>indings</w:t>
      </w:r>
      <w:bookmarkEnd w:id="135"/>
      <w:bookmarkEnd w:id="136"/>
      <w:bookmarkEnd w:id="296"/>
    </w:p>
    <w:p w:rsidR="008E7846" w:rsidRDefault="00386150" w:rsidP="008E7846">
      <w:pPr>
        <w:pStyle w:val="Heading3"/>
        <w:rPr>
          <w:lang w:eastAsia="en-AU"/>
        </w:rPr>
      </w:pPr>
      <w:bookmarkStart w:id="297" w:name="_Toc247691526"/>
      <w:bookmarkStart w:id="298" w:name="_Toc314842509"/>
      <w:bookmarkStart w:id="299" w:name="_Toc8291132"/>
      <w:r>
        <w:rPr>
          <w:lang w:eastAsia="en-AU"/>
        </w:rPr>
        <w:t>Risk m</w:t>
      </w:r>
      <w:r w:rsidR="008E7846">
        <w:rPr>
          <w:lang w:eastAsia="en-AU"/>
        </w:rPr>
        <w:t xml:space="preserve">anagement </w:t>
      </w:r>
      <w:r>
        <w:rPr>
          <w:lang w:eastAsia="en-AU"/>
        </w:rPr>
        <w:t>p</w:t>
      </w:r>
      <w:r w:rsidR="008E7846">
        <w:rPr>
          <w:lang w:eastAsia="en-AU"/>
        </w:rPr>
        <w:t>lan</w:t>
      </w:r>
      <w:bookmarkEnd w:id="297"/>
      <w:bookmarkEnd w:id="298"/>
      <w:bookmarkEnd w:id="299"/>
    </w:p>
    <w:p w:rsidR="00F17AFC" w:rsidRPr="00FE6DA2" w:rsidRDefault="003B424E" w:rsidP="00F17AFC">
      <w:pPr>
        <w:pStyle w:val="ListBullet"/>
      </w:pPr>
      <w:bookmarkStart w:id="300" w:name="_Toc247691527"/>
      <w:bookmarkStart w:id="301" w:name="_Toc314842510"/>
      <w:r>
        <w:t>The sponsor</w:t>
      </w:r>
      <w:r w:rsidR="00F17AFC" w:rsidRPr="00FE6DA2">
        <w:t xml:space="preserve"> submitted EU-RMP </w:t>
      </w:r>
      <w:r w:rsidR="00F17AFC">
        <w:t xml:space="preserve">version 1.0 (dated </w:t>
      </w:r>
      <w:r w:rsidR="00F17AFC" w:rsidRPr="00116B42">
        <w:t>26</w:t>
      </w:r>
      <w:r>
        <w:t> </w:t>
      </w:r>
      <w:r w:rsidR="00F17AFC" w:rsidRPr="00116B42">
        <w:t>July</w:t>
      </w:r>
      <w:r>
        <w:t> </w:t>
      </w:r>
      <w:r w:rsidR="00F17AFC" w:rsidRPr="00116B42">
        <w:t>2017</w:t>
      </w:r>
      <w:r w:rsidR="00F17AFC">
        <w:t xml:space="preserve">, final sign-off 12 May 2017; </w:t>
      </w:r>
      <w:r>
        <w:t>data lock point (</w:t>
      </w:r>
      <w:r w:rsidR="00F17AFC">
        <w:t>DLP</w:t>
      </w:r>
      <w:r>
        <w:t>)</w:t>
      </w:r>
      <w:r w:rsidR="00F17AFC">
        <w:t xml:space="preserve"> 12 October 2016) and </w:t>
      </w:r>
      <w:r>
        <w:t>Australian Specific Annex (</w:t>
      </w:r>
      <w:r w:rsidR="00F17AFC">
        <w:t>ASA</w:t>
      </w:r>
      <w:r>
        <w:t>)</w:t>
      </w:r>
      <w:r w:rsidR="00F17AFC">
        <w:t xml:space="preserve"> version 0.2 (September 2017)</w:t>
      </w:r>
      <w:r w:rsidR="00F17AFC" w:rsidRPr="00FE6DA2">
        <w:t xml:space="preserve"> in support of this application.</w:t>
      </w:r>
    </w:p>
    <w:p w:rsidR="00F17AFC" w:rsidRDefault="00F17AFC" w:rsidP="00F17AFC">
      <w:pPr>
        <w:pStyle w:val="ListBullet"/>
      </w:pPr>
      <w:r w:rsidRPr="00F07D6F">
        <w:t>The proposed Summary of Safety Concerns and their associated risk monitoring and mitigation strategies are summarised below</w:t>
      </w:r>
      <w:r>
        <w:t>.</w:t>
      </w:r>
      <w:r w:rsidR="00E650A8">
        <w:rPr>
          <w:rStyle w:val="FootnoteReference"/>
          <w:lang w:eastAsia="en-AU"/>
        </w:rPr>
        <w:footnoteReference w:id="58"/>
      </w:r>
    </w:p>
    <w:p w:rsidR="00C11679" w:rsidRDefault="00AC0F8C" w:rsidP="00DA0F8A">
      <w:pPr>
        <w:pStyle w:val="Tabletitle0"/>
      </w:pPr>
      <w:r>
        <w:lastRenderedPageBreak/>
        <w:t>Table 28</w:t>
      </w:r>
      <w:r w:rsidR="00C11679">
        <w:t xml:space="preserve">: </w:t>
      </w:r>
      <w:r w:rsidR="00DA0F8A" w:rsidRPr="00F07D6F">
        <w:t>Summary of Safety Concerns</w:t>
      </w:r>
      <w:r w:rsidR="00DA0F8A" w:rsidRPr="00DA0F8A">
        <w:t xml:space="preserve"> </w:t>
      </w:r>
      <w:r w:rsidR="00DA0F8A" w:rsidRPr="00F07D6F">
        <w:t>and their associated risk monitoring and mitigation strategies</w:t>
      </w:r>
    </w:p>
    <w:tbl>
      <w:tblPr>
        <w:tblStyle w:val="TableTGAblue"/>
        <w:tblW w:w="8626" w:type="dxa"/>
        <w:tblLayout w:type="fixed"/>
        <w:tblLook w:val="04A0" w:firstRow="1" w:lastRow="0" w:firstColumn="1" w:lastColumn="0" w:noHBand="0" w:noVBand="1"/>
      </w:tblPr>
      <w:tblGrid>
        <w:gridCol w:w="1208"/>
        <w:gridCol w:w="3295"/>
        <w:gridCol w:w="992"/>
        <w:gridCol w:w="1134"/>
        <w:gridCol w:w="1042"/>
        <w:gridCol w:w="955"/>
      </w:tblGrid>
      <w:tr w:rsidR="00F17AFC" w:rsidRPr="00F17AFC" w:rsidTr="00A95AB7">
        <w:trPr>
          <w:cnfStyle w:val="100000000000" w:firstRow="1" w:lastRow="0" w:firstColumn="0" w:lastColumn="0" w:oddVBand="0" w:evenVBand="0" w:oddHBand="0" w:evenHBand="0" w:firstRowFirstColumn="0" w:firstRowLastColumn="0" w:lastRowFirstColumn="0" w:lastRowLastColumn="0"/>
          <w:trHeight w:val="129"/>
        </w:trPr>
        <w:tc>
          <w:tcPr>
            <w:tcW w:w="4503" w:type="dxa"/>
            <w:gridSpan w:val="2"/>
            <w:vMerge w:val="restart"/>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Summary of safety concerns (ASA v0.2)</w:t>
            </w:r>
          </w:p>
        </w:tc>
        <w:tc>
          <w:tcPr>
            <w:tcW w:w="2126" w:type="dxa"/>
            <w:gridSpan w:val="2"/>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Pharmacovigilance</w:t>
            </w:r>
          </w:p>
        </w:tc>
        <w:tc>
          <w:tcPr>
            <w:tcW w:w="1997" w:type="dxa"/>
            <w:gridSpan w:val="2"/>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Risk Minimisation</w:t>
            </w:r>
          </w:p>
        </w:tc>
      </w:tr>
      <w:tr w:rsidR="00F17AFC" w:rsidRPr="00F17AFC" w:rsidTr="00A95AB7">
        <w:trPr>
          <w:trHeight w:val="147"/>
        </w:trPr>
        <w:tc>
          <w:tcPr>
            <w:tcW w:w="4503" w:type="dxa"/>
            <w:gridSpan w:val="2"/>
            <w:vMerge/>
          </w:tcPr>
          <w:p w:rsidR="00F17AFC" w:rsidRPr="00F17AFC" w:rsidRDefault="00F17AFC" w:rsidP="00F17AFC">
            <w:pPr>
              <w:ind w:left="0" w:right="0"/>
              <w:rPr>
                <w:rFonts w:asciiTheme="minorHAnsi" w:hAnsiTheme="minorHAnsi"/>
                <w:sz w:val="20"/>
                <w:szCs w:val="20"/>
              </w:rPr>
            </w:pPr>
          </w:p>
        </w:tc>
        <w:tc>
          <w:tcPr>
            <w:tcW w:w="992" w:type="dxa"/>
          </w:tcPr>
          <w:p w:rsidR="00F17AFC" w:rsidRPr="00183653" w:rsidRDefault="00F17AFC" w:rsidP="00183653">
            <w:pPr>
              <w:ind w:left="0" w:right="0"/>
              <w:rPr>
                <w:rFonts w:asciiTheme="minorHAnsi" w:hAnsiTheme="minorHAnsi"/>
                <w:sz w:val="18"/>
                <w:szCs w:val="18"/>
              </w:rPr>
            </w:pPr>
            <w:r w:rsidRPr="00183653">
              <w:rPr>
                <w:rFonts w:asciiTheme="minorHAnsi" w:hAnsiTheme="minorHAnsi"/>
                <w:sz w:val="18"/>
                <w:szCs w:val="18"/>
              </w:rPr>
              <w:t>Routine</w:t>
            </w:r>
          </w:p>
        </w:tc>
        <w:tc>
          <w:tcPr>
            <w:tcW w:w="1134" w:type="dxa"/>
          </w:tcPr>
          <w:p w:rsidR="00F17AFC" w:rsidRPr="00183653" w:rsidRDefault="00F17AFC" w:rsidP="00183653">
            <w:pPr>
              <w:ind w:left="0" w:right="0"/>
              <w:rPr>
                <w:rFonts w:asciiTheme="minorHAnsi" w:hAnsiTheme="minorHAnsi"/>
                <w:sz w:val="18"/>
                <w:szCs w:val="18"/>
              </w:rPr>
            </w:pPr>
            <w:r w:rsidRPr="00183653">
              <w:rPr>
                <w:rFonts w:asciiTheme="minorHAnsi" w:hAnsiTheme="minorHAnsi"/>
                <w:sz w:val="18"/>
                <w:szCs w:val="18"/>
              </w:rPr>
              <w:t>Additional</w:t>
            </w:r>
          </w:p>
        </w:tc>
        <w:tc>
          <w:tcPr>
            <w:tcW w:w="1042" w:type="dxa"/>
          </w:tcPr>
          <w:p w:rsidR="00F17AFC" w:rsidRPr="00183653" w:rsidRDefault="00F17AFC" w:rsidP="00183653">
            <w:pPr>
              <w:ind w:left="0" w:right="0"/>
              <w:rPr>
                <w:rFonts w:asciiTheme="minorHAnsi" w:hAnsiTheme="minorHAnsi"/>
                <w:sz w:val="18"/>
                <w:szCs w:val="18"/>
              </w:rPr>
            </w:pPr>
            <w:r w:rsidRPr="00183653">
              <w:rPr>
                <w:rFonts w:asciiTheme="minorHAnsi" w:hAnsiTheme="minorHAnsi"/>
                <w:sz w:val="18"/>
                <w:szCs w:val="18"/>
              </w:rPr>
              <w:t>Routine</w:t>
            </w:r>
          </w:p>
        </w:tc>
        <w:tc>
          <w:tcPr>
            <w:tcW w:w="955" w:type="dxa"/>
          </w:tcPr>
          <w:p w:rsidR="00F17AFC" w:rsidRPr="00183653" w:rsidRDefault="00F17AFC" w:rsidP="00183653">
            <w:pPr>
              <w:ind w:left="0" w:right="0"/>
              <w:rPr>
                <w:rFonts w:asciiTheme="minorHAnsi" w:hAnsiTheme="minorHAnsi"/>
                <w:sz w:val="18"/>
                <w:szCs w:val="18"/>
              </w:rPr>
            </w:pPr>
            <w:r w:rsidRPr="00183653">
              <w:rPr>
                <w:rFonts w:asciiTheme="minorHAnsi" w:hAnsiTheme="minorHAnsi"/>
                <w:sz w:val="18"/>
                <w:szCs w:val="18"/>
              </w:rPr>
              <w:t>Additional</w:t>
            </w:r>
          </w:p>
        </w:tc>
      </w:tr>
      <w:tr w:rsidR="00F17AFC" w:rsidRPr="00F17AFC" w:rsidTr="00A95AB7">
        <w:trPr>
          <w:trHeight w:val="135"/>
        </w:trPr>
        <w:tc>
          <w:tcPr>
            <w:tcW w:w="1208" w:type="dxa"/>
            <w:vMerge w:val="restart"/>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Important identified risks</w:t>
            </w:r>
          </w:p>
        </w:tc>
        <w:tc>
          <w:tcPr>
            <w:tcW w:w="329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Severe bradycardia and heart block when used with concomitant amiodarone</w:t>
            </w:r>
          </w:p>
        </w:tc>
        <w:tc>
          <w:tcPr>
            <w:tcW w:w="99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r w:rsidRPr="00F17AFC">
              <w:rPr>
                <w:rFonts w:asciiTheme="minorHAnsi" w:hAnsiTheme="minorHAnsi"/>
                <w:sz w:val="20"/>
                <w:szCs w:val="20"/>
              </w:rPr>
              <w:t>*</w:t>
            </w:r>
          </w:p>
        </w:tc>
        <w:tc>
          <w:tcPr>
            <w:tcW w:w="1134"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c>
          <w:tcPr>
            <w:tcW w:w="104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95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r>
      <w:tr w:rsidR="00F17AFC" w:rsidRPr="00F17AFC" w:rsidTr="00A95AB7">
        <w:trPr>
          <w:trHeight w:val="135"/>
        </w:trPr>
        <w:tc>
          <w:tcPr>
            <w:tcW w:w="1208" w:type="dxa"/>
            <w:vMerge/>
          </w:tcPr>
          <w:p w:rsidR="00F17AFC" w:rsidRPr="00F17AFC" w:rsidRDefault="00F17AFC" w:rsidP="00F17AFC">
            <w:pPr>
              <w:ind w:left="0" w:right="0"/>
              <w:rPr>
                <w:rFonts w:asciiTheme="minorHAnsi" w:hAnsiTheme="minorHAnsi"/>
                <w:sz w:val="20"/>
                <w:szCs w:val="20"/>
              </w:rPr>
            </w:pPr>
          </w:p>
        </w:tc>
        <w:tc>
          <w:tcPr>
            <w:tcW w:w="3295"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 xml:space="preserve">HBV Reactivation in HCV/HBV </w:t>
            </w:r>
            <w:proofErr w:type="spellStart"/>
            <w:r w:rsidRPr="00E650A8">
              <w:rPr>
                <w:rFonts w:asciiTheme="minorHAnsi" w:hAnsiTheme="minorHAnsi"/>
                <w:b/>
                <w:sz w:val="20"/>
                <w:szCs w:val="20"/>
              </w:rPr>
              <w:t>coininfected</w:t>
            </w:r>
            <w:proofErr w:type="spellEnd"/>
            <w:r w:rsidRPr="00E650A8">
              <w:rPr>
                <w:rFonts w:asciiTheme="minorHAnsi" w:hAnsiTheme="minorHAnsi"/>
                <w:b/>
                <w:sz w:val="20"/>
                <w:szCs w:val="20"/>
              </w:rPr>
              <w:t xml:space="preserve"> patients</w:t>
            </w:r>
          </w:p>
        </w:tc>
        <w:tc>
          <w:tcPr>
            <w:tcW w:w="992"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sym w:font="Wingdings" w:char="F0FC"/>
            </w:r>
          </w:p>
        </w:tc>
        <w:tc>
          <w:tcPr>
            <w:tcW w:w="1134"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c>
          <w:tcPr>
            <w:tcW w:w="1042"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sym w:font="Wingdings" w:char="F0FC"/>
            </w:r>
          </w:p>
        </w:tc>
        <w:tc>
          <w:tcPr>
            <w:tcW w:w="955"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r>
      <w:tr w:rsidR="00F17AFC" w:rsidRPr="00F17AFC" w:rsidTr="00A95AB7">
        <w:trPr>
          <w:trHeight w:val="156"/>
        </w:trPr>
        <w:tc>
          <w:tcPr>
            <w:tcW w:w="1208" w:type="dxa"/>
            <w:vMerge w:val="restart"/>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Important potential risks</w:t>
            </w:r>
          </w:p>
        </w:tc>
        <w:tc>
          <w:tcPr>
            <w:tcW w:w="3295"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Recurrence of HCC</w:t>
            </w:r>
          </w:p>
        </w:tc>
        <w:tc>
          <w:tcPr>
            <w:tcW w:w="992"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sym w:font="Wingdings" w:char="F0FC"/>
            </w:r>
          </w:p>
        </w:tc>
        <w:tc>
          <w:tcPr>
            <w:tcW w:w="1134" w:type="dxa"/>
          </w:tcPr>
          <w:p w:rsidR="00F17AFC" w:rsidRPr="00E650A8" w:rsidRDefault="00E650A8" w:rsidP="00F17AFC">
            <w:pPr>
              <w:ind w:left="0" w:right="0"/>
              <w:rPr>
                <w:rFonts w:asciiTheme="minorHAnsi" w:hAnsiTheme="minorHAnsi"/>
                <w:b/>
                <w:sz w:val="20"/>
                <w:szCs w:val="20"/>
              </w:rPr>
            </w:pPr>
            <w:r>
              <w:rPr>
                <w:rFonts w:asciiTheme="minorHAnsi" w:hAnsiTheme="minorHAnsi"/>
                <w:b/>
                <w:sz w:val="20"/>
                <w:szCs w:val="20"/>
              </w:rPr>
              <w:t>5</w:t>
            </w:r>
          </w:p>
        </w:tc>
        <w:tc>
          <w:tcPr>
            <w:tcW w:w="1042"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c>
          <w:tcPr>
            <w:tcW w:w="955"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r>
      <w:tr w:rsidR="00F17AFC" w:rsidRPr="00F17AFC" w:rsidTr="00A95AB7">
        <w:trPr>
          <w:trHeight w:val="156"/>
        </w:trPr>
        <w:tc>
          <w:tcPr>
            <w:tcW w:w="1208" w:type="dxa"/>
            <w:vMerge/>
          </w:tcPr>
          <w:p w:rsidR="00F17AFC" w:rsidRPr="00F17AFC" w:rsidRDefault="00F17AFC" w:rsidP="00F17AFC">
            <w:pPr>
              <w:ind w:left="0" w:right="0"/>
              <w:rPr>
                <w:rFonts w:asciiTheme="minorHAnsi" w:hAnsiTheme="minorHAnsi"/>
                <w:sz w:val="20"/>
                <w:szCs w:val="20"/>
              </w:rPr>
            </w:pPr>
          </w:p>
        </w:tc>
        <w:tc>
          <w:tcPr>
            <w:tcW w:w="3295"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Emergence of HCC</w:t>
            </w:r>
          </w:p>
        </w:tc>
        <w:tc>
          <w:tcPr>
            <w:tcW w:w="992"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sym w:font="Wingdings" w:char="F0FC"/>
            </w:r>
          </w:p>
        </w:tc>
        <w:tc>
          <w:tcPr>
            <w:tcW w:w="1134" w:type="dxa"/>
          </w:tcPr>
          <w:p w:rsidR="00F17AFC" w:rsidRPr="00E650A8" w:rsidRDefault="00E650A8" w:rsidP="00F17AFC">
            <w:pPr>
              <w:ind w:left="0" w:right="0"/>
              <w:rPr>
                <w:rFonts w:asciiTheme="minorHAnsi" w:hAnsiTheme="minorHAnsi"/>
                <w:b/>
                <w:sz w:val="20"/>
                <w:szCs w:val="20"/>
              </w:rPr>
            </w:pPr>
            <w:r>
              <w:rPr>
                <w:rFonts w:asciiTheme="minorHAnsi" w:hAnsiTheme="minorHAnsi"/>
                <w:b/>
                <w:sz w:val="20"/>
                <w:szCs w:val="20"/>
              </w:rPr>
              <w:t>5</w:t>
            </w:r>
          </w:p>
        </w:tc>
        <w:tc>
          <w:tcPr>
            <w:tcW w:w="1042"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c>
          <w:tcPr>
            <w:tcW w:w="955"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r>
      <w:tr w:rsidR="00F17AFC" w:rsidRPr="00F17AFC" w:rsidTr="00A95AB7">
        <w:trPr>
          <w:trHeight w:val="156"/>
        </w:trPr>
        <w:tc>
          <w:tcPr>
            <w:tcW w:w="1208" w:type="dxa"/>
            <w:vMerge/>
          </w:tcPr>
          <w:p w:rsidR="00F17AFC" w:rsidRPr="00F17AFC" w:rsidRDefault="00F17AFC" w:rsidP="00F17AFC">
            <w:pPr>
              <w:ind w:left="0" w:right="0"/>
              <w:rPr>
                <w:rFonts w:asciiTheme="minorHAnsi" w:hAnsiTheme="minorHAnsi"/>
                <w:sz w:val="20"/>
                <w:szCs w:val="20"/>
              </w:rPr>
            </w:pPr>
          </w:p>
        </w:tc>
        <w:tc>
          <w:tcPr>
            <w:tcW w:w="329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Drug-drug interactions:</w:t>
            </w:r>
          </w:p>
          <w:p w:rsidR="00F17AFC" w:rsidRPr="00F17AFC" w:rsidRDefault="00F17AFC" w:rsidP="00183653">
            <w:pPr>
              <w:pStyle w:val="TableBullet"/>
            </w:pPr>
            <w:r w:rsidRPr="00F17AFC">
              <w:t>with moderate and potent inducers of P-glycoprotein (</w:t>
            </w:r>
            <w:proofErr w:type="spellStart"/>
            <w:r w:rsidRPr="00F17AFC">
              <w:t>Pgp</w:t>
            </w:r>
            <w:proofErr w:type="spellEnd"/>
            <w:r w:rsidRPr="00F17AFC">
              <w:t>), cytochrome P450 (CYP) CYP3A4, CYP2C8 and/or CYP2B6</w:t>
            </w:r>
          </w:p>
          <w:p w:rsidR="00F17AFC" w:rsidRPr="00F17AFC" w:rsidRDefault="00F17AFC" w:rsidP="00183653">
            <w:pPr>
              <w:pStyle w:val="TableBullet"/>
            </w:pPr>
            <w:r w:rsidRPr="00F17AFC">
              <w:t>with proton pump inhibitors (</w:t>
            </w:r>
            <w:proofErr w:type="spellStart"/>
            <w:r w:rsidRPr="00F17AFC">
              <w:t>P</w:t>
            </w:r>
            <w:r w:rsidR="003A5113">
              <w:t>Pi</w:t>
            </w:r>
            <w:r w:rsidRPr="00F17AFC">
              <w:t>s</w:t>
            </w:r>
            <w:proofErr w:type="spellEnd"/>
            <w:r w:rsidRPr="00F17AFC">
              <w:t>)</w:t>
            </w:r>
          </w:p>
          <w:p w:rsidR="00F17AFC" w:rsidRPr="00F17AFC" w:rsidRDefault="00F17AFC" w:rsidP="00183653">
            <w:pPr>
              <w:pStyle w:val="TableBullet"/>
            </w:pPr>
            <w:r w:rsidRPr="00F17AFC">
              <w:t>with rosuvastatin</w:t>
            </w:r>
          </w:p>
          <w:p w:rsidR="00F17AFC" w:rsidRPr="00F17AFC" w:rsidRDefault="00F17AFC" w:rsidP="00183653">
            <w:pPr>
              <w:pStyle w:val="TableBullet"/>
            </w:pPr>
            <w:r w:rsidRPr="00F17AFC">
              <w:t>with pravastatin†</w:t>
            </w:r>
          </w:p>
          <w:p w:rsidR="00F17AFC" w:rsidRPr="00F17AFC" w:rsidRDefault="00F17AFC" w:rsidP="00183653">
            <w:pPr>
              <w:pStyle w:val="TableBullet"/>
            </w:pPr>
            <w:r w:rsidRPr="00F17AFC">
              <w:t xml:space="preserve">with </w:t>
            </w:r>
            <w:proofErr w:type="spellStart"/>
            <w:r w:rsidRPr="00F17AFC">
              <w:t>Pgp</w:t>
            </w:r>
            <w:proofErr w:type="spellEnd"/>
            <w:r w:rsidRPr="00F17AFC">
              <w:t xml:space="preserve"> substrates with a narrow therapeutic window (</w:t>
            </w:r>
            <w:r w:rsidR="006C1E08">
              <w:t>for example</w:t>
            </w:r>
            <w:r w:rsidRPr="00F17AFC">
              <w:t xml:space="preserve">, digoxin, </w:t>
            </w:r>
            <w:proofErr w:type="spellStart"/>
            <w:r w:rsidRPr="00F17AFC">
              <w:t>dabigatrian</w:t>
            </w:r>
            <w:proofErr w:type="spellEnd"/>
            <w:r w:rsidRPr="00F17AFC">
              <w:t>)</w:t>
            </w:r>
          </w:p>
          <w:p w:rsidR="00F17AFC" w:rsidRPr="00F17AFC" w:rsidRDefault="00F17AFC" w:rsidP="00183653">
            <w:pPr>
              <w:pStyle w:val="TableBullet"/>
            </w:pPr>
            <w:r w:rsidRPr="00F17AFC">
              <w:t>with potent inhibitors of organic anion-transporting polypeptide (OATP)</w:t>
            </w:r>
          </w:p>
          <w:p w:rsidR="00F17AFC" w:rsidRPr="00F17AFC" w:rsidRDefault="00F17AFC" w:rsidP="00183653">
            <w:pPr>
              <w:pStyle w:val="TableBullet"/>
            </w:pPr>
            <w:r w:rsidRPr="00F17AFC">
              <w:t>with tenofovir disoproxil fumarate (TDF)</w:t>
            </w:r>
          </w:p>
        </w:tc>
        <w:tc>
          <w:tcPr>
            <w:tcW w:w="99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1134"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c>
          <w:tcPr>
            <w:tcW w:w="104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95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r>
      <w:tr w:rsidR="00F17AFC" w:rsidRPr="00F17AFC" w:rsidTr="00A95AB7">
        <w:trPr>
          <w:trHeight w:val="175"/>
        </w:trPr>
        <w:tc>
          <w:tcPr>
            <w:tcW w:w="1208" w:type="dxa"/>
            <w:vMerge w:val="restart"/>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Missing information</w:t>
            </w:r>
          </w:p>
        </w:tc>
        <w:tc>
          <w:tcPr>
            <w:tcW w:w="329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Safety in children†</w:t>
            </w:r>
          </w:p>
        </w:tc>
        <w:tc>
          <w:tcPr>
            <w:tcW w:w="99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1134" w:type="dxa"/>
          </w:tcPr>
          <w:p w:rsidR="00F17AFC" w:rsidRPr="00F17AFC" w:rsidRDefault="00E650A8" w:rsidP="00F17AFC">
            <w:pPr>
              <w:ind w:left="0" w:right="0"/>
              <w:rPr>
                <w:rFonts w:asciiTheme="minorHAnsi" w:hAnsiTheme="minorHAnsi"/>
                <w:sz w:val="20"/>
                <w:szCs w:val="20"/>
              </w:rPr>
            </w:pPr>
            <w:r>
              <w:rPr>
                <w:rFonts w:asciiTheme="minorHAnsi" w:hAnsiTheme="minorHAnsi"/>
                <w:sz w:val="20"/>
                <w:szCs w:val="20"/>
              </w:rPr>
              <w:t>1</w:t>
            </w:r>
          </w:p>
        </w:tc>
        <w:tc>
          <w:tcPr>
            <w:tcW w:w="104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95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r>
      <w:tr w:rsidR="00F17AFC" w:rsidRPr="00F17AFC" w:rsidTr="00A95AB7">
        <w:trPr>
          <w:trHeight w:val="101"/>
        </w:trPr>
        <w:tc>
          <w:tcPr>
            <w:tcW w:w="1208" w:type="dxa"/>
            <w:vMerge/>
          </w:tcPr>
          <w:p w:rsidR="00F17AFC" w:rsidRPr="00F17AFC" w:rsidRDefault="00F17AFC" w:rsidP="00F17AFC">
            <w:pPr>
              <w:ind w:left="0" w:right="0"/>
              <w:rPr>
                <w:rFonts w:asciiTheme="minorHAnsi" w:hAnsiTheme="minorHAnsi"/>
                <w:sz w:val="20"/>
                <w:szCs w:val="20"/>
              </w:rPr>
            </w:pPr>
          </w:p>
        </w:tc>
        <w:tc>
          <w:tcPr>
            <w:tcW w:w="329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Safety in pregnant or breastfeeding women</w:t>
            </w:r>
          </w:p>
        </w:tc>
        <w:tc>
          <w:tcPr>
            <w:tcW w:w="99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r w:rsidRPr="00F17AFC">
              <w:rPr>
                <w:rFonts w:asciiTheme="minorHAnsi" w:hAnsiTheme="minorHAnsi"/>
                <w:sz w:val="20"/>
                <w:szCs w:val="20"/>
              </w:rPr>
              <w:t>*</w:t>
            </w:r>
          </w:p>
        </w:tc>
        <w:tc>
          <w:tcPr>
            <w:tcW w:w="1134"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c>
          <w:tcPr>
            <w:tcW w:w="104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95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r>
      <w:tr w:rsidR="00F17AFC" w:rsidRPr="00F17AFC" w:rsidTr="00A95AB7">
        <w:trPr>
          <w:trHeight w:val="101"/>
        </w:trPr>
        <w:tc>
          <w:tcPr>
            <w:tcW w:w="1208" w:type="dxa"/>
            <w:vMerge/>
          </w:tcPr>
          <w:p w:rsidR="00F17AFC" w:rsidRPr="00F17AFC" w:rsidRDefault="00F17AFC" w:rsidP="00F17AFC">
            <w:pPr>
              <w:ind w:left="0" w:right="0"/>
              <w:rPr>
                <w:rFonts w:asciiTheme="minorHAnsi" w:hAnsiTheme="minorHAnsi"/>
                <w:sz w:val="20"/>
                <w:szCs w:val="20"/>
              </w:rPr>
            </w:pPr>
          </w:p>
        </w:tc>
        <w:tc>
          <w:tcPr>
            <w:tcW w:w="329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Safety in patients with HCV/ HIV coinfection</w:t>
            </w:r>
          </w:p>
        </w:tc>
        <w:tc>
          <w:tcPr>
            <w:tcW w:w="99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1134"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c>
          <w:tcPr>
            <w:tcW w:w="104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95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r>
      <w:tr w:rsidR="00F17AFC" w:rsidRPr="00F17AFC" w:rsidTr="00A95AB7">
        <w:trPr>
          <w:trHeight w:val="101"/>
        </w:trPr>
        <w:tc>
          <w:tcPr>
            <w:tcW w:w="1208" w:type="dxa"/>
            <w:vMerge/>
          </w:tcPr>
          <w:p w:rsidR="00F17AFC" w:rsidRPr="00F17AFC" w:rsidRDefault="00F17AFC" w:rsidP="00F17AFC">
            <w:pPr>
              <w:ind w:left="0" w:right="0"/>
              <w:rPr>
                <w:rFonts w:asciiTheme="minorHAnsi" w:hAnsiTheme="minorHAnsi"/>
                <w:sz w:val="20"/>
                <w:szCs w:val="20"/>
              </w:rPr>
            </w:pPr>
          </w:p>
        </w:tc>
        <w:tc>
          <w:tcPr>
            <w:tcW w:w="329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Safety in HCV patients with severe renal impairment or end-stage renal disease</w:t>
            </w:r>
          </w:p>
        </w:tc>
        <w:tc>
          <w:tcPr>
            <w:tcW w:w="99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1134" w:type="dxa"/>
          </w:tcPr>
          <w:p w:rsidR="00F17AFC" w:rsidRPr="00F17AFC" w:rsidRDefault="00E650A8" w:rsidP="00F17AFC">
            <w:pPr>
              <w:ind w:left="0" w:right="0"/>
              <w:rPr>
                <w:rFonts w:asciiTheme="minorHAnsi" w:hAnsiTheme="minorHAnsi"/>
                <w:sz w:val="20"/>
                <w:szCs w:val="20"/>
              </w:rPr>
            </w:pPr>
            <w:r>
              <w:rPr>
                <w:rFonts w:asciiTheme="minorHAnsi" w:hAnsiTheme="minorHAnsi"/>
                <w:sz w:val="20"/>
                <w:szCs w:val="20"/>
              </w:rPr>
              <w:t>2</w:t>
            </w:r>
          </w:p>
        </w:tc>
        <w:tc>
          <w:tcPr>
            <w:tcW w:w="104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95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r>
      <w:tr w:rsidR="00F17AFC" w:rsidRPr="00F17AFC" w:rsidTr="00A95AB7">
        <w:trPr>
          <w:trHeight w:val="101"/>
        </w:trPr>
        <w:tc>
          <w:tcPr>
            <w:tcW w:w="1208" w:type="dxa"/>
            <w:vMerge/>
          </w:tcPr>
          <w:p w:rsidR="00F17AFC" w:rsidRPr="00F17AFC" w:rsidRDefault="00F17AFC" w:rsidP="00F17AFC">
            <w:pPr>
              <w:ind w:left="0" w:right="0"/>
              <w:rPr>
                <w:rFonts w:asciiTheme="minorHAnsi" w:hAnsiTheme="minorHAnsi"/>
                <w:sz w:val="20"/>
                <w:szCs w:val="20"/>
              </w:rPr>
            </w:pPr>
          </w:p>
        </w:tc>
        <w:tc>
          <w:tcPr>
            <w:tcW w:w="329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Safety in patients with moderate or severe hepatic impairment</w:t>
            </w:r>
          </w:p>
        </w:tc>
        <w:tc>
          <w:tcPr>
            <w:tcW w:w="99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1134"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c>
          <w:tcPr>
            <w:tcW w:w="104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95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r>
      <w:tr w:rsidR="00F17AFC" w:rsidRPr="00F17AFC" w:rsidTr="00A95AB7">
        <w:trPr>
          <w:trHeight w:val="138"/>
        </w:trPr>
        <w:tc>
          <w:tcPr>
            <w:tcW w:w="1208" w:type="dxa"/>
            <w:vMerge/>
          </w:tcPr>
          <w:p w:rsidR="00F17AFC" w:rsidRPr="00F17AFC" w:rsidRDefault="00F17AFC" w:rsidP="00F17AFC">
            <w:pPr>
              <w:ind w:left="0" w:right="0"/>
              <w:rPr>
                <w:rFonts w:asciiTheme="minorHAnsi" w:hAnsiTheme="minorHAnsi"/>
                <w:sz w:val="20"/>
                <w:szCs w:val="20"/>
              </w:rPr>
            </w:pPr>
          </w:p>
        </w:tc>
        <w:tc>
          <w:tcPr>
            <w:tcW w:w="329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Development of resistance</w:t>
            </w:r>
          </w:p>
        </w:tc>
        <w:tc>
          <w:tcPr>
            <w:tcW w:w="99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sym w:font="Wingdings" w:char="F0FC"/>
            </w:r>
          </w:p>
        </w:tc>
        <w:tc>
          <w:tcPr>
            <w:tcW w:w="1134" w:type="dxa"/>
          </w:tcPr>
          <w:p w:rsidR="00F17AFC" w:rsidRPr="00F17AFC" w:rsidRDefault="00E650A8" w:rsidP="00F17AFC">
            <w:pPr>
              <w:ind w:left="0" w:right="0"/>
              <w:rPr>
                <w:rFonts w:asciiTheme="minorHAnsi" w:hAnsiTheme="minorHAnsi"/>
                <w:sz w:val="20"/>
                <w:szCs w:val="20"/>
              </w:rPr>
            </w:pPr>
            <w:r>
              <w:rPr>
                <w:rFonts w:asciiTheme="minorHAnsi" w:hAnsiTheme="minorHAnsi"/>
                <w:sz w:val="20"/>
                <w:szCs w:val="20"/>
              </w:rPr>
              <w:t>3</w:t>
            </w:r>
          </w:p>
        </w:tc>
        <w:tc>
          <w:tcPr>
            <w:tcW w:w="1042"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c>
          <w:tcPr>
            <w:tcW w:w="955" w:type="dxa"/>
          </w:tcPr>
          <w:p w:rsidR="00F17AFC" w:rsidRPr="00F17AFC" w:rsidRDefault="00F17AFC" w:rsidP="00F17AFC">
            <w:pPr>
              <w:ind w:left="0" w:right="0"/>
              <w:rPr>
                <w:rFonts w:asciiTheme="minorHAnsi" w:hAnsiTheme="minorHAnsi"/>
                <w:sz w:val="20"/>
                <w:szCs w:val="20"/>
              </w:rPr>
            </w:pPr>
            <w:r w:rsidRPr="00F17AFC">
              <w:rPr>
                <w:rFonts w:asciiTheme="minorHAnsi" w:hAnsiTheme="minorHAnsi"/>
                <w:sz w:val="20"/>
                <w:szCs w:val="20"/>
              </w:rPr>
              <w:t>–</w:t>
            </w:r>
          </w:p>
        </w:tc>
      </w:tr>
      <w:tr w:rsidR="00F17AFC" w:rsidRPr="00E650A8" w:rsidTr="00A95AB7">
        <w:trPr>
          <w:trHeight w:val="138"/>
        </w:trPr>
        <w:tc>
          <w:tcPr>
            <w:tcW w:w="1208" w:type="dxa"/>
            <w:vMerge/>
          </w:tcPr>
          <w:p w:rsidR="00F17AFC" w:rsidRPr="00F17AFC" w:rsidRDefault="00F17AFC" w:rsidP="00F17AFC">
            <w:pPr>
              <w:ind w:left="0" w:right="0"/>
              <w:rPr>
                <w:rFonts w:asciiTheme="minorHAnsi" w:hAnsiTheme="minorHAnsi"/>
                <w:sz w:val="20"/>
                <w:szCs w:val="20"/>
              </w:rPr>
            </w:pPr>
          </w:p>
        </w:tc>
        <w:tc>
          <w:tcPr>
            <w:tcW w:w="3295"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Safety in post liver transplant patients</w:t>
            </w:r>
          </w:p>
        </w:tc>
        <w:tc>
          <w:tcPr>
            <w:tcW w:w="992"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sym w:font="Wingdings" w:char="F0FC"/>
            </w:r>
          </w:p>
        </w:tc>
        <w:tc>
          <w:tcPr>
            <w:tcW w:w="1134"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c>
          <w:tcPr>
            <w:tcW w:w="1042"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c>
          <w:tcPr>
            <w:tcW w:w="955"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r>
      <w:tr w:rsidR="00F17AFC" w:rsidRPr="00E650A8" w:rsidTr="00A95AB7">
        <w:trPr>
          <w:trHeight w:val="138"/>
        </w:trPr>
        <w:tc>
          <w:tcPr>
            <w:tcW w:w="1208" w:type="dxa"/>
            <w:vMerge/>
          </w:tcPr>
          <w:p w:rsidR="00F17AFC" w:rsidRPr="00F17AFC" w:rsidRDefault="00F17AFC" w:rsidP="00F17AFC">
            <w:pPr>
              <w:ind w:left="0" w:right="0"/>
              <w:rPr>
                <w:rFonts w:asciiTheme="minorHAnsi" w:hAnsiTheme="minorHAnsi"/>
                <w:sz w:val="20"/>
                <w:szCs w:val="20"/>
              </w:rPr>
            </w:pPr>
          </w:p>
        </w:tc>
        <w:tc>
          <w:tcPr>
            <w:tcW w:w="3295"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Safety in patients with previous HCC</w:t>
            </w:r>
          </w:p>
        </w:tc>
        <w:tc>
          <w:tcPr>
            <w:tcW w:w="992"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sym w:font="Wingdings" w:char="F0FC"/>
            </w:r>
          </w:p>
        </w:tc>
        <w:tc>
          <w:tcPr>
            <w:tcW w:w="1134" w:type="dxa"/>
          </w:tcPr>
          <w:p w:rsidR="00F17AFC" w:rsidRPr="00E650A8" w:rsidRDefault="00E650A8" w:rsidP="00F17AFC">
            <w:pPr>
              <w:ind w:left="0" w:right="0"/>
              <w:rPr>
                <w:rFonts w:asciiTheme="minorHAnsi" w:hAnsiTheme="minorHAnsi"/>
                <w:b/>
                <w:sz w:val="20"/>
                <w:szCs w:val="20"/>
              </w:rPr>
            </w:pPr>
            <w:r>
              <w:rPr>
                <w:rFonts w:asciiTheme="minorHAnsi" w:hAnsiTheme="minorHAnsi"/>
                <w:b/>
                <w:sz w:val="20"/>
                <w:szCs w:val="20"/>
              </w:rPr>
              <w:t>5</w:t>
            </w:r>
          </w:p>
        </w:tc>
        <w:tc>
          <w:tcPr>
            <w:tcW w:w="1042"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c>
          <w:tcPr>
            <w:tcW w:w="955" w:type="dxa"/>
          </w:tcPr>
          <w:p w:rsidR="00F17AFC" w:rsidRPr="00E650A8" w:rsidRDefault="00F17AFC" w:rsidP="00F17AFC">
            <w:pPr>
              <w:ind w:left="0" w:right="0"/>
              <w:rPr>
                <w:rFonts w:asciiTheme="minorHAnsi" w:hAnsiTheme="minorHAnsi"/>
                <w:b/>
                <w:sz w:val="20"/>
                <w:szCs w:val="20"/>
              </w:rPr>
            </w:pPr>
            <w:r w:rsidRPr="00E650A8">
              <w:rPr>
                <w:rFonts w:asciiTheme="minorHAnsi" w:hAnsiTheme="minorHAnsi"/>
                <w:b/>
                <w:sz w:val="20"/>
                <w:szCs w:val="20"/>
              </w:rPr>
              <w:t>-</w:t>
            </w:r>
          </w:p>
        </w:tc>
      </w:tr>
    </w:tbl>
    <w:p w:rsidR="00476CD0" w:rsidRDefault="00F17AFC" w:rsidP="00F17AFC">
      <w:pPr>
        <w:pStyle w:val="TableDescription"/>
      </w:pPr>
      <w:r>
        <w:t xml:space="preserve">Changes in EU-RMP v1.0 with ASA v0.2 are shown </w:t>
      </w:r>
      <w:r w:rsidR="00E650A8">
        <w:t>in bold</w:t>
      </w:r>
      <w:r>
        <w:t>. Key: *</w:t>
      </w:r>
      <w:r w:rsidR="00E650A8">
        <w:t xml:space="preserve"> </w:t>
      </w:r>
      <w:r>
        <w:t>E</w:t>
      </w:r>
      <w:r w:rsidRPr="00F07D6F">
        <w:t xml:space="preserve">nhanced routine pharmacovigilance </w:t>
      </w:r>
      <w:r>
        <w:t>using</w:t>
      </w:r>
      <w:r w:rsidRPr="00F07D6F">
        <w:t xml:space="preserve"> structured follow-up questionnaires </w:t>
      </w:r>
      <w:r>
        <w:t>for these concerns † indicates an Australian specific safety concern. The EMA has requested the removal of these concerns from the EU-RMP. The pharmacovigilance and risk minimisation activities for these concerns are described in the ASA</w:t>
      </w:r>
      <w:r w:rsidR="00476CD0">
        <w:t>.</w:t>
      </w:r>
    </w:p>
    <w:p w:rsidR="00E650A8" w:rsidRPr="00E650A8" w:rsidRDefault="00E650A8" w:rsidP="00E650A8">
      <w:pPr>
        <w:pStyle w:val="Heading5"/>
      </w:pPr>
      <w:r w:rsidRPr="00E650A8">
        <w:t>Pharmacovigilance plan</w:t>
      </w:r>
    </w:p>
    <w:p w:rsidR="00E650A8" w:rsidRPr="00E650A8" w:rsidRDefault="00E650A8" w:rsidP="00E650A8">
      <w:r w:rsidRPr="00E650A8">
        <w:t>Routine pharmacovigilance is proposed to monitor all the safety concerns, including the use of structured follow up questionnaires to investigate reports of ‘severe bradycardia with concomitant amiodarone’, and ‘exposure in pregnancy’.</w:t>
      </w:r>
    </w:p>
    <w:p w:rsidR="00E650A8" w:rsidRPr="00E650A8" w:rsidRDefault="00E650A8" w:rsidP="00E650A8">
      <w:r w:rsidRPr="00E650A8">
        <w:t>Additional pharmacovigilance activities described in the ASA include:</w:t>
      </w:r>
    </w:p>
    <w:p w:rsidR="00E650A8" w:rsidRPr="00E650A8" w:rsidRDefault="003B424E" w:rsidP="00E650A8">
      <w:pPr>
        <w:pStyle w:val="Numberbullet0"/>
        <w:numPr>
          <w:ilvl w:val="0"/>
          <w:numId w:val="19"/>
        </w:numPr>
      </w:pPr>
      <w:bookmarkStart w:id="302" w:name="_Ref490642864"/>
      <w:r>
        <w:t xml:space="preserve">Study </w:t>
      </w:r>
      <w:r w:rsidR="00E650A8" w:rsidRPr="00E650A8">
        <w:t xml:space="preserve">GS-US-367-1175 (planned, includes 5 year extension) </w:t>
      </w:r>
      <w:r w:rsidR="00183653">
        <w:t>c</w:t>
      </w:r>
      <w:r w:rsidR="00E650A8" w:rsidRPr="00E650A8">
        <w:t>linical study of SOF/VEL/VOX in children and adolescents with chronic HCV infection; no Australian patients</w:t>
      </w:r>
      <w:bookmarkEnd w:id="302"/>
      <w:r w:rsidR="00183653">
        <w:t>.</w:t>
      </w:r>
    </w:p>
    <w:p w:rsidR="00E650A8" w:rsidRPr="00E650A8" w:rsidRDefault="003B424E" w:rsidP="00E650A8">
      <w:pPr>
        <w:pStyle w:val="Numberbullet0"/>
        <w:numPr>
          <w:ilvl w:val="0"/>
          <w:numId w:val="19"/>
        </w:numPr>
      </w:pPr>
      <w:bookmarkStart w:id="303" w:name="_Ref490642889"/>
      <w:r>
        <w:t xml:space="preserve">Study </w:t>
      </w:r>
      <w:r w:rsidR="00E650A8" w:rsidRPr="00E650A8">
        <w:t xml:space="preserve">GS-US-334-0154 (ongoing) </w:t>
      </w:r>
      <w:r w:rsidR="00183653">
        <w:t>c</w:t>
      </w:r>
      <w:r w:rsidR="00E650A8" w:rsidRPr="00E650A8">
        <w:t>linical study to assess the safety, efficacy and pharmacokinetics of SOF+RBV in subjects with chronic genotype 1 or 3 HCV infection and severe renal impairment; no Australian patients</w:t>
      </w:r>
      <w:bookmarkEnd w:id="303"/>
      <w:r w:rsidR="00183653">
        <w:t>.</w:t>
      </w:r>
    </w:p>
    <w:p w:rsidR="00E650A8" w:rsidRPr="00E650A8" w:rsidRDefault="003B424E" w:rsidP="00E650A8">
      <w:pPr>
        <w:pStyle w:val="Numberbullet0"/>
        <w:numPr>
          <w:ilvl w:val="0"/>
          <w:numId w:val="19"/>
        </w:numPr>
      </w:pPr>
      <w:bookmarkStart w:id="304" w:name="_Ref490642832"/>
      <w:r>
        <w:t xml:space="preserve">Study </w:t>
      </w:r>
      <w:r w:rsidR="00E650A8" w:rsidRPr="00E650A8">
        <w:t>GS-US-248-0123 (ongoing, includes Australian patients)</w:t>
      </w:r>
      <w:r>
        <w:t>; a</w:t>
      </w:r>
      <w:r w:rsidR="00E650A8" w:rsidRPr="00E650A8">
        <w:t xml:space="preserve"> </w:t>
      </w:r>
      <w:r>
        <w:t>l</w:t>
      </w:r>
      <w:r w:rsidR="00E650A8" w:rsidRPr="00E650A8">
        <w:t xml:space="preserve">ong </w:t>
      </w:r>
      <w:r w:rsidR="00183653" w:rsidRPr="00E650A8">
        <w:t>term follow-up registry study of subjects who did not achieve sustained virologic response in Gilead-sponsored trials in subjects with chronic hepat</w:t>
      </w:r>
      <w:r w:rsidR="00183653">
        <w:t xml:space="preserve">itis C </w:t>
      </w:r>
      <w:r>
        <w:t>i</w:t>
      </w:r>
      <w:r w:rsidR="00183653">
        <w:t>nfection;</w:t>
      </w:r>
      <w:r w:rsidR="00E650A8" w:rsidRPr="00E650A8">
        <w:t xml:space="preserve"> to evaluate HCV viral sequences and the persistence or evolution of treatment-emergent viral mutation</w:t>
      </w:r>
      <w:bookmarkEnd w:id="304"/>
      <w:r w:rsidR="00183653">
        <w:t>.</w:t>
      </w:r>
    </w:p>
    <w:p w:rsidR="00E650A8" w:rsidRPr="00E650A8" w:rsidRDefault="003B424E" w:rsidP="00E650A8">
      <w:pPr>
        <w:pStyle w:val="Numberbullet0"/>
        <w:numPr>
          <w:ilvl w:val="0"/>
          <w:numId w:val="19"/>
        </w:numPr>
      </w:pPr>
      <w:r>
        <w:t xml:space="preserve">Study </w:t>
      </w:r>
      <w:r w:rsidR="00E650A8" w:rsidRPr="00E650A8">
        <w:t xml:space="preserve">GS-US-334-1113 (ongoing, includes Australian patients) Long </w:t>
      </w:r>
      <w:r w:rsidR="00183653" w:rsidRPr="00E650A8">
        <w:t xml:space="preserve">term follow-up registry for adolescent and </w:t>
      </w:r>
      <w:r w:rsidR="00DA0F8A" w:rsidRPr="00E650A8">
        <w:t>paediatric</w:t>
      </w:r>
      <w:r w:rsidR="00183653" w:rsidRPr="00E650A8">
        <w:t xml:space="preserve"> subjects who received a Gilead </w:t>
      </w:r>
      <w:r w:rsidR="00183653">
        <w:t>h</w:t>
      </w:r>
      <w:r w:rsidR="00E650A8" w:rsidRPr="00E650A8">
        <w:t xml:space="preserve">epatitis C </w:t>
      </w:r>
      <w:r w:rsidR="00183653" w:rsidRPr="00E650A8">
        <w:t xml:space="preserve">virus direct acting antiviral </w:t>
      </w:r>
      <w:r w:rsidR="00E650A8" w:rsidRPr="00E650A8">
        <w:t>(DAA) in Gilead-</w:t>
      </w:r>
      <w:r w:rsidR="00183653" w:rsidRPr="00E650A8">
        <w:t xml:space="preserve">sponsored chronic hepatitis </w:t>
      </w:r>
      <w:r w:rsidR="00E650A8" w:rsidRPr="00E650A8">
        <w:t xml:space="preserve">C </w:t>
      </w:r>
      <w:r w:rsidR="00183653" w:rsidRPr="00E650A8">
        <w:t>infection t</w:t>
      </w:r>
      <w:r w:rsidR="00183653">
        <w:t>rials.</w:t>
      </w:r>
    </w:p>
    <w:p w:rsidR="00E650A8" w:rsidRPr="00E650A8" w:rsidRDefault="003B424E" w:rsidP="00E650A8">
      <w:pPr>
        <w:pStyle w:val="Numberbullet0"/>
        <w:numPr>
          <w:ilvl w:val="0"/>
          <w:numId w:val="19"/>
        </w:numPr>
      </w:pPr>
      <w:r>
        <w:t xml:space="preserve">A </w:t>
      </w:r>
      <w:r w:rsidR="00E650A8" w:rsidRPr="00E650A8">
        <w:t>(</w:t>
      </w:r>
      <w:r>
        <w:t>p</w:t>
      </w:r>
      <w:r w:rsidR="00E650A8" w:rsidRPr="00E650A8">
        <w:t xml:space="preserve">lanned) </w:t>
      </w:r>
      <w:r>
        <w:t>s</w:t>
      </w:r>
      <w:r w:rsidRPr="00E650A8">
        <w:t xml:space="preserve">tudy </w:t>
      </w:r>
      <w:r w:rsidR="00E650A8" w:rsidRPr="00E650A8">
        <w:t xml:space="preserve">to assess the impact of DAA treatment on the incidence of </w:t>
      </w:r>
      <w:r w:rsidRPr="00E650A8">
        <w:t>HC</w:t>
      </w:r>
      <w:r>
        <w:t>V</w:t>
      </w:r>
      <w:r w:rsidRPr="00E650A8">
        <w:t xml:space="preserve"> </w:t>
      </w:r>
      <w:r w:rsidR="00E650A8" w:rsidRPr="00E650A8">
        <w:t>recurrence.</w:t>
      </w:r>
    </w:p>
    <w:p w:rsidR="00E650A8" w:rsidRPr="00E650A8" w:rsidRDefault="00E650A8" w:rsidP="00E650A8">
      <w:pPr>
        <w:pStyle w:val="Heading5"/>
      </w:pPr>
      <w:r w:rsidRPr="00E650A8">
        <w:t>Risk minimisation plan</w:t>
      </w:r>
    </w:p>
    <w:p w:rsidR="00F17AFC" w:rsidRPr="00F17AFC" w:rsidRDefault="00E650A8" w:rsidP="00F17AFC">
      <w:r w:rsidRPr="00E650A8">
        <w:t>Routine risk minimisation activities (PI and CMI) only are proposed. This is considered acceptable, in line with proposed EU-activities and other DAA drugs in Australia.</w:t>
      </w:r>
    </w:p>
    <w:p w:rsidR="00E650A8" w:rsidRDefault="00E650A8" w:rsidP="00E650A8">
      <w:pPr>
        <w:pStyle w:val="Heading4"/>
      </w:pPr>
      <w:bookmarkStart w:id="305" w:name="_Toc497888490"/>
      <w:bookmarkStart w:id="306" w:name="_Toc477354123"/>
      <w:r>
        <w:t>Conclusions</w:t>
      </w:r>
      <w:bookmarkEnd w:id="305"/>
    </w:p>
    <w:p w:rsidR="00E650A8" w:rsidRPr="00E650A8" w:rsidRDefault="00E650A8" w:rsidP="00E650A8">
      <w:r w:rsidRPr="00E650A8">
        <w:t xml:space="preserve">The Vosevi </w:t>
      </w:r>
      <w:r w:rsidR="003B424E">
        <w:t>RMP</w:t>
      </w:r>
      <w:r w:rsidRPr="00E650A8">
        <w:t xml:space="preserve"> is acceptable.</w:t>
      </w:r>
    </w:p>
    <w:p w:rsidR="00E650A8" w:rsidRPr="00E650A8" w:rsidRDefault="00E650A8" w:rsidP="00E650A8">
      <w:r w:rsidRPr="00E650A8">
        <w:t>The sponsor has provided a c</w:t>
      </w:r>
      <w:r w:rsidR="00183653">
        <w:t xml:space="preserve">ommitment to collect Australian </w:t>
      </w:r>
      <w:r w:rsidRPr="00E650A8">
        <w:t>specific patient ethnicity information for all case reports that require targeted follow-up.</w:t>
      </w:r>
    </w:p>
    <w:p w:rsidR="00E650A8" w:rsidRPr="00BB4B51" w:rsidRDefault="00E650A8" w:rsidP="00E650A8">
      <w:pPr>
        <w:pStyle w:val="Heading4"/>
      </w:pPr>
      <w:bookmarkStart w:id="307" w:name="_Toc497888491"/>
      <w:r>
        <w:t>Proposed wording for conditions of registration</w:t>
      </w:r>
      <w:bookmarkEnd w:id="307"/>
    </w:p>
    <w:p w:rsidR="00476CD0" w:rsidRDefault="00E650A8" w:rsidP="00E650A8">
      <w:r w:rsidRPr="00E650A8">
        <w:t>Any changes to which the sponsor has agreed should be included in a revised RMP and ASA. However, irrespective of whether or not they are included in the currently available version of the RMP document, the agreed changes become part of the risk management system</w:t>
      </w:r>
      <w:r w:rsidR="00476CD0">
        <w:t>.</w:t>
      </w:r>
    </w:p>
    <w:p w:rsidR="00DA0F8A" w:rsidRDefault="00DA0F8A" w:rsidP="00E650A8">
      <w:r>
        <w:t>The suggested wording is:</w:t>
      </w:r>
    </w:p>
    <w:p w:rsidR="00E650A8" w:rsidRPr="00E650A8" w:rsidRDefault="00E650A8" w:rsidP="00DA0F8A">
      <w:pPr>
        <w:ind w:left="720"/>
      </w:pPr>
      <w:r w:rsidRPr="00E650A8">
        <w:t>Implement the Vosevi EU-RMP version 1.0, dated 26 July 2017, final sign-off 12</w:t>
      </w:r>
      <w:r w:rsidR="003B424E">
        <w:t> </w:t>
      </w:r>
      <w:r w:rsidRPr="00E650A8">
        <w:t>May 2017, DLP 12 October 2016 with Australian Specific Annex version 0.2, September 2017 and any future updates as a condition of registration.</w:t>
      </w:r>
    </w:p>
    <w:p w:rsidR="00E650A8" w:rsidRDefault="00E650A8" w:rsidP="00E650A8">
      <w:pPr>
        <w:pStyle w:val="Heading5"/>
      </w:pPr>
      <w:bookmarkStart w:id="308" w:name="_Toc497888492"/>
      <w:r>
        <w:lastRenderedPageBreak/>
        <w:t xml:space="preserve">Other advice to the </w:t>
      </w:r>
      <w:r w:rsidR="00142CB6">
        <w:t>d</w:t>
      </w:r>
      <w:r>
        <w:t>elegate</w:t>
      </w:r>
      <w:bookmarkEnd w:id="308"/>
    </w:p>
    <w:p w:rsidR="00456765" w:rsidRDefault="00E650A8" w:rsidP="00456765">
      <w:r w:rsidRPr="00E650A8">
        <w:t xml:space="preserve">The Delegate’s attention is drawn to one change to the draft </w:t>
      </w:r>
      <w:r w:rsidR="00183653">
        <w:t>PI</w:t>
      </w:r>
      <w:r w:rsidRPr="00E650A8">
        <w:t>, in response an RMP recommendation, as follows:</w:t>
      </w:r>
      <w:bookmarkEnd w:id="306"/>
    </w:p>
    <w:p w:rsidR="00DA0F8A" w:rsidRDefault="000D5C0A" w:rsidP="000D5C0A">
      <w:pPr>
        <w:pStyle w:val="Standard"/>
      </w:pPr>
      <w:r w:rsidRPr="00CA1D73">
        <w:t xml:space="preserve">The sponsor has amended the </w:t>
      </w:r>
      <w:r w:rsidR="003B424E" w:rsidRPr="003B424E">
        <w:t xml:space="preserve">Precaution </w:t>
      </w:r>
      <w:r w:rsidRPr="00CA1D73">
        <w:t>for HBV/HCV co-infected patients to include the following statement:</w:t>
      </w:r>
    </w:p>
    <w:p w:rsidR="000D5C0A" w:rsidRPr="00DA0F8A" w:rsidRDefault="003B424E" w:rsidP="00DA0F8A">
      <w:pPr>
        <w:pStyle w:val="Standard"/>
        <w:ind w:left="720"/>
      </w:pPr>
      <w:r>
        <w:t>‘</w:t>
      </w:r>
      <w:r w:rsidR="000D5C0A" w:rsidRPr="00DA0F8A">
        <w:t>There are no data on the use of VOSEVI in patients with HCV/hepatitis B virus (HBV) co-infection.</w:t>
      </w:r>
      <w:r>
        <w:t>’</w:t>
      </w:r>
    </w:p>
    <w:p w:rsidR="000D5C0A" w:rsidRPr="00D31393" w:rsidRDefault="000D5C0A" w:rsidP="000D5C0A">
      <w:r>
        <w:t xml:space="preserve">In the context of the RMP, it is recommended to the Delegate that this </w:t>
      </w:r>
      <w:r w:rsidR="003B424E">
        <w:t xml:space="preserve">Precaution </w:t>
      </w:r>
      <w:r>
        <w:t>should state the important warning that ‘fatal cases of HBV reactivation have occurred’ first, to give prominence to this information. The inserted text regarding lack of data should not precede the statement beginning with ‘Cases of HBV reactivation, including fatal cases …’ rather, it should be a separate paragraph.</w:t>
      </w:r>
    </w:p>
    <w:p w:rsidR="008E7846" w:rsidRPr="00792A32" w:rsidRDefault="008E7846" w:rsidP="008E7846">
      <w:pPr>
        <w:pStyle w:val="Heading2"/>
      </w:pPr>
      <w:bookmarkStart w:id="309" w:name="_Toc8291133"/>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37"/>
      <w:bookmarkEnd w:id="300"/>
      <w:bookmarkEnd w:id="301"/>
      <w:bookmarkEnd w:id="309"/>
    </w:p>
    <w:p w:rsidR="008E7846" w:rsidRDefault="008E7846" w:rsidP="008E7846">
      <w:bookmarkStart w:id="310" w:name="_Toc247691528"/>
      <w:r>
        <w:t xml:space="preserve">The submission was summarised in the following </w:t>
      </w:r>
      <w:r w:rsidRPr="00EF5C48">
        <w:t xml:space="preserve">Delegate’s </w:t>
      </w:r>
      <w:r>
        <w:t>overview</w:t>
      </w:r>
      <w:r w:rsidRPr="00EF5C48">
        <w:t xml:space="preserve"> and recommendation</w:t>
      </w:r>
      <w:r>
        <w:t>s:</w:t>
      </w:r>
    </w:p>
    <w:p w:rsidR="009E38EA" w:rsidRDefault="009E38EA" w:rsidP="00AF414F">
      <w:pPr>
        <w:pStyle w:val="Heading3"/>
      </w:pPr>
      <w:bookmarkStart w:id="311" w:name="_Toc8291134"/>
      <w:r w:rsidRPr="003F08CF">
        <w:t>Background</w:t>
      </w:r>
      <w:bookmarkEnd w:id="311"/>
    </w:p>
    <w:p w:rsidR="00AF414F" w:rsidRDefault="00AF414F" w:rsidP="00AF414F">
      <w:r w:rsidRPr="00485D4F">
        <w:t xml:space="preserve">Treatment for hepatitis C has evolved rapidly in recent years, with the development and approval of </w:t>
      </w:r>
      <w:r w:rsidR="00D43BF2">
        <w:t>direct acting</w:t>
      </w:r>
      <w:r w:rsidRPr="00485D4F">
        <w:t xml:space="preserve"> antiviral therapies (DAAs) </w:t>
      </w:r>
      <w:r w:rsidR="000D5C0A" w:rsidRPr="00485D4F">
        <w:t>supersed</w:t>
      </w:r>
      <w:r w:rsidR="000D5C0A">
        <w:t>i</w:t>
      </w:r>
      <w:r w:rsidR="000D5C0A" w:rsidRPr="00485D4F">
        <w:t>ng</w:t>
      </w:r>
      <w:r w:rsidRPr="00485D4F">
        <w:t xml:space="preserve"> interferon-based therapies.</w:t>
      </w:r>
      <w:r>
        <w:t xml:space="preserve"> </w:t>
      </w:r>
      <w:r w:rsidRPr="00485D4F">
        <w:t xml:space="preserve">While significant progress has been made in achieving sustained virological response in treatment naïve, </w:t>
      </w:r>
      <w:r w:rsidRPr="00D51193">
        <w:t>peg</w:t>
      </w:r>
      <w:r w:rsidR="000D5C0A">
        <w:t>-</w:t>
      </w:r>
      <w:r w:rsidRPr="00D51193">
        <w:t>interferon alfa</w:t>
      </w:r>
      <w:r>
        <w:t xml:space="preserve"> (peg-IFN)</w:t>
      </w:r>
      <w:r w:rsidRPr="00485D4F">
        <w:t>/</w:t>
      </w:r>
      <w:r>
        <w:t>ribavirin (</w:t>
      </w:r>
      <w:r w:rsidRPr="00485D4F">
        <w:t>RBV</w:t>
      </w:r>
      <w:r>
        <w:t>)</w:t>
      </w:r>
      <w:r w:rsidRPr="00485D4F">
        <w:t xml:space="preserve"> and NS3/4A protease </w:t>
      </w:r>
      <w:r w:rsidR="000D5C0A">
        <w:t>inhibitor experienced</w:t>
      </w:r>
      <w:r w:rsidRPr="00485D4F">
        <w:t xml:space="preserve"> patients,</w:t>
      </w:r>
      <w:r>
        <w:t xml:space="preserve"> there remains a treatment gap </w:t>
      </w:r>
      <w:r w:rsidRPr="00485D4F">
        <w:t>for patient</w:t>
      </w:r>
      <w:r>
        <w:t xml:space="preserve">s who </w:t>
      </w:r>
      <w:r w:rsidRPr="00485D4F">
        <w:t xml:space="preserve">have failed </w:t>
      </w:r>
      <w:r>
        <w:t xml:space="preserve">DAA only therapy, including </w:t>
      </w:r>
      <w:r w:rsidR="000D5C0A">
        <w:t>NS5A inhibitor</w:t>
      </w:r>
      <w:r w:rsidRPr="00485D4F">
        <w:t xml:space="preserve"> or NS5B polymerase inhibitor containing regimens.</w:t>
      </w:r>
      <w:r>
        <w:rPr>
          <w:rStyle w:val="FootnoteReference"/>
          <w:rFonts w:asciiTheme="minorHAnsi" w:hAnsiTheme="minorHAnsi"/>
        </w:rPr>
        <w:footnoteReference w:id="59"/>
      </w:r>
      <w:r w:rsidRPr="00485D4F">
        <w:t xml:space="preserve"> </w:t>
      </w:r>
      <w:r w:rsidR="00476CD0" w:rsidRPr="000D5C0A">
        <w:t>Vosevi</w:t>
      </w:r>
      <w:r w:rsidRPr="000D5C0A">
        <w:t xml:space="preserve"> </w:t>
      </w:r>
      <w:r w:rsidRPr="00485D4F">
        <w:t xml:space="preserve">has the potential to fulfil this treatment gap, with the advantages of being </w:t>
      </w:r>
      <w:r>
        <w:t xml:space="preserve">a </w:t>
      </w:r>
      <w:r w:rsidR="000D5C0A">
        <w:t>RBV free</w:t>
      </w:r>
      <w:r w:rsidRPr="00485D4F">
        <w:t>, single tablet</w:t>
      </w:r>
      <w:r>
        <w:t xml:space="preserve"> given once daily</w:t>
      </w:r>
      <w:r w:rsidRPr="00485D4F">
        <w:t>.</w:t>
      </w:r>
    </w:p>
    <w:p w:rsidR="00AF414F" w:rsidRPr="00AF414F" w:rsidRDefault="00AF414F" w:rsidP="00AF414F">
      <w:r w:rsidRPr="00520DFD">
        <w:t>This application seeks to register</w:t>
      </w:r>
      <w:r>
        <w:t xml:space="preserve"> </w:t>
      </w:r>
      <w:r w:rsidR="00476CD0" w:rsidRPr="000D5C0A">
        <w:t>Vosevi</w:t>
      </w:r>
      <w:r w:rsidRPr="000D5C0A">
        <w:t xml:space="preserve"> </w:t>
      </w:r>
      <w:r>
        <w:t>(</w:t>
      </w:r>
      <w:r w:rsidRPr="00520DFD">
        <w:t>sofosbuvir (SOF, GS-7977), velpatasvir (VEL, GS</w:t>
      </w:r>
      <w:r w:rsidR="003B424E">
        <w:noBreakHyphen/>
      </w:r>
      <w:r w:rsidRPr="00520DFD">
        <w:t>5816)</w:t>
      </w:r>
      <w:r>
        <w:t xml:space="preserve"> and voxilaprevir (VOX, GS-9857))</w:t>
      </w:r>
      <w:r w:rsidRPr="00520DFD">
        <w:t xml:space="preserve"> as an oral fixed dose combinat</w:t>
      </w:r>
      <w:r>
        <w:t xml:space="preserve">ion (FDC) tablet, </w:t>
      </w:r>
      <w:r w:rsidRPr="00520DFD">
        <w:t xml:space="preserve">for the treatment of chronic hepatitis C virus (HCV) </w:t>
      </w:r>
      <w:r w:rsidRPr="000D5C0A">
        <w:t>infection. Voxilaprevir is the new unapproved chemical entity con</w:t>
      </w:r>
      <w:r w:rsidRPr="00520DFD">
        <w:t>tained in the triple fixed dose combination tablet</w:t>
      </w:r>
      <w:r>
        <w:t>.</w:t>
      </w:r>
      <w:r w:rsidRPr="00520DFD">
        <w:t xml:space="preserve"> </w:t>
      </w:r>
      <w:r>
        <w:t xml:space="preserve">It </w:t>
      </w:r>
      <w:r w:rsidRPr="00520DFD">
        <w:t>is a pan</w:t>
      </w:r>
      <w:r w:rsidR="000D5C0A">
        <w:t>-</w:t>
      </w:r>
      <w:r w:rsidRPr="00520DFD">
        <w:t xml:space="preserve">genotypic HCV NS3/4A </w:t>
      </w:r>
      <w:r w:rsidR="000D5C0A">
        <w:t>protease inhibitor</w:t>
      </w:r>
      <w:r w:rsidRPr="00520DFD">
        <w:t xml:space="preserve"> with potent antivira</w:t>
      </w:r>
      <w:r>
        <w:t xml:space="preserve">l activity across HCV genotypes and an improved resistance profile compared to other </w:t>
      </w:r>
      <w:r w:rsidRPr="00442DB0">
        <w:t>HCV NS3/4A</w:t>
      </w:r>
      <w:r>
        <w:t xml:space="preserve"> protease inhibitors.</w:t>
      </w:r>
    </w:p>
    <w:p w:rsidR="00AF414F" w:rsidRDefault="00AF414F" w:rsidP="00AF414F">
      <w:r w:rsidRPr="005102DD">
        <w:t>Sofosbuvir (</w:t>
      </w:r>
      <w:r w:rsidR="00476CD0">
        <w:t>Sovaldi</w:t>
      </w:r>
      <w:r w:rsidRPr="005102DD">
        <w:t xml:space="preserve">), an NS5B </w:t>
      </w:r>
      <w:r>
        <w:t xml:space="preserve">polymerase </w:t>
      </w:r>
      <w:r w:rsidRPr="005102DD">
        <w:t>inhibitor</w:t>
      </w:r>
      <w:r>
        <w:t>,</w:t>
      </w:r>
      <w:r w:rsidRPr="005102DD">
        <w:t xml:space="preserve"> was approved in 2014</w:t>
      </w:r>
      <w:r>
        <w:t xml:space="preserve"> by the TGA, to be used i</w:t>
      </w:r>
      <w:r w:rsidRPr="005102DD">
        <w:t>n combination with other agents</w:t>
      </w:r>
      <w:r>
        <w:t xml:space="preserve"> for the treatment of HCV infection</w:t>
      </w:r>
      <w:r w:rsidRPr="005102DD">
        <w:t>. It is also available as a fixed dose combination with ledipasvir (</w:t>
      </w:r>
      <w:r w:rsidR="00476CD0">
        <w:t>Harvoni</w:t>
      </w:r>
      <w:r w:rsidR="00AC0F8C">
        <w:t>);</w:t>
      </w:r>
      <w:r>
        <w:t xml:space="preserve"> </w:t>
      </w:r>
      <w:r w:rsidRPr="00AC0F8C">
        <w:t xml:space="preserve">(see </w:t>
      </w:r>
      <w:r w:rsidR="00AC0F8C" w:rsidRPr="00AC0F8C">
        <w:t>Table 29</w:t>
      </w:r>
      <w:r w:rsidRPr="00AC0F8C">
        <w:t>)</w:t>
      </w:r>
      <w:r w:rsidR="000D5C0A" w:rsidRPr="00AC0F8C">
        <w:t>.</w:t>
      </w:r>
    </w:p>
    <w:p w:rsidR="000D5C0A" w:rsidRDefault="00AC0F8C" w:rsidP="00FF619F">
      <w:pPr>
        <w:pStyle w:val="TableTitle"/>
      </w:pPr>
      <w:r>
        <w:t>Table 29:</w:t>
      </w:r>
      <w:r w:rsidR="000D5C0A" w:rsidRPr="00DA0F8A">
        <w:t xml:space="preserve"> Oral direct-acting antiviral therapies for HCV registered in Australia</w:t>
      </w:r>
    </w:p>
    <w:tbl>
      <w:tblPr>
        <w:tblStyle w:val="TableTGAblue"/>
        <w:tblW w:w="0" w:type="auto"/>
        <w:tblLayout w:type="fixed"/>
        <w:tblLook w:val="04A0" w:firstRow="1" w:lastRow="0" w:firstColumn="1" w:lastColumn="0" w:noHBand="0" w:noVBand="1"/>
      </w:tblPr>
      <w:tblGrid>
        <w:gridCol w:w="1668"/>
        <w:gridCol w:w="1275"/>
        <w:gridCol w:w="1418"/>
        <w:gridCol w:w="1446"/>
        <w:gridCol w:w="1247"/>
        <w:gridCol w:w="1666"/>
      </w:tblGrid>
      <w:tr w:rsidR="00FF619F" w:rsidRPr="00FF619F" w:rsidTr="00FF619F">
        <w:trPr>
          <w:cnfStyle w:val="100000000000" w:firstRow="1" w:lastRow="0" w:firstColumn="0" w:lastColumn="0" w:oddVBand="0" w:evenVBand="0" w:oddHBand="0" w:evenHBand="0" w:firstRowFirstColumn="0" w:firstRowLastColumn="0" w:lastRowFirstColumn="0" w:lastRowLastColumn="0"/>
        </w:trPr>
        <w:tc>
          <w:tcPr>
            <w:tcW w:w="1668" w:type="dxa"/>
          </w:tcPr>
          <w:p w:rsidR="00FF619F" w:rsidRPr="00FF619F" w:rsidRDefault="00FF619F" w:rsidP="00FF619F">
            <w:pPr>
              <w:ind w:left="0"/>
              <w:rPr>
                <w:sz w:val="20"/>
                <w:szCs w:val="20"/>
              </w:rPr>
            </w:pPr>
            <w:r w:rsidRPr="00FF619F">
              <w:rPr>
                <w:sz w:val="20"/>
                <w:szCs w:val="20"/>
              </w:rPr>
              <w:t>Medicine</w:t>
            </w:r>
          </w:p>
        </w:tc>
        <w:tc>
          <w:tcPr>
            <w:tcW w:w="1275" w:type="dxa"/>
          </w:tcPr>
          <w:p w:rsidR="00FF619F" w:rsidRPr="00FF619F" w:rsidRDefault="00FF619F" w:rsidP="00FF619F">
            <w:pPr>
              <w:ind w:left="33"/>
              <w:rPr>
                <w:sz w:val="20"/>
                <w:szCs w:val="20"/>
              </w:rPr>
            </w:pPr>
            <w:r w:rsidRPr="00FF619F">
              <w:rPr>
                <w:sz w:val="20"/>
                <w:szCs w:val="20"/>
              </w:rPr>
              <w:t>Product</w:t>
            </w:r>
          </w:p>
        </w:tc>
        <w:tc>
          <w:tcPr>
            <w:tcW w:w="1418" w:type="dxa"/>
          </w:tcPr>
          <w:p w:rsidR="00FF619F" w:rsidRPr="00FF619F" w:rsidRDefault="00FF619F" w:rsidP="00FF619F">
            <w:pPr>
              <w:ind w:left="68"/>
              <w:rPr>
                <w:sz w:val="20"/>
                <w:szCs w:val="20"/>
              </w:rPr>
            </w:pPr>
            <w:r w:rsidRPr="00FF619F">
              <w:rPr>
                <w:sz w:val="20"/>
                <w:szCs w:val="20"/>
              </w:rPr>
              <w:t>Sponsor</w:t>
            </w:r>
          </w:p>
        </w:tc>
        <w:tc>
          <w:tcPr>
            <w:tcW w:w="1446" w:type="dxa"/>
          </w:tcPr>
          <w:p w:rsidR="00FF619F" w:rsidRPr="00FF619F" w:rsidRDefault="00FF619F" w:rsidP="00FF619F">
            <w:pPr>
              <w:ind w:left="0"/>
              <w:rPr>
                <w:sz w:val="20"/>
                <w:szCs w:val="20"/>
              </w:rPr>
            </w:pPr>
            <w:r w:rsidRPr="00FF619F">
              <w:rPr>
                <w:sz w:val="20"/>
                <w:szCs w:val="20"/>
              </w:rPr>
              <w:t>Mechanism of action</w:t>
            </w:r>
          </w:p>
        </w:tc>
        <w:tc>
          <w:tcPr>
            <w:tcW w:w="1247" w:type="dxa"/>
          </w:tcPr>
          <w:p w:rsidR="00FF619F" w:rsidRPr="00FF619F" w:rsidRDefault="00FF619F" w:rsidP="00FF619F">
            <w:pPr>
              <w:ind w:left="5"/>
              <w:rPr>
                <w:sz w:val="20"/>
                <w:szCs w:val="20"/>
              </w:rPr>
            </w:pPr>
            <w:r w:rsidRPr="00FF619F">
              <w:rPr>
                <w:sz w:val="20"/>
                <w:szCs w:val="20"/>
              </w:rPr>
              <w:t>HCV genotype</w:t>
            </w:r>
          </w:p>
        </w:tc>
        <w:tc>
          <w:tcPr>
            <w:tcW w:w="1666" w:type="dxa"/>
          </w:tcPr>
          <w:p w:rsidR="00FF619F" w:rsidRPr="00FF619F" w:rsidRDefault="00FF619F" w:rsidP="00FF619F">
            <w:pPr>
              <w:ind w:left="34"/>
              <w:rPr>
                <w:sz w:val="20"/>
                <w:szCs w:val="20"/>
              </w:rPr>
            </w:pPr>
            <w:r w:rsidRPr="00FF619F">
              <w:rPr>
                <w:sz w:val="20"/>
                <w:szCs w:val="20"/>
              </w:rPr>
              <w:t>Treatment regimens</w:t>
            </w:r>
          </w:p>
        </w:tc>
      </w:tr>
      <w:tr w:rsidR="00FF619F" w:rsidRPr="00FF619F" w:rsidTr="00FF619F">
        <w:tc>
          <w:tcPr>
            <w:tcW w:w="1668" w:type="dxa"/>
          </w:tcPr>
          <w:p w:rsidR="00FF619F" w:rsidRPr="00FF619F" w:rsidRDefault="00FF619F" w:rsidP="00FF619F">
            <w:pPr>
              <w:ind w:left="0"/>
              <w:rPr>
                <w:sz w:val="20"/>
                <w:szCs w:val="20"/>
              </w:rPr>
            </w:pPr>
            <w:proofErr w:type="spellStart"/>
            <w:r w:rsidRPr="00FF619F">
              <w:rPr>
                <w:sz w:val="20"/>
                <w:szCs w:val="20"/>
              </w:rPr>
              <w:t>Boceprevir</w:t>
            </w:r>
            <w:proofErr w:type="spellEnd"/>
          </w:p>
        </w:tc>
        <w:tc>
          <w:tcPr>
            <w:tcW w:w="1275" w:type="dxa"/>
          </w:tcPr>
          <w:p w:rsidR="00FF619F" w:rsidRPr="00FF619F" w:rsidRDefault="00FF619F" w:rsidP="00FF619F">
            <w:pPr>
              <w:ind w:left="33"/>
              <w:rPr>
                <w:sz w:val="20"/>
                <w:szCs w:val="20"/>
              </w:rPr>
            </w:pPr>
            <w:proofErr w:type="spellStart"/>
            <w:r w:rsidRPr="00FF619F">
              <w:rPr>
                <w:sz w:val="20"/>
                <w:szCs w:val="20"/>
              </w:rPr>
              <w:t>Victrelis</w:t>
            </w:r>
            <w:proofErr w:type="spellEnd"/>
          </w:p>
        </w:tc>
        <w:tc>
          <w:tcPr>
            <w:tcW w:w="1418" w:type="dxa"/>
          </w:tcPr>
          <w:p w:rsidR="00FF619F" w:rsidRPr="00FF619F" w:rsidRDefault="00FF619F" w:rsidP="00FF619F">
            <w:pPr>
              <w:ind w:left="68"/>
              <w:rPr>
                <w:sz w:val="20"/>
                <w:szCs w:val="20"/>
              </w:rPr>
            </w:pPr>
            <w:r w:rsidRPr="00FF619F">
              <w:rPr>
                <w:sz w:val="20"/>
                <w:szCs w:val="20"/>
              </w:rPr>
              <w:t>Merck Sharp &amp; Dohme</w:t>
            </w:r>
          </w:p>
        </w:tc>
        <w:tc>
          <w:tcPr>
            <w:tcW w:w="1446" w:type="dxa"/>
          </w:tcPr>
          <w:p w:rsidR="00FF619F" w:rsidRPr="00FF619F" w:rsidRDefault="00FF619F" w:rsidP="00FF619F">
            <w:pPr>
              <w:ind w:left="0"/>
              <w:rPr>
                <w:sz w:val="20"/>
                <w:szCs w:val="20"/>
              </w:rPr>
            </w:pPr>
            <w:r w:rsidRPr="00FF619F">
              <w:rPr>
                <w:sz w:val="20"/>
                <w:szCs w:val="20"/>
              </w:rPr>
              <w:t>NS3 inhibitor</w:t>
            </w:r>
          </w:p>
        </w:tc>
        <w:tc>
          <w:tcPr>
            <w:tcW w:w="1247" w:type="dxa"/>
          </w:tcPr>
          <w:p w:rsidR="00FF619F" w:rsidRPr="00FF619F" w:rsidRDefault="00FF619F" w:rsidP="00FF619F">
            <w:pPr>
              <w:ind w:left="5"/>
              <w:rPr>
                <w:sz w:val="20"/>
                <w:szCs w:val="20"/>
              </w:rPr>
            </w:pPr>
            <w:r w:rsidRPr="00FF619F">
              <w:rPr>
                <w:sz w:val="20"/>
                <w:szCs w:val="20"/>
              </w:rPr>
              <w:t>1</w:t>
            </w:r>
          </w:p>
        </w:tc>
        <w:tc>
          <w:tcPr>
            <w:tcW w:w="1666" w:type="dxa"/>
          </w:tcPr>
          <w:p w:rsidR="00FF619F" w:rsidRPr="00FF619F" w:rsidRDefault="00FF619F" w:rsidP="00FF619F">
            <w:pPr>
              <w:ind w:left="34"/>
              <w:rPr>
                <w:sz w:val="20"/>
                <w:szCs w:val="20"/>
              </w:rPr>
            </w:pPr>
            <w:r w:rsidRPr="00FF619F">
              <w:rPr>
                <w:sz w:val="20"/>
                <w:szCs w:val="20"/>
              </w:rPr>
              <w:t>BOC/</w:t>
            </w:r>
            <w:proofErr w:type="spellStart"/>
            <w:r w:rsidRPr="00FF619F">
              <w:rPr>
                <w:sz w:val="20"/>
                <w:szCs w:val="20"/>
              </w:rPr>
              <w:t>pegINF</w:t>
            </w:r>
            <w:proofErr w:type="spellEnd"/>
            <w:r w:rsidRPr="00FF619F">
              <w:rPr>
                <w:sz w:val="20"/>
                <w:szCs w:val="20"/>
              </w:rPr>
              <w:t>/RBV</w:t>
            </w:r>
          </w:p>
        </w:tc>
      </w:tr>
      <w:tr w:rsidR="00FF619F" w:rsidRPr="00FF619F" w:rsidTr="00FF619F">
        <w:tc>
          <w:tcPr>
            <w:tcW w:w="1668" w:type="dxa"/>
          </w:tcPr>
          <w:p w:rsidR="00FF619F" w:rsidRPr="00FF619F" w:rsidRDefault="00FF619F" w:rsidP="00FF619F">
            <w:pPr>
              <w:ind w:left="0"/>
              <w:rPr>
                <w:sz w:val="20"/>
                <w:szCs w:val="20"/>
              </w:rPr>
            </w:pPr>
            <w:proofErr w:type="spellStart"/>
            <w:r w:rsidRPr="00FF619F">
              <w:rPr>
                <w:sz w:val="20"/>
                <w:szCs w:val="20"/>
              </w:rPr>
              <w:lastRenderedPageBreak/>
              <w:t>Sofosbuvir</w:t>
            </w:r>
            <w:proofErr w:type="spellEnd"/>
          </w:p>
        </w:tc>
        <w:tc>
          <w:tcPr>
            <w:tcW w:w="1275" w:type="dxa"/>
          </w:tcPr>
          <w:p w:rsidR="00FF619F" w:rsidRPr="00FF619F" w:rsidRDefault="00FF619F" w:rsidP="00FF619F">
            <w:pPr>
              <w:ind w:left="33"/>
              <w:rPr>
                <w:sz w:val="20"/>
                <w:szCs w:val="20"/>
              </w:rPr>
            </w:pPr>
            <w:proofErr w:type="spellStart"/>
            <w:r w:rsidRPr="00FF619F">
              <w:rPr>
                <w:sz w:val="20"/>
                <w:szCs w:val="20"/>
              </w:rPr>
              <w:t>Sovaldi</w:t>
            </w:r>
            <w:proofErr w:type="spellEnd"/>
          </w:p>
        </w:tc>
        <w:tc>
          <w:tcPr>
            <w:tcW w:w="1418" w:type="dxa"/>
          </w:tcPr>
          <w:p w:rsidR="00FF619F" w:rsidRPr="00FF619F" w:rsidRDefault="00FF619F" w:rsidP="00FF619F">
            <w:pPr>
              <w:ind w:left="68"/>
              <w:rPr>
                <w:sz w:val="20"/>
                <w:szCs w:val="20"/>
              </w:rPr>
            </w:pPr>
            <w:r w:rsidRPr="00FF619F">
              <w:rPr>
                <w:sz w:val="20"/>
                <w:szCs w:val="20"/>
              </w:rPr>
              <w:t>Gilead</w:t>
            </w:r>
          </w:p>
        </w:tc>
        <w:tc>
          <w:tcPr>
            <w:tcW w:w="1446" w:type="dxa"/>
          </w:tcPr>
          <w:p w:rsidR="00FF619F" w:rsidRPr="00FF619F" w:rsidRDefault="00FF619F" w:rsidP="00FF619F">
            <w:pPr>
              <w:ind w:left="0"/>
              <w:rPr>
                <w:sz w:val="20"/>
                <w:szCs w:val="20"/>
              </w:rPr>
            </w:pPr>
            <w:r w:rsidRPr="00FF619F">
              <w:rPr>
                <w:sz w:val="20"/>
                <w:szCs w:val="20"/>
              </w:rPr>
              <w:t>NS5B inhibitor</w:t>
            </w:r>
          </w:p>
        </w:tc>
        <w:tc>
          <w:tcPr>
            <w:tcW w:w="1247" w:type="dxa"/>
          </w:tcPr>
          <w:p w:rsidR="00FF619F" w:rsidRPr="00FF619F" w:rsidRDefault="00FF619F" w:rsidP="00FF619F">
            <w:pPr>
              <w:ind w:left="5"/>
              <w:rPr>
                <w:sz w:val="20"/>
                <w:szCs w:val="20"/>
              </w:rPr>
            </w:pPr>
            <w:r w:rsidRPr="00FF619F">
              <w:rPr>
                <w:sz w:val="20"/>
                <w:szCs w:val="20"/>
              </w:rPr>
              <w:t>1,2,3,4,5,6 and patients awaiting liver transplant</w:t>
            </w:r>
          </w:p>
        </w:tc>
        <w:tc>
          <w:tcPr>
            <w:tcW w:w="1666" w:type="dxa"/>
          </w:tcPr>
          <w:p w:rsidR="00FF619F" w:rsidRPr="00FF619F" w:rsidRDefault="00FF619F" w:rsidP="00FF619F">
            <w:pPr>
              <w:ind w:left="34"/>
              <w:rPr>
                <w:sz w:val="20"/>
                <w:szCs w:val="20"/>
              </w:rPr>
            </w:pPr>
            <w:r w:rsidRPr="00FF619F">
              <w:rPr>
                <w:sz w:val="20"/>
                <w:szCs w:val="20"/>
              </w:rPr>
              <w:t>SOF/</w:t>
            </w:r>
            <w:proofErr w:type="spellStart"/>
            <w:r w:rsidRPr="00FF619F">
              <w:rPr>
                <w:sz w:val="20"/>
                <w:szCs w:val="20"/>
              </w:rPr>
              <w:t>pegINF</w:t>
            </w:r>
            <w:proofErr w:type="spellEnd"/>
            <w:r w:rsidRPr="00FF619F">
              <w:rPr>
                <w:sz w:val="20"/>
                <w:szCs w:val="20"/>
              </w:rPr>
              <w:t>/RBV (1,4,5,6) SOF/RBV (2,3, liver transplant)</w:t>
            </w:r>
          </w:p>
        </w:tc>
      </w:tr>
      <w:tr w:rsidR="00FF619F" w:rsidRPr="00FF619F" w:rsidTr="00FF619F">
        <w:tc>
          <w:tcPr>
            <w:tcW w:w="1668" w:type="dxa"/>
          </w:tcPr>
          <w:p w:rsidR="00FF619F" w:rsidRPr="00FF619F" w:rsidRDefault="00FF619F" w:rsidP="00FF619F">
            <w:pPr>
              <w:ind w:left="0"/>
              <w:rPr>
                <w:sz w:val="20"/>
                <w:szCs w:val="20"/>
              </w:rPr>
            </w:pPr>
            <w:proofErr w:type="spellStart"/>
            <w:r w:rsidRPr="00FF619F">
              <w:rPr>
                <w:sz w:val="20"/>
                <w:szCs w:val="20"/>
              </w:rPr>
              <w:t>Ledipasvir</w:t>
            </w:r>
            <w:proofErr w:type="spellEnd"/>
            <w:r w:rsidRPr="00FF619F">
              <w:rPr>
                <w:sz w:val="20"/>
                <w:szCs w:val="20"/>
              </w:rPr>
              <w:t xml:space="preserve"> / </w:t>
            </w:r>
            <w:proofErr w:type="spellStart"/>
            <w:r w:rsidRPr="00FF619F">
              <w:rPr>
                <w:sz w:val="20"/>
                <w:szCs w:val="20"/>
              </w:rPr>
              <w:t>Sofosbuvir</w:t>
            </w:r>
            <w:proofErr w:type="spellEnd"/>
          </w:p>
        </w:tc>
        <w:tc>
          <w:tcPr>
            <w:tcW w:w="1275" w:type="dxa"/>
          </w:tcPr>
          <w:p w:rsidR="00FF619F" w:rsidRPr="00FF619F" w:rsidRDefault="00FF619F" w:rsidP="00FF619F">
            <w:pPr>
              <w:ind w:left="33"/>
              <w:rPr>
                <w:sz w:val="20"/>
                <w:szCs w:val="20"/>
              </w:rPr>
            </w:pPr>
            <w:proofErr w:type="spellStart"/>
            <w:r w:rsidRPr="00FF619F">
              <w:rPr>
                <w:sz w:val="20"/>
                <w:szCs w:val="20"/>
              </w:rPr>
              <w:t>Harvoni</w:t>
            </w:r>
            <w:proofErr w:type="spellEnd"/>
          </w:p>
        </w:tc>
        <w:tc>
          <w:tcPr>
            <w:tcW w:w="1418" w:type="dxa"/>
          </w:tcPr>
          <w:p w:rsidR="00FF619F" w:rsidRPr="00FF619F" w:rsidRDefault="00FF619F" w:rsidP="00FF619F">
            <w:pPr>
              <w:ind w:left="68"/>
              <w:rPr>
                <w:sz w:val="20"/>
                <w:szCs w:val="20"/>
              </w:rPr>
            </w:pPr>
            <w:r w:rsidRPr="00FF619F">
              <w:rPr>
                <w:sz w:val="20"/>
                <w:szCs w:val="20"/>
              </w:rPr>
              <w:t>Gilead</w:t>
            </w:r>
          </w:p>
        </w:tc>
        <w:tc>
          <w:tcPr>
            <w:tcW w:w="1446" w:type="dxa"/>
          </w:tcPr>
          <w:p w:rsidR="00FF619F" w:rsidRPr="00FF619F" w:rsidRDefault="00FF619F" w:rsidP="00FF619F">
            <w:pPr>
              <w:ind w:left="0"/>
              <w:rPr>
                <w:sz w:val="20"/>
                <w:szCs w:val="20"/>
              </w:rPr>
            </w:pPr>
            <w:r w:rsidRPr="00FF619F">
              <w:rPr>
                <w:sz w:val="20"/>
                <w:szCs w:val="20"/>
              </w:rPr>
              <w:t>NS5A inhibitor (LDV) NS5B inhibitor (SOF)</w:t>
            </w:r>
          </w:p>
        </w:tc>
        <w:tc>
          <w:tcPr>
            <w:tcW w:w="1247" w:type="dxa"/>
          </w:tcPr>
          <w:p w:rsidR="00FF619F" w:rsidRPr="00FF619F" w:rsidRDefault="00FF619F" w:rsidP="00FF619F">
            <w:pPr>
              <w:ind w:left="5"/>
              <w:rPr>
                <w:sz w:val="20"/>
                <w:szCs w:val="20"/>
              </w:rPr>
            </w:pPr>
            <w:r w:rsidRPr="00FF619F">
              <w:rPr>
                <w:sz w:val="20"/>
                <w:szCs w:val="20"/>
              </w:rPr>
              <w:t>1, 4,5,6</w:t>
            </w:r>
          </w:p>
        </w:tc>
        <w:tc>
          <w:tcPr>
            <w:tcW w:w="1666" w:type="dxa"/>
          </w:tcPr>
          <w:p w:rsidR="00FF619F" w:rsidRPr="00FF619F" w:rsidRDefault="00FF619F" w:rsidP="00FF619F">
            <w:pPr>
              <w:ind w:left="34"/>
              <w:rPr>
                <w:sz w:val="20"/>
                <w:szCs w:val="20"/>
              </w:rPr>
            </w:pPr>
            <w:r w:rsidRPr="00FF619F">
              <w:rPr>
                <w:sz w:val="20"/>
                <w:szCs w:val="20"/>
              </w:rPr>
              <w:t>LDV/SOF, LDV/SOF/RBV</w:t>
            </w:r>
          </w:p>
        </w:tc>
      </w:tr>
      <w:tr w:rsidR="00FF619F" w:rsidRPr="00FF619F" w:rsidTr="00FF619F">
        <w:tc>
          <w:tcPr>
            <w:tcW w:w="1668" w:type="dxa"/>
          </w:tcPr>
          <w:p w:rsidR="00FF619F" w:rsidRPr="00FF619F" w:rsidRDefault="00FF619F" w:rsidP="00FF619F">
            <w:pPr>
              <w:ind w:left="0"/>
              <w:rPr>
                <w:sz w:val="20"/>
                <w:szCs w:val="20"/>
              </w:rPr>
            </w:pPr>
            <w:proofErr w:type="spellStart"/>
            <w:r w:rsidRPr="00FF619F">
              <w:rPr>
                <w:sz w:val="20"/>
                <w:szCs w:val="20"/>
              </w:rPr>
              <w:t>Daclatasvir</w:t>
            </w:r>
            <w:proofErr w:type="spellEnd"/>
          </w:p>
        </w:tc>
        <w:tc>
          <w:tcPr>
            <w:tcW w:w="1275" w:type="dxa"/>
          </w:tcPr>
          <w:p w:rsidR="00FF619F" w:rsidRPr="00FF619F" w:rsidRDefault="00FF619F" w:rsidP="00FF619F">
            <w:pPr>
              <w:ind w:left="33"/>
              <w:rPr>
                <w:sz w:val="20"/>
                <w:szCs w:val="20"/>
              </w:rPr>
            </w:pPr>
            <w:proofErr w:type="spellStart"/>
            <w:r w:rsidRPr="00FF619F">
              <w:rPr>
                <w:sz w:val="20"/>
                <w:szCs w:val="20"/>
              </w:rPr>
              <w:t>Daklinza</w:t>
            </w:r>
            <w:proofErr w:type="spellEnd"/>
          </w:p>
        </w:tc>
        <w:tc>
          <w:tcPr>
            <w:tcW w:w="1418" w:type="dxa"/>
          </w:tcPr>
          <w:p w:rsidR="00FF619F" w:rsidRPr="00FF619F" w:rsidRDefault="00FF619F" w:rsidP="00FF619F">
            <w:pPr>
              <w:ind w:left="68"/>
              <w:rPr>
                <w:sz w:val="20"/>
                <w:szCs w:val="20"/>
              </w:rPr>
            </w:pPr>
            <w:r w:rsidRPr="00FF619F">
              <w:rPr>
                <w:sz w:val="20"/>
                <w:szCs w:val="20"/>
              </w:rPr>
              <w:t>Bristol-Myers Squibb</w:t>
            </w:r>
          </w:p>
        </w:tc>
        <w:tc>
          <w:tcPr>
            <w:tcW w:w="1446" w:type="dxa"/>
          </w:tcPr>
          <w:p w:rsidR="00FF619F" w:rsidRPr="00FF619F" w:rsidRDefault="00FF619F" w:rsidP="00FF619F">
            <w:pPr>
              <w:ind w:left="0"/>
              <w:rPr>
                <w:sz w:val="20"/>
                <w:szCs w:val="20"/>
              </w:rPr>
            </w:pPr>
            <w:r w:rsidRPr="00FF619F">
              <w:rPr>
                <w:sz w:val="20"/>
                <w:szCs w:val="20"/>
              </w:rPr>
              <w:t>NS5A inhibitor</w:t>
            </w:r>
          </w:p>
        </w:tc>
        <w:tc>
          <w:tcPr>
            <w:tcW w:w="1247" w:type="dxa"/>
          </w:tcPr>
          <w:p w:rsidR="00FF619F" w:rsidRPr="00FF619F" w:rsidRDefault="00FF619F" w:rsidP="00FF619F">
            <w:pPr>
              <w:ind w:left="5"/>
              <w:rPr>
                <w:sz w:val="20"/>
                <w:szCs w:val="20"/>
              </w:rPr>
            </w:pPr>
            <w:r w:rsidRPr="00FF619F">
              <w:rPr>
                <w:sz w:val="20"/>
                <w:szCs w:val="20"/>
              </w:rPr>
              <w:t>1,3,4</w:t>
            </w:r>
          </w:p>
        </w:tc>
        <w:tc>
          <w:tcPr>
            <w:tcW w:w="1666" w:type="dxa"/>
          </w:tcPr>
          <w:p w:rsidR="00FF619F" w:rsidRPr="00FF619F" w:rsidRDefault="00FF619F" w:rsidP="00FF619F">
            <w:pPr>
              <w:ind w:left="34"/>
              <w:rPr>
                <w:sz w:val="20"/>
                <w:szCs w:val="20"/>
              </w:rPr>
            </w:pPr>
            <w:r w:rsidRPr="00FF619F">
              <w:rPr>
                <w:sz w:val="20"/>
                <w:szCs w:val="20"/>
              </w:rPr>
              <w:t>DCV/SOF (1, 3) DCV/ASV (1b) DCV/ASV/</w:t>
            </w:r>
            <w:proofErr w:type="spellStart"/>
            <w:r w:rsidRPr="00FF619F">
              <w:rPr>
                <w:sz w:val="20"/>
                <w:szCs w:val="20"/>
              </w:rPr>
              <w:t>pegINF</w:t>
            </w:r>
            <w:proofErr w:type="spellEnd"/>
            <w:r w:rsidRPr="00FF619F">
              <w:rPr>
                <w:sz w:val="20"/>
                <w:szCs w:val="20"/>
              </w:rPr>
              <w:t>/ RBV (1, 4)</w:t>
            </w:r>
          </w:p>
        </w:tc>
      </w:tr>
      <w:tr w:rsidR="00FF619F" w:rsidRPr="00FF619F" w:rsidTr="00FF619F">
        <w:tc>
          <w:tcPr>
            <w:tcW w:w="1668" w:type="dxa"/>
          </w:tcPr>
          <w:p w:rsidR="00FF619F" w:rsidRPr="00FF619F" w:rsidRDefault="00FF619F" w:rsidP="00FF619F">
            <w:pPr>
              <w:ind w:left="0"/>
              <w:rPr>
                <w:sz w:val="20"/>
                <w:szCs w:val="20"/>
              </w:rPr>
            </w:pPr>
            <w:proofErr w:type="spellStart"/>
            <w:r w:rsidRPr="00FF619F">
              <w:rPr>
                <w:sz w:val="20"/>
                <w:szCs w:val="20"/>
              </w:rPr>
              <w:t>Asunaprevir</w:t>
            </w:r>
            <w:proofErr w:type="spellEnd"/>
          </w:p>
        </w:tc>
        <w:tc>
          <w:tcPr>
            <w:tcW w:w="1275" w:type="dxa"/>
          </w:tcPr>
          <w:p w:rsidR="00FF619F" w:rsidRPr="00FF619F" w:rsidRDefault="00FF619F" w:rsidP="00FF619F">
            <w:pPr>
              <w:ind w:left="33"/>
              <w:rPr>
                <w:sz w:val="20"/>
                <w:szCs w:val="20"/>
              </w:rPr>
            </w:pPr>
            <w:proofErr w:type="spellStart"/>
            <w:r w:rsidRPr="00FF619F">
              <w:rPr>
                <w:sz w:val="20"/>
                <w:szCs w:val="20"/>
              </w:rPr>
              <w:t>Sunvepra</w:t>
            </w:r>
            <w:proofErr w:type="spellEnd"/>
          </w:p>
        </w:tc>
        <w:tc>
          <w:tcPr>
            <w:tcW w:w="1418" w:type="dxa"/>
          </w:tcPr>
          <w:p w:rsidR="00FF619F" w:rsidRPr="00FF619F" w:rsidRDefault="00FF619F" w:rsidP="00FF619F">
            <w:pPr>
              <w:ind w:left="68"/>
              <w:rPr>
                <w:sz w:val="20"/>
                <w:szCs w:val="20"/>
              </w:rPr>
            </w:pPr>
            <w:r w:rsidRPr="00FF619F">
              <w:rPr>
                <w:sz w:val="20"/>
                <w:szCs w:val="20"/>
              </w:rPr>
              <w:t>Bristol-Myers Squibb</w:t>
            </w:r>
          </w:p>
        </w:tc>
        <w:tc>
          <w:tcPr>
            <w:tcW w:w="1446" w:type="dxa"/>
          </w:tcPr>
          <w:p w:rsidR="00FF619F" w:rsidRPr="00FF619F" w:rsidRDefault="00FF619F" w:rsidP="00FF619F">
            <w:pPr>
              <w:ind w:left="0"/>
              <w:rPr>
                <w:sz w:val="20"/>
                <w:szCs w:val="20"/>
              </w:rPr>
            </w:pPr>
            <w:r w:rsidRPr="00FF619F">
              <w:rPr>
                <w:sz w:val="20"/>
                <w:szCs w:val="20"/>
              </w:rPr>
              <w:t>NS3/4A inhibitor</w:t>
            </w:r>
          </w:p>
        </w:tc>
        <w:tc>
          <w:tcPr>
            <w:tcW w:w="1247" w:type="dxa"/>
          </w:tcPr>
          <w:p w:rsidR="00FF619F" w:rsidRPr="00FF619F" w:rsidRDefault="00FF619F" w:rsidP="00FF619F">
            <w:pPr>
              <w:ind w:left="5"/>
              <w:rPr>
                <w:sz w:val="20"/>
                <w:szCs w:val="20"/>
              </w:rPr>
            </w:pPr>
            <w:r w:rsidRPr="00FF619F">
              <w:rPr>
                <w:sz w:val="20"/>
                <w:szCs w:val="20"/>
              </w:rPr>
              <w:t>1,4</w:t>
            </w:r>
          </w:p>
        </w:tc>
        <w:tc>
          <w:tcPr>
            <w:tcW w:w="1666" w:type="dxa"/>
          </w:tcPr>
          <w:p w:rsidR="00FF619F" w:rsidRPr="00FF619F" w:rsidRDefault="00FF619F" w:rsidP="00FF619F">
            <w:pPr>
              <w:ind w:left="34"/>
              <w:rPr>
                <w:sz w:val="20"/>
                <w:szCs w:val="20"/>
              </w:rPr>
            </w:pPr>
            <w:r w:rsidRPr="00FF619F">
              <w:rPr>
                <w:sz w:val="20"/>
                <w:szCs w:val="20"/>
              </w:rPr>
              <w:t>DCV/ASV (1b) DCV/ASV/</w:t>
            </w:r>
            <w:proofErr w:type="spellStart"/>
            <w:r w:rsidRPr="00FF619F">
              <w:rPr>
                <w:sz w:val="20"/>
                <w:szCs w:val="20"/>
              </w:rPr>
              <w:t>pegINF</w:t>
            </w:r>
            <w:proofErr w:type="spellEnd"/>
            <w:r w:rsidRPr="00FF619F">
              <w:rPr>
                <w:sz w:val="20"/>
                <w:szCs w:val="20"/>
              </w:rPr>
              <w:t>/RBV (1, 4)</w:t>
            </w:r>
          </w:p>
        </w:tc>
      </w:tr>
      <w:tr w:rsidR="00FF619F" w:rsidRPr="00FF619F" w:rsidTr="00FF619F">
        <w:tc>
          <w:tcPr>
            <w:tcW w:w="1668" w:type="dxa"/>
          </w:tcPr>
          <w:p w:rsidR="00FF619F" w:rsidRPr="00FF619F" w:rsidRDefault="00FF619F" w:rsidP="00FF619F">
            <w:pPr>
              <w:ind w:left="0"/>
              <w:rPr>
                <w:sz w:val="20"/>
                <w:szCs w:val="20"/>
              </w:rPr>
            </w:pPr>
            <w:proofErr w:type="spellStart"/>
            <w:r w:rsidRPr="00FF619F">
              <w:rPr>
                <w:sz w:val="20"/>
                <w:szCs w:val="20"/>
              </w:rPr>
              <w:t>Paritaprevir</w:t>
            </w:r>
            <w:proofErr w:type="spellEnd"/>
            <w:r w:rsidRPr="00FF619F">
              <w:rPr>
                <w:sz w:val="20"/>
                <w:szCs w:val="20"/>
              </w:rPr>
              <w:t>/Ritonavir/</w:t>
            </w:r>
            <w:proofErr w:type="spellStart"/>
            <w:r w:rsidRPr="00FF619F">
              <w:rPr>
                <w:sz w:val="20"/>
                <w:szCs w:val="20"/>
              </w:rPr>
              <w:t>Ombitasvir</w:t>
            </w:r>
            <w:proofErr w:type="spellEnd"/>
            <w:r w:rsidRPr="00FF619F">
              <w:rPr>
                <w:sz w:val="20"/>
                <w:szCs w:val="20"/>
              </w:rPr>
              <w:t xml:space="preserve">; </w:t>
            </w:r>
            <w:proofErr w:type="spellStart"/>
            <w:r w:rsidRPr="00FF619F">
              <w:rPr>
                <w:sz w:val="20"/>
                <w:szCs w:val="20"/>
              </w:rPr>
              <w:t>Dasabuvir</w:t>
            </w:r>
            <w:proofErr w:type="spellEnd"/>
          </w:p>
        </w:tc>
        <w:tc>
          <w:tcPr>
            <w:tcW w:w="1275" w:type="dxa"/>
          </w:tcPr>
          <w:p w:rsidR="00FF619F" w:rsidRPr="00FF619F" w:rsidRDefault="00FF619F" w:rsidP="00FF619F">
            <w:pPr>
              <w:ind w:left="33"/>
              <w:rPr>
                <w:sz w:val="20"/>
                <w:szCs w:val="20"/>
              </w:rPr>
            </w:pPr>
            <w:proofErr w:type="spellStart"/>
            <w:r w:rsidRPr="00FF619F">
              <w:rPr>
                <w:sz w:val="20"/>
                <w:szCs w:val="20"/>
              </w:rPr>
              <w:t>Viekira</w:t>
            </w:r>
            <w:proofErr w:type="spellEnd"/>
            <w:r w:rsidRPr="00FF619F">
              <w:rPr>
                <w:sz w:val="20"/>
                <w:szCs w:val="20"/>
              </w:rPr>
              <w:t xml:space="preserve"> Pak,</w:t>
            </w:r>
          </w:p>
          <w:p w:rsidR="00FF619F" w:rsidRPr="00FF619F" w:rsidRDefault="00FF619F" w:rsidP="00FF619F">
            <w:pPr>
              <w:ind w:left="33"/>
              <w:rPr>
                <w:sz w:val="20"/>
                <w:szCs w:val="20"/>
              </w:rPr>
            </w:pPr>
            <w:proofErr w:type="spellStart"/>
            <w:r w:rsidRPr="00FF619F">
              <w:rPr>
                <w:sz w:val="20"/>
                <w:szCs w:val="20"/>
              </w:rPr>
              <w:t>Viekira</w:t>
            </w:r>
            <w:proofErr w:type="spellEnd"/>
            <w:r w:rsidRPr="00FF619F">
              <w:rPr>
                <w:sz w:val="20"/>
                <w:szCs w:val="20"/>
              </w:rPr>
              <w:t xml:space="preserve"> Pak-</w:t>
            </w:r>
            <w:proofErr w:type="spellStart"/>
            <w:r w:rsidRPr="00FF619F">
              <w:rPr>
                <w:sz w:val="20"/>
                <w:szCs w:val="20"/>
              </w:rPr>
              <w:t>Rbv</w:t>
            </w:r>
            <w:proofErr w:type="spellEnd"/>
          </w:p>
        </w:tc>
        <w:tc>
          <w:tcPr>
            <w:tcW w:w="1418" w:type="dxa"/>
          </w:tcPr>
          <w:p w:rsidR="00FF619F" w:rsidRPr="00FF619F" w:rsidRDefault="00FF619F" w:rsidP="00FF619F">
            <w:pPr>
              <w:ind w:left="68"/>
              <w:rPr>
                <w:sz w:val="20"/>
                <w:szCs w:val="20"/>
              </w:rPr>
            </w:pPr>
            <w:proofErr w:type="spellStart"/>
            <w:r w:rsidRPr="00FF619F">
              <w:rPr>
                <w:sz w:val="20"/>
                <w:szCs w:val="20"/>
              </w:rPr>
              <w:t>Abbvie</w:t>
            </w:r>
            <w:proofErr w:type="spellEnd"/>
          </w:p>
        </w:tc>
        <w:tc>
          <w:tcPr>
            <w:tcW w:w="1446" w:type="dxa"/>
          </w:tcPr>
          <w:p w:rsidR="00FF619F" w:rsidRPr="00FF619F" w:rsidRDefault="00FF619F" w:rsidP="00FF619F">
            <w:pPr>
              <w:ind w:left="0"/>
              <w:rPr>
                <w:sz w:val="20"/>
                <w:szCs w:val="20"/>
              </w:rPr>
            </w:pPr>
            <w:r w:rsidRPr="00FF619F">
              <w:rPr>
                <w:sz w:val="20"/>
                <w:szCs w:val="20"/>
              </w:rPr>
              <w:t>NS3/4A inhibitor (PAR)/ NS5A inhibitor (OMB)/ NS5B inhibitor (DAS)</w:t>
            </w:r>
          </w:p>
        </w:tc>
        <w:tc>
          <w:tcPr>
            <w:tcW w:w="1247" w:type="dxa"/>
          </w:tcPr>
          <w:p w:rsidR="00FF619F" w:rsidRPr="00FF619F" w:rsidRDefault="00FF619F" w:rsidP="00FF619F">
            <w:pPr>
              <w:ind w:left="5"/>
              <w:rPr>
                <w:sz w:val="20"/>
                <w:szCs w:val="20"/>
              </w:rPr>
            </w:pPr>
            <w:r w:rsidRPr="00FF619F">
              <w:rPr>
                <w:sz w:val="20"/>
                <w:szCs w:val="20"/>
              </w:rPr>
              <w:t>1a,1b</w:t>
            </w:r>
          </w:p>
        </w:tc>
        <w:tc>
          <w:tcPr>
            <w:tcW w:w="1666" w:type="dxa"/>
          </w:tcPr>
          <w:p w:rsidR="00FF619F" w:rsidRPr="00FF619F" w:rsidRDefault="00FF619F" w:rsidP="00FF619F">
            <w:pPr>
              <w:ind w:left="34"/>
              <w:rPr>
                <w:sz w:val="20"/>
                <w:szCs w:val="20"/>
              </w:rPr>
            </w:pPr>
            <w:r w:rsidRPr="00FF619F">
              <w:rPr>
                <w:sz w:val="20"/>
                <w:szCs w:val="20"/>
              </w:rPr>
              <w:t>PAR/RTV/OMB/DAS ± RBV</w:t>
            </w:r>
          </w:p>
        </w:tc>
      </w:tr>
      <w:tr w:rsidR="00FF619F" w:rsidRPr="00FF619F" w:rsidTr="00FF619F">
        <w:tc>
          <w:tcPr>
            <w:tcW w:w="1668" w:type="dxa"/>
          </w:tcPr>
          <w:p w:rsidR="00FF619F" w:rsidRPr="00FF619F" w:rsidRDefault="00FF619F" w:rsidP="00FF619F">
            <w:pPr>
              <w:ind w:left="0"/>
              <w:rPr>
                <w:sz w:val="20"/>
                <w:szCs w:val="20"/>
              </w:rPr>
            </w:pPr>
            <w:proofErr w:type="spellStart"/>
            <w:r w:rsidRPr="00FF619F">
              <w:rPr>
                <w:sz w:val="20"/>
                <w:szCs w:val="20"/>
              </w:rPr>
              <w:t>Paritaprevir</w:t>
            </w:r>
            <w:proofErr w:type="spellEnd"/>
            <w:r w:rsidRPr="00FF619F">
              <w:rPr>
                <w:sz w:val="20"/>
                <w:szCs w:val="20"/>
              </w:rPr>
              <w:t>/Ritonavir/</w:t>
            </w:r>
            <w:proofErr w:type="spellStart"/>
            <w:r w:rsidRPr="00FF619F">
              <w:rPr>
                <w:sz w:val="20"/>
                <w:szCs w:val="20"/>
              </w:rPr>
              <w:t>Ombitasvir</w:t>
            </w:r>
            <w:proofErr w:type="spellEnd"/>
          </w:p>
        </w:tc>
        <w:tc>
          <w:tcPr>
            <w:tcW w:w="1275" w:type="dxa"/>
          </w:tcPr>
          <w:p w:rsidR="00FF619F" w:rsidRPr="00FF619F" w:rsidRDefault="00FF619F" w:rsidP="00FF619F">
            <w:pPr>
              <w:ind w:left="33"/>
              <w:rPr>
                <w:sz w:val="20"/>
                <w:szCs w:val="20"/>
              </w:rPr>
            </w:pPr>
            <w:proofErr w:type="spellStart"/>
            <w:r w:rsidRPr="00FF619F">
              <w:rPr>
                <w:sz w:val="20"/>
                <w:szCs w:val="20"/>
              </w:rPr>
              <w:t>Technivie</w:t>
            </w:r>
            <w:proofErr w:type="spellEnd"/>
          </w:p>
        </w:tc>
        <w:tc>
          <w:tcPr>
            <w:tcW w:w="1418" w:type="dxa"/>
          </w:tcPr>
          <w:p w:rsidR="00FF619F" w:rsidRPr="00FF619F" w:rsidRDefault="00FF619F" w:rsidP="00FF619F">
            <w:pPr>
              <w:ind w:left="68"/>
              <w:rPr>
                <w:sz w:val="20"/>
                <w:szCs w:val="20"/>
              </w:rPr>
            </w:pPr>
            <w:proofErr w:type="spellStart"/>
            <w:r w:rsidRPr="00FF619F">
              <w:rPr>
                <w:sz w:val="20"/>
                <w:szCs w:val="20"/>
              </w:rPr>
              <w:t>Abbvie</w:t>
            </w:r>
            <w:proofErr w:type="spellEnd"/>
          </w:p>
        </w:tc>
        <w:tc>
          <w:tcPr>
            <w:tcW w:w="1446" w:type="dxa"/>
          </w:tcPr>
          <w:p w:rsidR="00FF619F" w:rsidRPr="00FF619F" w:rsidRDefault="00FF619F" w:rsidP="00FF619F">
            <w:pPr>
              <w:ind w:left="0"/>
              <w:rPr>
                <w:sz w:val="20"/>
                <w:szCs w:val="20"/>
              </w:rPr>
            </w:pPr>
            <w:r w:rsidRPr="00FF619F">
              <w:rPr>
                <w:sz w:val="20"/>
                <w:szCs w:val="20"/>
              </w:rPr>
              <w:t>NS3/4A inhibitor (PAR)/NS5A inhibitor (OMB)</w:t>
            </w:r>
          </w:p>
        </w:tc>
        <w:tc>
          <w:tcPr>
            <w:tcW w:w="1247" w:type="dxa"/>
          </w:tcPr>
          <w:p w:rsidR="00FF619F" w:rsidRPr="00FF619F" w:rsidRDefault="00FF619F" w:rsidP="00FF619F">
            <w:pPr>
              <w:ind w:left="5"/>
              <w:rPr>
                <w:sz w:val="20"/>
                <w:szCs w:val="20"/>
              </w:rPr>
            </w:pPr>
            <w:r w:rsidRPr="00FF619F">
              <w:rPr>
                <w:sz w:val="20"/>
                <w:szCs w:val="20"/>
              </w:rPr>
              <w:t>4</w:t>
            </w:r>
          </w:p>
        </w:tc>
        <w:tc>
          <w:tcPr>
            <w:tcW w:w="1666" w:type="dxa"/>
          </w:tcPr>
          <w:p w:rsidR="00FF619F" w:rsidRPr="00FF619F" w:rsidRDefault="00FF619F" w:rsidP="00FF619F">
            <w:pPr>
              <w:ind w:left="34"/>
              <w:rPr>
                <w:sz w:val="20"/>
                <w:szCs w:val="20"/>
              </w:rPr>
            </w:pPr>
            <w:r w:rsidRPr="00FF619F">
              <w:rPr>
                <w:sz w:val="20"/>
                <w:szCs w:val="20"/>
              </w:rPr>
              <w:t>PAR/RTV/OMB + RBV</w:t>
            </w:r>
          </w:p>
        </w:tc>
      </w:tr>
      <w:tr w:rsidR="00FF619F" w:rsidRPr="00FF619F" w:rsidTr="00FF619F">
        <w:tc>
          <w:tcPr>
            <w:tcW w:w="1668" w:type="dxa"/>
          </w:tcPr>
          <w:p w:rsidR="00FF619F" w:rsidRPr="00FF619F" w:rsidRDefault="00FF619F" w:rsidP="00FF619F">
            <w:pPr>
              <w:ind w:left="0"/>
              <w:rPr>
                <w:sz w:val="20"/>
                <w:szCs w:val="20"/>
              </w:rPr>
            </w:pPr>
            <w:proofErr w:type="spellStart"/>
            <w:r w:rsidRPr="00FF619F">
              <w:rPr>
                <w:sz w:val="20"/>
                <w:szCs w:val="20"/>
              </w:rPr>
              <w:t>Elbasvir</w:t>
            </w:r>
            <w:proofErr w:type="spellEnd"/>
            <w:r w:rsidRPr="00FF619F">
              <w:rPr>
                <w:sz w:val="20"/>
                <w:szCs w:val="20"/>
              </w:rPr>
              <w:t>/</w:t>
            </w:r>
            <w:proofErr w:type="spellStart"/>
            <w:r w:rsidRPr="00FF619F">
              <w:rPr>
                <w:sz w:val="20"/>
                <w:szCs w:val="20"/>
              </w:rPr>
              <w:t>Grazoprevir</w:t>
            </w:r>
            <w:proofErr w:type="spellEnd"/>
          </w:p>
        </w:tc>
        <w:tc>
          <w:tcPr>
            <w:tcW w:w="1275" w:type="dxa"/>
          </w:tcPr>
          <w:p w:rsidR="00FF619F" w:rsidRPr="00FF619F" w:rsidRDefault="00FF619F" w:rsidP="00FF619F">
            <w:pPr>
              <w:ind w:left="33"/>
              <w:rPr>
                <w:sz w:val="20"/>
                <w:szCs w:val="20"/>
              </w:rPr>
            </w:pPr>
            <w:proofErr w:type="spellStart"/>
            <w:r w:rsidRPr="00FF619F">
              <w:rPr>
                <w:sz w:val="20"/>
                <w:szCs w:val="20"/>
              </w:rPr>
              <w:t>Zepatier</w:t>
            </w:r>
            <w:proofErr w:type="spellEnd"/>
          </w:p>
        </w:tc>
        <w:tc>
          <w:tcPr>
            <w:tcW w:w="1418" w:type="dxa"/>
          </w:tcPr>
          <w:p w:rsidR="00FF619F" w:rsidRPr="00FF619F" w:rsidRDefault="00FF619F" w:rsidP="00FF619F">
            <w:pPr>
              <w:ind w:left="68"/>
              <w:rPr>
                <w:sz w:val="20"/>
                <w:szCs w:val="20"/>
              </w:rPr>
            </w:pPr>
            <w:r w:rsidRPr="00FF619F">
              <w:rPr>
                <w:sz w:val="20"/>
                <w:szCs w:val="20"/>
              </w:rPr>
              <w:t>Merck Sharp &amp; Dohme</w:t>
            </w:r>
          </w:p>
        </w:tc>
        <w:tc>
          <w:tcPr>
            <w:tcW w:w="1446" w:type="dxa"/>
          </w:tcPr>
          <w:p w:rsidR="00FF619F" w:rsidRPr="00FF619F" w:rsidRDefault="00FF619F" w:rsidP="00FF619F">
            <w:pPr>
              <w:ind w:left="0"/>
              <w:rPr>
                <w:sz w:val="20"/>
                <w:szCs w:val="20"/>
              </w:rPr>
            </w:pPr>
            <w:r w:rsidRPr="00FF619F">
              <w:rPr>
                <w:sz w:val="20"/>
                <w:szCs w:val="20"/>
              </w:rPr>
              <w:t>NS5A inhibitor (EBR) NS3/4A inhibitor (GZR)</w:t>
            </w:r>
          </w:p>
        </w:tc>
        <w:tc>
          <w:tcPr>
            <w:tcW w:w="1247" w:type="dxa"/>
          </w:tcPr>
          <w:p w:rsidR="00FF619F" w:rsidRPr="00FF619F" w:rsidRDefault="00FF619F" w:rsidP="00FF619F">
            <w:pPr>
              <w:ind w:left="5"/>
              <w:rPr>
                <w:sz w:val="20"/>
                <w:szCs w:val="20"/>
              </w:rPr>
            </w:pPr>
            <w:r w:rsidRPr="00FF619F">
              <w:rPr>
                <w:sz w:val="20"/>
                <w:szCs w:val="20"/>
              </w:rPr>
              <w:t>1,4</w:t>
            </w:r>
          </w:p>
        </w:tc>
        <w:tc>
          <w:tcPr>
            <w:tcW w:w="1666" w:type="dxa"/>
          </w:tcPr>
          <w:p w:rsidR="00FF619F" w:rsidRPr="00FF619F" w:rsidRDefault="00FF619F" w:rsidP="00FF619F">
            <w:pPr>
              <w:ind w:left="34"/>
              <w:rPr>
                <w:sz w:val="20"/>
                <w:szCs w:val="20"/>
              </w:rPr>
            </w:pPr>
            <w:r w:rsidRPr="00FF619F">
              <w:rPr>
                <w:sz w:val="20"/>
                <w:szCs w:val="20"/>
              </w:rPr>
              <w:t>EBR/GZR</w:t>
            </w:r>
          </w:p>
        </w:tc>
      </w:tr>
      <w:tr w:rsidR="00FF619F" w:rsidRPr="00FF619F" w:rsidTr="00FF619F">
        <w:tc>
          <w:tcPr>
            <w:tcW w:w="1668" w:type="dxa"/>
          </w:tcPr>
          <w:p w:rsidR="00FF619F" w:rsidRPr="00FF619F" w:rsidRDefault="00FF619F" w:rsidP="00FF619F">
            <w:pPr>
              <w:ind w:left="0"/>
              <w:rPr>
                <w:sz w:val="20"/>
                <w:szCs w:val="20"/>
              </w:rPr>
            </w:pPr>
            <w:proofErr w:type="spellStart"/>
            <w:r w:rsidRPr="00FF619F">
              <w:rPr>
                <w:sz w:val="20"/>
                <w:szCs w:val="20"/>
              </w:rPr>
              <w:t>Sofosbuvir</w:t>
            </w:r>
            <w:proofErr w:type="spellEnd"/>
            <w:r w:rsidRPr="00FF619F">
              <w:rPr>
                <w:sz w:val="20"/>
                <w:szCs w:val="20"/>
              </w:rPr>
              <w:t>/</w:t>
            </w:r>
            <w:proofErr w:type="spellStart"/>
            <w:r w:rsidRPr="00FF619F">
              <w:rPr>
                <w:sz w:val="20"/>
                <w:szCs w:val="20"/>
              </w:rPr>
              <w:t>velpatasvir</w:t>
            </w:r>
            <w:proofErr w:type="spellEnd"/>
          </w:p>
        </w:tc>
        <w:tc>
          <w:tcPr>
            <w:tcW w:w="1275" w:type="dxa"/>
          </w:tcPr>
          <w:p w:rsidR="00FF619F" w:rsidRPr="00FF619F" w:rsidRDefault="00FF619F" w:rsidP="00FF619F">
            <w:pPr>
              <w:ind w:left="33"/>
              <w:rPr>
                <w:sz w:val="20"/>
                <w:szCs w:val="20"/>
              </w:rPr>
            </w:pPr>
            <w:proofErr w:type="spellStart"/>
            <w:r w:rsidRPr="00FF619F">
              <w:rPr>
                <w:sz w:val="20"/>
                <w:szCs w:val="20"/>
              </w:rPr>
              <w:t>Epclusa</w:t>
            </w:r>
            <w:proofErr w:type="spellEnd"/>
          </w:p>
        </w:tc>
        <w:tc>
          <w:tcPr>
            <w:tcW w:w="1418" w:type="dxa"/>
          </w:tcPr>
          <w:p w:rsidR="00FF619F" w:rsidRPr="00FF619F" w:rsidRDefault="00FF619F" w:rsidP="00FF619F">
            <w:pPr>
              <w:ind w:left="68"/>
              <w:rPr>
                <w:sz w:val="20"/>
                <w:szCs w:val="20"/>
              </w:rPr>
            </w:pPr>
            <w:r w:rsidRPr="00FF619F">
              <w:rPr>
                <w:sz w:val="20"/>
                <w:szCs w:val="20"/>
              </w:rPr>
              <w:t>Gilead</w:t>
            </w:r>
          </w:p>
        </w:tc>
        <w:tc>
          <w:tcPr>
            <w:tcW w:w="1446" w:type="dxa"/>
          </w:tcPr>
          <w:p w:rsidR="00FF619F" w:rsidRPr="00FF619F" w:rsidRDefault="00FF619F" w:rsidP="00FF619F">
            <w:pPr>
              <w:ind w:left="0"/>
              <w:rPr>
                <w:sz w:val="20"/>
                <w:szCs w:val="20"/>
              </w:rPr>
            </w:pPr>
            <w:r w:rsidRPr="00FF619F">
              <w:rPr>
                <w:sz w:val="20"/>
                <w:szCs w:val="20"/>
              </w:rPr>
              <w:t>NS5B (SOF) NS5A inhibitor (VEL)</w:t>
            </w:r>
          </w:p>
        </w:tc>
        <w:tc>
          <w:tcPr>
            <w:tcW w:w="1247" w:type="dxa"/>
          </w:tcPr>
          <w:p w:rsidR="00FF619F" w:rsidRPr="00FF619F" w:rsidRDefault="00FF619F" w:rsidP="00FF619F">
            <w:pPr>
              <w:ind w:left="5"/>
              <w:rPr>
                <w:sz w:val="20"/>
                <w:szCs w:val="20"/>
              </w:rPr>
            </w:pPr>
            <w:r w:rsidRPr="00FF619F">
              <w:rPr>
                <w:sz w:val="20"/>
                <w:szCs w:val="20"/>
              </w:rPr>
              <w:t>All genotypes</w:t>
            </w:r>
          </w:p>
        </w:tc>
        <w:tc>
          <w:tcPr>
            <w:tcW w:w="1666" w:type="dxa"/>
          </w:tcPr>
          <w:p w:rsidR="00FF619F" w:rsidRPr="00FF619F" w:rsidRDefault="00FF619F" w:rsidP="00FF619F">
            <w:pPr>
              <w:ind w:left="34"/>
              <w:rPr>
                <w:sz w:val="20"/>
                <w:szCs w:val="20"/>
              </w:rPr>
            </w:pPr>
            <w:r w:rsidRPr="00FF619F">
              <w:rPr>
                <w:sz w:val="20"/>
                <w:szCs w:val="20"/>
              </w:rPr>
              <w:t xml:space="preserve">SOF/VEL ± RBV </w:t>
            </w:r>
          </w:p>
        </w:tc>
      </w:tr>
      <w:tr w:rsidR="00FF619F" w:rsidRPr="00FF619F" w:rsidTr="00FF619F">
        <w:tc>
          <w:tcPr>
            <w:tcW w:w="1668" w:type="dxa"/>
          </w:tcPr>
          <w:p w:rsidR="00FF619F" w:rsidRPr="00FF619F" w:rsidRDefault="00FF619F" w:rsidP="00FF619F">
            <w:pPr>
              <w:ind w:left="0"/>
              <w:rPr>
                <w:sz w:val="20"/>
                <w:szCs w:val="20"/>
              </w:rPr>
            </w:pPr>
            <w:proofErr w:type="spellStart"/>
            <w:r w:rsidRPr="00FF619F">
              <w:rPr>
                <w:sz w:val="20"/>
                <w:szCs w:val="20"/>
              </w:rPr>
              <w:lastRenderedPageBreak/>
              <w:t>Glecaprevir</w:t>
            </w:r>
            <w:proofErr w:type="spellEnd"/>
            <w:r w:rsidRPr="00FF619F">
              <w:rPr>
                <w:sz w:val="20"/>
                <w:szCs w:val="20"/>
              </w:rPr>
              <w:t xml:space="preserve">/ </w:t>
            </w:r>
            <w:proofErr w:type="spellStart"/>
            <w:r w:rsidRPr="00FF619F">
              <w:rPr>
                <w:sz w:val="20"/>
                <w:szCs w:val="20"/>
              </w:rPr>
              <w:t>pibrentasvir</w:t>
            </w:r>
            <w:proofErr w:type="spellEnd"/>
            <w:r w:rsidRPr="00FF619F">
              <w:rPr>
                <w:sz w:val="20"/>
                <w:szCs w:val="20"/>
              </w:rPr>
              <w:t>*</w:t>
            </w:r>
          </w:p>
        </w:tc>
        <w:tc>
          <w:tcPr>
            <w:tcW w:w="1275" w:type="dxa"/>
          </w:tcPr>
          <w:p w:rsidR="00FF619F" w:rsidRPr="00FF619F" w:rsidRDefault="00FF619F" w:rsidP="00FF619F">
            <w:pPr>
              <w:ind w:left="33"/>
              <w:rPr>
                <w:sz w:val="20"/>
                <w:szCs w:val="20"/>
              </w:rPr>
            </w:pPr>
            <w:proofErr w:type="spellStart"/>
            <w:r w:rsidRPr="00FF619F">
              <w:rPr>
                <w:sz w:val="20"/>
                <w:szCs w:val="20"/>
              </w:rPr>
              <w:t>Maviret</w:t>
            </w:r>
            <w:proofErr w:type="spellEnd"/>
          </w:p>
        </w:tc>
        <w:tc>
          <w:tcPr>
            <w:tcW w:w="1418" w:type="dxa"/>
          </w:tcPr>
          <w:p w:rsidR="00FF619F" w:rsidRPr="00FF619F" w:rsidRDefault="00FF619F" w:rsidP="00FF619F">
            <w:pPr>
              <w:ind w:left="68"/>
              <w:rPr>
                <w:sz w:val="20"/>
                <w:szCs w:val="20"/>
              </w:rPr>
            </w:pPr>
            <w:proofErr w:type="spellStart"/>
            <w:r w:rsidRPr="00FF619F">
              <w:rPr>
                <w:sz w:val="20"/>
                <w:szCs w:val="20"/>
              </w:rPr>
              <w:t>Abbvie</w:t>
            </w:r>
            <w:proofErr w:type="spellEnd"/>
          </w:p>
        </w:tc>
        <w:tc>
          <w:tcPr>
            <w:tcW w:w="1446" w:type="dxa"/>
          </w:tcPr>
          <w:p w:rsidR="00FF619F" w:rsidRPr="00FF619F" w:rsidRDefault="00FF619F" w:rsidP="00FF619F">
            <w:pPr>
              <w:ind w:left="0"/>
              <w:rPr>
                <w:sz w:val="20"/>
                <w:szCs w:val="20"/>
              </w:rPr>
            </w:pPr>
            <w:r w:rsidRPr="00FF619F">
              <w:rPr>
                <w:sz w:val="20"/>
                <w:szCs w:val="20"/>
              </w:rPr>
              <w:t>NS3/4A inhibitor (GLE) NS5A inhibitor (PIB)</w:t>
            </w:r>
          </w:p>
        </w:tc>
        <w:tc>
          <w:tcPr>
            <w:tcW w:w="1247" w:type="dxa"/>
          </w:tcPr>
          <w:p w:rsidR="00FF619F" w:rsidRPr="00FF619F" w:rsidRDefault="00FF619F" w:rsidP="00FF619F">
            <w:pPr>
              <w:ind w:left="5"/>
              <w:rPr>
                <w:sz w:val="20"/>
                <w:szCs w:val="20"/>
              </w:rPr>
            </w:pPr>
            <w:r w:rsidRPr="00FF619F">
              <w:rPr>
                <w:sz w:val="20"/>
                <w:szCs w:val="20"/>
              </w:rPr>
              <w:t>All genotypes</w:t>
            </w:r>
          </w:p>
        </w:tc>
        <w:tc>
          <w:tcPr>
            <w:tcW w:w="1666" w:type="dxa"/>
          </w:tcPr>
          <w:p w:rsidR="00FF619F" w:rsidRPr="00FF619F" w:rsidRDefault="00FF619F" w:rsidP="00FF619F">
            <w:pPr>
              <w:ind w:left="34"/>
              <w:rPr>
                <w:sz w:val="20"/>
                <w:szCs w:val="20"/>
              </w:rPr>
            </w:pPr>
            <w:r w:rsidRPr="00FF619F">
              <w:rPr>
                <w:sz w:val="20"/>
                <w:szCs w:val="20"/>
              </w:rPr>
              <w:t>GLE/PIB</w:t>
            </w:r>
          </w:p>
        </w:tc>
      </w:tr>
    </w:tbl>
    <w:p w:rsidR="00F64A30" w:rsidRPr="000D5C0A" w:rsidRDefault="00F64A30" w:rsidP="00A95AB7">
      <w:pPr>
        <w:pStyle w:val="TableDescription"/>
      </w:pPr>
      <w:r>
        <w:rPr>
          <w:rFonts w:cstheme="minorHAnsi"/>
        </w:rPr>
        <w:t xml:space="preserve">INF: </w:t>
      </w:r>
      <w:r>
        <w:t>Interferon</w:t>
      </w:r>
    </w:p>
    <w:p w:rsidR="00476CD0" w:rsidRDefault="00476CD0" w:rsidP="00AF414F">
      <w:r>
        <w:t>Epclusa</w:t>
      </w:r>
      <w:r w:rsidR="00AF414F" w:rsidRPr="00810C5E">
        <w:t>, the fixed dose combination tablet form of sofosbuvir (SOF)/velpatasvir (VEL), 400</w:t>
      </w:r>
      <w:r w:rsidR="00AA5E62">
        <w:t xml:space="preserve"> mg</w:t>
      </w:r>
      <w:r w:rsidR="00AF414F" w:rsidRPr="00810C5E">
        <w:t>/100</w:t>
      </w:r>
      <w:r w:rsidR="00AA5E62">
        <w:t xml:space="preserve"> mg</w:t>
      </w:r>
      <w:r w:rsidR="00AF414F" w:rsidRPr="00810C5E">
        <w:t xml:space="preserve">, </w:t>
      </w:r>
      <w:r w:rsidR="00AF414F">
        <w:t xml:space="preserve">was </w:t>
      </w:r>
      <w:r w:rsidR="00AF414F" w:rsidRPr="00810C5E">
        <w:t xml:space="preserve">approved </w:t>
      </w:r>
      <w:r w:rsidR="00AF414F">
        <w:t xml:space="preserve">by the TGA in December 2016, </w:t>
      </w:r>
      <w:r w:rsidR="00AF414F" w:rsidRPr="00810C5E">
        <w:t>and was the first pan</w:t>
      </w:r>
      <w:r w:rsidR="000D5C0A">
        <w:t>-</w:t>
      </w:r>
      <w:r w:rsidR="00AF414F" w:rsidRPr="00810C5E">
        <w:t>genotypic inh</w:t>
      </w:r>
      <w:r w:rsidR="00AF414F">
        <w:t xml:space="preserve">ibitor to be approved internationally. </w:t>
      </w:r>
      <w:r w:rsidR="00AF414F" w:rsidRPr="00B62A6A">
        <w:t xml:space="preserve">Velpatasvir is a novel HCV nonstructural protein 5A (NS5A) inhibitor </w:t>
      </w:r>
      <w:r w:rsidR="00AF414F">
        <w:t>that was developed in combination with SOF for the treatment of HCV infection</w:t>
      </w:r>
      <w:r>
        <w:t>.</w:t>
      </w:r>
    </w:p>
    <w:p w:rsidR="00AF414F" w:rsidRDefault="00AF414F" w:rsidP="00AF414F">
      <w:r>
        <w:t xml:space="preserve">The TGA approved indications for </w:t>
      </w:r>
      <w:r w:rsidR="00476CD0">
        <w:t>Epclusa</w:t>
      </w:r>
      <w:r>
        <w:t xml:space="preserve"> are:</w:t>
      </w:r>
    </w:p>
    <w:p w:rsidR="00AF414F" w:rsidRPr="00816E45" w:rsidRDefault="00476CD0" w:rsidP="00AF414F">
      <w:pPr>
        <w:ind w:left="720"/>
        <w:rPr>
          <w:i/>
        </w:rPr>
      </w:pPr>
      <w:r>
        <w:rPr>
          <w:i/>
        </w:rPr>
        <w:t>Epclusa</w:t>
      </w:r>
      <w:r w:rsidR="00AF414F" w:rsidRPr="00816E45">
        <w:rPr>
          <w:i/>
        </w:rPr>
        <w:t xml:space="preserve"> (sofosbuvir/velpatasvir </w:t>
      </w:r>
      <w:r w:rsidR="00D43BF2">
        <w:rPr>
          <w:i/>
        </w:rPr>
        <w:t>fixed dose</w:t>
      </w:r>
      <w:r w:rsidR="00AF414F" w:rsidRPr="00816E45">
        <w:rPr>
          <w:i/>
        </w:rPr>
        <w:t xml:space="preserve"> combination) is indicated for the treatment of chronic hepatitis C virus (HCV) infection (genotype 1, 2, 3, 4, 5 or 6) in adults.</w:t>
      </w:r>
    </w:p>
    <w:p w:rsidR="00AF414F" w:rsidRDefault="00AF414F" w:rsidP="00AF414F">
      <w:pPr>
        <w:ind w:left="720"/>
        <w:rPr>
          <w:i/>
        </w:rPr>
      </w:pPr>
      <w:r w:rsidRPr="00816E45">
        <w:rPr>
          <w:i/>
        </w:rPr>
        <w:t>(</w:t>
      </w:r>
      <w:proofErr w:type="gramStart"/>
      <w:r w:rsidRPr="00816E45">
        <w:rPr>
          <w:i/>
        </w:rPr>
        <w:t>see</w:t>
      </w:r>
      <w:proofErr w:type="gramEnd"/>
      <w:r w:rsidRPr="00816E45">
        <w:rPr>
          <w:i/>
        </w:rPr>
        <w:t xml:space="preserve"> </w:t>
      </w:r>
      <w:r w:rsidR="003B424E" w:rsidRPr="00816E45">
        <w:rPr>
          <w:i/>
        </w:rPr>
        <w:t xml:space="preserve">Dosage And Administration </w:t>
      </w:r>
      <w:r w:rsidRPr="00816E45">
        <w:rPr>
          <w:i/>
        </w:rPr>
        <w:t>section for the recommended regimens for different patient subgroups).</w:t>
      </w:r>
    </w:p>
    <w:p w:rsidR="00AF414F" w:rsidRDefault="00AF414F" w:rsidP="00AF414F">
      <w:r>
        <w:t xml:space="preserve">At the time, the ACPM noted that there was a lower level of efficacy in patients with genotype 3 HCV and compensated cirrhosis, and in decompensated liver disease. Addition of ribavirin was recommended in all patients with </w:t>
      </w:r>
      <w:r w:rsidRPr="008F0A94">
        <w:t>decompensated</w:t>
      </w:r>
      <w:r>
        <w:t xml:space="preserve"> cirrhosis and recommended for consideration in g</w:t>
      </w:r>
      <w:r w:rsidRPr="008F0A94">
        <w:t>enotype 3 infected patients with compensated cirrhosis</w:t>
      </w:r>
      <w:r>
        <w:t>.</w:t>
      </w:r>
      <w:r w:rsidR="000D5C0A">
        <w:rPr>
          <w:rStyle w:val="FootnoteReference"/>
        </w:rPr>
        <w:footnoteReference w:id="60"/>
      </w:r>
      <w:r>
        <w:t xml:space="preserve"> GT3 treatment experienced patients were also observed to have lower SVR12 rates.</w:t>
      </w:r>
      <w:r w:rsidRPr="00920D57">
        <w:t xml:space="preserve"> The treatment experienced population studied with </w:t>
      </w:r>
      <w:r w:rsidR="00476CD0">
        <w:t>Epclusa</w:t>
      </w:r>
      <w:r w:rsidRPr="00920D57">
        <w:t xml:space="preserve"> included those who had failed prior therapy with peg-IFN and ribavirin (RBV) ± HCV NS3/4A protease inhibitors (boceprevir, telaprevir or simeprevir).</w:t>
      </w:r>
      <w:bookmarkStart w:id="312" w:name="_Ref529351096"/>
      <w:r>
        <w:rPr>
          <w:rStyle w:val="FootnoteReference"/>
          <w:rFonts w:asciiTheme="minorHAnsi" w:hAnsiTheme="minorHAnsi"/>
        </w:rPr>
        <w:footnoteReference w:id="61"/>
      </w:r>
      <w:bookmarkEnd w:id="312"/>
    </w:p>
    <w:p w:rsidR="00AF414F" w:rsidRDefault="00476CD0" w:rsidP="00AF414F">
      <w:r>
        <w:t>Vosevi</w:t>
      </w:r>
      <w:r w:rsidR="00AF414F" w:rsidRPr="006E3156">
        <w:t xml:space="preserve"> was approved by the FDA </w:t>
      </w:r>
      <w:r w:rsidR="00AF414F">
        <w:t xml:space="preserve">and the </w:t>
      </w:r>
      <w:r w:rsidR="00AF414F" w:rsidRPr="006E3156">
        <w:t>EMA</w:t>
      </w:r>
      <w:r w:rsidR="00AF414F">
        <w:t xml:space="preserve"> in July </w:t>
      </w:r>
      <w:r w:rsidR="00AF414F" w:rsidRPr="006E3156">
        <w:t>2017</w:t>
      </w:r>
      <w:r w:rsidR="00AF414F">
        <w:t xml:space="preserve"> and by Health Canada in </w:t>
      </w:r>
      <w:r w:rsidR="00AF414F" w:rsidRPr="006E3156">
        <w:t>August 2017</w:t>
      </w:r>
      <w:r w:rsidR="00AF414F">
        <w:t xml:space="preserve">. The application was granted breakthrough designation by the FDA for the treatment of HCV GT1 infection, due to preliminary evidence demonstrating activity in patients who previously failed an </w:t>
      </w:r>
      <w:r w:rsidR="000D5C0A">
        <w:t>NS5A inhibitor</w:t>
      </w:r>
      <w:r w:rsidR="00AF414F">
        <w:t xml:space="preserve"> containing DAA </w:t>
      </w:r>
      <w:r w:rsidR="00AF414F" w:rsidRPr="000D5C0A">
        <w:t>regimen.</w:t>
      </w:r>
      <w:bookmarkStart w:id="313" w:name="_Ref529348264"/>
      <w:r w:rsidR="000D5C0A" w:rsidRPr="000D5C0A">
        <w:rPr>
          <w:rStyle w:val="FootnoteReference"/>
        </w:rPr>
        <w:footnoteReference w:id="62"/>
      </w:r>
      <w:bookmarkEnd w:id="313"/>
    </w:p>
    <w:p w:rsidR="00AF414F" w:rsidRDefault="00AF414F" w:rsidP="00AF414F">
      <w:r>
        <w:t xml:space="preserve">The wording of the approved indication varies between regulators. The revised indication for Australia (below) was accepted by the sponsor </w:t>
      </w:r>
      <w:r w:rsidRPr="008C35BA">
        <w:t xml:space="preserve">following the response to </w:t>
      </w:r>
      <w:r w:rsidR="000D5C0A">
        <w:t>questions raised</w:t>
      </w:r>
      <w:r>
        <w:t>.</w:t>
      </w:r>
    </w:p>
    <w:p w:rsidR="000D5C0A" w:rsidRPr="006E3156" w:rsidRDefault="00AC0F8C" w:rsidP="000D5C0A">
      <w:pPr>
        <w:pStyle w:val="Tabletitle0"/>
      </w:pPr>
      <w:r>
        <w:t>Table 30:</w:t>
      </w:r>
      <w:r w:rsidR="000D5C0A">
        <w:t xml:space="preserve"> Australian proposed and revised indications and international approved indications for Vosevi</w:t>
      </w:r>
    </w:p>
    <w:tbl>
      <w:tblPr>
        <w:tblStyle w:val="TableTGAblue"/>
        <w:tblW w:w="8833" w:type="dxa"/>
        <w:tblLook w:val="04A0" w:firstRow="1" w:lastRow="0" w:firstColumn="1" w:lastColumn="0" w:noHBand="0" w:noVBand="1"/>
      </w:tblPr>
      <w:tblGrid>
        <w:gridCol w:w="1690"/>
        <w:gridCol w:w="7143"/>
      </w:tblGrid>
      <w:tr w:rsidR="00AF414F" w:rsidRPr="00AF414F" w:rsidTr="00AF414F">
        <w:trPr>
          <w:cnfStyle w:val="100000000000" w:firstRow="1" w:lastRow="0" w:firstColumn="0" w:lastColumn="0" w:oddVBand="0" w:evenVBand="0" w:oddHBand="0" w:evenHBand="0" w:firstRowFirstColumn="0" w:firstRowLastColumn="0" w:lastRowFirstColumn="0" w:lastRowLastColumn="0"/>
          <w:trHeight w:val="142"/>
        </w:trPr>
        <w:tc>
          <w:tcPr>
            <w:tcW w:w="1690" w:type="dxa"/>
          </w:tcPr>
          <w:p w:rsidR="00AF414F" w:rsidRPr="00AF414F" w:rsidRDefault="00AF414F" w:rsidP="00AF414F">
            <w:r w:rsidRPr="00AF414F">
              <w:t>Country</w:t>
            </w:r>
          </w:p>
        </w:tc>
        <w:tc>
          <w:tcPr>
            <w:tcW w:w="7143" w:type="dxa"/>
          </w:tcPr>
          <w:p w:rsidR="00AF414F" w:rsidRPr="00AF414F" w:rsidRDefault="00AF414F" w:rsidP="00AF414F">
            <w:r w:rsidRPr="00AF414F">
              <w:t>Indication</w:t>
            </w:r>
          </w:p>
        </w:tc>
      </w:tr>
      <w:tr w:rsidR="00AF414F" w:rsidRPr="00AF414F" w:rsidTr="00AF414F">
        <w:trPr>
          <w:trHeight w:val="142"/>
        </w:trPr>
        <w:tc>
          <w:tcPr>
            <w:tcW w:w="1690" w:type="dxa"/>
          </w:tcPr>
          <w:p w:rsidR="00AF414F" w:rsidRPr="00AF414F" w:rsidRDefault="000D5C0A" w:rsidP="000D5C0A">
            <w:r>
              <w:t xml:space="preserve">Australia </w:t>
            </w:r>
            <w:r w:rsidR="00AF414F" w:rsidRPr="00AF414F">
              <w:t>(proposed indication)</w:t>
            </w:r>
          </w:p>
        </w:tc>
        <w:tc>
          <w:tcPr>
            <w:tcW w:w="7143" w:type="dxa"/>
          </w:tcPr>
          <w:p w:rsidR="00AF414F" w:rsidRPr="00AF414F" w:rsidRDefault="00476CD0" w:rsidP="00AF414F">
            <w:r>
              <w:t>Vosevi</w:t>
            </w:r>
            <w:r w:rsidR="00AF414F" w:rsidRPr="00AF414F">
              <w:t xml:space="preserve"> (sofosbuvir/velpatasvir/voxilaprevir </w:t>
            </w:r>
            <w:r w:rsidR="00D43BF2">
              <w:t>fixed dose</w:t>
            </w:r>
            <w:r w:rsidR="00AF414F" w:rsidRPr="00AF414F">
              <w:t xml:space="preserve"> combination) is indicated for the treatment of chronic hepatitis C virus (HCV) infection in adults.</w:t>
            </w:r>
          </w:p>
        </w:tc>
      </w:tr>
      <w:tr w:rsidR="00AF414F" w:rsidRPr="00AF414F" w:rsidTr="00AF414F">
        <w:trPr>
          <w:trHeight w:val="142"/>
        </w:trPr>
        <w:tc>
          <w:tcPr>
            <w:tcW w:w="1690" w:type="dxa"/>
          </w:tcPr>
          <w:p w:rsidR="00AF414F" w:rsidRPr="00AF414F" w:rsidRDefault="000D5C0A" w:rsidP="000D5C0A">
            <w:r>
              <w:t xml:space="preserve">Australia </w:t>
            </w:r>
            <w:r>
              <w:lastRenderedPageBreak/>
              <w:t xml:space="preserve">(revised </w:t>
            </w:r>
            <w:r w:rsidR="00AF414F" w:rsidRPr="00AF414F">
              <w:t>Indication)</w:t>
            </w:r>
          </w:p>
        </w:tc>
        <w:tc>
          <w:tcPr>
            <w:tcW w:w="7143" w:type="dxa"/>
          </w:tcPr>
          <w:p w:rsidR="00AF414F" w:rsidRPr="00AF414F" w:rsidRDefault="00476CD0" w:rsidP="00AF414F">
            <w:r>
              <w:lastRenderedPageBreak/>
              <w:t>Vosevi</w:t>
            </w:r>
            <w:r w:rsidR="00AF414F" w:rsidRPr="00AF414F">
              <w:t xml:space="preserve"> (sofosbuvir/velpatasvir/voxilaprevir </w:t>
            </w:r>
            <w:r w:rsidR="00D43BF2">
              <w:t>fixed dose</w:t>
            </w:r>
            <w:r w:rsidR="00AF414F" w:rsidRPr="00AF414F">
              <w:t xml:space="preserve"> combination) </w:t>
            </w:r>
            <w:r w:rsidR="00AF414F" w:rsidRPr="00AF414F">
              <w:lastRenderedPageBreak/>
              <w:t>is indicated for the treatment of chronic hepatitis C virus (HCV) infection in adults who have failed treatment with at least one prior DAA, regardless of genotype, in patients without cirrhosis or with compensated cirrhosis (see Dosage and Administration and clinical trials).</w:t>
            </w:r>
          </w:p>
        </w:tc>
      </w:tr>
      <w:tr w:rsidR="00AF414F" w:rsidRPr="00AF414F" w:rsidTr="00AF414F">
        <w:trPr>
          <w:trHeight w:val="1248"/>
        </w:trPr>
        <w:tc>
          <w:tcPr>
            <w:tcW w:w="1690" w:type="dxa"/>
          </w:tcPr>
          <w:p w:rsidR="00AF414F" w:rsidRPr="00AF414F" w:rsidRDefault="00AF414F" w:rsidP="00AF414F">
            <w:r w:rsidRPr="00AF414F">
              <w:lastRenderedPageBreak/>
              <w:t>European Union-centralised procedure</w:t>
            </w:r>
          </w:p>
        </w:tc>
        <w:tc>
          <w:tcPr>
            <w:tcW w:w="7143" w:type="dxa"/>
          </w:tcPr>
          <w:p w:rsidR="00AF414F" w:rsidRPr="00AF414F" w:rsidRDefault="00476CD0" w:rsidP="00AF414F">
            <w:r>
              <w:t>Vosevi</w:t>
            </w:r>
            <w:r w:rsidR="00AF414F" w:rsidRPr="00AF414F">
              <w:t xml:space="preserve"> is indicated for the treatment of chronic hepatitis C virus (HCV) infection in adults (see sections 4.2, 4.4 and 5.1).</w:t>
            </w:r>
          </w:p>
        </w:tc>
      </w:tr>
      <w:tr w:rsidR="00AF414F" w:rsidRPr="00AF414F" w:rsidTr="00AF414F">
        <w:trPr>
          <w:trHeight w:val="3643"/>
        </w:trPr>
        <w:tc>
          <w:tcPr>
            <w:tcW w:w="1690" w:type="dxa"/>
          </w:tcPr>
          <w:p w:rsidR="00AF414F" w:rsidRPr="00AF414F" w:rsidRDefault="00AF414F" w:rsidP="00AF414F">
            <w:r w:rsidRPr="00AF414F">
              <w:t>USA</w:t>
            </w:r>
          </w:p>
        </w:tc>
        <w:tc>
          <w:tcPr>
            <w:tcW w:w="7143" w:type="dxa"/>
          </w:tcPr>
          <w:p w:rsidR="00AF414F" w:rsidRPr="00AF414F" w:rsidRDefault="00476CD0" w:rsidP="00AF414F">
            <w:r>
              <w:t>Vosevi</w:t>
            </w:r>
            <w:r w:rsidR="00AF414F" w:rsidRPr="00AF414F">
              <w:t xml:space="preserve"> is a </w:t>
            </w:r>
            <w:r w:rsidR="00D43BF2">
              <w:t>fixed dose</w:t>
            </w:r>
            <w:r w:rsidR="00AF414F" w:rsidRPr="00AF414F">
              <w:t xml:space="preserve"> combination of sofosbuvir, a hepatitis C virus (HCV) nucleotide </w:t>
            </w:r>
            <w:proofErr w:type="spellStart"/>
            <w:r w:rsidR="00AF414F" w:rsidRPr="00AF414F">
              <w:t>analog</w:t>
            </w:r>
            <w:proofErr w:type="spellEnd"/>
            <w:r w:rsidR="00AF414F" w:rsidRPr="00AF414F">
              <w:t xml:space="preserve"> NS5B polymerase inhibitor, velpatasvir, an HCV NS5A inhibitor, and voxilaprevir, an HCV NS3/4A protease inhibitor, and is indicated for the treatment of adult patients with chronic HCV infection without cirrhosis or with compensated cirrhosis (Child-Pugh A) who have:</w:t>
            </w:r>
          </w:p>
          <w:p w:rsidR="00476CD0" w:rsidRPr="003B424E" w:rsidRDefault="00AF414F" w:rsidP="00A95AB7">
            <w:pPr>
              <w:pStyle w:val="ListBullet"/>
              <w:rPr>
                <w:color w:val="auto"/>
              </w:rPr>
            </w:pPr>
            <w:proofErr w:type="gramStart"/>
            <w:r w:rsidRPr="003B424E">
              <w:t>genotype</w:t>
            </w:r>
            <w:proofErr w:type="gramEnd"/>
            <w:r w:rsidRPr="003B424E">
              <w:t xml:space="preserve"> 1, 2, 3, 4, 5, or 6 infection and have previously been treated with an HCV regimen containing an NS5A inhibitor</w:t>
            </w:r>
            <w:r w:rsidR="00476CD0" w:rsidRPr="003B424E">
              <w:t>.</w:t>
            </w:r>
          </w:p>
          <w:p w:rsidR="00476CD0" w:rsidRPr="00A95AB7" w:rsidRDefault="00AF414F" w:rsidP="00A95AB7">
            <w:pPr>
              <w:pStyle w:val="ListBullet"/>
            </w:pPr>
            <w:proofErr w:type="gramStart"/>
            <w:r w:rsidRPr="00266334">
              <w:t>genotype</w:t>
            </w:r>
            <w:proofErr w:type="gramEnd"/>
            <w:r w:rsidRPr="00266334">
              <w:t xml:space="preserve"> 1a or 3 infection and have previously been treated with an H</w:t>
            </w:r>
            <w:r w:rsidRPr="00D033A4">
              <w:t>CV regimen containing sofosbuvir without</w:t>
            </w:r>
            <w:r w:rsidRPr="00A95AB7">
              <w:rPr>
                <w:szCs w:val="22"/>
                <w:lang w:eastAsia="en-US"/>
              </w:rPr>
              <w:t xml:space="preserve"> an NS5A inhibitor</w:t>
            </w:r>
            <w:r w:rsidR="00476CD0" w:rsidRPr="00A95AB7">
              <w:rPr>
                <w:szCs w:val="22"/>
                <w:lang w:eastAsia="en-US"/>
              </w:rPr>
              <w:t>.</w:t>
            </w:r>
          </w:p>
          <w:p w:rsidR="00AF414F" w:rsidRPr="00AF414F" w:rsidRDefault="00AF414F" w:rsidP="00AF414F">
            <w:r w:rsidRPr="00AF414F">
              <w:t xml:space="preserve">Additional benefit of </w:t>
            </w:r>
            <w:r w:rsidR="00476CD0">
              <w:t>Vosevi</w:t>
            </w:r>
            <w:r w:rsidRPr="00AF414F">
              <w:t xml:space="preserve"> over sofosbuvir/velpatasvir was not shown in adults with genotype 1b, 2, 4, 5, or 6 </w:t>
            </w:r>
            <w:proofErr w:type="gramStart"/>
            <w:r w:rsidRPr="00AF414F">
              <w:t>infection</w:t>
            </w:r>
            <w:proofErr w:type="gramEnd"/>
            <w:r w:rsidRPr="00AF414F">
              <w:t xml:space="preserve"> previously treated with sofosbuvir without an NS5A inhibitor.</w:t>
            </w:r>
          </w:p>
        </w:tc>
      </w:tr>
      <w:tr w:rsidR="00AF414F" w:rsidRPr="00AF414F" w:rsidTr="00AF414F">
        <w:trPr>
          <w:trHeight w:val="2633"/>
        </w:trPr>
        <w:tc>
          <w:tcPr>
            <w:tcW w:w="1690" w:type="dxa"/>
          </w:tcPr>
          <w:p w:rsidR="00AF414F" w:rsidRPr="00AF414F" w:rsidRDefault="00AF414F" w:rsidP="00AF414F">
            <w:r w:rsidRPr="00AF414F">
              <w:t>Canada</w:t>
            </w:r>
          </w:p>
        </w:tc>
        <w:tc>
          <w:tcPr>
            <w:tcW w:w="7143" w:type="dxa"/>
          </w:tcPr>
          <w:p w:rsidR="00AF414F" w:rsidRPr="00AF414F" w:rsidRDefault="00476CD0" w:rsidP="00AF414F">
            <w:r>
              <w:t>Vosevi</w:t>
            </w:r>
            <w:r w:rsidR="00AF414F" w:rsidRPr="00AF414F">
              <w:t xml:space="preserve"> (sofosbuvir/velpatasvir/voxilaprevir) is indicated for the treatment of chronic hepatitis C virus (HCV) infection in adult patients, without cirrhosis or with compensated cirrhosis, who have:</w:t>
            </w:r>
          </w:p>
          <w:p w:rsidR="00AF414F" w:rsidRPr="000D5C0A" w:rsidRDefault="00AF414F" w:rsidP="00A95AB7">
            <w:pPr>
              <w:pStyle w:val="ListBullet"/>
              <w:rPr>
                <w:color w:val="auto"/>
              </w:rPr>
            </w:pPr>
            <w:r w:rsidRPr="000D5C0A">
              <w:t>genotype 1, 2, 3, 4, 5, or 6 infection and have prev</w:t>
            </w:r>
            <w:r w:rsidR="000D5C0A" w:rsidRPr="000D5C0A">
              <w:t xml:space="preserve">iously been treated with an HCV </w:t>
            </w:r>
            <w:r w:rsidRPr="000D5C0A">
              <w:t>regimen containing an NS5A inhibitor;</w:t>
            </w:r>
          </w:p>
          <w:p w:rsidR="00AF414F" w:rsidRPr="00AF414F" w:rsidRDefault="00AF414F" w:rsidP="00A95AB7">
            <w:pPr>
              <w:pStyle w:val="ListBullet"/>
              <w:rPr>
                <w:color w:val="auto"/>
              </w:rPr>
            </w:pPr>
            <w:proofErr w:type="gramStart"/>
            <w:r w:rsidRPr="000D5C0A">
              <w:t>genotype</w:t>
            </w:r>
            <w:proofErr w:type="gramEnd"/>
            <w:r w:rsidRPr="000D5C0A">
              <w:t xml:space="preserve"> 1, 2, 3, or 4 infection and have been previously treated with an HCV regimen containing sofosbuvir without an NS5A inhibitor.</w:t>
            </w:r>
          </w:p>
        </w:tc>
      </w:tr>
    </w:tbl>
    <w:p w:rsidR="008E7846" w:rsidRDefault="008E7846" w:rsidP="008E7846">
      <w:pPr>
        <w:pStyle w:val="Heading3"/>
      </w:pPr>
      <w:bookmarkStart w:id="314" w:name="_Toc314842511"/>
      <w:bookmarkStart w:id="315" w:name="_Toc8291135"/>
      <w:r>
        <w:t>Quality</w:t>
      </w:r>
      <w:bookmarkEnd w:id="310"/>
      <w:bookmarkEnd w:id="314"/>
      <w:bookmarkEnd w:id="315"/>
    </w:p>
    <w:p w:rsidR="00AF414F" w:rsidRPr="00763A93" w:rsidRDefault="00AF414F" w:rsidP="00AF414F">
      <w:r w:rsidRPr="00763A93">
        <w:t>There were no objections to registration from a chemistry perspective.</w:t>
      </w:r>
      <w:r>
        <w:t xml:space="preserve"> It is anticipated that minor outstanding issues will be resolved by the </w:t>
      </w:r>
      <w:r w:rsidR="000D5C0A">
        <w:t>sponsor</w:t>
      </w:r>
      <w:r>
        <w:t xml:space="preserve"> to the satisfaction of the TGA.</w:t>
      </w:r>
    </w:p>
    <w:p w:rsidR="008E7846" w:rsidRDefault="008E7846" w:rsidP="008E7846">
      <w:pPr>
        <w:pStyle w:val="Heading3"/>
      </w:pPr>
      <w:bookmarkStart w:id="316" w:name="_Toc314842512"/>
      <w:bookmarkStart w:id="317" w:name="_Toc8291136"/>
      <w:r>
        <w:t>Nonclinical</w:t>
      </w:r>
      <w:bookmarkEnd w:id="316"/>
      <w:bookmarkEnd w:id="317"/>
    </w:p>
    <w:p w:rsidR="00AF414F" w:rsidRDefault="00AF414F" w:rsidP="00AF414F">
      <w:r w:rsidRPr="00105B32">
        <w:t xml:space="preserve">There were no </w:t>
      </w:r>
      <w:r>
        <w:t xml:space="preserve">nonclinical </w:t>
      </w:r>
      <w:r w:rsidRPr="00105B32">
        <w:t>objections to registration</w:t>
      </w:r>
      <w:r>
        <w:t xml:space="preserve"> of </w:t>
      </w:r>
      <w:r w:rsidR="00476CD0">
        <w:t>Vosevi</w:t>
      </w:r>
      <w:r>
        <w:t>, b</w:t>
      </w:r>
      <w:r w:rsidRPr="00EC5791">
        <w:t>ased on the nonclinical data provided in this submission for voxilaprevir and evaluated in the previous submission for sofosbuvir and velpatasvir</w:t>
      </w:r>
      <w:r>
        <w:t xml:space="preserve">. </w:t>
      </w:r>
      <w:r w:rsidRPr="00EC5791">
        <w:t>There was no evidence of reproductive toxicity with voxilaprevir and Aus</w:t>
      </w:r>
      <w:r>
        <w:t>tralian Pregnancy category B1</w:t>
      </w:r>
      <w:proofErr w:type="gramStart"/>
      <w:r w:rsidR="003B424E">
        <w:t>;</w:t>
      </w:r>
      <w:proofErr w:type="gramEnd"/>
      <w:r w:rsidR="000D5C0A" w:rsidRPr="000D5C0A">
        <w:rPr>
          <w:vertAlign w:val="superscript"/>
        </w:rPr>
        <w:fldChar w:fldCharType="begin"/>
      </w:r>
      <w:r w:rsidR="000D5C0A" w:rsidRPr="000D5C0A">
        <w:rPr>
          <w:vertAlign w:val="superscript"/>
        </w:rPr>
        <w:instrText xml:space="preserve"> NOTEREF _Ref529346610 \h </w:instrText>
      </w:r>
      <w:r w:rsidR="000D5C0A">
        <w:rPr>
          <w:vertAlign w:val="superscript"/>
        </w:rPr>
        <w:instrText xml:space="preserve"> \* MERGEFORMAT </w:instrText>
      </w:r>
      <w:r w:rsidR="000D5C0A" w:rsidRPr="000D5C0A">
        <w:rPr>
          <w:vertAlign w:val="superscript"/>
        </w:rPr>
      </w:r>
      <w:r w:rsidR="000D5C0A" w:rsidRPr="000D5C0A">
        <w:rPr>
          <w:vertAlign w:val="superscript"/>
        </w:rPr>
        <w:fldChar w:fldCharType="separate"/>
      </w:r>
      <w:r w:rsidR="000D5C0A" w:rsidRPr="000D5C0A">
        <w:rPr>
          <w:vertAlign w:val="superscript"/>
        </w:rPr>
        <w:t>9</w:t>
      </w:r>
      <w:r w:rsidR="000D5C0A" w:rsidRPr="000D5C0A">
        <w:rPr>
          <w:vertAlign w:val="superscript"/>
        </w:rPr>
        <w:fldChar w:fldCharType="end"/>
      </w:r>
      <w:r>
        <w:t xml:space="preserve"> was deemed to be</w:t>
      </w:r>
      <w:r w:rsidRPr="00EC5791">
        <w:t xml:space="preserve"> appropriate</w:t>
      </w:r>
      <w:r>
        <w:t>.</w:t>
      </w:r>
    </w:p>
    <w:p w:rsidR="00AF414F" w:rsidRPr="00AF414F" w:rsidRDefault="00AF414F" w:rsidP="00AF414F">
      <w:r>
        <w:lastRenderedPageBreak/>
        <w:t xml:space="preserve">Changes to the </w:t>
      </w:r>
      <w:r w:rsidR="000D5C0A">
        <w:t>PI</w:t>
      </w:r>
      <w:r>
        <w:t xml:space="preserve"> were recommended. The sponsor</w:t>
      </w:r>
      <w:r w:rsidR="00DA0F8A">
        <w:t xml:space="preserve"> was</w:t>
      </w:r>
      <w:r>
        <w:t xml:space="preserve"> requested to address t</w:t>
      </w:r>
      <w:r w:rsidR="000D5C0A">
        <w:t>hese with the pre-ACM response.</w:t>
      </w:r>
    </w:p>
    <w:p w:rsidR="008E7846" w:rsidRDefault="008E7846" w:rsidP="008E7846">
      <w:pPr>
        <w:pStyle w:val="Heading3"/>
      </w:pPr>
      <w:bookmarkStart w:id="318" w:name="_Toc247691530"/>
      <w:bookmarkStart w:id="319" w:name="_Toc314842513"/>
      <w:bookmarkStart w:id="320" w:name="_Toc8291137"/>
      <w:r>
        <w:t>Clinical</w:t>
      </w:r>
      <w:bookmarkEnd w:id="318"/>
      <w:bookmarkEnd w:id="319"/>
      <w:bookmarkEnd w:id="320"/>
    </w:p>
    <w:p w:rsidR="00AF414F" w:rsidRDefault="00AF414F" w:rsidP="00AF414F">
      <w:pPr>
        <w:pStyle w:val="Heading4"/>
      </w:pPr>
      <w:bookmarkStart w:id="321" w:name="_Toc314842514"/>
      <w:r w:rsidRPr="003F08CF">
        <w:t>Pharmacology</w:t>
      </w:r>
    </w:p>
    <w:p w:rsidR="00AF414F" w:rsidRPr="00AF414F" w:rsidRDefault="00AF414F" w:rsidP="00AF414F">
      <w:pPr>
        <w:rPr>
          <w:b/>
        </w:rPr>
      </w:pPr>
      <w:r w:rsidRPr="00134CCD">
        <w:t>The submission included 17 studies that contain</w:t>
      </w:r>
      <w:r>
        <w:t>ed pharmacokinetic</w:t>
      </w:r>
      <w:r w:rsidRPr="00134CCD">
        <w:t xml:space="preserve"> data, </w:t>
      </w:r>
      <w:r>
        <w:t>including</w:t>
      </w:r>
      <w:r w:rsidRPr="00134CCD">
        <w:t xml:space="preserve"> </w:t>
      </w:r>
      <w:r w:rsidR="00DA0F8A">
        <w:t>thirteen</w:t>
      </w:r>
      <w:r w:rsidRPr="00134CCD">
        <w:t xml:space="preserve"> </w:t>
      </w:r>
      <w:proofErr w:type="gramStart"/>
      <w:r w:rsidR="00476CD0">
        <w:t>Phase</w:t>
      </w:r>
      <w:proofErr w:type="gramEnd"/>
      <w:r w:rsidR="00476CD0">
        <w:t xml:space="preserve"> I</w:t>
      </w:r>
      <w:r>
        <w:t xml:space="preserve"> trials, three</w:t>
      </w:r>
      <w:r w:rsidRPr="00134CCD">
        <w:t xml:space="preserve"> </w:t>
      </w:r>
      <w:r w:rsidR="00476CD0">
        <w:t>Phase II</w:t>
      </w:r>
      <w:r w:rsidRPr="00134CCD">
        <w:t xml:space="preserve"> </w:t>
      </w:r>
      <w:r>
        <w:t>trials and one</w:t>
      </w:r>
      <w:r w:rsidRPr="00134CCD">
        <w:t xml:space="preserve"> </w:t>
      </w:r>
      <w:r w:rsidR="00476CD0">
        <w:t>Phase III</w:t>
      </w:r>
      <w:r w:rsidRPr="00134CCD">
        <w:t xml:space="preserve"> trial. Two of these studies also contain</w:t>
      </w:r>
      <w:r>
        <w:t xml:space="preserve">ed pharmacodynamic </w:t>
      </w:r>
      <w:r w:rsidRPr="00134CCD">
        <w:t xml:space="preserve">data. </w:t>
      </w:r>
      <w:r>
        <w:t>F</w:t>
      </w:r>
      <w:r w:rsidRPr="00134CCD">
        <w:t>our population pharmacokinetic (</w:t>
      </w:r>
      <w:proofErr w:type="spellStart"/>
      <w:r w:rsidRPr="00134CCD">
        <w:t>popPK</w:t>
      </w:r>
      <w:proofErr w:type="spellEnd"/>
      <w:r w:rsidRPr="00134CCD">
        <w:t>) analyses and t</w:t>
      </w:r>
      <w:r>
        <w:t>wo integrated virology reports we</w:t>
      </w:r>
      <w:r w:rsidRPr="00134CCD">
        <w:t>re also included as part of the current submission.</w:t>
      </w:r>
      <w:r>
        <w:t xml:space="preserve"> </w:t>
      </w:r>
      <w:proofErr w:type="gramStart"/>
      <w:r w:rsidRPr="00AC0F8C">
        <w:t xml:space="preserve">(Table </w:t>
      </w:r>
      <w:r w:rsidR="00AC0F8C" w:rsidRPr="00AC0F8C">
        <w:t>7)</w:t>
      </w:r>
      <w:r w:rsidRPr="00AC0F8C">
        <w:t>.</w:t>
      </w:r>
      <w:proofErr w:type="gramEnd"/>
      <w:r w:rsidRPr="00AC0F8C">
        <w:t xml:space="preserve"> The following discussion will focus on voxilaprevir, as the clinical pharmacology</w:t>
      </w:r>
      <w:r>
        <w:t xml:space="preserve"> of sofosbuvir and </w:t>
      </w:r>
      <w:r w:rsidRPr="00496C88">
        <w:t>velpatasvir</w:t>
      </w:r>
      <w:r>
        <w:t xml:space="preserve"> have been discussed with previous submissions. The pharmacokinetics summary included in this Overview is based on the CER, the European Public assessment report</w:t>
      </w:r>
      <w:bookmarkStart w:id="322" w:name="_Ref529347463"/>
      <w:r w:rsidR="00A34D06">
        <w:t>;</w:t>
      </w:r>
      <w:r>
        <w:rPr>
          <w:rStyle w:val="FootnoteReference"/>
          <w:rFonts w:asciiTheme="minorHAnsi" w:hAnsiTheme="minorHAnsi"/>
        </w:rPr>
        <w:footnoteReference w:id="63"/>
      </w:r>
      <w:bookmarkEnd w:id="322"/>
      <w:r w:rsidR="00A34D06">
        <w:t xml:space="preserve"> the</w:t>
      </w:r>
      <w:r w:rsidR="00A95AB7">
        <w:t xml:space="preserve"> </w:t>
      </w:r>
      <w:r>
        <w:t>FDA Summary</w:t>
      </w:r>
      <w:r w:rsidR="00A34D06">
        <w:t>,</w:t>
      </w:r>
      <w:r>
        <w:t xml:space="preserve"> and Clinical Pharmacology reviews</w:t>
      </w:r>
      <w:bookmarkStart w:id="323" w:name="_Ref529347436"/>
      <w:r w:rsidR="009461C2">
        <w:t>.</w:t>
      </w:r>
      <w:r w:rsidR="009461C2" w:rsidRPr="009461C2">
        <w:rPr>
          <w:vertAlign w:val="superscript"/>
        </w:rPr>
        <w:fldChar w:fldCharType="begin"/>
      </w:r>
      <w:r w:rsidR="009461C2" w:rsidRPr="009461C2">
        <w:rPr>
          <w:vertAlign w:val="superscript"/>
        </w:rPr>
        <w:instrText xml:space="preserve"> NOTEREF _Ref529348264 \h </w:instrText>
      </w:r>
      <w:r w:rsidR="009461C2">
        <w:rPr>
          <w:vertAlign w:val="superscript"/>
        </w:rPr>
        <w:instrText xml:space="preserve"> \* MERGEFORMAT </w:instrText>
      </w:r>
      <w:r w:rsidR="009461C2" w:rsidRPr="009461C2">
        <w:rPr>
          <w:vertAlign w:val="superscript"/>
        </w:rPr>
      </w:r>
      <w:r w:rsidR="009461C2" w:rsidRPr="009461C2">
        <w:rPr>
          <w:vertAlign w:val="superscript"/>
        </w:rPr>
        <w:fldChar w:fldCharType="separate"/>
      </w:r>
      <w:r w:rsidR="009461C2" w:rsidRPr="009461C2">
        <w:rPr>
          <w:vertAlign w:val="superscript"/>
        </w:rPr>
        <w:t>54</w:t>
      </w:r>
      <w:r w:rsidR="009461C2" w:rsidRPr="009461C2">
        <w:rPr>
          <w:vertAlign w:val="superscript"/>
        </w:rPr>
        <w:fldChar w:fldCharType="end"/>
      </w:r>
      <w:r w:rsidR="00A34D06">
        <w:rPr>
          <w:vertAlign w:val="superscript"/>
        </w:rPr>
        <w:t>,</w:t>
      </w:r>
      <w:bookmarkStart w:id="324" w:name="_Ref529351161"/>
      <w:r>
        <w:rPr>
          <w:rStyle w:val="FootnoteReference"/>
          <w:rFonts w:asciiTheme="minorHAnsi" w:hAnsiTheme="minorHAnsi"/>
        </w:rPr>
        <w:footnoteReference w:id="64"/>
      </w:r>
      <w:bookmarkEnd w:id="323"/>
      <w:bookmarkEnd w:id="324"/>
    </w:p>
    <w:p w:rsidR="00AF414F" w:rsidRDefault="00AF414F" w:rsidP="00AF414F">
      <w:proofErr w:type="gramStart"/>
      <w:r w:rsidRPr="00134CCD">
        <w:t>A single</w:t>
      </w:r>
      <w:proofErr w:type="gramEnd"/>
      <w:r>
        <w:t xml:space="preserve"> </w:t>
      </w:r>
      <w:r w:rsidR="00CE0E69">
        <w:t xml:space="preserve">dose strength </w:t>
      </w:r>
      <w:r>
        <w:t xml:space="preserve">of the </w:t>
      </w:r>
      <w:r w:rsidR="00476CD0">
        <w:t>Vosevi</w:t>
      </w:r>
      <w:r>
        <w:t xml:space="preserve"> </w:t>
      </w:r>
      <w:r w:rsidR="000D5C0A">
        <w:t>FDC</w:t>
      </w:r>
      <w:r w:rsidRPr="00134CCD">
        <w:t xml:space="preserve"> oral tablet, which contains 400</w:t>
      </w:r>
      <w:r w:rsidR="00AA5E62">
        <w:t xml:space="preserve"> mg</w:t>
      </w:r>
      <w:r w:rsidRPr="00134CCD">
        <w:t xml:space="preserve"> SOF/100</w:t>
      </w:r>
      <w:r w:rsidR="00AA5E62">
        <w:t xml:space="preserve"> mg</w:t>
      </w:r>
      <w:r w:rsidRPr="00134CCD">
        <w:t xml:space="preserve"> VEL/100</w:t>
      </w:r>
      <w:r w:rsidR="00AA5E62">
        <w:t xml:space="preserve"> mg</w:t>
      </w:r>
      <w:r w:rsidRPr="00134CCD">
        <w:t xml:space="preserve"> VOX, is proposed for marketing.</w:t>
      </w:r>
      <w:r w:rsidRPr="00505AE5">
        <w:t xml:space="preserve"> The FDC tablet </w:t>
      </w:r>
      <w:r w:rsidR="000D5C0A" w:rsidRPr="00505AE5">
        <w:t>formulation,</w:t>
      </w:r>
      <w:r w:rsidRPr="00505AE5">
        <w:t xml:space="preserve"> 400/100/100</w:t>
      </w:r>
      <w:r w:rsidR="000D5C0A">
        <w:t> </w:t>
      </w:r>
      <w:r w:rsidR="00AA5E62">
        <w:t>mg</w:t>
      </w:r>
      <w:r w:rsidRPr="00505AE5">
        <w:t xml:space="preserve">, was used in all pivotal </w:t>
      </w:r>
      <w:r w:rsidR="00476CD0">
        <w:t>Phase III</w:t>
      </w:r>
      <w:r w:rsidRPr="00505AE5">
        <w:t xml:space="preserve"> clinical trials and</w:t>
      </w:r>
      <w:r>
        <w:t xml:space="preserve"> stability studies. The 400</w:t>
      </w:r>
      <w:r w:rsidR="00AA5E62">
        <w:t xml:space="preserve"> mg</w:t>
      </w:r>
      <w:r>
        <w:t xml:space="preserve"> s</w:t>
      </w:r>
      <w:r w:rsidRPr="00505AE5">
        <w:t>ofosbuvir dose is the same as that used i</w:t>
      </w:r>
      <w:r>
        <w:t xml:space="preserve">n </w:t>
      </w:r>
      <w:r w:rsidR="00476CD0">
        <w:t>Sovaldi</w:t>
      </w:r>
      <w:r>
        <w:t xml:space="preserve">, </w:t>
      </w:r>
      <w:r w:rsidR="00476CD0">
        <w:t>Harvoni</w:t>
      </w:r>
      <w:r>
        <w:t xml:space="preserve">, and </w:t>
      </w:r>
      <w:r w:rsidR="00476CD0">
        <w:t>Epclusa</w:t>
      </w:r>
      <w:r>
        <w:t xml:space="preserve"> tablets. The 100</w:t>
      </w:r>
      <w:r w:rsidR="00AA5E62">
        <w:t xml:space="preserve"> mg</w:t>
      </w:r>
      <w:r>
        <w:t xml:space="preserve"> v</w:t>
      </w:r>
      <w:r w:rsidRPr="00505AE5">
        <w:t xml:space="preserve">elpatasvir dose is the same as that used in </w:t>
      </w:r>
      <w:r w:rsidR="00476CD0">
        <w:t>Epclusa</w:t>
      </w:r>
      <w:r w:rsidRPr="00505AE5">
        <w:t xml:space="preserve"> tablets. </w:t>
      </w:r>
      <w:r w:rsidR="00DA0F8A">
        <w:t xml:space="preserve">Table </w:t>
      </w:r>
      <w:r w:rsidR="00AC0F8C">
        <w:t>31</w:t>
      </w:r>
      <w:r>
        <w:t xml:space="preserve">, from the FDA </w:t>
      </w:r>
      <w:r w:rsidRPr="00525491">
        <w:t>Clinical Pharmacology</w:t>
      </w:r>
      <w:r>
        <w:t xml:space="preserve"> and Biopharmaceutics review, summarises the important PK profiles of the three components of </w:t>
      </w:r>
      <w:r w:rsidR="00476CD0">
        <w:t>Vosevi</w:t>
      </w:r>
      <w:r>
        <w:t xml:space="preserve"> (SOF/VEL/VOX).</w:t>
      </w:r>
    </w:p>
    <w:p w:rsidR="00AF414F" w:rsidRPr="003925CF" w:rsidRDefault="00AF414F" w:rsidP="00AF414F">
      <w:pPr>
        <w:pStyle w:val="TableTitle"/>
      </w:pPr>
      <w:r>
        <w:lastRenderedPageBreak/>
        <w:t xml:space="preserve">Table </w:t>
      </w:r>
      <w:r w:rsidR="00AC0F8C">
        <w:t>31</w:t>
      </w:r>
      <w:r>
        <w:t>: A</w:t>
      </w:r>
      <w:r w:rsidRPr="00DA2CB3">
        <w:t>bsorption, distri</w:t>
      </w:r>
      <w:r>
        <w:t xml:space="preserve">bution, metabolism and excretion (ADME) </w:t>
      </w:r>
      <w:r w:rsidRPr="00525491">
        <w:t>profiles of the components of SOF/VEL/VOX</w:t>
      </w:r>
      <w:r w:rsidR="003925CF" w:rsidRPr="003925CF">
        <w:rPr>
          <w:rStyle w:val="FootnoteReference"/>
        </w:rPr>
        <w:fldChar w:fldCharType="begin"/>
      </w:r>
      <w:r w:rsidR="003925CF" w:rsidRPr="003925CF">
        <w:rPr>
          <w:vertAlign w:val="superscript"/>
        </w:rPr>
        <w:instrText xml:space="preserve"> NOTEREF _Ref529347436 \h </w:instrText>
      </w:r>
      <w:r w:rsidR="003925CF" w:rsidRPr="003925CF">
        <w:rPr>
          <w:rStyle w:val="FootnoteReference"/>
        </w:rPr>
        <w:instrText xml:space="preserve"> \* MERGEFORMAT </w:instrText>
      </w:r>
      <w:r w:rsidR="003925CF" w:rsidRPr="003925CF">
        <w:rPr>
          <w:rStyle w:val="FootnoteReference"/>
        </w:rPr>
      </w:r>
      <w:r w:rsidR="003925CF" w:rsidRPr="003925CF">
        <w:rPr>
          <w:rStyle w:val="FootnoteReference"/>
        </w:rPr>
        <w:fldChar w:fldCharType="separate"/>
      </w:r>
      <w:r w:rsidR="003925CF" w:rsidRPr="003925CF">
        <w:rPr>
          <w:vertAlign w:val="superscript"/>
        </w:rPr>
        <w:t>56</w:t>
      </w:r>
      <w:r w:rsidR="003925CF" w:rsidRPr="003925CF">
        <w:rPr>
          <w:rStyle w:val="FootnoteReference"/>
        </w:rPr>
        <w:fldChar w:fldCharType="end"/>
      </w:r>
    </w:p>
    <w:p w:rsidR="00AF414F" w:rsidRPr="003925CF" w:rsidRDefault="003925CF" w:rsidP="007C712C">
      <w:r w:rsidRPr="007C712C">
        <w:rPr>
          <w:noProof/>
          <w:lang w:eastAsia="en-AU"/>
        </w:rPr>
        <w:drawing>
          <wp:inline distT="0" distB="0" distL="0" distR="0" wp14:anchorId="4CFA5C33" wp14:editId="3BAFF741">
            <wp:extent cx="4513478" cy="4587228"/>
            <wp:effectExtent l="0" t="0" r="1905" b="4445"/>
            <wp:docPr id="14" name="Picture 14" descr="Table 31: Absorption, distribution, metabolism and excretion (ADME) profiles of the components of SOF/VEL/VOX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15021" cy="4588797"/>
                    </a:xfrm>
                    <a:prstGeom prst="rect">
                      <a:avLst/>
                    </a:prstGeom>
                  </pic:spPr>
                </pic:pic>
              </a:graphicData>
            </a:graphic>
          </wp:inline>
        </w:drawing>
      </w:r>
    </w:p>
    <w:p w:rsidR="00AF414F" w:rsidRPr="00AF414F" w:rsidRDefault="00AF414F" w:rsidP="00AF414F">
      <w:r w:rsidRPr="00AF414F">
        <w:t>No circulating metabolites for VEL or VOX have been identified, whereas two circulating SOF metabolites have been identified in humans, neither of which have anti-HCV activity against the HCV genotype 1a, 1b and 3a replicons.</w:t>
      </w:r>
    </w:p>
    <w:p w:rsidR="00AF414F" w:rsidRPr="00AF414F" w:rsidRDefault="00AF414F" w:rsidP="00AF414F">
      <w:pPr>
        <w:pStyle w:val="Heading5"/>
      </w:pPr>
      <w:r w:rsidRPr="00AF414F">
        <w:t>Population pharmacokinetics</w:t>
      </w:r>
    </w:p>
    <w:p w:rsidR="00AF414F" w:rsidRPr="00AF414F" w:rsidRDefault="00AF414F" w:rsidP="00AF414F">
      <w:r w:rsidRPr="00AF414F">
        <w:t xml:space="preserve">Population PK </w:t>
      </w:r>
      <w:r w:rsidR="003925CF">
        <w:t xml:space="preserve">(PopPK) </w:t>
      </w:r>
      <w:r w:rsidRPr="00AF414F">
        <w:t>analyses describing effects of covariates on the PK for SOF,</w:t>
      </w:r>
      <w:r w:rsidR="003925CF">
        <w:t xml:space="preserve"> </w:t>
      </w:r>
      <w:r w:rsidRPr="00AF414F">
        <w:t xml:space="preserve">VEL and VOX </w:t>
      </w:r>
      <w:r w:rsidR="003925CF">
        <w:t>were</w:t>
      </w:r>
      <w:r w:rsidRPr="00AF414F">
        <w:t xml:space="preserve"> summarised in the CER and overseas assessment reports. Review by the </w:t>
      </w:r>
      <w:r w:rsidR="003925CF">
        <w:t>FDA and EMA suggested that the P</w:t>
      </w:r>
      <w:r w:rsidRPr="00AF414F">
        <w:t xml:space="preserve">opPK model adequately described the profile of each drug and the predominant </w:t>
      </w:r>
      <w:proofErr w:type="spellStart"/>
      <w:r w:rsidRPr="00AF414F">
        <w:t>sofosbuvir</w:t>
      </w:r>
      <w:proofErr w:type="spellEnd"/>
      <w:r w:rsidRPr="00AF414F">
        <w:t xml:space="preserve"> metabolite, GS-331007.</w:t>
      </w:r>
      <w:r w:rsidR="003925CF" w:rsidRPr="003925CF">
        <w:rPr>
          <w:vertAlign w:val="superscript"/>
        </w:rPr>
        <w:fldChar w:fldCharType="begin"/>
      </w:r>
      <w:r w:rsidR="003925CF" w:rsidRPr="003925CF">
        <w:rPr>
          <w:vertAlign w:val="superscript"/>
        </w:rPr>
        <w:instrText xml:space="preserve"> NOTEREF _Ref529347463 \h </w:instrText>
      </w:r>
      <w:r w:rsidR="003925CF">
        <w:rPr>
          <w:vertAlign w:val="superscript"/>
        </w:rPr>
        <w:instrText xml:space="preserve"> \* MERGEFORMAT </w:instrText>
      </w:r>
      <w:r w:rsidR="003925CF" w:rsidRPr="003925CF">
        <w:rPr>
          <w:vertAlign w:val="superscript"/>
        </w:rPr>
      </w:r>
      <w:r w:rsidR="003925CF" w:rsidRPr="003925CF">
        <w:rPr>
          <w:vertAlign w:val="superscript"/>
        </w:rPr>
        <w:fldChar w:fldCharType="separate"/>
      </w:r>
      <w:r w:rsidR="003925CF" w:rsidRPr="003925CF">
        <w:rPr>
          <w:vertAlign w:val="superscript"/>
        </w:rPr>
        <w:t>55</w:t>
      </w:r>
      <w:r w:rsidR="003925CF" w:rsidRPr="003925CF">
        <w:rPr>
          <w:vertAlign w:val="superscript"/>
        </w:rPr>
        <w:fldChar w:fldCharType="end"/>
      </w:r>
      <w:proofErr w:type="gramStart"/>
      <w:r w:rsidR="003925CF" w:rsidRPr="003925CF">
        <w:rPr>
          <w:vertAlign w:val="superscript"/>
        </w:rPr>
        <w:t>,</w:t>
      </w:r>
      <w:proofErr w:type="gramEnd"/>
      <w:r w:rsidR="003925CF" w:rsidRPr="003925CF">
        <w:rPr>
          <w:vertAlign w:val="superscript"/>
        </w:rPr>
        <w:fldChar w:fldCharType="begin"/>
      </w:r>
      <w:r w:rsidR="003925CF" w:rsidRPr="003925CF">
        <w:rPr>
          <w:vertAlign w:val="superscript"/>
        </w:rPr>
        <w:instrText xml:space="preserve"> NOTEREF _Ref529347436 \h </w:instrText>
      </w:r>
      <w:r w:rsidR="003925CF">
        <w:rPr>
          <w:vertAlign w:val="superscript"/>
        </w:rPr>
        <w:instrText xml:space="preserve"> \* MERGEFORMAT </w:instrText>
      </w:r>
      <w:r w:rsidR="003925CF" w:rsidRPr="003925CF">
        <w:rPr>
          <w:vertAlign w:val="superscript"/>
        </w:rPr>
      </w:r>
      <w:r w:rsidR="003925CF" w:rsidRPr="003925CF">
        <w:rPr>
          <w:vertAlign w:val="superscript"/>
        </w:rPr>
        <w:fldChar w:fldCharType="separate"/>
      </w:r>
      <w:r w:rsidR="003925CF" w:rsidRPr="003925CF">
        <w:rPr>
          <w:vertAlign w:val="superscript"/>
        </w:rPr>
        <w:t>56</w:t>
      </w:r>
      <w:r w:rsidR="003925CF" w:rsidRPr="003925CF">
        <w:rPr>
          <w:vertAlign w:val="superscript"/>
        </w:rPr>
        <w:fldChar w:fldCharType="end"/>
      </w:r>
    </w:p>
    <w:p w:rsidR="00AF414F" w:rsidRPr="00AF414F" w:rsidRDefault="003925CF" w:rsidP="00AF414F">
      <w:pPr>
        <w:pStyle w:val="Heading5"/>
      </w:pPr>
      <w:r>
        <w:t>Bioavailability</w:t>
      </w:r>
    </w:p>
    <w:p w:rsidR="00AF414F" w:rsidRPr="00AF414F" w:rsidRDefault="00AF414F" w:rsidP="00AF414F">
      <w:r w:rsidRPr="00AF414F">
        <w:t xml:space="preserve">The absolute bioavailability of </w:t>
      </w:r>
      <w:r w:rsidR="00476CD0">
        <w:t>Vosevi</w:t>
      </w:r>
      <w:r w:rsidRPr="00AF414F">
        <w:t xml:space="preserve"> was not assessed. The formulation of </w:t>
      </w:r>
      <w:r w:rsidR="00476CD0">
        <w:t>Vosevi</w:t>
      </w:r>
      <w:r w:rsidRPr="00AF414F">
        <w:t xml:space="preserve"> to be marketed was bioequivalent to the existing tablet formulations of SOF/VEL (400/100</w:t>
      </w:r>
      <w:r w:rsidR="00AA5E62">
        <w:t xml:space="preserve"> mg</w:t>
      </w:r>
      <w:r w:rsidRPr="00AF414F">
        <w:t>) FDC + VOX (100</w:t>
      </w:r>
      <w:r w:rsidR="00AA5E62">
        <w:t xml:space="preserve"> </w:t>
      </w:r>
      <w:proofErr w:type="gramStart"/>
      <w:r w:rsidR="00AA5E62">
        <w:t>mg</w:t>
      </w:r>
      <w:r w:rsidR="003925CF">
        <w:t xml:space="preserve"> </w:t>
      </w:r>
      <w:r w:rsidRPr="00AF414F">
        <w:t>)</w:t>
      </w:r>
      <w:proofErr w:type="gramEnd"/>
      <w:r w:rsidRPr="00AF414F">
        <w:t xml:space="preserve"> following a moderate fat meal.</w:t>
      </w:r>
    </w:p>
    <w:p w:rsidR="00AF414F" w:rsidRPr="00AF414F" w:rsidRDefault="00AF414F" w:rsidP="00AF414F">
      <w:pPr>
        <w:pStyle w:val="Heading5"/>
      </w:pPr>
      <w:r w:rsidRPr="00AF414F">
        <w:t>Food effect</w:t>
      </w:r>
    </w:p>
    <w:p w:rsidR="00AF414F" w:rsidRPr="00AF414F" w:rsidRDefault="00AF414F" w:rsidP="00AF414F">
      <w:r w:rsidRPr="00AF414F">
        <w:t xml:space="preserve">There was a significant influence of food on the exposure of VOX. Administration of </w:t>
      </w:r>
      <w:r w:rsidR="00476CD0">
        <w:t>Vosevi</w:t>
      </w:r>
      <w:r w:rsidR="003925CF">
        <w:t xml:space="preserve"> following a high fat/high </w:t>
      </w:r>
      <w:r w:rsidRPr="00AF414F">
        <w:t>calorie meal resulted in a 5.35</w:t>
      </w:r>
      <w:r w:rsidR="00C4145D">
        <w:t xml:space="preserve"> fold</w:t>
      </w:r>
      <w:r w:rsidRPr="00AF414F">
        <w:t xml:space="preserve"> increase in VOX </w:t>
      </w:r>
      <w:proofErr w:type="spellStart"/>
      <w:r w:rsidRPr="00AF414F">
        <w:t>AUC</w:t>
      </w:r>
      <w:r w:rsidRPr="003925CF">
        <w:rPr>
          <w:vertAlign w:val="subscript"/>
        </w:rPr>
        <w:t>inf</w:t>
      </w:r>
      <w:proofErr w:type="spellEnd"/>
      <w:r w:rsidRPr="00AF414F">
        <w:t xml:space="preserve"> and modest increases in SOF, GS-566500(an inactive metabolite of SOF) and VEL exposures (1.64</w:t>
      </w:r>
      <w:r w:rsidR="00C4145D">
        <w:t xml:space="preserve"> fold</w:t>
      </w:r>
      <w:r w:rsidRPr="00AF414F">
        <w:t xml:space="preserve"> increase in </w:t>
      </w:r>
      <w:proofErr w:type="spellStart"/>
      <w:r w:rsidRPr="00AF414F">
        <w:t>AUC</w:t>
      </w:r>
      <w:r w:rsidRPr="003925CF">
        <w:rPr>
          <w:vertAlign w:val="subscript"/>
        </w:rPr>
        <w:t>inf</w:t>
      </w:r>
      <w:proofErr w:type="spellEnd"/>
      <w:r w:rsidRPr="00AF414F">
        <w:t xml:space="preserve"> values) compared with exposures achieved under fasted conditions, hence all studies were performed in the presence of food and it is recommended that </w:t>
      </w:r>
      <w:r w:rsidR="00476CD0">
        <w:t>Vosevi</w:t>
      </w:r>
      <w:r w:rsidRPr="00AF414F">
        <w:t xml:space="preserve"> be given with food in the </w:t>
      </w:r>
      <w:r w:rsidR="003925CF">
        <w:t>PI</w:t>
      </w:r>
      <w:r w:rsidRPr="00AF414F">
        <w:t>.</w:t>
      </w:r>
    </w:p>
    <w:p w:rsidR="00AF414F" w:rsidRPr="00AF414F" w:rsidRDefault="00AF414F" w:rsidP="00AF414F">
      <w:pPr>
        <w:pStyle w:val="Heading5"/>
      </w:pPr>
      <w:r w:rsidRPr="00AF414F">
        <w:lastRenderedPageBreak/>
        <w:t xml:space="preserve">Hepatic </w:t>
      </w:r>
      <w:r w:rsidR="00FF619F">
        <w:t>i</w:t>
      </w:r>
      <w:r w:rsidRPr="00AF414F">
        <w:t>mpairment</w:t>
      </w:r>
    </w:p>
    <w:p w:rsidR="00AF414F" w:rsidRPr="00AF414F" w:rsidRDefault="00AF414F" w:rsidP="00AF414F">
      <w:r w:rsidRPr="00AF414F">
        <w:t xml:space="preserve">The PK sub-studies of two </w:t>
      </w:r>
      <w:r w:rsidR="00476CD0">
        <w:t>Phase II</w:t>
      </w:r>
      <w:r w:rsidRPr="00AF414F">
        <w:t xml:space="preserve"> trials, GS-US-337-1468 and GS-US-367-1168 examined the </w:t>
      </w:r>
      <w:r w:rsidR="00CE0E69">
        <w:t>steady state</w:t>
      </w:r>
      <w:r w:rsidRPr="00AF414F">
        <w:t xml:space="preserve"> PKs of SOF/VEL FDC (400/100</w:t>
      </w:r>
      <w:r w:rsidR="00AA5E62">
        <w:t xml:space="preserve"> mg</w:t>
      </w:r>
      <w:r w:rsidRPr="00AF414F">
        <w:t xml:space="preserve">) </w:t>
      </w:r>
      <w:r w:rsidR="003925CF">
        <w:t>+</w:t>
      </w:r>
      <w:r w:rsidRPr="00AF414F">
        <w:t xml:space="preserve"> VOX 100</w:t>
      </w:r>
      <w:r w:rsidR="00AA5E62">
        <w:t xml:space="preserve"> mg</w:t>
      </w:r>
      <w:r w:rsidRPr="00AF414F">
        <w:t xml:space="preserve"> in patients with genotype 1 HCV infection and cirrhosis. The results indicated that while SOF and VEL exposures were similar in subjects regardless of cirrhosis status, VOX exposure was almost 2</w:t>
      </w:r>
      <w:r w:rsidR="00C4145D">
        <w:t xml:space="preserve"> fold</w:t>
      </w:r>
      <w:r w:rsidRPr="00AF414F">
        <w:t xml:space="preserve"> higher in subjects with cirrhosis compared to subjects without cirrhosis.</w:t>
      </w:r>
    </w:p>
    <w:p w:rsidR="00AF414F" w:rsidRPr="00AF414F" w:rsidRDefault="00AF414F" w:rsidP="00AF414F">
      <w:r w:rsidRPr="00AF414F">
        <w:t xml:space="preserve">The effect of compensated cirrhosis was also examined in the population PK analysis of the </w:t>
      </w:r>
      <w:r w:rsidR="00476CD0">
        <w:t>Phase II</w:t>
      </w:r>
      <w:r w:rsidRPr="00AF414F">
        <w:t xml:space="preserve"> and </w:t>
      </w:r>
      <w:r w:rsidR="00DA0F8A">
        <w:t>III</w:t>
      </w:r>
      <w:r w:rsidRPr="00AF414F">
        <w:t xml:space="preserve"> studies.</w:t>
      </w:r>
    </w:p>
    <w:p w:rsidR="00AF414F" w:rsidRPr="00AF414F" w:rsidRDefault="00AF414F" w:rsidP="00AF414F">
      <w:r w:rsidRPr="00AF414F">
        <w:t>The PK of VOX was also studied in a dedicated hepatic study</w:t>
      </w:r>
      <w:r w:rsidR="00A34D06">
        <w:t>;</w:t>
      </w:r>
      <w:bookmarkStart w:id="325" w:name="_Ref2295749"/>
      <w:r w:rsidR="00A34D06">
        <w:rPr>
          <w:rStyle w:val="FootnoteReference"/>
        </w:rPr>
        <w:footnoteReference w:id="65"/>
      </w:r>
      <w:bookmarkEnd w:id="325"/>
      <w:r w:rsidRPr="00AF414F">
        <w:t xml:space="preserve"> following a single dose of 100</w:t>
      </w:r>
      <w:r w:rsidR="003925CF">
        <w:t> </w:t>
      </w:r>
      <w:r w:rsidR="00AA5E62">
        <w:t>mg</w:t>
      </w:r>
      <w:r w:rsidR="003925CF">
        <w:t xml:space="preserve"> VOX in HCV </w:t>
      </w:r>
      <w:r w:rsidRPr="00AF414F">
        <w:t>negative subjects with moderate</w:t>
      </w:r>
      <w:r w:rsidR="003925CF">
        <w:t xml:space="preserve"> </w:t>
      </w:r>
      <w:r w:rsidRPr="00AF414F">
        <w:t>(n</w:t>
      </w:r>
      <w:r w:rsidR="003925CF">
        <w:t xml:space="preserve"> = </w:t>
      </w:r>
      <w:r w:rsidRPr="00AF414F">
        <w:t>10) and severe</w:t>
      </w:r>
      <w:r w:rsidR="003925CF">
        <w:t xml:space="preserve"> </w:t>
      </w:r>
      <w:r w:rsidRPr="00AF414F">
        <w:t>(n</w:t>
      </w:r>
      <w:r w:rsidR="003925CF">
        <w:t xml:space="preserve"> = </w:t>
      </w:r>
      <w:r w:rsidRPr="00AF414F">
        <w:t>9) hepatic impairment. Compared to subjects with normal hepatic function, VOX plasma exposures (</w:t>
      </w:r>
      <w:proofErr w:type="spellStart"/>
      <w:r w:rsidRPr="00AF414F">
        <w:t>AUC</w:t>
      </w:r>
      <w:r w:rsidRPr="003925CF">
        <w:rPr>
          <w:vertAlign w:val="subscript"/>
        </w:rPr>
        <w:t>inf</w:t>
      </w:r>
      <w:proofErr w:type="spellEnd"/>
      <w:r w:rsidRPr="00AF414F">
        <w:t xml:space="preserve"> and </w:t>
      </w:r>
      <w:proofErr w:type="spellStart"/>
      <w:r w:rsidRPr="00AF414F">
        <w:t>C</w:t>
      </w:r>
      <w:r w:rsidRPr="003925CF">
        <w:rPr>
          <w:vertAlign w:val="subscript"/>
        </w:rPr>
        <w:t>max</w:t>
      </w:r>
      <w:proofErr w:type="spellEnd"/>
      <w:r w:rsidRPr="00AF414F">
        <w:t>) were 299% and 238% higher in subjects with moderate hepatic impairment, and 500% and 614% higher in subjects with severe hepatic impairment.</w:t>
      </w:r>
      <w:r w:rsidR="003925CF" w:rsidRPr="003925CF">
        <w:rPr>
          <w:vertAlign w:val="superscript"/>
        </w:rPr>
        <w:fldChar w:fldCharType="begin"/>
      </w:r>
      <w:r w:rsidR="003925CF" w:rsidRPr="003925CF">
        <w:rPr>
          <w:vertAlign w:val="superscript"/>
        </w:rPr>
        <w:instrText xml:space="preserve"> NOTEREF _Ref529347463 \h </w:instrText>
      </w:r>
      <w:r w:rsidR="003925CF">
        <w:rPr>
          <w:vertAlign w:val="superscript"/>
        </w:rPr>
        <w:instrText xml:space="preserve"> \* MERGEFORMAT </w:instrText>
      </w:r>
      <w:r w:rsidR="003925CF" w:rsidRPr="003925CF">
        <w:rPr>
          <w:vertAlign w:val="superscript"/>
        </w:rPr>
      </w:r>
      <w:r w:rsidR="003925CF" w:rsidRPr="003925CF">
        <w:rPr>
          <w:vertAlign w:val="superscript"/>
        </w:rPr>
        <w:fldChar w:fldCharType="separate"/>
      </w:r>
      <w:r w:rsidR="003925CF" w:rsidRPr="003925CF">
        <w:rPr>
          <w:vertAlign w:val="superscript"/>
        </w:rPr>
        <w:t>55</w:t>
      </w:r>
      <w:r w:rsidR="003925CF" w:rsidRPr="003925CF">
        <w:rPr>
          <w:vertAlign w:val="superscript"/>
        </w:rPr>
        <w:fldChar w:fldCharType="end"/>
      </w:r>
    </w:p>
    <w:p w:rsidR="00AF414F" w:rsidRPr="00AF414F" w:rsidRDefault="00AF414F" w:rsidP="00AF414F">
      <w:pPr>
        <w:pStyle w:val="Heading5"/>
      </w:pPr>
      <w:r w:rsidRPr="00AF414F">
        <w:t>Renal impairment</w:t>
      </w:r>
    </w:p>
    <w:p w:rsidR="00476CD0" w:rsidRDefault="00AF414F" w:rsidP="00AF414F">
      <w:r w:rsidRPr="00AF414F">
        <w:t xml:space="preserve">Renal clearance of VOX is negligible. The pharmacokinetics of </w:t>
      </w:r>
      <w:proofErr w:type="spellStart"/>
      <w:r w:rsidRPr="00AF414F">
        <w:t>voxilaprevir</w:t>
      </w:r>
      <w:proofErr w:type="spellEnd"/>
      <w:r w:rsidRPr="00AF414F">
        <w:t xml:space="preserve"> were studied</w:t>
      </w:r>
      <w:proofErr w:type="gramStart"/>
      <w:r w:rsidR="00A34D06">
        <w:t>;</w:t>
      </w:r>
      <w:proofErr w:type="gramEnd"/>
      <w:r w:rsidR="00A34D06" w:rsidRPr="00A95AB7">
        <w:rPr>
          <w:vertAlign w:val="superscript"/>
        </w:rPr>
        <w:fldChar w:fldCharType="begin"/>
      </w:r>
      <w:r w:rsidR="00A34D06" w:rsidRPr="00A95AB7">
        <w:rPr>
          <w:vertAlign w:val="superscript"/>
        </w:rPr>
        <w:instrText xml:space="preserve"> NOTEREF _Ref2295749 \h </w:instrText>
      </w:r>
      <w:r w:rsidR="00A34D06">
        <w:rPr>
          <w:vertAlign w:val="superscript"/>
        </w:rPr>
        <w:instrText xml:space="preserve"> \* MERGEFORMAT </w:instrText>
      </w:r>
      <w:r w:rsidR="00A34D06" w:rsidRPr="00A95AB7">
        <w:rPr>
          <w:vertAlign w:val="superscript"/>
        </w:rPr>
      </w:r>
      <w:r w:rsidR="00A34D06" w:rsidRPr="00A95AB7">
        <w:rPr>
          <w:vertAlign w:val="superscript"/>
        </w:rPr>
        <w:fldChar w:fldCharType="separate"/>
      </w:r>
      <w:r w:rsidR="00A34D06" w:rsidRPr="00A95AB7">
        <w:rPr>
          <w:vertAlign w:val="superscript"/>
        </w:rPr>
        <w:t>65</w:t>
      </w:r>
      <w:r w:rsidR="00A34D06" w:rsidRPr="00A95AB7">
        <w:rPr>
          <w:vertAlign w:val="superscript"/>
        </w:rPr>
        <w:fldChar w:fldCharType="end"/>
      </w:r>
      <w:r w:rsidRPr="00AF414F">
        <w:t xml:space="preserve"> with a single dose of 100</w:t>
      </w:r>
      <w:r w:rsidR="00AA5E62">
        <w:t xml:space="preserve"> mg</w:t>
      </w:r>
      <w:r w:rsidRPr="00AF414F">
        <w:t xml:space="preserve"> voxilaprevir in HCV negative patients with severe renal impairment</w:t>
      </w:r>
      <w:r w:rsidR="003925CF">
        <w:t xml:space="preserve"> </w:t>
      </w:r>
      <w:r w:rsidRPr="00AF414F">
        <w:t>(n</w:t>
      </w:r>
      <w:r w:rsidR="003925CF">
        <w:t xml:space="preserve"> = </w:t>
      </w:r>
      <w:r w:rsidRPr="00AF414F">
        <w:t>10) matched to those with normal renal function (n</w:t>
      </w:r>
      <w:r w:rsidR="003925CF">
        <w:t xml:space="preserve"> = </w:t>
      </w:r>
      <w:r w:rsidRPr="00AF414F">
        <w:t>10), with no clinically relevant differences observed</w:t>
      </w:r>
      <w:r w:rsidR="00476CD0">
        <w:t>.</w:t>
      </w:r>
    </w:p>
    <w:p w:rsidR="00AF414F" w:rsidRPr="00AF414F" w:rsidRDefault="00AF414F" w:rsidP="00AF414F">
      <w:r w:rsidRPr="00AF414F">
        <w:t>While no dose adjustment of voxilaprevir (or velpatasvir) is required for patients with mild, moderate, or severe renal impairment, dosing recommendations cannot be made for patients for</w:t>
      </w:r>
      <w:r w:rsidR="003925CF">
        <w:t xml:space="preserve"> severe renal impairment or end </w:t>
      </w:r>
      <w:r w:rsidRPr="00AF414F">
        <w:t>stage renal disease, due to the higher exposure (up to 20 fold) of the predominant sofosbuvir metabolit</w:t>
      </w:r>
      <w:r w:rsidR="003925CF">
        <w:t>e, GS-331007 in these patients.</w:t>
      </w:r>
      <w:r w:rsidR="003925CF" w:rsidRPr="003925CF">
        <w:rPr>
          <w:vertAlign w:val="superscript"/>
        </w:rPr>
        <w:fldChar w:fldCharType="begin"/>
      </w:r>
      <w:r w:rsidR="003925CF" w:rsidRPr="003925CF">
        <w:rPr>
          <w:vertAlign w:val="superscript"/>
        </w:rPr>
        <w:instrText xml:space="preserve"> NOTEREF _Ref529348264 \h </w:instrText>
      </w:r>
      <w:r w:rsidR="003925CF">
        <w:rPr>
          <w:vertAlign w:val="superscript"/>
        </w:rPr>
        <w:instrText xml:space="preserve"> \* MERGEFORMAT </w:instrText>
      </w:r>
      <w:r w:rsidR="003925CF" w:rsidRPr="003925CF">
        <w:rPr>
          <w:vertAlign w:val="superscript"/>
        </w:rPr>
      </w:r>
      <w:r w:rsidR="003925CF" w:rsidRPr="003925CF">
        <w:rPr>
          <w:vertAlign w:val="superscript"/>
        </w:rPr>
        <w:fldChar w:fldCharType="separate"/>
      </w:r>
      <w:r w:rsidR="003925CF" w:rsidRPr="003925CF">
        <w:rPr>
          <w:vertAlign w:val="superscript"/>
        </w:rPr>
        <w:t>54</w:t>
      </w:r>
      <w:r w:rsidR="003925CF" w:rsidRPr="003925CF">
        <w:rPr>
          <w:vertAlign w:val="superscript"/>
        </w:rPr>
        <w:fldChar w:fldCharType="end"/>
      </w:r>
    </w:p>
    <w:p w:rsidR="00AF414F" w:rsidRPr="00AF414F" w:rsidRDefault="00AF414F" w:rsidP="00AF414F">
      <w:pPr>
        <w:pStyle w:val="Heading5"/>
      </w:pPr>
      <w:r w:rsidRPr="00AF414F">
        <w:t>Drug-drug interactions</w:t>
      </w:r>
    </w:p>
    <w:p w:rsidR="00AF414F" w:rsidRPr="00AF414F" w:rsidRDefault="00AF414F" w:rsidP="00AF414F">
      <w:r w:rsidRPr="00AF414F">
        <w:t xml:space="preserve">A number of drug-drug interaction studies were conducted by the </w:t>
      </w:r>
      <w:r w:rsidR="000D5C0A">
        <w:t>sponsor</w:t>
      </w:r>
      <w:r w:rsidRPr="00AF414F">
        <w:t xml:space="preserve"> to evaluate the possible drug interactions with SOF/VEL/VOX as a perpetrator or victim of interactions with medicines frequently used by patients with HCV infection.</w:t>
      </w:r>
      <w:r w:rsidR="00DD2514" w:rsidRPr="00DD2514">
        <w:rPr>
          <w:vertAlign w:val="superscript"/>
        </w:rPr>
        <w:fldChar w:fldCharType="begin"/>
      </w:r>
      <w:r w:rsidR="00DD2514" w:rsidRPr="00DD2514">
        <w:rPr>
          <w:vertAlign w:val="superscript"/>
        </w:rPr>
        <w:instrText xml:space="preserve"> NOTEREF _Ref529348264 \h </w:instrText>
      </w:r>
      <w:r w:rsidR="00DD2514">
        <w:rPr>
          <w:vertAlign w:val="superscript"/>
        </w:rPr>
        <w:instrText xml:space="preserve"> \* MERGEFORMAT </w:instrText>
      </w:r>
      <w:r w:rsidR="00DD2514" w:rsidRPr="00DD2514">
        <w:rPr>
          <w:vertAlign w:val="superscript"/>
        </w:rPr>
      </w:r>
      <w:r w:rsidR="00DD2514" w:rsidRPr="00DD2514">
        <w:rPr>
          <w:vertAlign w:val="superscript"/>
        </w:rPr>
        <w:fldChar w:fldCharType="separate"/>
      </w:r>
      <w:r w:rsidR="00DD2514" w:rsidRPr="00DD2514">
        <w:rPr>
          <w:vertAlign w:val="superscript"/>
        </w:rPr>
        <w:t>54</w:t>
      </w:r>
      <w:r w:rsidR="00DD2514" w:rsidRPr="00DD2514">
        <w:rPr>
          <w:vertAlign w:val="superscript"/>
        </w:rPr>
        <w:fldChar w:fldCharType="end"/>
      </w:r>
      <w:r w:rsidRPr="00AF414F">
        <w:t xml:space="preserve"> A summary of the mechanism of these interactions is included below, from the FDA Summary and Clinical Pharmacology reviews.</w:t>
      </w:r>
      <w:r w:rsidR="003925CF" w:rsidRPr="003925CF">
        <w:rPr>
          <w:vertAlign w:val="superscript"/>
        </w:rPr>
        <w:fldChar w:fldCharType="begin"/>
      </w:r>
      <w:r w:rsidR="003925CF" w:rsidRPr="003925CF">
        <w:rPr>
          <w:vertAlign w:val="superscript"/>
        </w:rPr>
        <w:instrText xml:space="preserve"> NOTEREF _Ref529347436 \h </w:instrText>
      </w:r>
      <w:r w:rsidR="003925CF">
        <w:rPr>
          <w:vertAlign w:val="superscript"/>
        </w:rPr>
        <w:instrText xml:space="preserve"> \* MERGEFORMAT </w:instrText>
      </w:r>
      <w:r w:rsidR="003925CF" w:rsidRPr="003925CF">
        <w:rPr>
          <w:vertAlign w:val="superscript"/>
        </w:rPr>
      </w:r>
      <w:r w:rsidR="003925CF" w:rsidRPr="003925CF">
        <w:rPr>
          <w:vertAlign w:val="superscript"/>
        </w:rPr>
        <w:fldChar w:fldCharType="separate"/>
      </w:r>
      <w:r w:rsidR="003925CF" w:rsidRPr="003925CF">
        <w:rPr>
          <w:vertAlign w:val="superscript"/>
        </w:rPr>
        <w:t>56</w:t>
      </w:r>
      <w:r w:rsidR="003925CF" w:rsidRPr="003925CF">
        <w:rPr>
          <w:vertAlign w:val="superscript"/>
        </w:rPr>
        <w:fldChar w:fldCharType="end"/>
      </w:r>
      <w:proofErr w:type="gramStart"/>
      <w:r w:rsidRPr="003925CF">
        <w:rPr>
          <w:vertAlign w:val="superscript"/>
        </w:rPr>
        <w:t>,</w:t>
      </w:r>
      <w:proofErr w:type="gramEnd"/>
      <w:r w:rsidR="003925CF" w:rsidRPr="003925CF">
        <w:rPr>
          <w:vertAlign w:val="superscript"/>
        </w:rPr>
        <w:fldChar w:fldCharType="begin"/>
      </w:r>
      <w:r w:rsidR="003925CF" w:rsidRPr="003925CF">
        <w:rPr>
          <w:vertAlign w:val="superscript"/>
        </w:rPr>
        <w:instrText xml:space="preserve"> NOTEREF _Ref529348264 \h </w:instrText>
      </w:r>
      <w:r w:rsidR="003925CF">
        <w:rPr>
          <w:vertAlign w:val="superscript"/>
        </w:rPr>
        <w:instrText xml:space="preserve"> \* MERGEFORMAT </w:instrText>
      </w:r>
      <w:r w:rsidR="003925CF" w:rsidRPr="003925CF">
        <w:rPr>
          <w:vertAlign w:val="superscript"/>
        </w:rPr>
      </w:r>
      <w:r w:rsidR="003925CF" w:rsidRPr="003925CF">
        <w:rPr>
          <w:vertAlign w:val="superscript"/>
        </w:rPr>
        <w:fldChar w:fldCharType="separate"/>
      </w:r>
      <w:r w:rsidR="003925CF" w:rsidRPr="003925CF">
        <w:rPr>
          <w:vertAlign w:val="superscript"/>
        </w:rPr>
        <w:t>54</w:t>
      </w:r>
      <w:r w:rsidR="003925CF" w:rsidRPr="003925CF">
        <w:rPr>
          <w:vertAlign w:val="superscript"/>
        </w:rPr>
        <w:fldChar w:fldCharType="end"/>
      </w:r>
    </w:p>
    <w:p w:rsidR="00AF414F" w:rsidRPr="00AF414F" w:rsidRDefault="00AF414F" w:rsidP="00AF414F">
      <w:r w:rsidRPr="00AF414F">
        <w:t>SOF, GS-331007(the primary metabolite of SOF), VEL and VOX are not inhibitors or inducers of CYP or IGT1A1 enzymes.</w:t>
      </w:r>
      <w:r w:rsidR="003925CF" w:rsidRPr="003925CF">
        <w:rPr>
          <w:vertAlign w:val="superscript"/>
        </w:rPr>
        <w:fldChar w:fldCharType="begin"/>
      </w:r>
      <w:r w:rsidR="003925CF" w:rsidRPr="003925CF">
        <w:rPr>
          <w:vertAlign w:val="superscript"/>
        </w:rPr>
        <w:instrText xml:space="preserve"> NOTEREF _Ref529347436 \h </w:instrText>
      </w:r>
      <w:r w:rsidR="003925CF">
        <w:rPr>
          <w:vertAlign w:val="superscript"/>
        </w:rPr>
        <w:instrText xml:space="preserve"> \* MERGEFORMAT </w:instrText>
      </w:r>
      <w:r w:rsidR="003925CF" w:rsidRPr="003925CF">
        <w:rPr>
          <w:vertAlign w:val="superscript"/>
        </w:rPr>
      </w:r>
      <w:r w:rsidR="003925CF" w:rsidRPr="003925CF">
        <w:rPr>
          <w:vertAlign w:val="superscript"/>
        </w:rPr>
        <w:fldChar w:fldCharType="separate"/>
      </w:r>
      <w:r w:rsidR="003925CF" w:rsidRPr="003925CF">
        <w:rPr>
          <w:vertAlign w:val="superscript"/>
        </w:rPr>
        <w:t>56</w:t>
      </w:r>
      <w:r w:rsidR="003925CF" w:rsidRPr="003925CF">
        <w:rPr>
          <w:vertAlign w:val="superscript"/>
        </w:rPr>
        <w:fldChar w:fldCharType="end"/>
      </w:r>
    </w:p>
    <w:p w:rsidR="00AF414F" w:rsidRPr="00AF414F" w:rsidRDefault="00AF414F" w:rsidP="00AF414F">
      <w:r w:rsidRPr="00AF414F">
        <w:t>Clinically important drug interactions include inducers of P-</w:t>
      </w:r>
      <w:proofErr w:type="spellStart"/>
      <w:r w:rsidR="003925CF">
        <w:t>gp</w:t>
      </w:r>
      <w:proofErr w:type="spellEnd"/>
      <w:r w:rsidRPr="00AF414F">
        <w:t xml:space="preserve"> and moderate or potent inducers of CYP2B6, 2C8 and 3A4 (</w:t>
      </w:r>
      <w:r w:rsidR="003925CF">
        <w:t>for example,</w:t>
      </w:r>
      <w:r w:rsidRPr="00AF414F">
        <w:t xml:space="preserve"> rifampicin, carbamazepine and St John’s Wort) leading to reduced therapeutic effect of </w:t>
      </w:r>
      <w:r w:rsidR="00476CD0">
        <w:t>Vosevi</w:t>
      </w:r>
      <w:r w:rsidRPr="00AF414F">
        <w:t>. Use of OATP inhibitors such as cyclosporine is not recommended, due to increased concentration of voxilaprevir.</w:t>
      </w:r>
    </w:p>
    <w:p w:rsidR="00AF414F" w:rsidRPr="00AF414F" w:rsidRDefault="00266334" w:rsidP="00A95AB7">
      <w:r>
        <w:t>T</w:t>
      </w:r>
      <w:r w:rsidR="00AF414F" w:rsidRPr="00AF414F">
        <w:t xml:space="preserve">he </w:t>
      </w:r>
      <w:r w:rsidR="003925CF">
        <w:t>c</w:t>
      </w:r>
      <w:r w:rsidR="00AF414F" w:rsidRPr="00AF414F">
        <w:t xml:space="preserve">linical evaluator was not satisfied with the presentation of the drug-drug interaction data in the proposed PI, including Tables 5 and 12. Following the </w:t>
      </w:r>
      <w:r w:rsidR="003925CF">
        <w:t>second round</w:t>
      </w:r>
      <w:r w:rsidR="00AF414F" w:rsidRPr="00AF414F">
        <w:t xml:space="preserve"> evaluation, most issues were clarified by the </w:t>
      </w:r>
      <w:r w:rsidR="000D5C0A">
        <w:t>sponsor</w:t>
      </w:r>
      <w:r w:rsidR="00AF414F" w:rsidRPr="00AF414F">
        <w:t xml:space="preserve">. The Delegate requests that the sponsor addresses the outstanding concerns of the evaluator </w:t>
      </w:r>
      <w:r w:rsidR="003925CF">
        <w:t>and that drugs which are contra</w:t>
      </w:r>
      <w:r w:rsidR="00AF414F" w:rsidRPr="00AF414F">
        <w:t xml:space="preserve">indicated with </w:t>
      </w:r>
      <w:r w:rsidR="00476CD0">
        <w:t>Vosevi</w:t>
      </w:r>
      <w:r w:rsidR="00AF414F" w:rsidRPr="00AF414F">
        <w:t xml:space="preserve"> be made consi</w:t>
      </w:r>
      <w:r w:rsidR="003925CF">
        <w:t>stent with overseas regulators.</w:t>
      </w:r>
    </w:p>
    <w:p w:rsidR="00AF414F" w:rsidRPr="00AF414F" w:rsidRDefault="00AC0F8C" w:rsidP="006D3CFD">
      <w:pPr>
        <w:pStyle w:val="TableTitle"/>
      </w:pPr>
      <w:r>
        <w:lastRenderedPageBreak/>
        <w:t>Table 32</w:t>
      </w:r>
      <w:r w:rsidR="00DD2514">
        <w:t xml:space="preserve">: </w:t>
      </w:r>
      <w:r w:rsidR="00AF414F" w:rsidRPr="00AF414F">
        <w:t>Substrate and inhibition profiles of VOX, VEL, SOF and GS-331007 for enzymes and transporters</w:t>
      </w:r>
      <w:proofErr w:type="gramStart"/>
      <w:r w:rsidR="00266334">
        <w:t>;</w:t>
      </w:r>
      <w:proofErr w:type="gramEnd"/>
      <w:r w:rsidR="003925CF" w:rsidRPr="003925CF">
        <w:rPr>
          <w:vertAlign w:val="superscript"/>
        </w:rPr>
        <w:fldChar w:fldCharType="begin"/>
      </w:r>
      <w:r w:rsidR="003925CF" w:rsidRPr="003925CF">
        <w:rPr>
          <w:vertAlign w:val="superscript"/>
        </w:rPr>
        <w:instrText xml:space="preserve"> NOTEREF _Ref529348264 \h </w:instrText>
      </w:r>
      <w:r w:rsidR="003925CF">
        <w:rPr>
          <w:vertAlign w:val="superscript"/>
        </w:rPr>
        <w:instrText xml:space="preserve"> \* MERGEFORMAT </w:instrText>
      </w:r>
      <w:r w:rsidR="003925CF" w:rsidRPr="003925CF">
        <w:rPr>
          <w:vertAlign w:val="superscript"/>
        </w:rPr>
      </w:r>
      <w:r w:rsidR="003925CF" w:rsidRPr="003925CF">
        <w:rPr>
          <w:vertAlign w:val="superscript"/>
        </w:rPr>
        <w:fldChar w:fldCharType="separate"/>
      </w:r>
      <w:r w:rsidR="003925CF" w:rsidRPr="003925CF">
        <w:rPr>
          <w:vertAlign w:val="superscript"/>
        </w:rPr>
        <w:t>54</w:t>
      </w:r>
      <w:r w:rsidR="003925CF" w:rsidRPr="003925CF">
        <w:rPr>
          <w:vertAlign w:val="superscript"/>
        </w:rPr>
        <w:fldChar w:fldCharType="end"/>
      </w:r>
      <w:r w:rsidR="003925CF" w:rsidRPr="003925CF">
        <w:rPr>
          <w:vertAlign w:val="superscript"/>
        </w:rPr>
        <w:t>,</w:t>
      </w:r>
      <w:r w:rsidR="003925CF" w:rsidRPr="003925CF">
        <w:rPr>
          <w:vertAlign w:val="superscript"/>
        </w:rPr>
        <w:fldChar w:fldCharType="begin"/>
      </w:r>
      <w:r w:rsidR="003925CF" w:rsidRPr="003925CF">
        <w:rPr>
          <w:vertAlign w:val="superscript"/>
        </w:rPr>
        <w:instrText xml:space="preserve"> NOTEREF _Ref529347436 \h </w:instrText>
      </w:r>
      <w:r w:rsidR="003925CF">
        <w:rPr>
          <w:vertAlign w:val="superscript"/>
        </w:rPr>
        <w:instrText xml:space="preserve"> \* MERGEFORMAT </w:instrText>
      </w:r>
      <w:r w:rsidR="003925CF" w:rsidRPr="003925CF">
        <w:rPr>
          <w:vertAlign w:val="superscript"/>
        </w:rPr>
      </w:r>
      <w:r w:rsidR="003925CF" w:rsidRPr="003925CF">
        <w:rPr>
          <w:vertAlign w:val="superscript"/>
        </w:rPr>
        <w:fldChar w:fldCharType="separate"/>
      </w:r>
      <w:r w:rsidR="003925CF" w:rsidRPr="003925CF">
        <w:rPr>
          <w:vertAlign w:val="superscript"/>
        </w:rPr>
        <w:t>56</w:t>
      </w:r>
      <w:r w:rsidR="003925CF" w:rsidRPr="003925CF">
        <w:rPr>
          <w:vertAlign w:val="superscript"/>
        </w:rPr>
        <w:fldChar w:fldCharType="end"/>
      </w:r>
    </w:p>
    <w:p w:rsidR="00AF414F" w:rsidRPr="00AF414F" w:rsidRDefault="006D3CFD" w:rsidP="00AF414F">
      <w:r>
        <w:rPr>
          <w:noProof/>
          <w:lang w:eastAsia="en-AU"/>
        </w:rPr>
        <w:drawing>
          <wp:inline distT="0" distB="0" distL="0" distR="0" wp14:anchorId="68AD5393" wp14:editId="5C6C1BDF">
            <wp:extent cx="5305425" cy="2286000"/>
            <wp:effectExtent l="0" t="0" r="9525" b="0"/>
            <wp:docPr id="2" name="Picture 2" descr="Table 32: Substrate and inhibition profiles of VOX, VEL, SOF and GS-331007 for enzymes and transporters 54,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5305425" cy="2286000"/>
                    </a:xfrm>
                    <a:prstGeom prst="rect">
                      <a:avLst/>
                    </a:prstGeom>
                  </pic:spPr>
                </pic:pic>
              </a:graphicData>
            </a:graphic>
          </wp:inline>
        </w:drawing>
      </w:r>
    </w:p>
    <w:p w:rsidR="006D3CFD" w:rsidRPr="006D3CFD" w:rsidRDefault="006D3CFD" w:rsidP="006D3CFD">
      <w:pPr>
        <w:pStyle w:val="Heading4"/>
      </w:pPr>
      <w:r w:rsidRPr="006D3CFD">
        <w:t>Efficacy</w:t>
      </w:r>
    </w:p>
    <w:p w:rsidR="00476CD0" w:rsidRDefault="006D3CFD" w:rsidP="006D3CFD">
      <w:r w:rsidRPr="006D3CFD">
        <w:t xml:space="preserve">Four </w:t>
      </w:r>
      <w:r w:rsidR="00476CD0">
        <w:t>Phase III</w:t>
      </w:r>
      <w:r w:rsidRPr="006D3CFD">
        <w:t xml:space="preserve"> pivotal studies provided the principal efficacy data for the proposed SOF/VEL/VOX</w:t>
      </w:r>
      <w:r w:rsidR="00507436">
        <w:t xml:space="preserve"> treatment regimen. The POLARIS-1 and POLARIS-</w:t>
      </w:r>
      <w:r w:rsidRPr="006D3CFD">
        <w:t xml:space="preserve">4 </w:t>
      </w:r>
      <w:r w:rsidR="00266334">
        <w:t>trials</w:t>
      </w:r>
      <w:r w:rsidR="00266334" w:rsidRPr="006D3CFD">
        <w:t xml:space="preserve"> </w:t>
      </w:r>
      <w:r w:rsidRPr="006D3CFD">
        <w:t xml:space="preserve">evaluated 12 weeks duration of treatment with the proposed fixed dose combination of SOF/VEL/VOX in </w:t>
      </w:r>
      <w:r w:rsidR="00CE0E69">
        <w:t>DAA experienced</w:t>
      </w:r>
      <w:r w:rsidR="00507436">
        <w:t xml:space="preserve"> HCV patients while the POLARIS-2 and POLARIS-</w:t>
      </w:r>
      <w:r w:rsidRPr="006D3CFD">
        <w:t xml:space="preserve">3 </w:t>
      </w:r>
      <w:r w:rsidR="00266334">
        <w:t>trials</w:t>
      </w:r>
      <w:r w:rsidR="00266334" w:rsidRPr="006D3CFD">
        <w:t xml:space="preserve"> </w:t>
      </w:r>
      <w:r w:rsidRPr="006D3CFD">
        <w:t>evaluated efficacy of 8 weeks tr</w:t>
      </w:r>
      <w:r w:rsidR="003925CF">
        <w:t xml:space="preserve">eatment with SOF/VEL/VOX in DAA </w:t>
      </w:r>
      <w:r w:rsidR="003A5113">
        <w:t>treatment naïve</w:t>
      </w:r>
      <w:r w:rsidRPr="006D3CFD">
        <w:t xml:space="preserve"> HCV patients. Each of these pivotal studies shared a number of common inclusion and exclusion criteria and endpoints</w:t>
      </w:r>
      <w:r w:rsidR="00476CD0">
        <w:t>.</w:t>
      </w:r>
    </w:p>
    <w:p w:rsidR="006D3CFD" w:rsidRPr="006D3CFD" w:rsidRDefault="006D3CFD" w:rsidP="006D3CFD">
      <w:r w:rsidRPr="006D3CFD">
        <w:t xml:space="preserve">Four supportive </w:t>
      </w:r>
      <w:r w:rsidR="003925CF">
        <w:t>Phase II</w:t>
      </w:r>
      <w:r w:rsidRPr="006D3CFD">
        <w:t xml:space="preserve"> studies were also provided:</w:t>
      </w:r>
    </w:p>
    <w:p w:rsidR="00476CD0" w:rsidRDefault="00266334" w:rsidP="003925CF">
      <w:pPr>
        <w:pStyle w:val="Numberbullet0"/>
        <w:numPr>
          <w:ilvl w:val="0"/>
          <w:numId w:val="21"/>
        </w:numPr>
      </w:pPr>
      <w:r>
        <w:t xml:space="preserve">Study </w:t>
      </w:r>
      <w:r w:rsidR="006D3CFD" w:rsidRPr="006D3CFD">
        <w:t>GS-US-337-1468 (LEPTON</w:t>
      </w:r>
      <w:r>
        <w:t xml:space="preserve"> trial</w:t>
      </w:r>
      <w:r w:rsidR="006D3CFD" w:rsidRPr="006D3CFD">
        <w:t xml:space="preserve">): A </w:t>
      </w:r>
      <w:r w:rsidR="00476CD0">
        <w:t>Phase II</w:t>
      </w:r>
      <w:r w:rsidR="006D3CFD" w:rsidRPr="006D3CFD">
        <w:t xml:space="preserve">, </w:t>
      </w:r>
      <w:r w:rsidR="009461C2" w:rsidRPr="006D3CFD">
        <w:t xml:space="preserve">multicentre, </w:t>
      </w:r>
      <w:r w:rsidR="009461C2">
        <w:t>open label</w:t>
      </w:r>
      <w:r w:rsidR="009461C2" w:rsidRPr="006D3CFD">
        <w:t xml:space="preserve"> study to assess the efficacy and safety of oral regimens for the treatment of chronic </w:t>
      </w:r>
      <w:r w:rsidR="006D3CFD" w:rsidRPr="006D3CFD">
        <w:t xml:space="preserve">HCV </w:t>
      </w:r>
      <w:r w:rsidR="009461C2">
        <w:t>i</w:t>
      </w:r>
      <w:r w:rsidR="006D3CFD" w:rsidRPr="006D3CFD">
        <w:t>nfection</w:t>
      </w:r>
      <w:r w:rsidR="00476CD0">
        <w:t>.</w:t>
      </w:r>
    </w:p>
    <w:p w:rsidR="006D3CFD" w:rsidRPr="006D3CFD" w:rsidRDefault="00266334" w:rsidP="003925CF">
      <w:pPr>
        <w:pStyle w:val="Numberbullet0"/>
        <w:numPr>
          <w:ilvl w:val="0"/>
          <w:numId w:val="21"/>
        </w:numPr>
      </w:pPr>
      <w:r>
        <w:t xml:space="preserve">Study </w:t>
      </w:r>
      <w:r w:rsidR="006D3CFD" w:rsidRPr="006D3CFD">
        <w:t xml:space="preserve">GS-US-367-1168: A </w:t>
      </w:r>
      <w:r w:rsidR="00476CD0">
        <w:t>Phase II</w:t>
      </w:r>
      <w:r w:rsidR="006D3CFD" w:rsidRPr="006D3CFD">
        <w:t xml:space="preserve">, </w:t>
      </w:r>
      <w:r w:rsidR="009461C2" w:rsidRPr="006D3CFD">
        <w:t xml:space="preserve">global, multicentre, </w:t>
      </w:r>
      <w:r w:rsidR="009461C2">
        <w:t>open label</w:t>
      </w:r>
      <w:r w:rsidR="009461C2" w:rsidRPr="006D3CFD">
        <w:t xml:space="preserve"> study to investigate the safety and efficacy </w:t>
      </w:r>
      <w:r w:rsidR="006D3CFD" w:rsidRPr="006D3CFD">
        <w:t xml:space="preserve">of GS-9857 </w:t>
      </w:r>
      <w:r w:rsidR="009461C2">
        <w:t>p</w:t>
      </w:r>
      <w:r w:rsidR="006D3CFD" w:rsidRPr="006D3CFD">
        <w:t xml:space="preserve">lus </w:t>
      </w:r>
      <w:r w:rsidR="00F45B1B">
        <w:t>sofosbuvir</w:t>
      </w:r>
      <w:r w:rsidR="006D3CFD" w:rsidRPr="006D3CFD">
        <w:t xml:space="preserve">/GS-5816 </w:t>
      </w:r>
      <w:r w:rsidR="009461C2" w:rsidRPr="006D3CFD">
        <w:t>fixed dose combination in subjects with chronic ge</w:t>
      </w:r>
      <w:r w:rsidR="006D3CFD" w:rsidRPr="006D3CFD">
        <w:t xml:space="preserve">notype 1 HCV </w:t>
      </w:r>
      <w:r w:rsidR="009461C2">
        <w:t>i</w:t>
      </w:r>
      <w:r w:rsidR="006D3CFD" w:rsidRPr="006D3CFD">
        <w:t>nfection.</w:t>
      </w:r>
    </w:p>
    <w:p w:rsidR="006D3CFD" w:rsidRPr="006D3CFD" w:rsidRDefault="00266334" w:rsidP="003925CF">
      <w:pPr>
        <w:pStyle w:val="Numberbullet0"/>
        <w:numPr>
          <w:ilvl w:val="0"/>
          <w:numId w:val="21"/>
        </w:numPr>
      </w:pPr>
      <w:r>
        <w:t xml:space="preserve">Study </w:t>
      </w:r>
      <w:r w:rsidR="006D3CFD" w:rsidRPr="006D3CFD">
        <w:t>GS-US-367-1169:</w:t>
      </w:r>
      <w:r w:rsidR="00476CD0">
        <w:t xml:space="preserve"> </w:t>
      </w:r>
      <w:r w:rsidR="006D3CFD" w:rsidRPr="006D3CFD">
        <w:t xml:space="preserve">A </w:t>
      </w:r>
      <w:r w:rsidR="00476CD0">
        <w:t>Phase II</w:t>
      </w:r>
      <w:r w:rsidR="006D3CFD" w:rsidRPr="006D3CFD">
        <w:t xml:space="preserve">, </w:t>
      </w:r>
      <w:r w:rsidR="009461C2" w:rsidRPr="006D3CFD">
        <w:t xml:space="preserve">global, multicentre, </w:t>
      </w:r>
      <w:r w:rsidR="009461C2">
        <w:t>open label</w:t>
      </w:r>
      <w:r w:rsidR="009461C2" w:rsidRPr="006D3CFD">
        <w:t xml:space="preserve"> study to investigate the safety and efficacy o</w:t>
      </w:r>
      <w:r w:rsidR="006D3CFD" w:rsidRPr="006D3CFD">
        <w:t xml:space="preserve">f GS-9857 </w:t>
      </w:r>
      <w:r w:rsidR="009461C2">
        <w:t>p</w:t>
      </w:r>
      <w:r w:rsidR="006D3CFD" w:rsidRPr="006D3CFD">
        <w:t xml:space="preserve">lus </w:t>
      </w:r>
      <w:r w:rsidR="00F45B1B">
        <w:t>sofosbuvir</w:t>
      </w:r>
      <w:r w:rsidR="006D3CFD" w:rsidRPr="006D3CFD">
        <w:t xml:space="preserve">/GS-5816 </w:t>
      </w:r>
      <w:r w:rsidR="009461C2" w:rsidRPr="006D3CFD">
        <w:t>fixed dose combination in subjects with chronic n</w:t>
      </w:r>
      <w:r w:rsidR="009461C2">
        <w:t>on-genotype 1 HCV i</w:t>
      </w:r>
      <w:r w:rsidR="006D3CFD" w:rsidRPr="006D3CFD">
        <w:t>nfection.</w:t>
      </w:r>
    </w:p>
    <w:p w:rsidR="006D3CFD" w:rsidRPr="006D3CFD" w:rsidRDefault="00266334" w:rsidP="003925CF">
      <w:pPr>
        <w:pStyle w:val="Numberbullet0"/>
        <w:numPr>
          <w:ilvl w:val="0"/>
          <w:numId w:val="21"/>
        </w:numPr>
      </w:pPr>
      <w:r>
        <w:t xml:space="preserve">Study </w:t>
      </w:r>
      <w:r w:rsidR="006D3CFD" w:rsidRPr="006D3CFD">
        <w:t xml:space="preserve">GS-US-367-1871: A </w:t>
      </w:r>
      <w:r w:rsidR="00476CD0">
        <w:t>Phase II</w:t>
      </w:r>
      <w:r w:rsidR="006D3CFD" w:rsidRPr="006D3CFD">
        <w:t xml:space="preserve">, </w:t>
      </w:r>
      <w:r w:rsidR="009461C2">
        <w:t>open label</w:t>
      </w:r>
      <w:r w:rsidR="009461C2" w:rsidRPr="006D3CFD">
        <w:t xml:space="preserve"> study to investigate the safety and efficacy </w:t>
      </w:r>
      <w:r w:rsidR="006D3CFD" w:rsidRPr="006D3CFD">
        <w:t xml:space="preserve">of </w:t>
      </w:r>
      <w:r w:rsidR="00F45B1B">
        <w:t>sofosbuvir</w:t>
      </w:r>
      <w:r w:rsidR="006D3CFD" w:rsidRPr="006D3CFD">
        <w:t xml:space="preserve">/GS-5816/GS-9857 </w:t>
      </w:r>
      <w:r w:rsidR="009461C2">
        <w:t>f</w:t>
      </w:r>
      <w:r w:rsidR="00D43BF2">
        <w:t>ixed dose</w:t>
      </w:r>
      <w:r w:rsidR="006D3CFD" w:rsidRPr="006D3CFD">
        <w:t xml:space="preserve"> </w:t>
      </w:r>
      <w:r w:rsidR="009461C2" w:rsidRPr="006D3CFD">
        <w:t xml:space="preserve">combination with or without ribavirin in subjects with chronic genotype </w:t>
      </w:r>
      <w:r w:rsidR="006D3CFD" w:rsidRPr="006D3CFD">
        <w:t xml:space="preserve">1 HCV </w:t>
      </w:r>
      <w:r w:rsidR="009461C2" w:rsidRPr="006D3CFD">
        <w:t>infection previously treated with a direct acting antiviral reg</w:t>
      </w:r>
      <w:r w:rsidR="006D3CFD" w:rsidRPr="006D3CFD">
        <w:t>imen</w:t>
      </w:r>
    </w:p>
    <w:p w:rsidR="006D3CFD" w:rsidRPr="00AF1907" w:rsidRDefault="00AC0F8C" w:rsidP="00266334">
      <w:pPr>
        <w:pStyle w:val="TableTitle"/>
      </w:pPr>
      <w:r>
        <w:t>Table 33</w:t>
      </w:r>
      <w:r w:rsidR="006D3CFD">
        <w:t xml:space="preserve">: </w:t>
      </w:r>
      <w:r w:rsidR="006D3CFD" w:rsidRPr="00AF1907">
        <w:t xml:space="preserve">Overview of </w:t>
      </w:r>
      <w:r w:rsidR="00476CD0">
        <w:t>Phase III</w:t>
      </w:r>
      <w:r w:rsidR="006D3CFD" w:rsidRPr="00AF1907">
        <w:t xml:space="preserve"> trials</w:t>
      </w:r>
    </w:p>
    <w:tbl>
      <w:tblPr>
        <w:tblStyle w:val="TableTGAblue"/>
        <w:tblW w:w="8696" w:type="dxa"/>
        <w:tblLook w:val="04A0" w:firstRow="1" w:lastRow="0" w:firstColumn="1" w:lastColumn="0" w:noHBand="0" w:noVBand="1"/>
      </w:tblPr>
      <w:tblGrid>
        <w:gridCol w:w="1524"/>
        <w:gridCol w:w="1494"/>
        <w:gridCol w:w="1518"/>
        <w:gridCol w:w="1543"/>
        <w:gridCol w:w="1338"/>
        <w:gridCol w:w="1303"/>
      </w:tblGrid>
      <w:tr w:rsidR="006D3CFD" w:rsidRPr="00FF619F" w:rsidTr="00FF619F">
        <w:trPr>
          <w:cnfStyle w:val="100000000000" w:firstRow="1" w:lastRow="0" w:firstColumn="0" w:lastColumn="0" w:oddVBand="0" w:evenVBand="0" w:oddHBand="0" w:evenHBand="0" w:firstRowFirstColumn="0" w:firstRowLastColumn="0" w:lastRowFirstColumn="0" w:lastRowLastColumn="0"/>
          <w:cantSplit/>
          <w:trHeight w:val="150"/>
        </w:trPr>
        <w:tc>
          <w:tcPr>
            <w:tcW w:w="1337" w:type="dxa"/>
          </w:tcPr>
          <w:p w:rsidR="006D3CFD" w:rsidRPr="00FF619F" w:rsidRDefault="006D3CFD" w:rsidP="00FF619F">
            <w:pPr>
              <w:ind w:left="0"/>
              <w:rPr>
                <w:sz w:val="20"/>
                <w:szCs w:val="20"/>
              </w:rPr>
            </w:pPr>
            <w:r w:rsidRPr="00FF619F">
              <w:rPr>
                <w:sz w:val="20"/>
                <w:szCs w:val="20"/>
              </w:rPr>
              <w:t>Study and dates</w:t>
            </w:r>
          </w:p>
        </w:tc>
        <w:tc>
          <w:tcPr>
            <w:tcW w:w="1548" w:type="dxa"/>
          </w:tcPr>
          <w:p w:rsidR="006D3CFD" w:rsidRPr="00FF619F" w:rsidRDefault="006D3CFD" w:rsidP="00FF619F">
            <w:pPr>
              <w:ind w:left="8"/>
              <w:rPr>
                <w:b w:val="0"/>
                <w:color w:val="auto"/>
                <w:sz w:val="20"/>
                <w:szCs w:val="20"/>
                <w:lang w:eastAsia="en-US"/>
              </w:rPr>
            </w:pPr>
            <w:r w:rsidRPr="00FF619F">
              <w:rPr>
                <w:sz w:val="20"/>
                <w:szCs w:val="20"/>
              </w:rPr>
              <w:t>Design</w:t>
            </w:r>
          </w:p>
        </w:tc>
        <w:tc>
          <w:tcPr>
            <w:tcW w:w="1582" w:type="dxa"/>
          </w:tcPr>
          <w:p w:rsidR="006D3CFD" w:rsidRPr="00FF619F" w:rsidRDefault="006D3CFD" w:rsidP="00FF619F">
            <w:pPr>
              <w:ind w:left="0"/>
              <w:rPr>
                <w:b w:val="0"/>
                <w:color w:val="auto"/>
                <w:sz w:val="20"/>
                <w:szCs w:val="20"/>
                <w:lang w:eastAsia="en-US"/>
              </w:rPr>
            </w:pPr>
            <w:r w:rsidRPr="00FF619F">
              <w:rPr>
                <w:sz w:val="20"/>
                <w:szCs w:val="20"/>
              </w:rPr>
              <w:t>Population</w:t>
            </w:r>
          </w:p>
        </w:tc>
        <w:tc>
          <w:tcPr>
            <w:tcW w:w="1551" w:type="dxa"/>
          </w:tcPr>
          <w:p w:rsidR="006D3CFD" w:rsidRPr="00FF619F" w:rsidRDefault="006D3CFD" w:rsidP="00FF619F">
            <w:pPr>
              <w:ind w:left="54"/>
              <w:rPr>
                <w:b w:val="0"/>
                <w:color w:val="auto"/>
                <w:sz w:val="20"/>
                <w:szCs w:val="20"/>
                <w:lang w:eastAsia="en-US"/>
              </w:rPr>
            </w:pPr>
            <w:r w:rsidRPr="00FF619F">
              <w:rPr>
                <w:sz w:val="20"/>
                <w:szCs w:val="20"/>
              </w:rPr>
              <w:t>Number of subjects randomised and treated</w:t>
            </w:r>
          </w:p>
        </w:tc>
        <w:tc>
          <w:tcPr>
            <w:tcW w:w="1325" w:type="dxa"/>
          </w:tcPr>
          <w:p w:rsidR="006D3CFD" w:rsidRPr="00FF619F" w:rsidRDefault="006D3CFD" w:rsidP="00FF619F">
            <w:pPr>
              <w:ind w:left="62"/>
              <w:rPr>
                <w:b w:val="0"/>
                <w:color w:val="auto"/>
                <w:sz w:val="20"/>
                <w:szCs w:val="20"/>
                <w:lang w:eastAsia="en-US"/>
              </w:rPr>
            </w:pPr>
            <w:r w:rsidRPr="00FF619F">
              <w:rPr>
                <w:sz w:val="20"/>
                <w:szCs w:val="20"/>
              </w:rPr>
              <w:t>Study duration</w:t>
            </w:r>
          </w:p>
        </w:tc>
        <w:tc>
          <w:tcPr>
            <w:tcW w:w="1353" w:type="dxa"/>
          </w:tcPr>
          <w:p w:rsidR="006D3CFD" w:rsidRPr="00FF619F" w:rsidRDefault="006D3CFD" w:rsidP="00FF619F">
            <w:pPr>
              <w:ind w:left="0"/>
              <w:rPr>
                <w:b w:val="0"/>
                <w:color w:val="auto"/>
                <w:sz w:val="20"/>
                <w:szCs w:val="20"/>
                <w:lang w:eastAsia="en-US"/>
              </w:rPr>
            </w:pPr>
            <w:r w:rsidRPr="00FF619F">
              <w:rPr>
                <w:sz w:val="20"/>
                <w:szCs w:val="20"/>
              </w:rPr>
              <w:t>Status</w:t>
            </w:r>
          </w:p>
        </w:tc>
      </w:tr>
      <w:tr w:rsidR="006D3CFD" w:rsidRPr="00FF619F" w:rsidTr="00FF619F">
        <w:trPr>
          <w:trHeight w:val="150"/>
        </w:trPr>
        <w:tc>
          <w:tcPr>
            <w:tcW w:w="1337" w:type="dxa"/>
          </w:tcPr>
          <w:p w:rsidR="006D3CFD" w:rsidRPr="00FF619F" w:rsidRDefault="00507436" w:rsidP="00FF619F">
            <w:pPr>
              <w:ind w:left="0"/>
              <w:rPr>
                <w:color w:val="auto"/>
                <w:sz w:val="20"/>
                <w:szCs w:val="20"/>
                <w:lang w:eastAsia="en-US"/>
              </w:rPr>
            </w:pPr>
            <w:r w:rsidRPr="00FF619F">
              <w:rPr>
                <w:sz w:val="20"/>
                <w:szCs w:val="20"/>
              </w:rPr>
              <w:t>GS-US-367-1171 (POLARIS</w:t>
            </w:r>
            <w:r w:rsidRPr="00FF619F">
              <w:rPr>
                <w:sz w:val="20"/>
                <w:szCs w:val="20"/>
              </w:rPr>
              <w:noBreakHyphen/>
            </w:r>
            <w:r w:rsidR="006D3CFD" w:rsidRPr="00FF619F">
              <w:rPr>
                <w:sz w:val="20"/>
                <w:szCs w:val="20"/>
              </w:rPr>
              <w:t>1),</w:t>
            </w:r>
            <w:r w:rsidR="009461C2" w:rsidRPr="00FF619F">
              <w:rPr>
                <w:sz w:val="20"/>
                <w:szCs w:val="20"/>
              </w:rPr>
              <w:t xml:space="preserve"> </w:t>
            </w:r>
            <w:r w:rsidR="006D3CFD" w:rsidRPr="00FF619F">
              <w:rPr>
                <w:sz w:val="20"/>
                <w:szCs w:val="20"/>
              </w:rPr>
              <w:t xml:space="preserve">Nov 2015 to </w:t>
            </w:r>
            <w:r w:rsidR="006D3CFD" w:rsidRPr="00FF619F">
              <w:rPr>
                <w:sz w:val="20"/>
                <w:szCs w:val="20"/>
              </w:rPr>
              <w:lastRenderedPageBreak/>
              <w:t>Oct 2016</w:t>
            </w:r>
          </w:p>
        </w:tc>
        <w:tc>
          <w:tcPr>
            <w:tcW w:w="1548" w:type="dxa"/>
          </w:tcPr>
          <w:p w:rsidR="006D3CFD" w:rsidRPr="00FF619F" w:rsidRDefault="006D3CFD" w:rsidP="00FF619F">
            <w:pPr>
              <w:ind w:left="8"/>
              <w:rPr>
                <w:color w:val="auto"/>
                <w:sz w:val="20"/>
                <w:szCs w:val="20"/>
                <w:lang w:eastAsia="en-US"/>
              </w:rPr>
            </w:pPr>
            <w:r w:rsidRPr="00FF619F">
              <w:rPr>
                <w:sz w:val="20"/>
                <w:szCs w:val="20"/>
              </w:rPr>
              <w:lastRenderedPageBreak/>
              <w:t xml:space="preserve">Randomised, </w:t>
            </w:r>
            <w:r w:rsidR="00CE0E69" w:rsidRPr="00FF619F">
              <w:rPr>
                <w:sz w:val="20"/>
                <w:szCs w:val="20"/>
              </w:rPr>
              <w:t>double blind</w:t>
            </w:r>
            <w:r w:rsidRPr="00FF619F">
              <w:rPr>
                <w:sz w:val="20"/>
                <w:szCs w:val="20"/>
              </w:rPr>
              <w:t xml:space="preserve">, </w:t>
            </w:r>
            <w:r w:rsidR="00CE0E69" w:rsidRPr="00FF619F">
              <w:rPr>
                <w:sz w:val="20"/>
                <w:szCs w:val="20"/>
              </w:rPr>
              <w:t xml:space="preserve">placebo </w:t>
            </w:r>
            <w:r w:rsidR="00CE0E69" w:rsidRPr="00FF619F">
              <w:rPr>
                <w:sz w:val="20"/>
                <w:szCs w:val="20"/>
              </w:rPr>
              <w:lastRenderedPageBreak/>
              <w:t>controlled</w:t>
            </w:r>
            <w:r w:rsidR="009461C2" w:rsidRPr="00FF619F">
              <w:rPr>
                <w:sz w:val="20"/>
                <w:szCs w:val="20"/>
              </w:rPr>
              <w:t>, multicentre</w:t>
            </w:r>
          </w:p>
        </w:tc>
        <w:tc>
          <w:tcPr>
            <w:tcW w:w="1582" w:type="dxa"/>
          </w:tcPr>
          <w:p w:rsidR="006D3CFD" w:rsidRPr="00FF619F" w:rsidRDefault="006D3CFD" w:rsidP="00FF619F">
            <w:pPr>
              <w:ind w:left="0"/>
              <w:rPr>
                <w:color w:val="auto"/>
                <w:sz w:val="20"/>
                <w:szCs w:val="20"/>
                <w:lang w:eastAsia="en-US"/>
              </w:rPr>
            </w:pPr>
            <w:r w:rsidRPr="00FF619F">
              <w:rPr>
                <w:sz w:val="20"/>
                <w:szCs w:val="20"/>
              </w:rPr>
              <w:lastRenderedPageBreak/>
              <w:t xml:space="preserve">NS5A </w:t>
            </w:r>
            <w:r w:rsidR="009461C2" w:rsidRPr="00FF619F">
              <w:rPr>
                <w:sz w:val="20"/>
                <w:szCs w:val="20"/>
              </w:rPr>
              <w:t xml:space="preserve">inhibitor DAA experienced </w:t>
            </w:r>
            <w:r w:rsidR="009461C2" w:rsidRPr="00FF619F">
              <w:rPr>
                <w:sz w:val="20"/>
                <w:szCs w:val="20"/>
              </w:rPr>
              <w:lastRenderedPageBreak/>
              <w:t>GT 1-</w:t>
            </w:r>
            <w:r w:rsidRPr="00FF619F">
              <w:rPr>
                <w:sz w:val="20"/>
                <w:szCs w:val="20"/>
              </w:rPr>
              <w:t>6 patients without cirrhosis or with compensated cirrhosis</w:t>
            </w:r>
          </w:p>
        </w:tc>
        <w:tc>
          <w:tcPr>
            <w:tcW w:w="1551" w:type="dxa"/>
          </w:tcPr>
          <w:p w:rsidR="006D3CFD" w:rsidRPr="00FF619F" w:rsidRDefault="006D3CFD" w:rsidP="00FF619F">
            <w:pPr>
              <w:ind w:left="54"/>
              <w:rPr>
                <w:color w:val="auto"/>
                <w:sz w:val="20"/>
                <w:szCs w:val="20"/>
                <w:lang w:eastAsia="en-US"/>
              </w:rPr>
            </w:pPr>
            <w:r w:rsidRPr="00FF619F">
              <w:rPr>
                <w:sz w:val="20"/>
                <w:szCs w:val="20"/>
              </w:rPr>
              <w:lastRenderedPageBreak/>
              <w:t>416</w:t>
            </w:r>
          </w:p>
        </w:tc>
        <w:tc>
          <w:tcPr>
            <w:tcW w:w="1325" w:type="dxa"/>
          </w:tcPr>
          <w:p w:rsidR="006D3CFD" w:rsidRPr="00FF619F" w:rsidRDefault="006D3CFD" w:rsidP="00FF619F">
            <w:pPr>
              <w:ind w:left="62"/>
              <w:rPr>
                <w:color w:val="auto"/>
                <w:sz w:val="20"/>
                <w:szCs w:val="20"/>
                <w:lang w:eastAsia="en-US"/>
              </w:rPr>
            </w:pPr>
            <w:r w:rsidRPr="00FF619F">
              <w:rPr>
                <w:sz w:val="20"/>
                <w:szCs w:val="20"/>
              </w:rPr>
              <w:t xml:space="preserve">12 weeks treatment, up to 24 weeks </w:t>
            </w:r>
            <w:r w:rsidRPr="00FF619F">
              <w:rPr>
                <w:sz w:val="20"/>
                <w:szCs w:val="20"/>
              </w:rPr>
              <w:lastRenderedPageBreak/>
              <w:t>post-treatment follow-up</w:t>
            </w:r>
          </w:p>
        </w:tc>
        <w:tc>
          <w:tcPr>
            <w:tcW w:w="1353" w:type="dxa"/>
          </w:tcPr>
          <w:p w:rsidR="006D3CFD" w:rsidRPr="00FF619F" w:rsidRDefault="006D3CFD" w:rsidP="00FF619F">
            <w:pPr>
              <w:ind w:left="0"/>
              <w:rPr>
                <w:color w:val="auto"/>
                <w:sz w:val="20"/>
                <w:szCs w:val="20"/>
                <w:lang w:eastAsia="en-US"/>
              </w:rPr>
            </w:pPr>
            <w:r w:rsidRPr="00FF619F">
              <w:rPr>
                <w:sz w:val="20"/>
                <w:szCs w:val="20"/>
              </w:rPr>
              <w:lastRenderedPageBreak/>
              <w:t>Completed</w:t>
            </w:r>
          </w:p>
        </w:tc>
      </w:tr>
      <w:tr w:rsidR="006D3CFD" w:rsidRPr="00FF619F" w:rsidTr="00FF619F">
        <w:trPr>
          <w:trHeight w:val="150"/>
        </w:trPr>
        <w:tc>
          <w:tcPr>
            <w:tcW w:w="1337" w:type="dxa"/>
          </w:tcPr>
          <w:p w:rsidR="006D3CFD" w:rsidRPr="00FF619F" w:rsidRDefault="006D3CFD" w:rsidP="00FF619F">
            <w:pPr>
              <w:ind w:left="0"/>
              <w:rPr>
                <w:color w:val="auto"/>
                <w:sz w:val="20"/>
                <w:szCs w:val="20"/>
                <w:lang w:eastAsia="en-US"/>
              </w:rPr>
            </w:pPr>
            <w:r w:rsidRPr="00FF619F">
              <w:rPr>
                <w:sz w:val="20"/>
                <w:szCs w:val="20"/>
              </w:rPr>
              <w:lastRenderedPageBreak/>
              <w:t>GS-</w:t>
            </w:r>
            <w:r w:rsidR="00507436" w:rsidRPr="00FF619F">
              <w:rPr>
                <w:sz w:val="20"/>
                <w:szCs w:val="20"/>
              </w:rPr>
              <w:t>US-367-1170 (POLARIS-</w:t>
            </w:r>
            <w:r w:rsidRPr="00FF619F">
              <w:rPr>
                <w:sz w:val="20"/>
                <w:szCs w:val="20"/>
              </w:rPr>
              <w:t>4)</w:t>
            </w:r>
            <w:r w:rsidR="009461C2" w:rsidRPr="00FF619F">
              <w:rPr>
                <w:sz w:val="20"/>
                <w:szCs w:val="20"/>
              </w:rPr>
              <w:t xml:space="preserve"> </w:t>
            </w:r>
            <w:r w:rsidRPr="00FF619F">
              <w:rPr>
                <w:sz w:val="20"/>
                <w:szCs w:val="20"/>
              </w:rPr>
              <w:t>Dec 2015 to Oct 2016</w:t>
            </w:r>
          </w:p>
        </w:tc>
        <w:tc>
          <w:tcPr>
            <w:tcW w:w="1548" w:type="dxa"/>
          </w:tcPr>
          <w:p w:rsidR="006D3CFD" w:rsidRPr="00FF619F" w:rsidRDefault="006D3CFD" w:rsidP="00FF619F">
            <w:pPr>
              <w:ind w:left="8"/>
              <w:rPr>
                <w:color w:val="auto"/>
                <w:sz w:val="20"/>
                <w:szCs w:val="20"/>
                <w:lang w:eastAsia="en-US"/>
              </w:rPr>
            </w:pPr>
            <w:r w:rsidRPr="00FF619F">
              <w:rPr>
                <w:sz w:val="20"/>
                <w:szCs w:val="20"/>
              </w:rPr>
              <w:t xml:space="preserve">Randomised, </w:t>
            </w:r>
            <w:r w:rsidR="00476CD0" w:rsidRPr="00FF619F">
              <w:rPr>
                <w:sz w:val="20"/>
                <w:szCs w:val="20"/>
              </w:rPr>
              <w:t>open label</w:t>
            </w:r>
            <w:r w:rsidRPr="00FF619F">
              <w:rPr>
                <w:sz w:val="20"/>
                <w:szCs w:val="20"/>
              </w:rPr>
              <w:t>, multicentre, active-controlled</w:t>
            </w:r>
          </w:p>
        </w:tc>
        <w:tc>
          <w:tcPr>
            <w:tcW w:w="1582" w:type="dxa"/>
          </w:tcPr>
          <w:p w:rsidR="006D3CFD" w:rsidRPr="00FF619F" w:rsidRDefault="006D3CFD" w:rsidP="00FF619F">
            <w:pPr>
              <w:ind w:left="0"/>
              <w:rPr>
                <w:color w:val="auto"/>
                <w:sz w:val="20"/>
                <w:szCs w:val="20"/>
                <w:lang w:eastAsia="en-US"/>
              </w:rPr>
            </w:pPr>
            <w:r w:rsidRPr="00FF619F">
              <w:rPr>
                <w:sz w:val="20"/>
                <w:szCs w:val="20"/>
              </w:rPr>
              <w:t>Non-NS5A inhibitor DAA experienced* GT 1, 2, 3, or 4 patients</w:t>
            </w:r>
          </w:p>
        </w:tc>
        <w:tc>
          <w:tcPr>
            <w:tcW w:w="1551" w:type="dxa"/>
          </w:tcPr>
          <w:p w:rsidR="006D3CFD" w:rsidRPr="00FF619F" w:rsidRDefault="006D3CFD" w:rsidP="00FF619F">
            <w:pPr>
              <w:ind w:left="54"/>
              <w:rPr>
                <w:color w:val="auto"/>
                <w:sz w:val="20"/>
                <w:szCs w:val="20"/>
                <w:lang w:eastAsia="en-US"/>
              </w:rPr>
            </w:pPr>
            <w:r w:rsidRPr="00FF619F">
              <w:rPr>
                <w:sz w:val="20"/>
                <w:szCs w:val="20"/>
              </w:rPr>
              <w:t>333</w:t>
            </w:r>
          </w:p>
        </w:tc>
        <w:tc>
          <w:tcPr>
            <w:tcW w:w="1325" w:type="dxa"/>
          </w:tcPr>
          <w:p w:rsidR="006D3CFD" w:rsidRPr="00FF619F" w:rsidRDefault="006D3CFD" w:rsidP="00FF619F">
            <w:pPr>
              <w:ind w:left="62"/>
              <w:rPr>
                <w:color w:val="auto"/>
                <w:sz w:val="20"/>
                <w:szCs w:val="20"/>
                <w:lang w:eastAsia="en-US"/>
              </w:rPr>
            </w:pPr>
            <w:r w:rsidRPr="00FF619F">
              <w:rPr>
                <w:sz w:val="20"/>
                <w:szCs w:val="20"/>
              </w:rPr>
              <w:t>12 weeks treatment, up to 24 weeks post-treatment follow-up</w:t>
            </w:r>
          </w:p>
        </w:tc>
        <w:tc>
          <w:tcPr>
            <w:tcW w:w="1353" w:type="dxa"/>
          </w:tcPr>
          <w:p w:rsidR="006D3CFD" w:rsidRPr="00FF619F" w:rsidRDefault="006D3CFD" w:rsidP="00FF619F">
            <w:pPr>
              <w:ind w:left="0"/>
              <w:rPr>
                <w:color w:val="auto"/>
                <w:sz w:val="20"/>
                <w:szCs w:val="20"/>
                <w:lang w:eastAsia="en-US"/>
              </w:rPr>
            </w:pPr>
            <w:r w:rsidRPr="00FF619F">
              <w:rPr>
                <w:sz w:val="20"/>
                <w:szCs w:val="20"/>
              </w:rPr>
              <w:t>Completed</w:t>
            </w:r>
          </w:p>
        </w:tc>
      </w:tr>
      <w:tr w:rsidR="006D3CFD" w:rsidRPr="00FF619F" w:rsidTr="00FF619F">
        <w:trPr>
          <w:trHeight w:val="150"/>
        </w:trPr>
        <w:tc>
          <w:tcPr>
            <w:tcW w:w="1337" w:type="dxa"/>
          </w:tcPr>
          <w:p w:rsidR="006D3CFD" w:rsidRPr="00FF619F" w:rsidRDefault="006D3CFD" w:rsidP="00FF619F">
            <w:pPr>
              <w:ind w:left="0"/>
              <w:rPr>
                <w:color w:val="auto"/>
                <w:sz w:val="20"/>
                <w:szCs w:val="20"/>
                <w:lang w:eastAsia="en-US"/>
              </w:rPr>
            </w:pPr>
            <w:r w:rsidRPr="00FF619F">
              <w:rPr>
                <w:sz w:val="20"/>
                <w:szCs w:val="20"/>
              </w:rPr>
              <w:t xml:space="preserve">GS-US-367-1172 </w:t>
            </w:r>
            <w:r w:rsidR="00507436" w:rsidRPr="00FF619F">
              <w:rPr>
                <w:sz w:val="20"/>
                <w:szCs w:val="20"/>
              </w:rPr>
              <w:t>(POLARIS</w:t>
            </w:r>
            <w:r w:rsidR="00507436" w:rsidRPr="00FF619F">
              <w:rPr>
                <w:sz w:val="20"/>
                <w:szCs w:val="20"/>
              </w:rPr>
              <w:noBreakHyphen/>
            </w:r>
            <w:r w:rsidRPr="00FF619F">
              <w:rPr>
                <w:sz w:val="20"/>
                <w:szCs w:val="20"/>
              </w:rPr>
              <w:t>2):</w:t>
            </w:r>
            <w:r w:rsidR="009461C2" w:rsidRPr="00FF619F">
              <w:rPr>
                <w:sz w:val="20"/>
                <w:szCs w:val="20"/>
              </w:rPr>
              <w:t xml:space="preserve"> </w:t>
            </w:r>
            <w:r w:rsidRPr="00FF619F">
              <w:rPr>
                <w:sz w:val="20"/>
                <w:szCs w:val="20"/>
              </w:rPr>
              <w:t>Nov, 2015 to Oct, 2016</w:t>
            </w:r>
          </w:p>
        </w:tc>
        <w:tc>
          <w:tcPr>
            <w:tcW w:w="1548" w:type="dxa"/>
          </w:tcPr>
          <w:p w:rsidR="006D3CFD" w:rsidRPr="00FF619F" w:rsidRDefault="006D3CFD" w:rsidP="00FF619F">
            <w:pPr>
              <w:ind w:left="8"/>
              <w:rPr>
                <w:color w:val="auto"/>
                <w:sz w:val="20"/>
                <w:szCs w:val="20"/>
                <w:lang w:eastAsia="en-US"/>
              </w:rPr>
            </w:pPr>
            <w:r w:rsidRPr="00FF619F">
              <w:rPr>
                <w:sz w:val="20"/>
                <w:szCs w:val="20"/>
              </w:rPr>
              <w:t xml:space="preserve">Randomised, </w:t>
            </w:r>
            <w:r w:rsidR="00476CD0" w:rsidRPr="00FF619F">
              <w:rPr>
                <w:sz w:val="20"/>
                <w:szCs w:val="20"/>
              </w:rPr>
              <w:t>open label</w:t>
            </w:r>
            <w:r w:rsidRPr="00FF619F">
              <w:rPr>
                <w:sz w:val="20"/>
                <w:szCs w:val="20"/>
              </w:rPr>
              <w:t>, multicentre</w:t>
            </w:r>
          </w:p>
        </w:tc>
        <w:tc>
          <w:tcPr>
            <w:tcW w:w="1582" w:type="dxa"/>
          </w:tcPr>
          <w:p w:rsidR="006D3CFD" w:rsidRPr="00FF619F" w:rsidRDefault="009461C2" w:rsidP="00FF619F">
            <w:pPr>
              <w:ind w:left="0"/>
              <w:rPr>
                <w:color w:val="auto"/>
                <w:sz w:val="20"/>
                <w:szCs w:val="20"/>
                <w:lang w:eastAsia="en-US"/>
              </w:rPr>
            </w:pPr>
            <w:r w:rsidRPr="00FF619F">
              <w:rPr>
                <w:sz w:val="20"/>
                <w:szCs w:val="20"/>
              </w:rPr>
              <w:t>DAA</w:t>
            </w:r>
            <w:r w:rsidR="006D3CFD" w:rsidRPr="00FF619F">
              <w:rPr>
                <w:sz w:val="20"/>
                <w:szCs w:val="20"/>
              </w:rPr>
              <w:t xml:space="preserve"> naïve GT 1-6 patients without cirrhosis or with compensated cirrhosis</w:t>
            </w:r>
          </w:p>
        </w:tc>
        <w:tc>
          <w:tcPr>
            <w:tcW w:w="1551" w:type="dxa"/>
          </w:tcPr>
          <w:p w:rsidR="006D3CFD" w:rsidRPr="00FF619F" w:rsidRDefault="006D3CFD" w:rsidP="00FF619F">
            <w:pPr>
              <w:ind w:left="54"/>
              <w:rPr>
                <w:color w:val="auto"/>
                <w:sz w:val="20"/>
                <w:szCs w:val="20"/>
                <w:lang w:eastAsia="en-US"/>
              </w:rPr>
            </w:pPr>
            <w:r w:rsidRPr="00FF619F">
              <w:rPr>
                <w:sz w:val="20"/>
                <w:szCs w:val="20"/>
              </w:rPr>
              <w:t>943</w:t>
            </w:r>
          </w:p>
        </w:tc>
        <w:tc>
          <w:tcPr>
            <w:tcW w:w="1325" w:type="dxa"/>
          </w:tcPr>
          <w:p w:rsidR="006D3CFD" w:rsidRPr="00FF619F" w:rsidRDefault="006D3CFD" w:rsidP="00FF619F">
            <w:pPr>
              <w:ind w:left="62"/>
              <w:rPr>
                <w:color w:val="auto"/>
                <w:sz w:val="20"/>
                <w:szCs w:val="20"/>
                <w:lang w:eastAsia="en-US"/>
              </w:rPr>
            </w:pPr>
            <w:r w:rsidRPr="00FF619F">
              <w:rPr>
                <w:sz w:val="20"/>
                <w:szCs w:val="20"/>
              </w:rPr>
              <w:t>8 or 12 weeks treatment, up to 24 weeks post-treatment follow-up</w:t>
            </w:r>
          </w:p>
        </w:tc>
        <w:tc>
          <w:tcPr>
            <w:tcW w:w="1353" w:type="dxa"/>
          </w:tcPr>
          <w:p w:rsidR="006D3CFD" w:rsidRPr="00FF619F" w:rsidRDefault="006D3CFD" w:rsidP="00FF619F">
            <w:pPr>
              <w:ind w:left="0"/>
              <w:rPr>
                <w:color w:val="auto"/>
                <w:sz w:val="20"/>
                <w:szCs w:val="20"/>
                <w:lang w:eastAsia="en-US"/>
              </w:rPr>
            </w:pPr>
            <w:r w:rsidRPr="00FF619F">
              <w:rPr>
                <w:sz w:val="20"/>
                <w:szCs w:val="20"/>
              </w:rPr>
              <w:t>Completed</w:t>
            </w:r>
          </w:p>
        </w:tc>
      </w:tr>
      <w:tr w:rsidR="006D3CFD" w:rsidRPr="00FF619F" w:rsidTr="00FF619F">
        <w:trPr>
          <w:trHeight w:val="150"/>
        </w:trPr>
        <w:tc>
          <w:tcPr>
            <w:tcW w:w="1337" w:type="dxa"/>
          </w:tcPr>
          <w:p w:rsidR="006D3CFD" w:rsidRPr="00FF619F" w:rsidRDefault="006D3CFD" w:rsidP="00FF619F">
            <w:pPr>
              <w:ind w:left="0"/>
              <w:rPr>
                <w:color w:val="auto"/>
                <w:sz w:val="20"/>
                <w:szCs w:val="20"/>
                <w:lang w:eastAsia="en-US"/>
              </w:rPr>
            </w:pPr>
            <w:r w:rsidRPr="00FF619F">
              <w:rPr>
                <w:sz w:val="20"/>
                <w:szCs w:val="20"/>
              </w:rPr>
              <w:t>GS-US-367-1173 (POLARIS-3): Dec 2015 to</w:t>
            </w:r>
            <w:r w:rsidR="00476CD0" w:rsidRPr="00FF619F">
              <w:rPr>
                <w:sz w:val="20"/>
                <w:szCs w:val="20"/>
              </w:rPr>
              <w:t xml:space="preserve"> </w:t>
            </w:r>
            <w:r w:rsidRPr="00FF619F">
              <w:rPr>
                <w:sz w:val="20"/>
                <w:szCs w:val="20"/>
              </w:rPr>
              <w:t>Oct 2016</w:t>
            </w:r>
          </w:p>
        </w:tc>
        <w:tc>
          <w:tcPr>
            <w:tcW w:w="1548" w:type="dxa"/>
          </w:tcPr>
          <w:p w:rsidR="006D3CFD" w:rsidRPr="00FF619F" w:rsidRDefault="006D3CFD" w:rsidP="00FF619F">
            <w:pPr>
              <w:ind w:left="8"/>
              <w:rPr>
                <w:color w:val="auto"/>
                <w:sz w:val="20"/>
                <w:szCs w:val="20"/>
                <w:lang w:eastAsia="en-US"/>
              </w:rPr>
            </w:pPr>
            <w:r w:rsidRPr="00FF619F">
              <w:rPr>
                <w:sz w:val="20"/>
                <w:szCs w:val="20"/>
              </w:rPr>
              <w:t xml:space="preserve">Randomised, </w:t>
            </w:r>
            <w:r w:rsidR="00476CD0" w:rsidRPr="00FF619F">
              <w:rPr>
                <w:sz w:val="20"/>
                <w:szCs w:val="20"/>
              </w:rPr>
              <w:t>open label</w:t>
            </w:r>
            <w:r w:rsidR="009461C2" w:rsidRPr="00FF619F">
              <w:rPr>
                <w:sz w:val="20"/>
                <w:szCs w:val="20"/>
              </w:rPr>
              <w:t>, multicentre</w:t>
            </w:r>
          </w:p>
        </w:tc>
        <w:tc>
          <w:tcPr>
            <w:tcW w:w="1582" w:type="dxa"/>
          </w:tcPr>
          <w:p w:rsidR="006D3CFD" w:rsidRPr="00FF619F" w:rsidRDefault="009461C2" w:rsidP="00FF619F">
            <w:pPr>
              <w:ind w:left="0"/>
              <w:rPr>
                <w:color w:val="auto"/>
                <w:sz w:val="20"/>
                <w:szCs w:val="20"/>
                <w:lang w:eastAsia="en-US"/>
              </w:rPr>
            </w:pPr>
            <w:r w:rsidRPr="00FF619F">
              <w:rPr>
                <w:sz w:val="20"/>
                <w:szCs w:val="20"/>
              </w:rPr>
              <w:t>DAA</w:t>
            </w:r>
            <w:r w:rsidR="006D3CFD" w:rsidRPr="00FF619F">
              <w:rPr>
                <w:sz w:val="20"/>
                <w:szCs w:val="20"/>
              </w:rPr>
              <w:t xml:space="preserve"> naïve GT 3 patients with cirrhosis</w:t>
            </w:r>
          </w:p>
        </w:tc>
        <w:tc>
          <w:tcPr>
            <w:tcW w:w="1551" w:type="dxa"/>
          </w:tcPr>
          <w:p w:rsidR="006D3CFD" w:rsidRPr="00FF619F" w:rsidRDefault="006D3CFD" w:rsidP="00FF619F">
            <w:pPr>
              <w:ind w:left="54"/>
              <w:rPr>
                <w:color w:val="auto"/>
                <w:sz w:val="20"/>
                <w:szCs w:val="20"/>
                <w:lang w:eastAsia="en-US"/>
              </w:rPr>
            </w:pPr>
            <w:r w:rsidRPr="00FF619F">
              <w:rPr>
                <w:sz w:val="20"/>
                <w:szCs w:val="20"/>
              </w:rPr>
              <w:t>220</w:t>
            </w:r>
          </w:p>
        </w:tc>
        <w:tc>
          <w:tcPr>
            <w:tcW w:w="1325" w:type="dxa"/>
          </w:tcPr>
          <w:p w:rsidR="006D3CFD" w:rsidRPr="00FF619F" w:rsidRDefault="006D3CFD" w:rsidP="00FF619F">
            <w:pPr>
              <w:ind w:left="62"/>
              <w:rPr>
                <w:color w:val="auto"/>
                <w:sz w:val="20"/>
                <w:szCs w:val="20"/>
                <w:lang w:eastAsia="en-US"/>
              </w:rPr>
            </w:pPr>
            <w:r w:rsidRPr="00FF619F">
              <w:rPr>
                <w:sz w:val="20"/>
                <w:szCs w:val="20"/>
              </w:rPr>
              <w:t>8 or 12 weeks treatment, up to 24 weeks post-treatment follow-up</w:t>
            </w:r>
          </w:p>
        </w:tc>
        <w:tc>
          <w:tcPr>
            <w:tcW w:w="1353" w:type="dxa"/>
          </w:tcPr>
          <w:p w:rsidR="006D3CFD" w:rsidRPr="00FF619F" w:rsidRDefault="006D3CFD" w:rsidP="00FF619F">
            <w:pPr>
              <w:ind w:left="0"/>
              <w:rPr>
                <w:color w:val="auto"/>
                <w:sz w:val="20"/>
                <w:szCs w:val="20"/>
                <w:lang w:eastAsia="en-US"/>
              </w:rPr>
            </w:pPr>
            <w:r w:rsidRPr="00FF619F">
              <w:rPr>
                <w:sz w:val="20"/>
                <w:szCs w:val="20"/>
              </w:rPr>
              <w:t>Completed</w:t>
            </w:r>
          </w:p>
        </w:tc>
      </w:tr>
    </w:tbl>
    <w:p w:rsidR="006D3CFD" w:rsidRPr="006C26DA" w:rsidRDefault="006D3CFD" w:rsidP="00A95AB7">
      <w:pPr>
        <w:pStyle w:val="TableDescription"/>
        <w:keepNext/>
      </w:pPr>
      <w:r w:rsidRPr="006C26DA">
        <w:t>*</w:t>
      </w:r>
      <w:r>
        <w:t>Patients</w:t>
      </w:r>
      <w:r w:rsidRPr="006C26DA">
        <w:t xml:space="preserve"> who had DAA exposure to a NS3/4A protease inhibitor (</w:t>
      </w:r>
      <w:r w:rsidR="003A5113">
        <w:t>Pi</w:t>
      </w:r>
      <w:r w:rsidRPr="006C26DA">
        <w:t>) only were excluded</w:t>
      </w:r>
      <w:r>
        <w:t xml:space="preserve"> from the POLARIS-4 study as t</w:t>
      </w:r>
      <w:r w:rsidRPr="00172131">
        <w:t>here are registered treatments</w:t>
      </w:r>
      <w:r>
        <w:t xml:space="preserve"> available.</w:t>
      </w:r>
    </w:p>
    <w:p w:rsidR="006D3CFD" w:rsidRPr="006D3CFD" w:rsidRDefault="00266334" w:rsidP="006D3CFD">
      <w:pPr>
        <w:pStyle w:val="Heading5"/>
      </w:pPr>
      <w:r>
        <w:t xml:space="preserve">Study </w:t>
      </w:r>
      <w:r w:rsidR="00507436">
        <w:t>GS-US-367-1171 (POLARIS-</w:t>
      </w:r>
      <w:r w:rsidR="006D3CFD" w:rsidRPr="006D3CFD">
        <w:t>1</w:t>
      </w:r>
      <w:r>
        <w:t xml:space="preserve"> trial</w:t>
      </w:r>
      <w:r w:rsidR="006D3CFD" w:rsidRPr="006D3CFD">
        <w:t>)</w:t>
      </w:r>
      <w:bookmarkStart w:id="326" w:name="_Ref529350560"/>
      <w:r w:rsidR="006D3CFD" w:rsidRPr="009461C2">
        <w:rPr>
          <w:rFonts w:eastAsia="Cambria"/>
          <w:vertAlign w:val="superscript"/>
        </w:rPr>
        <w:footnoteReference w:id="66"/>
      </w:r>
      <w:bookmarkEnd w:id="326"/>
    </w:p>
    <w:p w:rsidR="00476CD0" w:rsidRDefault="006D3CFD" w:rsidP="006D3CFD">
      <w:r w:rsidRPr="006D3CFD">
        <w:t xml:space="preserve">This was a </w:t>
      </w:r>
      <w:r w:rsidR="00476CD0">
        <w:t>Phase III</w:t>
      </w:r>
      <w:r w:rsidRPr="006D3CFD">
        <w:t xml:space="preserve">, randomised, </w:t>
      </w:r>
      <w:r w:rsidR="00CE0E69">
        <w:t>double blind</w:t>
      </w:r>
      <w:r w:rsidRPr="006D3CFD">
        <w:t xml:space="preserve">, </w:t>
      </w:r>
      <w:r w:rsidR="00CE0E69">
        <w:t>placebo controlled</w:t>
      </w:r>
      <w:r w:rsidRPr="006D3CFD">
        <w:t xml:space="preserve">, multicentre, international study to assess the antiviral efficacy, safety and tolerability of 12 weeks of SOF/VEL/VOX treatment compared with 12 weeks of placebo treatment in </w:t>
      </w:r>
      <w:r w:rsidR="00D43BF2">
        <w:t>direct acting</w:t>
      </w:r>
      <w:r w:rsidRPr="006D3CFD">
        <w:t xml:space="preserve"> </w:t>
      </w:r>
      <w:r w:rsidR="00D43BF2">
        <w:t>antiviral experienced</w:t>
      </w:r>
      <w:r w:rsidRPr="006D3CFD">
        <w:t xml:space="preserve"> subjects with chronic HCV infection who have previously been treated with a non-structural protein (NS)5A inhibitor</w:t>
      </w:r>
      <w:r w:rsidR="00476CD0">
        <w:t>.</w:t>
      </w:r>
    </w:p>
    <w:p w:rsidR="006D3CFD" w:rsidRPr="006D3CFD" w:rsidRDefault="006D3CFD" w:rsidP="006D3CFD">
      <w:r w:rsidRPr="006D3CFD">
        <w:t>The primary objectives were to determine the efficacy of treatment with the proposed SOF/VEL/VOX (400/100/100</w:t>
      </w:r>
      <w:r w:rsidR="00AA5E62">
        <w:t xml:space="preserve"> mg</w:t>
      </w:r>
      <w:r w:rsidRPr="006D3CFD">
        <w:t xml:space="preserve">) FDC for 12 weeks as measured by the proportion of subjects with sustained viral response 12 weeks after cessation of treatment (SVR12) and to evaluate the safety and tolerability of SOF/VEL/VOX treatment. Secondary objectives </w:t>
      </w:r>
      <w:r w:rsidRPr="006D3CFD">
        <w:lastRenderedPageBreak/>
        <w:t xml:space="preserve">included the proportion of subjects who achieved SVR at 4 and 24 weeks after cessation of treatment (SVR4 and SVR24); the proportion of subjects with virologic failure, kinetics of circulating HCV RNA during treatment and after cessation of treatment and to evaluate the viral resistance to SOF, VEL and VOX during treatment and after cessation of treatment. Further objectives </w:t>
      </w:r>
      <w:r w:rsidR="009461C2">
        <w:t>were described in the CER.</w:t>
      </w:r>
    </w:p>
    <w:p w:rsidR="006D3CFD" w:rsidRPr="006D3CFD" w:rsidRDefault="006D3CFD" w:rsidP="006D3CFD">
      <w:r w:rsidRPr="006D3CFD">
        <w:t>The evaluator commented that the original protocol was amended for the definition of treatment experience from DAA experienced to NS5A inhibitor experienced.</w:t>
      </w:r>
    </w:p>
    <w:p w:rsidR="006D3CFD" w:rsidRPr="006D3CFD" w:rsidRDefault="006D3CFD" w:rsidP="006D3CFD">
      <w:r w:rsidRPr="006D3CFD">
        <w:t>Patients with genotype 1 HCV infection were randomised in a 1:1 ratio to the SOF/VEL/VOX 12 Week group or placebo 12 Week group. Patients with other genotypes were all enrolled in the active SOF/VEL/VOX 12 Week group, as this group comprised a relative minority of those with virologic failure following treatment with a DAA.</w:t>
      </w:r>
    </w:p>
    <w:p w:rsidR="006D3CFD" w:rsidRPr="006D3CFD" w:rsidRDefault="006D3CFD" w:rsidP="006D3CFD">
      <w:pPr>
        <w:pStyle w:val="Heading6"/>
      </w:pPr>
      <w:r w:rsidRPr="006D3CFD">
        <w:t>Baseline data</w:t>
      </w:r>
    </w:p>
    <w:p w:rsidR="006D3CFD" w:rsidRDefault="006D3CFD" w:rsidP="006D3CFD">
      <w:r w:rsidRPr="006D3CFD">
        <w:t xml:space="preserve">In the SOF/VEL/VOX 12 Week group, the majority of subjects had genotype 1 HCV infection (57.0% </w:t>
      </w:r>
      <w:r w:rsidR="000E1116">
        <w:t>(</w:t>
      </w:r>
      <w:r w:rsidRPr="006D3CFD">
        <w:t>1a</w:t>
      </w:r>
      <w:r w:rsidR="003925CF">
        <w:t xml:space="preserve"> = </w:t>
      </w:r>
      <w:r w:rsidRPr="006D3CFD">
        <w:t>38.4%, 1b</w:t>
      </w:r>
      <w:r w:rsidR="003925CF">
        <w:t xml:space="preserve"> = </w:t>
      </w:r>
      <w:r w:rsidRPr="006D3CFD">
        <w:t>17.1%, 1 other</w:t>
      </w:r>
      <w:r w:rsidR="003925CF">
        <w:t xml:space="preserve"> = </w:t>
      </w:r>
      <w:r w:rsidRPr="006D3CFD">
        <w:t>1.5%</w:t>
      </w:r>
      <w:r w:rsidR="000E1116">
        <w:t>)</w:t>
      </w:r>
      <w:r w:rsidRPr="006D3CFD">
        <w:t xml:space="preserve">) or genotype 3 HCV infection (29.7%) and most of the subjects (82.1%) had a non-CC IL28B genotype. A greater number of subjects with genotype 1 HCV infection and fewer subjects with genotype 2, 3, 4, 5, 6 and unknown HCV infection were enrolled into the SOF/VEL/VOX 12 Week group than planned according to protocol specification </w:t>
      </w:r>
      <w:r w:rsidRPr="00AC0F8C">
        <w:t xml:space="preserve">(Table </w:t>
      </w:r>
      <w:r w:rsidR="00AC0F8C" w:rsidRPr="00AC0F8C">
        <w:t>34</w:t>
      </w:r>
      <w:r w:rsidRPr="00AC0F8C">
        <w:t>).</w:t>
      </w:r>
      <w:r w:rsidRPr="006D3CFD">
        <w:t xml:space="preserve"> This may have been due to the current genotype distribution of patients with ongoing HCV infection who have been exposed to an NS5A inhibitor. In the SOF/VEL/VOX 12 Week group, 121 subjects (46.0%) had cirrhosis, greater than the incidence in the placebo group, 51 subjects (33.6%) and may have reflected the higher prevalence of cirrhosis in the </w:t>
      </w:r>
      <w:r w:rsidR="00CE0E69">
        <w:t>DAA experienced</w:t>
      </w:r>
      <w:r w:rsidRPr="006D3CFD">
        <w:t xml:space="preserve"> population.</w:t>
      </w:r>
    </w:p>
    <w:p w:rsidR="009461C2" w:rsidRPr="00EC305C" w:rsidRDefault="009461C2" w:rsidP="009461C2">
      <w:pPr>
        <w:pStyle w:val="Tabletitle0"/>
      </w:pPr>
      <w:r w:rsidRPr="00AC0F8C">
        <w:t xml:space="preserve">Table </w:t>
      </w:r>
      <w:r w:rsidR="00AC0F8C" w:rsidRPr="00AC0F8C">
        <w:t>3</w:t>
      </w:r>
      <w:r w:rsidR="00AC0F8C">
        <w:t>4</w:t>
      </w:r>
      <w:r w:rsidR="007C712C">
        <w:t>:</w:t>
      </w:r>
      <w:r>
        <w:t xml:space="preserve"> </w:t>
      </w:r>
      <w:r w:rsidRPr="00EC305C">
        <w:t xml:space="preserve">GS-US-367-1171. Planned number of subjects </w:t>
      </w:r>
      <w:r>
        <w:t>by treatment group and genotype</w:t>
      </w:r>
    </w:p>
    <w:p w:rsidR="009461C2" w:rsidRPr="006D3CFD" w:rsidRDefault="009461C2" w:rsidP="009461C2">
      <w:r w:rsidRPr="00EC305C">
        <w:rPr>
          <w:rFonts w:ascii="Calibri" w:hAnsi="Calibri" w:cstheme="minorHAnsi"/>
          <w:noProof/>
          <w:sz w:val="20"/>
          <w:szCs w:val="20"/>
          <w:lang w:eastAsia="en-AU"/>
        </w:rPr>
        <w:drawing>
          <wp:inline distT="0" distB="0" distL="0" distR="0" wp14:anchorId="3A762250" wp14:editId="610F2AE8">
            <wp:extent cx="5398618" cy="1320470"/>
            <wp:effectExtent l="0" t="0" r="0" b="0"/>
            <wp:docPr id="36" name="Picture 36" descr="Table 34: GS-US-367-1171. Planned number of subjects by treatment group and ge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5223" cy="1319640"/>
                    </a:xfrm>
                    <a:prstGeom prst="rect">
                      <a:avLst/>
                    </a:prstGeom>
                    <a:noFill/>
                    <a:ln>
                      <a:noFill/>
                    </a:ln>
                  </pic:spPr>
                </pic:pic>
              </a:graphicData>
            </a:graphic>
          </wp:inline>
        </w:drawing>
      </w:r>
    </w:p>
    <w:p w:rsidR="006D3CFD" w:rsidRPr="006D3CFD" w:rsidRDefault="006D3CFD" w:rsidP="006D3CFD">
      <w:pPr>
        <w:pStyle w:val="Heading6"/>
      </w:pPr>
      <w:r w:rsidRPr="006D3CFD">
        <w:t>Participant flow</w:t>
      </w:r>
    </w:p>
    <w:p w:rsidR="006D3CFD" w:rsidRPr="006D3CFD" w:rsidRDefault="006D3CFD" w:rsidP="006D3CFD">
      <w:r w:rsidRPr="006D3CFD">
        <w:t xml:space="preserve">Of the 416 randomised or enrolled subjects, 415 received at least 1 dose of study drug and were included in the </w:t>
      </w:r>
      <w:r w:rsidR="00266334" w:rsidRPr="006D3CFD">
        <w:t xml:space="preserve">safety analysis and full analysis sets </w:t>
      </w:r>
      <w:r w:rsidRPr="006D3CFD">
        <w:t>(263 in the SOF/VEL/VOX 12</w:t>
      </w:r>
      <w:r w:rsidR="00266334">
        <w:t> w</w:t>
      </w:r>
      <w:r w:rsidR="00266334" w:rsidRPr="006D3CFD">
        <w:t xml:space="preserve">eek </w:t>
      </w:r>
      <w:r w:rsidRPr="006D3CFD">
        <w:t>group and 152 in the 12 Week group). The majority of subjects completed study treatment (98.8%, 410 subjects).</w:t>
      </w:r>
    </w:p>
    <w:p w:rsidR="006D3CFD" w:rsidRPr="006D3CFD" w:rsidRDefault="006D3CFD" w:rsidP="006D3CFD">
      <w:r w:rsidRPr="006D3CFD">
        <w:t xml:space="preserve">Of the 263 subjects in the SOF/VEL/VOX 12 Week group, 99.6% had been previously treated with an NS5A inhibitor, with the most common NS5A inhibitors being </w:t>
      </w:r>
      <w:proofErr w:type="spellStart"/>
      <w:proofErr w:type="gramStart"/>
      <w:r w:rsidRPr="006D3CFD">
        <w:t>ledipasvir</w:t>
      </w:r>
      <w:proofErr w:type="spellEnd"/>
      <w:r w:rsidRPr="006D3CFD">
        <w:t>(</w:t>
      </w:r>
      <w:proofErr w:type="gramEnd"/>
      <w:r w:rsidRPr="006D3CFD">
        <w:t xml:space="preserve">51%), </w:t>
      </w:r>
      <w:proofErr w:type="spellStart"/>
      <w:r w:rsidRPr="006D3CFD">
        <w:t>daclatasvir</w:t>
      </w:r>
      <w:proofErr w:type="spellEnd"/>
      <w:r w:rsidRPr="006D3CFD">
        <w:t xml:space="preserve">(27%), </w:t>
      </w:r>
      <w:proofErr w:type="spellStart"/>
      <w:r w:rsidRPr="006D3CFD">
        <w:t>ombitasvir</w:t>
      </w:r>
      <w:proofErr w:type="spellEnd"/>
      <w:r w:rsidRPr="006D3CFD">
        <w:t xml:space="preserve">(11%), </w:t>
      </w:r>
      <w:proofErr w:type="spellStart"/>
      <w:r w:rsidRPr="006D3CFD">
        <w:t>velpatasvir</w:t>
      </w:r>
      <w:proofErr w:type="spellEnd"/>
      <w:r w:rsidRPr="006D3CFD">
        <w:t xml:space="preserve">(7%) and </w:t>
      </w:r>
      <w:proofErr w:type="spellStart"/>
      <w:r w:rsidRPr="006D3CFD">
        <w:t>elbasvir</w:t>
      </w:r>
      <w:proofErr w:type="spellEnd"/>
      <w:r w:rsidRPr="006D3CFD">
        <w:t xml:space="preserve"> (3%) </w:t>
      </w:r>
      <w:proofErr w:type="gramStart"/>
      <w:r w:rsidRPr="00AC0F8C">
        <w:t xml:space="preserve">(Table </w:t>
      </w:r>
      <w:r w:rsidR="00AC0F8C" w:rsidRPr="00AC0F8C">
        <w:t>35</w:t>
      </w:r>
      <w:r w:rsidR="009461C2" w:rsidRPr="00AC0F8C">
        <w:t>)</w:t>
      </w:r>
      <w:r w:rsidR="00AC0F8C">
        <w:t>.</w:t>
      </w:r>
      <w:proofErr w:type="gramEnd"/>
      <w:r w:rsidR="009461C2" w:rsidRPr="00AC0F8C">
        <w:t xml:space="preserve"> </w:t>
      </w:r>
      <w:r w:rsidR="009461C2" w:rsidRPr="00AC0F8C">
        <w:rPr>
          <w:vertAlign w:val="superscript"/>
        </w:rPr>
        <w:fldChar w:fldCharType="begin"/>
      </w:r>
      <w:r w:rsidR="009461C2" w:rsidRPr="00AC0F8C">
        <w:rPr>
          <w:vertAlign w:val="superscript"/>
        </w:rPr>
        <w:instrText xml:space="preserve"> NOTEREF _Ref529350560 \h  \* MERGEFORMAT </w:instrText>
      </w:r>
      <w:r w:rsidR="009461C2" w:rsidRPr="00AC0F8C">
        <w:rPr>
          <w:vertAlign w:val="superscript"/>
        </w:rPr>
      </w:r>
      <w:r w:rsidR="009461C2" w:rsidRPr="00AC0F8C">
        <w:rPr>
          <w:vertAlign w:val="superscript"/>
        </w:rPr>
        <w:fldChar w:fldCharType="separate"/>
      </w:r>
      <w:r w:rsidR="009461C2" w:rsidRPr="00AC0F8C">
        <w:rPr>
          <w:vertAlign w:val="superscript"/>
        </w:rPr>
        <w:t>57</w:t>
      </w:r>
      <w:r w:rsidR="009461C2" w:rsidRPr="00AC0F8C">
        <w:rPr>
          <w:vertAlign w:val="superscript"/>
        </w:rPr>
        <w:fldChar w:fldCharType="end"/>
      </w:r>
    </w:p>
    <w:p w:rsidR="009461C2" w:rsidRPr="009461C2" w:rsidRDefault="009461C2" w:rsidP="009461C2">
      <w:pPr>
        <w:pStyle w:val="Tabletitle0"/>
      </w:pPr>
      <w:r w:rsidRPr="00AC0F8C">
        <w:lastRenderedPageBreak/>
        <w:t xml:space="preserve">Table </w:t>
      </w:r>
      <w:r w:rsidR="00AC0F8C">
        <w:t xml:space="preserve">35: </w:t>
      </w:r>
      <w:r w:rsidRPr="00EC305C">
        <w:t xml:space="preserve">GS-US-367-1171.Prior HCV DAAs (at least 5% subjects per genotype) for subjects with genotype 1, 3 or 4 HCV </w:t>
      </w:r>
      <w:proofErr w:type="gramStart"/>
      <w:r w:rsidRPr="00EC305C">
        <w:t>infection</w:t>
      </w:r>
      <w:proofErr w:type="gramEnd"/>
      <w:r w:rsidRPr="00EC305C">
        <w:t xml:space="preserve"> in the SOF/VEL/VOX 12 w</w:t>
      </w:r>
      <w:r w:rsidR="00AC0F8C">
        <w:t>eek group (safety analysis set)</w:t>
      </w:r>
    </w:p>
    <w:p w:rsidR="009461C2" w:rsidRPr="009461C2" w:rsidRDefault="009461C2" w:rsidP="009461C2">
      <w:r w:rsidRPr="00EC305C">
        <w:rPr>
          <w:rFonts w:ascii="Calibri" w:hAnsi="Calibri" w:cstheme="minorHAnsi"/>
          <w:noProof/>
          <w:sz w:val="20"/>
          <w:szCs w:val="20"/>
          <w:lang w:eastAsia="en-AU"/>
        </w:rPr>
        <w:drawing>
          <wp:inline distT="0" distB="0" distL="0" distR="0" wp14:anchorId="1DEDE9F0" wp14:editId="4B3465FE">
            <wp:extent cx="5400040" cy="3584870"/>
            <wp:effectExtent l="0" t="0" r="0" b="0"/>
            <wp:docPr id="55" name="Picture 55" descr="Table 35: GS-US-367-1171.Prior HCV DAAs (at least 5% subjects per genotype) for subjects with genotype 1, 3 or 4 HCV infection in the SOF/VEL/VOX 12 week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3584870"/>
                    </a:xfrm>
                    <a:prstGeom prst="rect">
                      <a:avLst/>
                    </a:prstGeom>
                    <a:noFill/>
                    <a:ln>
                      <a:noFill/>
                    </a:ln>
                  </pic:spPr>
                </pic:pic>
              </a:graphicData>
            </a:graphic>
          </wp:inline>
        </w:drawing>
      </w:r>
    </w:p>
    <w:p w:rsidR="006D3CFD" w:rsidRDefault="00AC0F8C" w:rsidP="006D3CFD">
      <w:pPr>
        <w:pStyle w:val="TableTitle"/>
      </w:pPr>
      <w:r>
        <w:t>Table 36</w:t>
      </w:r>
      <w:r w:rsidR="006D3CFD">
        <w:t xml:space="preserve">: </w:t>
      </w:r>
      <w:r w:rsidR="006D3CFD" w:rsidRPr="006D3CFD">
        <w:t>Virologic outcomes for subjects in the SOF/VEL/VOX 12 week group</w:t>
      </w:r>
      <w:r>
        <w:t>, POLARIS-1 (full analysis set)</w:t>
      </w:r>
    </w:p>
    <w:p w:rsidR="006D3CFD" w:rsidRPr="009461C2" w:rsidRDefault="009461C2" w:rsidP="00AC0F8C">
      <w:r w:rsidRPr="00AC0F8C">
        <w:rPr>
          <w:noProof/>
          <w:lang w:eastAsia="en-AU"/>
        </w:rPr>
        <w:drawing>
          <wp:inline distT="0" distB="0" distL="0" distR="0" wp14:anchorId="343997E4" wp14:editId="2084DEC5">
            <wp:extent cx="5400040" cy="1382263"/>
            <wp:effectExtent l="0" t="0" r="0" b="8890"/>
            <wp:docPr id="1" name="Picture 1" descr="Table 36: Virologic outcomes for subjects in the SOF/VEL/VOX 12 week group, POLARIS-1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00040" cy="1382263"/>
                    </a:xfrm>
                    <a:prstGeom prst="rect">
                      <a:avLst/>
                    </a:prstGeom>
                  </pic:spPr>
                </pic:pic>
              </a:graphicData>
            </a:graphic>
          </wp:inline>
        </w:drawing>
      </w:r>
    </w:p>
    <w:p w:rsidR="006D3CFD" w:rsidRPr="009B1C43" w:rsidRDefault="00AC0F8C" w:rsidP="006D3CFD">
      <w:pPr>
        <w:pStyle w:val="TableTitle"/>
      </w:pPr>
      <w:r>
        <w:t xml:space="preserve">Table 37: </w:t>
      </w:r>
      <w:r w:rsidR="006D3CFD">
        <w:t>SVR12 by genotype and cirrhosis status, POLARIS-1</w:t>
      </w:r>
      <w:r w:rsidR="006D3CFD">
        <w:rPr>
          <w:vertAlign w:val="superscript"/>
        </w:rPr>
        <w:t>6</w:t>
      </w:r>
      <w:r w:rsidR="006D3CFD">
        <w:t xml:space="preserve"> (modified from Table</w:t>
      </w:r>
      <w:r w:rsidR="00266334">
        <w:t> </w:t>
      </w:r>
      <w:r w:rsidR="006D3CFD">
        <w:t>6, FDA Medical Review)</w:t>
      </w:r>
    </w:p>
    <w:p w:rsidR="00AF414F" w:rsidRPr="00AF414F" w:rsidRDefault="006A3EF3" w:rsidP="00AF414F">
      <w:r>
        <w:rPr>
          <w:noProof/>
          <w:lang w:eastAsia="en-AU"/>
        </w:rPr>
        <w:drawing>
          <wp:inline distT="0" distB="0" distL="0" distR="0" wp14:anchorId="2462F659" wp14:editId="03917274">
            <wp:extent cx="5400040" cy="2264533"/>
            <wp:effectExtent l="0" t="0" r="0" b="2540"/>
            <wp:docPr id="3" name="Picture 3" descr="Table 37: SVR12 by genotype and cirrhosis status, POLARIS-16 (modified from Table 6, FDA Medic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0040" cy="2264533"/>
                    </a:xfrm>
                    <a:prstGeom prst="rect">
                      <a:avLst/>
                    </a:prstGeom>
                  </pic:spPr>
                </pic:pic>
              </a:graphicData>
            </a:graphic>
          </wp:inline>
        </w:drawing>
      </w:r>
    </w:p>
    <w:p w:rsidR="006A3EF3" w:rsidRPr="006A3EF3" w:rsidRDefault="006A3EF3" w:rsidP="006A3EF3">
      <w:r w:rsidRPr="006A3EF3">
        <w:lastRenderedPageBreak/>
        <w:t xml:space="preserve">SVR24 results were provided by the </w:t>
      </w:r>
      <w:r w:rsidR="000D5C0A">
        <w:t>sponsor</w:t>
      </w:r>
      <w:r w:rsidRPr="006A3EF3">
        <w:t xml:space="preserve"> as part of the response</w:t>
      </w:r>
      <w:r w:rsidR="009461C2">
        <w:t xml:space="preserve"> to questions</w:t>
      </w:r>
      <w:r w:rsidRPr="006A3EF3">
        <w:t xml:space="preserve">, with 253/263 (96.2%) achieving SVR24 (95% CI </w:t>
      </w:r>
      <w:r w:rsidR="00DD2514">
        <w:t xml:space="preserve">93.1% to </w:t>
      </w:r>
      <w:r w:rsidRPr="006A3EF3">
        <w:t>98.2%), and updates accordingly included in the local and overseas product information. Results of the study demonstrated consistent efficacy across genotypes, ir</w:t>
      </w:r>
      <w:r w:rsidR="009461C2">
        <w:t>respective of cirrhosis status.</w:t>
      </w:r>
    </w:p>
    <w:p w:rsidR="006A3EF3" w:rsidRPr="006A3EF3" w:rsidRDefault="006A3EF3" w:rsidP="006A3EF3">
      <w:r w:rsidRPr="006A3EF3">
        <w:t>As predicted, no patients in the placebo group achieved a sustained virologic response.</w:t>
      </w:r>
    </w:p>
    <w:p w:rsidR="006A3EF3" w:rsidRPr="006A3EF3" w:rsidRDefault="006A3EF3" w:rsidP="00A95AB7">
      <w:r w:rsidRPr="006A3EF3">
        <w:t xml:space="preserve">A </w:t>
      </w:r>
      <w:r w:rsidR="00CE0E69">
        <w:t>placebo controlled</w:t>
      </w:r>
      <w:r w:rsidRPr="006A3EF3">
        <w:t xml:space="preserve"> study design was unusual, but was used to assess safety and to compare frequencies of adverse events.</w:t>
      </w:r>
    </w:p>
    <w:p w:rsidR="006A3EF3" w:rsidRPr="006A3EF3" w:rsidRDefault="006A3EF3" w:rsidP="006A3EF3">
      <w:pPr>
        <w:pStyle w:val="Heading6"/>
      </w:pPr>
      <w:r w:rsidRPr="006A3EF3">
        <w:t xml:space="preserve">Impact of </w:t>
      </w:r>
      <w:r w:rsidR="00266334">
        <w:t>b</w:t>
      </w:r>
      <w:r w:rsidR="00266334" w:rsidRPr="006A3EF3">
        <w:t xml:space="preserve">aseline </w:t>
      </w:r>
      <w:r w:rsidRPr="006A3EF3">
        <w:t xml:space="preserve">NS5A </w:t>
      </w:r>
      <w:r w:rsidR="00266334">
        <w:t>r</w:t>
      </w:r>
      <w:r w:rsidR="00266334" w:rsidRPr="006A3EF3">
        <w:t xml:space="preserve">esistance </w:t>
      </w:r>
      <w:r w:rsidR="00266334">
        <w:t>a</w:t>
      </w:r>
      <w:r w:rsidR="00266334" w:rsidRPr="006A3EF3">
        <w:t xml:space="preserve">ssociated </w:t>
      </w:r>
      <w:r w:rsidR="00266334">
        <w:t>s</w:t>
      </w:r>
      <w:r w:rsidR="00266334" w:rsidRPr="006A3EF3">
        <w:t xml:space="preserve">ubstitutions </w:t>
      </w:r>
      <w:r w:rsidRPr="006A3EF3">
        <w:t>(RAS)</w:t>
      </w:r>
    </w:p>
    <w:p w:rsidR="006A3EF3" w:rsidRPr="006A3EF3" w:rsidRDefault="006A3EF3" w:rsidP="006A3EF3">
      <w:r w:rsidRPr="006A3EF3">
        <w:t>Of the 263 SOF/VEL/VOX subjects with baseline NS5A deep sequence data, 78% (206/263) had baseline NS5A RAS. SVR12 rates for GT1a, GT1b, GT3a and GT4 subjects with NS5A RAS were comparable to subjects without baseline NS5A RAS. SVR12 results were not affected by the presence of N</w:t>
      </w:r>
      <w:r w:rsidR="009461C2">
        <w:t>S3 RAS or NS5B RAS at baseline.</w:t>
      </w:r>
      <w:bookmarkStart w:id="327" w:name="_Ref529367676"/>
      <w:r w:rsidR="009461C2">
        <w:rPr>
          <w:rStyle w:val="FootnoteReference"/>
        </w:rPr>
        <w:footnoteReference w:id="67"/>
      </w:r>
      <w:bookmarkEnd w:id="327"/>
    </w:p>
    <w:p w:rsidR="00476CD0" w:rsidRDefault="00266334" w:rsidP="006A3EF3">
      <w:pPr>
        <w:pStyle w:val="Heading5"/>
      </w:pPr>
      <w:r>
        <w:t xml:space="preserve">Study </w:t>
      </w:r>
      <w:r w:rsidR="00507436">
        <w:t>GS-US-367-1170 (POLARIS-</w:t>
      </w:r>
      <w:r w:rsidR="006A3EF3" w:rsidRPr="006A3EF3">
        <w:t>4</w:t>
      </w:r>
      <w:r>
        <w:t xml:space="preserve"> trial</w:t>
      </w:r>
      <w:r w:rsidR="006A3EF3" w:rsidRPr="006A3EF3">
        <w:t>)</w:t>
      </w:r>
    </w:p>
    <w:p w:rsidR="006A3EF3" w:rsidRPr="006A3EF3" w:rsidRDefault="006A3EF3" w:rsidP="006A3EF3">
      <w:r w:rsidRPr="006A3EF3">
        <w:t>HCV treatment experienced subjects who had not received an NS5A inhibitor</w:t>
      </w:r>
      <w:r w:rsidR="009461C2">
        <w:t>.</w:t>
      </w:r>
      <w:r w:rsidR="009461C2" w:rsidRPr="009461C2">
        <w:rPr>
          <w:vertAlign w:val="superscript"/>
        </w:rPr>
        <w:fldChar w:fldCharType="begin"/>
      </w:r>
      <w:r w:rsidR="009461C2" w:rsidRPr="009461C2">
        <w:rPr>
          <w:vertAlign w:val="superscript"/>
        </w:rPr>
        <w:instrText xml:space="preserve"> NOTEREF _Ref529350560 \h </w:instrText>
      </w:r>
      <w:r w:rsidR="009461C2">
        <w:rPr>
          <w:vertAlign w:val="superscript"/>
        </w:rPr>
        <w:instrText xml:space="preserve"> \* MERGEFORMAT </w:instrText>
      </w:r>
      <w:r w:rsidR="009461C2" w:rsidRPr="009461C2">
        <w:rPr>
          <w:vertAlign w:val="superscript"/>
        </w:rPr>
      </w:r>
      <w:r w:rsidR="009461C2" w:rsidRPr="009461C2">
        <w:rPr>
          <w:vertAlign w:val="superscript"/>
        </w:rPr>
        <w:fldChar w:fldCharType="separate"/>
      </w:r>
      <w:r w:rsidR="009461C2" w:rsidRPr="009461C2">
        <w:rPr>
          <w:vertAlign w:val="superscript"/>
        </w:rPr>
        <w:t>57</w:t>
      </w:r>
      <w:r w:rsidR="009461C2" w:rsidRPr="009461C2">
        <w:rPr>
          <w:vertAlign w:val="superscript"/>
        </w:rPr>
        <w:fldChar w:fldCharType="end"/>
      </w:r>
    </w:p>
    <w:p w:rsidR="006A3EF3" w:rsidRPr="006A3EF3" w:rsidRDefault="006A3EF3" w:rsidP="006A3EF3">
      <w:r w:rsidRPr="006A3EF3">
        <w:t xml:space="preserve">This was a randomised, </w:t>
      </w:r>
      <w:r w:rsidR="00476CD0">
        <w:t>open label</w:t>
      </w:r>
      <w:r w:rsidRPr="006A3EF3">
        <w:t xml:space="preserve">, multicentre study assessing efficacy and safety of SOF/VEL/VOX treatment for 12 weeks and SOF/VEL treatment for 12 weeks in </w:t>
      </w:r>
      <w:r w:rsidR="00CE0E69">
        <w:t>DAA experienced</w:t>
      </w:r>
      <w:r w:rsidRPr="006A3EF3">
        <w:t xml:space="preserve"> subjects with chronic HCV infection who had not previously been treated with the NS5A inhibitor. Subjects who had DAA exposure to a NS3/4A protease inhibitor (</w:t>
      </w:r>
      <w:r w:rsidR="003A5113">
        <w:t>Pi</w:t>
      </w:r>
      <w:r w:rsidRPr="006A3EF3">
        <w:t>) only were excluded.</w:t>
      </w:r>
    </w:p>
    <w:p w:rsidR="006A3EF3" w:rsidRPr="006A3EF3" w:rsidRDefault="006A3EF3" w:rsidP="006A3EF3">
      <w:r w:rsidRPr="006A3EF3">
        <w:t>The primary objectives were to determine the efficacy of treatment with the proposed SOF/VEL/VOX (400/100/100</w:t>
      </w:r>
      <w:r w:rsidR="00AA5E62">
        <w:t xml:space="preserve"> mg</w:t>
      </w:r>
      <w:r w:rsidRPr="006A3EF3">
        <w:t>) FDC for 12 weeks and SOF/VEL FDC for 12 weeks as measured by the proportion of subjects with sustained virologic response 12 weeks after cessation of treatment (SVR12) and also to evaluate the safety and tolerability of each treatment regimen. Secondary objecti</w:t>
      </w:r>
      <w:r w:rsidR="00507436">
        <w:t>ves were similar to the POLARIS-</w:t>
      </w:r>
      <w:r w:rsidRPr="006A3EF3">
        <w:t xml:space="preserve">1 study and described in the CER. The primary endpoint was the same for both trials: SVR12, defined as HCV RNA </w:t>
      </w:r>
      <w:r w:rsidR="00476CD0">
        <w:t xml:space="preserve">&lt; </w:t>
      </w:r>
      <w:r w:rsidRPr="006A3EF3">
        <w:t>LLOQ (</w:t>
      </w:r>
      <w:r w:rsidR="009461C2">
        <w:t>that is</w:t>
      </w:r>
      <w:r w:rsidRPr="006A3EF3">
        <w:t xml:space="preserve">, </w:t>
      </w:r>
      <w:r w:rsidR="00476CD0">
        <w:t xml:space="preserve">&lt; </w:t>
      </w:r>
      <w:r w:rsidRPr="006A3EF3">
        <w:t>15 IU/mL) 12 weeks after cessation of treatment in the Full Analysis Set.</w:t>
      </w:r>
    </w:p>
    <w:p w:rsidR="006A3EF3" w:rsidRPr="006A3EF3" w:rsidRDefault="006A3EF3" w:rsidP="00A95AB7">
      <w:r w:rsidRPr="006A3EF3">
        <w:t xml:space="preserve">The POLARIS-4 </w:t>
      </w:r>
      <w:r w:rsidR="00266334">
        <w:t>trial</w:t>
      </w:r>
      <w:r w:rsidR="00266334" w:rsidRPr="006A3EF3">
        <w:t xml:space="preserve"> </w:t>
      </w:r>
      <w:r w:rsidRPr="006A3EF3">
        <w:t>was not designed for direct statistical comparison between the study groups, but rather a pre-specified SVR12 goal of 85%.</w:t>
      </w:r>
      <w:r w:rsidR="009461C2" w:rsidRPr="009461C2">
        <w:rPr>
          <w:vertAlign w:val="superscript"/>
        </w:rPr>
        <w:fldChar w:fldCharType="begin"/>
      </w:r>
      <w:r w:rsidR="009461C2" w:rsidRPr="009461C2">
        <w:rPr>
          <w:vertAlign w:val="superscript"/>
        </w:rPr>
        <w:instrText xml:space="preserve"> NOTEREF _Ref529351096 \h </w:instrText>
      </w:r>
      <w:r w:rsidR="009461C2">
        <w:rPr>
          <w:vertAlign w:val="superscript"/>
        </w:rPr>
        <w:instrText xml:space="preserve"> \* MERGEFORMAT </w:instrText>
      </w:r>
      <w:r w:rsidR="009461C2" w:rsidRPr="009461C2">
        <w:rPr>
          <w:vertAlign w:val="superscript"/>
        </w:rPr>
      </w:r>
      <w:r w:rsidR="009461C2" w:rsidRPr="009461C2">
        <w:rPr>
          <w:vertAlign w:val="superscript"/>
        </w:rPr>
        <w:fldChar w:fldCharType="separate"/>
      </w:r>
      <w:r w:rsidR="009461C2" w:rsidRPr="009461C2">
        <w:rPr>
          <w:vertAlign w:val="superscript"/>
        </w:rPr>
        <w:t>53</w:t>
      </w:r>
      <w:r w:rsidR="009461C2" w:rsidRPr="009461C2">
        <w:rPr>
          <w:vertAlign w:val="superscript"/>
        </w:rPr>
        <w:fldChar w:fldCharType="end"/>
      </w:r>
      <w:proofErr w:type="gramStart"/>
      <w:r w:rsidR="009461C2" w:rsidRPr="009461C2">
        <w:rPr>
          <w:vertAlign w:val="superscript"/>
        </w:rPr>
        <w:t>,</w:t>
      </w:r>
      <w:proofErr w:type="gramEnd"/>
      <w:r w:rsidR="009461C2" w:rsidRPr="009461C2">
        <w:rPr>
          <w:vertAlign w:val="superscript"/>
        </w:rPr>
        <w:fldChar w:fldCharType="begin"/>
      </w:r>
      <w:r w:rsidR="009461C2" w:rsidRPr="009461C2">
        <w:rPr>
          <w:vertAlign w:val="superscript"/>
        </w:rPr>
        <w:instrText xml:space="preserve"> NOTEREF _Ref529351161 \h </w:instrText>
      </w:r>
      <w:r w:rsidR="009461C2">
        <w:rPr>
          <w:vertAlign w:val="superscript"/>
        </w:rPr>
        <w:instrText xml:space="preserve"> \* MERGEFORMAT </w:instrText>
      </w:r>
      <w:r w:rsidR="009461C2" w:rsidRPr="009461C2">
        <w:rPr>
          <w:vertAlign w:val="superscript"/>
        </w:rPr>
      </w:r>
      <w:r w:rsidR="009461C2" w:rsidRPr="009461C2">
        <w:rPr>
          <w:vertAlign w:val="superscript"/>
        </w:rPr>
        <w:fldChar w:fldCharType="separate"/>
      </w:r>
      <w:r w:rsidR="009461C2" w:rsidRPr="009461C2">
        <w:rPr>
          <w:vertAlign w:val="superscript"/>
        </w:rPr>
        <w:t>56</w:t>
      </w:r>
      <w:r w:rsidR="009461C2" w:rsidRPr="009461C2">
        <w:rPr>
          <w:vertAlign w:val="superscript"/>
        </w:rPr>
        <w:fldChar w:fldCharType="end"/>
      </w:r>
    </w:p>
    <w:p w:rsidR="006A3EF3" w:rsidRPr="006A3EF3" w:rsidRDefault="006A3EF3" w:rsidP="006A3EF3">
      <w:pPr>
        <w:pStyle w:val="Heading6"/>
      </w:pPr>
      <w:r w:rsidRPr="006A3EF3">
        <w:t>Participant flow</w:t>
      </w:r>
    </w:p>
    <w:p w:rsidR="006A3EF3" w:rsidRPr="006A3EF3" w:rsidRDefault="006A3EF3" w:rsidP="006A3EF3">
      <w:r w:rsidRPr="006A3EF3">
        <w:t xml:space="preserve">333 subjects were randomised or enrolled and all received at least one dose of study drug and were included in the </w:t>
      </w:r>
      <w:r w:rsidR="00266334" w:rsidRPr="006A3EF3">
        <w:t xml:space="preserve">full analysis set </w:t>
      </w:r>
      <w:r w:rsidRPr="006A3EF3">
        <w:t xml:space="preserve">and </w:t>
      </w:r>
      <w:r w:rsidR="00266334" w:rsidRPr="006A3EF3">
        <w:t xml:space="preserve">safety analysis set </w:t>
      </w:r>
      <w:r w:rsidRPr="006A3EF3">
        <w:t xml:space="preserve">(182 in the SOF/VEL/VOX 12 </w:t>
      </w:r>
      <w:r w:rsidR="00266334">
        <w:t>w</w:t>
      </w:r>
      <w:r w:rsidRPr="006A3EF3">
        <w:t xml:space="preserve">eek group and 151 in the SOF/VEL 12 </w:t>
      </w:r>
      <w:r w:rsidR="00266334">
        <w:t>w</w:t>
      </w:r>
      <w:r w:rsidRPr="006A3EF3">
        <w:t>eek group). The majority of subjects completed study treatment (99.4%, 331 of 333 subjects).</w:t>
      </w:r>
    </w:p>
    <w:p w:rsidR="006A3EF3" w:rsidRPr="006A3EF3" w:rsidRDefault="006A3EF3" w:rsidP="006A3EF3">
      <w:pPr>
        <w:pStyle w:val="Heading6"/>
      </w:pPr>
      <w:r w:rsidRPr="006A3EF3">
        <w:t>Baseline data</w:t>
      </w:r>
    </w:p>
    <w:p w:rsidR="006A3EF3" w:rsidRPr="006A3EF3" w:rsidRDefault="006A3EF3" w:rsidP="006A3EF3">
      <w:r w:rsidRPr="006A3EF3">
        <w:t xml:space="preserve">Baseline characteristics were generally balanced across treatment </w:t>
      </w:r>
      <w:r w:rsidRPr="00AC0F8C">
        <w:t>groups (</w:t>
      </w:r>
      <w:r w:rsidR="00AC0F8C" w:rsidRPr="00AC0F8C">
        <w:t>Table 38</w:t>
      </w:r>
      <w:r w:rsidRPr="00AC0F8C">
        <w:t>). Most</w:t>
      </w:r>
      <w:r w:rsidRPr="006A3EF3">
        <w:t xml:space="preserve"> subjects had genotype 1 (43.2% </w:t>
      </w:r>
      <w:r w:rsidR="000E1116">
        <w:t>(</w:t>
      </w:r>
      <w:r w:rsidRPr="006A3EF3">
        <w:t>1a, 29.4%; 1b, 13.8%</w:t>
      </w:r>
      <w:r w:rsidR="000E1116">
        <w:t>)</w:t>
      </w:r>
      <w:r w:rsidRPr="006A3EF3">
        <w:t xml:space="preserve">) or genotype 3 (31.8%) </w:t>
      </w:r>
      <w:proofErr w:type="gramStart"/>
      <w:r w:rsidRPr="006A3EF3">
        <w:t>HCV infection.</w:t>
      </w:r>
      <w:proofErr w:type="gramEnd"/>
      <w:r w:rsidRPr="006A3EF3">
        <w:t xml:space="preserve"> Subjects with genotype 4 HCV infection (5.7%) were enrolled into the SOF/VEL/VOX 12 Week group according to the study protocol specification. No subjects with genotype 5 or 6 HCV infection were enrolled. 45.9% of subjects had cirrhosis, which was higher than the minimum enrolment target of 30% and reflects the higher prevalence of cirrhosis in the </w:t>
      </w:r>
      <w:r w:rsidR="00CE0E69">
        <w:t>DAA experienced</w:t>
      </w:r>
      <w:r w:rsidRPr="006A3EF3">
        <w:t xml:space="preserve"> subject population.</w:t>
      </w:r>
    </w:p>
    <w:p w:rsidR="006A3EF3" w:rsidRDefault="006A3EF3" w:rsidP="006A3EF3">
      <w:r w:rsidRPr="006A3EF3">
        <w:t xml:space="preserve">Most subjects (73.0%) had been previously treated with a NS5B inhibitor only; 25.2% of subjects had been previously treated with a combination of a NS5B inhibitor and NS3 inhibitor. For subjects with genotype 1 HCV infection, the majority of subjects had prior </w:t>
      </w:r>
      <w:r w:rsidRPr="006A3EF3">
        <w:lastRenderedPageBreak/>
        <w:t>exposure to SOF or SOF+</w:t>
      </w:r>
      <w:r w:rsidR="009E6C8F" w:rsidRPr="009E6C8F">
        <w:rPr>
          <w:rFonts w:eastAsia="TimesNewRoman" w:cs="TimesNewRoman"/>
        </w:rPr>
        <w:t xml:space="preserve"> </w:t>
      </w:r>
      <w:r w:rsidR="009E6C8F">
        <w:rPr>
          <w:rFonts w:eastAsia="TimesNewRoman" w:cs="TimesNewRoman"/>
        </w:rPr>
        <w:t>simeprevir (</w:t>
      </w:r>
      <w:r w:rsidRPr="006A3EF3">
        <w:t>SMV</w:t>
      </w:r>
      <w:r w:rsidR="009E6C8F">
        <w:t>)</w:t>
      </w:r>
      <w:r w:rsidRPr="006A3EF3">
        <w:t xml:space="preserve">. For subjects with genotype 2, 3 or 4 HCV infection, the majority of subjects had prior exposure to SOF. Despite being </w:t>
      </w:r>
      <w:r w:rsidR="00234AF1">
        <w:t xml:space="preserve">an </w:t>
      </w:r>
      <w:r w:rsidR="00234AF1" w:rsidRPr="006A3EF3">
        <w:t>exclusion criterion</w:t>
      </w:r>
      <w:r w:rsidRPr="006A3EF3">
        <w:t xml:space="preserve">, five </w:t>
      </w:r>
      <w:r w:rsidR="00CE0E69">
        <w:t>DAA experienced</w:t>
      </w:r>
      <w:r w:rsidRPr="006A3EF3">
        <w:t xml:space="preserve"> subjects (1.5%) </w:t>
      </w:r>
      <w:proofErr w:type="gramStart"/>
      <w:r w:rsidRPr="006A3EF3">
        <w:t>whose</w:t>
      </w:r>
      <w:proofErr w:type="gramEnd"/>
      <w:r w:rsidRPr="006A3EF3">
        <w:t xml:space="preserve"> only DAA exposure was with an NS3/4A </w:t>
      </w:r>
      <w:r w:rsidR="00A34D06">
        <w:t>protease inhibitor</w:t>
      </w:r>
      <w:r w:rsidR="00EA6C30">
        <w:t xml:space="preserve"> </w:t>
      </w:r>
      <w:r w:rsidRPr="006A3EF3">
        <w:t>were enrolled or randomised.</w:t>
      </w:r>
    </w:p>
    <w:p w:rsidR="009461C2" w:rsidRDefault="009461C2" w:rsidP="009461C2">
      <w:pPr>
        <w:pStyle w:val="Tabletitle0"/>
      </w:pPr>
      <w:r w:rsidRPr="00AC0F8C">
        <w:lastRenderedPageBreak/>
        <w:t xml:space="preserve">Table </w:t>
      </w:r>
      <w:r w:rsidR="00AC0F8C" w:rsidRPr="00AC0F8C">
        <w:t>38:</w:t>
      </w:r>
      <w:r w:rsidRPr="00AC0F8C">
        <w:t xml:space="preserve"> </w:t>
      </w:r>
      <w:r w:rsidR="00266334">
        <w:t xml:space="preserve">Study </w:t>
      </w:r>
      <w:r w:rsidRPr="00AC0F8C">
        <w:t>GS-US-367-1170 Baseline characteristics by treatment group and overall</w:t>
      </w:r>
      <w:r>
        <w:t xml:space="preserve"> (safety analysis set</w:t>
      </w:r>
      <w:r w:rsidR="00AC0F8C">
        <w:t>)</w:t>
      </w:r>
    </w:p>
    <w:p w:rsidR="009461C2" w:rsidRPr="009461C2" w:rsidRDefault="00234AF1" w:rsidP="009461C2">
      <w:r>
        <w:rPr>
          <w:noProof/>
          <w:lang w:eastAsia="en-AU"/>
        </w:rPr>
        <w:drawing>
          <wp:inline distT="0" distB="0" distL="0" distR="0" wp14:anchorId="7DE06F81" wp14:editId="26229DE1">
            <wp:extent cx="5048250" cy="7781925"/>
            <wp:effectExtent l="0" t="0" r="0" b="9525"/>
            <wp:docPr id="15" name="Picture 15" descr="Table 38: GS-US-367-1170. Baseline characteristics by treatment group and overal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48250" cy="7781925"/>
                    </a:xfrm>
                    <a:prstGeom prst="rect">
                      <a:avLst/>
                    </a:prstGeom>
                  </pic:spPr>
                </pic:pic>
              </a:graphicData>
            </a:graphic>
          </wp:inline>
        </w:drawing>
      </w:r>
    </w:p>
    <w:p w:rsidR="006A3EF3" w:rsidRPr="006A3EF3" w:rsidRDefault="006A3EF3" w:rsidP="006A3EF3">
      <w:pPr>
        <w:pStyle w:val="Heading6"/>
      </w:pPr>
      <w:r w:rsidRPr="006A3EF3">
        <w:t>Results</w:t>
      </w:r>
    </w:p>
    <w:p w:rsidR="00476CD0" w:rsidRDefault="006A3EF3" w:rsidP="006A3EF3">
      <w:r w:rsidRPr="006A3EF3">
        <w:t xml:space="preserve">The SOF/VEL/VOX 12 </w:t>
      </w:r>
      <w:r w:rsidR="00266334">
        <w:t>w</w:t>
      </w:r>
      <w:r w:rsidRPr="006A3EF3">
        <w:t xml:space="preserve">eek group met the primary efficacy endpoint with a significantly higher SVR12 rate of 97.3% (95% CI: 93.7% to 99.1%; 177 of 182 subjects) compared </w:t>
      </w:r>
      <w:r w:rsidRPr="006A3EF3">
        <w:lastRenderedPageBreak/>
        <w:t xml:space="preserve">with the performance goal of 85% (p </w:t>
      </w:r>
      <w:r w:rsidR="00476CD0">
        <w:t xml:space="preserve">&lt; </w:t>
      </w:r>
      <w:r w:rsidRPr="006A3EF3">
        <w:t>0.001). The SOF/VEL 12 Week group did not meet the primary efficacy endpoint with a SVR12 rate of 90.1% (95% CI: 84.1% to 94.3%; 136/151) compared with the performance goal of 85% (p</w:t>
      </w:r>
      <w:r w:rsidR="003925CF">
        <w:t xml:space="preserve"> = </w:t>
      </w:r>
      <w:r w:rsidRPr="006A3EF3">
        <w:t>0.092)</w:t>
      </w:r>
      <w:r w:rsidR="00476CD0">
        <w:t>.</w:t>
      </w:r>
    </w:p>
    <w:p w:rsidR="006A3EF3" w:rsidRPr="006A3EF3" w:rsidRDefault="006A3EF3" w:rsidP="00A95AB7">
      <w:r w:rsidRPr="006A3EF3">
        <w:t>Post-hoc analyses performed by the FDA to compare SVR12 rates between groups demonstrated a 7% treatment difference in favour of SOF/VEL/VOX (95%CI 1.9%, 12.5%, p</w:t>
      </w:r>
      <w:r w:rsidR="003925CF">
        <w:t xml:space="preserve"> = </w:t>
      </w:r>
      <w:r w:rsidRPr="006A3EF3">
        <w:t>0.006, based on Chi-square test), with the lower relapse rate the main factor driving the higher SVR12 rate in the SOF/VEL/VOX group. No comparison data were available for HCV 4, 5 and 6, as all GT4 subjects received SOF/VEL/VOX and no subjects with HCV 5 and 6 were enrolled in the study.</w:t>
      </w:r>
      <w:bookmarkStart w:id="328" w:name="_Ref529351638"/>
      <w:r w:rsidRPr="00234AF1">
        <w:rPr>
          <w:vertAlign w:val="superscript"/>
        </w:rPr>
        <w:footnoteReference w:id="68"/>
      </w:r>
      <w:bookmarkEnd w:id="328"/>
    </w:p>
    <w:p w:rsidR="006A3EF3" w:rsidRDefault="00AC0F8C" w:rsidP="006A3EF3">
      <w:pPr>
        <w:pStyle w:val="TableTitle"/>
      </w:pPr>
      <w:r>
        <w:t>Table 39</w:t>
      </w:r>
      <w:r w:rsidR="006A3EF3">
        <w:t xml:space="preserve">: </w:t>
      </w:r>
      <w:r w:rsidR="006A3EF3" w:rsidRPr="0027428A">
        <w:t>POLARIS-4</w:t>
      </w:r>
      <w:r w:rsidR="00266334">
        <w:t xml:space="preserve"> trial,</w:t>
      </w:r>
      <w:r w:rsidR="006A3EF3" w:rsidRPr="0027428A">
        <w:t xml:space="preserve"> SVR12 by HCV genotype and </w:t>
      </w:r>
      <w:proofErr w:type="spellStart"/>
      <w:r w:rsidR="006A3EF3" w:rsidRPr="0027428A">
        <w:t>virologic</w:t>
      </w:r>
      <w:proofErr w:type="spellEnd"/>
      <w:r w:rsidR="006A3EF3" w:rsidRPr="0027428A">
        <w:t xml:space="preserve"> outcome</w:t>
      </w:r>
      <w:r w:rsidR="00234AF1" w:rsidRPr="00234AF1">
        <w:rPr>
          <w:vertAlign w:val="superscript"/>
        </w:rPr>
        <w:fldChar w:fldCharType="begin"/>
      </w:r>
      <w:r w:rsidR="00234AF1" w:rsidRPr="00234AF1">
        <w:rPr>
          <w:vertAlign w:val="superscript"/>
        </w:rPr>
        <w:instrText xml:space="preserve"> NOTEREF _Ref529347463 \h  \* MERGEFORMAT </w:instrText>
      </w:r>
      <w:r w:rsidR="00234AF1" w:rsidRPr="00234AF1">
        <w:rPr>
          <w:vertAlign w:val="superscript"/>
        </w:rPr>
      </w:r>
      <w:r w:rsidR="00234AF1" w:rsidRPr="00234AF1">
        <w:rPr>
          <w:vertAlign w:val="superscript"/>
        </w:rPr>
        <w:fldChar w:fldCharType="separate"/>
      </w:r>
      <w:r w:rsidR="00234AF1" w:rsidRPr="00234AF1">
        <w:rPr>
          <w:vertAlign w:val="superscript"/>
        </w:rPr>
        <w:t>55</w:t>
      </w:r>
      <w:r w:rsidR="00234AF1" w:rsidRPr="00234AF1">
        <w:rPr>
          <w:vertAlign w:val="superscript"/>
        </w:rPr>
        <w:fldChar w:fldCharType="end"/>
      </w:r>
    </w:p>
    <w:p w:rsidR="00AF414F" w:rsidRPr="00AF414F" w:rsidRDefault="006A3EF3" w:rsidP="00AF414F">
      <w:r>
        <w:rPr>
          <w:noProof/>
          <w:lang w:eastAsia="en-AU"/>
        </w:rPr>
        <w:drawing>
          <wp:inline distT="0" distB="0" distL="0" distR="0" wp14:anchorId="190F7783" wp14:editId="0168ADF7">
            <wp:extent cx="5400040" cy="2801041"/>
            <wp:effectExtent l="0" t="0" r="0" b="0"/>
            <wp:docPr id="4" name="Picture 4" descr="Table 39: POLARIS-4. SVR12 by HCV genotype and virologic outcom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00040" cy="2801041"/>
                    </a:xfrm>
                    <a:prstGeom prst="rect">
                      <a:avLst/>
                    </a:prstGeom>
                  </pic:spPr>
                </pic:pic>
              </a:graphicData>
            </a:graphic>
          </wp:inline>
        </w:drawing>
      </w:r>
    </w:p>
    <w:p w:rsidR="006A3EF3" w:rsidRDefault="006A3EF3" w:rsidP="00234AF1">
      <w:r w:rsidRPr="006A3EF3">
        <w:t xml:space="preserve">The SVR12 rate in the SOF/VEL 12 Week group for subjects </w:t>
      </w:r>
      <w:r w:rsidRPr="00AC0F8C">
        <w:t>with cirrhosis was lower (59/69, 85.5%) compared to subjects without cirrhosis (77/82, 93.9%</w:t>
      </w:r>
      <w:proofErr w:type="gramStart"/>
      <w:r w:rsidRPr="00AC0F8C">
        <w:t>)(</w:t>
      </w:r>
      <w:proofErr w:type="gramEnd"/>
      <w:r w:rsidRPr="00AC0F8C">
        <w:t xml:space="preserve">Table </w:t>
      </w:r>
      <w:r w:rsidR="00AC0F8C" w:rsidRPr="00AC0F8C">
        <w:t>40</w:t>
      </w:r>
      <w:r w:rsidRPr="00AC0F8C">
        <w:t>). SVR12 rates were not affected by the presence of NS3 or NS5B RAS at baseline.</w:t>
      </w:r>
      <w:r w:rsidR="00234AF1" w:rsidRPr="00AC0F8C">
        <w:rPr>
          <w:vertAlign w:val="superscript"/>
        </w:rPr>
        <w:fldChar w:fldCharType="begin"/>
      </w:r>
      <w:r w:rsidR="00234AF1" w:rsidRPr="00AC0F8C">
        <w:rPr>
          <w:vertAlign w:val="superscript"/>
        </w:rPr>
        <w:instrText xml:space="preserve"> NOTEREF _Ref529351638 \h  \* MERGEFORMAT </w:instrText>
      </w:r>
      <w:r w:rsidR="00234AF1" w:rsidRPr="00AC0F8C">
        <w:rPr>
          <w:vertAlign w:val="superscript"/>
        </w:rPr>
      </w:r>
      <w:r w:rsidR="00234AF1" w:rsidRPr="00AC0F8C">
        <w:rPr>
          <w:vertAlign w:val="superscript"/>
        </w:rPr>
        <w:fldChar w:fldCharType="separate"/>
      </w:r>
      <w:r w:rsidR="00234AF1" w:rsidRPr="00AC0F8C">
        <w:rPr>
          <w:vertAlign w:val="superscript"/>
        </w:rPr>
        <w:t>59</w:t>
      </w:r>
      <w:r w:rsidR="00234AF1" w:rsidRPr="00AC0F8C">
        <w:rPr>
          <w:vertAlign w:val="superscript"/>
        </w:rPr>
        <w:fldChar w:fldCharType="end"/>
      </w:r>
    </w:p>
    <w:p w:rsidR="00234AF1" w:rsidRDefault="00234AF1" w:rsidP="00234AF1">
      <w:pPr>
        <w:pStyle w:val="Tabletitle0"/>
        <w:rPr>
          <w:rFonts w:cstheme="minorHAnsi"/>
        </w:rPr>
      </w:pPr>
      <w:bookmarkStart w:id="329" w:name="_Ref485290372"/>
      <w:bookmarkStart w:id="330" w:name="_Toc496266181"/>
      <w:r w:rsidRPr="00C775DA">
        <w:rPr>
          <w:rFonts w:cstheme="minorHAnsi"/>
        </w:rPr>
        <w:lastRenderedPageBreak/>
        <w:t xml:space="preserve">Table </w:t>
      </w:r>
      <w:r w:rsidR="00AC0F8C">
        <w:rPr>
          <w:rFonts w:cstheme="minorHAnsi"/>
        </w:rPr>
        <w:t>40</w:t>
      </w:r>
      <w:r w:rsidRPr="00C775DA">
        <w:rPr>
          <w:rFonts w:cstheme="minorHAnsi"/>
        </w:rPr>
        <w:t>:</w:t>
      </w:r>
      <w:r w:rsidRPr="006A0305">
        <w:rPr>
          <w:rFonts w:cstheme="minorHAnsi"/>
        </w:rPr>
        <w:t xml:space="preserve"> </w:t>
      </w:r>
      <w:r w:rsidR="00266334">
        <w:rPr>
          <w:rFonts w:cstheme="minorHAnsi"/>
        </w:rPr>
        <w:t xml:space="preserve">Study </w:t>
      </w:r>
      <w:r>
        <w:t>GS-US-367-1170 SVR12 by baseline characteristics subgroups (</w:t>
      </w:r>
      <w:r w:rsidR="00266334">
        <w:t>F</w:t>
      </w:r>
      <w:r>
        <w:t>ull analysis set)</w:t>
      </w:r>
      <w:bookmarkEnd w:id="329"/>
      <w:bookmarkEnd w:id="330"/>
    </w:p>
    <w:p w:rsidR="00234AF1" w:rsidRPr="00234AF1" w:rsidRDefault="00234AF1" w:rsidP="00234AF1">
      <w:r w:rsidRPr="00C775DA">
        <w:rPr>
          <w:rFonts w:ascii="Calibri" w:hAnsi="Calibri" w:cstheme="minorHAnsi"/>
          <w:noProof/>
          <w:sz w:val="20"/>
          <w:szCs w:val="20"/>
          <w:lang w:eastAsia="en-AU"/>
        </w:rPr>
        <w:drawing>
          <wp:inline distT="0" distB="0" distL="0" distR="0" wp14:anchorId="27E69A40" wp14:editId="54B84199">
            <wp:extent cx="5090296" cy="6408115"/>
            <wp:effectExtent l="0" t="0" r="0" b="0"/>
            <wp:docPr id="139" name="Picture 139" descr="Table 40: GS-US-367-1170. SVR12 by baseline characteristics subgroup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92091" cy="6410375"/>
                    </a:xfrm>
                    <a:prstGeom prst="rect">
                      <a:avLst/>
                    </a:prstGeom>
                    <a:noFill/>
                    <a:ln>
                      <a:noFill/>
                    </a:ln>
                  </pic:spPr>
                </pic:pic>
              </a:graphicData>
            </a:graphic>
          </wp:inline>
        </w:drawing>
      </w:r>
    </w:p>
    <w:p w:rsidR="006A3EF3" w:rsidRPr="006A3EF3" w:rsidRDefault="006A3EF3" w:rsidP="006A3EF3">
      <w:r w:rsidRPr="006A3EF3">
        <w:t xml:space="preserve">The evaluator concluded that these results demonstrated the contribution of VOX to the potent regimen of SOF/VEL for 12 weeks for retreatment of the </w:t>
      </w:r>
      <w:r w:rsidR="00CE0E69">
        <w:t>DAA experienced</w:t>
      </w:r>
      <w:r w:rsidRPr="006A3EF3">
        <w:t xml:space="preserve"> patients who have not previously received an NS5A </w:t>
      </w:r>
      <w:r w:rsidR="003A5113">
        <w:t>inhibitor containing</w:t>
      </w:r>
      <w:r w:rsidRPr="006A3EF3">
        <w:t xml:space="preserve"> regimen especially in those with cirrhosis, with genotype 1a HCV infection, genotype 3 and 4 HCV infection. SVR24 results were provided by the </w:t>
      </w:r>
      <w:r w:rsidR="000D5C0A">
        <w:t>sponsor</w:t>
      </w:r>
      <w:r w:rsidRPr="006A3EF3">
        <w:t xml:space="preserve"> as part of the </w:t>
      </w:r>
      <w:r w:rsidR="00D033A4">
        <w:t>sponsor’s post-first round</w:t>
      </w:r>
      <w:r w:rsidRPr="006A3EF3">
        <w:t xml:space="preserve"> response and demonstrated that SVR was sustained (178/182, 97.8% in the SOF/VEL/VOX 12 Week group and 136/151,90.1%</w:t>
      </w:r>
      <w:r w:rsidR="00234AF1">
        <w:t>, in the SOF/VEL 12 week group).</w:t>
      </w:r>
    </w:p>
    <w:p w:rsidR="006A3EF3" w:rsidRPr="006A3EF3" w:rsidRDefault="006A3EF3" w:rsidP="00A95AB7">
      <w:r w:rsidRPr="006A3EF3">
        <w:t>The FDA review</w:t>
      </w:r>
      <w:proofErr w:type="gramStart"/>
      <w:r w:rsidR="00D033A4">
        <w:t>;</w:t>
      </w:r>
      <w:proofErr w:type="gramEnd"/>
      <w:r w:rsidR="00234AF1" w:rsidRPr="00234AF1">
        <w:rPr>
          <w:vertAlign w:val="superscript"/>
        </w:rPr>
        <w:fldChar w:fldCharType="begin"/>
      </w:r>
      <w:r w:rsidR="00234AF1" w:rsidRPr="00234AF1">
        <w:rPr>
          <w:vertAlign w:val="superscript"/>
        </w:rPr>
        <w:instrText xml:space="preserve"> NOTEREF _Ref529350560 \h </w:instrText>
      </w:r>
      <w:r w:rsidR="00234AF1">
        <w:rPr>
          <w:vertAlign w:val="superscript"/>
        </w:rPr>
        <w:instrText xml:space="preserve"> \* MERGEFORMAT </w:instrText>
      </w:r>
      <w:r w:rsidR="00234AF1" w:rsidRPr="00234AF1">
        <w:rPr>
          <w:vertAlign w:val="superscript"/>
        </w:rPr>
      </w:r>
      <w:r w:rsidR="00234AF1" w:rsidRPr="00234AF1">
        <w:rPr>
          <w:vertAlign w:val="superscript"/>
        </w:rPr>
        <w:fldChar w:fldCharType="separate"/>
      </w:r>
      <w:r w:rsidR="00234AF1" w:rsidRPr="00234AF1">
        <w:rPr>
          <w:vertAlign w:val="superscript"/>
        </w:rPr>
        <w:t>57</w:t>
      </w:r>
      <w:r w:rsidR="00234AF1" w:rsidRPr="00234AF1">
        <w:rPr>
          <w:vertAlign w:val="superscript"/>
        </w:rPr>
        <w:fldChar w:fldCharType="end"/>
      </w:r>
      <w:r w:rsidRPr="006A3EF3">
        <w:t xml:space="preserve"> concluded that the contribution of VOX was most apparent for GT1a and GT3 infection and that the contribution of VOX has not been established for GT1b, 2,4,5 and 6. This is reflected in the</w:t>
      </w:r>
      <w:r w:rsidR="00234AF1">
        <w:t xml:space="preserve"> FDA labelling and indication.</w:t>
      </w:r>
    </w:p>
    <w:p w:rsidR="006A3EF3" w:rsidRPr="006A3EF3" w:rsidRDefault="00D033A4" w:rsidP="006A3EF3">
      <w:pPr>
        <w:pStyle w:val="Heading5"/>
      </w:pPr>
      <w:r>
        <w:lastRenderedPageBreak/>
        <w:t xml:space="preserve">Study </w:t>
      </w:r>
      <w:r w:rsidR="006A3EF3" w:rsidRPr="006A3EF3">
        <w:t>GS-US-367-1172 (POLARIS-2</w:t>
      </w:r>
      <w:r>
        <w:t xml:space="preserve"> trial</w:t>
      </w:r>
      <w:r w:rsidR="006A3EF3" w:rsidRPr="006A3EF3">
        <w:t>)</w:t>
      </w:r>
      <w:bookmarkStart w:id="331" w:name="_Ref529353018"/>
      <w:r w:rsidR="006A3EF3" w:rsidRPr="006A3EF3">
        <w:rPr>
          <w:rFonts w:eastAsia="Cambria"/>
          <w:vertAlign w:val="superscript"/>
        </w:rPr>
        <w:footnoteReference w:id="69"/>
      </w:r>
      <w:bookmarkEnd w:id="331"/>
    </w:p>
    <w:p w:rsidR="006A3EF3" w:rsidRPr="006A3EF3" w:rsidRDefault="006A3EF3" w:rsidP="006A3EF3">
      <w:r w:rsidRPr="006A3EF3">
        <w:t xml:space="preserve">This was a multicentre, randomised, </w:t>
      </w:r>
      <w:r w:rsidR="00476CD0">
        <w:t>open label</w:t>
      </w:r>
      <w:r w:rsidRPr="006A3EF3">
        <w:t xml:space="preserve"> study. The primary objectives were to compare the efficacy of treatment with SOF/VEL/VOX (400/100/100</w:t>
      </w:r>
      <w:r w:rsidR="00AA5E62">
        <w:t xml:space="preserve"> mg</w:t>
      </w:r>
      <w:r w:rsidRPr="006A3EF3">
        <w:t xml:space="preserve">) FDC for 8 weeks with that of SOF/VEL for 12 weeks as measured by SVR12 in patients who were naïve to DAAs and to evaluate the safety and tolerability of each treatment regimen. The secondary and exploratory objectives were similar to those described for </w:t>
      </w:r>
      <w:r w:rsidR="00476CD0">
        <w:t>Study</w:t>
      </w:r>
      <w:r w:rsidRPr="006A3EF3">
        <w:t xml:space="preserve"> GS-US-367-1170 (POLARIS-4</w:t>
      </w:r>
      <w:r w:rsidR="00D033A4">
        <w:t xml:space="preserve"> trial</w:t>
      </w:r>
      <w:r w:rsidRPr="006A3EF3">
        <w:t>)</w:t>
      </w:r>
      <w:r w:rsidR="00234AF1">
        <w:t>.</w:t>
      </w:r>
    </w:p>
    <w:p w:rsidR="006A3EF3" w:rsidRPr="006A3EF3" w:rsidRDefault="006A3EF3" w:rsidP="006A3EF3">
      <w:r w:rsidRPr="006A3EF3">
        <w:t>The non-inferiority of the SVR among patients receiving SOF/VEL/VOX was compared to those receiving SOF/VEL, with a non-</w:t>
      </w:r>
      <w:r w:rsidR="00234AF1">
        <w:t>inferiority margin of 5%.</w:t>
      </w:r>
    </w:p>
    <w:p w:rsidR="006A3EF3" w:rsidRPr="006A3EF3" w:rsidRDefault="006A3EF3" w:rsidP="006A3EF3">
      <w:proofErr w:type="gramStart"/>
      <w:r w:rsidRPr="006A3EF3">
        <w:t>A target of at least 30% of subjects with genotype 1, 2, or 4 HCV infection were</w:t>
      </w:r>
      <w:proofErr w:type="gramEnd"/>
      <w:r w:rsidRPr="006A3EF3">
        <w:t xml:space="preserve"> to have cirrhosis. Subjects with genotype 3 HCV infection with cirrhosis were not eligible for participation. Efficacy variables and outcomes were the same as those for the POLARIS-1 </w:t>
      </w:r>
      <w:r w:rsidR="00D033A4">
        <w:t>trial</w:t>
      </w:r>
      <w:r w:rsidRPr="006A3EF3">
        <w:t>.</w:t>
      </w:r>
    </w:p>
    <w:p w:rsidR="006A3EF3" w:rsidRPr="00F80C36" w:rsidRDefault="006A3EF3" w:rsidP="006A3EF3">
      <w:pPr>
        <w:pStyle w:val="Heading6"/>
      </w:pPr>
      <w:r w:rsidRPr="00F80C36">
        <w:t>Participant flow</w:t>
      </w:r>
    </w:p>
    <w:p w:rsidR="006A3EF3" w:rsidRDefault="006A3EF3" w:rsidP="006A3EF3">
      <w:r w:rsidRPr="00F80C36">
        <w:t>Of the 943 randomised or enrolled subjects, 941 received at least 1 dose of study</w:t>
      </w:r>
      <w:r>
        <w:t xml:space="preserve"> medication </w:t>
      </w:r>
      <w:r w:rsidRPr="00F80C36">
        <w:t>and were included in the</w:t>
      </w:r>
      <w:r>
        <w:t xml:space="preserve"> </w:t>
      </w:r>
      <w:r w:rsidR="00D033A4">
        <w:t xml:space="preserve">safety analysis set </w:t>
      </w:r>
      <w:r>
        <w:t xml:space="preserve">and the </w:t>
      </w:r>
      <w:r w:rsidR="00D033A4">
        <w:t xml:space="preserve">full </w:t>
      </w:r>
      <w:r>
        <w:t>analysis set.</w:t>
      </w:r>
      <w:r w:rsidRPr="00F80C36">
        <w:t xml:space="preserve"> The majority of subjects (99.6%) completed study treatment</w:t>
      </w:r>
      <w:r w:rsidR="00AC0F8C">
        <w:t xml:space="preserve">; </w:t>
      </w:r>
      <w:r w:rsidRPr="00AC0F8C">
        <w:t>(</w:t>
      </w:r>
      <w:r w:rsidR="00234AF1" w:rsidRPr="00AC0F8C">
        <w:t xml:space="preserve">Table </w:t>
      </w:r>
      <w:r w:rsidR="00AC0F8C" w:rsidRPr="00AC0F8C">
        <w:t>41</w:t>
      </w:r>
      <w:r w:rsidRPr="00AC0F8C">
        <w:t>) Baseline</w:t>
      </w:r>
      <w:r>
        <w:t xml:space="preserve"> characteristics and demographics were generally balanced between treatment groups.</w:t>
      </w:r>
    </w:p>
    <w:p w:rsidR="00234AF1" w:rsidRDefault="00234AF1" w:rsidP="00234AF1">
      <w:pPr>
        <w:pStyle w:val="Tabletitle0"/>
      </w:pPr>
      <w:bookmarkStart w:id="332" w:name="_Ref485290391"/>
      <w:bookmarkStart w:id="333" w:name="_Toc496266187"/>
      <w:r w:rsidRPr="00C775DA">
        <w:rPr>
          <w:rFonts w:cstheme="minorHAnsi"/>
        </w:rPr>
        <w:t xml:space="preserve">Table </w:t>
      </w:r>
      <w:r w:rsidR="00AC0F8C">
        <w:rPr>
          <w:rFonts w:cstheme="minorHAnsi"/>
        </w:rPr>
        <w:t>41</w:t>
      </w:r>
      <w:r w:rsidRPr="00C775DA">
        <w:rPr>
          <w:rFonts w:cstheme="minorHAnsi"/>
        </w:rPr>
        <w:t>:</w:t>
      </w:r>
      <w:r w:rsidRPr="006A0305">
        <w:rPr>
          <w:rFonts w:cstheme="minorHAnsi"/>
        </w:rPr>
        <w:t xml:space="preserve"> </w:t>
      </w:r>
      <w:r w:rsidR="00D033A4">
        <w:rPr>
          <w:rFonts w:cstheme="minorHAnsi"/>
        </w:rPr>
        <w:t xml:space="preserve">Study </w:t>
      </w:r>
      <w:r>
        <w:t>GS-US-367-1172 Disposition of subjects by treatment group and overall (screened subjects)</w:t>
      </w:r>
      <w:bookmarkEnd w:id="332"/>
      <w:bookmarkEnd w:id="333"/>
    </w:p>
    <w:p w:rsidR="00234AF1" w:rsidRDefault="00234AF1" w:rsidP="006A3EF3">
      <w:r>
        <w:rPr>
          <w:noProof/>
          <w:lang w:eastAsia="en-AU"/>
        </w:rPr>
        <w:drawing>
          <wp:inline distT="0" distB="0" distL="0" distR="0" wp14:anchorId="3BB96057" wp14:editId="51B1ABFE">
            <wp:extent cx="5086350" cy="4533900"/>
            <wp:effectExtent l="0" t="0" r="0" b="0"/>
            <wp:docPr id="16" name="Picture 16" descr="Table 41: GS-US-367-1172. Disposition of subjects by treatment group and overall (screen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BEBA8EAE-BF5A-486C-A8C5-ECC9F3942E4B}">
                          <a14:imgProps xmlns:a14="http://schemas.microsoft.com/office/drawing/2010/main">
                            <a14:imgLayer r:embed="rId57">
                              <a14:imgEffect>
                                <a14:sharpenSoften amount="25000"/>
                              </a14:imgEffect>
                            </a14:imgLayer>
                          </a14:imgProps>
                        </a:ext>
                      </a:extLst>
                    </a:blip>
                    <a:stretch>
                      <a:fillRect/>
                    </a:stretch>
                  </pic:blipFill>
                  <pic:spPr>
                    <a:xfrm>
                      <a:off x="0" y="0"/>
                      <a:ext cx="5086350" cy="4533900"/>
                    </a:xfrm>
                    <a:prstGeom prst="rect">
                      <a:avLst/>
                    </a:prstGeom>
                  </pic:spPr>
                </pic:pic>
              </a:graphicData>
            </a:graphic>
          </wp:inline>
        </w:drawing>
      </w:r>
    </w:p>
    <w:p w:rsidR="006A3EF3" w:rsidRPr="00593F80" w:rsidRDefault="006A3EF3" w:rsidP="006A3EF3">
      <w:pPr>
        <w:pStyle w:val="Heading6"/>
      </w:pPr>
      <w:r w:rsidRPr="00593F80">
        <w:lastRenderedPageBreak/>
        <w:t>Results</w:t>
      </w:r>
    </w:p>
    <w:p w:rsidR="006A3EF3" w:rsidRDefault="006A3EF3" w:rsidP="006A3EF3">
      <w:r w:rsidRPr="00593F80">
        <w:t xml:space="preserve">The SVR12 rate for the SOF/VEL/VOX 8 Week group (476/501, 95.0%; 95% CI: 92.7% to 96.7%) did </w:t>
      </w:r>
      <w:r w:rsidRPr="00A95AB7">
        <w:t xml:space="preserve">not </w:t>
      </w:r>
      <w:r w:rsidRPr="00593F80">
        <w:t>demonstrate non-inferiority to the SVR12 rate for the SOF/VEL 12 Week group (432/440, 98.2%; 95% CI: 96.4% to 99.2%). The difference (95% CI) in the stratum-adjusted Mantel-</w:t>
      </w:r>
      <w:proofErr w:type="spellStart"/>
      <w:r w:rsidRPr="00593F80">
        <w:t>Haenszel</w:t>
      </w:r>
      <w:proofErr w:type="spellEnd"/>
      <w:r w:rsidRPr="00593F80">
        <w:t xml:space="preserve"> proportions was −3.4% (−6.2% to −0.</w:t>
      </w:r>
      <w:r>
        <w:t>6%), the lower bound of which was greater than the pre-specified non-inferiority margin of -5%.</w:t>
      </w:r>
    </w:p>
    <w:p w:rsidR="006A3EF3" w:rsidRDefault="006A3EF3" w:rsidP="006A3EF3">
      <w:r w:rsidRPr="006C1422">
        <w:t>In the SOF/VEL/VOX 8 week group, SVR12 rates were notab</w:t>
      </w:r>
      <w:r>
        <w:t>ly lower for subjects who were b</w:t>
      </w:r>
      <w:r w:rsidRPr="006C1422">
        <w:t xml:space="preserve">lack (43/48, 89.6%, 43 of 48 subjects), had HCV genotype 1a (155/169, 91.7%) or genotype 4 </w:t>
      </w:r>
      <w:r w:rsidRPr="008B6B59">
        <w:t xml:space="preserve">(59/63, 94%), </w:t>
      </w:r>
      <w:r w:rsidRPr="006C1422">
        <w:t>or had cirrhosis (82/90, 91.1%). Reasons other than virologic failure (</w:t>
      </w:r>
      <w:r w:rsidR="00234AF1">
        <w:t>that is</w:t>
      </w:r>
      <w:r w:rsidRPr="006C1422">
        <w:t xml:space="preserve">, lost to follow-up, no post treatment Week 12 visit) substantially contributed to the lower SVR rates for the </w:t>
      </w:r>
      <w:r>
        <w:t>subgroups of b</w:t>
      </w:r>
      <w:r w:rsidRPr="006C1422">
        <w:t>lack race and genotype 4</w:t>
      </w:r>
      <w:r>
        <w:t>.</w:t>
      </w:r>
    </w:p>
    <w:p w:rsidR="006A3EF3" w:rsidRPr="00E57D25" w:rsidRDefault="006A3EF3" w:rsidP="006A3EF3">
      <w:r w:rsidRPr="00DD2514">
        <w:t>21/498</w:t>
      </w:r>
      <w:r w:rsidR="00DD2514">
        <w:rPr>
          <w:b/>
        </w:rPr>
        <w:t xml:space="preserve"> </w:t>
      </w:r>
      <w:r>
        <w:t xml:space="preserve">(4%) patients who received </w:t>
      </w:r>
      <w:r w:rsidRPr="00905C71">
        <w:t xml:space="preserve">SOF/VEL/VOX </w:t>
      </w:r>
      <w:r>
        <w:t xml:space="preserve">for </w:t>
      </w:r>
      <w:r w:rsidRPr="00905C71">
        <w:t>8 Weeks</w:t>
      </w:r>
      <w:r>
        <w:t xml:space="preserve"> experienced relapse, compared to </w:t>
      </w:r>
      <w:r w:rsidRPr="00905C71">
        <w:t>3/439</w:t>
      </w:r>
      <w:r>
        <w:t>(1%)</w:t>
      </w:r>
      <w:r w:rsidRPr="00905C71">
        <w:t xml:space="preserve"> </w:t>
      </w:r>
      <w:r>
        <w:t>patients who received SOF/VEL for 12</w:t>
      </w:r>
      <w:r w:rsidRPr="00905C71">
        <w:t xml:space="preserve"> Weeks</w:t>
      </w:r>
      <w:r>
        <w:t>. Of these, 14 had GT1a, two had GT1b, two had GT2, two had GT4 and one had GT5.</w:t>
      </w:r>
      <w:r w:rsidRPr="00A90187">
        <w:rPr>
          <w:vertAlign w:val="superscript"/>
        </w:rPr>
        <w:t>7</w:t>
      </w:r>
    </w:p>
    <w:p w:rsidR="006A3EF3" w:rsidRPr="00926466" w:rsidRDefault="006A3EF3" w:rsidP="00A95AB7">
      <w:r>
        <w:t xml:space="preserve">The higher rate of relapse in patients with HCV GT1a infection receiving </w:t>
      </w:r>
      <w:r w:rsidRPr="008B6B59">
        <w:t>SOF/VEL/VOX for 8 Weeks</w:t>
      </w:r>
      <w:r>
        <w:t xml:space="preserve"> is noteworthy. It was observed that the presence of the Q80K polymorphism at baseline was associated with lower rates of SVR12 for patients with </w:t>
      </w:r>
      <w:r w:rsidRPr="00E81E8A">
        <w:t>HCV GT1a</w:t>
      </w:r>
      <w:r>
        <w:t xml:space="preserve"> treated with </w:t>
      </w:r>
      <w:r w:rsidRPr="00E81E8A">
        <w:t>SOF/VEL/VOX for 8 Weeks</w:t>
      </w:r>
      <w:r>
        <w:t>. An 8 week SOF/VEL arm was not available for comparison.</w:t>
      </w:r>
      <w:r w:rsidR="00071AED">
        <w:rPr>
          <w:vertAlign w:val="superscript"/>
        </w:rPr>
        <w:fldChar w:fldCharType="begin"/>
      </w:r>
      <w:r w:rsidR="00071AED">
        <w:rPr>
          <w:vertAlign w:val="superscript"/>
        </w:rPr>
        <w:instrText xml:space="preserve"> NOTEREF _Ref529347463 \h </w:instrText>
      </w:r>
      <w:r w:rsidR="00071AED">
        <w:rPr>
          <w:vertAlign w:val="superscript"/>
        </w:rPr>
      </w:r>
      <w:r w:rsidR="00071AED">
        <w:rPr>
          <w:vertAlign w:val="superscript"/>
        </w:rPr>
        <w:fldChar w:fldCharType="separate"/>
      </w:r>
      <w:r w:rsidR="00071AED">
        <w:rPr>
          <w:vertAlign w:val="superscript"/>
        </w:rPr>
        <w:t>55</w:t>
      </w:r>
      <w:r w:rsidR="00071AED">
        <w:rPr>
          <w:vertAlign w:val="superscript"/>
        </w:rPr>
        <w:fldChar w:fldCharType="end"/>
      </w:r>
      <w:proofErr w:type="gramStart"/>
      <w:r w:rsidRPr="00E81E8A">
        <w:rPr>
          <w:vertAlign w:val="superscript"/>
        </w:rPr>
        <w:t>,</w:t>
      </w:r>
      <w:proofErr w:type="gramEnd"/>
      <w:r w:rsidR="00071AED">
        <w:rPr>
          <w:vertAlign w:val="superscript"/>
        </w:rPr>
        <w:fldChar w:fldCharType="begin"/>
      </w:r>
      <w:r w:rsidR="00071AED">
        <w:rPr>
          <w:vertAlign w:val="superscript"/>
        </w:rPr>
        <w:instrText xml:space="preserve"> NOTEREF _Ref529353018 \h </w:instrText>
      </w:r>
      <w:r w:rsidR="00071AED">
        <w:rPr>
          <w:vertAlign w:val="superscript"/>
        </w:rPr>
      </w:r>
      <w:r w:rsidR="00071AED">
        <w:rPr>
          <w:vertAlign w:val="superscript"/>
        </w:rPr>
        <w:fldChar w:fldCharType="separate"/>
      </w:r>
      <w:r w:rsidR="00071AED">
        <w:rPr>
          <w:vertAlign w:val="superscript"/>
        </w:rPr>
        <w:t>60</w:t>
      </w:r>
      <w:r w:rsidR="00071AED">
        <w:rPr>
          <w:vertAlign w:val="superscript"/>
        </w:rPr>
        <w:fldChar w:fldCharType="end"/>
      </w:r>
    </w:p>
    <w:p w:rsidR="006A3EF3" w:rsidRPr="006C1422" w:rsidRDefault="00416834" w:rsidP="006A3EF3">
      <w:pPr>
        <w:pStyle w:val="TableTitle"/>
      </w:pPr>
      <w:r>
        <w:t>Table 42</w:t>
      </w:r>
      <w:r w:rsidR="006A3EF3">
        <w:t xml:space="preserve">: </w:t>
      </w:r>
      <w:r w:rsidR="006A3EF3" w:rsidRPr="006C1422">
        <w:t>POLARIS-2</w:t>
      </w:r>
      <w:r w:rsidR="00D033A4">
        <w:t xml:space="preserve"> trial</w:t>
      </w:r>
      <w:r w:rsidR="006A3EF3" w:rsidRPr="006C1422">
        <w:t xml:space="preserve"> SVR12 by HCV genotype and </w:t>
      </w:r>
      <w:proofErr w:type="spellStart"/>
      <w:r w:rsidR="006A3EF3" w:rsidRPr="006C1422">
        <w:t>virologic</w:t>
      </w:r>
      <w:proofErr w:type="spellEnd"/>
      <w:r w:rsidR="006A3EF3" w:rsidRPr="006C1422">
        <w:t xml:space="preserve"> outcome</w:t>
      </w:r>
      <w:r w:rsidR="00071AED" w:rsidRPr="00071AED">
        <w:rPr>
          <w:vertAlign w:val="superscript"/>
        </w:rPr>
        <w:fldChar w:fldCharType="begin"/>
      </w:r>
      <w:r w:rsidR="00071AED" w:rsidRPr="00071AED">
        <w:rPr>
          <w:vertAlign w:val="superscript"/>
        </w:rPr>
        <w:instrText xml:space="preserve"> NOTEREF _Ref529347463 \h  \* MERGEFORMAT </w:instrText>
      </w:r>
      <w:r w:rsidR="00071AED" w:rsidRPr="00071AED">
        <w:rPr>
          <w:vertAlign w:val="superscript"/>
        </w:rPr>
      </w:r>
      <w:r w:rsidR="00071AED" w:rsidRPr="00071AED">
        <w:rPr>
          <w:vertAlign w:val="superscript"/>
        </w:rPr>
        <w:fldChar w:fldCharType="separate"/>
      </w:r>
      <w:r w:rsidR="00071AED" w:rsidRPr="00071AED">
        <w:rPr>
          <w:vertAlign w:val="superscript"/>
        </w:rPr>
        <w:t>55</w:t>
      </w:r>
      <w:r w:rsidR="00071AED" w:rsidRPr="00071AED">
        <w:rPr>
          <w:vertAlign w:val="superscript"/>
        </w:rPr>
        <w:fldChar w:fldCharType="end"/>
      </w:r>
    </w:p>
    <w:p w:rsidR="00AF414F" w:rsidRPr="00AF414F" w:rsidRDefault="006A3EF3" w:rsidP="00AF414F">
      <w:r>
        <w:rPr>
          <w:noProof/>
          <w:lang w:eastAsia="en-AU"/>
        </w:rPr>
        <w:drawing>
          <wp:inline distT="0" distB="0" distL="0" distR="0" wp14:anchorId="28200691" wp14:editId="6FA8B39A">
            <wp:extent cx="5400040" cy="3311173"/>
            <wp:effectExtent l="0" t="0" r="0" b="3810"/>
            <wp:docPr id="5" name="Picture 5" descr="Table 42: POLARIS-2*. SVR12 by HCV genotype and virologic outcom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00040" cy="3311173"/>
                    </a:xfrm>
                    <a:prstGeom prst="rect">
                      <a:avLst/>
                    </a:prstGeom>
                  </pic:spPr>
                </pic:pic>
              </a:graphicData>
            </a:graphic>
          </wp:inline>
        </w:drawing>
      </w:r>
    </w:p>
    <w:p w:rsidR="006A3EF3" w:rsidRDefault="006A3EF3" w:rsidP="006A3EF3">
      <w:r w:rsidRPr="00AE5511">
        <w:t>SVR24 results</w:t>
      </w:r>
      <w:r>
        <w:t xml:space="preserve"> demonstrated durability of virological response</w:t>
      </w:r>
      <w:r w:rsidRPr="00416834">
        <w:t xml:space="preserve"> (Table </w:t>
      </w:r>
      <w:r w:rsidR="00416834" w:rsidRPr="00416834">
        <w:t>43</w:t>
      </w:r>
      <w:r w:rsidRPr="00416834">
        <w:t>)</w:t>
      </w:r>
      <w:r w:rsidR="00416834">
        <w:t>.</w:t>
      </w:r>
    </w:p>
    <w:p w:rsidR="005474B3" w:rsidRDefault="005474B3" w:rsidP="005474B3">
      <w:pPr>
        <w:pStyle w:val="Tabletitle0"/>
      </w:pPr>
      <w:r>
        <w:lastRenderedPageBreak/>
        <w:t xml:space="preserve">Table </w:t>
      </w:r>
      <w:r w:rsidR="00416834">
        <w:t>43</w:t>
      </w:r>
      <w:r>
        <w:t xml:space="preserve">: </w:t>
      </w:r>
      <w:r w:rsidR="00416834">
        <w:t>SVR 24 results of the 4 Phase III</w:t>
      </w:r>
      <w:r w:rsidRPr="00550B3D">
        <w:t xml:space="preserve"> studies (POLARIS-1</w:t>
      </w:r>
      <w:r w:rsidR="00D033A4">
        <w:t xml:space="preserve"> trial</w:t>
      </w:r>
      <w:r w:rsidRPr="00550B3D">
        <w:t xml:space="preserve">, and POLARIS-4 </w:t>
      </w:r>
      <w:r w:rsidR="00D033A4">
        <w:t xml:space="preserve">trial </w:t>
      </w:r>
      <w:r w:rsidRPr="00550B3D">
        <w:t>in</w:t>
      </w:r>
      <w:r w:rsidR="00795E66">
        <w:t xml:space="preserve"> DAA-experienced HCV patients)</w:t>
      </w:r>
    </w:p>
    <w:p w:rsidR="003B59C1" w:rsidRDefault="003B59C1" w:rsidP="003B59C1">
      <w:r>
        <w:rPr>
          <w:noProof/>
          <w:lang w:eastAsia="en-AU"/>
        </w:rPr>
        <w:drawing>
          <wp:inline distT="0" distB="0" distL="0" distR="0" wp14:anchorId="35FF0D5D" wp14:editId="14B06A5A">
            <wp:extent cx="5400040" cy="7792816"/>
            <wp:effectExtent l="0" t="0" r="0" b="0"/>
            <wp:docPr id="30" name="Picture 30" descr="Table 43: SVR 24 results of the 4 Phase III studies (POLARIS-1, and POLARIS-4 in DAA-experienced HCV patients); POLARIS-2 and POLARIS-3 in DAA-naïve HCV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400040" cy="7792816"/>
                    </a:xfrm>
                    <a:prstGeom prst="rect">
                      <a:avLst/>
                    </a:prstGeom>
                  </pic:spPr>
                </pic:pic>
              </a:graphicData>
            </a:graphic>
          </wp:inline>
        </w:drawing>
      </w:r>
    </w:p>
    <w:p w:rsidR="00942C6A" w:rsidRDefault="007C712C" w:rsidP="00942C6A">
      <w:pPr>
        <w:pStyle w:val="Tabletitle0"/>
      </w:pPr>
      <w:r>
        <w:lastRenderedPageBreak/>
        <w:t>T</w:t>
      </w:r>
      <w:r w:rsidR="00416834">
        <w:t>able 43 (continued)</w:t>
      </w:r>
      <w:r>
        <w:t xml:space="preserve">: </w:t>
      </w:r>
      <w:r w:rsidR="00416834">
        <w:t>SVR 24 results of the 4 Phase III</w:t>
      </w:r>
      <w:r w:rsidRPr="00550B3D">
        <w:t xml:space="preserve"> studies; POLARIS-2</w:t>
      </w:r>
      <w:r w:rsidR="00D033A4">
        <w:t xml:space="preserve"> trial</w:t>
      </w:r>
      <w:r w:rsidRPr="00550B3D">
        <w:t xml:space="preserve"> and POLARIS-3</w:t>
      </w:r>
      <w:r w:rsidR="00D033A4">
        <w:t xml:space="preserve"> trial</w:t>
      </w:r>
      <w:r w:rsidRPr="00550B3D">
        <w:t xml:space="preserve"> in DAA-naïve HCV patients</w:t>
      </w:r>
    </w:p>
    <w:p w:rsidR="003B59C1" w:rsidRPr="005474B3" w:rsidRDefault="00942C6A" w:rsidP="005474B3">
      <w:r>
        <w:rPr>
          <w:noProof/>
          <w:lang w:eastAsia="en-AU"/>
        </w:rPr>
        <w:drawing>
          <wp:inline distT="0" distB="0" distL="0" distR="0" wp14:anchorId="4EECAFB3" wp14:editId="691D37EC">
            <wp:extent cx="5400040" cy="8109446"/>
            <wp:effectExtent l="0" t="0" r="0" b="6350"/>
            <wp:docPr id="31" name="Picture 31" descr="Table 43 (continued): SVR 24 results of the 4 Phase III studies (POLARIS-1, and POLARIS-4 in DAA-experienced HCV patients); POLARIS-2 and POLARIS-3 in DAA-naïve HCV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00040" cy="8109446"/>
                    </a:xfrm>
                    <a:prstGeom prst="rect">
                      <a:avLst/>
                    </a:prstGeom>
                  </pic:spPr>
                </pic:pic>
              </a:graphicData>
            </a:graphic>
          </wp:inline>
        </w:drawing>
      </w:r>
    </w:p>
    <w:p w:rsidR="006A3EF3" w:rsidRDefault="00D033A4" w:rsidP="006A3EF3">
      <w:pPr>
        <w:pStyle w:val="Heading5"/>
      </w:pPr>
      <w:r>
        <w:lastRenderedPageBreak/>
        <w:t xml:space="preserve">Study </w:t>
      </w:r>
      <w:r w:rsidR="006A3EF3" w:rsidRPr="0054724C">
        <w:t>GS-US-367-1173 (POLARIS-3</w:t>
      </w:r>
      <w:r>
        <w:t xml:space="preserve"> trial</w:t>
      </w:r>
      <w:r w:rsidR="006A3EF3" w:rsidRPr="0054724C">
        <w:t>)</w:t>
      </w:r>
      <w:r w:rsidR="006A3EF3">
        <w:t xml:space="preserve"> HCV GT3, cirrhosis, DAA-naïve </w:t>
      </w:r>
      <w:r w:rsidR="00942C6A" w:rsidRPr="00942C6A">
        <w:rPr>
          <w:vertAlign w:val="superscript"/>
        </w:rPr>
        <w:fldChar w:fldCharType="begin"/>
      </w:r>
      <w:r w:rsidR="00942C6A" w:rsidRPr="00942C6A">
        <w:rPr>
          <w:vertAlign w:val="superscript"/>
        </w:rPr>
        <w:instrText xml:space="preserve"> NOTEREF _Ref529351638 \h  \* MERGEFORMAT </w:instrText>
      </w:r>
      <w:r w:rsidR="00942C6A" w:rsidRPr="00942C6A">
        <w:rPr>
          <w:vertAlign w:val="superscript"/>
        </w:rPr>
      </w:r>
      <w:r w:rsidR="00942C6A" w:rsidRPr="00942C6A">
        <w:rPr>
          <w:vertAlign w:val="superscript"/>
        </w:rPr>
        <w:fldChar w:fldCharType="separate"/>
      </w:r>
      <w:r w:rsidR="00942C6A" w:rsidRPr="00942C6A">
        <w:rPr>
          <w:vertAlign w:val="superscript"/>
        </w:rPr>
        <w:t>59</w:t>
      </w:r>
      <w:r w:rsidR="00942C6A" w:rsidRPr="00942C6A">
        <w:rPr>
          <w:vertAlign w:val="superscript"/>
        </w:rPr>
        <w:fldChar w:fldCharType="end"/>
      </w:r>
    </w:p>
    <w:p w:rsidR="006A3EF3" w:rsidRPr="00AE5511" w:rsidRDefault="006A3EF3" w:rsidP="006A3EF3">
      <w:r w:rsidRPr="006F3FA2">
        <w:t xml:space="preserve">This </w:t>
      </w:r>
      <w:r>
        <w:t xml:space="preserve">was a </w:t>
      </w:r>
      <w:r w:rsidRPr="006F3FA2">
        <w:t xml:space="preserve">randomised, </w:t>
      </w:r>
      <w:r w:rsidR="00476CD0">
        <w:t>open label</w:t>
      </w:r>
      <w:r>
        <w:t>, multicentre study evaluating</w:t>
      </w:r>
      <w:r w:rsidRPr="006F3FA2">
        <w:t xml:space="preserve"> the antiviral efficacy, safety and tolerability of SOF/VEL/VOX for 8 weeks and SOF/VEL for 12 weeks in subjects with chronic genotype 3 HCV </w:t>
      </w:r>
      <w:proofErr w:type="gramStart"/>
      <w:r w:rsidRPr="006F3FA2">
        <w:t>infection</w:t>
      </w:r>
      <w:proofErr w:type="gramEnd"/>
      <w:r w:rsidRPr="006F3FA2">
        <w:t xml:space="preserve"> and cirrhosis who are naive to </w:t>
      </w:r>
      <w:r w:rsidR="00D43BF2">
        <w:t>direct acting</w:t>
      </w:r>
      <w:r w:rsidRPr="006F3FA2">
        <w:t xml:space="preserve"> antiviral (DAA) treatment</w:t>
      </w:r>
    </w:p>
    <w:p w:rsidR="006A3EF3" w:rsidRDefault="006A3EF3" w:rsidP="006A3EF3">
      <w:r w:rsidRPr="00CF785E">
        <w:t xml:space="preserve">The primary, secondary and exploratory objectives were identical to </w:t>
      </w:r>
      <w:r w:rsidR="00DD2514">
        <w:t>those described for the POLARIS</w:t>
      </w:r>
      <w:r w:rsidRPr="00CF785E">
        <w:t xml:space="preserve">-2 </w:t>
      </w:r>
      <w:r w:rsidR="00D033A4">
        <w:t>trial</w:t>
      </w:r>
      <w:r>
        <w:t>.</w:t>
      </w:r>
    </w:p>
    <w:p w:rsidR="006A3EF3" w:rsidRDefault="006A3EF3" w:rsidP="006A3EF3">
      <w:r>
        <w:t xml:space="preserve">The SVR12 rate </w:t>
      </w:r>
      <w:r w:rsidRPr="000F7986">
        <w:t xml:space="preserve">for the SOF/VEL/VOX 8 Week and SOF/VEL 12 </w:t>
      </w:r>
      <w:r w:rsidR="00D033A4">
        <w:t>w</w:t>
      </w:r>
      <w:r w:rsidR="00D033A4" w:rsidRPr="000F7986">
        <w:t xml:space="preserve">eek </w:t>
      </w:r>
      <w:r w:rsidRPr="000F7986">
        <w:t>groups were comp</w:t>
      </w:r>
      <w:r>
        <w:t xml:space="preserve">ared with the </w:t>
      </w:r>
      <w:r w:rsidRPr="000F7986">
        <w:t>pe</w:t>
      </w:r>
      <w:r w:rsidR="00942C6A">
        <w:t xml:space="preserve">rformance goal of 83% using a 2 sided exact 1 </w:t>
      </w:r>
      <w:r w:rsidRPr="000F7986">
        <w:t>sample binom</w:t>
      </w:r>
      <w:r>
        <w:t xml:space="preserve">ial test following a sequential </w:t>
      </w:r>
      <w:r w:rsidRPr="000F7986">
        <w:t>testing procedure. If primary test for SVR12</w:t>
      </w:r>
      <w:r>
        <w:t xml:space="preserve"> rate in the SOF/VEL/VOX 8 </w:t>
      </w:r>
      <w:r w:rsidR="00D033A4">
        <w:t xml:space="preserve">week </w:t>
      </w:r>
      <w:r w:rsidRPr="000F7986">
        <w:t>group comparing with 83% was statistically significant at the 0.0</w:t>
      </w:r>
      <w:r>
        <w:t xml:space="preserve">5 significance level, the SVR12 </w:t>
      </w:r>
      <w:r w:rsidRPr="000F7986">
        <w:t xml:space="preserve">rate in SOF/VEL 12 </w:t>
      </w:r>
      <w:r w:rsidR="00D033A4">
        <w:t>w</w:t>
      </w:r>
      <w:r w:rsidR="00D033A4" w:rsidRPr="000F7986">
        <w:t xml:space="preserve">eek </w:t>
      </w:r>
      <w:r w:rsidRPr="000F7986">
        <w:t>group was compared to 83% at the 0.05 significance le</w:t>
      </w:r>
      <w:r w:rsidR="00942C6A">
        <w:t>vel</w:t>
      </w:r>
      <w:r>
        <w:t>. The performance goal of 83% was based on prior results of SOF/VEL in this patient population in the ASTRAL 3 study.</w:t>
      </w:r>
      <w:r w:rsidR="00942C6A" w:rsidRPr="00942C6A">
        <w:rPr>
          <w:vertAlign w:val="superscript"/>
        </w:rPr>
        <w:fldChar w:fldCharType="begin"/>
      </w:r>
      <w:r w:rsidR="00942C6A" w:rsidRPr="00942C6A">
        <w:rPr>
          <w:vertAlign w:val="superscript"/>
        </w:rPr>
        <w:instrText xml:space="preserve"> NOTEREF _Ref529351638 \h  \* MERGEFORMAT </w:instrText>
      </w:r>
      <w:r w:rsidR="00942C6A" w:rsidRPr="00942C6A">
        <w:rPr>
          <w:vertAlign w:val="superscript"/>
        </w:rPr>
      </w:r>
      <w:r w:rsidR="00942C6A" w:rsidRPr="00942C6A">
        <w:rPr>
          <w:vertAlign w:val="superscript"/>
        </w:rPr>
        <w:fldChar w:fldCharType="separate"/>
      </w:r>
      <w:r w:rsidR="00942C6A" w:rsidRPr="00942C6A">
        <w:rPr>
          <w:vertAlign w:val="superscript"/>
        </w:rPr>
        <w:t>59</w:t>
      </w:r>
      <w:r w:rsidR="00942C6A" w:rsidRPr="00942C6A">
        <w:rPr>
          <w:vertAlign w:val="superscript"/>
        </w:rPr>
        <w:fldChar w:fldCharType="end"/>
      </w:r>
    </w:p>
    <w:p w:rsidR="006A3EF3" w:rsidRDefault="006A3EF3" w:rsidP="006A3EF3">
      <w:r w:rsidRPr="00CF785E">
        <w:t xml:space="preserve">Demographics were generally balanced across both treatment groups, except there were more females in the SOF/VEL/VOX 8 Week group compared with the SOF/VEL 12 </w:t>
      </w:r>
      <w:r w:rsidR="006C4D15">
        <w:t>w</w:t>
      </w:r>
      <w:r w:rsidR="006C4D15" w:rsidRPr="00CF785E">
        <w:t xml:space="preserve">eek </w:t>
      </w:r>
      <w:r w:rsidRPr="00CF785E">
        <w:t xml:space="preserve">group (32.7%, </w:t>
      </w:r>
      <w:r w:rsidR="00AA5E62">
        <w:t>versus</w:t>
      </w:r>
      <w:r w:rsidRPr="00CF785E">
        <w:t xml:space="preserve"> 23.9</w:t>
      </w:r>
      <w:r w:rsidR="00416834">
        <w:t>%)</w:t>
      </w:r>
      <w:r w:rsidRPr="00416834">
        <w:t xml:space="preserve">(Table </w:t>
      </w:r>
      <w:r w:rsidR="00416834" w:rsidRPr="00416834">
        <w:t>44</w:t>
      </w:r>
      <w:r w:rsidRPr="00416834">
        <w:t>). Overall</w:t>
      </w:r>
      <w:r w:rsidRPr="005A7586">
        <w:t xml:space="preserve">, 30.6% (67 of 219 subjects) of subjects had </w:t>
      </w:r>
      <w:r>
        <w:t xml:space="preserve">received </w:t>
      </w:r>
      <w:r w:rsidRPr="005A7586">
        <w:t>prior trea</w:t>
      </w:r>
      <w:r w:rsidR="00942C6A">
        <w:t xml:space="preserve">tment with an IFN </w:t>
      </w:r>
      <w:r>
        <w:t>based regimen.</w:t>
      </w:r>
    </w:p>
    <w:p w:rsidR="00942C6A" w:rsidRDefault="00942C6A" w:rsidP="00942C6A">
      <w:pPr>
        <w:pStyle w:val="Tabletitle0"/>
      </w:pPr>
      <w:r w:rsidRPr="00C775DA">
        <w:rPr>
          <w:rFonts w:cstheme="minorHAnsi"/>
        </w:rPr>
        <w:lastRenderedPageBreak/>
        <w:t xml:space="preserve">Table </w:t>
      </w:r>
      <w:r w:rsidR="00416834">
        <w:rPr>
          <w:rFonts w:cstheme="minorHAnsi"/>
        </w:rPr>
        <w:t>44</w:t>
      </w:r>
      <w:r w:rsidRPr="00C775DA">
        <w:rPr>
          <w:rFonts w:cstheme="minorHAnsi"/>
        </w:rPr>
        <w:t>:</w:t>
      </w:r>
      <w:r w:rsidR="006C4D15">
        <w:rPr>
          <w:rFonts w:cstheme="minorHAnsi"/>
        </w:rPr>
        <w:t xml:space="preserve"> Study</w:t>
      </w:r>
      <w:r w:rsidRPr="000B72D6">
        <w:rPr>
          <w:rFonts w:cstheme="minorHAnsi"/>
        </w:rPr>
        <w:t xml:space="preserve"> </w:t>
      </w:r>
      <w:r>
        <w:t>GS-US-367-1173 Demographics by treatment group and overall (safety analysis set)</w:t>
      </w:r>
    </w:p>
    <w:p w:rsidR="00942C6A" w:rsidRPr="00942C6A" w:rsidRDefault="00942C6A" w:rsidP="00942C6A">
      <w:r>
        <w:rPr>
          <w:noProof/>
          <w:lang w:eastAsia="en-AU"/>
        </w:rPr>
        <w:drawing>
          <wp:inline distT="0" distB="0" distL="0" distR="0" wp14:anchorId="20F74708" wp14:editId="496CBFC5">
            <wp:extent cx="5324475" cy="7534275"/>
            <wp:effectExtent l="0" t="0" r="9525" b="9525"/>
            <wp:docPr id="32" name="Picture 32" descr="Table 44: GS-US-367-1173. Demographics by treatment group and overal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brightnessContrast contrast="-20000"/>
                              </a14:imgEffect>
                            </a14:imgLayer>
                          </a14:imgProps>
                        </a:ext>
                      </a:extLst>
                    </a:blip>
                    <a:stretch>
                      <a:fillRect/>
                    </a:stretch>
                  </pic:blipFill>
                  <pic:spPr>
                    <a:xfrm>
                      <a:off x="0" y="0"/>
                      <a:ext cx="5324475" cy="7534275"/>
                    </a:xfrm>
                    <a:prstGeom prst="rect">
                      <a:avLst/>
                    </a:prstGeom>
                  </pic:spPr>
                </pic:pic>
              </a:graphicData>
            </a:graphic>
          </wp:inline>
        </w:drawing>
      </w:r>
    </w:p>
    <w:p w:rsidR="006A3EF3" w:rsidRPr="007A5B13" w:rsidRDefault="006A3EF3" w:rsidP="006A3EF3">
      <w:pPr>
        <w:pStyle w:val="Heading6"/>
      </w:pPr>
      <w:r w:rsidRPr="007A5B13">
        <w:t>Results</w:t>
      </w:r>
    </w:p>
    <w:p w:rsidR="006A3EF3" w:rsidRDefault="006A3EF3" w:rsidP="006A3EF3">
      <w:r w:rsidRPr="00CF785E">
        <w:t xml:space="preserve">The SVR12 </w:t>
      </w:r>
      <w:r>
        <w:t xml:space="preserve">rate for both the SOF/VEL/VOX 8 </w:t>
      </w:r>
      <w:r w:rsidRPr="00CF785E">
        <w:t>Week group (106/110, 96.4% ;95% CI: 91.0% to 99.0%) and the SOF/VEL 12 Week group (105/109,</w:t>
      </w:r>
      <w:r w:rsidR="00476CD0">
        <w:t xml:space="preserve"> </w:t>
      </w:r>
      <w:r w:rsidRPr="00CF785E">
        <w:t>96.3%; 95% CI: 90.9% to 99.0%) groups were statistically superior relative to the pre</w:t>
      </w:r>
      <w:r>
        <w:t>-</w:t>
      </w:r>
      <w:r w:rsidRPr="00CF785E">
        <w:t xml:space="preserve">specified SVR12 performance </w:t>
      </w:r>
      <w:r w:rsidRPr="00CF785E">
        <w:lastRenderedPageBreak/>
        <w:t xml:space="preserve">goal of 83% (p </w:t>
      </w:r>
      <w:r w:rsidR="00476CD0">
        <w:t xml:space="preserve">&lt; </w:t>
      </w:r>
      <w:r w:rsidRPr="00CF785E">
        <w:t>0.001 for both groups)</w:t>
      </w:r>
      <w:r>
        <w:t>, however the study size was small and the limited numbers of virologic failures in each group made</w:t>
      </w:r>
      <w:r w:rsidR="007E0F0B">
        <w:t xml:space="preserve"> subgroup comparisons difficult</w:t>
      </w:r>
      <w:r w:rsidRPr="00CF785E">
        <w:t>.</w:t>
      </w:r>
      <w:r w:rsidR="007E0F0B" w:rsidRPr="007E0F0B">
        <w:rPr>
          <w:vertAlign w:val="superscript"/>
        </w:rPr>
        <w:fldChar w:fldCharType="begin"/>
      </w:r>
      <w:r w:rsidR="007E0F0B" w:rsidRPr="007E0F0B">
        <w:rPr>
          <w:vertAlign w:val="superscript"/>
        </w:rPr>
        <w:instrText xml:space="preserve"> NOTEREF _Ref529351096 \h </w:instrText>
      </w:r>
      <w:r w:rsidR="007E0F0B">
        <w:rPr>
          <w:vertAlign w:val="superscript"/>
        </w:rPr>
        <w:instrText xml:space="preserve"> \* MERGEFORMAT </w:instrText>
      </w:r>
      <w:r w:rsidR="007E0F0B" w:rsidRPr="007E0F0B">
        <w:rPr>
          <w:vertAlign w:val="superscript"/>
        </w:rPr>
      </w:r>
      <w:r w:rsidR="007E0F0B" w:rsidRPr="007E0F0B">
        <w:rPr>
          <w:vertAlign w:val="superscript"/>
        </w:rPr>
        <w:fldChar w:fldCharType="separate"/>
      </w:r>
      <w:r w:rsidR="007E0F0B" w:rsidRPr="007E0F0B">
        <w:rPr>
          <w:vertAlign w:val="superscript"/>
        </w:rPr>
        <w:t>53</w:t>
      </w:r>
      <w:r w:rsidR="007E0F0B" w:rsidRPr="007E0F0B">
        <w:rPr>
          <w:vertAlign w:val="superscript"/>
        </w:rPr>
        <w:fldChar w:fldCharType="end"/>
      </w:r>
    </w:p>
    <w:p w:rsidR="006A3EF3" w:rsidRPr="006A3EF3" w:rsidRDefault="006A3EF3" w:rsidP="006A3EF3">
      <w:r>
        <w:t>Results for other efficacy outcomes are summarised in the CER</w:t>
      </w:r>
      <w:r w:rsidR="006C4D15">
        <w:t xml:space="preserve"> [not included here]</w:t>
      </w:r>
      <w:r>
        <w:t>.</w:t>
      </w:r>
    </w:p>
    <w:p w:rsidR="006A3EF3" w:rsidRPr="0043093E" w:rsidRDefault="00416834" w:rsidP="006A3EF3">
      <w:pPr>
        <w:pStyle w:val="TableTitle"/>
      </w:pPr>
      <w:r>
        <w:t>Table 45</w:t>
      </w:r>
      <w:r w:rsidR="006A3EF3">
        <w:t xml:space="preserve">: </w:t>
      </w:r>
      <w:r w:rsidR="006A3EF3" w:rsidRPr="0043093E">
        <w:t xml:space="preserve">SVR12 and virologic outcome in </w:t>
      </w:r>
      <w:r w:rsidR="006C4D15">
        <w:t xml:space="preserve">the </w:t>
      </w:r>
      <w:r w:rsidR="006A3EF3" w:rsidRPr="0043093E">
        <w:t>POLARIS-3</w:t>
      </w:r>
      <w:r w:rsidR="006C4D15">
        <w:t xml:space="preserve"> trial</w:t>
      </w:r>
      <w:r w:rsidR="00476CD0">
        <w:t xml:space="preserve"> </w:t>
      </w:r>
      <w:r w:rsidR="006A3EF3" w:rsidRPr="0043093E">
        <w:t>(HCV</w:t>
      </w:r>
      <w:r w:rsidR="006C4D15">
        <w:t> </w:t>
      </w:r>
      <w:r w:rsidR="006A3EF3" w:rsidRPr="0043093E">
        <w:t>genotype</w:t>
      </w:r>
      <w:r w:rsidR="006C4D15">
        <w:t> </w:t>
      </w:r>
      <w:r w:rsidR="006A3EF3" w:rsidRPr="0043093E">
        <w:t>3 with compensated cirrhosis</w:t>
      </w:r>
      <w:r w:rsidR="006A3EF3">
        <w:t>)</w:t>
      </w:r>
    </w:p>
    <w:p w:rsidR="00AF414F" w:rsidRPr="00AF414F" w:rsidRDefault="00610D06" w:rsidP="00AF414F">
      <w:r>
        <w:rPr>
          <w:noProof/>
          <w:lang w:eastAsia="en-AU"/>
        </w:rPr>
        <w:drawing>
          <wp:inline distT="0" distB="0" distL="0" distR="0" wp14:anchorId="6C05B571" wp14:editId="320E97D4">
            <wp:extent cx="5400040" cy="1304402"/>
            <wp:effectExtent l="0" t="0" r="0" b="0"/>
            <wp:docPr id="7" name="Picture 7" descr="Table 45: SVR12 and virologic outcome in Study POLARIS-3 (HCV genotype 3 with compensated cirrh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400040" cy="1304402"/>
                    </a:xfrm>
                    <a:prstGeom prst="rect">
                      <a:avLst/>
                    </a:prstGeom>
                  </pic:spPr>
                </pic:pic>
              </a:graphicData>
            </a:graphic>
          </wp:inline>
        </w:drawing>
      </w:r>
    </w:p>
    <w:p w:rsidR="00610D06" w:rsidRPr="00610D06" w:rsidRDefault="00610D06" w:rsidP="00610D06">
      <w:r>
        <w:t xml:space="preserve">SVR24 results provided with the </w:t>
      </w:r>
      <w:r w:rsidR="007E0F0B">
        <w:t>response to questions</w:t>
      </w:r>
      <w:r>
        <w:t xml:space="preserve"> results confirmed du</w:t>
      </w:r>
      <w:r w:rsidR="007E0F0B">
        <w:t>rability of virologic response.</w:t>
      </w:r>
    </w:p>
    <w:p w:rsidR="00610D06" w:rsidRPr="00610D06" w:rsidRDefault="00610D06" w:rsidP="00610D06">
      <w:r w:rsidRPr="00CF785E">
        <w:t xml:space="preserve">The evaluator was of the opinion that results from the POLARIS-3 </w:t>
      </w:r>
      <w:r w:rsidR="006C4D15">
        <w:t>trial</w:t>
      </w:r>
      <w:r w:rsidR="006C4D15" w:rsidRPr="00CF785E">
        <w:t xml:space="preserve"> </w:t>
      </w:r>
      <w:r w:rsidRPr="00CF785E">
        <w:t>provided evidence to suggest that the addition of VOX to SOF/VEL would maintain high efficacy with a shorter duration of treatment and offer an additional option for initial DAA treatment of HCV-infected patients with genotype 3 and cirrhosis.</w:t>
      </w:r>
    </w:p>
    <w:p w:rsidR="00610D06" w:rsidRPr="00610D06" w:rsidRDefault="00610D06" w:rsidP="00A95AB7">
      <w:r>
        <w:t xml:space="preserve">The EU </w:t>
      </w:r>
      <w:r w:rsidR="009E6C8F">
        <w:rPr>
          <w:rFonts w:eastAsia="TimesNewRoman" w:cs="TimesNewRoman"/>
        </w:rPr>
        <w:t>summary of product characteristics</w:t>
      </w:r>
      <w:r w:rsidR="009E6C8F">
        <w:t xml:space="preserve"> (</w:t>
      </w:r>
      <w:proofErr w:type="spellStart"/>
      <w:r>
        <w:t>SmPC</w:t>
      </w:r>
      <w:proofErr w:type="spellEnd"/>
      <w:r w:rsidR="009E6C8F">
        <w:t>)</w:t>
      </w:r>
      <w:r w:rsidR="00476CD0">
        <w:t xml:space="preserve"> </w:t>
      </w:r>
      <w:r>
        <w:t>recommends in their Dosage and Administration table that 8 weeks of therapy may be considered for genotype 3 patients with compensated cirrhosis who are DAA naïve, while the FDA and Health Canada have recommended 12 weeks for all patient groups and have not included the result</w:t>
      </w:r>
      <w:r w:rsidR="007E0F0B">
        <w:t xml:space="preserve">s of POLARIS-2 or 3 </w:t>
      </w:r>
      <w:r w:rsidR="006C4D15">
        <w:t xml:space="preserve">trials </w:t>
      </w:r>
      <w:r w:rsidR="007E0F0B">
        <w:t>in the PI.</w:t>
      </w:r>
    </w:p>
    <w:p w:rsidR="00610D06" w:rsidRDefault="00476CD0" w:rsidP="00610D06">
      <w:pPr>
        <w:pStyle w:val="Heading5"/>
      </w:pPr>
      <w:r>
        <w:t>Phase II</w:t>
      </w:r>
      <w:r w:rsidR="00610D06">
        <w:t xml:space="preserve"> studies</w:t>
      </w:r>
    </w:p>
    <w:p w:rsidR="00610D06" w:rsidRPr="00610D06" w:rsidRDefault="00610D06" w:rsidP="00610D06">
      <w:r>
        <w:t>These studies have been discussed in detail in the CER</w:t>
      </w:r>
      <w:r w:rsidR="006C4D15">
        <w:t xml:space="preserve"> [not included here]</w:t>
      </w:r>
      <w:r>
        <w:t>. The EU Public assessment report also provides a succinct summary</w:t>
      </w:r>
      <w:proofErr w:type="gramStart"/>
      <w:r w:rsidR="006C4D15">
        <w:t>;</w:t>
      </w:r>
      <w:proofErr w:type="gramEnd"/>
      <w:r w:rsidR="007E0F0B" w:rsidRPr="007E0F0B">
        <w:rPr>
          <w:vertAlign w:val="superscript"/>
        </w:rPr>
        <w:fldChar w:fldCharType="begin"/>
      </w:r>
      <w:r w:rsidR="007E0F0B" w:rsidRPr="007E0F0B">
        <w:rPr>
          <w:vertAlign w:val="superscript"/>
        </w:rPr>
        <w:instrText xml:space="preserve"> NOTEREF _Ref529347463 \h  \* MERGEFORMAT </w:instrText>
      </w:r>
      <w:r w:rsidR="007E0F0B" w:rsidRPr="007E0F0B">
        <w:rPr>
          <w:vertAlign w:val="superscript"/>
        </w:rPr>
      </w:r>
      <w:r w:rsidR="007E0F0B" w:rsidRPr="007E0F0B">
        <w:rPr>
          <w:vertAlign w:val="superscript"/>
        </w:rPr>
        <w:fldChar w:fldCharType="separate"/>
      </w:r>
      <w:r w:rsidR="007E0F0B" w:rsidRPr="007E0F0B">
        <w:rPr>
          <w:vertAlign w:val="superscript"/>
        </w:rPr>
        <w:t>55</w:t>
      </w:r>
      <w:r w:rsidR="007E0F0B" w:rsidRPr="007E0F0B">
        <w:rPr>
          <w:vertAlign w:val="superscript"/>
        </w:rPr>
        <w:fldChar w:fldCharType="end"/>
      </w:r>
      <w:r>
        <w:rPr>
          <w:vertAlign w:val="superscript"/>
        </w:rPr>
        <w:t xml:space="preserve"> </w:t>
      </w:r>
      <w:r>
        <w:t xml:space="preserve">of the </w:t>
      </w:r>
      <w:r w:rsidR="00476CD0">
        <w:t>Phase II</w:t>
      </w:r>
      <w:r>
        <w:t xml:space="preserve"> studies and includes the following table (modified for the Overview</w:t>
      </w:r>
      <w:r w:rsidR="00416834">
        <w:t>, Table 46</w:t>
      </w:r>
      <w:r>
        <w:t>). For all four studies, approximately 50% of patients had compensated cirrhosis.</w:t>
      </w:r>
    </w:p>
    <w:p w:rsidR="00610D06" w:rsidRPr="00334423" w:rsidRDefault="00416834" w:rsidP="00610D06">
      <w:pPr>
        <w:pStyle w:val="TableTitle"/>
      </w:pPr>
      <w:r>
        <w:t>Table 46</w:t>
      </w:r>
      <w:r w:rsidR="00610D06">
        <w:t xml:space="preserve">: </w:t>
      </w:r>
      <w:r w:rsidR="00476CD0">
        <w:t>Phase II</w:t>
      </w:r>
      <w:r w:rsidR="00610D06" w:rsidRPr="00530D37">
        <w:t xml:space="preserve"> studies of SOF/VEL+VOX or SOF/VEL/VOX</w:t>
      </w:r>
      <w:r w:rsidR="00610D06">
        <w:t xml:space="preserve"> (modified from Table 16, EU Public assessment report</w:t>
      </w:r>
      <w:r w:rsidR="007E0F0B">
        <w:rPr>
          <w:vertAlign w:val="superscript"/>
        </w:rPr>
        <w:t xml:space="preserve"> </w:t>
      </w:r>
      <w:r w:rsidR="00610D06">
        <w:t>and CER)</w:t>
      </w:r>
    </w:p>
    <w:tbl>
      <w:tblPr>
        <w:tblStyle w:val="TableTGAblue"/>
        <w:tblW w:w="8434" w:type="dxa"/>
        <w:tblLook w:val="04A0" w:firstRow="1" w:lastRow="0" w:firstColumn="1" w:lastColumn="0" w:noHBand="0" w:noVBand="1"/>
      </w:tblPr>
      <w:tblGrid>
        <w:gridCol w:w="1736"/>
        <w:gridCol w:w="1641"/>
        <w:gridCol w:w="1669"/>
        <w:gridCol w:w="1718"/>
        <w:gridCol w:w="1670"/>
      </w:tblGrid>
      <w:tr w:rsidR="00610D06" w:rsidRPr="00610D06" w:rsidTr="007E0F0B">
        <w:trPr>
          <w:cnfStyle w:val="100000000000" w:firstRow="1" w:lastRow="0" w:firstColumn="0" w:lastColumn="0" w:oddVBand="0" w:evenVBand="0" w:oddHBand="0" w:evenHBand="0" w:firstRowFirstColumn="0" w:firstRowLastColumn="0" w:lastRowFirstColumn="0" w:lastRowLastColumn="0"/>
          <w:trHeight w:val="691"/>
        </w:trPr>
        <w:tc>
          <w:tcPr>
            <w:tcW w:w="1836" w:type="dxa"/>
          </w:tcPr>
          <w:p w:rsidR="00610D06" w:rsidRPr="00610D06" w:rsidRDefault="00610D06" w:rsidP="00610D06">
            <w:pPr>
              <w:spacing w:line="240" w:lineRule="auto"/>
              <w:ind w:left="0" w:right="0"/>
              <w:rPr>
                <w:sz w:val="20"/>
                <w:szCs w:val="20"/>
              </w:rPr>
            </w:pPr>
            <w:r w:rsidRPr="00610D06">
              <w:rPr>
                <w:sz w:val="20"/>
                <w:szCs w:val="20"/>
              </w:rPr>
              <w:t>Study number</w:t>
            </w:r>
          </w:p>
        </w:tc>
        <w:tc>
          <w:tcPr>
            <w:tcW w:w="1516" w:type="dxa"/>
          </w:tcPr>
          <w:p w:rsidR="00610D06" w:rsidRPr="00610D06" w:rsidRDefault="00610D06" w:rsidP="00610D06">
            <w:pPr>
              <w:ind w:left="0"/>
              <w:rPr>
                <w:sz w:val="20"/>
                <w:szCs w:val="20"/>
              </w:rPr>
            </w:pPr>
            <w:r w:rsidRPr="00610D06">
              <w:rPr>
                <w:sz w:val="20"/>
                <w:szCs w:val="20"/>
              </w:rPr>
              <w:t>Treatment Regimens</w:t>
            </w:r>
          </w:p>
        </w:tc>
        <w:tc>
          <w:tcPr>
            <w:tcW w:w="1542" w:type="dxa"/>
          </w:tcPr>
          <w:p w:rsidR="00610D06" w:rsidRPr="00610D06" w:rsidRDefault="00610D06" w:rsidP="00610D06">
            <w:pPr>
              <w:ind w:left="0"/>
              <w:rPr>
                <w:sz w:val="20"/>
                <w:szCs w:val="20"/>
              </w:rPr>
            </w:pPr>
            <w:r w:rsidRPr="00610D06">
              <w:rPr>
                <w:sz w:val="20"/>
                <w:szCs w:val="20"/>
              </w:rPr>
              <w:t>HCV Genotype (n)</w:t>
            </w:r>
          </w:p>
        </w:tc>
        <w:tc>
          <w:tcPr>
            <w:tcW w:w="1769" w:type="dxa"/>
          </w:tcPr>
          <w:p w:rsidR="00610D06" w:rsidRPr="00610D06" w:rsidRDefault="00610D06" w:rsidP="00610D06">
            <w:pPr>
              <w:ind w:left="0"/>
              <w:rPr>
                <w:sz w:val="20"/>
                <w:szCs w:val="20"/>
              </w:rPr>
            </w:pPr>
            <w:r w:rsidRPr="00610D06">
              <w:rPr>
                <w:sz w:val="20"/>
                <w:szCs w:val="20"/>
              </w:rPr>
              <w:t>Prior HCV Treatment</w:t>
            </w:r>
          </w:p>
        </w:tc>
        <w:tc>
          <w:tcPr>
            <w:tcW w:w="1771" w:type="dxa"/>
          </w:tcPr>
          <w:p w:rsidR="00610D06" w:rsidRPr="00610D06" w:rsidRDefault="00610D06" w:rsidP="00610D06">
            <w:pPr>
              <w:ind w:left="0"/>
              <w:rPr>
                <w:sz w:val="20"/>
                <w:szCs w:val="20"/>
              </w:rPr>
            </w:pPr>
            <w:r w:rsidRPr="00610D06">
              <w:rPr>
                <w:sz w:val="20"/>
                <w:szCs w:val="20"/>
              </w:rPr>
              <w:t>Main findings</w:t>
            </w:r>
          </w:p>
        </w:tc>
      </w:tr>
      <w:tr w:rsidR="00610D06" w:rsidRPr="00610D06" w:rsidTr="007E0F0B">
        <w:trPr>
          <w:trHeight w:val="1754"/>
        </w:trPr>
        <w:tc>
          <w:tcPr>
            <w:tcW w:w="1836" w:type="dxa"/>
          </w:tcPr>
          <w:p w:rsidR="00610D06" w:rsidRPr="00610D06" w:rsidRDefault="007E0F0B" w:rsidP="00610D06">
            <w:pPr>
              <w:ind w:left="0"/>
              <w:rPr>
                <w:sz w:val="20"/>
                <w:szCs w:val="20"/>
              </w:rPr>
            </w:pPr>
            <w:r>
              <w:rPr>
                <w:sz w:val="20"/>
                <w:szCs w:val="20"/>
              </w:rPr>
              <w:t xml:space="preserve">GS-US-337-1468 </w:t>
            </w:r>
            <w:r w:rsidR="00610D06" w:rsidRPr="00610D06">
              <w:rPr>
                <w:sz w:val="20"/>
                <w:szCs w:val="20"/>
              </w:rPr>
              <w:t>(LEPTON: cohorts 4 and 5)</w:t>
            </w:r>
          </w:p>
        </w:tc>
        <w:tc>
          <w:tcPr>
            <w:tcW w:w="1516" w:type="dxa"/>
          </w:tcPr>
          <w:p w:rsidR="00610D06" w:rsidRPr="00610D06" w:rsidRDefault="00610D06" w:rsidP="00610D06">
            <w:pPr>
              <w:ind w:left="0"/>
              <w:rPr>
                <w:sz w:val="20"/>
                <w:szCs w:val="20"/>
              </w:rPr>
            </w:pPr>
            <w:r w:rsidRPr="00610D06">
              <w:rPr>
                <w:sz w:val="20"/>
                <w:szCs w:val="20"/>
              </w:rPr>
              <w:t>SOF/VEL+VOX for 4, 6, or 8 weeks</w:t>
            </w:r>
          </w:p>
        </w:tc>
        <w:tc>
          <w:tcPr>
            <w:tcW w:w="1542" w:type="dxa"/>
          </w:tcPr>
          <w:p w:rsidR="00610D06" w:rsidRPr="00610D06" w:rsidRDefault="007E0F0B" w:rsidP="00610D06">
            <w:pPr>
              <w:ind w:left="0"/>
              <w:rPr>
                <w:sz w:val="20"/>
                <w:szCs w:val="20"/>
              </w:rPr>
            </w:pPr>
            <w:r>
              <w:rPr>
                <w:sz w:val="20"/>
                <w:szCs w:val="20"/>
              </w:rPr>
              <w:t xml:space="preserve">1 or 3 </w:t>
            </w:r>
            <w:r w:rsidR="00610D06" w:rsidRPr="00610D06">
              <w:rPr>
                <w:sz w:val="20"/>
                <w:szCs w:val="20"/>
              </w:rPr>
              <w:t>(Genotype 1: 120; Genotype 3: 40; Indeterminate: 1)</w:t>
            </w:r>
          </w:p>
        </w:tc>
        <w:tc>
          <w:tcPr>
            <w:tcW w:w="1769" w:type="dxa"/>
          </w:tcPr>
          <w:p w:rsidR="00610D06" w:rsidRPr="00610D06" w:rsidRDefault="00610D06" w:rsidP="00610D06">
            <w:pPr>
              <w:ind w:left="0"/>
              <w:rPr>
                <w:sz w:val="20"/>
                <w:szCs w:val="20"/>
              </w:rPr>
            </w:pPr>
            <w:r w:rsidRPr="00610D06">
              <w:rPr>
                <w:sz w:val="20"/>
                <w:szCs w:val="20"/>
              </w:rPr>
              <w:t xml:space="preserve">Treatment-naive and treatment-experienced (including </w:t>
            </w:r>
            <w:r w:rsidR="00CE0E69">
              <w:rPr>
                <w:sz w:val="20"/>
                <w:szCs w:val="20"/>
              </w:rPr>
              <w:t>DAA experienced</w:t>
            </w:r>
            <w:r w:rsidRPr="00610D06">
              <w:rPr>
                <w:sz w:val="20"/>
                <w:szCs w:val="20"/>
              </w:rPr>
              <w:t>) subjects</w:t>
            </w:r>
          </w:p>
        </w:tc>
        <w:tc>
          <w:tcPr>
            <w:tcW w:w="1771" w:type="dxa"/>
          </w:tcPr>
          <w:p w:rsidR="00610D06" w:rsidRPr="00610D06" w:rsidRDefault="00610D06" w:rsidP="00610D06">
            <w:pPr>
              <w:ind w:left="0"/>
              <w:rPr>
                <w:sz w:val="20"/>
                <w:szCs w:val="20"/>
              </w:rPr>
            </w:pPr>
            <w:r w:rsidRPr="00610D06">
              <w:rPr>
                <w:sz w:val="20"/>
                <w:szCs w:val="20"/>
              </w:rPr>
              <w:t>Relapse was more common with shorter treatment durations.</w:t>
            </w:r>
            <w:r>
              <w:rPr>
                <w:sz w:val="20"/>
                <w:szCs w:val="20"/>
              </w:rPr>
              <w:t xml:space="preserve"> </w:t>
            </w:r>
            <w:r w:rsidRPr="00610D06">
              <w:rPr>
                <w:sz w:val="20"/>
                <w:szCs w:val="20"/>
              </w:rPr>
              <w:t>(4 or 6 weeks)</w:t>
            </w:r>
          </w:p>
        </w:tc>
      </w:tr>
      <w:tr w:rsidR="00610D06" w:rsidRPr="00610D06" w:rsidTr="007E0F0B">
        <w:trPr>
          <w:trHeight w:val="1413"/>
        </w:trPr>
        <w:tc>
          <w:tcPr>
            <w:tcW w:w="1836" w:type="dxa"/>
          </w:tcPr>
          <w:p w:rsidR="00610D06" w:rsidRPr="00610D06" w:rsidRDefault="00610D06" w:rsidP="00610D06">
            <w:pPr>
              <w:ind w:left="0"/>
              <w:rPr>
                <w:sz w:val="20"/>
                <w:szCs w:val="20"/>
              </w:rPr>
            </w:pPr>
            <w:r w:rsidRPr="00610D06">
              <w:rPr>
                <w:sz w:val="20"/>
                <w:szCs w:val="20"/>
              </w:rPr>
              <w:t>GS-US-367-1168</w:t>
            </w:r>
          </w:p>
        </w:tc>
        <w:tc>
          <w:tcPr>
            <w:tcW w:w="1516" w:type="dxa"/>
          </w:tcPr>
          <w:p w:rsidR="00610D06" w:rsidRPr="00610D06" w:rsidRDefault="00610D06" w:rsidP="00610D06">
            <w:pPr>
              <w:ind w:left="0"/>
              <w:rPr>
                <w:sz w:val="20"/>
                <w:szCs w:val="20"/>
              </w:rPr>
            </w:pPr>
            <w:r w:rsidRPr="00610D06">
              <w:rPr>
                <w:sz w:val="20"/>
                <w:szCs w:val="20"/>
              </w:rPr>
              <w:t>SOF/VEL+VOX for 6, 8 (with or without RBV), or 12 weeks</w:t>
            </w:r>
          </w:p>
        </w:tc>
        <w:tc>
          <w:tcPr>
            <w:tcW w:w="1542" w:type="dxa"/>
          </w:tcPr>
          <w:p w:rsidR="00610D06" w:rsidRPr="00610D06" w:rsidRDefault="00610D06" w:rsidP="00610D06">
            <w:pPr>
              <w:ind w:left="0"/>
              <w:rPr>
                <w:sz w:val="20"/>
                <w:szCs w:val="20"/>
              </w:rPr>
            </w:pPr>
            <w:r w:rsidRPr="00610D06">
              <w:rPr>
                <w:sz w:val="20"/>
                <w:szCs w:val="20"/>
              </w:rPr>
              <w:t>1(205)</w:t>
            </w:r>
          </w:p>
        </w:tc>
        <w:tc>
          <w:tcPr>
            <w:tcW w:w="1769" w:type="dxa"/>
          </w:tcPr>
          <w:p w:rsidR="00610D06" w:rsidRPr="00610D06" w:rsidRDefault="00610D06" w:rsidP="00610D06">
            <w:pPr>
              <w:ind w:left="0"/>
              <w:rPr>
                <w:sz w:val="20"/>
                <w:szCs w:val="20"/>
              </w:rPr>
            </w:pPr>
            <w:r w:rsidRPr="00610D06">
              <w:rPr>
                <w:sz w:val="20"/>
                <w:szCs w:val="20"/>
              </w:rPr>
              <w:t xml:space="preserve">Treatment-naive and </w:t>
            </w:r>
            <w:r w:rsidR="00CE0E69">
              <w:rPr>
                <w:sz w:val="20"/>
                <w:szCs w:val="20"/>
              </w:rPr>
              <w:t>DAA experienced</w:t>
            </w:r>
            <w:r w:rsidRPr="00610D06">
              <w:rPr>
                <w:sz w:val="20"/>
                <w:szCs w:val="20"/>
              </w:rPr>
              <w:t xml:space="preserve"> subjects</w:t>
            </w:r>
          </w:p>
        </w:tc>
        <w:tc>
          <w:tcPr>
            <w:tcW w:w="1771" w:type="dxa"/>
          </w:tcPr>
          <w:p w:rsidR="00610D06" w:rsidRPr="00610D06" w:rsidRDefault="00610D06" w:rsidP="00610D06">
            <w:pPr>
              <w:ind w:left="0"/>
              <w:rPr>
                <w:sz w:val="20"/>
                <w:szCs w:val="20"/>
              </w:rPr>
            </w:pPr>
            <w:r w:rsidRPr="00610D06">
              <w:rPr>
                <w:sz w:val="20"/>
                <w:szCs w:val="20"/>
              </w:rPr>
              <w:t>Addition of RBV did not improve SVR12 rates.</w:t>
            </w:r>
          </w:p>
        </w:tc>
      </w:tr>
      <w:tr w:rsidR="00610D06" w:rsidRPr="00610D06" w:rsidTr="007E0F0B">
        <w:trPr>
          <w:trHeight w:val="2232"/>
        </w:trPr>
        <w:tc>
          <w:tcPr>
            <w:tcW w:w="1836" w:type="dxa"/>
          </w:tcPr>
          <w:p w:rsidR="00610D06" w:rsidRPr="00610D06" w:rsidRDefault="00610D06" w:rsidP="00610D06">
            <w:pPr>
              <w:ind w:left="0"/>
              <w:rPr>
                <w:sz w:val="20"/>
                <w:szCs w:val="20"/>
              </w:rPr>
            </w:pPr>
            <w:r w:rsidRPr="00610D06">
              <w:rPr>
                <w:sz w:val="20"/>
                <w:szCs w:val="20"/>
              </w:rPr>
              <w:lastRenderedPageBreak/>
              <w:t>GS-US-367-1169*</w:t>
            </w:r>
          </w:p>
        </w:tc>
        <w:tc>
          <w:tcPr>
            <w:tcW w:w="1516" w:type="dxa"/>
          </w:tcPr>
          <w:p w:rsidR="00610D06" w:rsidRPr="00610D06" w:rsidRDefault="00610D06" w:rsidP="00610D06">
            <w:pPr>
              <w:ind w:left="0"/>
              <w:rPr>
                <w:sz w:val="20"/>
                <w:szCs w:val="20"/>
              </w:rPr>
            </w:pPr>
            <w:r w:rsidRPr="00610D06">
              <w:rPr>
                <w:sz w:val="20"/>
                <w:szCs w:val="20"/>
              </w:rPr>
              <w:t>SOF/VEL+VOX for 6, 8, or 12 weeks</w:t>
            </w:r>
          </w:p>
        </w:tc>
        <w:tc>
          <w:tcPr>
            <w:tcW w:w="1542" w:type="dxa"/>
          </w:tcPr>
          <w:p w:rsidR="00610D06" w:rsidRPr="00610D06" w:rsidRDefault="007E0F0B" w:rsidP="00610D06">
            <w:pPr>
              <w:ind w:left="0"/>
              <w:rPr>
                <w:sz w:val="20"/>
                <w:szCs w:val="20"/>
              </w:rPr>
            </w:pPr>
            <w:r>
              <w:rPr>
                <w:sz w:val="20"/>
                <w:szCs w:val="20"/>
              </w:rPr>
              <w:t xml:space="preserve">1, 2, 3, 4, or 6 </w:t>
            </w:r>
            <w:r w:rsidR="00610D06" w:rsidRPr="00610D06">
              <w:rPr>
                <w:sz w:val="20"/>
                <w:szCs w:val="20"/>
              </w:rPr>
              <w:t>(Genotype 1: 1; Genotype 2: 33; Genotype 3: 74; Genotype 4: 17; Genotype 6: 3)</w:t>
            </w:r>
          </w:p>
        </w:tc>
        <w:tc>
          <w:tcPr>
            <w:tcW w:w="1769" w:type="dxa"/>
          </w:tcPr>
          <w:p w:rsidR="00610D06" w:rsidRPr="00610D06" w:rsidRDefault="00610D06" w:rsidP="00610D06">
            <w:pPr>
              <w:ind w:left="0"/>
              <w:rPr>
                <w:sz w:val="20"/>
                <w:szCs w:val="20"/>
              </w:rPr>
            </w:pPr>
            <w:r w:rsidRPr="00610D06">
              <w:rPr>
                <w:sz w:val="20"/>
                <w:szCs w:val="20"/>
              </w:rPr>
              <w:t xml:space="preserve">Treatment-naive and treatment-experienced (including </w:t>
            </w:r>
            <w:r w:rsidR="00CE0E69">
              <w:rPr>
                <w:sz w:val="20"/>
                <w:szCs w:val="20"/>
              </w:rPr>
              <w:t>DAA experienced</w:t>
            </w:r>
            <w:r w:rsidRPr="00610D06">
              <w:rPr>
                <w:sz w:val="20"/>
                <w:szCs w:val="20"/>
              </w:rPr>
              <w:t>) subjects</w:t>
            </w:r>
          </w:p>
        </w:tc>
        <w:tc>
          <w:tcPr>
            <w:tcW w:w="1771" w:type="dxa"/>
          </w:tcPr>
          <w:p w:rsidR="00610D06" w:rsidRPr="00610D06" w:rsidRDefault="00610D06" w:rsidP="00610D06">
            <w:pPr>
              <w:ind w:left="0"/>
              <w:rPr>
                <w:sz w:val="20"/>
                <w:szCs w:val="20"/>
              </w:rPr>
            </w:pPr>
            <w:r w:rsidRPr="00610D06">
              <w:rPr>
                <w:sz w:val="20"/>
                <w:szCs w:val="20"/>
              </w:rPr>
              <w:t>The presence of baseline RAVs# had no impact on SVR12 in the 8 or 12 week groups.</w:t>
            </w:r>
          </w:p>
        </w:tc>
      </w:tr>
      <w:tr w:rsidR="00610D06" w:rsidRPr="00610D06" w:rsidTr="007E0F0B">
        <w:trPr>
          <w:trHeight w:val="1180"/>
        </w:trPr>
        <w:tc>
          <w:tcPr>
            <w:tcW w:w="1836" w:type="dxa"/>
          </w:tcPr>
          <w:p w:rsidR="00610D06" w:rsidRPr="00610D06" w:rsidRDefault="00610D06" w:rsidP="00610D06">
            <w:pPr>
              <w:ind w:left="0"/>
              <w:rPr>
                <w:sz w:val="20"/>
                <w:szCs w:val="20"/>
              </w:rPr>
            </w:pPr>
            <w:r w:rsidRPr="00610D06">
              <w:rPr>
                <w:sz w:val="20"/>
                <w:szCs w:val="20"/>
              </w:rPr>
              <w:t>GS-US-367-1871 (TRILOGY)</w:t>
            </w:r>
          </w:p>
        </w:tc>
        <w:tc>
          <w:tcPr>
            <w:tcW w:w="1516" w:type="dxa"/>
          </w:tcPr>
          <w:p w:rsidR="00610D06" w:rsidRPr="00610D06" w:rsidRDefault="00610D06" w:rsidP="00610D06">
            <w:pPr>
              <w:ind w:left="0"/>
              <w:rPr>
                <w:sz w:val="20"/>
                <w:szCs w:val="20"/>
              </w:rPr>
            </w:pPr>
            <w:r w:rsidRPr="00610D06">
              <w:rPr>
                <w:sz w:val="20"/>
                <w:szCs w:val="20"/>
              </w:rPr>
              <w:t>SOF/VEL/VOX with or without RBV for 12 weeks</w:t>
            </w:r>
          </w:p>
        </w:tc>
        <w:tc>
          <w:tcPr>
            <w:tcW w:w="1542" w:type="dxa"/>
          </w:tcPr>
          <w:p w:rsidR="00610D06" w:rsidRPr="00610D06" w:rsidRDefault="00610D06" w:rsidP="00610D06">
            <w:pPr>
              <w:ind w:left="0"/>
              <w:rPr>
                <w:sz w:val="20"/>
                <w:szCs w:val="20"/>
              </w:rPr>
            </w:pPr>
            <w:r>
              <w:rPr>
                <w:sz w:val="20"/>
                <w:szCs w:val="20"/>
              </w:rPr>
              <w:t xml:space="preserve">1 </w:t>
            </w:r>
            <w:r w:rsidRPr="00610D06">
              <w:rPr>
                <w:sz w:val="20"/>
                <w:szCs w:val="20"/>
              </w:rPr>
              <w:t>(49)</w:t>
            </w:r>
          </w:p>
        </w:tc>
        <w:tc>
          <w:tcPr>
            <w:tcW w:w="1769" w:type="dxa"/>
          </w:tcPr>
          <w:p w:rsidR="00610D06" w:rsidRPr="00610D06" w:rsidRDefault="00CE0E69" w:rsidP="00610D06">
            <w:pPr>
              <w:ind w:left="0"/>
              <w:rPr>
                <w:sz w:val="20"/>
                <w:szCs w:val="20"/>
              </w:rPr>
            </w:pPr>
            <w:r>
              <w:rPr>
                <w:sz w:val="20"/>
                <w:szCs w:val="20"/>
              </w:rPr>
              <w:t>DAA experienced</w:t>
            </w:r>
            <w:r w:rsidR="00610D06" w:rsidRPr="00610D06">
              <w:rPr>
                <w:sz w:val="20"/>
                <w:szCs w:val="20"/>
              </w:rPr>
              <w:t xml:space="preserve"> subjects</w:t>
            </w:r>
          </w:p>
        </w:tc>
        <w:tc>
          <w:tcPr>
            <w:tcW w:w="1771" w:type="dxa"/>
          </w:tcPr>
          <w:p w:rsidR="00610D06" w:rsidRPr="00610D06" w:rsidRDefault="00610D06" w:rsidP="00610D06">
            <w:pPr>
              <w:ind w:left="0"/>
              <w:rPr>
                <w:sz w:val="20"/>
                <w:szCs w:val="20"/>
              </w:rPr>
            </w:pPr>
            <w:r w:rsidRPr="00610D06">
              <w:rPr>
                <w:sz w:val="20"/>
                <w:szCs w:val="20"/>
              </w:rPr>
              <w:t>Addition of RBV did not improve SVR12 rates</w:t>
            </w:r>
          </w:p>
        </w:tc>
      </w:tr>
    </w:tbl>
    <w:p w:rsidR="00610D06" w:rsidRPr="007D09D4" w:rsidRDefault="00610D06" w:rsidP="00610D06">
      <w:pPr>
        <w:pStyle w:val="TableDescription"/>
      </w:pPr>
      <w:r w:rsidRPr="00C35945">
        <w:t>*</w:t>
      </w:r>
      <w:r>
        <w:t xml:space="preserve"> </w:t>
      </w:r>
      <w:r w:rsidRPr="00DD35BA">
        <w:t>GS-US-367-1169</w:t>
      </w:r>
      <w:r w:rsidRPr="00C35945">
        <w:t xml:space="preserve"> was intended to include non-GT1 infection</w:t>
      </w:r>
      <w:r>
        <w:t xml:space="preserve"> #Resistance associated variants, RBV: </w:t>
      </w:r>
      <w:r w:rsidRPr="007D09D4">
        <w:t>ribavirin</w:t>
      </w:r>
      <w:r>
        <w:t xml:space="preserve">, SOF: sofosbuvir, VEL: </w:t>
      </w:r>
      <w:r w:rsidRPr="00DD35BA">
        <w:t>velpatasvir</w:t>
      </w:r>
      <w:r>
        <w:t>, VOX: </w:t>
      </w:r>
      <w:r w:rsidRPr="00DD35BA">
        <w:t>voxilaprevir</w:t>
      </w:r>
    </w:p>
    <w:p w:rsidR="00610D06" w:rsidRDefault="00610D06" w:rsidP="00610D06">
      <w:pPr>
        <w:pStyle w:val="Heading4"/>
      </w:pPr>
      <w:r w:rsidRPr="003F08CF">
        <w:t>Safety</w:t>
      </w:r>
    </w:p>
    <w:p w:rsidR="00610D06" w:rsidRPr="00610D06" w:rsidRDefault="00610D06" w:rsidP="00610D06">
      <w:r w:rsidRPr="0029118D">
        <w:t>A total of 2</w:t>
      </w:r>
      <w:r w:rsidR="007E0F0B">
        <w:t>,</w:t>
      </w:r>
      <w:r w:rsidRPr="0029118D">
        <w:t xml:space="preserve">017 subjects received at least 1 dose of SOF/VEL/VOX or SOF/VEL+VOX, including 1056 subjects in 4 SOF/VEL/VOX </w:t>
      </w:r>
      <w:r w:rsidR="00476CD0">
        <w:t>Phase III</w:t>
      </w:r>
      <w:r>
        <w:t xml:space="preserve"> studies, 543 subjects in four</w:t>
      </w:r>
      <w:r w:rsidRPr="0029118D">
        <w:t xml:space="preserve"> SOF/VEL/VOX or SOF/VEL+VOX </w:t>
      </w:r>
      <w:r w:rsidR="00476CD0">
        <w:t>Phase II</w:t>
      </w:r>
      <w:r>
        <w:t xml:space="preserve"> studies and 418 subjects in seven</w:t>
      </w:r>
      <w:r w:rsidRPr="0029118D">
        <w:t xml:space="preserve"> SOF/VEL/VOX, SOF/VEL+VOX, or SOF/VEL/VOX+VOX </w:t>
      </w:r>
      <w:r w:rsidR="00476CD0">
        <w:t>Phase I</w:t>
      </w:r>
      <w:r w:rsidRPr="0029118D">
        <w:t xml:space="preserve"> studies. Of the 1912 subjects who were r</w:t>
      </w:r>
      <w:r>
        <w:t>andomised or enrolled into the four</w:t>
      </w:r>
      <w:r w:rsidRPr="0029118D">
        <w:t xml:space="preserve"> </w:t>
      </w:r>
      <w:r w:rsidR="00476CD0">
        <w:t>Phase III</w:t>
      </w:r>
      <w:r w:rsidRPr="0029118D">
        <w:t xml:space="preserve"> studies that comprise</w:t>
      </w:r>
      <w:r>
        <w:t>d</w:t>
      </w:r>
      <w:r w:rsidRPr="0029118D">
        <w:t xml:space="preserve"> the Integrated </w:t>
      </w:r>
      <w:r w:rsidR="00476CD0">
        <w:t>Phase III</w:t>
      </w:r>
      <w:r w:rsidRPr="0029118D">
        <w:t xml:space="preserve"> Safety Population, 1908 received at least 1 dose of study drug and were inclu</w:t>
      </w:r>
      <w:r>
        <w:t xml:space="preserve">ded in the Safety Analysis Set, which included subjects who had received at least one dose of VOX as </w:t>
      </w:r>
      <w:r w:rsidR="007E0F0B">
        <w:t>either an 8 or 12 week regimen.</w:t>
      </w:r>
    </w:p>
    <w:p w:rsidR="00610D06" w:rsidRPr="0029118D" w:rsidRDefault="00610D06" w:rsidP="00610D06">
      <w:r w:rsidRPr="0029118D">
        <w:t xml:space="preserve">Subjects treated with SOF/VEL/VOX for 8 or 12 weeks had a higher incidence of gastrointestinal AEs (mainly diarrhoea and nausea) compared with subjects treated with SOF/VEL for 12 weeks which was consistent with the known effects of some NS3/4A </w:t>
      </w:r>
      <w:proofErr w:type="spellStart"/>
      <w:r w:rsidR="003A5113">
        <w:t>Pi</w:t>
      </w:r>
      <w:r w:rsidRPr="0029118D">
        <w:t>s</w:t>
      </w:r>
      <w:proofErr w:type="spellEnd"/>
      <w:r>
        <w:t xml:space="preserve">. These symptoms were not treatment limiting </w:t>
      </w:r>
      <w:r w:rsidRPr="00DB4251">
        <w:t>with no subject discontinuing or interrupting treatment due to diarrhoea or nausea.</w:t>
      </w:r>
    </w:p>
    <w:p w:rsidR="00610D06" w:rsidRDefault="00610D06" w:rsidP="00610D06">
      <w:r w:rsidRPr="00DB4251">
        <w:t>A comprehensive analysis of safety events historically associated with</w:t>
      </w:r>
      <w:r w:rsidR="00476CD0">
        <w:t xml:space="preserve"> </w:t>
      </w:r>
      <w:r w:rsidRPr="00DB4251">
        <w:t xml:space="preserve">certain antiviral nucleoside/nucleotide inhibitors was performed for SOF/VEL/VOX in the Integrated </w:t>
      </w:r>
      <w:r w:rsidR="00476CD0">
        <w:t>Phase III</w:t>
      </w:r>
      <w:r w:rsidRPr="00DB4251">
        <w:t xml:space="preserve"> Safety Population, including cardiac events, dermatologic events, pancytopenia events, psychiatric events related to suicide ideation or attempt, pancreatitis events, rhabdomyolysis/ myopathy events and renal events.</w:t>
      </w:r>
      <w:r>
        <w:t xml:space="preserve"> SOF/VEL/VOX, SOF/VEL+VOX were </w:t>
      </w:r>
      <w:r w:rsidRPr="00DB4251">
        <w:t xml:space="preserve">generally well tolerated in the </w:t>
      </w:r>
      <w:r w:rsidR="00476CD0">
        <w:t>Phase I</w:t>
      </w:r>
      <w:r w:rsidRPr="00DB4251">
        <w:t xml:space="preserve"> studies, and no safety signal was identified.</w:t>
      </w:r>
    </w:p>
    <w:p w:rsidR="00610D06" w:rsidRDefault="00610D06" w:rsidP="00610D06">
      <w:r w:rsidRPr="00DB4251">
        <w:t xml:space="preserve">The overall safety profile for the </w:t>
      </w:r>
      <w:r w:rsidR="00476CD0">
        <w:t>Phase II</w:t>
      </w:r>
      <w:r w:rsidRPr="00DB4251">
        <w:t xml:space="preserve"> Safety Population was similar to that of the Integrated </w:t>
      </w:r>
      <w:r w:rsidR="00476CD0">
        <w:t>Phase III</w:t>
      </w:r>
      <w:r w:rsidRPr="00DB4251">
        <w:t xml:space="preserve"> Safety Population.</w:t>
      </w:r>
    </w:p>
    <w:p w:rsidR="00476CD0" w:rsidRDefault="00610D06" w:rsidP="00610D06">
      <w:r w:rsidRPr="00DB4251">
        <w:t xml:space="preserve">Due to the known association of some NS3/4A </w:t>
      </w:r>
      <w:proofErr w:type="spellStart"/>
      <w:r w:rsidR="003A5113">
        <w:t>Pi</w:t>
      </w:r>
      <w:r w:rsidRPr="00DB4251">
        <w:t>s</w:t>
      </w:r>
      <w:proofErr w:type="spellEnd"/>
      <w:r w:rsidRPr="00DB4251">
        <w:t xml:space="preserve"> with hepatotoxicity, particular attention was given to hepatic events and </w:t>
      </w:r>
      <w:r w:rsidR="003A5113">
        <w:t>liver related</w:t>
      </w:r>
      <w:r w:rsidRPr="00DB4251">
        <w:t xml:space="preserve"> abnormalities in the SOF/VEL/VOX clinical development program.</w:t>
      </w:r>
      <w:r w:rsidRPr="006C37DE">
        <w:t xml:space="preserve"> An indepen</w:t>
      </w:r>
      <w:r>
        <w:t xml:space="preserve">dent review committee </w:t>
      </w:r>
      <w:r w:rsidRPr="006C37DE">
        <w:t>was convened by the sponsor</w:t>
      </w:r>
      <w:r>
        <w:t xml:space="preserve"> to review possible cases of drug-induced liver injury. The FDA reviewers reached similar conclusions to the committee in regards to hepatic safety.</w:t>
      </w:r>
      <w:r w:rsidR="007E0F0B" w:rsidRPr="007E0F0B">
        <w:rPr>
          <w:vertAlign w:val="superscript"/>
        </w:rPr>
        <w:fldChar w:fldCharType="begin"/>
      </w:r>
      <w:r w:rsidR="007E0F0B" w:rsidRPr="007E0F0B">
        <w:rPr>
          <w:vertAlign w:val="superscript"/>
        </w:rPr>
        <w:instrText xml:space="preserve"> NOTEREF _Ref529367676 \h  \* MERGEFORMAT </w:instrText>
      </w:r>
      <w:r w:rsidR="007E0F0B" w:rsidRPr="007E0F0B">
        <w:rPr>
          <w:vertAlign w:val="superscript"/>
        </w:rPr>
      </w:r>
      <w:r w:rsidR="007E0F0B" w:rsidRPr="007E0F0B">
        <w:rPr>
          <w:vertAlign w:val="superscript"/>
        </w:rPr>
        <w:fldChar w:fldCharType="separate"/>
      </w:r>
      <w:r w:rsidR="007E0F0B" w:rsidRPr="007E0F0B">
        <w:rPr>
          <w:vertAlign w:val="superscript"/>
        </w:rPr>
        <w:t>58</w:t>
      </w:r>
      <w:r w:rsidR="007E0F0B" w:rsidRPr="007E0F0B">
        <w:rPr>
          <w:vertAlign w:val="superscript"/>
        </w:rPr>
        <w:fldChar w:fldCharType="end"/>
      </w:r>
      <w:r w:rsidRPr="00DB4251">
        <w:t xml:space="preserve"> The rates of Grade 3 or 4 elevations </w:t>
      </w:r>
      <w:r>
        <w:t xml:space="preserve">in total bilirubin, ALT and AST </w:t>
      </w:r>
      <w:r w:rsidRPr="00DB4251">
        <w:t>among subjects receiving SOF/VEL/VOX were low and similar to those receiving SOF/VEL.</w:t>
      </w:r>
      <w:r w:rsidR="00476CD0">
        <w:t xml:space="preserve"> </w:t>
      </w:r>
      <w:r w:rsidRPr="00DB4251">
        <w:t>Slight increases in total bilirubin values were observed, consistent with VOX inhibition of OATP1B1 and OATP1B3. No pattern of VOX-associated ALT elevation was observed</w:t>
      </w:r>
      <w:r w:rsidR="00476CD0">
        <w:t>.</w:t>
      </w:r>
    </w:p>
    <w:p w:rsidR="00610D06" w:rsidRPr="009E2916" w:rsidRDefault="00DD2514" w:rsidP="00610D06">
      <w:pPr>
        <w:pStyle w:val="Comment"/>
      </w:pPr>
      <w:r>
        <w:rPr>
          <w:b/>
        </w:rPr>
        <w:lastRenderedPageBreak/>
        <w:t>C</w:t>
      </w:r>
      <w:r w:rsidR="00610D06" w:rsidRPr="00610D06">
        <w:rPr>
          <w:b/>
        </w:rPr>
        <w:t>omment</w:t>
      </w:r>
      <w:r w:rsidR="00610D06">
        <w:t xml:space="preserve"> Post-marketing data are available for SOF and VEL, given they are currently registered. The clinical evaluator, FDA and EMA were satisfied with the adequacy of the safety database available for </w:t>
      </w:r>
      <w:r w:rsidR="00476CD0">
        <w:t>Vosevi</w:t>
      </w:r>
      <w:r w:rsidR="00610D06">
        <w:t xml:space="preserve">, including patients with compensated cirrhosis. </w:t>
      </w:r>
      <w:r w:rsidR="00C4145D">
        <w:t>Nonclinical</w:t>
      </w:r>
      <w:r w:rsidR="00610D06">
        <w:t xml:space="preserve"> evaluation did not identify specific saf</w:t>
      </w:r>
      <w:r w:rsidR="007E0F0B">
        <w:t xml:space="preserve">ety concerns. The EU has contra </w:t>
      </w:r>
      <w:r w:rsidR="00610D06">
        <w:t xml:space="preserve">indicated concomitant use </w:t>
      </w:r>
      <w:r w:rsidR="00610D06" w:rsidRPr="009E2916">
        <w:t xml:space="preserve">of </w:t>
      </w:r>
      <w:proofErr w:type="spellStart"/>
      <w:r w:rsidR="00610D06" w:rsidRPr="009E2916">
        <w:t>ethinyl</w:t>
      </w:r>
      <w:proofErr w:type="spellEnd"/>
      <w:r w:rsidR="00610D06" w:rsidRPr="009E2916">
        <w:t>-</w:t>
      </w:r>
      <w:proofErr w:type="spellStart"/>
      <w:r w:rsidR="00610D06" w:rsidRPr="009E2916">
        <w:t>estradiol</w:t>
      </w:r>
      <w:proofErr w:type="spellEnd"/>
      <w:r w:rsidR="00610D06" w:rsidRPr="009E2916">
        <w:t>-containing products</w:t>
      </w:r>
      <w:r w:rsidR="00610D06">
        <w:t xml:space="preserve">, in relation to previous experience with macrocyclic </w:t>
      </w:r>
      <w:proofErr w:type="spellStart"/>
      <w:r w:rsidR="003A5113">
        <w:t>Pi</w:t>
      </w:r>
      <w:r w:rsidR="00610D06">
        <w:t>s</w:t>
      </w:r>
      <w:proofErr w:type="spellEnd"/>
      <w:r w:rsidR="00610D06">
        <w:t xml:space="preserve"> (</w:t>
      </w:r>
      <w:r w:rsidR="007E0F0B">
        <w:t>for example,</w:t>
      </w:r>
      <w:r w:rsidR="00610D06">
        <w:t xml:space="preserve"> </w:t>
      </w:r>
      <w:proofErr w:type="spellStart"/>
      <w:r w:rsidR="00610D06">
        <w:t>paritaprevir</w:t>
      </w:r>
      <w:proofErr w:type="spellEnd"/>
      <w:r w:rsidR="00610D06">
        <w:t xml:space="preserve">) and the risk of hepatotoxicity in combination with </w:t>
      </w:r>
      <w:proofErr w:type="spellStart"/>
      <w:r w:rsidR="00610D06" w:rsidRPr="009E2916">
        <w:t>ethinyl-estradiol</w:t>
      </w:r>
      <w:proofErr w:type="spellEnd"/>
      <w:r w:rsidR="00610D06">
        <w:t>, and due to the increased ALT noted in two patients concomitantly exposed to SOF/VEL/VOX and</w:t>
      </w:r>
      <w:r w:rsidR="00610D06" w:rsidRPr="009E2916">
        <w:t xml:space="preserve"> </w:t>
      </w:r>
      <w:proofErr w:type="spellStart"/>
      <w:r w:rsidR="00610D06" w:rsidRPr="009E2916">
        <w:t>ethinyl-estradiol</w:t>
      </w:r>
      <w:proofErr w:type="spellEnd"/>
      <w:r w:rsidR="00610D06">
        <w:t>.</w:t>
      </w:r>
      <w:bookmarkStart w:id="334" w:name="_Ref529367903"/>
      <w:r w:rsidR="007E0F0B">
        <w:rPr>
          <w:rStyle w:val="FootnoteReference"/>
        </w:rPr>
        <w:footnoteReference w:id="70"/>
      </w:r>
      <w:bookmarkEnd w:id="334"/>
    </w:p>
    <w:p w:rsidR="00456765" w:rsidRPr="00456765" w:rsidRDefault="00610D06" w:rsidP="007E0F0B">
      <w:pPr>
        <w:pStyle w:val="Comment"/>
        <w:ind w:firstLine="0"/>
      </w:pPr>
      <w:r w:rsidRPr="00FA4A68">
        <w:t xml:space="preserve">Safety of SOF/VEL/VOX FDC was not evaluated in HCV patients with HIV co-infection or in patients </w:t>
      </w:r>
      <w:r>
        <w:t xml:space="preserve">with liver transplantation or </w:t>
      </w:r>
      <w:r w:rsidRPr="00FA4A68">
        <w:t>hepatic decompensation</w:t>
      </w:r>
      <w:r w:rsidR="007E0F0B">
        <w:t>.</w:t>
      </w:r>
    </w:p>
    <w:p w:rsidR="008E7846" w:rsidRDefault="00386150" w:rsidP="007B6132">
      <w:pPr>
        <w:pStyle w:val="Heading3"/>
        <w:rPr>
          <w:lang w:eastAsia="en-AU"/>
        </w:rPr>
      </w:pPr>
      <w:bookmarkStart w:id="335" w:name="_Toc8291138"/>
      <w:r>
        <w:rPr>
          <w:lang w:eastAsia="en-AU"/>
        </w:rPr>
        <w:t>Risk m</w:t>
      </w:r>
      <w:r w:rsidR="008E7846">
        <w:rPr>
          <w:lang w:eastAsia="en-AU"/>
        </w:rPr>
        <w:t xml:space="preserve">anagement </w:t>
      </w:r>
      <w:r>
        <w:rPr>
          <w:lang w:eastAsia="en-AU"/>
        </w:rPr>
        <w:t>p</w:t>
      </w:r>
      <w:r w:rsidR="008E7846">
        <w:rPr>
          <w:lang w:eastAsia="en-AU"/>
        </w:rPr>
        <w:t>lan</w:t>
      </w:r>
      <w:bookmarkEnd w:id="321"/>
      <w:bookmarkEnd w:id="335"/>
    </w:p>
    <w:p w:rsidR="00476CD0" w:rsidRDefault="00610D06" w:rsidP="00610D06">
      <w:r w:rsidRPr="00614CF1">
        <w:t xml:space="preserve">Following </w:t>
      </w:r>
      <w:r w:rsidR="00DD2514">
        <w:t>the second round</w:t>
      </w:r>
      <w:r w:rsidRPr="00614CF1">
        <w:t xml:space="preserve"> evaluation, the </w:t>
      </w:r>
      <w:r w:rsidR="00DD2514">
        <w:t>RMP</w:t>
      </w:r>
      <w:r w:rsidRPr="00614CF1">
        <w:t xml:space="preserve"> for </w:t>
      </w:r>
      <w:r w:rsidR="00476CD0">
        <w:t>Vosevi</w:t>
      </w:r>
      <w:r w:rsidRPr="00614CF1">
        <w:t xml:space="preserve"> was deemed to be acceptable.</w:t>
      </w:r>
      <w:r>
        <w:t xml:space="preserve"> The evaluator recommended one change in relation to patie</w:t>
      </w:r>
      <w:r w:rsidR="007E0F0B">
        <w:t>nts with HBV/HCV co-infection.</w:t>
      </w:r>
    </w:p>
    <w:p w:rsidR="000416C2" w:rsidRDefault="00610D06" w:rsidP="008E7846">
      <w:r w:rsidRPr="00413004">
        <w:t>The suggested wording</w:t>
      </w:r>
      <w:r>
        <w:t xml:space="preserve"> for conditions of registration is</w:t>
      </w:r>
      <w:r w:rsidR="000416C2">
        <w:t>:</w:t>
      </w:r>
    </w:p>
    <w:p w:rsidR="008E7846" w:rsidRDefault="000416C2" w:rsidP="00A95AB7">
      <w:pPr>
        <w:ind w:left="720"/>
      </w:pPr>
      <w:r>
        <w:t>I</w:t>
      </w:r>
      <w:r w:rsidR="00610D06" w:rsidRPr="00413004">
        <w:t xml:space="preserve">mplement the </w:t>
      </w:r>
      <w:r w:rsidR="00476CD0">
        <w:t>Vosevi</w:t>
      </w:r>
      <w:r w:rsidR="00610D06" w:rsidRPr="00413004">
        <w:t xml:space="preserve"> EU-RMP version 1.0, dated 26 July 2017, final sign-off 12 May 2017, DLP 12 October 2016 with Australian Specific Annex version 0.2, September 2017 and any future updates as a condition of registration.</w:t>
      </w:r>
    </w:p>
    <w:p w:rsidR="008E7846" w:rsidRDefault="00AA0ED0" w:rsidP="008E7846">
      <w:pPr>
        <w:pStyle w:val="Heading3"/>
      </w:pPr>
      <w:bookmarkStart w:id="336" w:name="_Toc247691531"/>
      <w:bookmarkStart w:id="337" w:name="_Toc314842515"/>
      <w:bookmarkStart w:id="338" w:name="_Toc196046505"/>
      <w:bookmarkStart w:id="339" w:name="_Toc196046949"/>
      <w:bookmarkStart w:id="340" w:name="_Toc8291139"/>
      <w:r>
        <w:t>Risk-benefit a</w:t>
      </w:r>
      <w:r w:rsidR="008E7846">
        <w:t>nalysis</w:t>
      </w:r>
      <w:bookmarkEnd w:id="336"/>
      <w:bookmarkEnd w:id="337"/>
      <w:bookmarkEnd w:id="340"/>
    </w:p>
    <w:p w:rsidR="00610D06" w:rsidRDefault="00610D06" w:rsidP="00610D06">
      <w:pPr>
        <w:pStyle w:val="Heading4"/>
      </w:pPr>
      <w:r>
        <w:t>Discussion</w:t>
      </w:r>
    </w:p>
    <w:p w:rsidR="00CA2D91" w:rsidRPr="007E0F0B" w:rsidRDefault="00476CD0" w:rsidP="00CA2D91">
      <w:r>
        <w:t>Vosevi</w:t>
      </w:r>
      <w:r w:rsidR="00CA2D91" w:rsidRPr="00BA07FE">
        <w:t xml:space="preserve"> has demonstrated efficacy in a group of patient</w:t>
      </w:r>
      <w:r w:rsidR="00CA2D91">
        <w:t>s</w:t>
      </w:r>
      <w:r w:rsidR="00CA2D91" w:rsidRPr="00BA07FE">
        <w:t xml:space="preserve"> for </w:t>
      </w:r>
      <w:r w:rsidR="00DD2514">
        <w:t xml:space="preserve">which options are limited (NS5A </w:t>
      </w:r>
      <w:r w:rsidR="00CA2D91" w:rsidRPr="00BA07FE">
        <w:t>experienced patients</w:t>
      </w:r>
      <w:r w:rsidR="00DD2514">
        <w:t xml:space="preserve"> and sofosbuvir </w:t>
      </w:r>
      <w:r w:rsidR="00CA2D91">
        <w:t>experienced patients</w:t>
      </w:r>
      <w:r w:rsidR="00CA2D91" w:rsidRPr="00BA07FE">
        <w:t xml:space="preserve">) </w:t>
      </w:r>
      <w:r w:rsidR="00DD2514">
        <w:t xml:space="preserve">with a single tablet, ribavirin </w:t>
      </w:r>
      <w:r w:rsidR="00CA2D91" w:rsidRPr="00BA07FE">
        <w:t>free</w:t>
      </w:r>
      <w:r w:rsidR="00CA2D91">
        <w:t xml:space="preserve"> therapy</w:t>
      </w:r>
      <w:r w:rsidR="00CA2D91" w:rsidRPr="00BA07FE">
        <w:t>,</w:t>
      </w:r>
      <w:r w:rsidR="00CA2D91">
        <w:t xml:space="preserve"> which can be given once daily. The submitted studies suggest that </w:t>
      </w:r>
      <w:r>
        <w:t>Vosevi</w:t>
      </w:r>
      <w:r w:rsidR="00CA2D91">
        <w:t xml:space="preserve"> will be an important re-treatment option, particularly for NS5A experienced patients.</w:t>
      </w:r>
      <w:r w:rsidR="007E0F0B" w:rsidRPr="007E0F0B">
        <w:rPr>
          <w:vertAlign w:val="superscript"/>
        </w:rPr>
        <w:fldChar w:fldCharType="begin"/>
      </w:r>
      <w:r w:rsidR="007E0F0B" w:rsidRPr="007E0F0B">
        <w:rPr>
          <w:vertAlign w:val="superscript"/>
        </w:rPr>
        <w:instrText xml:space="preserve"> NOTEREF _Ref529367903 \h  \* MERGEFORMAT </w:instrText>
      </w:r>
      <w:r w:rsidR="007E0F0B" w:rsidRPr="007E0F0B">
        <w:rPr>
          <w:vertAlign w:val="superscript"/>
        </w:rPr>
      </w:r>
      <w:r w:rsidR="007E0F0B" w:rsidRPr="007E0F0B">
        <w:rPr>
          <w:vertAlign w:val="superscript"/>
        </w:rPr>
        <w:fldChar w:fldCharType="separate"/>
      </w:r>
      <w:r w:rsidR="007E0F0B" w:rsidRPr="007E0F0B">
        <w:rPr>
          <w:vertAlign w:val="superscript"/>
        </w:rPr>
        <w:t>61</w:t>
      </w:r>
      <w:r w:rsidR="007E0F0B" w:rsidRPr="007E0F0B">
        <w:rPr>
          <w:vertAlign w:val="superscript"/>
        </w:rPr>
        <w:fldChar w:fldCharType="end"/>
      </w:r>
    </w:p>
    <w:p w:rsidR="00CA2D91" w:rsidRPr="00DA48C5" w:rsidRDefault="00CA2D91" w:rsidP="00CA2D91">
      <w:r w:rsidRPr="00DA48C5">
        <w:t xml:space="preserve">A number of </w:t>
      </w:r>
      <w:r w:rsidR="00D43BF2">
        <w:t>direct acting</w:t>
      </w:r>
      <w:r w:rsidRPr="00DA48C5">
        <w:t xml:space="preserve"> antiviral therapies for HCV are now registered</w:t>
      </w:r>
      <w:r>
        <w:t>,</w:t>
      </w:r>
      <w:r w:rsidRPr="00DA48C5">
        <w:t xml:space="preserve"> with pan</w:t>
      </w:r>
      <w:r w:rsidR="007E0F0B">
        <w:t>-</w:t>
      </w:r>
      <w:r w:rsidRPr="00DA48C5">
        <w:t xml:space="preserve">genotypic </w:t>
      </w:r>
      <w:r>
        <w:t xml:space="preserve">DAA </w:t>
      </w:r>
      <w:r w:rsidRPr="00DA48C5">
        <w:t xml:space="preserve">therapies </w:t>
      </w:r>
      <w:r>
        <w:t xml:space="preserve">now </w:t>
      </w:r>
      <w:r w:rsidRPr="00DA48C5">
        <w:t>available i</w:t>
      </w:r>
      <w:r>
        <w:t xml:space="preserve">nternationally. SVR12 rates of greater than 90% were achieved </w:t>
      </w:r>
      <w:r w:rsidRPr="00DA48C5">
        <w:t xml:space="preserve">with </w:t>
      </w:r>
      <w:r>
        <w:t>‘</w:t>
      </w:r>
      <w:r w:rsidR="003A5113">
        <w:t>first generation</w:t>
      </w:r>
      <w:r>
        <w:t xml:space="preserve">’ </w:t>
      </w:r>
      <w:r w:rsidRPr="00DA48C5">
        <w:t>DAAs</w:t>
      </w:r>
      <w:r w:rsidR="00476CD0">
        <w:t xml:space="preserve"> </w:t>
      </w:r>
      <w:r>
        <w:t xml:space="preserve">and </w:t>
      </w:r>
      <w:r w:rsidRPr="00DA48C5">
        <w:t>represent a signific</w:t>
      </w:r>
      <w:r w:rsidR="00DD2514">
        <w:t xml:space="preserve">ant improvement over interferon </w:t>
      </w:r>
      <w:r w:rsidRPr="00DA48C5">
        <w:t>based therapies. As more</w:t>
      </w:r>
      <w:r>
        <w:t xml:space="preserve"> potent and pan</w:t>
      </w:r>
      <w:r w:rsidR="007E0F0B">
        <w:t>-</w:t>
      </w:r>
      <w:r>
        <w:t>genotypic</w:t>
      </w:r>
      <w:r w:rsidRPr="00DA48C5">
        <w:t xml:space="preserve"> DAAs therapies become available, these need be used judiciously with clear guidance in the </w:t>
      </w:r>
      <w:r w:rsidR="00DD2514">
        <w:t>PI</w:t>
      </w:r>
      <w:r w:rsidRPr="00DA48C5">
        <w:t xml:space="preserve"> reflecting submitted data for each genotype and patient population.</w:t>
      </w:r>
    </w:p>
    <w:p w:rsidR="00CA2D91" w:rsidRDefault="00CA2D91" w:rsidP="00CA2D91">
      <w:r>
        <w:t xml:space="preserve">Studies have not been conducted with </w:t>
      </w:r>
      <w:r w:rsidR="00476CD0">
        <w:t>Vosevi</w:t>
      </w:r>
      <w:r>
        <w:t xml:space="preserve"> in patients with HIV co-infection, hepatic decompensation or liver transplantation. Other DAAs are currently approved for use in these patient groups, to be co-administered with RBV in patients with decompensated cirrhosis.</w:t>
      </w:r>
    </w:p>
    <w:p w:rsidR="00CA2D91" w:rsidRDefault="00CA2D91" w:rsidP="00CA2D91">
      <w:r>
        <w:t xml:space="preserve">The Delegate acknowledges the </w:t>
      </w:r>
      <w:r w:rsidR="000D5C0A">
        <w:t>sponsor</w:t>
      </w:r>
      <w:r>
        <w:t xml:space="preserve">’s agreement to the modified indication recommended by the evaluator following the </w:t>
      </w:r>
      <w:r w:rsidR="007E0F0B">
        <w:t>sponsor’s</w:t>
      </w:r>
      <w:r>
        <w:t xml:space="preserve"> response, noting that the evaluator was of the opinion that there was inadequate evidence to support use of 8 weeks tr</w:t>
      </w:r>
      <w:r w:rsidR="007E0F0B">
        <w:t xml:space="preserve">eatment with SOF/VEL/VOX in DAA </w:t>
      </w:r>
      <w:r>
        <w:t xml:space="preserve">treatment naïve patients and efficacy of 12 weeks treatment of </w:t>
      </w:r>
      <w:r w:rsidRPr="000115A8">
        <w:t>SOF/VEL/VOX</w:t>
      </w:r>
      <w:r>
        <w:t xml:space="preserve"> was not evaluated in </w:t>
      </w:r>
      <w:r w:rsidR="00DD2514">
        <w:t xml:space="preserve">DAA </w:t>
      </w:r>
      <w:r w:rsidRPr="000115A8">
        <w:t>treatment naïve patients</w:t>
      </w:r>
      <w:r>
        <w:t xml:space="preserve">. The Delegate is of the opinion that the indication should be made more specific and </w:t>
      </w:r>
      <w:proofErr w:type="gramStart"/>
      <w:r>
        <w:t>reflect</w:t>
      </w:r>
      <w:proofErr w:type="gramEnd"/>
      <w:r>
        <w:t xml:space="preserve"> the </w:t>
      </w:r>
      <w:r w:rsidRPr="000115A8">
        <w:lastRenderedPageBreak/>
        <w:t>benefit of adding voxilaprevir for individual genotypes and treatment groups</w:t>
      </w:r>
      <w:r>
        <w:t xml:space="preserve">, compared to </w:t>
      </w:r>
      <w:r w:rsidRPr="000115A8">
        <w:t>SOF/VEL</w:t>
      </w:r>
      <w:r>
        <w:t>, consistent with the approach of the FDA.</w:t>
      </w:r>
      <w:r w:rsidRPr="00DA48C5">
        <w:t xml:space="preserve"> </w:t>
      </w:r>
      <w:r w:rsidR="00476CD0">
        <w:t>Vosevi</w:t>
      </w:r>
      <w:r>
        <w:t xml:space="preserve"> </w:t>
      </w:r>
      <w:r w:rsidRPr="00DA48C5">
        <w:t xml:space="preserve">should not be used in patient groups for which existing DAAs, including </w:t>
      </w:r>
      <w:r w:rsidR="00476CD0">
        <w:t>Epclusa</w:t>
      </w:r>
      <w:r w:rsidRPr="00DA48C5">
        <w:t>, are efficacious.</w:t>
      </w:r>
      <w:r>
        <w:t xml:space="preserve"> </w:t>
      </w:r>
      <w:r w:rsidR="00476CD0">
        <w:t>Vosevi</w:t>
      </w:r>
      <w:r>
        <w:t xml:space="preserve"> was not compared to </w:t>
      </w:r>
      <w:r w:rsidR="00476CD0">
        <w:t>Epclusa</w:t>
      </w:r>
      <w:r>
        <w:t xml:space="preserve"> for 8 weeks duration as </w:t>
      </w:r>
      <w:r w:rsidR="00476CD0">
        <w:t>Epclusa</w:t>
      </w:r>
      <w:r>
        <w:t xml:space="preserve"> was not intended to be given for 8 weeks.</w:t>
      </w:r>
      <w:r w:rsidR="007E0F0B" w:rsidRPr="007E0F0B">
        <w:rPr>
          <w:vertAlign w:val="superscript"/>
        </w:rPr>
        <w:fldChar w:fldCharType="begin"/>
      </w:r>
      <w:r w:rsidR="007E0F0B" w:rsidRPr="007E0F0B">
        <w:rPr>
          <w:vertAlign w:val="superscript"/>
        </w:rPr>
        <w:instrText xml:space="preserve"> NOTEREF _Ref529351096 \h  \* MERGEFORMAT </w:instrText>
      </w:r>
      <w:r w:rsidR="007E0F0B" w:rsidRPr="007E0F0B">
        <w:rPr>
          <w:vertAlign w:val="superscript"/>
        </w:rPr>
      </w:r>
      <w:r w:rsidR="007E0F0B" w:rsidRPr="007E0F0B">
        <w:rPr>
          <w:vertAlign w:val="superscript"/>
        </w:rPr>
        <w:fldChar w:fldCharType="separate"/>
      </w:r>
      <w:r w:rsidR="007E0F0B" w:rsidRPr="007E0F0B">
        <w:rPr>
          <w:vertAlign w:val="superscript"/>
        </w:rPr>
        <w:t>53</w:t>
      </w:r>
      <w:r w:rsidR="007E0F0B" w:rsidRPr="007E0F0B">
        <w:rPr>
          <w:vertAlign w:val="superscript"/>
        </w:rPr>
        <w:fldChar w:fldCharType="end"/>
      </w:r>
    </w:p>
    <w:p w:rsidR="00CA2D91" w:rsidRDefault="00CA2D91" w:rsidP="00CA2D91">
      <w:r>
        <w:t xml:space="preserve">There is inconsistency in the presentation of dosing and administration section of the PI between regulators. </w:t>
      </w:r>
      <w:r w:rsidRPr="00A34C8B">
        <w:t xml:space="preserve">The FDA has approved use of </w:t>
      </w:r>
      <w:r w:rsidR="00476CD0">
        <w:t>Vosevi</w:t>
      </w:r>
      <w:r w:rsidRPr="00A34C8B">
        <w:t xml:space="preserve"> in GT1a and 3 only for patients with prior experience with sofosbuvir without an NS5A inhibitor. Health Canada has approved use in GT 1,2,3,4 for this patient group.</w:t>
      </w:r>
      <w:r>
        <w:t xml:space="preserve"> The dosing and administration section in the EU</w:t>
      </w:r>
      <w:r w:rsidR="000416C2">
        <w:t xml:space="preserve"> </w:t>
      </w:r>
      <w:proofErr w:type="spellStart"/>
      <w:r>
        <w:t>SmPC</w:t>
      </w:r>
      <w:proofErr w:type="spellEnd"/>
      <w:r w:rsidR="00476CD0">
        <w:t xml:space="preserve"> </w:t>
      </w:r>
      <w:r>
        <w:t xml:space="preserve">reflects the results of the POLARIS-2 and 3 </w:t>
      </w:r>
      <w:r w:rsidR="000416C2">
        <w:t>trials</w:t>
      </w:r>
      <w:r>
        <w:t xml:space="preserve">. </w:t>
      </w:r>
      <w:r w:rsidRPr="00727B9A">
        <w:t xml:space="preserve">The Delegate agrees with the sponsor, that recommending 8 weeks of </w:t>
      </w:r>
      <w:r w:rsidR="00476CD0">
        <w:t>Vosevi</w:t>
      </w:r>
      <w:r w:rsidR="007E0F0B">
        <w:t xml:space="preserve"> for DAA </w:t>
      </w:r>
      <w:r w:rsidRPr="00727B9A">
        <w:t>naïve patients with GT3 and cirrhosis is potentially confusing, but seeks comment from the ACM, given the prevalence of GT3 in Australia</w:t>
      </w:r>
      <w:r>
        <w:t>.</w:t>
      </w:r>
    </w:p>
    <w:p w:rsidR="00CA2D91" w:rsidRDefault="00CA2D91" w:rsidP="00CA2D91">
      <w:r>
        <w:t>The safety profile of SOF and VEL has been previously characterised, with post-marketing data also available. The safety profile of VOX based on the submitted clinical studies does not raise major safety concerns.</w:t>
      </w:r>
    </w:p>
    <w:p w:rsidR="00CA2D91" w:rsidRDefault="00CA2D91" w:rsidP="00CA2D91">
      <w:r>
        <w:t xml:space="preserve">Pending ACM advice, the Delegate proposes to register </w:t>
      </w:r>
      <w:r w:rsidR="00476CD0">
        <w:t>Vosevi</w:t>
      </w:r>
      <w:r>
        <w:t xml:space="preserve"> for:</w:t>
      </w:r>
    </w:p>
    <w:p w:rsidR="00CA2D91" w:rsidRPr="00CA2D91" w:rsidRDefault="007E0F0B" w:rsidP="00CA2D91">
      <w:pPr>
        <w:ind w:left="720"/>
        <w:rPr>
          <w:i/>
        </w:rPr>
      </w:pPr>
      <w:r>
        <w:rPr>
          <w:i/>
        </w:rPr>
        <w:t>T</w:t>
      </w:r>
      <w:r w:rsidR="00CA2D91" w:rsidRPr="00CA2D91">
        <w:rPr>
          <w:i/>
        </w:rPr>
        <w:t xml:space="preserve">he treatment of adult patients with chronic HCV infection without cirrhosis or with compensated cirrhosis </w:t>
      </w:r>
      <w:proofErr w:type="gramStart"/>
      <w:r w:rsidR="00CA2D91" w:rsidRPr="00CA2D91">
        <w:rPr>
          <w:i/>
        </w:rPr>
        <w:t>who</w:t>
      </w:r>
      <w:proofErr w:type="gramEnd"/>
      <w:r w:rsidR="00CA2D91" w:rsidRPr="00CA2D91">
        <w:rPr>
          <w:i/>
        </w:rPr>
        <w:t xml:space="preserve"> have:</w:t>
      </w:r>
    </w:p>
    <w:p w:rsidR="00476CD0" w:rsidRPr="007E0F0B" w:rsidRDefault="00CA2D91" w:rsidP="007E0F0B">
      <w:pPr>
        <w:pStyle w:val="ListBullet"/>
        <w:ind w:left="1491" w:hanging="357"/>
        <w:rPr>
          <w:i/>
        </w:rPr>
      </w:pPr>
      <w:proofErr w:type="gramStart"/>
      <w:r w:rsidRPr="007E0F0B">
        <w:rPr>
          <w:i/>
        </w:rPr>
        <w:t>genotype</w:t>
      </w:r>
      <w:proofErr w:type="gramEnd"/>
      <w:r w:rsidRPr="007E0F0B">
        <w:rPr>
          <w:i/>
        </w:rPr>
        <w:t xml:space="preserve"> 1, 2, 3, 4, 5, or 6 infection and have previously been treated with an HCV regimen containing an NS5A inhibitor</w:t>
      </w:r>
      <w:r w:rsidR="00476CD0" w:rsidRPr="007E0F0B">
        <w:rPr>
          <w:i/>
        </w:rPr>
        <w:t>.</w:t>
      </w:r>
    </w:p>
    <w:p w:rsidR="00476CD0" w:rsidRPr="007E0F0B" w:rsidRDefault="00CA2D91" w:rsidP="007E0F0B">
      <w:pPr>
        <w:pStyle w:val="ListBullet"/>
        <w:ind w:left="1491" w:hanging="357"/>
        <w:rPr>
          <w:i/>
        </w:rPr>
      </w:pPr>
      <w:proofErr w:type="gramStart"/>
      <w:r w:rsidRPr="007E0F0B">
        <w:rPr>
          <w:i/>
        </w:rPr>
        <w:t>genotype</w:t>
      </w:r>
      <w:proofErr w:type="gramEnd"/>
      <w:r w:rsidRPr="007E0F0B">
        <w:rPr>
          <w:i/>
        </w:rPr>
        <w:t xml:space="preserve"> 1a or 3 infection and have previously been treated with an HCV regimen containing sofosbuvir without an NS5A inhibitor</w:t>
      </w:r>
      <w:r w:rsidR="00476CD0" w:rsidRPr="007E0F0B">
        <w:rPr>
          <w:i/>
        </w:rPr>
        <w:t>.</w:t>
      </w:r>
    </w:p>
    <w:p w:rsidR="00CA2D91" w:rsidRPr="00CA2D91" w:rsidRDefault="00CA2D91" w:rsidP="00CA2D91">
      <w:pPr>
        <w:ind w:left="720"/>
        <w:rPr>
          <w:i/>
        </w:rPr>
      </w:pPr>
      <w:r w:rsidRPr="00CA2D91">
        <w:rPr>
          <w:i/>
        </w:rPr>
        <w:t xml:space="preserve">Additional benefit of </w:t>
      </w:r>
      <w:r w:rsidR="00476CD0">
        <w:rPr>
          <w:i/>
        </w:rPr>
        <w:t>Vosevi</w:t>
      </w:r>
      <w:r w:rsidRPr="00CA2D91">
        <w:rPr>
          <w:i/>
        </w:rPr>
        <w:t xml:space="preserve"> over sofosbuvir/velpatasvir was not shown in adults with genotype 1b, 2, 4, 5, or 6 </w:t>
      </w:r>
      <w:proofErr w:type="gramStart"/>
      <w:r w:rsidRPr="00CA2D91">
        <w:rPr>
          <w:i/>
        </w:rPr>
        <w:t>infection</w:t>
      </w:r>
      <w:proofErr w:type="gramEnd"/>
      <w:r w:rsidRPr="00CA2D91">
        <w:rPr>
          <w:i/>
        </w:rPr>
        <w:t xml:space="preserve"> previously treated with sofosbuvir without an NS5A inhibitor.</w:t>
      </w:r>
    </w:p>
    <w:p w:rsidR="00CA2D91" w:rsidRPr="00A23554" w:rsidRDefault="00CA2D91" w:rsidP="00CA2D91">
      <w:r w:rsidRPr="00A23554">
        <w:t xml:space="preserve">Approval is subject to implementation of the </w:t>
      </w:r>
      <w:r w:rsidR="00476CD0">
        <w:t>Vosevi</w:t>
      </w:r>
      <w:r w:rsidRPr="00A23554">
        <w:t xml:space="preserve"> EU-RMP version 1.0, dated 26 July 2017, final sign-off 12 May 2017, DLP 12 October 2016 with Australian Specific Annex version 0.2, September 2017 and any future updates as a condition of registration and satisfactory resolution of the product information</w:t>
      </w:r>
      <w:r w:rsidR="007E0F0B">
        <w:t>.</w:t>
      </w:r>
    </w:p>
    <w:p w:rsidR="00CA2D91" w:rsidRPr="00CA2D91" w:rsidRDefault="00CA2D91" w:rsidP="00CA2D91">
      <w:pPr>
        <w:pStyle w:val="Heading4"/>
      </w:pPr>
      <w:r w:rsidRPr="00CA2D91">
        <w:t>Issues for the sponsor</w:t>
      </w:r>
    </w:p>
    <w:p w:rsidR="00CA2D91" w:rsidRPr="00CA2D91" w:rsidRDefault="00CA2D91" w:rsidP="00E650A8">
      <w:pPr>
        <w:pStyle w:val="Numberbullet0"/>
        <w:numPr>
          <w:ilvl w:val="0"/>
          <w:numId w:val="7"/>
        </w:numPr>
      </w:pPr>
      <w:r w:rsidRPr="00CA2D91">
        <w:t xml:space="preserve">In regards to the POLARIS-1 </w:t>
      </w:r>
      <w:r w:rsidR="000416C2">
        <w:t>trial</w:t>
      </w:r>
      <w:r w:rsidRPr="00CA2D91">
        <w:t>, please explain why three patients with GT4 who had previously been treated with SOF, VEL and VOX were included in this study.</w:t>
      </w:r>
      <w:r>
        <w:t xml:space="preserve"> (</w:t>
      </w:r>
      <w:r w:rsidR="00416834">
        <w:t>Table 35</w:t>
      </w:r>
      <w:r>
        <w:t>)</w:t>
      </w:r>
    </w:p>
    <w:p w:rsidR="00476CD0" w:rsidRDefault="00CA2D91" w:rsidP="00E650A8">
      <w:pPr>
        <w:pStyle w:val="Numberbullet0"/>
        <w:numPr>
          <w:ilvl w:val="0"/>
          <w:numId w:val="7"/>
        </w:numPr>
      </w:pPr>
      <w:r w:rsidRPr="00CA2D91">
        <w:t xml:space="preserve">The results of the POLARIS-2 and 3 </w:t>
      </w:r>
      <w:r w:rsidR="000416C2">
        <w:t>trials</w:t>
      </w:r>
      <w:r w:rsidR="000416C2" w:rsidRPr="00CA2D91">
        <w:t xml:space="preserve"> </w:t>
      </w:r>
      <w:r w:rsidRPr="00CA2D91">
        <w:t xml:space="preserve">and the </w:t>
      </w:r>
      <w:r w:rsidR="00476CD0">
        <w:t>Phase II</w:t>
      </w:r>
      <w:r w:rsidRPr="00CA2D91">
        <w:t xml:space="preserve"> studies have not been included in the FDA PI, Canadian Product Monograph or FDA Medical and Summary reviews. These studies formed part of the safety database only. Please comment on the reasoning for this</w:t>
      </w:r>
      <w:r w:rsidR="00476CD0">
        <w:t>.</w:t>
      </w:r>
    </w:p>
    <w:p w:rsidR="00D23139" w:rsidRDefault="007E0F0B" w:rsidP="00D23139">
      <w:pPr>
        <w:pStyle w:val="Heading4"/>
      </w:pPr>
      <w:r>
        <w:t>Delegate’s considerations</w:t>
      </w:r>
    </w:p>
    <w:p w:rsidR="009E38EA" w:rsidRPr="009E38EA" w:rsidRDefault="009E38EA" w:rsidP="009E38EA">
      <w:pPr>
        <w:pStyle w:val="Heading5"/>
      </w:pPr>
      <w:r>
        <w:t>Summary of issues</w:t>
      </w:r>
    </w:p>
    <w:p w:rsidR="00476CD0" w:rsidRDefault="00476CD0" w:rsidP="009E38EA">
      <w:r>
        <w:t>Epclusa</w:t>
      </w:r>
      <w:r w:rsidR="009E38EA" w:rsidRPr="009E38EA">
        <w:t>, the fixed dose combination tablet form of sofosbuvir (SOF)/velpatasvir (VEL), 400</w:t>
      </w:r>
      <w:r w:rsidR="00AA5E62">
        <w:t xml:space="preserve"> mg</w:t>
      </w:r>
      <w:r w:rsidR="009E38EA" w:rsidRPr="009E38EA">
        <w:t>/100</w:t>
      </w:r>
      <w:r w:rsidR="00AA5E62">
        <w:t xml:space="preserve"> mg</w:t>
      </w:r>
      <w:r w:rsidR="009E38EA" w:rsidRPr="009E38EA">
        <w:t xml:space="preserve"> was the first pan</w:t>
      </w:r>
      <w:r w:rsidR="007E0F0B">
        <w:t>-</w:t>
      </w:r>
      <w:r w:rsidR="009E38EA" w:rsidRPr="009E38EA">
        <w:t>genotypic inhibitor to be approved by the TGA</w:t>
      </w:r>
      <w:r>
        <w:t>.</w:t>
      </w:r>
    </w:p>
    <w:p w:rsidR="009E38EA" w:rsidRPr="009E38EA" w:rsidRDefault="009E38EA" w:rsidP="009E38EA">
      <w:r w:rsidRPr="009E38EA">
        <w:t xml:space="preserve">Voxilaprevir is the new unapproved active component contained in </w:t>
      </w:r>
      <w:r w:rsidR="00476CD0">
        <w:t>Vosevi</w:t>
      </w:r>
      <w:r w:rsidRPr="009E38EA">
        <w:t>, the triple fixed dose combination tablet of SOF 400</w:t>
      </w:r>
      <w:r w:rsidR="00AA5E62">
        <w:t xml:space="preserve"> mg</w:t>
      </w:r>
      <w:r w:rsidRPr="009E38EA">
        <w:t>, VEL 100</w:t>
      </w:r>
      <w:r w:rsidR="00AA5E62">
        <w:t xml:space="preserve"> mg</w:t>
      </w:r>
      <w:r w:rsidRPr="009E38EA">
        <w:t xml:space="preserve"> and VOX 100</w:t>
      </w:r>
      <w:r w:rsidR="00AA5E62">
        <w:t xml:space="preserve"> mg</w:t>
      </w:r>
      <w:r w:rsidRPr="009E38EA">
        <w:t xml:space="preserve">, proposed for </w:t>
      </w:r>
      <w:r w:rsidRPr="009E38EA">
        <w:lastRenderedPageBreak/>
        <w:t>marketing. Voxilaprevir is an HCV NS3/4A protease inhibitor with activity across all HCV genotypes.</w:t>
      </w:r>
    </w:p>
    <w:p w:rsidR="009E38EA" w:rsidRPr="009E38EA" w:rsidRDefault="009E38EA" w:rsidP="009E38EA">
      <w:r w:rsidRPr="009E38EA">
        <w:t>Sofosbuvir (</w:t>
      </w:r>
      <w:r w:rsidR="00476CD0">
        <w:t>Sovaldi</w:t>
      </w:r>
      <w:r w:rsidRPr="009E38EA">
        <w:t>) was initially approved in 2014, to be used in combination with other agents. It is also available as a fixed dose combination with ledipasvir (</w:t>
      </w:r>
      <w:r w:rsidR="00476CD0">
        <w:t>Harvoni</w:t>
      </w:r>
      <w:r w:rsidRPr="009E38EA">
        <w:t>).</w:t>
      </w:r>
    </w:p>
    <w:p w:rsidR="00456765" w:rsidRPr="009E38EA" w:rsidRDefault="009E38EA" w:rsidP="009E38EA">
      <w:r w:rsidRPr="009E38EA">
        <w:t xml:space="preserve">Submitted data for </w:t>
      </w:r>
      <w:r w:rsidR="00476CD0">
        <w:t>Vosevi</w:t>
      </w:r>
      <w:r w:rsidRPr="009E38EA">
        <w:t xml:space="preserve"> demonstrate the contribution of voxilaprevir for NS5A treatment experienced patients with or without compensated cirrhosis and for patients with certain genotypes who have prior experience with sofosbuvir without an NS5A inhibitor.</w:t>
      </w:r>
    </w:p>
    <w:p w:rsidR="00D23139" w:rsidRDefault="00D23139" w:rsidP="00D23139">
      <w:pPr>
        <w:pStyle w:val="Heading4"/>
      </w:pPr>
      <w:r w:rsidRPr="00D23139">
        <w:t>Proposed action</w:t>
      </w:r>
    </w:p>
    <w:p w:rsidR="00476CD0" w:rsidRDefault="007E0F0B" w:rsidP="009E38EA">
      <w:r>
        <w:t xml:space="preserve">The Delegate had </w:t>
      </w:r>
      <w:r w:rsidR="009E38EA" w:rsidRPr="00C80339">
        <w:t xml:space="preserve">no reason to say, at this time, that the application for </w:t>
      </w:r>
      <w:r w:rsidR="00476CD0">
        <w:t>Vosevi</w:t>
      </w:r>
      <w:r w:rsidR="009E38EA">
        <w:t xml:space="preserve"> </w:t>
      </w:r>
      <w:r w:rsidR="009E38EA" w:rsidRPr="00C80339">
        <w:t>should not</w:t>
      </w:r>
      <w:r w:rsidR="009E38EA">
        <w:t xml:space="preserve"> be approved for registration</w:t>
      </w:r>
      <w:r w:rsidR="00476CD0">
        <w:t>.</w:t>
      </w:r>
    </w:p>
    <w:p w:rsidR="009E38EA" w:rsidRDefault="009E38EA" w:rsidP="009E38EA">
      <w:r>
        <w:t>Registration is recommended for the amended indication:</w:t>
      </w:r>
    </w:p>
    <w:p w:rsidR="009E38EA" w:rsidRPr="009E38EA" w:rsidRDefault="00476CD0" w:rsidP="009E38EA">
      <w:pPr>
        <w:ind w:left="567"/>
        <w:rPr>
          <w:i/>
        </w:rPr>
      </w:pPr>
      <w:r>
        <w:rPr>
          <w:i/>
        </w:rPr>
        <w:t>Vosevi</w:t>
      </w:r>
      <w:r w:rsidR="009E38EA" w:rsidRPr="009E38EA">
        <w:rPr>
          <w:i/>
        </w:rPr>
        <w:t xml:space="preserve"> (sofosbuvir/velpatasvir/voxilaprevir) is indicated for the treatment of chronic hepatitis C virus (HCV) infection in adult patients, without cirrhosis or with compensated cirrhosis, who have:</w:t>
      </w:r>
    </w:p>
    <w:p w:rsidR="009E38EA" w:rsidRPr="009E38EA" w:rsidRDefault="009E38EA" w:rsidP="007E0F0B">
      <w:pPr>
        <w:pStyle w:val="ListBullet"/>
        <w:ind w:left="924" w:hanging="357"/>
        <w:rPr>
          <w:i/>
        </w:rPr>
      </w:pPr>
      <w:r w:rsidRPr="009E38EA">
        <w:rPr>
          <w:i/>
        </w:rPr>
        <w:t>genotype 1, 2, 3, 4, 5, or 6 infection and have previously been treated with an HCV regimen containing an NS5A inhibitor;</w:t>
      </w:r>
    </w:p>
    <w:p w:rsidR="00476CD0" w:rsidRDefault="009E38EA" w:rsidP="007E0F0B">
      <w:pPr>
        <w:pStyle w:val="ListBullet"/>
        <w:ind w:left="924" w:hanging="357"/>
        <w:rPr>
          <w:i/>
        </w:rPr>
      </w:pPr>
      <w:proofErr w:type="gramStart"/>
      <w:r w:rsidRPr="009E38EA">
        <w:rPr>
          <w:i/>
        </w:rPr>
        <w:t>genotype</w:t>
      </w:r>
      <w:proofErr w:type="gramEnd"/>
      <w:r w:rsidRPr="009E38EA">
        <w:rPr>
          <w:i/>
        </w:rPr>
        <w:t xml:space="preserve"> 1a or 3 infection and have previously been treated with an HCV regimen containing sofosbuvir without an NS5A inhibitor</w:t>
      </w:r>
      <w:r w:rsidR="00476CD0">
        <w:rPr>
          <w:i/>
        </w:rPr>
        <w:t>.</w:t>
      </w:r>
    </w:p>
    <w:p w:rsidR="00456765" w:rsidRPr="009E38EA" w:rsidRDefault="009E38EA" w:rsidP="009E38EA">
      <w:pPr>
        <w:ind w:left="567"/>
        <w:rPr>
          <w:i/>
        </w:rPr>
      </w:pPr>
      <w:r w:rsidRPr="009E38EA">
        <w:rPr>
          <w:i/>
        </w:rPr>
        <w:t xml:space="preserve">Additional benefit of </w:t>
      </w:r>
      <w:r w:rsidR="00476CD0">
        <w:rPr>
          <w:i/>
        </w:rPr>
        <w:t>Vosevi</w:t>
      </w:r>
      <w:r w:rsidRPr="009E38EA">
        <w:rPr>
          <w:i/>
        </w:rPr>
        <w:t xml:space="preserve"> over sofosbuvir/velpatasvir was not shown in adults with genotype 1b, 2, 4, 5, or 6 </w:t>
      </w:r>
      <w:proofErr w:type="gramStart"/>
      <w:r w:rsidRPr="009E38EA">
        <w:rPr>
          <w:i/>
        </w:rPr>
        <w:t>infection</w:t>
      </w:r>
      <w:proofErr w:type="gramEnd"/>
      <w:r w:rsidRPr="009E38EA">
        <w:rPr>
          <w:i/>
        </w:rPr>
        <w:t xml:space="preserve"> previously treated with sofosbuvir without an NS5A inhibitor.</w:t>
      </w:r>
    </w:p>
    <w:p w:rsidR="00D23139" w:rsidRDefault="00A22D57" w:rsidP="00D23139">
      <w:pPr>
        <w:pStyle w:val="Heading4"/>
      </w:pPr>
      <w:r>
        <w:t>Request for AC</w:t>
      </w:r>
      <w:r w:rsidR="00D23139" w:rsidRPr="00D23139">
        <w:t>M advice</w:t>
      </w:r>
    </w:p>
    <w:p w:rsidR="009E38EA" w:rsidRPr="009E38EA" w:rsidRDefault="009E38EA" w:rsidP="009E38EA">
      <w:r w:rsidRPr="009E38EA">
        <w:t>The committee is requested to provide advice on the following specific issues:</w:t>
      </w:r>
    </w:p>
    <w:p w:rsidR="009E38EA" w:rsidRPr="009E38EA" w:rsidRDefault="009E38EA" w:rsidP="007E0F0B">
      <w:pPr>
        <w:pStyle w:val="Numberbullet0"/>
        <w:numPr>
          <w:ilvl w:val="0"/>
          <w:numId w:val="22"/>
        </w:numPr>
      </w:pPr>
      <w:r w:rsidRPr="009E38EA">
        <w:t>The wording of the proposed indication, noting the variation in the wording of the approved indications overseas and the Delegate’s proposal for wording consistent with the FDA-approved indication.</w:t>
      </w:r>
    </w:p>
    <w:p w:rsidR="009E38EA" w:rsidRPr="009E38EA" w:rsidRDefault="009E38EA" w:rsidP="007E0F0B">
      <w:pPr>
        <w:pStyle w:val="Numberbullet0"/>
        <w:numPr>
          <w:ilvl w:val="0"/>
          <w:numId w:val="22"/>
        </w:numPr>
      </w:pPr>
      <w:r w:rsidRPr="009E38EA">
        <w:t xml:space="preserve">Related to point 1, the proposed dosage and administration tables, noting the format proposed by the FDA, EMA and Health Canada. The FDA and Health Canada have not included results of the POLARIS-2 and 3 </w:t>
      </w:r>
      <w:r w:rsidR="000416C2">
        <w:t>trials</w:t>
      </w:r>
      <w:r w:rsidR="000416C2" w:rsidRPr="009E38EA">
        <w:t xml:space="preserve"> </w:t>
      </w:r>
      <w:r w:rsidRPr="009E38EA">
        <w:t>in their product information, while the E</w:t>
      </w:r>
      <w:r w:rsidR="000416C2">
        <w:t xml:space="preserve">U </w:t>
      </w:r>
      <w:proofErr w:type="spellStart"/>
      <w:r w:rsidRPr="009E38EA">
        <w:t>S</w:t>
      </w:r>
      <w:r w:rsidR="000416C2">
        <w:t>mPC</w:t>
      </w:r>
      <w:proofErr w:type="spellEnd"/>
      <w:r w:rsidRPr="009E38EA">
        <w:t xml:space="preserve"> dosage and administration section reflects the results of these studies. The FDA has approved use of </w:t>
      </w:r>
      <w:r w:rsidR="00476CD0">
        <w:t>Vosevi</w:t>
      </w:r>
      <w:r w:rsidRPr="009E38EA">
        <w:t xml:space="preserve"> in GT1a and 3 only for patients with prior experience with sofosbuvir without an NS5A inhibitor. Health Canada has approved use in GT 1,</w:t>
      </w:r>
      <w:r w:rsidR="000416C2">
        <w:t xml:space="preserve"> </w:t>
      </w:r>
      <w:r w:rsidRPr="009E38EA">
        <w:t>2,</w:t>
      </w:r>
      <w:r w:rsidR="000416C2">
        <w:t xml:space="preserve"> </w:t>
      </w:r>
      <w:r w:rsidRPr="009E38EA">
        <w:t>3,</w:t>
      </w:r>
      <w:r w:rsidR="000416C2">
        <w:t xml:space="preserve"> </w:t>
      </w:r>
      <w:r w:rsidRPr="009E38EA">
        <w:t>4 for this patient group.</w:t>
      </w:r>
    </w:p>
    <w:p w:rsidR="009E38EA" w:rsidRPr="009E38EA" w:rsidRDefault="009E38EA" w:rsidP="007E0F0B">
      <w:pPr>
        <w:ind w:left="454"/>
      </w:pPr>
      <w:r w:rsidRPr="009E38EA">
        <w:t>Please comment on the Delegate’s proposal for adoption of the FDA dosage and administration table.</w:t>
      </w:r>
    </w:p>
    <w:p w:rsidR="009E38EA" w:rsidRPr="009E38EA" w:rsidRDefault="009E38EA" w:rsidP="007E0F0B">
      <w:pPr>
        <w:ind w:left="454"/>
      </w:pPr>
      <w:r w:rsidRPr="009E38EA">
        <w:t>Proposed dosage and administration for Australia</w:t>
      </w:r>
      <w:r w:rsidR="00DD2514">
        <w:t>:</w:t>
      </w:r>
    </w:p>
    <w:p w:rsidR="009E38EA" w:rsidRPr="009E38EA" w:rsidRDefault="009E38EA" w:rsidP="00DD2514">
      <w:pPr>
        <w:ind w:left="720"/>
      </w:pPr>
      <w:r w:rsidRPr="009E38EA">
        <w:t xml:space="preserve">Administer </w:t>
      </w:r>
      <w:r w:rsidR="00476CD0">
        <w:t>Vosevi</w:t>
      </w:r>
      <w:r w:rsidRPr="009E38EA">
        <w:t xml:space="preserve"> for 12 weeks to patients, regardless of HCV genotype without cirrhosis or with compensated cirrhosis who have failed prior treatment with a HCV DAA.</w:t>
      </w:r>
    </w:p>
    <w:p w:rsidR="009E38EA" w:rsidRPr="009E38EA" w:rsidRDefault="009E38EA" w:rsidP="007E0F0B">
      <w:pPr>
        <w:ind w:left="454"/>
      </w:pPr>
      <w:r w:rsidRPr="009E38EA">
        <w:t xml:space="preserve">EU </w:t>
      </w:r>
      <w:proofErr w:type="spellStart"/>
      <w:r w:rsidRPr="009E38EA">
        <w:t>SmPC</w:t>
      </w:r>
      <w:proofErr w:type="spellEnd"/>
      <w:r w:rsidRPr="009E38EA">
        <w:t xml:space="preserve"> Dosage and administration:</w:t>
      </w:r>
    </w:p>
    <w:p w:rsidR="009E38EA" w:rsidRPr="00930F04" w:rsidRDefault="00416834" w:rsidP="009E38EA">
      <w:pPr>
        <w:pStyle w:val="TableTitle"/>
      </w:pPr>
      <w:r>
        <w:lastRenderedPageBreak/>
        <w:t>Table 47</w:t>
      </w:r>
      <w:r w:rsidR="009E38EA" w:rsidRPr="00930F04">
        <w:t>: Recommended treatment durations for Vosevi for all HCV genotypes</w:t>
      </w:r>
    </w:p>
    <w:tbl>
      <w:tblPr>
        <w:tblStyle w:val="TableTGAblue"/>
        <w:tblW w:w="0" w:type="auto"/>
        <w:tblLook w:val="04A0" w:firstRow="1" w:lastRow="0" w:firstColumn="1" w:lastColumn="0" w:noHBand="0" w:noVBand="1"/>
      </w:tblPr>
      <w:tblGrid>
        <w:gridCol w:w="3906"/>
        <w:gridCol w:w="3908"/>
      </w:tblGrid>
      <w:tr w:rsidR="009E38EA" w:rsidRPr="009E38EA" w:rsidTr="009E38EA">
        <w:trPr>
          <w:cnfStyle w:val="100000000000" w:firstRow="1" w:lastRow="0" w:firstColumn="0" w:lastColumn="0" w:oddVBand="0" w:evenVBand="0" w:oddHBand="0" w:evenHBand="0" w:firstRowFirstColumn="0" w:firstRowLastColumn="0" w:lastRowFirstColumn="0" w:lastRowLastColumn="0"/>
          <w:trHeight w:val="487"/>
        </w:trPr>
        <w:tc>
          <w:tcPr>
            <w:tcW w:w="3906" w:type="dxa"/>
          </w:tcPr>
          <w:p w:rsidR="009E38EA" w:rsidRPr="009E38EA" w:rsidRDefault="009E38EA" w:rsidP="009E38EA">
            <w:pPr>
              <w:ind w:left="0"/>
            </w:pPr>
            <w:r w:rsidRPr="009E38EA">
              <w:t>Patient population</w:t>
            </w:r>
          </w:p>
        </w:tc>
        <w:tc>
          <w:tcPr>
            <w:tcW w:w="3908" w:type="dxa"/>
          </w:tcPr>
          <w:p w:rsidR="009E38EA" w:rsidRPr="009E38EA" w:rsidRDefault="009E38EA" w:rsidP="009E38EA">
            <w:pPr>
              <w:ind w:left="0"/>
            </w:pPr>
            <w:r w:rsidRPr="009E38EA">
              <w:t>Treatment duration</w:t>
            </w:r>
          </w:p>
        </w:tc>
      </w:tr>
      <w:tr w:rsidR="009E38EA" w:rsidRPr="009E38EA" w:rsidTr="009E38EA">
        <w:trPr>
          <w:trHeight w:val="737"/>
        </w:trPr>
        <w:tc>
          <w:tcPr>
            <w:tcW w:w="3906" w:type="dxa"/>
          </w:tcPr>
          <w:p w:rsidR="009E38EA" w:rsidRPr="009E38EA" w:rsidRDefault="009E38EA" w:rsidP="009E38EA">
            <w:pPr>
              <w:ind w:left="0"/>
            </w:pPr>
            <w:r w:rsidRPr="009E38EA">
              <w:t>DAA naïve patients without cirrhosis</w:t>
            </w:r>
          </w:p>
        </w:tc>
        <w:tc>
          <w:tcPr>
            <w:tcW w:w="3908" w:type="dxa"/>
          </w:tcPr>
          <w:p w:rsidR="009E38EA" w:rsidRPr="009E38EA" w:rsidRDefault="009E38EA" w:rsidP="009E38EA">
            <w:pPr>
              <w:ind w:left="0"/>
            </w:pPr>
            <w:r w:rsidRPr="009E38EA">
              <w:t>8 weeks</w:t>
            </w:r>
          </w:p>
        </w:tc>
      </w:tr>
      <w:tr w:rsidR="009E38EA" w:rsidRPr="009E38EA" w:rsidTr="009E38EA">
        <w:trPr>
          <w:trHeight w:val="1620"/>
        </w:trPr>
        <w:tc>
          <w:tcPr>
            <w:tcW w:w="3906" w:type="dxa"/>
          </w:tcPr>
          <w:p w:rsidR="009E38EA" w:rsidRPr="009E38EA" w:rsidRDefault="009E38EA" w:rsidP="009E38EA">
            <w:pPr>
              <w:ind w:left="0"/>
            </w:pPr>
            <w:r w:rsidRPr="009E38EA">
              <w:t>DAA naïve patients with cirrhosis</w:t>
            </w:r>
          </w:p>
        </w:tc>
        <w:tc>
          <w:tcPr>
            <w:tcW w:w="3908" w:type="dxa"/>
          </w:tcPr>
          <w:p w:rsidR="009E38EA" w:rsidRPr="009E38EA" w:rsidRDefault="009E38EA" w:rsidP="009E38EA">
            <w:pPr>
              <w:ind w:left="0"/>
            </w:pPr>
            <w:r w:rsidRPr="009E38EA">
              <w:t>12 weeks</w:t>
            </w:r>
          </w:p>
          <w:p w:rsidR="009E38EA" w:rsidRPr="009E38EA" w:rsidRDefault="009E38EA" w:rsidP="009E38EA">
            <w:pPr>
              <w:ind w:left="0"/>
            </w:pPr>
            <w:r w:rsidRPr="009E38EA">
              <w:t>8 weeks may be considered in genotype 3 infected patients (see section 5.1)</w:t>
            </w:r>
          </w:p>
        </w:tc>
      </w:tr>
      <w:tr w:rsidR="009E38EA" w:rsidRPr="009E38EA" w:rsidTr="009E38EA">
        <w:trPr>
          <w:trHeight w:val="1258"/>
        </w:trPr>
        <w:tc>
          <w:tcPr>
            <w:tcW w:w="3906" w:type="dxa"/>
          </w:tcPr>
          <w:p w:rsidR="009E38EA" w:rsidRPr="009E38EA" w:rsidRDefault="009E38EA" w:rsidP="009E38EA">
            <w:pPr>
              <w:ind w:left="0"/>
            </w:pPr>
            <w:r w:rsidRPr="009E38EA">
              <w:t>DAA experienced patients* without cirrhosis or with compensated cirrhosis</w:t>
            </w:r>
          </w:p>
        </w:tc>
        <w:tc>
          <w:tcPr>
            <w:tcW w:w="3908" w:type="dxa"/>
          </w:tcPr>
          <w:p w:rsidR="009E38EA" w:rsidRPr="009E38EA" w:rsidRDefault="009E38EA" w:rsidP="009E38EA">
            <w:pPr>
              <w:ind w:left="0"/>
            </w:pPr>
            <w:r w:rsidRPr="009E38EA">
              <w:t>12 weeks</w:t>
            </w:r>
          </w:p>
        </w:tc>
      </w:tr>
    </w:tbl>
    <w:p w:rsidR="009E38EA" w:rsidRPr="00AA7EAD" w:rsidRDefault="009E38EA" w:rsidP="009E38EA">
      <w:pPr>
        <w:pStyle w:val="TableDescription"/>
      </w:pPr>
      <w:r w:rsidRPr="00AA7EAD">
        <w:t xml:space="preserve">* In clinical trials the DAA experienced patients had been exposed to combination regimens containing any of the following: </w:t>
      </w:r>
      <w:proofErr w:type="spellStart"/>
      <w:r w:rsidRPr="00AA7EAD">
        <w:t>daclatasvir</w:t>
      </w:r>
      <w:proofErr w:type="spellEnd"/>
      <w:r w:rsidRPr="00AA7EAD">
        <w:t xml:space="preserve">, </w:t>
      </w:r>
      <w:proofErr w:type="spellStart"/>
      <w:r w:rsidRPr="00AA7EAD">
        <w:t>dasabuvir</w:t>
      </w:r>
      <w:proofErr w:type="spellEnd"/>
      <w:r w:rsidRPr="00AA7EAD">
        <w:t xml:space="preserve">, </w:t>
      </w:r>
      <w:proofErr w:type="spellStart"/>
      <w:r w:rsidRPr="00AA7EAD">
        <w:t>elbasvir</w:t>
      </w:r>
      <w:proofErr w:type="spellEnd"/>
      <w:r w:rsidRPr="00AA7EAD">
        <w:t xml:space="preserve">, </w:t>
      </w:r>
      <w:proofErr w:type="spellStart"/>
      <w:r w:rsidRPr="00AA7EAD">
        <w:t>grazoprevir</w:t>
      </w:r>
      <w:proofErr w:type="spellEnd"/>
      <w:r w:rsidRPr="00AA7EAD">
        <w:t>, ledipasvir, ombitasvir, paritaprevir, sofosbuvir</w:t>
      </w:r>
      <w:r>
        <w:t xml:space="preserve">, </w:t>
      </w:r>
      <w:proofErr w:type="gramStart"/>
      <w:r>
        <w:t>velpatasvir</w:t>
      </w:r>
      <w:proofErr w:type="gramEnd"/>
      <w:r>
        <w:t xml:space="preserve">, voxilaprevir </w:t>
      </w:r>
      <w:r w:rsidRPr="00AA7EAD">
        <w:t>(administered with sofosbuvir and velpatasvir for less than 12 weeks)</w:t>
      </w:r>
    </w:p>
    <w:p w:rsidR="009E38EA" w:rsidRPr="009E38EA" w:rsidRDefault="00416834" w:rsidP="007E0F0B">
      <w:pPr>
        <w:pStyle w:val="Tabletitle0"/>
      </w:pPr>
      <w:r>
        <w:t xml:space="preserve">Table 48: </w:t>
      </w:r>
      <w:r w:rsidR="009E38EA" w:rsidRPr="009E38EA">
        <w:t>FDA</w:t>
      </w:r>
      <w:r w:rsidR="00476CD0">
        <w:t xml:space="preserve"> </w:t>
      </w:r>
      <w:r w:rsidR="009E38EA" w:rsidRPr="009E38EA">
        <w:t>Dosage and administration</w:t>
      </w:r>
    </w:p>
    <w:tbl>
      <w:tblPr>
        <w:tblStyle w:val="TableTGAblue"/>
        <w:tblW w:w="0" w:type="auto"/>
        <w:tblLook w:val="04A0" w:firstRow="1" w:lastRow="0" w:firstColumn="1" w:lastColumn="0" w:noHBand="0" w:noVBand="1"/>
      </w:tblPr>
      <w:tblGrid>
        <w:gridCol w:w="2742"/>
        <w:gridCol w:w="2744"/>
        <w:gridCol w:w="2744"/>
      </w:tblGrid>
      <w:tr w:rsidR="009E38EA" w:rsidRPr="009E38EA" w:rsidTr="009E38EA">
        <w:trPr>
          <w:cnfStyle w:val="100000000000" w:firstRow="1" w:lastRow="0" w:firstColumn="0" w:lastColumn="0" w:oddVBand="0" w:evenVBand="0" w:oddHBand="0" w:evenHBand="0" w:firstRowFirstColumn="0" w:firstRowLastColumn="0" w:lastRowFirstColumn="0" w:lastRowLastColumn="0"/>
          <w:trHeight w:val="1759"/>
        </w:trPr>
        <w:tc>
          <w:tcPr>
            <w:tcW w:w="2742" w:type="dxa"/>
          </w:tcPr>
          <w:p w:rsidR="009E38EA" w:rsidRPr="009E38EA" w:rsidRDefault="009E38EA" w:rsidP="009E38EA">
            <w:pPr>
              <w:ind w:left="0"/>
            </w:pPr>
            <w:r w:rsidRPr="009E38EA">
              <w:t>Genotype</w:t>
            </w:r>
          </w:p>
        </w:tc>
        <w:tc>
          <w:tcPr>
            <w:tcW w:w="2744" w:type="dxa"/>
          </w:tcPr>
          <w:p w:rsidR="009E38EA" w:rsidRPr="009E38EA" w:rsidRDefault="009E38EA" w:rsidP="009E38EA">
            <w:pPr>
              <w:ind w:left="0"/>
            </w:pPr>
            <w:r w:rsidRPr="009E38EA">
              <w:t>Patients Previously Treated with an HCV Regimen Containing:</w:t>
            </w:r>
          </w:p>
        </w:tc>
        <w:tc>
          <w:tcPr>
            <w:tcW w:w="2744" w:type="dxa"/>
          </w:tcPr>
          <w:p w:rsidR="009E38EA" w:rsidRPr="009E38EA" w:rsidRDefault="00476CD0" w:rsidP="009E38EA">
            <w:pPr>
              <w:ind w:left="0"/>
            </w:pPr>
            <w:r>
              <w:t>Vosevi</w:t>
            </w:r>
            <w:r w:rsidR="009E38EA" w:rsidRPr="009E38EA">
              <w:t xml:space="preserve"> duration</w:t>
            </w:r>
          </w:p>
        </w:tc>
      </w:tr>
      <w:tr w:rsidR="009E38EA" w:rsidRPr="009E38EA" w:rsidTr="009E38EA">
        <w:trPr>
          <w:trHeight w:val="738"/>
        </w:trPr>
        <w:tc>
          <w:tcPr>
            <w:tcW w:w="2742" w:type="dxa"/>
          </w:tcPr>
          <w:p w:rsidR="009E38EA" w:rsidRPr="009E38EA" w:rsidRDefault="009E38EA" w:rsidP="009E38EA">
            <w:pPr>
              <w:ind w:left="0"/>
            </w:pPr>
            <w:r w:rsidRPr="009E38EA">
              <w:t>1, 2, 3, 4, 5, or 6</w:t>
            </w:r>
          </w:p>
        </w:tc>
        <w:tc>
          <w:tcPr>
            <w:tcW w:w="2744" w:type="dxa"/>
          </w:tcPr>
          <w:p w:rsidR="009E38EA" w:rsidRPr="009E38EA" w:rsidRDefault="009E38EA" w:rsidP="009E38EA">
            <w:pPr>
              <w:ind w:left="0"/>
            </w:pPr>
            <w:r w:rsidRPr="009E38EA">
              <w:t xml:space="preserve">A NS5A </w:t>
            </w:r>
            <w:proofErr w:type="spellStart"/>
            <w:r w:rsidRPr="009E38EA">
              <w:t>inhibitor</w:t>
            </w:r>
            <w:r w:rsidRPr="009E38EA">
              <w:rPr>
                <w:vertAlign w:val="superscript"/>
              </w:rPr>
              <w:t>a</w:t>
            </w:r>
            <w:proofErr w:type="spellEnd"/>
          </w:p>
        </w:tc>
        <w:tc>
          <w:tcPr>
            <w:tcW w:w="2744" w:type="dxa"/>
          </w:tcPr>
          <w:p w:rsidR="009E38EA" w:rsidRPr="009E38EA" w:rsidRDefault="009E38EA" w:rsidP="009E38EA">
            <w:pPr>
              <w:ind w:left="0"/>
            </w:pPr>
            <w:r w:rsidRPr="009E38EA">
              <w:t>12 weeks</w:t>
            </w:r>
          </w:p>
        </w:tc>
      </w:tr>
      <w:tr w:rsidR="009E38EA" w:rsidRPr="009E38EA" w:rsidTr="009E38EA">
        <w:trPr>
          <w:trHeight w:val="1260"/>
        </w:trPr>
        <w:tc>
          <w:tcPr>
            <w:tcW w:w="2742" w:type="dxa"/>
          </w:tcPr>
          <w:p w:rsidR="009E38EA" w:rsidRPr="009E38EA" w:rsidRDefault="009E38EA" w:rsidP="009E38EA">
            <w:pPr>
              <w:ind w:left="0"/>
            </w:pPr>
            <w:r w:rsidRPr="009E38EA">
              <w:t>1a or 3</w:t>
            </w:r>
          </w:p>
        </w:tc>
        <w:tc>
          <w:tcPr>
            <w:tcW w:w="2744" w:type="dxa"/>
          </w:tcPr>
          <w:p w:rsidR="009E38EA" w:rsidRPr="009E38EA" w:rsidRDefault="00F45B1B" w:rsidP="009E38EA">
            <w:pPr>
              <w:ind w:left="0"/>
            </w:pPr>
            <w:r>
              <w:t>sofosbuvir</w:t>
            </w:r>
            <w:r w:rsidR="009E38EA" w:rsidRPr="009E38EA">
              <w:t xml:space="preserve"> without a NS5A </w:t>
            </w:r>
            <w:proofErr w:type="spellStart"/>
            <w:r w:rsidR="009E38EA" w:rsidRPr="009E38EA">
              <w:t>inhibitor</w:t>
            </w:r>
            <w:r w:rsidR="009E38EA" w:rsidRPr="009E38EA">
              <w:rPr>
                <w:vertAlign w:val="superscript"/>
              </w:rPr>
              <w:t>b</w:t>
            </w:r>
            <w:proofErr w:type="spellEnd"/>
          </w:p>
        </w:tc>
        <w:tc>
          <w:tcPr>
            <w:tcW w:w="2744" w:type="dxa"/>
          </w:tcPr>
          <w:p w:rsidR="009E38EA" w:rsidRPr="009E38EA" w:rsidRDefault="009E38EA" w:rsidP="009E38EA">
            <w:pPr>
              <w:ind w:left="0"/>
            </w:pPr>
            <w:r w:rsidRPr="009E38EA">
              <w:t>12 weeks</w:t>
            </w:r>
          </w:p>
        </w:tc>
      </w:tr>
    </w:tbl>
    <w:p w:rsidR="009E38EA" w:rsidRDefault="009E38EA" w:rsidP="009E38EA">
      <w:pPr>
        <w:pStyle w:val="TableDescription"/>
      </w:pPr>
      <w:r w:rsidRPr="008523C5">
        <w:t xml:space="preserve">a. In clinical trials, prior NS5A inhibitor experience included </w:t>
      </w:r>
      <w:proofErr w:type="spellStart"/>
      <w:r w:rsidRPr="008523C5">
        <w:t>daclatasvir</w:t>
      </w:r>
      <w:proofErr w:type="spellEnd"/>
      <w:r w:rsidRPr="008523C5">
        <w:t xml:space="preserve">, </w:t>
      </w:r>
      <w:proofErr w:type="spellStart"/>
      <w:r w:rsidRPr="008523C5">
        <w:t>elbasvir</w:t>
      </w:r>
      <w:proofErr w:type="spellEnd"/>
      <w:r w:rsidRPr="008523C5">
        <w:t xml:space="preserve">, </w:t>
      </w:r>
      <w:proofErr w:type="spellStart"/>
      <w:r w:rsidRPr="008523C5">
        <w:t>ledipasvir</w:t>
      </w:r>
      <w:proofErr w:type="spellEnd"/>
      <w:r w:rsidRPr="008523C5">
        <w:t xml:space="preserve">, </w:t>
      </w:r>
      <w:proofErr w:type="spellStart"/>
      <w:r w:rsidRPr="008523C5">
        <w:t>ombitasvir</w:t>
      </w:r>
      <w:proofErr w:type="spellEnd"/>
      <w:r w:rsidRPr="008523C5">
        <w:t>, or velpatasvir</w:t>
      </w:r>
      <w:r>
        <w:t xml:space="preserve"> </w:t>
      </w:r>
      <w:r w:rsidRPr="008523C5">
        <w:t xml:space="preserve">b. In clinical trials, prior treatment experience included sofosbuvir with or without any of the following: </w:t>
      </w:r>
      <w:proofErr w:type="spellStart"/>
      <w:r w:rsidRPr="008523C5">
        <w:t>peginterferon</w:t>
      </w:r>
      <w:proofErr w:type="spellEnd"/>
      <w:r w:rsidRPr="008523C5">
        <w:t xml:space="preserve"> alfa/ribavirin, ribavirin, HCV NS3/4A protease inhibitor (boceprevir, simeprevir, or telaprevir).</w:t>
      </w:r>
    </w:p>
    <w:p w:rsidR="009E38EA" w:rsidRDefault="00416834" w:rsidP="007E0F0B">
      <w:pPr>
        <w:pStyle w:val="Tabletitle0"/>
      </w:pPr>
      <w:r>
        <w:t xml:space="preserve">Table 49: </w:t>
      </w:r>
      <w:r w:rsidR="009E38EA" w:rsidRPr="00EB692A">
        <w:t>Health Canada Dosage and administration</w:t>
      </w:r>
    </w:p>
    <w:tbl>
      <w:tblPr>
        <w:tblStyle w:val="TableTGAblue"/>
        <w:tblW w:w="0" w:type="auto"/>
        <w:tblLook w:val="04A0" w:firstRow="1" w:lastRow="0" w:firstColumn="1" w:lastColumn="0" w:noHBand="0" w:noVBand="1"/>
      </w:tblPr>
      <w:tblGrid>
        <w:gridCol w:w="2842"/>
        <w:gridCol w:w="2844"/>
        <w:gridCol w:w="2844"/>
      </w:tblGrid>
      <w:tr w:rsidR="009E38EA" w:rsidRPr="009E38EA" w:rsidTr="00A95AB7">
        <w:trPr>
          <w:cnfStyle w:val="100000000000" w:firstRow="1" w:lastRow="0" w:firstColumn="0" w:lastColumn="0" w:oddVBand="0" w:evenVBand="0" w:oddHBand="0" w:evenHBand="0" w:firstRowFirstColumn="0" w:firstRowLastColumn="0" w:lastRowFirstColumn="0" w:lastRowLastColumn="0"/>
          <w:trHeight w:val="1390"/>
        </w:trPr>
        <w:tc>
          <w:tcPr>
            <w:tcW w:w="2842" w:type="dxa"/>
          </w:tcPr>
          <w:p w:rsidR="009E38EA" w:rsidRPr="009E38EA" w:rsidRDefault="009E38EA" w:rsidP="009E38EA">
            <w:pPr>
              <w:ind w:left="0"/>
            </w:pPr>
            <w:r w:rsidRPr="009E38EA">
              <w:t>Genotype</w:t>
            </w:r>
          </w:p>
        </w:tc>
        <w:tc>
          <w:tcPr>
            <w:tcW w:w="2844" w:type="dxa"/>
          </w:tcPr>
          <w:p w:rsidR="009E38EA" w:rsidRPr="009E38EA" w:rsidRDefault="009E38EA" w:rsidP="009E38EA">
            <w:pPr>
              <w:ind w:left="0"/>
            </w:pPr>
            <w:r w:rsidRPr="009E38EA">
              <w:t xml:space="preserve">Patients </w:t>
            </w:r>
            <w:r w:rsidR="000416C2" w:rsidRPr="009E38EA">
              <w:t xml:space="preserve">previously treated with an </w:t>
            </w:r>
            <w:r w:rsidRPr="009E38EA">
              <w:t xml:space="preserve">HCV </w:t>
            </w:r>
            <w:r w:rsidR="000416C2" w:rsidRPr="009E38EA">
              <w:t>regimen containing</w:t>
            </w:r>
            <w:r w:rsidR="000416C2">
              <w:t xml:space="preserve"> the following</w:t>
            </w:r>
          </w:p>
        </w:tc>
        <w:tc>
          <w:tcPr>
            <w:tcW w:w="2844" w:type="dxa"/>
          </w:tcPr>
          <w:p w:rsidR="009E38EA" w:rsidRPr="009E38EA" w:rsidRDefault="00476CD0" w:rsidP="009E38EA">
            <w:pPr>
              <w:ind w:left="0"/>
            </w:pPr>
            <w:r>
              <w:t>Vosevi</w:t>
            </w:r>
            <w:r w:rsidR="009E38EA" w:rsidRPr="009E38EA">
              <w:t xml:space="preserve"> duration</w:t>
            </w:r>
          </w:p>
        </w:tc>
      </w:tr>
      <w:tr w:rsidR="009E38EA" w:rsidRPr="009E38EA" w:rsidTr="009E38EA">
        <w:trPr>
          <w:trHeight w:val="762"/>
        </w:trPr>
        <w:tc>
          <w:tcPr>
            <w:tcW w:w="2842" w:type="dxa"/>
          </w:tcPr>
          <w:p w:rsidR="009E38EA" w:rsidRPr="009E38EA" w:rsidRDefault="009E38EA" w:rsidP="009E38EA">
            <w:pPr>
              <w:ind w:left="0"/>
            </w:pPr>
            <w:r w:rsidRPr="009E38EA">
              <w:t>1, 2, 3, 4, 5, or 6</w:t>
            </w:r>
          </w:p>
        </w:tc>
        <w:tc>
          <w:tcPr>
            <w:tcW w:w="2844" w:type="dxa"/>
          </w:tcPr>
          <w:p w:rsidR="009E38EA" w:rsidRPr="009E38EA" w:rsidRDefault="009E38EA" w:rsidP="009E38EA">
            <w:pPr>
              <w:ind w:left="0"/>
            </w:pPr>
            <w:r w:rsidRPr="009E38EA">
              <w:t xml:space="preserve">A NS5A </w:t>
            </w:r>
            <w:proofErr w:type="spellStart"/>
            <w:r w:rsidRPr="009E38EA">
              <w:t>inhibitor</w:t>
            </w:r>
            <w:r w:rsidRPr="009E38EA">
              <w:rPr>
                <w:vertAlign w:val="superscript"/>
              </w:rPr>
              <w:t>a</w:t>
            </w:r>
            <w:proofErr w:type="spellEnd"/>
          </w:p>
        </w:tc>
        <w:tc>
          <w:tcPr>
            <w:tcW w:w="2844" w:type="dxa"/>
          </w:tcPr>
          <w:p w:rsidR="009E38EA" w:rsidRPr="009E38EA" w:rsidRDefault="009E38EA" w:rsidP="009E38EA">
            <w:pPr>
              <w:ind w:left="0"/>
            </w:pPr>
            <w:r w:rsidRPr="009E38EA">
              <w:t>12 weeks</w:t>
            </w:r>
          </w:p>
        </w:tc>
      </w:tr>
      <w:tr w:rsidR="009E38EA" w:rsidRPr="009E38EA" w:rsidTr="009E38EA">
        <w:trPr>
          <w:trHeight w:val="1271"/>
        </w:trPr>
        <w:tc>
          <w:tcPr>
            <w:tcW w:w="2842" w:type="dxa"/>
          </w:tcPr>
          <w:p w:rsidR="009E38EA" w:rsidRPr="009E38EA" w:rsidRDefault="009E38EA" w:rsidP="009E38EA">
            <w:pPr>
              <w:ind w:left="0"/>
            </w:pPr>
            <w:r w:rsidRPr="009E38EA">
              <w:lastRenderedPageBreak/>
              <w:t>1,2,3 or 4</w:t>
            </w:r>
          </w:p>
        </w:tc>
        <w:tc>
          <w:tcPr>
            <w:tcW w:w="2844" w:type="dxa"/>
          </w:tcPr>
          <w:p w:rsidR="009E38EA" w:rsidRPr="009E38EA" w:rsidRDefault="000416C2" w:rsidP="009E38EA">
            <w:pPr>
              <w:ind w:left="0"/>
            </w:pPr>
            <w:r>
              <w:t>Sofosbuvir</w:t>
            </w:r>
            <w:r w:rsidRPr="009E38EA">
              <w:t xml:space="preserve"> </w:t>
            </w:r>
            <w:r w:rsidR="009E38EA" w:rsidRPr="009E38EA">
              <w:t xml:space="preserve">without an NS5A </w:t>
            </w:r>
            <w:proofErr w:type="spellStart"/>
            <w:r w:rsidR="009E38EA" w:rsidRPr="009E38EA">
              <w:t>inhibitor</w:t>
            </w:r>
            <w:r w:rsidR="009E38EA" w:rsidRPr="009E38EA">
              <w:rPr>
                <w:vertAlign w:val="superscript"/>
              </w:rPr>
              <w:t>b</w:t>
            </w:r>
            <w:proofErr w:type="spellEnd"/>
          </w:p>
        </w:tc>
        <w:tc>
          <w:tcPr>
            <w:tcW w:w="2844" w:type="dxa"/>
          </w:tcPr>
          <w:p w:rsidR="009E38EA" w:rsidRPr="009E38EA" w:rsidRDefault="009E38EA" w:rsidP="009E38EA">
            <w:pPr>
              <w:ind w:left="0"/>
            </w:pPr>
            <w:r w:rsidRPr="009E38EA">
              <w:t>12 weeks</w:t>
            </w:r>
          </w:p>
        </w:tc>
      </w:tr>
    </w:tbl>
    <w:p w:rsidR="009E38EA" w:rsidRPr="007C5877" w:rsidRDefault="009E38EA" w:rsidP="009E38EA">
      <w:pPr>
        <w:pStyle w:val="TableDescription"/>
      </w:pPr>
      <w:r w:rsidRPr="008523C5">
        <w:t xml:space="preserve">a. In clinical trials, prior NS5A inhibitor experience included </w:t>
      </w:r>
      <w:proofErr w:type="spellStart"/>
      <w:r w:rsidRPr="008523C5">
        <w:t>daclatasvir</w:t>
      </w:r>
      <w:proofErr w:type="spellEnd"/>
      <w:r w:rsidRPr="008523C5">
        <w:t xml:space="preserve">, </w:t>
      </w:r>
      <w:proofErr w:type="spellStart"/>
      <w:r w:rsidRPr="008523C5">
        <w:t>elbasvir</w:t>
      </w:r>
      <w:proofErr w:type="spellEnd"/>
      <w:r w:rsidRPr="008523C5">
        <w:t xml:space="preserve">, </w:t>
      </w:r>
      <w:proofErr w:type="spellStart"/>
      <w:r w:rsidRPr="008523C5">
        <w:t>ledipasvir</w:t>
      </w:r>
      <w:proofErr w:type="spellEnd"/>
      <w:r w:rsidRPr="008523C5">
        <w:t xml:space="preserve">, </w:t>
      </w:r>
      <w:proofErr w:type="spellStart"/>
      <w:r w:rsidRPr="008523C5">
        <w:t>ombitasvir</w:t>
      </w:r>
      <w:proofErr w:type="spellEnd"/>
      <w:r w:rsidRPr="008523C5">
        <w:t>, or velpatasvir</w:t>
      </w:r>
      <w:r>
        <w:t xml:space="preserve"> </w:t>
      </w:r>
      <w:r w:rsidRPr="008523C5">
        <w:t xml:space="preserve">b. In clinical trials, prior treatment experience included sofosbuvir with or without any of the following: </w:t>
      </w:r>
      <w:proofErr w:type="spellStart"/>
      <w:r w:rsidRPr="008523C5">
        <w:t>peginterferon</w:t>
      </w:r>
      <w:proofErr w:type="spellEnd"/>
      <w:r w:rsidRPr="008523C5">
        <w:t xml:space="preserve"> alfa/ribavirin, ribavirin, HCV NS3/4A protease inhibitor (boceprevir, simeprevir, or telaprevir).</w:t>
      </w:r>
    </w:p>
    <w:p w:rsidR="009E38EA" w:rsidRDefault="009E38EA" w:rsidP="007E0F0B">
      <w:pPr>
        <w:pStyle w:val="Numberbullet0"/>
      </w:pPr>
      <w:r w:rsidRPr="00AF29E8">
        <w:t xml:space="preserve">Related to point 2, please comment on the data for 8 weeks of therapy with </w:t>
      </w:r>
      <w:r w:rsidR="00476CD0">
        <w:t>Vosevi</w:t>
      </w:r>
      <w:r w:rsidRPr="00AF29E8">
        <w:t xml:space="preserve"> for certain patient groups </w:t>
      </w:r>
      <w:r w:rsidR="002179DA">
        <w:t>for example,</w:t>
      </w:r>
      <w:r w:rsidRPr="00AF29E8">
        <w:t xml:space="preserve"> GT3 with cirrhosis and those who are DAA naïve, in light of the EU approval and the prevalence of GT3 in Australia.</w:t>
      </w:r>
    </w:p>
    <w:p w:rsidR="000416C2" w:rsidRPr="000416C2" w:rsidRDefault="000416C2" w:rsidP="000416C2">
      <w:pPr>
        <w:pStyle w:val="Numberbullet0"/>
      </w:pPr>
      <w:r w:rsidRPr="00A95AB7">
        <w:t>The presentation of the drug interaction information in the PI at the meeting, given the list of drugs which are ‘contra-indicated’ versus ‘not recommended’ varies between regulators.</w:t>
      </w:r>
    </w:p>
    <w:p w:rsidR="00456765" w:rsidRPr="009E38EA" w:rsidRDefault="009E38EA" w:rsidP="009E38EA">
      <w:r w:rsidRPr="00C80339">
        <w:rPr>
          <w:rFonts w:asciiTheme="minorHAnsi" w:hAnsiTheme="minorHAnsi"/>
        </w:rPr>
        <w:t xml:space="preserve">The committee is </w:t>
      </w:r>
      <w:r>
        <w:rPr>
          <w:rFonts w:asciiTheme="minorHAnsi" w:hAnsiTheme="minorHAnsi"/>
        </w:rPr>
        <w:t>(</w:t>
      </w:r>
      <w:r w:rsidRPr="00C80339">
        <w:rPr>
          <w:rFonts w:asciiTheme="minorHAnsi" w:hAnsiTheme="minorHAnsi"/>
        </w:rPr>
        <w:t>also</w:t>
      </w:r>
      <w:r>
        <w:rPr>
          <w:rFonts w:asciiTheme="minorHAnsi" w:hAnsiTheme="minorHAnsi"/>
        </w:rPr>
        <w:t>)</w:t>
      </w:r>
      <w:r w:rsidRPr="00C80339">
        <w:rPr>
          <w:rFonts w:asciiTheme="minorHAnsi" w:hAnsiTheme="minorHAnsi"/>
        </w:rPr>
        <w:t xml:space="preserve"> requested to provide advice on any other issues that it thinks may be relevant to a decision on whether or not to approve this application.</w:t>
      </w:r>
    </w:p>
    <w:p w:rsidR="00D23139" w:rsidRDefault="00456765" w:rsidP="00D23139">
      <w:pPr>
        <w:pStyle w:val="Heading4"/>
      </w:pPr>
      <w:r>
        <w:t xml:space="preserve">Response from </w:t>
      </w:r>
      <w:r w:rsidR="000D5C0A">
        <w:t>sponsor</w:t>
      </w:r>
    </w:p>
    <w:p w:rsidR="003C735A" w:rsidRPr="003C735A" w:rsidRDefault="003C735A" w:rsidP="003C735A">
      <w:pPr>
        <w:pStyle w:val="Heading5"/>
      </w:pPr>
      <w:r>
        <w:t>Summary</w:t>
      </w:r>
    </w:p>
    <w:p w:rsidR="00476CD0" w:rsidRDefault="003C735A" w:rsidP="003C735A">
      <w:r w:rsidRPr="003C735A">
        <w:t xml:space="preserve">Within the last 5 years there has been a transformation in the treatment of HCV infection with the development of </w:t>
      </w:r>
      <w:r w:rsidR="00D43BF2">
        <w:t>direct acting</w:t>
      </w:r>
      <w:r w:rsidRPr="003C735A">
        <w:t xml:space="preserve"> antivirals (DAAs) targeting viral proteins essential to viral replication, such as those containing the sofosbuvir (SOF), an HCV NS5B inhibitor with potent, broad genotypic activity </w:t>
      </w:r>
      <w:r w:rsidR="000E1116">
        <w:t>(</w:t>
      </w:r>
      <w:r w:rsidR="00476CD0">
        <w:t>Sovaldi</w:t>
      </w:r>
      <w:r w:rsidRPr="003C735A">
        <w:t xml:space="preserve"> (</w:t>
      </w:r>
      <w:r w:rsidR="002D4109">
        <w:t xml:space="preserve">submission </w:t>
      </w:r>
      <w:r w:rsidRPr="003C735A">
        <w:t xml:space="preserve">PM-2013-01283-1-2,), </w:t>
      </w:r>
      <w:r w:rsidR="00476CD0">
        <w:t>Harvoni</w:t>
      </w:r>
      <w:r w:rsidRPr="003C735A">
        <w:t xml:space="preserve"> (</w:t>
      </w:r>
      <w:r w:rsidR="002D4109">
        <w:t xml:space="preserve">submission </w:t>
      </w:r>
      <w:r w:rsidRPr="003C735A">
        <w:t xml:space="preserve">PM-2014-00469-1-2) and </w:t>
      </w:r>
      <w:r w:rsidR="00476CD0">
        <w:t>Epclusa</w:t>
      </w:r>
      <w:r w:rsidRPr="003C735A">
        <w:t xml:space="preserve"> (</w:t>
      </w:r>
      <w:r w:rsidR="002D4109">
        <w:t xml:space="preserve">submission </w:t>
      </w:r>
      <w:r w:rsidRPr="003C735A">
        <w:t>PM-2015-03984-1-2)</w:t>
      </w:r>
      <w:r w:rsidR="000E1116">
        <w:t>)</w:t>
      </w:r>
      <w:r w:rsidRPr="003C735A">
        <w:t xml:space="preserve">. </w:t>
      </w:r>
      <w:r w:rsidR="00476CD0">
        <w:t>Epclusa</w:t>
      </w:r>
      <w:r w:rsidRPr="003C735A">
        <w:t xml:space="preserve">, a combination of SOF and velpatasvir (VEL), a potent, </w:t>
      </w:r>
      <w:r w:rsidR="007E0F0B">
        <w:t>pan-genotypic</w:t>
      </w:r>
      <w:r w:rsidRPr="003C735A">
        <w:t>, next-generation HCV NS5A inhibitor, was approved by TGA in December 2016, and was the first, 12</w:t>
      </w:r>
      <w:r w:rsidR="00AA5E62">
        <w:t xml:space="preserve"> week</w:t>
      </w:r>
      <w:r w:rsidRPr="003C735A">
        <w:t xml:space="preserve">, once daily, all oral </w:t>
      </w:r>
      <w:r w:rsidR="007E0F0B">
        <w:t>pan</w:t>
      </w:r>
      <w:r w:rsidR="002D4109">
        <w:noBreakHyphen/>
      </w:r>
      <w:r w:rsidR="007E0F0B">
        <w:t>genotypic</w:t>
      </w:r>
      <w:r w:rsidRPr="003C735A">
        <w:t xml:space="preserve"> treatment option for all HCV patients in Australia</w:t>
      </w:r>
      <w:r w:rsidR="00476CD0">
        <w:t>.</w:t>
      </w:r>
    </w:p>
    <w:p w:rsidR="003C735A" w:rsidRDefault="003C735A" w:rsidP="003C735A">
      <w:r w:rsidRPr="003C735A">
        <w:t>In 2016, the World Health Orga</w:t>
      </w:r>
      <w:r w:rsidR="007E0F0B">
        <w:t xml:space="preserve">nization (WHO) issued its first </w:t>
      </w:r>
      <w:r w:rsidRPr="003C735A">
        <w:t>ever global hepatitis strategy document which calls for HCV elimination by 2030, defined as a 90% reduction in incidence and 65% reduction in mortality. Australia has embraced these goals by ensuring wide access to highly effective HCV treatments throughout the country, irrespective of genotype, HIV coinfection or stage of fibrosis. The prevalence of HCV in Australia is estimated to be approximately 1.</w:t>
      </w:r>
      <w:r w:rsidR="002179DA">
        <w:t>3%</w:t>
      </w:r>
      <w:r w:rsidR="002D4109">
        <w:t>;</w:t>
      </w:r>
      <w:r w:rsidR="002179DA">
        <w:rPr>
          <w:rStyle w:val="FootnoteReference"/>
        </w:rPr>
        <w:footnoteReference w:id="71"/>
      </w:r>
      <w:r w:rsidR="002179DA">
        <w:t xml:space="preserve"> </w:t>
      </w:r>
      <w:r w:rsidRPr="002179DA">
        <w:t>and</w:t>
      </w:r>
      <w:r w:rsidRPr="003C735A">
        <w:t xml:space="preserve"> in just th</w:t>
      </w:r>
      <w:r w:rsidR="007E0F0B">
        <w:t xml:space="preserve">e last 2 years, over 50,000 HCV </w:t>
      </w:r>
      <w:r w:rsidRPr="003C735A">
        <w:t>infected patients have been treated with DAA therapy in Australia. Even with an anticipated 95% sustained virologic response (SVR), there remains a need for treatment to address the small percentage of patients who are not cured with first-line therapy.</w:t>
      </w:r>
    </w:p>
    <w:p w:rsidR="00476CD0" w:rsidRDefault="002D4109" w:rsidP="003C735A">
      <w:pPr>
        <w:rPr>
          <w:sz w:val="23"/>
          <w:szCs w:val="23"/>
        </w:rPr>
      </w:pPr>
      <w:r>
        <w:rPr>
          <w:sz w:val="23"/>
          <w:szCs w:val="23"/>
        </w:rPr>
        <w:t xml:space="preserve">The sponsor </w:t>
      </w:r>
      <w:r w:rsidR="003C735A">
        <w:rPr>
          <w:sz w:val="23"/>
          <w:szCs w:val="23"/>
        </w:rPr>
        <w:t xml:space="preserve">has developed </w:t>
      </w:r>
      <w:r w:rsidR="00476CD0">
        <w:rPr>
          <w:sz w:val="23"/>
          <w:szCs w:val="23"/>
        </w:rPr>
        <w:t>Vosevi</w:t>
      </w:r>
      <w:r w:rsidR="003C735A">
        <w:rPr>
          <w:sz w:val="23"/>
          <w:szCs w:val="23"/>
        </w:rPr>
        <w:t xml:space="preserve">, a </w:t>
      </w:r>
      <w:r w:rsidR="00D43BF2">
        <w:rPr>
          <w:sz w:val="23"/>
          <w:szCs w:val="23"/>
        </w:rPr>
        <w:t>fixed dose</w:t>
      </w:r>
      <w:r w:rsidR="003C735A">
        <w:rPr>
          <w:sz w:val="23"/>
          <w:szCs w:val="23"/>
        </w:rPr>
        <w:t xml:space="preserve"> combination tablet combining three drugs, SOF, VEL and voxilaprevir (VOX), as a salvage therapy regimen for this patient population. Voxilaprevir is an HCV NS3/4A protease inhibitor (</w:t>
      </w:r>
      <w:r w:rsidR="003A5113">
        <w:rPr>
          <w:sz w:val="23"/>
          <w:szCs w:val="23"/>
        </w:rPr>
        <w:t>Pi</w:t>
      </w:r>
      <w:r w:rsidR="003C735A">
        <w:rPr>
          <w:sz w:val="23"/>
          <w:szCs w:val="23"/>
        </w:rPr>
        <w:t xml:space="preserve">) with antiviral activity across HCV genotypes and an improved resistance profile compared with </w:t>
      </w:r>
      <w:r w:rsidR="003C735A">
        <w:rPr>
          <w:sz w:val="23"/>
          <w:szCs w:val="23"/>
        </w:rPr>
        <w:lastRenderedPageBreak/>
        <w:t xml:space="preserve">previously developed HCV NS3/4A </w:t>
      </w:r>
      <w:proofErr w:type="spellStart"/>
      <w:r w:rsidR="003A5113">
        <w:rPr>
          <w:sz w:val="23"/>
          <w:szCs w:val="23"/>
        </w:rPr>
        <w:t>Pi</w:t>
      </w:r>
      <w:r w:rsidR="003C735A">
        <w:rPr>
          <w:sz w:val="23"/>
          <w:szCs w:val="23"/>
        </w:rPr>
        <w:t>s</w:t>
      </w:r>
      <w:proofErr w:type="spellEnd"/>
      <w:r w:rsidR="003C735A">
        <w:rPr>
          <w:sz w:val="23"/>
          <w:szCs w:val="23"/>
        </w:rPr>
        <w:t xml:space="preserve">. In large, </w:t>
      </w:r>
      <w:r w:rsidR="00476CD0">
        <w:rPr>
          <w:sz w:val="23"/>
          <w:szCs w:val="23"/>
        </w:rPr>
        <w:t>Phase III</w:t>
      </w:r>
      <w:r w:rsidR="003C735A">
        <w:rPr>
          <w:sz w:val="23"/>
          <w:szCs w:val="23"/>
        </w:rPr>
        <w:t xml:space="preserve"> registrational studies, 12 weeks of SOF/VEL/VOX was shown to be a highly efficacious, </w:t>
      </w:r>
      <w:r w:rsidR="003A5113">
        <w:rPr>
          <w:sz w:val="23"/>
          <w:szCs w:val="23"/>
        </w:rPr>
        <w:t>well tolerated</w:t>
      </w:r>
      <w:r w:rsidR="003C735A">
        <w:rPr>
          <w:sz w:val="23"/>
          <w:szCs w:val="23"/>
        </w:rPr>
        <w:t xml:space="preserve">, </w:t>
      </w:r>
      <w:r w:rsidR="007E0F0B">
        <w:rPr>
          <w:sz w:val="23"/>
          <w:szCs w:val="23"/>
        </w:rPr>
        <w:t>pan-genotypic</w:t>
      </w:r>
      <w:r w:rsidR="003C735A">
        <w:rPr>
          <w:sz w:val="23"/>
          <w:szCs w:val="23"/>
        </w:rPr>
        <w:t>, simple, single-tablet regimen for the treatment of patients with HCV infection who have failed prior DAA treatment, including those who have failed prior therapy with an NS5A and/or NS5B inhibitor</w:t>
      </w:r>
      <w:r w:rsidR="00476CD0">
        <w:rPr>
          <w:sz w:val="23"/>
          <w:szCs w:val="23"/>
        </w:rPr>
        <w:t>.</w:t>
      </w:r>
    </w:p>
    <w:p w:rsidR="003C735A" w:rsidRPr="003C735A" w:rsidRDefault="002179DA" w:rsidP="003C735A">
      <w:r>
        <w:rPr>
          <w:sz w:val="23"/>
          <w:szCs w:val="23"/>
        </w:rPr>
        <w:t>The remainder of this response</w:t>
      </w:r>
      <w:r w:rsidR="003C735A">
        <w:rPr>
          <w:sz w:val="23"/>
          <w:szCs w:val="23"/>
        </w:rPr>
        <w:t xml:space="preserve"> is separated into 3 sections to directly address the Delegate’s comments concerning the application to register </w:t>
      </w:r>
      <w:r w:rsidR="00476CD0">
        <w:rPr>
          <w:sz w:val="23"/>
          <w:szCs w:val="23"/>
        </w:rPr>
        <w:t>Vosevi</w:t>
      </w:r>
      <w:r w:rsidR="003C735A">
        <w:rPr>
          <w:sz w:val="23"/>
          <w:szCs w:val="23"/>
        </w:rPr>
        <w:t xml:space="preserve"> tables and includes </w:t>
      </w:r>
      <w:r w:rsidR="002D4109">
        <w:rPr>
          <w:sz w:val="23"/>
          <w:szCs w:val="23"/>
        </w:rPr>
        <w:t xml:space="preserve">the sponsor’s </w:t>
      </w:r>
      <w:r w:rsidR="003C735A">
        <w:rPr>
          <w:sz w:val="23"/>
          <w:szCs w:val="23"/>
        </w:rPr>
        <w:t xml:space="preserve">responses to advice sought by the Delegate, issues for the sponsor raised by the Delegate and other comments on the </w:t>
      </w:r>
      <w:r w:rsidR="007E0F0B">
        <w:rPr>
          <w:sz w:val="23"/>
          <w:szCs w:val="23"/>
        </w:rPr>
        <w:t>PI</w:t>
      </w:r>
      <w:r w:rsidR="003C735A">
        <w:rPr>
          <w:sz w:val="23"/>
          <w:szCs w:val="23"/>
        </w:rPr>
        <w:t>.</w:t>
      </w:r>
    </w:p>
    <w:p w:rsidR="003C735A" w:rsidRPr="003C735A" w:rsidRDefault="003C735A" w:rsidP="003C735A">
      <w:pPr>
        <w:pStyle w:val="Heading5"/>
      </w:pPr>
      <w:r w:rsidRPr="003C735A">
        <w:t>Ad</w:t>
      </w:r>
      <w:r w:rsidR="007E0F0B">
        <w:t xml:space="preserve">vice sought by the TGA </w:t>
      </w:r>
      <w:r w:rsidR="00FF619F">
        <w:t>d</w:t>
      </w:r>
      <w:r w:rsidR="007E0F0B">
        <w:t>elegate</w:t>
      </w:r>
    </w:p>
    <w:p w:rsidR="00476CD0" w:rsidRDefault="003C735A" w:rsidP="003C735A">
      <w:r w:rsidRPr="003C735A">
        <w:t>The Delegate’s comments</w:t>
      </w:r>
      <w:r w:rsidR="002D4109">
        <w:t xml:space="preserve">/requests for ACM advice from </w:t>
      </w:r>
      <w:r w:rsidRPr="003C735A">
        <w:t xml:space="preserve">the </w:t>
      </w:r>
      <w:r w:rsidR="002D4109">
        <w:t>Delegate’s O</w:t>
      </w:r>
      <w:r w:rsidRPr="003C735A">
        <w:t>verview are presented in italic</w:t>
      </w:r>
      <w:r w:rsidR="002D4109">
        <w:t>s</w:t>
      </w:r>
      <w:r w:rsidRPr="003C735A">
        <w:t xml:space="preserve">, and are followed by </w:t>
      </w:r>
      <w:r w:rsidR="002D4109">
        <w:t>the sponsor’</w:t>
      </w:r>
      <w:r w:rsidR="002D4109" w:rsidRPr="003C735A">
        <w:t xml:space="preserve">s </w:t>
      </w:r>
      <w:r w:rsidRPr="003C735A">
        <w:t>response</w:t>
      </w:r>
      <w:r w:rsidR="00476CD0">
        <w:t>.</w:t>
      </w:r>
    </w:p>
    <w:p w:rsidR="00476CD0" w:rsidRPr="00A95AB7" w:rsidRDefault="003C735A" w:rsidP="00E650A8">
      <w:pPr>
        <w:pStyle w:val="Numberbullet0"/>
        <w:numPr>
          <w:ilvl w:val="0"/>
          <w:numId w:val="8"/>
        </w:numPr>
        <w:rPr>
          <w:i/>
        </w:rPr>
      </w:pPr>
      <w:r w:rsidRPr="00A95AB7">
        <w:rPr>
          <w:i/>
        </w:rPr>
        <w:t>The wording of the proposed indication, noting the variation in the wording of the approved indications overseas and the Delegate’s proposal for wording consistent with the FDA-approved indication</w:t>
      </w:r>
      <w:r w:rsidR="00476CD0" w:rsidRPr="00A95AB7">
        <w:rPr>
          <w:i/>
        </w:rPr>
        <w:t>.</w:t>
      </w:r>
    </w:p>
    <w:p w:rsidR="00476CD0" w:rsidRPr="00A95AB7" w:rsidRDefault="003C735A" w:rsidP="00E650A8">
      <w:pPr>
        <w:pStyle w:val="Numberbullet0"/>
        <w:numPr>
          <w:ilvl w:val="0"/>
          <w:numId w:val="8"/>
        </w:numPr>
        <w:rPr>
          <w:bCs/>
          <w:i/>
          <w:iCs/>
          <w:sz w:val="23"/>
          <w:szCs w:val="23"/>
        </w:rPr>
      </w:pPr>
      <w:r w:rsidRPr="00A95AB7">
        <w:rPr>
          <w:i/>
        </w:rPr>
        <w:t xml:space="preserve">Related to point 1, the proposed dosage and administration tables, noting the format proposed by the FDA, EMA and Health Canada. The FDA and Health Canada have not included results of the POLARIS-2 and 3 </w:t>
      </w:r>
      <w:r w:rsidR="002D4109">
        <w:rPr>
          <w:i/>
        </w:rPr>
        <w:t>trials</w:t>
      </w:r>
      <w:r w:rsidR="002D4109" w:rsidRPr="00A95AB7">
        <w:rPr>
          <w:i/>
        </w:rPr>
        <w:t xml:space="preserve"> </w:t>
      </w:r>
      <w:r w:rsidRPr="00A95AB7">
        <w:rPr>
          <w:i/>
        </w:rPr>
        <w:t xml:space="preserve">in their product information, while the </w:t>
      </w:r>
      <w:proofErr w:type="spellStart"/>
      <w:r w:rsidRPr="00A95AB7">
        <w:rPr>
          <w:i/>
        </w:rPr>
        <w:t>Eu</w:t>
      </w:r>
      <w:proofErr w:type="spellEnd"/>
      <w:r w:rsidR="002D4109">
        <w:rPr>
          <w:i/>
        </w:rPr>
        <w:t xml:space="preserve"> </w:t>
      </w:r>
      <w:proofErr w:type="spellStart"/>
      <w:r w:rsidRPr="00A95AB7">
        <w:rPr>
          <w:i/>
        </w:rPr>
        <w:t>S</w:t>
      </w:r>
      <w:r w:rsidR="002D4109">
        <w:rPr>
          <w:i/>
        </w:rPr>
        <w:t>m</w:t>
      </w:r>
      <w:r w:rsidRPr="00A95AB7">
        <w:rPr>
          <w:i/>
        </w:rPr>
        <w:t>PC</w:t>
      </w:r>
      <w:proofErr w:type="spellEnd"/>
      <w:r w:rsidRPr="00A95AB7">
        <w:rPr>
          <w:i/>
        </w:rPr>
        <w:t xml:space="preserve"> dosage and administration section reflects the results of these studies. The FDA has approved use of </w:t>
      </w:r>
      <w:r w:rsidR="00476CD0" w:rsidRPr="00A95AB7">
        <w:rPr>
          <w:i/>
        </w:rPr>
        <w:t>Vosevi</w:t>
      </w:r>
      <w:r w:rsidRPr="00A95AB7">
        <w:rPr>
          <w:i/>
        </w:rPr>
        <w:t xml:space="preserve"> in GT</w:t>
      </w:r>
      <w:r w:rsidR="002D4109">
        <w:rPr>
          <w:i/>
        </w:rPr>
        <w:t xml:space="preserve"> </w:t>
      </w:r>
      <w:r w:rsidRPr="00A95AB7">
        <w:rPr>
          <w:i/>
        </w:rPr>
        <w:t>1a and 3 only for patients with prior experience with sofosbuvir without an NS5A inhibitor. Health Canada has approved use in GT 1,</w:t>
      </w:r>
      <w:r w:rsidR="002D4109">
        <w:rPr>
          <w:i/>
        </w:rPr>
        <w:t xml:space="preserve"> </w:t>
      </w:r>
      <w:r w:rsidRPr="00A95AB7">
        <w:rPr>
          <w:i/>
        </w:rPr>
        <w:t>2,</w:t>
      </w:r>
      <w:r w:rsidR="002D4109">
        <w:rPr>
          <w:i/>
        </w:rPr>
        <w:t xml:space="preserve"> </w:t>
      </w:r>
      <w:r w:rsidRPr="00A95AB7">
        <w:rPr>
          <w:i/>
        </w:rPr>
        <w:t>3,</w:t>
      </w:r>
      <w:r w:rsidR="002D4109">
        <w:rPr>
          <w:i/>
        </w:rPr>
        <w:t xml:space="preserve"> </w:t>
      </w:r>
      <w:r w:rsidRPr="00A95AB7">
        <w:rPr>
          <w:i/>
        </w:rPr>
        <w:t xml:space="preserve">4 for this patient group. </w:t>
      </w:r>
      <w:r w:rsidRPr="00A95AB7">
        <w:rPr>
          <w:bCs/>
          <w:i/>
          <w:iCs/>
          <w:sz w:val="23"/>
          <w:szCs w:val="23"/>
        </w:rPr>
        <w:t>Please comment on the Delegate’s proposal for adoption of the FDA dosage and administration table</w:t>
      </w:r>
      <w:r w:rsidR="00476CD0" w:rsidRPr="00A95AB7">
        <w:rPr>
          <w:bCs/>
          <w:i/>
          <w:iCs/>
          <w:sz w:val="23"/>
          <w:szCs w:val="23"/>
        </w:rPr>
        <w:t>.</w:t>
      </w:r>
    </w:p>
    <w:p w:rsidR="003C735A" w:rsidRDefault="003C735A" w:rsidP="003C735A">
      <w:r w:rsidRPr="003C735A">
        <w:t xml:space="preserve">The difference in the indication statements for </w:t>
      </w:r>
      <w:r w:rsidR="00476CD0">
        <w:t>Vosevi</w:t>
      </w:r>
      <w:r w:rsidRPr="003C735A">
        <w:t xml:space="preserve"> reflects a difference in the goals across the regions. In the US, Gilead’s goal for the clinical development of SOF/VEL/VOX was focused on providing a salvage regimen for </w:t>
      </w:r>
      <w:r w:rsidR="00CE0E69">
        <w:t>DAA experienced</w:t>
      </w:r>
      <w:r w:rsidRPr="003C735A">
        <w:t xml:space="preserve"> patients and interactions with the FDA throughout the development and review process led to the final language in the US label limiting the use of SOF/VEL/VOX to certain genotypes within the sub-populations. In the EU, there was interest in SOF/VEL/VOX for </w:t>
      </w:r>
      <w:r w:rsidR="00CE0E69">
        <w:t>DAA naive</w:t>
      </w:r>
      <w:r w:rsidRPr="003C735A">
        <w:t xml:space="preserve"> patients to provide another HCV treatment option in the region potentially shortening treatment duration and improving treatment access. Additionally, there was recognition of the benefit of simplifying treatment algorithms and a request by EMA for new analyses of clinical data to be submitted and considered during the MAA review process which supported a broader label in that region.</w:t>
      </w:r>
    </w:p>
    <w:p w:rsidR="003C735A" w:rsidRPr="003C735A" w:rsidRDefault="003C735A" w:rsidP="003C735A">
      <w:r w:rsidRPr="003C735A">
        <w:t xml:space="preserve">In Australia, the SOF/VEL/VOX single tablet regimen </w:t>
      </w:r>
      <w:r w:rsidR="007E0F0B" w:rsidRPr="003C735A">
        <w:t>fulfils</w:t>
      </w:r>
      <w:r w:rsidRPr="003C735A">
        <w:t xml:space="preserve"> the substantial unmet medical need for a potent salvage regimen with demonstrated efficacy in large, </w:t>
      </w:r>
      <w:r w:rsidR="00476CD0">
        <w:t>Phase III</w:t>
      </w:r>
      <w:r w:rsidRPr="003C735A">
        <w:t xml:space="preserve"> registrational trials including a high percentage of patients across genotypes including those with cirrhosis and advanced fibrosis. </w:t>
      </w:r>
      <w:r w:rsidR="002D4109">
        <w:t>The sponsor</w:t>
      </w:r>
      <w:r w:rsidR="002D4109" w:rsidRPr="003C735A">
        <w:t xml:space="preserve"> </w:t>
      </w:r>
      <w:r w:rsidRPr="003C735A">
        <w:t>does not agree with alignment of the Australian PI with the US PI and requests to retain the indication and dosage as prop</w:t>
      </w:r>
      <w:r w:rsidR="007E0F0B">
        <w:t>osed by the clinical evaluator:</w:t>
      </w:r>
    </w:p>
    <w:p w:rsidR="003C735A" w:rsidRPr="00A95AB7" w:rsidRDefault="003C735A" w:rsidP="003C735A">
      <w:pPr>
        <w:ind w:left="720"/>
        <w:rPr>
          <w:i/>
        </w:rPr>
      </w:pPr>
      <w:r w:rsidRPr="00A95AB7">
        <w:rPr>
          <w:i/>
        </w:rPr>
        <w:t>Indications:</w:t>
      </w:r>
    </w:p>
    <w:p w:rsidR="00476CD0" w:rsidRDefault="00476CD0" w:rsidP="003C735A">
      <w:pPr>
        <w:ind w:left="720"/>
        <w:rPr>
          <w:i/>
        </w:rPr>
      </w:pPr>
      <w:r>
        <w:rPr>
          <w:i/>
        </w:rPr>
        <w:t>Vosevi</w:t>
      </w:r>
      <w:r w:rsidR="003C735A" w:rsidRPr="003C735A">
        <w:rPr>
          <w:i/>
        </w:rPr>
        <w:t xml:space="preserve"> (sofosbuvir/velpatasvir/voxilaprevir </w:t>
      </w:r>
      <w:r w:rsidR="00D43BF2">
        <w:rPr>
          <w:i/>
        </w:rPr>
        <w:t>fixed dose</w:t>
      </w:r>
      <w:r w:rsidR="003C735A" w:rsidRPr="003C735A">
        <w:rPr>
          <w:i/>
        </w:rPr>
        <w:t xml:space="preserve"> combination) is indicated for the treatment of chronic hepatitis C virus (HCV) infection in adults who have failed treatment with at least one prior DAA, regardless of genotype, in patients without cirrhosis or with compensated cirrhosis (see </w:t>
      </w:r>
      <w:r w:rsidR="00CA18EE" w:rsidRPr="003C735A">
        <w:rPr>
          <w:i/>
        </w:rPr>
        <w:t xml:space="preserve">Dosage </w:t>
      </w:r>
      <w:r w:rsidR="00CA18EE">
        <w:rPr>
          <w:i/>
        </w:rPr>
        <w:t>a</w:t>
      </w:r>
      <w:r w:rsidR="00CA18EE" w:rsidRPr="003C735A">
        <w:rPr>
          <w:i/>
        </w:rPr>
        <w:t xml:space="preserve">nd Administration </w:t>
      </w:r>
      <w:r w:rsidR="003C735A" w:rsidRPr="003C735A">
        <w:rPr>
          <w:i/>
        </w:rPr>
        <w:t xml:space="preserve">and </w:t>
      </w:r>
      <w:r w:rsidR="00CA18EE" w:rsidRPr="003C735A">
        <w:rPr>
          <w:i/>
        </w:rPr>
        <w:t>Clin</w:t>
      </w:r>
      <w:r w:rsidR="00CA18EE">
        <w:rPr>
          <w:i/>
        </w:rPr>
        <w:t>i</w:t>
      </w:r>
      <w:r w:rsidR="00CA18EE" w:rsidRPr="003C735A">
        <w:rPr>
          <w:i/>
        </w:rPr>
        <w:t>cal Trials</w:t>
      </w:r>
      <w:r w:rsidR="003C735A" w:rsidRPr="003C735A">
        <w:rPr>
          <w:i/>
        </w:rPr>
        <w:t>)</w:t>
      </w:r>
      <w:r>
        <w:rPr>
          <w:i/>
        </w:rPr>
        <w:t>.</w:t>
      </w:r>
    </w:p>
    <w:p w:rsidR="003C735A" w:rsidRPr="00A95AB7" w:rsidRDefault="003C735A" w:rsidP="003C735A">
      <w:pPr>
        <w:ind w:left="720"/>
        <w:rPr>
          <w:i/>
        </w:rPr>
      </w:pPr>
      <w:r w:rsidRPr="00A95AB7">
        <w:rPr>
          <w:i/>
        </w:rPr>
        <w:t>Dosage and administration:</w:t>
      </w:r>
    </w:p>
    <w:p w:rsidR="003C735A" w:rsidRPr="00A95AB7" w:rsidRDefault="003C735A" w:rsidP="003C735A">
      <w:pPr>
        <w:ind w:left="720"/>
        <w:rPr>
          <w:i/>
        </w:rPr>
      </w:pPr>
      <w:r w:rsidRPr="00A95AB7">
        <w:rPr>
          <w:i/>
        </w:rPr>
        <w:t xml:space="preserve">The recommended dose of </w:t>
      </w:r>
      <w:r w:rsidR="00476CD0" w:rsidRPr="00A95AB7">
        <w:rPr>
          <w:i/>
        </w:rPr>
        <w:t>Vosevi</w:t>
      </w:r>
      <w:r w:rsidRPr="00A95AB7">
        <w:rPr>
          <w:i/>
        </w:rPr>
        <w:t xml:space="preserve"> is one tablet, taken orally, once daily with food. Administer </w:t>
      </w:r>
      <w:r w:rsidR="00476CD0" w:rsidRPr="00A95AB7">
        <w:rPr>
          <w:i/>
        </w:rPr>
        <w:t>Vosevi</w:t>
      </w:r>
      <w:r w:rsidRPr="00A95AB7">
        <w:rPr>
          <w:i/>
        </w:rPr>
        <w:t xml:space="preserve"> for 12 weeks to patients, regardless of HCV genotype without </w:t>
      </w:r>
      <w:r w:rsidRPr="00A95AB7">
        <w:rPr>
          <w:i/>
        </w:rPr>
        <w:lastRenderedPageBreak/>
        <w:t>cirrhosis or with compensated cirrhosis who have failed prior treatment with a HCV DAA.</w:t>
      </w:r>
    </w:p>
    <w:p w:rsidR="00476CD0" w:rsidRDefault="003C735A" w:rsidP="003C735A">
      <w:r>
        <w:t xml:space="preserve">In contrast to the indication statement in the US PI, this proposed indication and dosage and administration information is </w:t>
      </w:r>
      <w:r w:rsidR="007E0F0B">
        <w:t>pan-genotypic</w:t>
      </w:r>
      <w:r>
        <w:t xml:space="preserve"> and simple. The totality of the data from the </w:t>
      </w:r>
      <w:r w:rsidR="00476CD0">
        <w:t>Phase III</w:t>
      </w:r>
      <w:r>
        <w:t xml:space="preserve"> SOF/VEL/VOX clinical trials included in the original dossier submitted to TGA supports its use for the treatment of subjects who have failed prior therapy with DAAs, irrespective of genotype, and is summarized below</w:t>
      </w:r>
      <w:r w:rsidR="00476CD0">
        <w:t>.</w:t>
      </w:r>
    </w:p>
    <w:p w:rsidR="00476CD0" w:rsidRDefault="003C735A" w:rsidP="003C735A">
      <w:r>
        <w:t>Study GS-US-367-1171 (POLARIS-1</w:t>
      </w:r>
      <w:r w:rsidR="00CA18EE">
        <w:t xml:space="preserve"> trial</w:t>
      </w:r>
      <w:r>
        <w:t xml:space="preserve">) is a </w:t>
      </w:r>
      <w:r w:rsidR="00476CD0">
        <w:t>Phase III</w:t>
      </w:r>
      <w:r>
        <w:t xml:space="preserve">, </w:t>
      </w:r>
      <w:r w:rsidR="00CA18EE">
        <w:t>randomised</w:t>
      </w:r>
      <w:r>
        <w:t xml:space="preserve">, </w:t>
      </w:r>
      <w:r w:rsidR="00CE0E69">
        <w:t>double blind</w:t>
      </w:r>
      <w:r>
        <w:t xml:space="preserve"> study assessing the antiviral efficacy, safety, and tolerability of SOF/VEL/VOX compared with placebo for 12 weeks in NS5A </w:t>
      </w:r>
      <w:r w:rsidR="000D5C0A">
        <w:t>inhibitor experienced</w:t>
      </w:r>
      <w:r>
        <w:t xml:space="preserve"> subjects with chronic HCV infection. To date, POLARIS-1 is the only </w:t>
      </w:r>
      <w:r w:rsidR="00476CD0">
        <w:t>Phase III</w:t>
      </w:r>
      <w:r>
        <w:t xml:space="preserve"> registrational trial to </w:t>
      </w:r>
      <w:r w:rsidR="007E0F0B">
        <w:t>enrol</w:t>
      </w:r>
      <w:r>
        <w:t xml:space="preserve"> NS5A </w:t>
      </w:r>
      <w:r w:rsidR="000D5C0A">
        <w:t>inhibitor experienced</w:t>
      </w:r>
      <w:r>
        <w:t xml:space="preserve"> subjects. Overall and across all HCV genotypes and subgroups in </w:t>
      </w:r>
      <w:r w:rsidR="00CA18EE">
        <w:t xml:space="preserve">the </w:t>
      </w:r>
      <w:r>
        <w:t>POLARIS-1</w:t>
      </w:r>
      <w:r w:rsidR="00CA18EE">
        <w:t xml:space="preserve"> trial</w:t>
      </w:r>
      <w:r>
        <w:t>, SOF/VEL/VOX for 12 weeks led to high efficacy with 96.2% of all enrolled subjects (253 of 263) achieving SVR12</w:t>
      </w:r>
      <w:r w:rsidR="00476CD0">
        <w:t>.</w:t>
      </w:r>
    </w:p>
    <w:p w:rsidR="003C735A" w:rsidRDefault="003C735A" w:rsidP="003C735A">
      <w:r>
        <w:t>Study GS-US-367-1170 (POLARIS-4</w:t>
      </w:r>
      <w:r w:rsidR="00CA18EE">
        <w:t xml:space="preserve"> trial</w:t>
      </w:r>
      <w:r>
        <w:t xml:space="preserve">) is a </w:t>
      </w:r>
      <w:r w:rsidR="00476CD0">
        <w:t>Phase III</w:t>
      </w:r>
      <w:r>
        <w:t xml:space="preserve">, </w:t>
      </w:r>
      <w:r w:rsidR="00CA18EE">
        <w:t>randomised</w:t>
      </w:r>
      <w:r>
        <w:t xml:space="preserve">, </w:t>
      </w:r>
      <w:r w:rsidR="00476CD0">
        <w:t>open label</w:t>
      </w:r>
      <w:r>
        <w:t xml:space="preserve"> study assessing the antiviral efficacy, safety, and tolerability of 12 weeks of SOF/VEL/VOX and 12 weeks of SOF/VEL in </w:t>
      </w:r>
      <w:r w:rsidR="00CE0E69">
        <w:t>DAA experienced</w:t>
      </w:r>
      <w:r>
        <w:t xml:space="preserve"> subjects with chronic HCV infection with or without cirrhosis who had not previously received an NS5A inhibitor. The use of SOF/VEL/VOX and SOF/VEL within the same study allows for the assessment of the contribution of VOX to efficacy, and, as such, the information demonstrating the benefit of VOX to the SOF/VEL/VOX regimen.</w:t>
      </w:r>
    </w:p>
    <w:p w:rsidR="00476CD0" w:rsidRDefault="003C735A" w:rsidP="003C735A">
      <w:r>
        <w:t xml:space="preserve">In </w:t>
      </w:r>
      <w:r w:rsidR="00CA18EE">
        <w:t xml:space="preserve">the </w:t>
      </w:r>
      <w:r>
        <w:t>POLARIS-4</w:t>
      </w:r>
      <w:r w:rsidR="00CA18EE">
        <w:t xml:space="preserve"> trial</w:t>
      </w:r>
      <w:r>
        <w:t>, treatment with SOF/VEL/VOX resulted in an SVR12 rate of 97.8%, which was</w:t>
      </w:r>
      <w:r w:rsidR="00476CD0">
        <w:t xml:space="preserve"> </w:t>
      </w:r>
      <w:r>
        <w:t xml:space="preserve">statistically superior to the performance goal of 85% at the pre-specified 0.025 significance level (p </w:t>
      </w:r>
      <w:r w:rsidR="00476CD0">
        <w:t xml:space="preserve">&lt; </w:t>
      </w:r>
      <w:r>
        <w:t>0.001), meeting the primary efficacy endpoint. Treatment with SOF/VEL for 12 weeks resulted in an SVR12 rate of 90.1%, which was not statistically superior to the performance goal</w:t>
      </w:r>
      <w:r w:rsidR="00476CD0">
        <w:t xml:space="preserve"> </w:t>
      </w:r>
      <w:r>
        <w:t>of 85% at the pre-specified 0.025 significance level (p</w:t>
      </w:r>
      <w:r w:rsidR="003925CF">
        <w:t xml:space="preserve"> = </w:t>
      </w:r>
      <w:r>
        <w:t>0.092)</w:t>
      </w:r>
      <w:r w:rsidR="00476CD0">
        <w:t>.</w:t>
      </w:r>
    </w:p>
    <w:p w:rsidR="003C735A" w:rsidRDefault="003C735A" w:rsidP="003C735A">
      <w:r>
        <w:t>Although not pre-specified in the POLARIS-4</w:t>
      </w:r>
      <w:r w:rsidR="00CA18EE">
        <w:t xml:space="preserve"> trial</w:t>
      </w:r>
      <w:r>
        <w:t xml:space="preserve"> statistical analysis plan, an ad hoc evaluation of the superiority of SOF/VEL/VOX treatment for 12 weeks compared with SOF/VEL treatment for 12 weeks was performed in subjects with genotype 1, 2, or 3 HCV </w:t>
      </w:r>
      <w:proofErr w:type="gramStart"/>
      <w:r>
        <w:t>infection</w:t>
      </w:r>
      <w:proofErr w:type="gramEnd"/>
      <w:r>
        <w:t xml:space="preserve"> (no subjects with genotype 4 HCV infection were enrolled into the SOF/VEL treatment group). Treatment with SOF/VEL/VOX for 12 weeks was statistically superior to treatment with SOF/VEL for 12 weeks (p</w:t>
      </w:r>
      <w:r w:rsidR="003925CF">
        <w:t xml:space="preserve"> = </w:t>
      </w:r>
      <w:r w:rsidR="007E0F0B">
        <w:t>0.005).</w:t>
      </w:r>
    </w:p>
    <w:p w:rsidR="003C735A" w:rsidRDefault="003C735A" w:rsidP="003C735A">
      <w:r>
        <w:t xml:space="preserve">Importantly, there was only one subject with virologic failure in the SOF/VEL/VOX group whereas 15 subjects experienced virologic failure in the SOF/VEL group, with these failures distributed across all the genotypes enrolled. POLARIS-4 was not statistically powered to compare the efficacy of SOF/VEL/VOX versus SOF/VEL within genotypes or subgroups. Nevertheless, higher SVR12 rates were observed among subjects receiving SOF/VEL/VOX as compared to SOF/VEL across all genotypes assessed in both groups </w:t>
      </w:r>
      <w:r w:rsidRPr="00416834">
        <w:t>(</w:t>
      </w:r>
      <w:r w:rsidR="00416834" w:rsidRPr="00416834">
        <w:t>Table 50</w:t>
      </w:r>
      <w:r w:rsidRPr="00416834">
        <w:t>).</w:t>
      </w:r>
    </w:p>
    <w:p w:rsidR="003C735A" w:rsidRDefault="00416834" w:rsidP="003C735A">
      <w:pPr>
        <w:pStyle w:val="TableTitle"/>
      </w:pPr>
      <w:r w:rsidRPr="00416834">
        <w:lastRenderedPageBreak/>
        <w:t>Table 50:</w:t>
      </w:r>
      <w:r w:rsidR="003C735A">
        <w:t xml:space="preserve"> </w:t>
      </w:r>
      <w:r w:rsidR="00CA18EE">
        <w:t xml:space="preserve">Study </w:t>
      </w:r>
      <w:r w:rsidR="003C735A">
        <w:t>GS-US-367-1170 (POLARIS-4</w:t>
      </w:r>
      <w:r w:rsidR="00CA18EE">
        <w:t xml:space="preserve"> trial</w:t>
      </w:r>
      <w:r w:rsidR="003C735A">
        <w:t xml:space="preserve">) SVR12 by HCV </w:t>
      </w:r>
      <w:r w:rsidR="00CA18EE">
        <w:t>g</w:t>
      </w:r>
      <w:r w:rsidR="003C735A">
        <w:t>enotype</w:t>
      </w:r>
    </w:p>
    <w:p w:rsidR="003C735A" w:rsidRDefault="003C735A" w:rsidP="003C735A">
      <w:r>
        <w:rPr>
          <w:noProof/>
          <w:lang w:eastAsia="en-AU"/>
        </w:rPr>
        <w:drawing>
          <wp:inline distT="0" distB="0" distL="0" distR="0" wp14:anchorId="74E36984" wp14:editId="5353F46C">
            <wp:extent cx="5400040" cy="1632704"/>
            <wp:effectExtent l="0" t="0" r="0" b="5715"/>
            <wp:docPr id="6" name="Picture 6" descr="Table 50: Study GS-US-367-1170 (POLARIS-4 trial) SVR12 by HCV ge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00040" cy="1632704"/>
                    </a:xfrm>
                    <a:prstGeom prst="rect">
                      <a:avLst/>
                    </a:prstGeom>
                  </pic:spPr>
                </pic:pic>
              </a:graphicData>
            </a:graphic>
          </wp:inline>
        </w:drawing>
      </w:r>
    </w:p>
    <w:p w:rsidR="00476CD0" w:rsidRDefault="003C735A" w:rsidP="003C735A">
      <w:r w:rsidRPr="003C735A">
        <w:t>The contribution of VOX to the efficacy of SOF/VEL/VOX in each HCV genotype is directly demonstrated by the difference in the SVR12 rates and number of s</w:t>
      </w:r>
      <w:r>
        <w:t xml:space="preserve">ubjects with virologic failure </w:t>
      </w:r>
      <w:r w:rsidRPr="003C735A">
        <w:t xml:space="preserve">in the two treatment </w:t>
      </w:r>
      <w:r w:rsidRPr="00416834">
        <w:t xml:space="preserve">groups (Table </w:t>
      </w:r>
      <w:r w:rsidR="00416834" w:rsidRPr="00416834">
        <w:t>50</w:t>
      </w:r>
      <w:r w:rsidRPr="00416834">
        <w:t>).</w:t>
      </w:r>
      <w:r w:rsidRPr="003C735A">
        <w:t xml:space="preserve"> There were greater nume</w:t>
      </w:r>
      <w:r>
        <w:t xml:space="preserve">rical differences in the SVR12 </w:t>
      </w:r>
      <w:r w:rsidRPr="003C735A">
        <w:t>rates between the SOF/VEL/VOX and SOF/VEL groups for t</w:t>
      </w:r>
      <w:r>
        <w:t xml:space="preserve">he HCV genotypes with the most </w:t>
      </w:r>
      <w:r w:rsidRPr="003C735A">
        <w:t>subjects, specifically genotype 1 and genotype 3 where the d</w:t>
      </w:r>
      <w:r>
        <w:t xml:space="preserve">ifferences in SVR12 rates were </w:t>
      </w:r>
      <w:r w:rsidRPr="003C735A">
        <w:t>6.5% and 11.7%, respectively. For subjects with genotype 2 HCV in</w:t>
      </w:r>
      <w:r>
        <w:t xml:space="preserve">fection, no virologic failures </w:t>
      </w:r>
      <w:r w:rsidRPr="003C735A">
        <w:t xml:space="preserve">occurred in the SOF/VEL/VOX 12 Week group, whereas one </w:t>
      </w:r>
      <w:r>
        <w:t xml:space="preserve">subject in the SOF/VEL 12 Week </w:t>
      </w:r>
      <w:r w:rsidRPr="003C735A">
        <w:t>group experienced virolo</w:t>
      </w:r>
      <w:r w:rsidR="00CB37FB">
        <w:t xml:space="preserve">gic breakthrough with treatment </w:t>
      </w:r>
      <w:r w:rsidRPr="003C735A">
        <w:t>emergent resistance with the infrequently seen SOF signature mutation S282T in addition to Y93H</w:t>
      </w:r>
      <w:r w:rsidR="00476CD0">
        <w:t>.</w:t>
      </w:r>
    </w:p>
    <w:p w:rsidR="00476CD0" w:rsidRDefault="003C735A" w:rsidP="00B31BA7">
      <w:r w:rsidRPr="003C735A">
        <w:t xml:space="preserve">Since subjects with genotype 4, 5, or 6 HCV </w:t>
      </w:r>
      <w:proofErr w:type="gramStart"/>
      <w:r w:rsidRPr="003C735A">
        <w:t>infection</w:t>
      </w:r>
      <w:proofErr w:type="gramEnd"/>
      <w:r w:rsidRPr="003C735A">
        <w:t xml:space="preserve"> were</w:t>
      </w:r>
      <w:r w:rsidR="00B31BA7">
        <w:t xml:space="preserve"> not enrolled into the SOF/VEL </w:t>
      </w:r>
      <w:r w:rsidRPr="003C735A">
        <w:t>group of POLARIS-4, the contribution of VOX to the effic</w:t>
      </w:r>
      <w:r w:rsidR="00B31BA7">
        <w:t xml:space="preserve">acy of SOF/VEL/VOX can only be </w:t>
      </w:r>
      <w:r w:rsidRPr="003C735A">
        <w:t xml:space="preserve">indirectly demonstrated for these rarer genotypes. Across the </w:t>
      </w:r>
      <w:r w:rsidR="00476CD0">
        <w:t>Phase III</w:t>
      </w:r>
      <w:r w:rsidRPr="003C735A">
        <w:t xml:space="preserve"> clinical program,</w:t>
      </w:r>
      <w:r w:rsidR="00B31BA7">
        <w:t xml:space="preserve"> </w:t>
      </w:r>
      <w:r w:rsidRPr="003C735A">
        <w:t xml:space="preserve">SOF/VEL/VOX demonstrated </w:t>
      </w:r>
      <w:r w:rsidR="007E0F0B">
        <w:t>pan-genotypic</w:t>
      </w:r>
      <w:r w:rsidRPr="003C735A">
        <w:t xml:space="preserve"> efficacy, in</w:t>
      </w:r>
      <w:r w:rsidR="00B31BA7">
        <w:t xml:space="preserve">cluding genotype 4, 5 or 6. In </w:t>
      </w:r>
      <w:r w:rsidRPr="003C735A">
        <w:t>POLARIS-4, all 19 subjects with genotype 4 HCV infecti</w:t>
      </w:r>
      <w:r w:rsidR="00B31BA7">
        <w:t xml:space="preserve">on enrolled in the SOF/VEL/VOX </w:t>
      </w:r>
      <w:r w:rsidRPr="003C735A">
        <w:t>12 Week group achieved SVR12. In POLARIS-1, treatment</w:t>
      </w:r>
      <w:r w:rsidR="00B31BA7">
        <w:t xml:space="preserve"> with SOF/VEL/VOX for 12 weeks </w:t>
      </w:r>
      <w:r w:rsidRPr="003C735A">
        <w:t>led to high SVR12 rates in subjects enrolled with genotype 5 or 6, with all 7 NS5A inhibitor experienced subjects (one with genotype 5, and six with genotype 6) achieving SVR12. Additionally, in Study GS-US-367-117</w:t>
      </w:r>
      <w:r w:rsidR="00CB37FB">
        <w:t>2 (POLARIS-2</w:t>
      </w:r>
      <w:r w:rsidR="00CA18EE">
        <w:t xml:space="preserve"> trial</w:t>
      </w:r>
      <w:r w:rsidR="00CB37FB">
        <w:t xml:space="preserve">), 97.9% of the DAA </w:t>
      </w:r>
      <w:r w:rsidRPr="003C735A">
        <w:t>naïve subjects with genotype 5 or 6 (17 of 18 subjects with genotype 5, and 30 of 30 subjects with geno</w:t>
      </w:r>
      <w:r w:rsidR="00B31BA7">
        <w:t xml:space="preserve">type 6) treated with 8 weeks of SOF/VEL/VOX achieved SVR12. Thus, for genotype 5 or 6 </w:t>
      </w:r>
      <w:r w:rsidR="00CE0E69">
        <w:t>DAA experienced</w:t>
      </w:r>
      <w:r w:rsidR="00B31BA7">
        <w:t xml:space="preserve"> subjects who have not received an NS5A inhibitor, it is reasonable to assume that SOF/VEL/VOX would result in SVR12 rates within the range of those observed in subjects with genotype 1, 2, 3, or 4 in POLARIS-4 (</w:t>
      </w:r>
      <w:r w:rsidR="00234AF1">
        <w:t>that is</w:t>
      </w:r>
      <w:r w:rsidR="00CB37FB">
        <w:t xml:space="preserve">, 96 to </w:t>
      </w:r>
      <w:r w:rsidR="00B31BA7">
        <w:t>100%)</w:t>
      </w:r>
      <w:r w:rsidR="00476CD0">
        <w:t>.</w:t>
      </w:r>
    </w:p>
    <w:p w:rsidR="00476CD0" w:rsidRDefault="00B31BA7" w:rsidP="00B31BA7">
      <w:r>
        <w:t xml:space="preserve">Data from the ASTRAL </w:t>
      </w:r>
      <w:r w:rsidR="00CA18EE">
        <w:t xml:space="preserve">trial </w:t>
      </w:r>
      <w:r>
        <w:t>(</w:t>
      </w:r>
      <w:r w:rsidR="00476CD0">
        <w:t>Epclusa</w:t>
      </w:r>
      <w:r>
        <w:t xml:space="preserve"> Submission No: PM-2015-03984-1-2) and POLARIS </w:t>
      </w:r>
      <w:r w:rsidR="00CB37FB">
        <w:t>Phase </w:t>
      </w:r>
      <w:r w:rsidR="00476CD0">
        <w:t>III</w:t>
      </w:r>
      <w:r>
        <w:t xml:space="preserve"> programs support the </w:t>
      </w:r>
      <w:r w:rsidR="007E0F0B">
        <w:t>pan-genotypic</w:t>
      </w:r>
      <w:r>
        <w:t xml:space="preserve"> efficacy of SOF/VEL. As such, the predicted efficacy of SOF/VEL in subjects with genotypes 4, 5 or 6 HCV infection may be estimated based on the assumption that SOF/VEL would be no more efficacious in these genot</w:t>
      </w:r>
      <w:r w:rsidR="00CB37FB">
        <w:t xml:space="preserve">ypes than in the more difficult to </w:t>
      </w:r>
      <w:r>
        <w:t>cure subjects with genotypes 1, 2 or 3 that were enrolled in POLARIS-4 (</w:t>
      </w:r>
      <w:r w:rsidR="00234AF1">
        <w:t>that is</w:t>
      </w:r>
      <w:r w:rsidR="00CB37FB">
        <w:t xml:space="preserve">, 85 to </w:t>
      </w:r>
      <w:r>
        <w:t xml:space="preserve">97%). Taken together, SOF/VEL/VOX is anticipated to provide an improvement in efficacy over SOF/VEL for patients with genotype 4, 5, or 6 HCV infection with SVR12 rates ranging from </w:t>
      </w:r>
      <w:r w:rsidR="00CB37FB">
        <w:t xml:space="preserve">that observed in genotype 2 HCV </w:t>
      </w:r>
      <w:r>
        <w:t>infected subjects to that observed in genotype 1 or 3 HCV-infected subjects</w:t>
      </w:r>
      <w:r w:rsidR="00476CD0">
        <w:t>.</w:t>
      </w:r>
    </w:p>
    <w:p w:rsidR="003C735A" w:rsidRDefault="00B31BA7" w:rsidP="00B31BA7">
      <w:r>
        <w:t xml:space="preserve">Restriction of the indication to </w:t>
      </w:r>
      <w:r w:rsidR="00CE0E69">
        <w:t>DAA experienced</w:t>
      </w:r>
      <w:r>
        <w:t xml:space="preserve"> subjects who have not received an NS5A inhibitor to only those with genotype 1a or genotype 3 HCV </w:t>
      </w:r>
      <w:proofErr w:type="gramStart"/>
      <w:r>
        <w:t>infection</w:t>
      </w:r>
      <w:proofErr w:type="gramEnd"/>
      <w:r>
        <w:t xml:space="preserve"> as is in the US PI leaves those with genotypes 1b, 2, 4, 5 and 6 without a treatment option. Further, the language in the US PI may lead to confusion and errors in use of the drug in Australia given the unique prescribing environment. Unlike the US, the new DAAs have a very wide prescriber base in Australia which includes general practitioners. The proposed indication is simple, inclusive and does not include the potentially confusing statement regarding the lack of additional benefit of SOF/VEL/VOX over SOF/VEL in specific genotypes.</w:t>
      </w:r>
    </w:p>
    <w:p w:rsidR="00476CD0" w:rsidRDefault="00B31BA7" w:rsidP="00B31BA7">
      <w:r>
        <w:lastRenderedPageBreak/>
        <w:t xml:space="preserve">In summary, SOF/VEL/VOX is a </w:t>
      </w:r>
      <w:r w:rsidR="00D43BF2">
        <w:t>fixed dose</w:t>
      </w:r>
      <w:r>
        <w:t xml:space="preserve"> combination developed as a treatment for chronic HCV, specifically as a </w:t>
      </w:r>
      <w:r w:rsidR="007E0F0B">
        <w:t>pan-genotypic</w:t>
      </w:r>
      <w:r>
        <w:t xml:space="preserve"> salvage regimen for </w:t>
      </w:r>
      <w:r w:rsidR="00CE0E69">
        <w:t>DAA experienced</w:t>
      </w:r>
      <w:r>
        <w:t xml:space="preserve"> patients. The POLARIS-1 and POLARIS-4 </w:t>
      </w:r>
      <w:r w:rsidR="00476CD0">
        <w:t>Phase III</w:t>
      </w:r>
      <w:r>
        <w:t xml:space="preserve"> registrational studies support the proposed use of SOF/VEL/VOX in </w:t>
      </w:r>
      <w:r w:rsidR="00CE0E69">
        <w:t>DAA experienced</w:t>
      </w:r>
      <w:r>
        <w:t xml:space="preserve"> patients, irrespective of genotype, and establish </w:t>
      </w:r>
      <w:r w:rsidR="00CB37FB">
        <w:t xml:space="preserve">the clinical value of the three </w:t>
      </w:r>
      <w:r>
        <w:t>drug combination regimen. The proposed wording in the PI is consistent with the simplification of treatment in Australia where access to HCV therapy has been maximized in order to achieve the WHO of goal of HCV elimination</w:t>
      </w:r>
      <w:r w:rsidR="00476CD0">
        <w:t>.</w:t>
      </w:r>
    </w:p>
    <w:p w:rsidR="00476CD0" w:rsidRPr="00A95AB7" w:rsidRDefault="00B31BA7" w:rsidP="00B31BA7">
      <w:pPr>
        <w:pStyle w:val="Numberbullet0"/>
        <w:rPr>
          <w:i/>
        </w:rPr>
      </w:pPr>
      <w:r w:rsidRPr="00A95AB7">
        <w:rPr>
          <w:i/>
        </w:rPr>
        <w:t xml:space="preserve">Related to point 2, please comment on the data for 8 weeks of therapy with </w:t>
      </w:r>
      <w:r w:rsidR="00476CD0" w:rsidRPr="00A95AB7">
        <w:rPr>
          <w:i/>
        </w:rPr>
        <w:t>Vosevi</w:t>
      </w:r>
      <w:r w:rsidRPr="00A95AB7">
        <w:rPr>
          <w:i/>
        </w:rPr>
        <w:t xml:space="preserve"> for certain patient groups</w:t>
      </w:r>
      <w:r w:rsidR="00CA18EE">
        <w:rPr>
          <w:i/>
        </w:rPr>
        <w:t>;</w:t>
      </w:r>
      <w:r w:rsidRPr="00A95AB7">
        <w:rPr>
          <w:i/>
        </w:rPr>
        <w:t xml:space="preserve"> </w:t>
      </w:r>
      <w:r w:rsidR="00CA18EE">
        <w:rPr>
          <w:i/>
        </w:rPr>
        <w:t xml:space="preserve">for </w:t>
      </w:r>
      <w:proofErr w:type="gramStart"/>
      <w:r w:rsidR="00CA18EE">
        <w:rPr>
          <w:i/>
        </w:rPr>
        <w:t xml:space="preserve">example </w:t>
      </w:r>
      <w:r w:rsidR="00CA18EE" w:rsidRPr="00A95AB7">
        <w:rPr>
          <w:i/>
        </w:rPr>
        <w:t xml:space="preserve"> </w:t>
      </w:r>
      <w:r w:rsidRPr="00A95AB7">
        <w:rPr>
          <w:i/>
        </w:rPr>
        <w:t>GT3</w:t>
      </w:r>
      <w:proofErr w:type="gramEnd"/>
      <w:r w:rsidRPr="00A95AB7">
        <w:rPr>
          <w:i/>
        </w:rPr>
        <w:t xml:space="preserve"> with cirrhosis and those who are DAA naïve, in light of the EU approval and the prevalence of GT3 in Australia</w:t>
      </w:r>
      <w:r w:rsidR="00476CD0" w:rsidRPr="00A95AB7">
        <w:rPr>
          <w:i/>
        </w:rPr>
        <w:t>.</w:t>
      </w:r>
    </w:p>
    <w:p w:rsidR="003C735A" w:rsidRDefault="00CA18EE" w:rsidP="00B31BA7">
      <w:r>
        <w:t xml:space="preserve">The sponsor </w:t>
      </w:r>
      <w:r w:rsidR="00B31BA7">
        <w:t xml:space="preserve">believes that SOF/VEL/VOX for 12 weeks </w:t>
      </w:r>
      <w:r w:rsidR="00CB37FB">
        <w:t>fulfils</w:t>
      </w:r>
      <w:r w:rsidR="00B31BA7">
        <w:t xml:space="preserve"> the remaining, substantial unmet medical need in Australia for </w:t>
      </w:r>
      <w:r w:rsidR="00CE0E69">
        <w:t>DAA experienced</w:t>
      </w:r>
      <w:r w:rsidR="00B31BA7">
        <w:t xml:space="preserve"> patients by providing a highly efficacious and safe </w:t>
      </w:r>
      <w:r w:rsidR="007E0F0B">
        <w:t>pan-genotypic</w:t>
      </w:r>
      <w:r w:rsidR="00B31BA7">
        <w:t xml:space="preserve"> salvage therapy. This is reflected clearly in the proposed indication and dosage and administration. </w:t>
      </w:r>
      <w:r>
        <w:t xml:space="preserve">The sponsor </w:t>
      </w:r>
      <w:r w:rsidR="00B31BA7">
        <w:t>does not recommend inclusion of an indication or dosing recommendation</w:t>
      </w:r>
      <w:r w:rsidR="00CB37FB">
        <w:t xml:space="preserve"> for 8 weeks of therapy for DAA </w:t>
      </w:r>
      <w:r w:rsidR="00B31BA7">
        <w:t>naïve patients with genotype 3 and cirrhosis which may introduce confusion for prescribers.</w:t>
      </w:r>
    </w:p>
    <w:p w:rsidR="00B31BA7" w:rsidRDefault="00B31BA7" w:rsidP="00B31BA7">
      <w:pPr>
        <w:pStyle w:val="Heading5"/>
      </w:pPr>
      <w:r>
        <w:t xml:space="preserve">Issues for the </w:t>
      </w:r>
      <w:r w:rsidR="000D5C0A">
        <w:t>sponsor</w:t>
      </w:r>
    </w:p>
    <w:p w:rsidR="00476CD0" w:rsidRDefault="00B31BA7" w:rsidP="00B31BA7">
      <w:r>
        <w:t xml:space="preserve">The Delegate’s comments presented in italics, and are followed by </w:t>
      </w:r>
      <w:r w:rsidR="00CA18EE">
        <w:t xml:space="preserve">the sponsor’s </w:t>
      </w:r>
      <w:r>
        <w:t>response</w:t>
      </w:r>
      <w:r w:rsidR="00476CD0">
        <w:t>.</w:t>
      </w:r>
    </w:p>
    <w:p w:rsidR="00B31BA7" w:rsidRPr="00A95AB7" w:rsidRDefault="00B31BA7" w:rsidP="00E650A8">
      <w:pPr>
        <w:pStyle w:val="Numberbullet0"/>
        <w:numPr>
          <w:ilvl w:val="0"/>
          <w:numId w:val="9"/>
        </w:numPr>
        <w:rPr>
          <w:i/>
        </w:rPr>
      </w:pPr>
      <w:r w:rsidRPr="00A95AB7">
        <w:rPr>
          <w:i/>
        </w:rPr>
        <w:t xml:space="preserve">In regards to the POLARIS-1 </w:t>
      </w:r>
      <w:r w:rsidR="00CA18EE" w:rsidRPr="00A95AB7">
        <w:rPr>
          <w:i/>
        </w:rPr>
        <w:t>trial</w:t>
      </w:r>
      <w:r w:rsidRPr="00A95AB7">
        <w:rPr>
          <w:i/>
        </w:rPr>
        <w:t>, please explain why three patients with GT4 who had previously been treated with SOF, VEL and VOX were included in this</w:t>
      </w:r>
      <w:r w:rsidR="00CB37FB" w:rsidRPr="00A95AB7">
        <w:rPr>
          <w:i/>
        </w:rPr>
        <w:t xml:space="preserve"> study. (Table </w:t>
      </w:r>
      <w:r w:rsidR="00416834" w:rsidRPr="00A95AB7">
        <w:rPr>
          <w:i/>
        </w:rPr>
        <w:t>35</w:t>
      </w:r>
      <w:r w:rsidR="00CB37FB" w:rsidRPr="00A95AB7">
        <w:rPr>
          <w:i/>
        </w:rPr>
        <w:t>)</w:t>
      </w:r>
    </w:p>
    <w:p w:rsidR="003C735A" w:rsidRDefault="00B31BA7" w:rsidP="00B31BA7">
      <w:r>
        <w:t>Study GS-US-367-1171 (POLARIS-1</w:t>
      </w:r>
      <w:r w:rsidR="00CA18EE">
        <w:t xml:space="preserve"> trial</w:t>
      </w:r>
      <w:r>
        <w:t>) required that subjects have prior treatment with a DAA regimen containing an NS5A inhibitor, without specific criteria for the components of the regimen.</w:t>
      </w:r>
    </w:p>
    <w:p w:rsidR="00476CD0" w:rsidRDefault="00B31BA7" w:rsidP="00B31BA7">
      <w:r>
        <w:t xml:space="preserve">As such, subjects who had received SOF/VEL </w:t>
      </w:r>
      <w:r w:rsidR="00CB37FB">
        <w:t>+</w:t>
      </w:r>
      <w:r>
        <w:t xml:space="preserve"> VOX in </w:t>
      </w:r>
      <w:r w:rsidR="00476CD0">
        <w:t>Phase II</w:t>
      </w:r>
      <w:r>
        <w:t xml:space="preserve"> trials were eligible to participate in POLARIS-1. Overall, nine patients previously treated with SOF/VEL</w:t>
      </w:r>
      <w:r w:rsidR="00CB37FB">
        <w:t xml:space="preserve"> + </w:t>
      </w:r>
      <w:r>
        <w:t>VOX were enrolled to receive SOF/VEL/VOX for 12 weeks in GS-US-367-1171 (three of whom had genotype 4 infection and are included in the referenced table), all of whom achieved SVR12</w:t>
      </w:r>
      <w:r w:rsidR="00476CD0">
        <w:t>.</w:t>
      </w:r>
    </w:p>
    <w:p w:rsidR="00B31BA7" w:rsidRPr="00A95AB7" w:rsidRDefault="00B31BA7" w:rsidP="00B31BA7">
      <w:pPr>
        <w:pStyle w:val="Numberbullet0"/>
        <w:rPr>
          <w:i/>
        </w:rPr>
      </w:pPr>
      <w:r w:rsidRPr="00A95AB7">
        <w:rPr>
          <w:i/>
        </w:rPr>
        <w:t xml:space="preserve">The results of the POLARIS-2 and 3 </w:t>
      </w:r>
      <w:r w:rsidR="00CA18EE" w:rsidRPr="00A95AB7">
        <w:rPr>
          <w:i/>
        </w:rPr>
        <w:t xml:space="preserve">trials </w:t>
      </w:r>
      <w:r w:rsidRPr="00A95AB7">
        <w:rPr>
          <w:i/>
        </w:rPr>
        <w:t xml:space="preserve">and the </w:t>
      </w:r>
      <w:r w:rsidR="00476CD0" w:rsidRPr="00A95AB7">
        <w:rPr>
          <w:i/>
        </w:rPr>
        <w:t>Phase II</w:t>
      </w:r>
      <w:r w:rsidRPr="00A95AB7">
        <w:rPr>
          <w:i/>
        </w:rPr>
        <w:t xml:space="preserve"> studies have not been included in the FDA PI, Canadian Product Monograph or FDA Medical and Summary reviews. These studies formed part of the safety database only. Please comment on the reasoning for this.</w:t>
      </w:r>
    </w:p>
    <w:p w:rsidR="003C735A" w:rsidRDefault="00B31BA7" w:rsidP="00B31BA7">
      <w:r>
        <w:t xml:space="preserve">The same data from the </w:t>
      </w:r>
      <w:r w:rsidR="00476CD0">
        <w:t>Phase III</w:t>
      </w:r>
      <w:r>
        <w:t xml:space="preserve"> registrational studies</w:t>
      </w:r>
      <w:r w:rsidR="00507436">
        <w:t xml:space="preserve"> (POLARIS-1, POLARIS-2, POLARIS</w:t>
      </w:r>
      <w:r w:rsidR="00507436">
        <w:noBreakHyphen/>
      </w:r>
      <w:r>
        <w:t>3 and POLARIS-4</w:t>
      </w:r>
      <w:r w:rsidR="00CA18EE">
        <w:t xml:space="preserve"> trials</w:t>
      </w:r>
      <w:r>
        <w:t xml:space="preserve">) were submitted in all the original marketing applications as they are supportive of the safety and the efficacy of the regimen across patient populations. The review of the efficacy data for SOF/VEL/VOX in both the US and Canada focused on the results from the </w:t>
      </w:r>
      <w:r w:rsidR="00476CD0">
        <w:t>Phase III</w:t>
      </w:r>
      <w:r>
        <w:t xml:space="preserve"> registrational studies conducted with </w:t>
      </w:r>
      <w:r w:rsidR="00CE0E69">
        <w:t>DAA experienced</w:t>
      </w:r>
      <w:r>
        <w:t xml:space="preserve"> subjects, POLARIS-1 and POLARIS-4, consistent with the population included in the indication statements for the regions.</w:t>
      </w:r>
    </w:p>
    <w:p w:rsidR="00B31BA7" w:rsidRPr="00B31BA7" w:rsidRDefault="00B31BA7" w:rsidP="00B31BA7">
      <w:pPr>
        <w:pStyle w:val="Heading5"/>
      </w:pPr>
      <w:r>
        <w:t>Conclusion</w:t>
      </w:r>
    </w:p>
    <w:p w:rsidR="003C735A" w:rsidRPr="00B31BA7" w:rsidRDefault="00B31BA7" w:rsidP="00B31BA7">
      <w:r w:rsidRPr="00B31BA7">
        <w:t xml:space="preserve">The data from the POLARIS program demonstrate that all patients with DAA experience, with or without compensated cirrhosis and regardless of HCV genotype, would derive clinical benefit from treatment with SOF/VEL/VOX for 12 weeks. The proposed Australian PI for </w:t>
      </w:r>
      <w:r w:rsidR="00476CD0">
        <w:t>Vosevi</w:t>
      </w:r>
      <w:r w:rsidRPr="00B31BA7">
        <w:t xml:space="preserve"> addresses the substantial unmet medical need for this patient population without other treatment options and is supported by the safety and efficacy data from the registrational </w:t>
      </w:r>
      <w:r w:rsidR="00476CD0">
        <w:t>Phase III</w:t>
      </w:r>
      <w:r w:rsidRPr="00B31BA7">
        <w:t xml:space="preserve"> studies. The simplicity of the label appropriately provides the opportunity for all patients to be cured of HCV in Australia consistent with the national commitment to elimination. The </w:t>
      </w:r>
      <w:r w:rsidR="00CA18EE">
        <w:t>sponsor</w:t>
      </w:r>
      <w:r w:rsidR="00CA18EE" w:rsidRPr="00B31BA7">
        <w:t xml:space="preserve"> </w:t>
      </w:r>
      <w:r w:rsidRPr="00B31BA7">
        <w:t xml:space="preserve">agrees to align with the US PI in other sections as </w:t>
      </w:r>
      <w:r w:rsidRPr="00B31BA7">
        <w:lastRenderedPageBreak/>
        <w:t>requested by the Delegate, including contraindications, drug-drug interactions and presentation of safety.</w:t>
      </w:r>
    </w:p>
    <w:p w:rsidR="003C735A" w:rsidRDefault="00B31BA7" w:rsidP="003C735A">
      <w:r>
        <w:t>The sponsor also provided an updated PI and CMI with the response.</w:t>
      </w:r>
    </w:p>
    <w:p w:rsidR="008E7846" w:rsidRDefault="008E7846" w:rsidP="008E7846">
      <w:pPr>
        <w:pStyle w:val="Heading4"/>
      </w:pPr>
      <w:r>
        <w:t>Advisory Committee Considerations</w:t>
      </w:r>
      <w:r w:rsidR="00456765">
        <w:rPr>
          <w:rStyle w:val="FootnoteReference"/>
        </w:rPr>
        <w:footnoteReference w:id="72"/>
      </w:r>
    </w:p>
    <w:p w:rsidR="00192D15" w:rsidRPr="00192D15" w:rsidRDefault="00456765" w:rsidP="00192D15">
      <w:pPr>
        <w:rPr>
          <w:bCs/>
        </w:rPr>
      </w:pPr>
      <w:r w:rsidRPr="00456765">
        <w:rPr>
          <w:bCs/>
        </w:rPr>
        <w:t>The Advisory Committee on Medicines (ACM), having considered the evaluations and the Delegate’s overview, as well as the sponsor’s response to these documents, advised the following:</w:t>
      </w:r>
    </w:p>
    <w:p w:rsidR="00192D15" w:rsidRPr="00192D15" w:rsidRDefault="00192D15" w:rsidP="00192D15">
      <w:r w:rsidRPr="00192D15">
        <w:t xml:space="preserve">The ACM taking into account the submitted evidence of efficacy, safety and quality, agreed with the </w:t>
      </w:r>
      <w:r w:rsidR="002179DA">
        <w:t>Delegate</w:t>
      </w:r>
      <w:r w:rsidRPr="00192D15">
        <w:t xml:space="preserve"> and considered </w:t>
      </w:r>
      <w:r w:rsidR="00476CD0">
        <w:t>Vosevi</w:t>
      </w:r>
      <w:r w:rsidRPr="00192D15">
        <w:t xml:space="preserve"> tablet containing; </w:t>
      </w:r>
      <w:r w:rsidR="00F45B1B">
        <w:t>sofosbuvir</w:t>
      </w:r>
      <w:r w:rsidRPr="00192D15">
        <w:t xml:space="preserve"> </w:t>
      </w:r>
      <w:r w:rsidR="00CB37FB" w:rsidRPr="00192D15">
        <w:t>400</w:t>
      </w:r>
      <w:r w:rsidR="00CB37FB">
        <w:t xml:space="preserve"> mg</w:t>
      </w:r>
      <w:r w:rsidRPr="00192D15">
        <w:t xml:space="preserve">/ </w:t>
      </w:r>
      <w:r w:rsidR="00476CD0">
        <w:t>velpatasvir</w:t>
      </w:r>
      <w:r w:rsidR="00CB37FB">
        <w:t> </w:t>
      </w:r>
      <w:r w:rsidR="00CB37FB" w:rsidRPr="00192D15">
        <w:t>100</w:t>
      </w:r>
      <w:r w:rsidR="00CB37FB">
        <w:t xml:space="preserve"> mg</w:t>
      </w:r>
      <w:r w:rsidRPr="00192D15">
        <w:t xml:space="preserve">/ </w:t>
      </w:r>
      <w:r w:rsidR="00476CD0">
        <w:t>voxilaprevir</w:t>
      </w:r>
      <w:r w:rsidR="00CB37FB">
        <w:t xml:space="preserve"> </w:t>
      </w:r>
      <w:r w:rsidR="00CB37FB" w:rsidRPr="00192D15">
        <w:t>100</w:t>
      </w:r>
      <w:r w:rsidR="00CB37FB">
        <w:t xml:space="preserve"> mg</w:t>
      </w:r>
      <w:r w:rsidRPr="00192D15">
        <w:t xml:space="preserve"> to have an overall positiv</w:t>
      </w:r>
      <w:r w:rsidR="00CB37FB">
        <w:t>e benefit-risk profile for the D</w:t>
      </w:r>
      <w:r w:rsidR="002179DA">
        <w:t>elegate’s amended indication</w:t>
      </w:r>
      <w:r w:rsidR="00763395">
        <w:t>:</w:t>
      </w:r>
    </w:p>
    <w:p w:rsidR="00192D15" w:rsidRPr="00192D15" w:rsidRDefault="00476CD0" w:rsidP="00192D15">
      <w:pPr>
        <w:ind w:left="720"/>
        <w:rPr>
          <w:i/>
        </w:rPr>
      </w:pPr>
      <w:r>
        <w:rPr>
          <w:i/>
        </w:rPr>
        <w:t>Vosevi</w:t>
      </w:r>
      <w:r w:rsidR="00192D15" w:rsidRPr="00192D15">
        <w:rPr>
          <w:i/>
        </w:rPr>
        <w:t xml:space="preserve"> (sofosbuvir/velpatasvir/voxilaprevir) is indicated for the treatment of chronic hepatitis C virus (HCV) infection in adult patients, without cirrhosis or with compensated cirrhosis, who have:</w:t>
      </w:r>
    </w:p>
    <w:p w:rsidR="00192D15" w:rsidRPr="00CB37FB" w:rsidRDefault="00192D15" w:rsidP="00CB37FB">
      <w:pPr>
        <w:pStyle w:val="ListBullet"/>
        <w:ind w:left="1208" w:hanging="357"/>
        <w:rPr>
          <w:i/>
        </w:rPr>
      </w:pPr>
      <w:r w:rsidRPr="00CB37FB">
        <w:rPr>
          <w:i/>
        </w:rPr>
        <w:t xml:space="preserve">genotype 1, 2, 3, 4, 5, or 6 infection and have previously been treated with an HCV regimen containing an NS5A inhibitor; </w:t>
      </w:r>
    </w:p>
    <w:p w:rsidR="00476CD0" w:rsidRPr="00CB37FB" w:rsidRDefault="00192D15" w:rsidP="00CB37FB">
      <w:pPr>
        <w:pStyle w:val="ListBullet"/>
        <w:ind w:left="1208" w:hanging="357"/>
        <w:rPr>
          <w:i/>
        </w:rPr>
      </w:pPr>
      <w:proofErr w:type="gramStart"/>
      <w:r w:rsidRPr="00CB37FB">
        <w:rPr>
          <w:i/>
        </w:rPr>
        <w:t>genotype</w:t>
      </w:r>
      <w:proofErr w:type="gramEnd"/>
      <w:r w:rsidRPr="00CB37FB">
        <w:rPr>
          <w:i/>
        </w:rPr>
        <w:t xml:space="preserve"> 1a or 3 infection and have previously been treated with an HCV regimen containing sofosbuvir without an NS5A inhibitor</w:t>
      </w:r>
      <w:r w:rsidR="00476CD0" w:rsidRPr="00CB37FB">
        <w:rPr>
          <w:i/>
        </w:rPr>
        <w:t>.</w:t>
      </w:r>
    </w:p>
    <w:p w:rsidR="00192D15" w:rsidRPr="00192D15" w:rsidRDefault="00192D15" w:rsidP="00192D15">
      <w:pPr>
        <w:ind w:left="720"/>
        <w:rPr>
          <w:i/>
        </w:rPr>
      </w:pPr>
      <w:r w:rsidRPr="00192D15">
        <w:rPr>
          <w:rFonts w:eastAsiaTheme="minorHAnsi" w:cs="Cambria"/>
          <w:i/>
          <w:color w:val="000000"/>
        </w:rPr>
        <w:t xml:space="preserve">Additional benefit of </w:t>
      </w:r>
      <w:r w:rsidR="00476CD0">
        <w:rPr>
          <w:rFonts w:eastAsiaTheme="minorHAnsi" w:cs="Cambria"/>
          <w:i/>
          <w:color w:val="000000"/>
        </w:rPr>
        <w:t>Vosevi</w:t>
      </w:r>
      <w:r w:rsidRPr="00192D15">
        <w:rPr>
          <w:rFonts w:eastAsiaTheme="minorHAnsi" w:cs="Cambria"/>
          <w:i/>
          <w:color w:val="000000"/>
        </w:rPr>
        <w:t xml:space="preserve"> over sofosbuvir/velpatasvir was not shown in adults with genotype 1b, 2, 4, 5, or 6 </w:t>
      </w:r>
      <w:proofErr w:type="gramStart"/>
      <w:r w:rsidRPr="00192D15">
        <w:rPr>
          <w:rFonts w:eastAsiaTheme="minorHAnsi" w:cs="Cambria"/>
          <w:i/>
          <w:color w:val="000000"/>
        </w:rPr>
        <w:t>infection</w:t>
      </w:r>
      <w:proofErr w:type="gramEnd"/>
      <w:r w:rsidRPr="00192D15">
        <w:rPr>
          <w:rFonts w:eastAsiaTheme="minorHAnsi" w:cs="Cambria"/>
          <w:i/>
          <w:color w:val="000000"/>
        </w:rPr>
        <w:t xml:space="preserve"> previously treated with sofosb</w:t>
      </w:r>
      <w:r w:rsidR="00CB37FB">
        <w:rPr>
          <w:rFonts w:eastAsiaTheme="minorHAnsi" w:cs="Cambria"/>
          <w:i/>
          <w:color w:val="000000"/>
        </w:rPr>
        <w:t>uvir without an NS5A inhibitor.</w:t>
      </w:r>
    </w:p>
    <w:p w:rsidR="00192D15" w:rsidRPr="00192D15" w:rsidRDefault="00192D15" w:rsidP="00192D15">
      <w:r w:rsidRPr="00192D15">
        <w:t>In making this recommendatio</w:t>
      </w:r>
      <w:r w:rsidR="00CB37FB">
        <w:t>n the ACM was of the view that:</w:t>
      </w:r>
    </w:p>
    <w:p w:rsidR="00476CD0" w:rsidRDefault="00192D15" w:rsidP="00192D15">
      <w:pPr>
        <w:pStyle w:val="ListBullet"/>
      </w:pPr>
      <w:proofErr w:type="gramStart"/>
      <w:r w:rsidRPr="00192D15">
        <w:t>in</w:t>
      </w:r>
      <w:proofErr w:type="gramEnd"/>
      <w:r w:rsidRPr="00192D15">
        <w:t xml:space="preserve"> patients who were previously treated with a HCV regimen containing sofosbuvir without an NS5A inhibitor, </w:t>
      </w:r>
      <w:r w:rsidR="00476CD0">
        <w:t>Vosevi</w:t>
      </w:r>
      <w:r w:rsidRPr="00192D15">
        <w:t xml:space="preserve"> showed a benefit over </w:t>
      </w:r>
      <w:r w:rsidR="00476CD0">
        <w:t>Epclusa</w:t>
      </w:r>
      <w:r w:rsidRPr="00192D15">
        <w:t xml:space="preserve"> for genotypes 1a and 3. </w:t>
      </w:r>
      <w:r w:rsidR="00476CD0">
        <w:t>Vosevi</w:t>
      </w:r>
      <w:r w:rsidRPr="00192D15">
        <w:t xml:space="preserve"> may provide an option </w:t>
      </w:r>
      <w:r w:rsidR="00CB37FB">
        <w:t>for genotypes 1b, 2, 4, 5, or 6;</w:t>
      </w:r>
      <w:r w:rsidRPr="00192D15">
        <w:t xml:space="preserve"> however the published clinical studies do not support this over the available data for </w:t>
      </w:r>
      <w:r w:rsidR="00476CD0">
        <w:t>Epclusa</w:t>
      </w:r>
      <w:r w:rsidRPr="00192D15">
        <w:t xml:space="preserve">, which appeared to be </w:t>
      </w:r>
      <w:r>
        <w:t>effective for these genotypes</w:t>
      </w:r>
      <w:r w:rsidR="00476CD0">
        <w:t>.</w:t>
      </w:r>
    </w:p>
    <w:p w:rsidR="00476CD0" w:rsidRDefault="00192D15" w:rsidP="00192D15">
      <w:pPr>
        <w:pStyle w:val="ListBullet"/>
        <w:rPr>
          <w:rFonts w:eastAsiaTheme="minorHAnsi" w:cs="Cambria"/>
          <w:color w:val="000000"/>
        </w:rPr>
      </w:pPr>
      <w:r w:rsidRPr="00192D15">
        <w:rPr>
          <w:rFonts w:eastAsiaTheme="minorHAnsi" w:cs="Cambria"/>
          <w:color w:val="000000"/>
        </w:rPr>
        <w:t xml:space="preserve">POLARIS </w:t>
      </w:r>
      <w:r w:rsidR="00763395">
        <w:rPr>
          <w:rFonts w:eastAsiaTheme="minorHAnsi" w:cs="Cambria"/>
          <w:color w:val="000000"/>
        </w:rPr>
        <w:t>trials</w:t>
      </w:r>
      <w:r w:rsidR="00763395" w:rsidRPr="00192D15">
        <w:rPr>
          <w:rFonts w:eastAsiaTheme="minorHAnsi" w:cs="Cambria"/>
          <w:color w:val="000000"/>
        </w:rPr>
        <w:t xml:space="preserve"> </w:t>
      </w:r>
      <w:r w:rsidRPr="00192D15">
        <w:rPr>
          <w:rFonts w:eastAsiaTheme="minorHAnsi" w:cs="Cambria"/>
          <w:color w:val="000000"/>
        </w:rPr>
        <w:t>2 and 3 did not add to the data set in treatment experienced patients, and the FDA did not include these st</w:t>
      </w:r>
      <w:r w:rsidR="002179DA">
        <w:rPr>
          <w:rFonts w:eastAsiaTheme="minorHAnsi" w:cs="Cambria"/>
          <w:color w:val="000000"/>
        </w:rPr>
        <w:t>udies. The results from</w:t>
      </w:r>
      <w:r w:rsidR="00763395">
        <w:rPr>
          <w:rFonts w:eastAsiaTheme="minorHAnsi" w:cs="Cambria"/>
          <w:color w:val="000000"/>
        </w:rPr>
        <w:t xml:space="preserve"> the</w:t>
      </w:r>
      <w:r w:rsidR="002179DA">
        <w:rPr>
          <w:rFonts w:eastAsiaTheme="minorHAnsi" w:cs="Cambria"/>
          <w:color w:val="000000"/>
        </w:rPr>
        <w:t xml:space="preserve"> POLARIS-</w:t>
      </w:r>
      <w:r w:rsidRPr="00192D15">
        <w:rPr>
          <w:rFonts w:eastAsiaTheme="minorHAnsi" w:cs="Cambria"/>
          <w:color w:val="000000"/>
        </w:rPr>
        <w:t xml:space="preserve">2 </w:t>
      </w:r>
      <w:r w:rsidR="00763395">
        <w:rPr>
          <w:rFonts w:eastAsiaTheme="minorHAnsi" w:cs="Cambria"/>
          <w:color w:val="000000"/>
        </w:rPr>
        <w:t xml:space="preserve">trial </w:t>
      </w:r>
      <w:r w:rsidRPr="00192D15">
        <w:rPr>
          <w:rFonts w:eastAsiaTheme="minorHAnsi" w:cs="Cambria"/>
          <w:color w:val="000000"/>
        </w:rPr>
        <w:t xml:space="preserve">pointed to a higher risk of relapse with an 8 week duration of therapy, particularly for genotype 1a. The 12 week duration of therapy may increase response rate in complicated patients with cirrhosis (and/or relapse), and was preferred. The decision to use </w:t>
      </w:r>
      <w:r w:rsidR="00476CD0">
        <w:rPr>
          <w:rFonts w:eastAsiaTheme="minorHAnsi" w:cs="Cambria"/>
          <w:color w:val="000000"/>
        </w:rPr>
        <w:t>Vosevi</w:t>
      </w:r>
      <w:r w:rsidR="00CB37FB">
        <w:rPr>
          <w:rFonts w:eastAsiaTheme="minorHAnsi" w:cs="Cambria"/>
          <w:color w:val="000000"/>
        </w:rPr>
        <w:t xml:space="preserve"> for 8 </w:t>
      </w:r>
      <w:r w:rsidRPr="00192D15">
        <w:rPr>
          <w:rFonts w:eastAsiaTheme="minorHAnsi" w:cs="Cambria"/>
          <w:color w:val="000000"/>
        </w:rPr>
        <w:t>weeks is best determined by the treating specialist</w:t>
      </w:r>
      <w:r w:rsidR="00476CD0">
        <w:rPr>
          <w:rFonts w:eastAsiaTheme="minorHAnsi" w:cs="Cambria"/>
          <w:color w:val="000000"/>
        </w:rPr>
        <w:t>.</w:t>
      </w:r>
    </w:p>
    <w:p w:rsidR="00476CD0" w:rsidRDefault="00192D15" w:rsidP="00192D15">
      <w:pPr>
        <w:pStyle w:val="ListBullet"/>
      </w:pPr>
      <w:r w:rsidRPr="00192D15">
        <w:t xml:space="preserve">a less specific indication (when compared to the FDA indication) may provide flexibility to prescribers, however the indication requires additional information to convey the limitations of the evidence supporting the application, noting that the small numbers of patients in the POLARIS </w:t>
      </w:r>
      <w:r w:rsidR="00763395">
        <w:t>trials</w:t>
      </w:r>
      <w:r w:rsidR="00763395" w:rsidRPr="00192D15">
        <w:t xml:space="preserve"> </w:t>
      </w:r>
      <w:r w:rsidRPr="00192D15">
        <w:t>do not support the broader claims for all genotypes in this patient population</w:t>
      </w:r>
      <w:r w:rsidR="00476CD0">
        <w:t>.</w:t>
      </w:r>
    </w:p>
    <w:p w:rsidR="00192D15" w:rsidRPr="00192D15" w:rsidRDefault="00192D15" w:rsidP="00192D15">
      <w:pPr>
        <w:pStyle w:val="Heading5"/>
        <w:rPr>
          <w:rFonts w:eastAsiaTheme="minorHAnsi"/>
        </w:rPr>
      </w:pPr>
      <w:r w:rsidRPr="00192D15">
        <w:rPr>
          <w:rFonts w:eastAsiaTheme="minorHAnsi"/>
        </w:rPr>
        <w:lastRenderedPageBreak/>
        <w:t>Prop</w:t>
      </w:r>
      <w:r w:rsidR="00FF619F">
        <w:rPr>
          <w:rFonts w:eastAsiaTheme="minorHAnsi"/>
        </w:rPr>
        <w:t>osed conditions of registration</w:t>
      </w:r>
    </w:p>
    <w:p w:rsidR="00476CD0" w:rsidRDefault="00192D15" w:rsidP="00192D15">
      <w:r w:rsidRPr="00192D15">
        <w:t xml:space="preserve">The ACM agreed with the </w:t>
      </w:r>
      <w:r w:rsidR="002179DA">
        <w:t>Delegate</w:t>
      </w:r>
      <w:r w:rsidRPr="00192D15">
        <w:t xml:space="preserve"> on the proposed conditions of registration</w:t>
      </w:r>
      <w:r w:rsidR="00476CD0">
        <w:t>.</w:t>
      </w:r>
    </w:p>
    <w:p w:rsidR="00192D15" w:rsidRPr="00192D15" w:rsidRDefault="00192D15" w:rsidP="00192D15">
      <w:pPr>
        <w:pStyle w:val="Heading5"/>
        <w:rPr>
          <w:rFonts w:eastAsiaTheme="minorHAnsi"/>
        </w:rPr>
      </w:pPr>
      <w:r w:rsidRPr="00192D15">
        <w:rPr>
          <w:rFonts w:eastAsiaTheme="minorHAnsi"/>
        </w:rPr>
        <w:t>Proposed Product Information (PI)/ Consumer Medicine Information (CMI) a</w:t>
      </w:r>
      <w:r w:rsidR="00CB37FB">
        <w:rPr>
          <w:rFonts w:eastAsiaTheme="minorHAnsi"/>
        </w:rPr>
        <w:t>mendments</w:t>
      </w:r>
    </w:p>
    <w:p w:rsidR="00192D15" w:rsidRPr="00192D15" w:rsidRDefault="00CB37FB" w:rsidP="00192D15">
      <w:r>
        <w:t>The ACM agreed with the D</w:t>
      </w:r>
      <w:r w:rsidR="00192D15" w:rsidRPr="00192D15">
        <w:t xml:space="preserve">elegate to the proposed amendments to the PI and CMI and specifically advised on </w:t>
      </w:r>
      <w:r>
        <w:t>the inclusion of the following:</w:t>
      </w:r>
    </w:p>
    <w:p w:rsidR="00476CD0" w:rsidRDefault="00192D15" w:rsidP="00192D15">
      <w:pPr>
        <w:pStyle w:val="ListBullet"/>
      </w:pPr>
      <w:proofErr w:type="gramStart"/>
      <w:r w:rsidRPr="00192D15">
        <w:t>the</w:t>
      </w:r>
      <w:proofErr w:type="gramEnd"/>
      <w:r w:rsidRPr="00192D15">
        <w:t xml:space="preserve"> results should include the comparator arm for sofosbuvir</w:t>
      </w:r>
      <w:r w:rsidR="002179DA">
        <w:t>/velpatasvir for POLARIS-</w:t>
      </w:r>
      <w:r w:rsidRPr="00192D15">
        <w:t>2,</w:t>
      </w:r>
      <w:r w:rsidR="002179DA">
        <w:t xml:space="preserve"> </w:t>
      </w:r>
      <w:r w:rsidRPr="00192D15">
        <w:t>3 and 4</w:t>
      </w:r>
      <w:r w:rsidR="00763395">
        <w:t xml:space="preserve"> trials</w:t>
      </w:r>
      <w:r w:rsidRPr="00192D15">
        <w:t>, stratified by NS3 or NS5A RAVS in Tables 3 and 4 of the PI</w:t>
      </w:r>
      <w:r w:rsidR="00476CD0">
        <w:t>.</w:t>
      </w:r>
    </w:p>
    <w:p w:rsidR="00476CD0" w:rsidRDefault="00763395" w:rsidP="00192D15">
      <w:pPr>
        <w:pStyle w:val="ListBullet"/>
      </w:pPr>
      <w:r>
        <w:t xml:space="preserve">The </w:t>
      </w:r>
      <w:r w:rsidR="00192D15" w:rsidRPr="00192D15">
        <w:t xml:space="preserve">ACM agreed that there are likely to be a number of complex drug interactions. A statement should be included in the ‘Interactions with other medicines’ section to highlight that drug interactions with </w:t>
      </w:r>
      <w:r w:rsidR="00476CD0">
        <w:t>Vosevi</w:t>
      </w:r>
      <w:r w:rsidR="00192D15" w:rsidRPr="00192D15">
        <w:t xml:space="preserve"> are complex and substantial; the list of interactions is not all inclusive, and a drug interaction database or specialist p</w:t>
      </w:r>
      <w:r w:rsidR="00192D15">
        <w:t>harmacist should be consulted</w:t>
      </w:r>
      <w:r w:rsidR="00476CD0">
        <w:t>.</w:t>
      </w:r>
    </w:p>
    <w:p w:rsidR="00476CD0" w:rsidRDefault="00192D15" w:rsidP="00192D15">
      <w:pPr>
        <w:pStyle w:val="ListBullet"/>
      </w:pPr>
      <w:proofErr w:type="gramStart"/>
      <w:r w:rsidRPr="00192D15">
        <w:t>a</w:t>
      </w:r>
      <w:proofErr w:type="gramEnd"/>
      <w:r w:rsidRPr="00192D15">
        <w:t xml:space="preserve"> statement that recommending resistance testing may assist in determining the likely effectiveness for </w:t>
      </w:r>
      <w:r w:rsidR="00476CD0">
        <w:t>Vosevi</w:t>
      </w:r>
      <w:r w:rsidRPr="00192D15">
        <w:t xml:space="preserve"> in patients who have failed a regimen containing sofosbuvir without an NS5A inhibitor</w:t>
      </w:r>
      <w:r w:rsidR="00476CD0">
        <w:t>.</w:t>
      </w:r>
    </w:p>
    <w:p w:rsidR="00192D15" w:rsidRPr="00192D15" w:rsidRDefault="00192D15" w:rsidP="00192D15">
      <w:pPr>
        <w:pStyle w:val="Heading5"/>
        <w:rPr>
          <w:rFonts w:eastAsiaTheme="minorHAnsi"/>
        </w:rPr>
      </w:pPr>
      <w:r>
        <w:rPr>
          <w:rFonts w:eastAsiaTheme="minorHAnsi"/>
        </w:rPr>
        <w:t xml:space="preserve">Specific </w:t>
      </w:r>
      <w:r w:rsidR="00FF619F">
        <w:rPr>
          <w:rFonts w:eastAsiaTheme="minorHAnsi"/>
        </w:rPr>
        <w:t>a</w:t>
      </w:r>
      <w:r>
        <w:rPr>
          <w:rFonts w:eastAsiaTheme="minorHAnsi"/>
        </w:rPr>
        <w:t>dvice</w:t>
      </w:r>
    </w:p>
    <w:p w:rsidR="00192D15" w:rsidRPr="00192D15" w:rsidRDefault="00192D15" w:rsidP="00192D15">
      <w:r w:rsidRPr="00192D15">
        <w:t>The ACM advised th</w:t>
      </w:r>
      <w:r w:rsidR="00CB37FB">
        <w:t>e following in response to the D</w:t>
      </w:r>
      <w:r w:rsidRPr="00192D15">
        <w:t>elegate’s specif</w:t>
      </w:r>
      <w:r w:rsidR="00CB37FB">
        <w:t>ic questions on the submission:</w:t>
      </w:r>
    </w:p>
    <w:p w:rsidR="00476CD0" w:rsidRPr="00A95AB7" w:rsidRDefault="00192D15" w:rsidP="00E650A8">
      <w:pPr>
        <w:pStyle w:val="Numberbullet0"/>
        <w:numPr>
          <w:ilvl w:val="0"/>
          <w:numId w:val="10"/>
        </w:numPr>
        <w:rPr>
          <w:i/>
        </w:rPr>
      </w:pPr>
      <w:r w:rsidRPr="00A95AB7">
        <w:rPr>
          <w:i/>
        </w:rPr>
        <w:t>The wording of the proposed indication, noting the variation in the wording of the approved indications overseas and the Delegate’s proposal for wording consistent with the FDA-approved indication</w:t>
      </w:r>
      <w:r w:rsidR="00476CD0" w:rsidRPr="00A95AB7">
        <w:rPr>
          <w:i/>
        </w:rPr>
        <w:t>.</w:t>
      </w:r>
    </w:p>
    <w:p w:rsidR="00192D15" w:rsidRPr="00192D15" w:rsidRDefault="00192D15" w:rsidP="00192D15">
      <w:r w:rsidRPr="00192D15">
        <w:t xml:space="preserve">A less specific indication (when compared to the FDA indication) may provide flexibility to prescribers, however the indication requires additional information to convey the limitations of the evidence supporting the application, noting that the small numbers of patients in the POLARIS </w:t>
      </w:r>
      <w:r w:rsidR="00763395">
        <w:t>trials</w:t>
      </w:r>
      <w:r w:rsidR="00763395" w:rsidRPr="00192D15">
        <w:t xml:space="preserve"> </w:t>
      </w:r>
      <w:r w:rsidRPr="00192D15">
        <w:t>do not support the broader claims for all genotypes in this patient population</w:t>
      </w:r>
    </w:p>
    <w:p w:rsidR="00476CD0" w:rsidRDefault="00192D15" w:rsidP="00192D15">
      <w:r w:rsidRPr="00192D15">
        <w:t>As such, the ACM recommended the adoption of the Delegate’s proposed indication</w:t>
      </w:r>
      <w:r w:rsidR="00763395">
        <w:t>:</w:t>
      </w:r>
    </w:p>
    <w:p w:rsidR="00192D15" w:rsidRPr="00192D15" w:rsidRDefault="00476CD0" w:rsidP="00192D15">
      <w:pPr>
        <w:ind w:left="720"/>
        <w:rPr>
          <w:i/>
        </w:rPr>
      </w:pPr>
      <w:r>
        <w:rPr>
          <w:i/>
        </w:rPr>
        <w:t>Vosevi</w:t>
      </w:r>
      <w:r w:rsidR="00192D15" w:rsidRPr="00192D15">
        <w:rPr>
          <w:i/>
        </w:rPr>
        <w:t xml:space="preserve"> (sofosbuvir/velpatasvir/voxilaprevir) is indicated for the treatment of chronic hepatitis C virus (HCV) infection in adult patients, without cirrhosis or with compensated cirrhosis, who have: </w:t>
      </w:r>
    </w:p>
    <w:p w:rsidR="00192D15" w:rsidRPr="00CB37FB" w:rsidRDefault="00192D15" w:rsidP="00CB37FB">
      <w:pPr>
        <w:pStyle w:val="ListBullet"/>
        <w:ind w:left="1151" w:hanging="357"/>
        <w:rPr>
          <w:i/>
        </w:rPr>
      </w:pPr>
      <w:r w:rsidRPr="00CB37FB">
        <w:rPr>
          <w:i/>
        </w:rPr>
        <w:t xml:space="preserve">genotype 1, 2, 3, 4, 5, or 6 infection and have previously been treated with an HCV regimen containing an NS5A inhibitor; </w:t>
      </w:r>
    </w:p>
    <w:p w:rsidR="00192D15" w:rsidRPr="00CB37FB" w:rsidRDefault="00192D15" w:rsidP="00CB37FB">
      <w:pPr>
        <w:pStyle w:val="ListBullet"/>
        <w:ind w:left="1151" w:hanging="357"/>
        <w:rPr>
          <w:i/>
        </w:rPr>
      </w:pPr>
      <w:proofErr w:type="gramStart"/>
      <w:r w:rsidRPr="00CB37FB">
        <w:rPr>
          <w:i/>
        </w:rPr>
        <w:t>genotype</w:t>
      </w:r>
      <w:proofErr w:type="gramEnd"/>
      <w:r w:rsidRPr="00CB37FB">
        <w:rPr>
          <w:i/>
        </w:rPr>
        <w:t xml:space="preserve"> 1a or 3 infection and have previously been treated with an HCV regimen containing sofosbuvir without an NS5A inhibitor.</w:t>
      </w:r>
    </w:p>
    <w:p w:rsidR="00192D15" w:rsidRPr="00192D15" w:rsidRDefault="00192D15" w:rsidP="00192D15">
      <w:pPr>
        <w:ind w:left="720"/>
        <w:rPr>
          <w:i/>
        </w:rPr>
      </w:pPr>
      <w:r w:rsidRPr="00192D15">
        <w:rPr>
          <w:i/>
        </w:rPr>
        <w:t xml:space="preserve">Additional benefit of </w:t>
      </w:r>
      <w:r w:rsidR="00476CD0">
        <w:rPr>
          <w:i/>
        </w:rPr>
        <w:t>Vosevi</w:t>
      </w:r>
      <w:r w:rsidRPr="00192D15">
        <w:rPr>
          <w:i/>
        </w:rPr>
        <w:t xml:space="preserve"> over sofosbuvir/velpatasvir was not shown in adults with genotype 1b, 2, 4, 5, or 6 </w:t>
      </w:r>
      <w:proofErr w:type="gramStart"/>
      <w:r w:rsidRPr="00192D15">
        <w:rPr>
          <w:i/>
        </w:rPr>
        <w:t>infection</w:t>
      </w:r>
      <w:proofErr w:type="gramEnd"/>
      <w:r w:rsidRPr="00192D15">
        <w:rPr>
          <w:i/>
        </w:rPr>
        <w:t xml:space="preserve"> previously treated with sofosbu</w:t>
      </w:r>
      <w:r w:rsidR="00CB37FB">
        <w:rPr>
          <w:i/>
        </w:rPr>
        <w:t>vir without an NS5A inhibitor.</w:t>
      </w:r>
    </w:p>
    <w:p w:rsidR="00476CD0" w:rsidRPr="00A95AB7" w:rsidRDefault="00192D15" w:rsidP="00192D15">
      <w:pPr>
        <w:pStyle w:val="Numberbullet0"/>
        <w:rPr>
          <w:i/>
        </w:rPr>
      </w:pPr>
      <w:r w:rsidRPr="00A95AB7">
        <w:rPr>
          <w:i/>
        </w:rPr>
        <w:t xml:space="preserve">Related to point 1, the proposed dosage and administration tables, noting the format proposed by the FDA, EMA and Health Canada. The FDA and Health Canada have not included results of the POLARIS-2 and 3 </w:t>
      </w:r>
      <w:r w:rsidR="00763395">
        <w:rPr>
          <w:i/>
        </w:rPr>
        <w:t>trials</w:t>
      </w:r>
      <w:r w:rsidR="00763395" w:rsidRPr="00A95AB7">
        <w:rPr>
          <w:i/>
        </w:rPr>
        <w:t xml:space="preserve"> </w:t>
      </w:r>
      <w:r w:rsidRPr="00A95AB7">
        <w:rPr>
          <w:i/>
        </w:rPr>
        <w:t xml:space="preserve">in their PI, while the </w:t>
      </w:r>
      <w:r w:rsidR="00763395" w:rsidRPr="00A95AB7">
        <w:rPr>
          <w:i/>
        </w:rPr>
        <w:t>E</w:t>
      </w:r>
      <w:r w:rsidR="00763395">
        <w:rPr>
          <w:i/>
        </w:rPr>
        <w:t xml:space="preserve">U </w:t>
      </w:r>
      <w:proofErr w:type="spellStart"/>
      <w:r w:rsidR="00763395" w:rsidRPr="00763395">
        <w:rPr>
          <w:i/>
        </w:rPr>
        <w:t>S</w:t>
      </w:r>
      <w:r w:rsidR="00763395">
        <w:rPr>
          <w:i/>
        </w:rPr>
        <w:t>m</w:t>
      </w:r>
      <w:r w:rsidR="00763395" w:rsidRPr="00A95AB7">
        <w:rPr>
          <w:i/>
        </w:rPr>
        <w:t>PC</w:t>
      </w:r>
      <w:proofErr w:type="spellEnd"/>
      <w:r w:rsidR="00763395" w:rsidRPr="00A95AB7">
        <w:rPr>
          <w:i/>
        </w:rPr>
        <w:t xml:space="preserve"> </w:t>
      </w:r>
      <w:r w:rsidRPr="00A95AB7">
        <w:rPr>
          <w:i/>
        </w:rPr>
        <w:t xml:space="preserve">dosage and administration section reflects the results of these studies. The FDA has approved use of </w:t>
      </w:r>
      <w:r w:rsidR="00476CD0" w:rsidRPr="00A95AB7">
        <w:rPr>
          <w:i/>
        </w:rPr>
        <w:t>Vosevi</w:t>
      </w:r>
      <w:r w:rsidRPr="00A95AB7">
        <w:rPr>
          <w:i/>
        </w:rPr>
        <w:t xml:space="preserve"> in GT</w:t>
      </w:r>
      <w:r w:rsidR="00763395">
        <w:rPr>
          <w:i/>
        </w:rPr>
        <w:t xml:space="preserve"> </w:t>
      </w:r>
      <w:r w:rsidRPr="00A95AB7">
        <w:rPr>
          <w:i/>
        </w:rPr>
        <w:t>1a and 3 only for patients with prior experience with sofosbuvir without an NS5A inhibitor. Health Canada has approved use in GT 1,</w:t>
      </w:r>
      <w:r w:rsidR="00763395" w:rsidRPr="00A95AB7">
        <w:rPr>
          <w:i/>
        </w:rPr>
        <w:t xml:space="preserve"> </w:t>
      </w:r>
      <w:r w:rsidRPr="00A95AB7">
        <w:rPr>
          <w:i/>
        </w:rPr>
        <w:t>2,</w:t>
      </w:r>
      <w:r w:rsidR="00763395" w:rsidRPr="00A95AB7">
        <w:rPr>
          <w:i/>
        </w:rPr>
        <w:t xml:space="preserve"> </w:t>
      </w:r>
      <w:r w:rsidRPr="00A95AB7">
        <w:rPr>
          <w:i/>
        </w:rPr>
        <w:t>3,</w:t>
      </w:r>
      <w:r w:rsidR="00763395" w:rsidRPr="00A95AB7">
        <w:rPr>
          <w:i/>
        </w:rPr>
        <w:t xml:space="preserve"> </w:t>
      </w:r>
      <w:r w:rsidRPr="00A95AB7">
        <w:rPr>
          <w:i/>
        </w:rPr>
        <w:t>4 for this patient group</w:t>
      </w:r>
      <w:r w:rsidR="00476CD0" w:rsidRPr="00A95AB7">
        <w:rPr>
          <w:i/>
        </w:rPr>
        <w:t>.</w:t>
      </w:r>
    </w:p>
    <w:p w:rsidR="00476CD0" w:rsidRPr="00A95AB7" w:rsidRDefault="00192D15" w:rsidP="00192D15">
      <w:pPr>
        <w:ind w:left="425"/>
        <w:rPr>
          <w:i/>
        </w:rPr>
      </w:pPr>
      <w:r w:rsidRPr="00A95AB7">
        <w:rPr>
          <w:i/>
        </w:rPr>
        <w:t>Please comment on the Delegate’s proposal for adoption of the FDA dosage and administration table</w:t>
      </w:r>
      <w:r w:rsidR="00476CD0" w:rsidRPr="00A95AB7">
        <w:rPr>
          <w:i/>
        </w:rPr>
        <w:t>.</w:t>
      </w:r>
    </w:p>
    <w:p w:rsidR="00192D15" w:rsidRPr="00192D15" w:rsidRDefault="00192D15" w:rsidP="00192D15">
      <w:r w:rsidRPr="00192D15">
        <w:lastRenderedPageBreak/>
        <w:t>Consistent with the above a</w:t>
      </w:r>
      <w:r w:rsidR="00CB37FB">
        <w:t xml:space="preserve">dvice provided to adopt the FDA </w:t>
      </w:r>
      <w:r w:rsidRPr="00192D15">
        <w:t>approved indication, the A</w:t>
      </w:r>
      <w:r w:rsidR="00CB37FB">
        <w:t xml:space="preserve">CM was of the view that the FDA </w:t>
      </w:r>
      <w:r w:rsidRPr="00192D15">
        <w:t>approved Dosage and Administration table should be adopted.</w:t>
      </w:r>
    </w:p>
    <w:p w:rsidR="00476CD0" w:rsidRPr="00A95AB7" w:rsidRDefault="00192D15" w:rsidP="00192D15">
      <w:pPr>
        <w:pStyle w:val="Numberbullet0"/>
        <w:rPr>
          <w:i/>
        </w:rPr>
      </w:pPr>
      <w:r w:rsidRPr="00A95AB7">
        <w:rPr>
          <w:i/>
        </w:rPr>
        <w:t xml:space="preserve">Related to point 2, please comment on the data for 8 weeks of therapy with </w:t>
      </w:r>
      <w:r w:rsidR="00476CD0" w:rsidRPr="00A95AB7">
        <w:rPr>
          <w:i/>
        </w:rPr>
        <w:t>Vosevi</w:t>
      </w:r>
      <w:r w:rsidRPr="00A95AB7">
        <w:rPr>
          <w:i/>
        </w:rPr>
        <w:t xml:space="preserve"> for certain patient groups</w:t>
      </w:r>
      <w:r w:rsidR="00763395">
        <w:rPr>
          <w:i/>
        </w:rPr>
        <w:t>; for example,</w:t>
      </w:r>
      <w:r w:rsidRPr="00A95AB7">
        <w:rPr>
          <w:i/>
        </w:rPr>
        <w:t xml:space="preserve"> GT3 with cirrhosis and those who are DAA naïve, in light of the EU approval and the prevalence of GT3 in Australia</w:t>
      </w:r>
      <w:r w:rsidR="00476CD0" w:rsidRPr="00A95AB7">
        <w:rPr>
          <w:i/>
        </w:rPr>
        <w:t>.</w:t>
      </w:r>
    </w:p>
    <w:p w:rsidR="00476CD0" w:rsidRDefault="00192D15" w:rsidP="00192D15">
      <w:r w:rsidRPr="00192D15">
        <w:t>The ACM advised that t</w:t>
      </w:r>
      <w:r w:rsidR="00CB37FB">
        <w:t xml:space="preserve">he </w:t>
      </w:r>
      <w:proofErr w:type="spellStart"/>
      <w:r w:rsidR="00CB37FB">
        <w:t>EUS</w:t>
      </w:r>
      <w:r w:rsidRPr="00192D15">
        <w:t>mPC</w:t>
      </w:r>
      <w:proofErr w:type="spellEnd"/>
      <w:r w:rsidRPr="00192D15">
        <w:t>, which refers to 8 weeks treatment duration, makes prescribing more complicated and should be only done by very experienced practitioners. As such, 12 weeks treatment duration was r</w:t>
      </w:r>
      <w:r w:rsidR="00CB37FB">
        <w:t xml:space="preserve">ecommended in line with the FDA </w:t>
      </w:r>
      <w:r w:rsidRPr="00192D15">
        <w:t>approved dosage and administration wording</w:t>
      </w:r>
      <w:r w:rsidR="00476CD0">
        <w:t>.</w:t>
      </w:r>
    </w:p>
    <w:p w:rsidR="00476CD0" w:rsidRPr="00A95AB7" w:rsidRDefault="00192D15" w:rsidP="00192D15">
      <w:pPr>
        <w:pStyle w:val="Numberbullet0"/>
        <w:rPr>
          <w:i/>
        </w:rPr>
      </w:pPr>
      <w:r w:rsidRPr="00A95AB7">
        <w:rPr>
          <w:i/>
        </w:rPr>
        <w:t>The presentation of the drug interaction information in the PI at the meeting, given the list of drugs which are ‘contra-indicated’ versus ‘not recommended’ varies between regulators</w:t>
      </w:r>
      <w:r w:rsidR="00476CD0" w:rsidRPr="00A95AB7">
        <w:rPr>
          <w:i/>
        </w:rPr>
        <w:t>.</w:t>
      </w:r>
    </w:p>
    <w:p w:rsidR="00476CD0" w:rsidRDefault="00192D15" w:rsidP="00192D15">
      <w:r w:rsidRPr="00192D15">
        <w:t xml:space="preserve">The ACM advised that patients with treatment failure managed with </w:t>
      </w:r>
      <w:r w:rsidR="00476CD0">
        <w:t>Vosevi</w:t>
      </w:r>
      <w:r w:rsidRPr="00192D15">
        <w:t xml:space="preserve"> will likely be used by, or in consultation with, specialists, although there in the future a wider range of prescribers is possible. Due to the substantial risk and complexity of interactions, the PI should include advice that a drug interaction database (or experienced pharmacist) should be consulted</w:t>
      </w:r>
      <w:r w:rsidR="00476CD0">
        <w:t>.</w:t>
      </w:r>
    </w:p>
    <w:p w:rsidR="00192D15" w:rsidRPr="00192D15" w:rsidRDefault="00192D15" w:rsidP="00192D15">
      <w:r w:rsidRPr="00192D15">
        <w:t>The ACM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341" w:name="_Toc247691532"/>
      <w:bookmarkStart w:id="342" w:name="_Toc314842516"/>
      <w:bookmarkStart w:id="343" w:name="_Toc8291140"/>
      <w:bookmarkEnd w:id="138"/>
      <w:bookmarkEnd w:id="338"/>
      <w:bookmarkEnd w:id="339"/>
      <w:r>
        <w:t>Outcome</w:t>
      </w:r>
      <w:bookmarkEnd w:id="341"/>
      <w:bookmarkEnd w:id="342"/>
      <w:bookmarkEnd w:id="343"/>
    </w:p>
    <w:p w:rsidR="00D23139" w:rsidRPr="0046634B" w:rsidRDefault="00D23139" w:rsidP="00D23139">
      <w:bookmarkStart w:id="344" w:name="_Toc247691533"/>
      <w:bookmarkStart w:id="345" w:name="_Toc314842517"/>
      <w:r w:rsidRPr="00D23139">
        <w:t xml:space="preserve">Based on a review of quality, safety and efficacy, TGA approved the registration of </w:t>
      </w:r>
      <w:r w:rsidR="00476CD0">
        <w:t>Vosevi</w:t>
      </w:r>
      <w:r w:rsidR="0046634B" w:rsidRPr="0046634B">
        <w:t xml:space="preserve"> (sofosbuvir 400</w:t>
      </w:r>
      <w:r w:rsidR="00AA5E62">
        <w:t xml:space="preserve"> mg</w:t>
      </w:r>
      <w:r w:rsidR="0046634B" w:rsidRPr="0046634B">
        <w:t>/velpatasvir 100</w:t>
      </w:r>
      <w:r w:rsidR="00AA5E62">
        <w:t xml:space="preserve"> mg</w:t>
      </w:r>
      <w:r w:rsidR="0046634B" w:rsidRPr="0046634B">
        <w:t>/voxilaprevir 100</w:t>
      </w:r>
      <w:r w:rsidR="00AA5E62">
        <w:t xml:space="preserve"> mg</w:t>
      </w:r>
      <w:r w:rsidR="0046634B" w:rsidRPr="0046634B">
        <w:t xml:space="preserve"> fixed dose combination tablet </w:t>
      </w:r>
      <w:r w:rsidRPr="0046634B">
        <w:t xml:space="preserve">for </w:t>
      </w:r>
      <w:r w:rsidR="0046634B" w:rsidRPr="0046634B">
        <w:t>oral</w:t>
      </w:r>
      <w:r w:rsidRPr="0046634B">
        <w:t xml:space="preserve"> administration, indicated for:</w:t>
      </w:r>
    </w:p>
    <w:p w:rsidR="00992623" w:rsidRPr="00B0055C" w:rsidRDefault="00476CD0" w:rsidP="0046634B">
      <w:pPr>
        <w:ind w:left="360"/>
        <w:rPr>
          <w:i/>
        </w:rPr>
      </w:pPr>
      <w:r>
        <w:rPr>
          <w:i/>
        </w:rPr>
        <w:t>Vosevi</w:t>
      </w:r>
      <w:r w:rsidR="00992623" w:rsidRPr="00B0055C">
        <w:rPr>
          <w:i/>
        </w:rPr>
        <w:t xml:space="preserve"> (sofosbuvir/velpatasvir/voxilaprevir </w:t>
      </w:r>
      <w:r w:rsidR="00D43BF2">
        <w:rPr>
          <w:i/>
        </w:rPr>
        <w:t>fixed dose</w:t>
      </w:r>
      <w:r w:rsidR="00992623" w:rsidRPr="00B0055C">
        <w:rPr>
          <w:i/>
        </w:rPr>
        <w:t xml:space="preserve"> combination) is indicated for the treatment of chronic hepatitis C virus (HCV) infection in adult patients, without cirrhosis or with c</w:t>
      </w:r>
      <w:r w:rsidR="00992623">
        <w:rPr>
          <w:i/>
        </w:rPr>
        <w:t>ompensated cirrhosis, who have:</w:t>
      </w:r>
    </w:p>
    <w:p w:rsidR="00992623" w:rsidRPr="0046634B" w:rsidRDefault="00992623" w:rsidP="0046634B">
      <w:pPr>
        <w:pStyle w:val="ListBullet"/>
        <w:ind w:left="720"/>
        <w:rPr>
          <w:i/>
        </w:rPr>
      </w:pPr>
      <w:r w:rsidRPr="0046634B">
        <w:rPr>
          <w:i/>
        </w:rPr>
        <w:t>genotype 1, 2, 3, 4, 5, or 6 infection and have previously been treated with an HCV regimen</w:t>
      </w:r>
      <w:r w:rsidRPr="0046634B">
        <w:rPr>
          <w:rFonts w:eastAsiaTheme="minorHAnsi"/>
          <w:i/>
        </w:rPr>
        <w:t xml:space="preserve"> </w:t>
      </w:r>
      <w:r w:rsidRPr="0046634B">
        <w:rPr>
          <w:i/>
        </w:rPr>
        <w:t>containing an NS5A inhibitor;</w:t>
      </w:r>
    </w:p>
    <w:p w:rsidR="00992623" w:rsidRPr="0046634B" w:rsidRDefault="00992623" w:rsidP="0046634B">
      <w:pPr>
        <w:pStyle w:val="ListBullet"/>
        <w:ind w:left="720"/>
        <w:rPr>
          <w:i/>
        </w:rPr>
      </w:pPr>
      <w:r w:rsidRPr="0046634B">
        <w:rPr>
          <w:i/>
        </w:rPr>
        <w:t>genotype 1a or 3 infection and have previously been treated with an HCV regimen containing</w:t>
      </w:r>
      <w:r w:rsidRPr="0046634B">
        <w:rPr>
          <w:rFonts w:eastAsiaTheme="minorHAnsi"/>
          <w:i/>
        </w:rPr>
        <w:t xml:space="preserve"> </w:t>
      </w:r>
      <w:r w:rsidRPr="0046634B">
        <w:rPr>
          <w:i/>
        </w:rPr>
        <w:t>sofosbuvir without an NS5A inhibitor;</w:t>
      </w:r>
    </w:p>
    <w:p w:rsidR="00D23139" w:rsidRPr="00D23139" w:rsidRDefault="00992623" w:rsidP="0046634B">
      <w:pPr>
        <w:ind w:left="360"/>
      </w:pPr>
      <w:r w:rsidRPr="00B0055C">
        <w:rPr>
          <w:i/>
        </w:rPr>
        <w:t>(</w:t>
      </w:r>
      <w:proofErr w:type="gramStart"/>
      <w:r w:rsidRPr="00B0055C">
        <w:rPr>
          <w:i/>
        </w:rPr>
        <w:t>see</w:t>
      </w:r>
      <w:proofErr w:type="gramEnd"/>
      <w:r w:rsidRPr="00B0055C">
        <w:rPr>
          <w:i/>
        </w:rPr>
        <w:t xml:space="preserve"> Sections 4.2 Dose and method of administration and 5.1 Pharmacodynamic properties, Clinical trials).</w:t>
      </w:r>
    </w:p>
    <w:p w:rsidR="00D23139" w:rsidRDefault="00D23139" w:rsidP="00D23139">
      <w:pPr>
        <w:pStyle w:val="Heading4"/>
      </w:pPr>
      <w:r w:rsidRPr="00D23139">
        <w:t>Specific conditions of registration applying to these goods</w:t>
      </w:r>
    </w:p>
    <w:p w:rsidR="00B0055C" w:rsidRDefault="00476CD0" w:rsidP="00B0055C">
      <w:pPr>
        <w:pStyle w:val="Numberbullet0"/>
        <w:numPr>
          <w:ilvl w:val="0"/>
          <w:numId w:val="20"/>
        </w:numPr>
      </w:pPr>
      <w:r>
        <w:t>Vosevi</w:t>
      </w:r>
      <w:r w:rsidR="00B0055C">
        <w:t xml:space="preserve"> is to be included in the Black Triangle Scheme. The PI and CMI for </w:t>
      </w:r>
      <w:r>
        <w:t>Vosevi</w:t>
      </w:r>
      <w:r w:rsidR="00B0055C">
        <w:t xml:space="preserve"> must include the black triangle symbol and mandatory accompanying text for five years, which starts from the date that the sponsor notifies the TGA of supply of the product.</w:t>
      </w:r>
    </w:p>
    <w:p w:rsidR="00B0055C" w:rsidRPr="00B0055C" w:rsidRDefault="00B0055C" w:rsidP="00B0055C">
      <w:pPr>
        <w:pStyle w:val="Numberbullet0"/>
      </w:pPr>
      <w:r w:rsidRPr="00B0055C">
        <w:t>Any changes to which the sponsor has agreed should be included in a revised RMP and</w:t>
      </w:r>
      <w:r>
        <w:t xml:space="preserve"> </w:t>
      </w:r>
      <w:r w:rsidRPr="00B0055C">
        <w:t>ASA. However, irrespective of whether or not they are included in the currently</w:t>
      </w:r>
      <w:r>
        <w:t xml:space="preserve"> </w:t>
      </w:r>
      <w:r w:rsidRPr="00B0055C">
        <w:t>available version of the RMP document, the agreed changes become part of the risk</w:t>
      </w:r>
      <w:r>
        <w:t xml:space="preserve"> </w:t>
      </w:r>
      <w:r w:rsidRPr="00B0055C">
        <w:t>management system.</w:t>
      </w:r>
    </w:p>
    <w:p w:rsidR="00B0055C" w:rsidRPr="00B0055C" w:rsidRDefault="00B0055C" w:rsidP="00B0055C">
      <w:pPr>
        <w:ind w:left="425"/>
      </w:pPr>
      <w:r w:rsidRPr="00B0055C">
        <w:rPr>
          <w:rFonts w:eastAsiaTheme="minorHAnsi" w:cs="Cambria"/>
          <w:color w:val="000000"/>
        </w:rPr>
        <w:t xml:space="preserve">The </w:t>
      </w:r>
      <w:r w:rsidR="00476CD0">
        <w:rPr>
          <w:rFonts w:eastAsiaTheme="minorHAnsi" w:cs="Cambria"/>
          <w:color w:val="000000"/>
        </w:rPr>
        <w:t>Vosevi</w:t>
      </w:r>
      <w:r w:rsidRPr="00B0055C">
        <w:rPr>
          <w:rFonts w:eastAsiaTheme="minorHAnsi" w:cs="Cambria"/>
          <w:color w:val="000000"/>
          <w:sz w:val="18"/>
          <w:szCs w:val="18"/>
        </w:rPr>
        <w:t xml:space="preserve"> </w:t>
      </w:r>
      <w:r w:rsidRPr="00B0055C">
        <w:rPr>
          <w:rFonts w:eastAsiaTheme="minorHAnsi" w:cs="Cambria"/>
          <w:color w:val="000000"/>
        </w:rPr>
        <w:t>EU-Risk Management Plan (RMP) (version 1.0, dated 26 July 2017, final</w:t>
      </w:r>
      <w:r w:rsidR="00CB37FB">
        <w:rPr>
          <w:rFonts w:eastAsiaTheme="minorHAnsi" w:cs="Cambria"/>
          <w:color w:val="000000"/>
        </w:rPr>
        <w:t xml:space="preserve"> </w:t>
      </w:r>
      <w:r w:rsidRPr="00B0055C">
        <w:rPr>
          <w:rFonts w:eastAsiaTheme="minorHAnsi" w:cs="Cambria"/>
          <w:color w:val="000000"/>
        </w:rPr>
        <w:t>sign-off 12 May 2017, DLP 12 October 2016), with Australian Specific Annex (version0.2, September 2017)</w:t>
      </w:r>
      <w:proofErr w:type="gramStart"/>
      <w:r w:rsidRPr="00B0055C">
        <w:rPr>
          <w:rFonts w:eastAsiaTheme="minorHAnsi" w:cs="Cambria"/>
          <w:color w:val="000000"/>
        </w:rPr>
        <w:t>,</w:t>
      </w:r>
      <w:proofErr w:type="gramEnd"/>
      <w:r w:rsidRPr="00B0055C">
        <w:rPr>
          <w:rFonts w:eastAsiaTheme="minorHAnsi" w:cs="Cambria"/>
          <w:color w:val="000000"/>
        </w:rPr>
        <w:t xml:space="preserve"> included with submission PM-2016-04442-1-2, and </w:t>
      </w:r>
      <w:r w:rsidRPr="00B0055C">
        <w:rPr>
          <w:rFonts w:eastAsiaTheme="minorHAnsi" w:cs="Cambria"/>
          <w:color w:val="000000"/>
        </w:rPr>
        <w:lastRenderedPageBreak/>
        <w:t>any</w:t>
      </w:r>
      <w:r w:rsidR="00CB37FB">
        <w:rPr>
          <w:rFonts w:eastAsiaTheme="minorHAnsi" w:cs="Cambria"/>
          <w:color w:val="000000"/>
        </w:rPr>
        <w:t xml:space="preserve"> </w:t>
      </w:r>
      <w:r w:rsidRPr="00B0055C">
        <w:rPr>
          <w:rFonts w:eastAsiaTheme="minorHAnsi" w:cs="Cambria"/>
          <w:color w:val="000000"/>
        </w:rPr>
        <w:t>subsequent revisions, as agreed with the TGA will be implemented in Australia. Reports</w:t>
      </w:r>
      <w:r w:rsidR="00CB37FB">
        <w:rPr>
          <w:rFonts w:eastAsiaTheme="minorHAnsi" w:cs="Cambria"/>
          <w:color w:val="000000"/>
        </w:rPr>
        <w:t xml:space="preserve"> </w:t>
      </w:r>
      <w:r w:rsidRPr="00B0055C">
        <w:rPr>
          <w:rFonts w:eastAsiaTheme="minorHAnsi" w:cs="Cambria"/>
          <w:color w:val="000000"/>
        </w:rPr>
        <w:t>are to be provided in line with the current published list of EU reference dates and</w:t>
      </w:r>
      <w:r w:rsidR="00CB37FB">
        <w:rPr>
          <w:rFonts w:eastAsiaTheme="minorHAnsi" w:cs="Cambria"/>
          <w:color w:val="000000"/>
        </w:rPr>
        <w:t xml:space="preserve"> </w:t>
      </w:r>
      <w:r w:rsidRPr="00B0055C">
        <w:rPr>
          <w:rFonts w:eastAsiaTheme="minorHAnsi" w:cs="Cambria"/>
          <w:color w:val="000000"/>
        </w:rPr>
        <w:t>frequency of submission of PSURs until the period covered by such reports is not less</w:t>
      </w:r>
      <w:r w:rsidR="00CB37FB">
        <w:rPr>
          <w:rFonts w:eastAsiaTheme="minorHAnsi" w:cs="Cambria"/>
          <w:color w:val="000000"/>
        </w:rPr>
        <w:t xml:space="preserve"> </w:t>
      </w:r>
      <w:r w:rsidRPr="00B0055C">
        <w:rPr>
          <w:rFonts w:eastAsiaTheme="minorHAnsi" w:cs="Cambria"/>
          <w:color w:val="000000"/>
        </w:rPr>
        <w:t>than three years from the date of this approval letter.</w:t>
      </w:r>
    </w:p>
    <w:p w:rsidR="008E7846" w:rsidRDefault="00A80B5B" w:rsidP="00D23139">
      <w:pPr>
        <w:pStyle w:val="Heading2"/>
      </w:pPr>
      <w:bookmarkStart w:id="346" w:name="_Toc8291141"/>
      <w:proofErr w:type="gramStart"/>
      <w:r>
        <w:t>Attachment 1.</w:t>
      </w:r>
      <w:proofErr w:type="gramEnd"/>
      <w:r>
        <w:t xml:space="preserve"> </w:t>
      </w:r>
      <w:r w:rsidR="008E7846">
        <w:t xml:space="preserve">Product </w:t>
      </w:r>
      <w:r w:rsidR="00AA0ED0">
        <w:t>I</w:t>
      </w:r>
      <w:r w:rsidR="008E7846">
        <w:t>nformation</w:t>
      </w:r>
      <w:bookmarkEnd w:id="344"/>
      <w:bookmarkEnd w:id="345"/>
      <w:bookmarkEnd w:id="346"/>
    </w:p>
    <w:p w:rsidR="00476CD0" w:rsidRDefault="006136D7" w:rsidP="00C80137">
      <w:r w:rsidRPr="002B3624">
        <w:t xml:space="preserve">The </w:t>
      </w:r>
      <w:r>
        <w:t>PI</w:t>
      </w:r>
      <w:r w:rsidRPr="002B3624">
        <w:t xml:space="preserve"> for </w:t>
      </w:r>
      <w:r w:rsidR="00B0055C">
        <w:t xml:space="preserve">Vosevi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476CD0">
        <w:t xml:space="preserve">&lt; </w:t>
      </w:r>
      <w:hyperlink r:id="rId65" w:history="1">
        <w:r w:rsidR="007C6B9B" w:rsidRPr="007C6B9B">
          <w:rPr>
            <w:rStyle w:val="Hyperlink"/>
          </w:rPr>
          <w:t>https://www.tga.gov.au/product-information-pi</w:t>
        </w:r>
      </w:hyperlink>
      <w:proofErr w:type="gramStart"/>
      <w:r w:rsidR="00476CD0">
        <w:t>&gt; .</w:t>
      </w:r>
      <w:proofErr w:type="gramEnd"/>
    </w:p>
    <w:p w:rsidR="00C80137" w:rsidRPr="001D043B" w:rsidRDefault="008E7846" w:rsidP="00CB37FB">
      <w:pPr>
        <w:autoSpaceDE w:val="0"/>
        <w:autoSpaceDN w:val="0"/>
        <w:adjustRightInd w:val="0"/>
        <w:spacing w:after="0"/>
        <w:rPr>
          <w:lang w:eastAsia="ja-JP"/>
        </w:rPr>
        <w:sectPr w:rsidR="00C80137" w:rsidRPr="001D043B" w:rsidSect="00B452CE">
          <w:headerReference w:type="even" r:id="rId66"/>
          <w:headerReference w:type="default" r:id="rId67"/>
          <w:headerReference w:type="first" r:id="rId68"/>
          <w:footerReference w:type="first" r:id="rId69"/>
          <w:pgSz w:w="11906" w:h="16838" w:code="9"/>
          <w:pgMar w:top="834"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70" w:history="1">
              <w:r w:rsidRPr="004C239D">
                <w:rPr>
                  <w:rStyle w:val="Hyperlink"/>
                </w:rPr>
                <w:t>info@tga.gov.au</w:t>
              </w:r>
            </w:hyperlink>
            <w:r w:rsidR="00476CD0">
              <w:t xml:space="preserve"> </w:t>
            </w:r>
            <w:r w:rsidRPr="00487162">
              <w:t>Phone: 1800 020 653</w:t>
            </w:r>
            <w:r w:rsidR="00476CD0">
              <w:t xml:space="preserve"> </w:t>
            </w:r>
            <w:r w:rsidRPr="00487162">
              <w:t>Fax: 02 6232 8605</w:t>
            </w:r>
          </w:p>
          <w:p w:rsidR="001C32CD" w:rsidRPr="004C239D" w:rsidRDefault="00E3090E" w:rsidP="00A05FA4">
            <w:pPr>
              <w:pStyle w:val="Address"/>
              <w:spacing w:line="260" w:lineRule="atLeast"/>
              <w:rPr>
                <w:b/>
                <w:color w:val="0000FF"/>
                <w:u w:val="single"/>
              </w:rPr>
            </w:pPr>
            <w:hyperlink r:id="rId71"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72"/>
      <w:headerReference w:type="default" r:id="rId73"/>
      <w:footerReference w:type="default" r:id="rId74"/>
      <w:headerReference w:type="first" r:id="rId75"/>
      <w:footerReference w:type="first" r:id="rId7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90E" w:rsidRDefault="00E3090E" w:rsidP="00C40A36">
      <w:pPr>
        <w:spacing w:after="0"/>
      </w:pPr>
      <w:r>
        <w:separator/>
      </w:r>
    </w:p>
  </w:endnote>
  <w:endnote w:type="continuationSeparator" w:id="0">
    <w:p w:rsidR="00E3090E" w:rsidRDefault="00E3090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Gothic"/>
    <w:panose1 w:val="00000000000000000000"/>
    <w:charset w:val="80"/>
    <w:family w:val="auto"/>
    <w:notTrueType/>
    <w:pitch w:val="default"/>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3090E" w:rsidRPr="00487162" w:rsidTr="00DB750B">
      <w:trPr>
        <w:trHeight w:val="269"/>
      </w:trPr>
      <w:tc>
        <w:tcPr>
          <w:tcW w:w="7371" w:type="dxa"/>
          <w:tcMar>
            <w:top w:w="142" w:type="dxa"/>
            <w:bottom w:w="0" w:type="dxa"/>
          </w:tcMar>
        </w:tcPr>
        <w:p w:rsidR="00E3090E" w:rsidRPr="00487162" w:rsidRDefault="00E3090E" w:rsidP="00E55465">
          <w:pPr>
            <w:pStyle w:val="Footer"/>
          </w:pPr>
          <w:r w:rsidRPr="00487162">
            <w:t>AusPA</w:t>
          </w:r>
          <w:r>
            <w:t xml:space="preserve">R </w:t>
          </w:r>
          <w:r w:rsidRPr="008138CC">
            <w:t>VOSEVI - Sofosbuvir / Velpatasvir / Voxilaprevir - Gilead Scien</w:t>
          </w:r>
          <w:r>
            <w:t>ces Pty Ltd - PM-2016-04442-1-2 FINAL -  4 March 2019</w:t>
          </w:r>
        </w:p>
      </w:tc>
      <w:tc>
        <w:tcPr>
          <w:tcW w:w="1490" w:type="dxa"/>
          <w:tcMar>
            <w:top w:w="142" w:type="dxa"/>
            <w:bottom w:w="0" w:type="dxa"/>
          </w:tcMar>
        </w:tcPr>
        <w:p w:rsidR="00E3090E" w:rsidRPr="00487162" w:rsidRDefault="00E3090E" w:rsidP="00DB750B">
          <w:pPr>
            <w:pStyle w:val="Footer"/>
            <w:jc w:val="right"/>
          </w:pPr>
          <w:r w:rsidRPr="00487162">
            <w:t xml:space="preserve">Page </w:t>
          </w:r>
          <w:r>
            <w:fldChar w:fldCharType="begin"/>
          </w:r>
          <w:r>
            <w:instrText xml:space="preserve"> PAGE  \* Arabic </w:instrText>
          </w:r>
          <w:r>
            <w:fldChar w:fldCharType="separate"/>
          </w:r>
          <w:r w:rsidR="00FF619F">
            <w:rPr>
              <w:noProof/>
            </w:rPr>
            <w:t>3</w:t>
          </w:r>
          <w:r>
            <w:fldChar w:fldCharType="end"/>
          </w:r>
          <w:r w:rsidRPr="00487162">
            <w:t xml:space="preserve"> of </w:t>
          </w:r>
          <w:fldSimple w:instr=" NUMPAGES  \* Arabic ">
            <w:r w:rsidR="00FF619F">
              <w:rPr>
                <w:noProof/>
              </w:rPr>
              <w:t>132</w:t>
            </w:r>
          </w:fldSimple>
        </w:p>
      </w:tc>
    </w:tr>
  </w:tbl>
  <w:p w:rsidR="00E3090E" w:rsidRDefault="00E3090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3090E" w:rsidRPr="00487162" w:rsidTr="00E45619">
      <w:trPr>
        <w:trHeight w:val="269"/>
      </w:trPr>
      <w:tc>
        <w:tcPr>
          <w:tcW w:w="4519" w:type="dxa"/>
          <w:tcBorders>
            <w:top w:val="single" w:sz="4" w:space="0" w:color="auto"/>
          </w:tcBorders>
          <w:tcMar>
            <w:top w:w="142" w:type="dxa"/>
            <w:bottom w:w="0" w:type="dxa"/>
          </w:tcMar>
        </w:tcPr>
        <w:p w:rsidR="00E3090E" w:rsidRPr="00487162" w:rsidRDefault="00E3090E" w:rsidP="00FE1DEE">
          <w:pPr>
            <w:pStyle w:val="Footer"/>
          </w:pPr>
          <w:r w:rsidRPr="00487162">
            <w:t>Document title, Part #, Section # - Section title</w:t>
          </w:r>
        </w:p>
        <w:p w:rsidR="00E3090E" w:rsidRPr="00487162" w:rsidRDefault="00E3090E" w:rsidP="00FE1DEE">
          <w:pPr>
            <w:pStyle w:val="Footer"/>
          </w:pPr>
          <w:r w:rsidRPr="00487162">
            <w:t>V1.0 October 2010</w:t>
          </w:r>
        </w:p>
      </w:tc>
      <w:tc>
        <w:tcPr>
          <w:tcW w:w="4342" w:type="dxa"/>
          <w:tcBorders>
            <w:top w:val="single" w:sz="4" w:space="0" w:color="auto"/>
          </w:tcBorders>
          <w:tcMar>
            <w:top w:w="142" w:type="dxa"/>
            <w:bottom w:w="0" w:type="dxa"/>
          </w:tcMar>
        </w:tcPr>
        <w:p w:rsidR="00E3090E" w:rsidRPr="00487162" w:rsidRDefault="00E3090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E3090E" w:rsidRDefault="00E309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E" w:rsidRPr="001C32CD" w:rsidRDefault="00E3090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3090E" w:rsidTr="0010601F">
      <w:trPr>
        <w:trHeight w:val="108"/>
      </w:trPr>
      <w:tc>
        <w:tcPr>
          <w:tcW w:w="8875" w:type="dxa"/>
          <w:gridSpan w:val="2"/>
          <w:tcBorders>
            <w:bottom w:val="single" w:sz="4" w:space="0" w:color="auto"/>
          </w:tcBorders>
          <w:tcMar>
            <w:right w:w="284" w:type="dxa"/>
          </w:tcMar>
        </w:tcPr>
        <w:p w:rsidR="00E3090E" w:rsidRDefault="00E3090E" w:rsidP="006E08B3">
          <w:pPr>
            <w:pStyle w:val="Heading3"/>
          </w:pPr>
          <w:r>
            <w:t>Copyright</w:t>
          </w:r>
        </w:p>
        <w:p w:rsidR="00E3090E" w:rsidRDefault="00E3090E" w:rsidP="006E08B3">
          <w:r>
            <w:rPr>
              <w:rFonts w:cs="Arial"/>
            </w:rPr>
            <w:t>©</w:t>
          </w:r>
          <w:r>
            <w:t xml:space="preserve"> Commonwealth of Australia [add year]</w:t>
          </w:r>
        </w:p>
        <w:p w:rsidR="00E3090E" w:rsidRDefault="00E3090E" w:rsidP="006E08B3"/>
        <w:p w:rsidR="00E3090E" w:rsidRDefault="00E3090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3090E" w:rsidRDefault="00E3090E" w:rsidP="006E08B3"/>
        <w:p w:rsidR="00E3090E" w:rsidRDefault="00E3090E" w:rsidP="006E08B3">
          <w:pPr>
            <w:pStyle w:val="Heading3"/>
          </w:pPr>
          <w:r>
            <w:t>Confidentiality</w:t>
          </w:r>
        </w:p>
        <w:p w:rsidR="00E3090E" w:rsidRDefault="00E3090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3090E" w:rsidRDefault="00E3090E" w:rsidP="006E08B3"/>
        <w:p w:rsidR="00E3090E" w:rsidRDefault="00E3090E" w:rsidP="006E08B3">
          <w:r>
            <w:t>For submission made by individuals, all personal details, other than your name, will be removed from your submission before it is published on the TGA’s Internet site.</w:t>
          </w:r>
        </w:p>
        <w:p w:rsidR="00E3090E" w:rsidRDefault="00E3090E" w:rsidP="006E08B3"/>
        <w:p w:rsidR="00E3090E" w:rsidRDefault="00E3090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E3090E" w:rsidTr="0010601F">
      <w:trPr>
        <w:trHeight w:val="417"/>
      </w:trPr>
      <w:tc>
        <w:tcPr>
          <w:tcW w:w="4519" w:type="dxa"/>
          <w:tcBorders>
            <w:top w:val="single" w:sz="4" w:space="0" w:color="auto"/>
          </w:tcBorders>
          <w:tcMar>
            <w:top w:w="142" w:type="dxa"/>
            <w:bottom w:w="0" w:type="dxa"/>
          </w:tcMar>
        </w:tcPr>
        <w:p w:rsidR="00E3090E" w:rsidRDefault="00E3090E" w:rsidP="006E08B3">
          <w:r>
            <w:t>Document title, Part #, Section # - Section title</w:t>
          </w:r>
        </w:p>
        <w:p w:rsidR="00E3090E" w:rsidRDefault="00E3090E" w:rsidP="006E08B3">
          <w:r>
            <w:t>V1.0 October 2010</w:t>
          </w:r>
        </w:p>
      </w:tc>
      <w:tc>
        <w:tcPr>
          <w:tcW w:w="4356" w:type="dxa"/>
          <w:tcBorders>
            <w:top w:val="single" w:sz="4" w:space="0" w:color="auto"/>
          </w:tcBorders>
          <w:tcMar>
            <w:top w:w="142" w:type="dxa"/>
            <w:bottom w:w="0" w:type="dxa"/>
          </w:tcMar>
        </w:tcPr>
        <w:p w:rsidR="00E3090E" w:rsidRDefault="00E3090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E3090E" w:rsidRDefault="00E309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90E" w:rsidRDefault="00E3090E" w:rsidP="00C40A36">
      <w:pPr>
        <w:spacing w:after="0"/>
      </w:pPr>
      <w:r>
        <w:separator/>
      </w:r>
    </w:p>
  </w:footnote>
  <w:footnote w:type="continuationSeparator" w:id="0">
    <w:p w:rsidR="00E3090E" w:rsidRDefault="00E3090E" w:rsidP="00C40A36">
      <w:pPr>
        <w:spacing w:after="0"/>
      </w:pPr>
      <w:r>
        <w:continuationSeparator/>
      </w:r>
    </w:p>
  </w:footnote>
  <w:footnote w:id="1">
    <w:p w:rsidR="00E3090E" w:rsidRDefault="00E3090E" w:rsidP="0008365A">
      <w:pPr>
        <w:pStyle w:val="FootnoteText"/>
      </w:pPr>
      <w:r>
        <w:rPr>
          <w:rStyle w:val="FootnoteReference"/>
        </w:rPr>
        <w:footnoteRef/>
      </w:r>
      <w:r>
        <w:t xml:space="preserve"> </w:t>
      </w:r>
      <w:r w:rsidRPr="00DF0AD2">
        <w:t>Centre for Drug Evaluation and Research 209195Orig1s000 Summary Review, VOSEVI</w:t>
      </w:r>
    </w:p>
  </w:footnote>
  <w:footnote w:id="2">
    <w:p w:rsidR="00E3090E" w:rsidRPr="00AA624F" w:rsidRDefault="00E3090E">
      <w:pPr>
        <w:pStyle w:val="FootnoteText"/>
        <w:rPr>
          <w:lang w:val="en-US"/>
        </w:rPr>
      </w:pPr>
      <w:r>
        <w:rPr>
          <w:rStyle w:val="FootnoteReference"/>
        </w:rPr>
        <w:footnoteRef/>
      </w:r>
      <w:r>
        <w:t xml:space="preserve"> </w:t>
      </w:r>
      <w:r>
        <w:rPr>
          <w:rFonts w:eastAsia="TimesNewRoman" w:cs="TimesNewRoman"/>
        </w:rPr>
        <w:t>ICH: International Council for Harmonisation (of Technical Requirements of Pharmaceuticals for Human Use)</w:t>
      </w:r>
    </w:p>
  </w:footnote>
  <w:footnote w:id="3">
    <w:p w:rsidR="00E3090E" w:rsidRPr="0013193D" w:rsidRDefault="00E3090E" w:rsidP="005B1951">
      <w:pPr>
        <w:pStyle w:val="FootnoteText"/>
        <w:rPr>
          <w:szCs w:val="18"/>
          <w:lang w:val="en-US"/>
        </w:rPr>
      </w:pPr>
      <w:r>
        <w:rPr>
          <w:rStyle w:val="FootnoteReference"/>
        </w:rPr>
        <w:footnoteRef/>
      </w:r>
      <w:r>
        <w:t xml:space="preserve"> </w:t>
      </w:r>
      <w:r w:rsidRPr="0013193D">
        <w:rPr>
          <w:szCs w:val="18"/>
          <w:lang w:val="en-US"/>
        </w:rPr>
        <w:t>EMA /CHMP /ICH(2012) ICH guideline M3 (R2)-question and answers (p 15)</w:t>
      </w:r>
    </w:p>
  </w:footnote>
  <w:footnote w:id="4">
    <w:p w:rsidR="00E3090E" w:rsidRPr="0013193D" w:rsidRDefault="00E3090E" w:rsidP="005B1951">
      <w:pPr>
        <w:pStyle w:val="FootnoteText"/>
        <w:rPr>
          <w:szCs w:val="18"/>
          <w:lang w:val="en-US"/>
        </w:rPr>
      </w:pPr>
      <w:r w:rsidRPr="0013193D">
        <w:rPr>
          <w:rStyle w:val="FootnoteReference"/>
          <w:szCs w:val="18"/>
        </w:rPr>
        <w:footnoteRef/>
      </w:r>
      <w:r w:rsidRPr="0013193D">
        <w:rPr>
          <w:szCs w:val="18"/>
        </w:rPr>
        <w:t xml:space="preserve"> 2013 US </w:t>
      </w:r>
      <w:proofErr w:type="spellStart"/>
      <w:r w:rsidRPr="0013193D">
        <w:rPr>
          <w:szCs w:val="18"/>
        </w:rPr>
        <w:t>Dept</w:t>
      </w:r>
      <w:proofErr w:type="spellEnd"/>
      <w:r w:rsidRPr="0013193D">
        <w:rPr>
          <w:szCs w:val="18"/>
        </w:rPr>
        <w:t xml:space="preserve"> of Health and Human Services FDA Centre for Drug Evaluation and Research (CDER) Chronic Hepatitis C Virus Infection: Developing Direct-Acting Antiviral Drugs for Treatment Guidance for Industry (May 2016 Revision 2)</w:t>
      </w:r>
    </w:p>
  </w:footnote>
  <w:footnote w:id="5">
    <w:p w:rsidR="00E3090E" w:rsidRPr="006964FC" w:rsidRDefault="00E3090E" w:rsidP="005B1951">
      <w:pPr>
        <w:pStyle w:val="FootnoteText"/>
        <w:rPr>
          <w:szCs w:val="18"/>
          <w:lang w:val="en-US"/>
        </w:rPr>
      </w:pPr>
      <w:r>
        <w:rPr>
          <w:rStyle w:val="FootnoteReference"/>
        </w:rPr>
        <w:footnoteRef/>
      </w:r>
      <w:r>
        <w:t xml:space="preserve"> </w:t>
      </w:r>
      <w:proofErr w:type="spellStart"/>
      <w:proofErr w:type="gramStart"/>
      <w:r w:rsidRPr="006964FC">
        <w:rPr>
          <w:szCs w:val="18"/>
          <w:lang w:val="en-US"/>
        </w:rPr>
        <w:t>Gotte</w:t>
      </w:r>
      <w:proofErr w:type="spellEnd"/>
      <w:r w:rsidRPr="006964FC">
        <w:rPr>
          <w:szCs w:val="18"/>
          <w:lang w:val="en-US"/>
        </w:rPr>
        <w:t>, M. and Feld, J.J. (2016).</w:t>
      </w:r>
      <w:proofErr w:type="gramEnd"/>
      <w:r w:rsidRPr="006964FC">
        <w:rPr>
          <w:szCs w:val="18"/>
          <w:lang w:val="en-US"/>
        </w:rPr>
        <w:t xml:space="preserve"> Direct-acting antiviral agents for hepatitis C: structural and mechanistic insights. </w:t>
      </w:r>
      <w:r w:rsidRPr="00C4145D">
        <w:rPr>
          <w:i/>
          <w:szCs w:val="18"/>
          <w:lang w:val="en-US"/>
        </w:rPr>
        <w:t>Nature Reviews</w:t>
      </w:r>
      <w:r w:rsidRPr="006964FC">
        <w:rPr>
          <w:szCs w:val="18"/>
          <w:lang w:val="en-US"/>
        </w:rPr>
        <w:t xml:space="preserve"> (</w:t>
      </w:r>
      <w:proofErr w:type="spellStart"/>
      <w:r w:rsidRPr="006964FC">
        <w:rPr>
          <w:szCs w:val="18"/>
          <w:lang w:val="en-US"/>
        </w:rPr>
        <w:t>Gastroenterology&amp;Hepatology</w:t>
      </w:r>
      <w:proofErr w:type="spellEnd"/>
      <w:r w:rsidRPr="006964FC">
        <w:rPr>
          <w:szCs w:val="18"/>
          <w:lang w:val="en-US"/>
        </w:rPr>
        <w:t>)13:338-351</w:t>
      </w:r>
    </w:p>
  </w:footnote>
  <w:footnote w:id="6">
    <w:p w:rsidR="00E3090E" w:rsidRPr="003146DC" w:rsidRDefault="00E3090E" w:rsidP="005B1951">
      <w:pPr>
        <w:pStyle w:val="FootnoteText"/>
        <w:rPr>
          <w:szCs w:val="18"/>
          <w:lang w:val="en-US"/>
        </w:rPr>
      </w:pPr>
      <w:r>
        <w:rPr>
          <w:rStyle w:val="FootnoteReference"/>
        </w:rPr>
        <w:footnoteRef/>
      </w:r>
      <w:r>
        <w:t xml:space="preserve"> </w:t>
      </w:r>
      <w:proofErr w:type="gramStart"/>
      <w:r w:rsidRPr="003146DC">
        <w:rPr>
          <w:szCs w:val="18"/>
          <w:lang w:val="en-US"/>
        </w:rPr>
        <w:t xml:space="preserve">Tong X, </w:t>
      </w:r>
      <w:r>
        <w:rPr>
          <w:szCs w:val="18"/>
          <w:lang w:val="en-US"/>
        </w:rPr>
        <w:t>et al</w:t>
      </w:r>
      <w:r w:rsidRPr="003146DC">
        <w:rPr>
          <w:szCs w:val="18"/>
          <w:lang w:val="en-US"/>
        </w:rPr>
        <w:t>. Identification and analysis of fitness of resistance mutations against the HCV protease inhibitor SCH 503034.</w:t>
      </w:r>
      <w:proofErr w:type="gramEnd"/>
      <w:r w:rsidRPr="003146DC">
        <w:rPr>
          <w:szCs w:val="18"/>
          <w:lang w:val="en-US"/>
        </w:rPr>
        <w:t xml:space="preserve"> </w:t>
      </w:r>
      <w:r w:rsidRPr="00C4145D">
        <w:rPr>
          <w:i/>
          <w:szCs w:val="18"/>
          <w:lang w:val="en-US"/>
        </w:rPr>
        <w:t>Antiviral Res</w:t>
      </w:r>
      <w:r>
        <w:rPr>
          <w:szCs w:val="18"/>
          <w:lang w:val="en-US"/>
        </w:rPr>
        <w:t xml:space="preserve"> 2006; 70</w:t>
      </w:r>
      <w:r w:rsidRPr="003146DC">
        <w:rPr>
          <w:szCs w:val="18"/>
          <w:lang w:val="en-US"/>
        </w:rPr>
        <w:t>:</w:t>
      </w:r>
      <w:r>
        <w:rPr>
          <w:szCs w:val="18"/>
          <w:lang w:val="en-US"/>
        </w:rPr>
        <w:t xml:space="preserve"> </w:t>
      </w:r>
      <w:r w:rsidRPr="003146DC">
        <w:rPr>
          <w:szCs w:val="18"/>
          <w:lang w:val="en-US"/>
        </w:rPr>
        <w:t>28-38.</w:t>
      </w:r>
    </w:p>
  </w:footnote>
  <w:footnote w:id="7">
    <w:p w:rsidR="00E3090E" w:rsidRPr="00F64A30" w:rsidRDefault="00E3090E">
      <w:pPr>
        <w:pStyle w:val="FootnoteText"/>
        <w:rPr>
          <w:lang w:val="en-US"/>
        </w:rPr>
      </w:pPr>
      <w:r>
        <w:rPr>
          <w:rStyle w:val="FootnoteReference"/>
        </w:rPr>
        <w:footnoteRef/>
      </w:r>
      <w:r>
        <w:t xml:space="preserve"> </w:t>
      </w:r>
      <w:r>
        <w:rPr>
          <w:rFonts w:eastAsia="TimesNewRoman" w:cs="TimesNewRoman"/>
        </w:rPr>
        <w:t>QT: Electrocardiographic interval between the beginning of the Q wave and termination of the T wave, representing the time for both ventricular depolarization and repolarization to occur.</w:t>
      </w:r>
    </w:p>
  </w:footnote>
  <w:footnote w:id="8">
    <w:p w:rsidR="00E3090E" w:rsidRPr="0013193D" w:rsidRDefault="00E3090E" w:rsidP="00CE27F2">
      <w:pPr>
        <w:pStyle w:val="FootnoteText"/>
        <w:rPr>
          <w:szCs w:val="18"/>
          <w:lang w:val="en-US"/>
        </w:rPr>
      </w:pPr>
      <w:r>
        <w:rPr>
          <w:rStyle w:val="FootnoteReference"/>
        </w:rPr>
        <w:footnoteRef/>
      </w:r>
      <w:r>
        <w:t xml:space="preserve"> </w:t>
      </w:r>
      <w:r w:rsidRPr="0013193D">
        <w:rPr>
          <w:szCs w:val="18"/>
          <w:lang w:val="en-US"/>
        </w:rPr>
        <w:t>EMA /CHMP /ICH(2012) ICH guideline M3 (R2)-question and answers (p 15)</w:t>
      </w:r>
    </w:p>
  </w:footnote>
  <w:footnote w:id="9">
    <w:p w:rsidR="00E3090E" w:rsidRPr="0013193D" w:rsidRDefault="00E3090E" w:rsidP="00CE27F2">
      <w:pPr>
        <w:pStyle w:val="FootnoteText"/>
        <w:rPr>
          <w:szCs w:val="18"/>
          <w:lang w:val="en-US"/>
        </w:rPr>
      </w:pPr>
      <w:r w:rsidRPr="0013193D">
        <w:rPr>
          <w:rStyle w:val="FootnoteReference"/>
          <w:szCs w:val="18"/>
        </w:rPr>
        <w:footnoteRef/>
      </w:r>
      <w:r w:rsidRPr="0013193D">
        <w:rPr>
          <w:szCs w:val="18"/>
        </w:rPr>
        <w:t xml:space="preserve"> 2013 US </w:t>
      </w:r>
      <w:proofErr w:type="spellStart"/>
      <w:r w:rsidRPr="0013193D">
        <w:rPr>
          <w:szCs w:val="18"/>
        </w:rPr>
        <w:t>Dept</w:t>
      </w:r>
      <w:proofErr w:type="spellEnd"/>
      <w:r w:rsidRPr="0013193D">
        <w:rPr>
          <w:szCs w:val="18"/>
        </w:rPr>
        <w:t xml:space="preserve"> of Health and Human Services FDA Centre for Drug Evaluation and Research (CDER) Chronic Hepatitis C Virus Infection: Developing Direct-Acting Antiviral Drugs for Treatment Guidance for Industry (May 2016 Revision 2)</w:t>
      </w:r>
    </w:p>
  </w:footnote>
  <w:footnote w:id="10">
    <w:p w:rsidR="00E3090E" w:rsidRPr="00AC3806" w:rsidRDefault="00E3090E">
      <w:pPr>
        <w:pStyle w:val="FootnoteText"/>
        <w:rPr>
          <w:lang w:val="en-US"/>
        </w:rPr>
      </w:pPr>
      <w:r>
        <w:rPr>
          <w:rStyle w:val="FootnoteReference"/>
        </w:rPr>
        <w:footnoteRef/>
      </w:r>
      <w:r>
        <w:t xml:space="preserve"> </w:t>
      </w:r>
      <w:r>
        <w:rPr>
          <w:rFonts w:eastAsia="TimesNewRoman" w:cstheme="minorHAnsi"/>
        </w:rPr>
        <w:t>AUC</w:t>
      </w:r>
      <w:r>
        <w:rPr>
          <w:rFonts w:eastAsia="TimesNewRoman" w:cstheme="minorHAnsi"/>
          <w:vertAlign w:val="subscript"/>
        </w:rPr>
        <w:t>0-24</w:t>
      </w:r>
      <w:r>
        <w:rPr>
          <w:rFonts w:eastAsia="TimesNewRoman" w:cstheme="minorHAnsi"/>
        </w:rPr>
        <w:t>: Partial area under the plasma/serum concentration versus time curve from 0 to 24 hours</w:t>
      </w:r>
    </w:p>
  </w:footnote>
  <w:footnote w:id="11">
    <w:p w:rsidR="00E3090E" w:rsidRPr="00AA5E62" w:rsidRDefault="00E3090E">
      <w:pPr>
        <w:pStyle w:val="FootnoteText"/>
        <w:rPr>
          <w:lang w:val="en-US"/>
        </w:rPr>
      </w:pPr>
      <w:r>
        <w:rPr>
          <w:rStyle w:val="FootnoteReference"/>
        </w:rPr>
        <w:footnoteRef/>
      </w:r>
      <w:r>
        <w:t xml:space="preserve"> Option 1 in </w:t>
      </w:r>
      <w:r w:rsidRPr="00261033">
        <w:t xml:space="preserve">ICH </w:t>
      </w:r>
      <w:proofErr w:type="gramStart"/>
      <w:r w:rsidRPr="00261033">
        <w:t>S2(</w:t>
      </w:r>
      <w:proofErr w:type="gramEnd"/>
      <w:r w:rsidRPr="00261033">
        <w:t>R1)</w:t>
      </w:r>
      <w:r w:rsidRPr="00062A08">
        <w:t xml:space="preserve"> </w:t>
      </w:r>
      <w:r>
        <w:t>International Conference on Harmonisation of technical requirements for registration of pharmaceuticals for human use. Guidance on genotoxicity testing and data interpretation for pharmaceuticals intended for human use.</w:t>
      </w:r>
    </w:p>
  </w:footnote>
  <w:footnote w:id="12">
    <w:p w:rsidR="00E3090E" w:rsidRPr="00EA5261" w:rsidRDefault="00E3090E" w:rsidP="00020AA8">
      <w:pPr>
        <w:pStyle w:val="FootnoteText"/>
      </w:pPr>
      <w:r>
        <w:rPr>
          <w:rStyle w:val="FootnoteReference"/>
        </w:rPr>
        <w:footnoteRef/>
      </w:r>
      <w:r>
        <w:t xml:space="preserve"> ICH </w:t>
      </w:r>
      <w:proofErr w:type="gramStart"/>
      <w:r>
        <w:t>S1A(</w:t>
      </w:r>
      <w:proofErr w:type="gramEnd"/>
      <w:r>
        <w:t>R1) International conference on harmonisation of technical requirements for registration of pharmaceuticals for human use. Guideline on the need for carcinogenicity studies of pharmaceuticals.</w:t>
      </w:r>
    </w:p>
  </w:footnote>
  <w:footnote w:id="13">
    <w:p w:rsidR="00E3090E" w:rsidRPr="00062A08" w:rsidRDefault="00E3090E">
      <w:pPr>
        <w:pStyle w:val="FootnoteText"/>
      </w:pPr>
      <w:r>
        <w:rPr>
          <w:rStyle w:val="FootnoteReference"/>
        </w:rPr>
        <w:footnoteRef/>
      </w:r>
      <w:r>
        <w:t xml:space="preserve"> </w:t>
      </w:r>
      <w:r w:rsidRPr="009A6DC0">
        <w:t>Pregnancy Category B1</w:t>
      </w:r>
      <w:r>
        <w:t xml:space="preserve"> is classified as </w:t>
      </w:r>
      <w:r w:rsidRPr="007678C3">
        <w:t>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7678C3">
        <w:t>Studies in animals have not shown evidence of an increased occurrence of fetal damage.</w:t>
      </w:r>
    </w:p>
  </w:footnote>
  <w:footnote w:id="14">
    <w:p w:rsidR="00E3090E" w:rsidRPr="00B51DB0" w:rsidRDefault="00E3090E" w:rsidP="004C5E42">
      <w:pPr>
        <w:pStyle w:val="FootnoteText"/>
        <w:rPr>
          <w:szCs w:val="18"/>
          <w:lang w:val="en-US"/>
        </w:rPr>
      </w:pPr>
      <w:r>
        <w:rPr>
          <w:rStyle w:val="FootnoteReference"/>
        </w:rPr>
        <w:footnoteRef/>
      </w:r>
      <w:r>
        <w:t xml:space="preserve"> </w:t>
      </w:r>
      <w:r w:rsidRPr="00B51DB0">
        <w:rPr>
          <w:szCs w:val="18"/>
        </w:rPr>
        <w:t>ICH Photosafety Evaluation of Pharmaceuticals S10 (13 Nov</w:t>
      </w:r>
      <w:r>
        <w:rPr>
          <w:szCs w:val="18"/>
        </w:rPr>
        <w:t>ember</w:t>
      </w:r>
      <w:r w:rsidRPr="00B51DB0">
        <w:rPr>
          <w:szCs w:val="18"/>
        </w:rPr>
        <w:t xml:space="preserve"> 2013).</w:t>
      </w:r>
    </w:p>
  </w:footnote>
  <w:footnote w:id="15">
    <w:p w:rsidR="00E3090E" w:rsidRPr="00062A08" w:rsidRDefault="00E3090E">
      <w:pPr>
        <w:pStyle w:val="FootnoteText"/>
        <w:rPr>
          <w:lang w:val="en-US"/>
        </w:rPr>
      </w:pPr>
      <w:r>
        <w:rPr>
          <w:rStyle w:val="FootnoteReference"/>
        </w:rPr>
        <w:footnoteRef/>
      </w:r>
      <w:r>
        <w:t xml:space="preserve"> ICH </w:t>
      </w:r>
      <w:proofErr w:type="gramStart"/>
      <w:r>
        <w:t>M3(</w:t>
      </w:r>
      <w:proofErr w:type="gramEnd"/>
      <w:r>
        <w:t>R2; Guidance on nonclinical safety studies for the conduct of human clinical trials and marketing authorization for pharmaceuticals M3(R2).</w:t>
      </w:r>
    </w:p>
  </w:footnote>
  <w:footnote w:id="16">
    <w:p w:rsidR="00E3090E" w:rsidRPr="003A5113" w:rsidRDefault="00E3090E">
      <w:pPr>
        <w:pStyle w:val="FootnoteText"/>
        <w:rPr>
          <w:lang w:val="en-US"/>
        </w:rPr>
      </w:pPr>
      <w:r>
        <w:rPr>
          <w:rStyle w:val="FootnoteReference"/>
        </w:rPr>
        <w:footnoteRef/>
      </w:r>
      <w:r>
        <w:t xml:space="preserve"> </w:t>
      </w:r>
      <w:r w:rsidRPr="001F05BF">
        <w:t>World Health Organization (WHO) 2015</w:t>
      </w:r>
    </w:p>
  </w:footnote>
  <w:footnote w:id="17">
    <w:p w:rsidR="00E3090E" w:rsidRPr="003A5113" w:rsidRDefault="00E3090E">
      <w:pPr>
        <w:pStyle w:val="FootnoteText"/>
        <w:rPr>
          <w:lang w:val="en-US"/>
        </w:rPr>
      </w:pPr>
      <w:r w:rsidRPr="00B14720">
        <w:rPr>
          <w:rStyle w:val="FootnoteReference"/>
        </w:rPr>
        <w:footnoteRef/>
      </w:r>
      <w:r w:rsidRPr="00B14720">
        <w:t xml:space="preserve"> </w:t>
      </w:r>
      <w:proofErr w:type="spellStart"/>
      <w:r>
        <w:t>Gidding</w:t>
      </w:r>
      <w:proofErr w:type="spellEnd"/>
      <w:r>
        <w:t xml:space="preserve"> HF et al. The epidemiology of hepatitis C in Australia: Notifications, treatment uptake and liver transplantations, 1997-2006</w:t>
      </w:r>
      <w:r w:rsidRPr="00B14720">
        <w:rPr>
          <w:i/>
        </w:rPr>
        <w:t xml:space="preserve">. </w:t>
      </w:r>
      <w:proofErr w:type="gramStart"/>
      <w:r w:rsidRPr="00B14720">
        <w:rPr>
          <w:i/>
        </w:rPr>
        <w:t>Journal of Gastroenterology and Hepatology</w:t>
      </w:r>
      <w:r>
        <w:t>.</w:t>
      </w:r>
      <w:proofErr w:type="gramEnd"/>
      <w:r>
        <w:t xml:space="preserve"> 2009; 24: 1648-1654</w:t>
      </w:r>
    </w:p>
  </w:footnote>
  <w:footnote w:id="18">
    <w:p w:rsidR="00E3090E" w:rsidRPr="003A5113" w:rsidRDefault="00E3090E">
      <w:pPr>
        <w:pStyle w:val="FootnoteText"/>
        <w:rPr>
          <w:lang w:val="en-US"/>
        </w:rPr>
      </w:pPr>
      <w:r>
        <w:rPr>
          <w:rStyle w:val="FootnoteReference"/>
        </w:rPr>
        <w:footnoteRef/>
      </w:r>
      <w:r>
        <w:t xml:space="preserve"> </w:t>
      </w:r>
      <w:proofErr w:type="gramStart"/>
      <w:r w:rsidRPr="00B03564">
        <w:rPr>
          <w:rFonts w:asciiTheme="minorHAnsi" w:eastAsia="TimesNewRoman" w:hAnsiTheme="minorHAnsi" w:cs="TimesNewRoman"/>
        </w:rPr>
        <w:t>Foster GR, et al. Sofosbuvir and Velpatasvir for HCV Genotype 2 and 3 Infection.</w:t>
      </w:r>
      <w:proofErr w:type="gramEnd"/>
      <w:r w:rsidRPr="00B03564">
        <w:rPr>
          <w:rFonts w:asciiTheme="minorHAnsi" w:eastAsia="TimesNewRoman" w:hAnsiTheme="minorHAnsi" w:cs="TimesNewRoman"/>
        </w:rPr>
        <w:t xml:space="preserve"> </w:t>
      </w:r>
      <w:r w:rsidRPr="00B14720">
        <w:rPr>
          <w:rFonts w:asciiTheme="minorHAnsi" w:eastAsia="TimesNewRoman" w:hAnsiTheme="minorHAnsi" w:cs="TimesNewRoman"/>
          <w:i/>
        </w:rPr>
        <w:t>The New England Journal of Medicine</w:t>
      </w:r>
      <w:r w:rsidRPr="00B03564">
        <w:rPr>
          <w:rFonts w:asciiTheme="minorHAnsi" w:eastAsia="TimesNewRoman" w:hAnsiTheme="minorHAnsi" w:cs="TimesNewRoman"/>
        </w:rPr>
        <w:t xml:space="preserve"> 2015;</w:t>
      </w:r>
      <w:r>
        <w:rPr>
          <w:rFonts w:asciiTheme="minorHAnsi" w:eastAsia="TimesNewRoman" w:hAnsiTheme="minorHAnsi" w:cs="TimesNewRoman"/>
        </w:rPr>
        <w:t xml:space="preserve"> 373</w:t>
      </w:r>
      <w:r w:rsidRPr="00B03564">
        <w:rPr>
          <w:rFonts w:asciiTheme="minorHAnsi" w:eastAsia="TimesNewRoman" w:hAnsiTheme="minorHAnsi" w:cs="TimesNewRoman"/>
        </w:rPr>
        <w:t>:</w:t>
      </w:r>
      <w:r>
        <w:rPr>
          <w:rFonts w:asciiTheme="minorHAnsi" w:eastAsia="TimesNewRoman" w:hAnsiTheme="minorHAnsi" w:cs="TimesNewRoman"/>
        </w:rPr>
        <w:t xml:space="preserve"> </w:t>
      </w:r>
      <w:r w:rsidRPr="00B03564">
        <w:rPr>
          <w:rFonts w:asciiTheme="minorHAnsi" w:eastAsia="TimesNewRoman" w:hAnsiTheme="minorHAnsi" w:cs="TimesNewRoman"/>
        </w:rPr>
        <w:t>2608-</w:t>
      </w:r>
      <w:r>
        <w:rPr>
          <w:rFonts w:asciiTheme="minorHAnsi" w:eastAsia="TimesNewRoman" w:hAnsiTheme="minorHAnsi" w:cs="TimesNewRoman"/>
        </w:rPr>
        <w:t>26</w:t>
      </w:r>
      <w:r w:rsidRPr="00B03564">
        <w:rPr>
          <w:rFonts w:asciiTheme="minorHAnsi" w:eastAsia="TimesNewRoman" w:hAnsiTheme="minorHAnsi" w:cs="TimesNewRoman"/>
        </w:rPr>
        <w:t>17</w:t>
      </w:r>
    </w:p>
  </w:footnote>
  <w:footnote w:id="19">
    <w:p w:rsidR="00E3090E" w:rsidRPr="003A5113" w:rsidRDefault="00E3090E">
      <w:pPr>
        <w:pStyle w:val="FootnoteText"/>
        <w:rPr>
          <w:lang w:val="en-US"/>
        </w:rPr>
      </w:pPr>
      <w:r>
        <w:rPr>
          <w:rStyle w:val="FootnoteReference"/>
        </w:rPr>
        <w:footnoteRef/>
      </w:r>
      <w:r>
        <w:t xml:space="preserve"> </w:t>
      </w:r>
      <w:r w:rsidRPr="00B03564">
        <w:rPr>
          <w:rFonts w:asciiTheme="minorHAnsi" w:eastAsia="TimesNewRoman" w:hAnsiTheme="minorHAnsi" w:cs="TimesNewRoman"/>
        </w:rPr>
        <w:t>Feld JJ, et al. Sofosbuvir and Velpatasvir for HCV Genotype 1, 2, 4, 5</w:t>
      </w:r>
      <w:r>
        <w:rPr>
          <w:rFonts w:asciiTheme="minorHAnsi" w:eastAsia="TimesNewRoman" w:hAnsiTheme="minorHAnsi" w:cs="TimesNewRoman"/>
        </w:rPr>
        <w:t xml:space="preserve"> and</w:t>
      </w:r>
      <w:r w:rsidRPr="00B03564">
        <w:rPr>
          <w:rFonts w:asciiTheme="minorHAnsi" w:eastAsia="TimesNewRoman" w:hAnsiTheme="minorHAnsi" w:cs="TimesNewRoman"/>
        </w:rPr>
        <w:t xml:space="preserve"> 6 Infection. </w:t>
      </w:r>
      <w:r w:rsidRPr="00B14720">
        <w:rPr>
          <w:rFonts w:asciiTheme="minorHAnsi" w:eastAsia="TimesNewRoman" w:hAnsiTheme="minorHAnsi" w:cs="TimesNewRoman"/>
          <w:i/>
        </w:rPr>
        <w:t xml:space="preserve">N </w:t>
      </w:r>
      <w:proofErr w:type="spellStart"/>
      <w:r w:rsidRPr="00B14720">
        <w:rPr>
          <w:rFonts w:asciiTheme="minorHAnsi" w:eastAsia="TimesNewRoman" w:hAnsiTheme="minorHAnsi" w:cs="TimesNewRoman"/>
          <w:i/>
        </w:rPr>
        <w:t>Engl</w:t>
      </w:r>
      <w:proofErr w:type="spellEnd"/>
      <w:r w:rsidRPr="00B14720">
        <w:rPr>
          <w:rFonts w:asciiTheme="minorHAnsi" w:eastAsia="TimesNewRoman" w:hAnsiTheme="minorHAnsi" w:cs="TimesNewRoman"/>
          <w:i/>
        </w:rPr>
        <w:t xml:space="preserve"> J Med</w:t>
      </w:r>
      <w:r>
        <w:rPr>
          <w:rFonts w:asciiTheme="minorHAnsi" w:eastAsia="TimesNewRoman" w:hAnsiTheme="minorHAnsi" w:cs="TimesNewRoman"/>
        </w:rPr>
        <w:t xml:space="preserve"> 2015; 373</w:t>
      </w:r>
      <w:r w:rsidRPr="00B03564">
        <w:rPr>
          <w:rFonts w:asciiTheme="minorHAnsi" w:eastAsia="TimesNewRoman" w:hAnsiTheme="minorHAnsi" w:cs="TimesNewRoman"/>
        </w:rPr>
        <w:t>:</w:t>
      </w:r>
      <w:r>
        <w:rPr>
          <w:rFonts w:asciiTheme="minorHAnsi" w:eastAsia="TimesNewRoman" w:hAnsiTheme="minorHAnsi" w:cs="TimesNewRoman"/>
        </w:rPr>
        <w:t xml:space="preserve"> </w:t>
      </w:r>
      <w:r w:rsidRPr="00B03564">
        <w:rPr>
          <w:rFonts w:asciiTheme="minorHAnsi" w:eastAsia="TimesNewRoman" w:hAnsiTheme="minorHAnsi" w:cs="TimesNewRoman"/>
        </w:rPr>
        <w:t>2599-</w:t>
      </w:r>
      <w:r>
        <w:rPr>
          <w:rFonts w:asciiTheme="minorHAnsi" w:eastAsia="TimesNewRoman" w:hAnsiTheme="minorHAnsi" w:cs="TimesNewRoman"/>
        </w:rPr>
        <w:t>2</w:t>
      </w:r>
      <w:r w:rsidRPr="00B03564">
        <w:rPr>
          <w:rFonts w:asciiTheme="minorHAnsi" w:eastAsia="TimesNewRoman" w:hAnsiTheme="minorHAnsi" w:cs="TimesNewRoman"/>
        </w:rPr>
        <w:t>607</w:t>
      </w:r>
    </w:p>
  </w:footnote>
  <w:footnote w:id="20">
    <w:p w:rsidR="00E3090E" w:rsidRPr="003A5113" w:rsidRDefault="00E3090E">
      <w:pPr>
        <w:pStyle w:val="FootnoteText"/>
        <w:rPr>
          <w:lang w:val="en-US"/>
        </w:rPr>
      </w:pPr>
      <w:r>
        <w:rPr>
          <w:rStyle w:val="FootnoteReference"/>
        </w:rPr>
        <w:footnoteRef/>
      </w:r>
      <w:r>
        <w:t xml:space="preserve"> </w:t>
      </w:r>
      <w:r w:rsidRPr="00B03564">
        <w:rPr>
          <w:rFonts w:asciiTheme="minorHAnsi" w:eastAsia="TimesNewRoman" w:hAnsiTheme="minorHAnsi" w:cs="TimesNewRoman"/>
        </w:rPr>
        <w:t xml:space="preserve">European Association </w:t>
      </w:r>
      <w:proofErr w:type="gramStart"/>
      <w:r w:rsidRPr="00B03564">
        <w:rPr>
          <w:rFonts w:asciiTheme="minorHAnsi" w:eastAsia="TimesNewRoman" w:hAnsiTheme="minorHAnsi" w:cs="TimesNewRoman"/>
        </w:rPr>
        <w:t>For</w:t>
      </w:r>
      <w:proofErr w:type="gramEnd"/>
      <w:r w:rsidRPr="00B03564">
        <w:rPr>
          <w:rFonts w:asciiTheme="minorHAnsi" w:eastAsia="TimesNewRoman" w:hAnsiTheme="minorHAnsi" w:cs="TimesNewRoman"/>
        </w:rPr>
        <w:t xml:space="preserve"> The Study of the Liver. </w:t>
      </w:r>
      <w:proofErr w:type="gramStart"/>
      <w:r w:rsidRPr="00B03564">
        <w:rPr>
          <w:rFonts w:asciiTheme="minorHAnsi" w:eastAsia="TimesNewRoman" w:hAnsiTheme="minorHAnsi" w:cs="TimesNewRoman"/>
        </w:rPr>
        <w:t>EASL Recommendations on Treatment of Hepatitis C - SUMMARY.</w:t>
      </w:r>
      <w:proofErr w:type="gramEnd"/>
      <w:r w:rsidRPr="00B03564">
        <w:rPr>
          <w:rFonts w:asciiTheme="minorHAnsi" w:eastAsia="TimesNewRoman" w:hAnsiTheme="minorHAnsi" w:cs="TimesNewRoman"/>
        </w:rPr>
        <w:t xml:space="preserve"> </w:t>
      </w:r>
      <w:proofErr w:type="gramStart"/>
      <w:r w:rsidRPr="00B03564">
        <w:rPr>
          <w:rFonts w:asciiTheme="minorHAnsi" w:eastAsia="TimesNewRoman" w:hAnsiTheme="minorHAnsi" w:cs="TimesNewRoman"/>
        </w:rPr>
        <w:t>September.</w:t>
      </w:r>
      <w:proofErr w:type="gramEnd"/>
      <w:r w:rsidRPr="00B03564">
        <w:rPr>
          <w:rFonts w:asciiTheme="minorHAnsi" w:eastAsia="TimesNewRoman" w:hAnsiTheme="minorHAnsi" w:cs="TimesNewRoman"/>
        </w:rPr>
        <w:t xml:space="preserve"> 2016.</w:t>
      </w:r>
    </w:p>
  </w:footnote>
  <w:footnote w:id="21">
    <w:p w:rsidR="00E3090E" w:rsidRPr="003A5113" w:rsidRDefault="00E3090E">
      <w:pPr>
        <w:pStyle w:val="FootnoteText"/>
        <w:rPr>
          <w:lang w:val="en-US"/>
        </w:rPr>
      </w:pPr>
      <w:r>
        <w:rPr>
          <w:rStyle w:val="FootnoteReference"/>
        </w:rPr>
        <w:footnoteRef/>
      </w:r>
      <w:r>
        <w:t xml:space="preserve"> </w:t>
      </w:r>
      <w:proofErr w:type="gramStart"/>
      <w:r w:rsidRPr="00B03564">
        <w:rPr>
          <w:rFonts w:asciiTheme="minorHAnsi" w:eastAsia="TimesNewRoman" w:hAnsiTheme="minorHAnsi" w:cs="TimesNewRoman"/>
        </w:rPr>
        <w:t>AASLD-IDSA.</w:t>
      </w:r>
      <w:proofErr w:type="gramEnd"/>
      <w:r w:rsidRPr="00B03564">
        <w:rPr>
          <w:rFonts w:asciiTheme="minorHAnsi" w:eastAsia="TimesNewRoman" w:hAnsiTheme="minorHAnsi" w:cs="TimesNewRoman"/>
        </w:rPr>
        <w:t xml:space="preserve"> Recommendations for Testing, Managing</w:t>
      </w:r>
      <w:r>
        <w:rPr>
          <w:rFonts w:asciiTheme="minorHAnsi" w:eastAsia="TimesNewRoman" w:hAnsiTheme="minorHAnsi" w:cs="TimesNewRoman"/>
        </w:rPr>
        <w:t xml:space="preserve"> and</w:t>
      </w:r>
      <w:r w:rsidRPr="00B03564">
        <w:rPr>
          <w:rFonts w:asciiTheme="minorHAnsi" w:eastAsia="TimesNewRoman" w:hAnsiTheme="minorHAnsi" w:cs="TimesNewRoman"/>
        </w:rPr>
        <w:t xml:space="preserve"> Treating Hepatitis C. Available at: </w:t>
      </w:r>
      <w:hyperlink r:id="rId1" w:history="1">
        <w:r w:rsidRPr="00B14720">
          <w:rPr>
            <w:rStyle w:val="Hyperlink"/>
            <w:rFonts w:asciiTheme="minorHAnsi" w:eastAsia="TimesNewRoman" w:hAnsiTheme="minorHAnsi" w:cs="TimesNewRoman"/>
            <w:color w:val="auto"/>
            <w:u w:val="none"/>
          </w:rPr>
          <w:t>http://www.hcvguidelines.org/full-report-view. Updated 06 July. 2016</w:t>
        </w:r>
      </w:hyperlink>
    </w:p>
  </w:footnote>
  <w:footnote w:id="22">
    <w:p w:rsidR="00E3090E" w:rsidRPr="003A5113" w:rsidRDefault="00E3090E">
      <w:pPr>
        <w:pStyle w:val="FootnoteText"/>
        <w:rPr>
          <w:lang w:val="en-US"/>
        </w:rPr>
      </w:pPr>
      <w:r>
        <w:rPr>
          <w:rStyle w:val="FootnoteReference"/>
        </w:rPr>
        <w:footnoteRef/>
      </w:r>
      <w:r>
        <w:t xml:space="preserve"> </w:t>
      </w:r>
      <w:r w:rsidRPr="00B03564">
        <w:rPr>
          <w:rFonts w:asciiTheme="minorHAnsi" w:eastAsia="TimesNewRoman" w:hAnsiTheme="minorHAnsi" w:cs="TimesNewRoman"/>
        </w:rPr>
        <w:t xml:space="preserve">Morgan RL, </w:t>
      </w:r>
      <w:r>
        <w:rPr>
          <w:rFonts w:asciiTheme="minorHAnsi" w:eastAsia="TimesNewRoman" w:hAnsiTheme="minorHAnsi" w:cs="TimesNewRoman"/>
        </w:rPr>
        <w:t>et al</w:t>
      </w:r>
      <w:r w:rsidRPr="00B03564">
        <w:rPr>
          <w:rFonts w:asciiTheme="minorHAnsi" w:eastAsia="TimesNewRoman" w:hAnsiTheme="minorHAnsi" w:cs="TimesNewRoman"/>
        </w:rPr>
        <w:t xml:space="preserve">. Eradication of Hepatitis C Virus Infection and the Development of Hepatocellular Carcinoma. </w:t>
      </w:r>
      <w:r w:rsidRPr="00B14720">
        <w:rPr>
          <w:rFonts w:asciiTheme="minorHAnsi" w:eastAsia="TimesNewRoman" w:hAnsiTheme="minorHAnsi" w:cs="TimesNewRoman"/>
          <w:i/>
        </w:rPr>
        <w:t>Ann Intern Med</w:t>
      </w:r>
      <w:r w:rsidRPr="00B03564">
        <w:rPr>
          <w:rFonts w:asciiTheme="minorHAnsi" w:eastAsia="TimesNewRoman" w:hAnsiTheme="minorHAnsi" w:cs="TimesNewRoman"/>
        </w:rPr>
        <w:t xml:space="preserve"> 2013</w:t>
      </w:r>
      <w:proofErr w:type="gramStart"/>
      <w:r w:rsidRPr="00B03564">
        <w:rPr>
          <w:rFonts w:asciiTheme="minorHAnsi" w:eastAsia="TimesNewRoman" w:hAnsiTheme="minorHAnsi" w:cs="TimesNewRoman"/>
        </w:rPr>
        <w:t>;158</w:t>
      </w:r>
      <w:proofErr w:type="gramEnd"/>
      <w:r w:rsidRPr="00B03564">
        <w:rPr>
          <w:rFonts w:asciiTheme="minorHAnsi" w:eastAsia="TimesNewRoman" w:hAnsiTheme="minorHAnsi" w:cs="TimesNewRoman"/>
        </w:rPr>
        <w:t xml:space="preserve"> (5 (Part I))</w:t>
      </w:r>
      <w:r>
        <w:rPr>
          <w:rFonts w:asciiTheme="minorHAnsi" w:eastAsia="TimesNewRoman" w:hAnsiTheme="minorHAnsi" w:cs="TimesNewRoman"/>
        </w:rPr>
        <w:t>.</w:t>
      </w:r>
    </w:p>
  </w:footnote>
  <w:footnote w:id="23">
    <w:p w:rsidR="00E3090E" w:rsidRPr="003A5113" w:rsidRDefault="00E3090E">
      <w:pPr>
        <w:pStyle w:val="FootnoteText"/>
        <w:rPr>
          <w:lang w:val="en-US"/>
        </w:rPr>
      </w:pPr>
      <w:r>
        <w:rPr>
          <w:rStyle w:val="FootnoteReference"/>
        </w:rPr>
        <w:footnoteRef/>
      </w:r>
      <w:r>
        <w:t xml:space="preserve"> </w:t>
      </w:r>
      <w:proofErr w:type="gramStart"/>
      <w:r>
        <w:rPr>
          <w:rFonts w:asciiTheme="minorHAnsi" w:eastAsia="TimesNewRoman" w:hAnsiTheme="minorHAnsi" w:cs="TimesNewRoman"/>
        </w:rPr>
        <w:t>van</w:t>
      </w:r>
      <w:proofErr w:type="gramEnd"/>
      <w:r>
        <w:rPr>
          <w:rFonts w:asciiTheme="minorHAnsi" w:eastAsia="TimesNewRoman" w:hAnsiTheme="minorHAnsi" w:cs="TimesNewRoman"/>
        </w:rPr>
        <w:t xml:space="preserve"> der Meer AJ</w:t>
      </w:r>
      <w:r w:rsidRPr="00B03564">
        <w:rPr>
          <w:rFonts w:asciiTheme="minorHAnsi" w:eastAsia="TimesNewRoman" w:hAnsiTheme="minorHAnsi" w:cs="TimesNewRoman"/>
        </w:rPr>
        <w:t xml:space="preserve">, et al. Association between sustained virological response and all-cause mortality among patients with chronic hepatitis C and advanced hepatic fibrosis. </w:t>
      </w:r>
      <w:r w:rsidRPr="00B14720">
        <w:rPr>
          <w:rFonts w:asciiTheme="minorHAnsi" w:eastAsia="TimesNewRoman" w:hAnsiTheme="minorHAnsi" w:cs="TimesNewRoman"/>
          <w:i/>
        </w:rPr>
        <w:t>JAMA</w:t>
      </w:r>
      <w:r w:rsidRPr="00B03564">
        <w:rPr>
          <w:rFonts w:asciiTheme="minorHAnsi" w:eastAsia="TimesNewRoman" w:hAnsiTheme="minorHAnsi" w:cs="TimesNewRoman"/>
        </w:rPr>
        <w:t xml:space="preserve"> 2012;</w:t>
      </w:r>
      <w:r>
        <w:rPr>
          <w:rFonts w:asciiTheme="minorHAnsi" w:eastAsia="TimesNewRoman" w:hAnsiTheme="minorHAnsi" w:cs="TimesNewRoman"/>
        </w:rPr>
        <w:t xml:space="preserve"> 308</w:t>
      </w:r>
      <w:r w:rsidRPr="00B03564">
        <w:rPr>
          <w:rFonts w:asciiTheme="minorHAnsi" w:eastAsia="TimesNewRoman" w:hAnsiTheme="minorHAnsi" w:cs="TimesNewRoman"/>
        </w:rPr>
        <w:t>:</w:t>
      </w:r>
      <w:r>
        <w:rPr>
          <w:rFonts w:asciiTheme="minorHAnsi" w:eastAsia="TimesNewRoman" w:hAnsiTheme="minorHAnsi" w:cs="TimesNewRoman"/>
        </w:rPr>
        <w:t xml:space="preserve"> </w:t>
      </w:r>
      <w:r w:rsidRPr="00B03564">
        <w:rPr>
          <w:rFonts w:asciiTheme="minorHAnsi" w:eastAsia="TimesNewRoman" w:hAnsiTheme="minorHAnsi" w:cs="TimesNewRoman"/>
        </w:rPr>
        <w:t>2584-</w:t>
      </w:r>
      <w:r>
        <w:rPr>
          <w:rFonts w:asciiTheme="minorHAnsi" w:eastAsia="TimesNewRoman" w:hAnsiTheme="minorHAnsi" w:cs="TimesNewRoman"/>
        </w:rPr>
        <w:t>25</w:t>
      </w:r>
      <w:r w:rsidRPr="00B03564">
        <w:rPr>
          <w:rFonts w:asciiTheme="minorHAnsi" w:eastAsia="TimesNewRoman" w:hAnsiTheme="minorHAnsi" w:cs="TimesNewRoman"/>
        </w:rPr>
        <w:t>93</w:t>
      </w:r>
    </w:p>
  </w:footnote>
  <w:footnote w:id="24">
    <w:p w:rsidR="00E3090E" w:rsidRPr="003A5113" w:rsidRDefault="00E3090E">
      <w:pPr>
        <w:pStyle w:val="FootnoteText"/>
        <w:rPr>
          <w:lang w:val="en-US"/>
        </w:rPr>
      </w:pPr>
      <w:r>
        <w:rPr>
          <w:rStyle w:val="FootnoteReference"/>
        </w:rPr>
        <w:footnoteRef/>
      </w:r>
      <w:r>
        <w:t xml:space="preserve"> </w:t>
      </w:r>
      <w:proofErr w:type="gramStart"/>
      <w:r w:rsidRPr="00B03564">
        <w:rPr>
          <w:rFonts w:asciiTheme="minorHAnsi" w:eastAsia="TimesNewRoman" w:hAnsiTheme="minorHAnsi" w:cs="TimesNewRoman"/>
        </w:rPr>
        <w:t>Veldt BJ, et al. Sustained virologic response and clinical outcomes in patients with chronic hepatitis C and advanced fibrosis.</w:t>
      </w:r>
      <w:proofErr w:type="gramEnd"/>
      <w:r w:rsidRPr="00B03564">
        <w:rPr>
          <w:rFonts w:asciiTheme="minorHAnsi" w:eastAsia="TimesNewRoman" w:hAnsiTheme="minorHAnsi" w:cs="TimesNewRoman"/>
        </w:rPr>
        <w:t xml:space="preserve"> </w:t>
      </w:r>
      <w:r w:rsidRPr="00B14720">
        <w:rPr>
          <w:rFonts w:asciiTheme="minorHAnsi" w:eastAsia="TimesNewRoman" w:hAnsiTheme="minorHAnsi" w:cs="TimesNewRoman"/>
          <w:i/>
        </w:rPr>
        <w:t>Ann Intern Med</w:t>
      </w:r>
      <w:r w:rsidRPr="00B03564">
        <w:rPr>
          <w:rFonts w:asciiTheme="minorHAnsi" w:eastAsia="TimesNewRoman" w:hAnsiTheme="minorHAnsi" w:cs="TimesNewRoman"/>
        </w:rPr>
        <w:t xml:space="preserve"> 2007;</w:t>
      </w:r>
      <w:r>
        <w:rPr>
          <w:rFonts w:asciiTheme="minorHAnsi" w:eastAsia="TimesNewRoman" w:hAnsiTheme="minorHAnsi" w:cs="TimesNewRoman"/>
        </w:rPr>
        <w:t xml:space="preserve"> 147</w:t>
      </w:r>
      <w:r w:rsidRPr="00B03564">
        <w:rPr>
          <w:rFonts w:asciiTheme="minorHAnsi" w:eastAsia="TimesNewRoman" w:hAnsiTheme="minorHAnsi" w:cs="TimesNewRoman"/>
        </w:rPr>
        <w:t>:677-</w:t>
      </w:r>
      <w:r>
        <w:rPr>
          <w:rFonts w:asciiTheme="minorHAnsi" w:eastAsia="TimesNewRoman" w:hAnsiTheme="minorHAnsi" w:cs="TimesNewRoman"/>
        </w:rPr>
        <w:t>6</w:t>
      </w:r>
      <w:r w:rsidRPr="00B03564">
        <w:rPr>
          <w:rFonts w:asciiTheme="minorHAnsi" w:eastAsia="TimesNewRoman" w:hAnsiTheme="minorHAnsi" w:cs="TimesNewRoman"/>
        </w:rPr>
        <w:t>84.</w:t>
      </w:r>
    </w:p>
  </w:footnote>
  <w:footnote w:id="25">
    <w:p w:rsidR="00E3090E" w:rsidRPr="003A5113" w:rsidRDefault="00E3090E">
      <w:pPr>
        <w:pStyle w:val="FootnoteText"/>
        <w:rPr>
          <w:lang w:val="en-US"/>
        </w:rPr>
      </w:pPr>
      <w:r>
        <w:rPr>
          <w:rStyle w:val="FootnoteReference"/>
        </w:rPr>
        <w:footnoteRef/>
      </w:r>
      <w:r>
        <w:t xml:space="preserve"> </w:t>
      </w:r>
      <w:proofErr w:type="spellStart"/>
      <w:r w:rsidRPr="00B03564">
        <w:rPr>
          <w:rFonts w:asciiTheme="minorHAnsi" w:eastAsia="TimesNewRoman" w:hAnsiTheme="minorHAnsi" w:cs="TimesNewRoman"/>
        </w:rPr>
        <w:t>Poynard</w:t>
      </w:r>
      <w:proofErr w:type="spellEnd"/>
      <w:r w:rsidRPr="00B03564">
        <w:rPr>
          <w:rFonts w:asciiTheme="minorHAnsi" w:eastAsia="TimesNewRoman" w:hAnsiTheme="minorHAnsi" w:cs="TimesNewRoman"/>
        </w:rPr>
        <w:t xml:space="preserve"> T, et al. Impact of pegylated interferon alfa-2b and ribavirin on liver fibrosis in patients with chronic hepatitis C. </w:t>
      </w:r>
      <w:r w:rsidRPr="00B14720">
        <w:rPr>
          <w:rFonts w:asciiTheme="minorHAnsi" w:eastAsia="TimesNewRoman" w:hAnsiTheme="minorHAnsi" w:cs="TimesNewRoman"/>
          <w:i/>
        </w:rPr>
        <w:t>Gastroenterology</w:t>
      </w:r>
      <w:r w:rsidRPr="00B03564">
        <w:rPr>
          <w:rFonts w:asciiTheme="minorHAnsi" w:eastAsia="TimesNewRoman" w:hAnsiTheme="minorHAnsi" w:cs="TimesNewRoman"/>
        </w:rPr>
        <w:t xml:space="preserve"> 2002;</w:t>
      </w:r>
      <w:r>
        <w:rPr>
          <w:rFonts w:asciiTheme="minorHAnsi" w:eastAsia="TimesNewRoman" w:hAnsiTheme="minorHAnsi" w:cs="TimesNewRoman"/>
        </w:rPr>
        <w:t xml:space="preserve"> 122</w:t>
      </w:r>
      <w:r w:rsidRPr="00B03564">
        <w:rPr>
          <w:rFonts w:asciiTheme="minorHAnsi" w:eastAsia="TimesNewRoman" w:hAnsiTheme="minorHAnsi" w:cs="TimesNewRoman"/>
        </w:rPr>
        <w:t>:</w:t>
      </w:r>
      <w:r>
        <w:rPr>
          <w:rFonts w:asciiTheme="minorHAnsi" w:eastAsia="TimesNewRoman" w:hAnsiTheme="minorHAnsi" w:cs="TimesNewRoman"/>
        </w:rPr>
        <w:t xml:space="preserve"> </w:t>
      </w:r>
      <w:r w:rsidRPr="00B03564">
        <w:rPr>
          <w:rFonts w:asciiTheme="minorHAnsi" w:eastAsia="TimesNewRoman" w:hAnsiTheme="minorHAnsi" w:cs="TimesNewRoman"/>
        </w:rPr>
        <w:t>1303-</w:t>
      </w:r>
      <w:r>
        <w:rPr>
          <w:rFonts w:asciiTheme="minorHAnsi" w:eastAsia="TimesNewRoman" w:hAnsiTheme="minorHAnsi" w:cs="TimesNewRoman"/>
        </w:rPr>
        <w:t>13</w:t>
      </w:r>
      <w:r w:rsidRPr="00B03564">
        <w:rPr>
          <w:rFonts w:asciiTheme="minorHAnsi" w:eastAsia="TimesNewRoman" w:hAnsiTheme="minorHAnsi" w:cs="TimesNewRoman"/>
        </w:rPr>
        <w:t>13</w:t>
      </w:r>
    </w:p>
  </w:footnote>
  <w:footnote w:id="26">
    <w:p w:rsidR="00E3090E" w:rsidRPr="00B14720" w:rsidRDefault="00E3090E" w:rsidP="00B14720">
      <w:pPr>
        <w:pStyle w:val="FootnoteText"/>
      </w:pPr>
      <w:r>
        <w:rPr>
          <w:rStyle w:val="FootnoteReference"/>
        </w:rPr>
        <w:footnoteRef/>
      </w:r>
      <w:r>
        <w:t xml:space="preserve"> </w:t>
      </w:r>
      <w:r w:rsidRPr="006F210A">
        <w:t>Nelson DR. HCV-TARGET International Registry Do Phase III Trials Translate into Real World</w:t>
      </w:r>
      <w:r>
        <w:t xml:space="preserve"> </w:t>
      </w:r>
      <w:r w:rsidRPr="006F210A">
        <w:t xml:space="preserve">[Presentation]. </w:t>
      </w:r>
      <w:proofErr w:type="gramStart"/>
      <w:r w:rsidRPr="006F210A">
        <w:t>15th International Symposium on Viral Hepatitis and Liver</w:t>
      </w:r>
      <w:r>
        <w:t xml:space="preserve"> </w:t>
      </w:r>
      <w:r w:rsidRPr="006F210A">
        <w:t>Disease (ISVHLD); 2015 26-28 June; Berlin, Germany.</w:t>
      </w:r>
      <w:proofErr w:type="gramEnd"/>
    </w:p>
  </w:footnote>
  <w:footnote w:id="27">
    <w:p w:rsidR="00E3090E" w:rsidRPr="00B14720" w:rsidRDefault="00E3090E" w:rsidP="00B14720">
      <w:pPr>
        <w:pStyle w:val="FootnoteText"/>
      </w:pPr>
      <w:r>
        <w:rPr>
          <w:rStyle w:val="FootnoteReference"/>
        </w:rPr>
        <w:footnoteRef/>
      </w:r>
      <w:r>
        <w:t xml:space="preserve"> </w:t>
      </w:r>
      <w:proofErr w:type="spellStart"/>
      <w:r w:rsidRPr="00B14720">
        <w:rPr>
          <w:rStyle w:val="FootnoteTextChar"/>
        </w:rPr>
        <w:t>Welzel</w:t>
      </w:r>
      <w:proofErr w:type="spellEnd"/>
      <w:r w:rsidRPr="00B14720">
        <w:rPr>
          <w:rStyle w:val="FootnoteTextChar"/>
        </w:rPr>
        <w:t xml:space="preserve"> TM, et al. Safety and Efficacy of Sofosbuvir and Ribavirin for the Treatment of HCV Genotype 2 and 3: Results of the HCV-TARGET Study [Abstract 1057]. </w:t>
      </w:r>
      <w:proofErr w:type="gramStart"/>
      <w:r w:rsidRPr="00B14720">
        <w:rPr>
          <w:rStyle w:val="FootnoteTextChar"/>
        </w:rPr>
        <w:t xml:space="preserve">66th Annual Meeting of the American </w:t>
      </w:r>
      <w:proofErr w:type="spellStart"/>
      <w:r w:rsidRPr="00B14720">
        <w:rPr>
          <w:rStyle w:val="FootnoteTextChar"/>
        </w:rPr>
        <w:t>Assoication</w:t>
      </w:r>
      <w:proofErr w:type="spellEnd"/>
      <w:r w:rsidRPr="00B14720">
        <w:rPr>
          <w:rStyle w:val="FootnoteTextChar"/>
        </w:rPr>
        <w:t xml:space="preserve"> for the Study of Liver Diseases (AASLD); 2015 13-17November; San Francisco, CA. pp. 727A-8A.</w:t>
      </w:r>
      <w:proofErr w:type="gramEnd"/>
    </w:p>
  </w:footnote>
  <w:footnote w:id="28">
    <w:p w:rsidR="00E3090E" w:rsidRPr="00B14720" w:rsidRDefault="00E3090E" w:rsidP="00B14720">
      <w:pPr>
        <w:pStyle w:val="FootnoteText"/>
      </w:pPr>
      <w:r>
        <w:rPr>
          <w:rStyle w:val="FootnoteReference"/>
        </w:rPr>
        <w:footnoteRef/>
      </w:r>
      <w:r>
        <w:t xml:space="preserve"> </w:t>
      </w:r>
      <w:proofErr w:type="spellStart"/>
      <w:r w:rsidRPr="00B03564">
        <w:t>Dieterich</w:t>
      </w:r>
      <w:proofErr w:type="spellEnd"/>
      <w:r w:rsidRPr="00B03564">
        <w:t xml:space="preserve"> DT, et al. Ledipasvir/Sofosbuvir +/- Ribavirin in Patients Co-infected with HCV and HIV: Real-World Heterogeneous Population from the TRIO Network [Poster #SAT-134]. </w:t>
      </w:r>
      <w:proofErr w:type="gramStart"/>
      <w:r w:rsidRPr="00B03564">
        <w:t>European Association for the Study of the Liver (EASL); 2016 13-17 April; Barcelona, Spain.</w:t>
      </w:r>
      <w:proofErr w:type="gramEnd"/>
    </w:p>
  </w:footnote>
  <w:footnote w:id="29">
    <w:p w:rsidR="00E3090E" w:rsidRPr="003A5113" w:rsidRDefault="00E3090E" w:rsidP="00B14720">
      <w:pPr>
        <w:pStyle w:val="FootnoteText"/>
        <w:rPr>
          <w:lang w:val="en-US"/>
        </w:rPr>
      </w:pPr>
      <w:r>
        <w:rPr>
          <w:rStyle w:val="FootnoteReference"/>
        </w:rPr>
        <w:footnoteRef/>
      </w:r>
      <w:r>
        <w:t xml:space="preserve"> </w:t>
      </w:r>
      <w:proofErr w:type="spellStart"/>
      <w:r>
        <w:rPr>
          <w:rFonts w:asciiTheme="minorHAnsi" w:eastAsia="TimesNewRoman" w:hAnsiTheme="minorHAnsi" w:cs="TimesNewRoman"/>
        </w:rPr>
        <w:t>Dieterich</w:t>
      </w:r>
      <w:proofErr w:type="spellEnd"/>
      <w:r>
        <w:rPr>
          <w:rFonts w:asciiTheme="minorHAnsi" w:eastAsia="TimesNewRoman" w:hAnsiTheme="minorHAnsi" w:cs="TimesNewRoman"/>
        </w:rPr>
        <w:t xml:space="preserve"> D</w:t>
      </w:r>
      <w:r w:rsidRPr="00B03564">
        <w:rPr>
          <w:rFonts w:asciiTheme="minorHAnsi" w:eastAsia="TimesNewRoman" w:hAnsiTheme="minorHAnsi" w:cs="TimesNewRoman"/>
        </w:rPr>
        <w:t xml:space="preserve">, et al. Final evaluation of 955 HCV patients treated with 12 week regimens containing sofosbuvir +/-simeprevir in the trio network: Academic and community treatment of a real-world, heterogeneous population [Abstract P0775]. </w:t>
      </w:r>
      <w:proofErr w:type="gramStart"/>
      <w:r w:rsidRPr="00B03564">
        <w:rPr>
          <w:rFonts w:asciiTheme="minorHAnsi" w:eastAsia="TimesNewRoman" w:hAnsiTheme="minorHAnsi" w:cs="TimesNewRoman"/>
        </w:rPr>
        <w:t>50th Annual Meeting of the European Association for the Study of the Liver (EASL); 2015a 22-26 April; Vienna, Austria.</w:t>
      </w:r>
      <w:proofErr w:type="gramEnd"/>
      <w:r w:rsidRPr="00B03564">
        <w:rPr>
          <w:rFonts w:asciiTheme="minorHAnsi" w:eastAsia="TimesNewRoman" w:hAnsiTheme="minorHAnsi" w:cs="TimesNewRoman"/>
        </w:rPr>
        <w:t xml:space="preserve"> p. S621.</w:t>
      </w:r>
    </w:p>
  </w:footnote>
  <w:footnote w:id="30">
    <w:p w:rsidR="00E3090E" w:rsidRPr="003A5113" w:rsidRDefault="00E3090E">
      <w:pPr>
        <w:pStyle w:val="FootnoteText"/>
        <w:rPr>
          <w:lang w:val="en-US"/>
        </w:rPr>
      </w:pPr>
      <w:r>
        <w:rPr>
          <w:rStyle w:val="FootnoteReference"/>
        </w:rPr>
        <w:footnoteRef/>
      </w:r>
      <w:r>
        <w:t xml:space="preserve"> </w:t>
      </w:r>
      <w:proofErr w:type="spellStart"/>
      <w:r w:rsidRPr="00B03564">
        <w:rPr>
          <w:rFonts w:asciiTheme="minorHAnsi" w:eastAsia="TimesNewRoman" w:hAnsiTheme="minorHAnsi" w:cs="TimesNewRoman"/>
        </w:rPr>
        <w:t>Dieterich</w:t>
      </w:r>
      <w:proofErr w:type="spellEnd"/>
      <w:r w:rsidRPr="00B03564">
        <w:rPr>
          <w:rFonts w:asciiTheme="minorHAnsi" w:eastAsia="TimesNewRoman" w:hAnsiTheme="minorHAnsi" w:cs="TimesNewRoman"/>
        </w:rPr>
        <w:t xml:space="preserve"> DT, et al. Final Evaluation of 955 HCV Patients Treated with 12 Week Regimens Containing Sofosbuvir +/- Simeprevir in the Trio Network: Academic and Community Treatment of a Real- World, Heterogeneous Population [Abstract P0775]. </w:t>
      </w:r>
      <w:proofErr w:type="gramStart"/>
      <w:r w:rsidRPr="00B03564">
        <w:rPr>
          <w:rFonts w:asciiTheme="minorHAnsi" w:eastAsia="TimesNewRoman" w:hAnsiTheme="minorHAnsi" w:cs="TimesNewRoman"/>
        </w:rPr>
        <w:t>Digestive Disease Week (DDW); 2015b 17-19 May; Washington, DC.</w:t>
      </w:r>
      <w:proofErr w:type="gramEnd"/>
    </w:p>
  </w:footnote>
  <w:footnote w:id="31">
    <w:p w:rsidR="00E3090E" w:rsidRPr="003A5113" w:rsidRDefault="00E3090E">
      <w:pPr>
        <w:pStyle w:val="FootnoteText"/>
        <w:rPr>
          <w:lang w:val="en-US"/>
        </w:rPr>
      </w:pPr>
      <w:r>
        <w:rPr>
          <w:rStyle w:val="FootnoteReference"/>
        </w:rPr>
        <w:footnoteRef/>
      </w:r>
      <w:r>
        <w:t xml:space="preserve"> </w:t>
      </w:r>
      <w:proofErr w:type="spellStart"/>
      <w:r w:rsidRPr="00B03564">
        <w:rPr>
          <w:rFonts w:asciiTheme="minorHAnsi" w:eastAsia="TimesNewRoman" w:hAnsiTheme="minorHAnsi" w:cs="TimesNewRoman"/>
        </w:rPr>
        <w:t>Younossi</w:t>
      </w:r>
      <w:proofErr w:type="spellEnd"/>
      <w:r w:rsidRPr="00B03564">
        <w:rPr>
          <w:rFonts w:asciiTheme="minorHAnsi" w:eastAsia="TimesNewRoman" w:hAnsiTheme="minorHAnsi" w:cs="TimesNewRoman"/>
        </w:rPr>
        <w:t xml:space="preserve"> ZM, et al. Evaluation of Access to Care in Patients Prescribed Sofosbuvir-Containing Regimens: Data From the TRIO Network [Abstract Tu1033]. </w:t>
      </w:r>
      <w:proofErr w:type="gramStart"/>
      <w:r w:rsidRPr="00B03564">
        <w:rPr>
          <w:rFonts w:asciiTheme="minorHAnsi" w:eastAsia="TimesNewRoman" w:hAnsiTheme="minorHAnsi" w:cs="TimesNewRoman"/>
        </w:rPr>
        <w:t>Digestive Disease Week 2015 (DDW); 2015 17-19 May; Washington, DC.</w:t>
      </w:r>
      <w:proofErr w:type="gramEnd"/>
      <w:r w:rsidRPr="00B03564">
        <w:rPr>
          <w:rFonts w:asciiTheme="minorHAnsi" w:eastAsia="TimesNewRoman" w:hAnsiTheme="minorHAnsi" w:cs="TimesNewRoman"/>
        </w:rPr>
        <w:t xml:space="preserve"> p. S1090.</w:t>
      </w:r>
    </w:p>
  </w:footnote>
  <w:footnote w:id="32">
    <w:p w:rsidR="00E3090E" w:rsidRPr="003A5113" w:rsidRDefault="00E3090E">
      <w:pPr>
        <w:pStyle w:val="FootnoteText"/>
        <w:rPr>
          <w:lang w:val="en-US"/>
        </w:rPr>
      </w:pPr>
      <w:r>
        <w:rPr>
          <w:rStyle w:val="FootnoteReference"/>
        </w:rPr>
        <w:footnoteRef/>
      </w:r>
      <w:r>
        <w:t xml:space="preserve"> </w:t>
      </w:r>
      <w:proofErr w:type="spellStart"/>
      <w:r w:rsidRPr="00B03564">
        <w:rPr>
          <w:rFonts w:asciiTheme="minorHAnsi" w:eastAsia="TimesNewRoman" w:hAnsiTheme="minorHAnsi" w:cs="TimesNewRoman"/>
        </w:rPr>
        <w:t>Chhatwal</w:t>
      </w:r>
      <w:proofErr w:type="spellEnd"/>
      <w:r w:rsidRPr="00B03564">
        <w:rPr>
          <w:rFonts w:asciiTheme="minorHAnsi" w:eastAsia="TimesNewRoman" w:hAnsiTheme="minorHAnsi" w:cs="TimesNewRoman"/>
        </w:rPr>
        <w:t xml:space="preserve"> J, et al. Patients who </w:t>
      </w:r>
      <w:proofErr w:type="gramStart"/>
      <w:r w:rsidRPr="00B03564">
        <w:rPr>
          <w:rFonts w:asciiTheme="minorHAnsi" w:eastAsia="TimesNewRoman" w:hAnsiTheme="minorHAnsi" w:cs="TimesNewRoman"/>
        </w:rPr>
        <w:t>Fail</w:t>
      </w:r>
      <w:proofErr w:type="gramEnd"/>
      <w:r w:rsidRPr="00B03564">
        <w:rPr>
          <w:rFonts w:asciiTheme="minorHAnsi" w:eastAsia="TimesNewRoman" w:hAnsiTheme="minorHAnsi" w:cs="TimesNewRoman"/>
        </w:rPr>
        <w:t xml:space="preserve"> Treatment in the era of DAAs: Projections from HEP-SIM Model [Abstract 839]. </w:t>
      </w:r>
      <w:proofErr w:type="gramStart"/>
      <w:r w:rsidRPr="00B03564">
        <w:rPr>
          <w:rFonts w:asciiTheme="minorHAnsi" w:eastAsia="TimesNewRoman" w:hAnsiTheme="minorHAnsi" w:cs="TimesNewRoman"/>
        </w:rPr>
        <w:t>American Association for the Study of Liver Diseases (AASLD); 2016 11-15 November; Boston, MA.</w:t>
      </w:r>
      <w:proofErr w:type="gramEnd"/>
    </w:p>
  </w:footnote>
  <w:footnote w:id="33">
    <w:p w:rsidR="00E3090E" w:rsidRDefault="00E3090E" w:rsidP="001F05BF">
      <w:pPr>
        <w:autoSpaceDE w:val="0"/>
        <w:autoSpaceDN w:val="0"/>
        <w:adjustRightInd w:val="0"/>
        <w:spacing w:before="0" w:after="0" w:line="240" w:lineRule="auto"/>
      </w:pPr>
      <w:r w:rsidRPr="000615B9">
        <w:rPr>
          <w:rStyle w:val="FootnoteReference"/>
          <w:sz w:val="16"/>
          <w:szCs w:val="16"/>
        </w:rPr>
        <w:footnoteRef/>
      </w:r>
      <w:r w:rsidRPr="000615B9">
        <w:rPr>
          <w:sz w:val="16"/>
          <w:szCs w:val="16"/>
        </w:rPr>
        <w:t xml:space="preserve"> </w:t>
      </w:r>
      <w:r w:rsidRPr="000615B9">
        <w:rPr>
          <w:rFonts w:asciiTheme="minorHAnsi" w:eastAsia="TimesNewRoman" w:hAnsiTheme="minorHAnsi" w:cs="TimesNewRoman"/>
          <w:color w:val="000000"/>
          <w:sz w:val="16"/>
          <w:szCs w:val="16"/>
        </w:rPr>
        <w:t>The EU summary of product characteristics (</w:t>
      </w:r>
      <w:proofErr w:type="spellStart"/>
      <w:r w:rsidRPr="000615B9">
        <w:rPr>
          <w:rFonts w:asciiTheme="minorHAnsi" w:eastAsia="TimesNewRoman" w:hAnsiTheme="minorHAnsi" w:cs="TimesNewRoman"/>
          <w:color w:val="000000"/>
          <w:sz w:val="16"/>
          <w:szCs w:val="16"/>
        </w:rPr>
        <w:t>SmPC</w:t>
      </w:r>
      <w:proofErr w:type="spellEnd"/>
      <w:r w:rsidRPr="000615B9">
        <w:rPr>
          <w:rFonts w:asciiTheme="minorHAnsi" w:eastAsia="TimesNewRoman" w:hAnsiTheme="minorHAnsi" w:cs="TimesNewRoman"/>
          <w:color w:val="000000"/>
          <w:sz w:val="16"/>
          <w:szCs w:val="16"/>
        </w:rPr>
        <w:t xml:space="preserve">) for </w:t>
      </w:r>
      <w:proofErr w:type="spellStart"/>
      <w:r w:rsidRPr="000615B9">
        <w:rPr>
          <w:rFonts w:asciiTheme="minorHAnsi" w:eastAsia="TimesNewRoman" w:hAnsiTheme="minorHAnsi" w:cs="TimesNewRoman"/>
          <w:color w:val="000000"/>
          <w:sz w:val="16"/>
          <w:szCs w:val="16"/>
        </w:rPr>
        <w:t>Epclusa</w:t>
      </w:r>
      <w:proofErr w:type="spellEnd"/>
      <w:r w:rsidRPr="000615B9">
        <w:rPr>
          <w:rFonts w:asciiTheme="minorHAnsi" w:eastAsia="TimesNewRoman" w:hAnsiTheme="minorHAnsi" w:cs="TimesNewRoman"/>
          <w:color w:val="000000"/>
          <w:sz w:val="16"/>
          <w:szCs w:val="16"/>
        </w:rPr>
        <w:t xml:space="preserve"> does provide a recommendation for use in patients who have failed treatment with DAAs, but this is accompanied by a “Special warning and precaution for use” (Section 4.4 of the EU </w:t>
      </w:r>
      <w:proofErr w:type="spellStart"/>
      <w:r w:rsidRPr="000615B9">
        <w:rPr>
          <w:rFonts w:asciiTheme="minorHAnsi" w:eastAsia="TimesNewRoman" w:hAnsiTheme="minorHAnsi" w:cs="TimesNewRoman"/>
          <w:color w:val="000000"/>
          <w:sz w:val="16"/>
          <w:szCs w:val="16"/>
        </w:rPr>
        <w:t>SmPC</w:t>
      </w:r>
      <w:proofErr w:type="spellEnd"/>
      <w:r w:rsidRPr="000615B9">
        <w:rPr>
          <w:rFonts w:asciiTheme="minorHAnsi" w:eastAsia="TimesNewRoman" w:hAnsiTheme="minorHAnsi" w:cs="TimesNewRoman"/>
          <w:color w:val="000000"/>
          <w:sz w:val="16"/>
          <w:szCs w:val="16"/>
        </w:rPr>
        <w:t>), which highlights the lack of clinical data to support optimal use and that the use should be reserved for a specific subset of patients (deemed at high risk for clinical disease progression and who do not have alternative treatment options).</w:t>
      </w:r>
    </w:p>
  </w:footnote>
  <w:footnote w:id="34">
    <w:p w:rsidR="00E3090E" w:rsidRPr="003A5113" w:rsidRDefault="00E3090E">
      <w:pPr>
        <w:pStyle w:val="FootnoteText"/>
        <w:rPr>
          <w:lang w:val="en-US"/>
        </w:rPr>
      </w:pPr>
      <w:r>
        <w:rPr>
          <w:rStyle w:val="FootnoteReference"/>
        </w:rPr>
        <w:footnoteRef/>
      </w:r>
      <w:r>
        <w:t xml:space="preserve"> </w:t>
      </w:r>
      <w:proofErr w:type="spellStart"/>
      <w:r w:rsidRPr="00B03564">
        <w:rPr>
          <w:rFonts w:asciiTheme="minorHAnsi" w:eastAsia="TimesNewRoman" w:hAnsiTheme="minorHAnsi" w:cs="TimesNewRoman"/>
        </w:rPr>
        <w:t>Lawitz</w:t>
      </w:r>
      <w:proofErr w:type="spellEnd"/>
      <w:r w:rsidRPr="00B03564">
        <w:rPr>
          <w:rFonts w:asciiTheme="minorHAnsi" w:eastAsia="TimesNewRoman" w:hAnsiTheme="minorHAnsi" w:cs="TimesNewRoman"/>
        </w:rPr>
        <w:t xml:space="preserve"> E, et al. Retreatment of Patients</w:t>
      </w:r>
      <w:r>
        <w:rPr>
          <w:rFonts w:asciiTheme="minorHAnsi" w:eastAsia="TimesNewRoman" w:hAnsiTheme="minorHAnsi" w:cs="TimesNewRoman"/>
        </w:rPr>
        <w:t xml:space="preserve"> </w:t>
      </w:r>
      <w:r w:rsidRPr="00B03564">
        <w:rPr>
          <w:rFonts w:asciiTheme="minorHAnsi" w:eastAsia="TimesNewRoman" w:hAnsiTheme="minorHAnsi" w:cs="TimesNewRoman"/>
        </w:rPr>
        <w:t xml:space="preserve">Who Failed 8 or 12 Weeks of Ledipasvir/Sofosbuvir-Based Regimens </w:t>
      </w:r>
      <w:proofErr w:type="gramStart"/>
      <w:r w:rsidRPr="00B03564">
        <w:rPr>
          <w:rFonts w:asciiTheme="minorHAnsi" w:eastAsia="TimesNewRoman" w:hAnsiTheme="minorHAnsi" w:cs="TimesNewRoman"/>
        </w:rPr>
        <w:t>With</w:t>
      </w:r>
      <w:proofErr w:type="gramEnd"/>
      <w:r w:rsidRPr="00B03564">
        <w:rPr>
          <w:rFonts w:asciiTheme="minorHAnsi" w:eastAsia="TimesNewRoman" w:hAnsiTheme="minorHAnsi" w:cs="TimesNewRoman"/>
        </w:rPr>
        <w:t xml:space="preserve"> Ledipasvir/Sofosbuvir for 24 Weeks. </w:t>
      </w:r>
      <w:proofErr w:type="gramStart"/>
      <w:r w:rsidRPr="00B03564">
        <w:rPr>
          <w:rFonts w:asciiTheme="minorHAnsi" w:eastAsia="TimesNewRoman" w:hAnsiTheme="minorHAnsi" w:cs="TimesNewRoman"/>
        </w:rPr>
        <w:t>European Association for the Study of the</w:t>
      </w:r>
      <w:r>
        <w:rPr>
          <w:rFonts w:asciiTheme="minorHAnsi" w:eastAsia="TimesNewRoman" w:hAnsiTheme="minorHAnsi" w:cs="TimesNewRoman"/>
        </w:rPr>
        <w:t xml:space="preserve"> </w:t>
      </w:r>
      <w:r w:rsidRPr="00B03564">
        <w:rPr>
          <w:rFonts w:asciiTheme="minorHAnsi" w:eastAsia="TimesNewRoman" w:hAnsiTheme="minorHAnsi" w:cs="TimesNewRoman"/>
        </w:rPr>
        <w:t>Liver (EASL).</w:t>
      </w:r>
      <w:proofErr w:type="gramEnd"/>
      <w:r w:rsidRPr="00B03564">
        <w:rPr>
          <w:rFonts w:asciiTheme="minorHAnsi" w:eastAsia="TimesNewRoman" w:hAnsiTheme="minorHAnsi" w:cs="TimesNewRoman"/>
        </w:rPr>
        <w:t xml:space="preserve"> </w:t>
      </w:r>
      <w:proofErr w:type="gramStart"/>
      <w:r w:rsidRPr="00B03564">
        <w:rPr>
          <w:rFonts w:asciiTheme="minorHAnsi" w:eastAsia="TimesNewRoman" w:hAnsiTheme="minorHAnsi" w:cs="TimesNewRoman"/>
        </w:rPr>
        <w:t>The 50th International Liver Congress; 2015 April 22-26; Vienna, Austria.</w:t>
      </w:r>
      <w:proofErr w:type="gramEnd"/>
    </w:p>
  </w:footnote>
  <w:footnote w:id="35">
    <w:p w:rsidR="00E3090E" w:rsidRPr="003A5113" w:rsidRDefault="00E3090E">
      <w:pPr>
        <w:pStyle w:val="FootnoteText"/>
        <w:rPr>
          <w:lang w:val="en-US"/>
        </w:rPr>
      </w:pPr>
      <w:r>
        <w:rPr>
          <w:rStyle w:val="FootnoteReference"/>
        </w:rPr>
        <w:footnoteRef/>
      </w:r>
      <w:r>
        <w:t xml:space="preserve"> </w:t>
      </w:r>
      <w:proofErr w:type="spellStart"/>
      <w:r w:rsidRPr="00B03564">
        <w:rPr>
          <w:rFonts w:asciiTheme="minorHAnsi" w:eastAsia="TimesNewRoman" w:hAnsiTheme="minorHAnsi" w:cs="TimesNewRoman"/>
        </w:rPr>
        <w:t>Gane</w:t>
      </w:r>
      <w:proofErr w:type="spellEnd"/>
      <w:r w:rsidRPr="00B03564">
        <w:rPr>
          <w:rFonts w:asciiTheme="minorHAnsi" w:eastAsia="TimesNewRoman" w:hAnsiTheme="minorHAnsi" w:cs="TimesNewRoman"/>
        </w:rPr>
        <w:t xml:space="preserve"> E</w:t>
      </w:r>
      <w:r>
        <w:rPr>
          <w:rFonts w:asciiTheme="minorHAnsi" w:eastAsia="TimesNewRoman" w:hAnsiTheme="minorHAnsi" w:cs="TimesNewRoman"/>
        </w:rPr>
        <w:t>J</w:t>
      </w:r>
      <w:r w:rsidRPr="00B03564">
        <w:rPr>
          <w:rFonts w:asciiTheme="minorHAnsi" w:eastAsia="TimesNewRoman" w:hAnsiTheme="minorHAnsi" w:cs="TimesNewRoman"/>
        </w:rPr>
        <w:t>, et al. Sofosbuvir/Velpatasvir in Combination With Ribavirin for 24 Weeks Is Effective Retreatment for Patients Who Failed Prior NS5A-Containing DAA Regimens: Results of the Retreatment Study [Presentation PS-024]. European Association for the Study of the Liver (EASL); 2016 13-17 April; Barcelona, Spain</w:t>
      </w:r>
    </w:p>
  </w:footnote>
  <w:footnote w:id="36">
    <w:p w:rsidR="00E3090E" w:rsidRPr="003A5113" w:rsidRDefault="00E3090E">
      <w:pPr>
        <w:pStyle w:val="FootnoteText"/>
        <w:rPr>
          <w:lang w:val="en-US"/>
        </w:rPr>
      </w:pPr>
      <w:r>
        <w:rPr>
          <w:rStyle w:val="FootnoteReference"/>
        </w:rPr>
        <w:footnoteRef/>
      </w:r>
      <w:r>
        <w:t xml:space="preserve"> </w:t>
      </w:r>
      <w:proofErr w:type="spellStart"/>
      <w:r w:rsidRPr="00B03564">
        <w:rPr>
          <w:rFonts w:asciiTheme="minorHAnsi" w:eastAsia="TimesNewRoman" w:hAnsiTheme="minorHAnsi" w:cs="TimesNewRoman"/>
        </w:rPr>
        <w:t>Gane</w:t>
      </w:r>
      <w:proofErr w:type="spellEnd"/>
      <w:r w:rsidRPr="00B03564">
        <w:rPr>
          <w:rFonts w:asciiTheme="minorHAnsi" w:eastAsia="TimesNewRoman" w:hAnsiTheme="minorHAnsi" w:cs="TimesNewRoman"/>
        </w:rPr>
        <w:t xml:space="preserve"> EJ, et al. The Emergence of the</w:t>
      </w:r>
      <w:r>
        <w:rPr>
          <w:rFonts w:asciiTheme="minorHAnsi" w:eastAsia="TimesNewRoman" w:hAnsiTheme="minorHAnsi" w:cs="TimesNewRoman"/>
        </w:rPr>
        <w:t xml:space="preserve"> </w:t>
      </w:r>
      <w:r w:rsidRPr="00B03564">
        <w:rPr>
          <w:rFonts w:asciiTheme="minorHAnsi" w:eastAsia="TimesNewRoman" w:hAnsiTheme="minorHAnsi" w:cs="TimesNewRoman"/>
        </w:rPr>
        <w:t>NS5B Resistant Associated Variant S282T after Sofosbuvir-Based Treatment [Presentation]. American Association for the Study of Liver Diseases (AASLD); 2015 13-17 November; San Francisco, CA</w:t>
      </w:r>
    </w:p>
  </w:footnote>
  <w:footnote w:id="37">
    <w:p w:rsidR="00E3090E" w:rsidRPr="003A5113" w:rsidRDefault="00E3090E">
      <w:pPr>
        <w:pStyle w:val="FootnoteText"/>
        <w:rPr>
          <w:lang w:val="en-US"/>
        </w:rPr>
      </w:pPr>
      <w:r>
        <w:rPr>
          <w:rStyle w:val="FootnoteReference"/>
        </w:rPr>
        <w:footnoteRef/>
      </w:r>
      <w:r>
        <w:t xml:space="preserve"> </w:t>
      </w:r>
      <w:proofErr w:type="spellStart"/>
      <w:r>
        <w:rPr>
          <w:rFonts w:asciiTheme="minorHAnsi" w:eastAsia="TimesNewRoman" w:hAnsiTheme="minorHAnsi" w:cs="TimesNewRoman"/>
        </w:rPr>
        <w:t>Wyles</w:t>
      </w:r>
      <w:proofErr w:type="spellEnd"/>
      <w:r>
        <w:rPr>
          <w:rFonts w:asciiTheme="minorHAnsi" w:eastAsia="TimesNewRoman" w:hAnsiTheme="minorHAnsi" w:cs="TimesNewRoman"/>
        </w:rPr>
        <w:t xml:space="preserve"> D</w:t>
      </w:r>
      <w:r w:rsidRPr="00B03564">
        <w:rPr>
          <w:rFonts w:asciiTheme="minorHAnsi" w:eastAsia="TimesNewRoman" w:hAnsiTheme="minorHAnsi" w:cs="TimesNewRoman"/>
        </w:rPr>
        <w:t xml:space="preserve">, et al. Ledipasvir-sofosbuvir plus ribavirin for patients with genotype 1 HCV previously treated in clinical trials of sofosbuvir regimens [Accepted Article]. </w:t>
      </w:r>
      <w:r w:rsidRPr="00B14720">
        <w:rPr>
          <w:rFonts w:asciiTheme="minorHAnsi" w:eastAsia="TimesNewRoman" w:hAnsiTheme="minorHAnsi" w:cs="TimesNewRoman"/>
          <w:i/>
        </w:rPr>
        <w:t>Hepatology</w:t>
      </w:r>
      <w:r w:rsidRPr="00B03564">
        <w:rPr>
          <w:rFonts w:asciiTheme="minorHAnsi" w:eastAsia="TimesNewRoman" w:hAnsiTheme="minorHAnsi" w:cs="TimesNewRoman"/>
        </w:rPr>
        <w:t xml:space="preserve"> 2015:1-17.</w:t>
      </w:r>
    </w:p>
  </w:footnote>
  <w:footnote w:id="38">
    <w:p w:rsidR="00E3090E" w:rsidRPr="00AC3806" w:rsidRDefault="00E3090E">
      <w:pPr>
        <w:pStyle w:val="FootnoteText"/>
        <w:rPr>
          <w:lang w:val="en-US"/>
        </w:rPr>
      </w:pPr>
      <w:r>
        <w:rPr>
          <w:rStyle w:val="FootnoteReference"/>
        </w:rPr>
        <w:footnoteRef/>
      </w:r>
      <w:r>
        <w:t xml:space="preserve"> </w:t>
      </w:r>
      <w:proofErr w:type="spellStart"/>
      <w:r>
        <w:rPr>
          <w:rFonts w:eastAsia="TimesNewRoman" w:cs="TimesNewRoman"/>
        </w:rPr>
        <w:t>AUC</w:t>
      </w:r>
      <w:r>
        <w:rPr>
          <w:rFonts w:eastAsia="TimesNewRoman" w:cs="TimesNewRoman"/>
          <w:vertAlign w:val="subscript"/>
        </w:rPr>
        <w:t>inf</w:t>
      </w:r>
      <w:proofErr w:type="spellEnd"/>
      <w:r>
        <w:rPr>
          <w:rFonts w:eastAsia="TimesNewRoman" w:cs="TimesNewRoman"/>
        </w:rPr>
        <w:t>: Area under the plasma/serum concentration versus time curve extrapolated to infinite time, calculated as AUC</w:t>
      </w:r>
      <w:r>
        <w:rPr>
          <w:rFonts w:eastAsia="TimesNewRoman" w:cs="TimesNewRoman"/>
          <w:vertAlign w:val="subscript"/>
        </w:rPr>
        <w:t>-last</w:t>
      </w:r>
      <w:r>
        <w:rPr>
          <w:rFonts w:eastAsia="TimesNewRoman" w:cs="TimesNewRoman"/>
        </w:rPr>
        <w:t xml:space="preserve"> + (C</w:t>
      </w:r>
      <w:r w:rsidRPr="00AC3806">
        <w:rPr>
          <w:rFonts w:eastAsia="TimesNewRoman" w:cs="TimesNewRoman"/>
          <w:vertAlign w:val="subscript"/>
        </w:rPr>
        <w:t>last</w:t>
      </w:r>
      <w:r>
        <w:rPr>
          <w:rFonts w:eastAsia="TimesNewRoman" w:cs="TimesNewRoman"/>
        </w:rPr>
        <w:t>/</w:t>
      </w:r>
      <w:proofErr w:type="spellStart"/>
      <w:r>
        <w:rPr>
          <w:rFonts w:eastAsia="TimesNewRoman" w:cs="TimesNewRoman"/>
          <w:vertAlign w:val="subscript"/>
        </w:rPr>
        <w:t>λz</w:t>
      </w:r>
      <w:proofErr w:type="spellEnd"/>
      <w:r>
        <w:rPr>
          <w:rFonts w:eastAsia="TimesNewRoman" w:cs="TimesNewRoman"/>
        </w:rPr>
        <w:t>)</w:t>
      </w:r>
    </w:p>
  </w:footnote>
  <w:footnote w:id="39">
    <w:p w:rsidR="00E3090E" w:rsidRPr="00AC3806" w:rsidRDefault="00E3090E" w:rsidP="00AC3806">
      <w:pPr>
        <w:pStyle w:val="FootnoteText"/>
        <w:rPr>
          <w:lang w:val="en-US"/>
        </w:rPr>
      </w:pPr>
      <w:r>
        <w:rPr>
          <w:rStyle w:val="FootnoteReference"/>
        </w:rPr>
        <w:footnoteRef/>
      </w:r>
      <w:r>
        <w:t xml:space="preserve"> </w:t>
      </w:r>
      <w:proofErr w:type="spellStart"/>
      <w:r>
        <w:rPr>
          <w:rFonts w:eastAsia="TimesNewRoman" w:cstheme="minorHAnsi"/>
        </w:rPr>
        <w:t>AUC</w:t>
      </w:r>
      <w:r>
        <w:rPr>
          <w:rFonts w:eastAsia="TimesNewRoman" w:cstheme="minorHAnsi"/>
          <w:vertAlign w:val="subscript"/>
        </w:rPr>
        <w:t>tau</w:t>
      </w:r>
      <w:proofErr w:type="spellEnd"/>
      <w:r>
        <w:rPr>
          <w:rFonts w:eastAsia="TimesNewRoman" w:cstheme="minorHAnsi"/>
        </w:rPr>
        <w:t>:</w:t>
      </w:r>
      <w:r w:rsidRPr="00AC3806">
        <w:rPr>
          <w:rFonts w:eastAsia="TimesNewRoman" w:cstheme="minorHAnsi"/>
        </w:rPr>
        <w:t xml:space="preserve"> </w:t>
      </w:r>
      <w:r>
        <w:rPr>
          <w:rFonts w:eastAsia="TimesNewRoman" w:cstheme="minorHAnsi"/>
        </w:rPr>
        <w:t xml:space="preserve">Area under the plasma/serum concentration versus time over the dosing interval; </w:t>
      </w:r>
      <w:proofErr w:type="spellStart"/>
      <w:r w:rsidRPr="00AC3806">
        <w:rPr>
          <w:rFonts w:cstheme="minorHAnsi"/>
        </w:rPr>
        <w:t>C</w:t>
      </w:r>
      <w:r w:rsidRPr="00AC3806">
        <w:rPr>
          <w:rFonts w:cstheme="minorHAnsi"/>
          <w:vertAlign w:val="subscript"/>
        </w:rPr>
        <w:t>tau</w:t>
      </w:r>
      <w:proofErr w:type="spellEnd"/>
      <w:r>
        <w:rPr>
          <w:rFonts w:cstheme="minorHAnsi"/>
        </w:rPr>
        <w:t xml:space="preserve">: </w:t>
      </w:r>
      <w:r w:rsidRPr="00AC3806">
        <w:t>Observed</w:t>
      </w:r>
      <w:r>
        <w:t xml:space="preserve"> drug concentration at the end of the dosing interval. </w:t>
      </w:r>
      <w:proofErr w:type="spellStart"/>
      <w:r>
        <w:rPr>
          <w:rFonts w:cstheme="minorHAnsi"/>
        </w:rPr>
        <w:t>Vc</w:t>
      </w:r>
      <w:proofErr w:type="spellEnd"/>
      <w:r>
        <w:rPr>
          <w:rFonts w:cstheme="minorHAnsi"/>
        </w:rPr>
        <w:t xml:space="preserve">: </w:t>
      </w:r>
      <w:r>
        <w:t>Central volume</w:t>
      </w:r>
    </w:p>
  </w:footnote>
  <w:footnote w:id="40">
    <w:p w:rsidR="00E3090E" w:rsidRPr="00AC3806" w:rsidRDefault="00E3090E">
      <w:pPr>
        <w:pStyle w:val="FootnoteText"/>
        <w:rPr>
          <w:lang w:val="en-US"/>
        </w:rPr>
      </w:pPr>
      <w:r>
        <w:rPr>
          <w:rStyle w:val="FootnoteReference"/>
        </w:rPr>
        <w:footnoteRef/>
      </w:r>
      <w:r>
        <w:t xml:space="preserve"> </w:t>
      </w:r>
      <w:r>
        <w:rPr>
          <w:rFonts w:eastAsia="TimesNewRoman" w:cstheme="minorHAnsi"/>
        </w:rPr>
        <w:t>C</w:t>
      </w:r>
      <w:r w:rsidRPr="00A95AB7">
        <w:rPr>
          <w:rFonts w:eastAsia="TimesNewRoman" w:cstheme="minorHAnsi"/>
          <w:vertAlign w:val="subscript"/>
        </w:rPr>
        <w:t>24</w:t>
      </w:r>
      <w:r>
        <w:rPr>
          <w:rFonts w:eastAsia="TimesNewRoman" w:cstheme="minorHAnsi"/>
        </w:rPr>
        <w:t>: plasma/serum concentration at 24 hours</w:t>
      </w:r>
    </w:p>
  </w:footnote>
  <w:footnote w:id="41">
    <w:p w:rsidR="00E3090E" w:rsidRPr="00AC3806" w:rsidRDefault="00E3090E">
      <w:pPr>
        <w:pStyle w:val="FootnoteText"/>
        <w:rPr>
          <w:lang w:val="en-US"/>
        </w:rPr>
      </w:pPr>
      <w:r>
        <w:rPr>
          <w:rStyle w:val="FootnoteReference"/>
        </w:rPr>
        <w:footnoteRef/>
      </w:r>
      <w:r>
        <w:t xml:space="preserve"> </w:t>
      </w:r>
      <w:r>
        <w:rPr>
          <w:rFonts w:cstheme="minorHAnsi"/>
        </w:rPr>
        <w:t xml:space="preserve">BIC: </w:t>
      </w:r>
      <w:proofErr w:type="spellStart"/>
      <w:r>
        <w:t>Bictegravir</w:t>
      </w:r>
      <w:proofErr w:type="spellEnd"/>
      <w:r>
        <w:t xml:space="preserve">; </w:t>
      </w:r>
      <w:r>
        <w:rPr>
          <w:rFonts w:cstheme="minorHAnsi"/>
        </w:rPr>
        <w:t xml:space="preserve">EE: </w:t>
      </w:r>
      <w:proofErr w:type="spellStart"/>
      <w:r>
        <w:t>Ethinyl</w:t>
      </w:r>
      <w:proofErr w:type="spellEnd"/>
      <w:r>
        <w:t xml:space="preserve"> </w:t>
      </w:r>
      <w:proofErr w:type="spellStart"/>
      <w:r>
        <w:t>estradiol</w:t>
      </w:r>
      <w:proofErr w:type="spellEnd"/>
      <w:r>
        <w:t xml:space="preserve">; </w:t>
      </w:r>
      <w:r>
        <w:rPr>
          <w:rFonts w:cstheme="minorHAnsi"/>
        </w:rPr>
        <w:t xml:space="preserve">NGM: </w:t>
      </w:r>
      <w:proofErr w:type="spellStart"/>
      <w:r>
        <w:t>Norgestimate</w:t>
      </w:r>
      <w:proofErr w:type="spellEnd"/>
    </w:p>
  </w:footnote>
  <w:footnote w:id="42">
    <w:p w:rsidR="00E3090E" w:rsidRPr="009140CB" w:rsidRDefault="00E3090E">
      <w:pPr>
        <w:pStyle w:val="FootnoteText"/>
        <w:rPr>
          <w:lang w:val="en-US"/>
        </w:rPr>
      </w:pPr>
      <w:r>
        <w:rPr>
          <w:rStyle w:val="FootnoteReference"/>
        </w:rPr>
        <w:footnoteRef/>
      </w:r>
      <w:r>
        <w:t xml:space="preserve"> EMEA/CHMP/EWP/30039/2008 Guideline on the clinical evaluation of direct acting antiviral agents intended for treatment of chronic hepatitis C.</w:t>
      </w:r>
    </w:p>
  </w:footnote>
  <w:footnote w:id="43">
    <w:p w:rsidR="00E3090E" w:rsidRPr="007E5840" w:rsidRDefault="00E3090E" w:rsidP="00B40C5E">
      <w:pPr>
        <w:autoSpaceDE w:val="0"/>
        <w:autoSpaceDN w:val="0"/>
        <w:adjustRightInd w:val="0"/>
        <w:spacing w:before="0" w:after="0" w:line="240" w:lineRule="auto"/>
        <w:rPr>
          <w:rFonts w:asciiTheme="minorHAnsi" w:eastAsia="TimesNewRoman" w:hAnsiTheme="minorHAnsi" w:cs="TimesNewRoman"/>
          <w:color w:val="000000"/>
          <w:sz w:val="16"/>
          <w:szCs w:val="16"/>
        </w:rPr>
      </w:pPr>
      <w:r>
        <w:rPr>
          <w:rStyle w:val="FootnoteReference"/>
        </w:rPr>
        <w:footnoteRef/>
      </w:r>
      <w:r>
        <w:t xml:space="preserve"> </w:t>
      </w:r>
      <w:r w:rsidRPr="007E5840">
        <w:rPr>
          <w:rFonts w:asciiTheme="minorHAnsi" w:eastAsia="TimesNewRoman" w:hAnsiTheme="minorHAnsi" w:cs="TimesNewRoman"/>
          <w:color w:val="000000"/>
          <w:sz w:val="16"/>
          <w:szCs w:val="16"/>
        </w:rPr>
        <w:t>Any subjects who met any of the following 5 criteria were to be reviewed by the IAC.</w:t>
      </w:r>
    </w:p>
    <w:p w:rsidR="00E3090E" w:rsidRPr="00691C34" w:rsidRDefault="00E3090E" w:rsidP="00B40C5E">
      <w:pPr>
        <w:autoSpaceDE w:val="0"/>
        <w:autoSpaceDN w:val="0"/>
        <w:adjustRightInd w:val="0"/>
        <w:spacing w:before="0" w:after="0" w:line="240" w:lineRule="auto"/>
        <w:rPr>
          <w:rFonts w:asciiTheme="minorHAnsi" w:eastAsia="TimesNewRoman" w:hAnsiTheme="minorHAnsi" w:cs="TimesNewRoman"/>
          <w:color w:val="000000"/>
          <w:sz w:val="16"/>
          <w:szCs w:val="16"/>
        </w:rPr>
      </w:pPr>
      <w:r w:rsidRPr="007E5840">
        <w:rPr>
          <w:rFonts w:asciiTheme="minorHAnsi" w:eastAsia="TimesNewRoman" w:hAnsiTheme="minorHAnsi" w:cs="TimesNewRoman"/>
          <w:color w:val="000000"/>
          <w:sz w:val="16"/>
          <w:szCs w:val="16"/>
        </w:rPr>
        <w:t>1. Serious hepatic failure events, defined as SAEs with preferred terms of hepatic failure, acute</w:t>
      </w:r>
      <w:r>
        <w:rPr>
          <w:rFonts w:asciiTheme="minorHAnsi" w:eastAsia="TimesNewRoman" w:hAnsiTheme="minorHAnsi" w:cs="TimesNewRoman"/>
          <w:color w:val="000000"/>
          <w:sz w:val="16"/>
          <w:szCs w:val="16"/>
        </w:rPr>
        <w:t xml:space="preserve"> </w:t>
      </w:r>
      <w:r w:rsidRPr="007E5840">
        <w:rPr>
          <w:rFonts w:asciiTheme="minorHAnsi" w:eastAsia="TimesNewRoman" w:hAnsiTheme="minorHAnsi" w:cs="TimesNewRoman"/>
          <w:color w:val="000000"/>
          <w:sz w:val="16"/>
          <w:szCs w:val="16"/>
        </w:rPr>
        <w:t xml:space="preserve">hepatic failure, hepatotoxicity, liver </w:t>
      </w:r>
      <w:r w:rsidRPr="00691C34">
        <w:rPr>
          <w:rFonts w:asciiTheme="minorHAnsi" w:eastAsia="TimesNewRoman" w:hAnsiTheme="minorHAnsi" w:cs="TimesNewRoman"/>
          <w:color w:val="000000"/>
          <w:sz w:val="16"/>
          <w:szCs w:val="16"/>
        </w:rPr>
        <w:t>injury, or drug-induced liver injury that occurred at any time after the first dose date of study drug and up to 30 days after last dose of study drug, in any subject group</w:t>
      </w:r>
      <w:r>
        <w:rPr>
          <w:rFonts w:asciiTheme="minorHAnsi" w:eastAsia="TimesNewRoman" w:hAnsiTheme="minorHAnsi" w:cs="TimesNewRoman"/>
          <w:color w:val="000000"/>
          <w:sz w:val="16"/>
          <w:szCs w:val="16"/>
        </w:rPr>
        <w:t>.</w:t>
      </w:r>
    </w:p>
    <w:p w:rsidR="00E3090E" w:rsidRPr="00691C34" w:rsidRDefault="00E3090E" w:rsidP="00B40C5E">
      <w:pPr>
        <w:autoSpaceDE w:val="0"/>
        <w:autoSpaceDN w:val="0"/>
        <w:adjustRightInd w:val="0"/>
        <w:spacing w:before="0" w:after="0" w:line="240" w:lineRule="auto"/>
        <w:rPr>
          <w:rFonts w:asciiTheme="minorHAnsi" w:eastAsia="TimesNewRoman" w:hAnsiTheme="minorHAnsi" w:cs="TimesNewRoman"/>
          <w:color w:val="000000"/>
          <w:sz w:val="16"/>
          <w:szCs w:val="16"/>
        </w:rPr>
      </w:pPr>
      <w:r w:rsidRPr="00691C34">
        <w:rPr>
          <w:rFonts w:asciiTheme="minorHAnsi" w:eastAsia="TimesNewRoman" w:hAnsiTheme="minorHAnsi" w:cs="TimesNewRoman"/>
          <w:color w:val="000000"/>
          <w:sz w:val="16"/>
          <w:szCs w:val="16"/>
        </w:rPr>
        <w:t>2. Treatment-emergent deaths, defined as deaths occurring after the first dose of any study drug and within 30 days of the last dose of any study drug</w:t>
      </w:r>
      <w:r>
        <w:rPr>
          <w:rFonts w:asciiTheme="minorHAnsi" w:eastAsia="TimesNewRoman" w:hAnsiTheme="minorHAnsi" w:cs="TimesNewRoman"/>
          <w:color w:val="000000"/>
          <w:sz w:val="16"/>
          <w:szCs w:val="16"/>
        </w:rPr>
        <w:t>.</w:t>
      </w:r>
    </w:p>
    <w:p w:rsidR="00E3090E" w:rsidRPr="00691C34" w:rsidRDefault="00E3090E" w:rsidP="00B40C5E">
      <w:pPr>
        <w:autoSpaceDE w:val="0"/>
        <w:autoSpaceDN w:val="0"/>
        <w:adjustRightInd w:val="0"/>
        <w:spacing w:before="0" w:after="0" w:line="240" w:lineRule="auto"/>
        <w:rPr>
          <w:rFonts w:asciiTheme="minorHAnsi" w:eastAsia="TimesNewRoman" w:hAnsiTheme="minorHAnsi" w:cs="TimesNewRoman"/>
          <w:color w:val="000000"/>
          <w:sz w:val="16"/>
          <w:szCs w:val="16"/>
        </w:rPr>
      </w:pPr>
      <w:r w:rsidRPr="00691C34">
        <w:rPr>
          <w:rFonts w:asciiTheme="minorHAnsi" w:eastAsia="TimesNewRoman" w:hAnsiTheme="minorHAnsi" w:cs="TimesNewRoman"/>
          <w:color w:val="000000"/>
          <w:sz w:val="16"/>
          <w:szCs w:val="16"/>
        </w:rPr>
        <w:t>3. Any subject requiring liver transplantation within 30 days of the last dose of any study drug</w:t>
      </w:r>
      <w:r>
        <w:rPr>
          <w:rFonts w:asciiTheme="minorHAnsi" w:eastAsia="TimesNewRoman" w:hAnsiTheme="minorHAnsi" w:cs="TimesNewRoman"/>
          <w:color w:val="000000"/>
          <w:sz w:val="16"/>
          <w:szCs w:val="16"/>
        </w:rPr>
        <w:t>.</w:t>
      </w:r>
    </w:p>
    <w:p w:rsidR="00E3090E" w:rsidRPr="00691C34" w:rsidRDefault="00E3090E" w:rsidP="00B40C5E">
      <w:pPr>
        <w:autoSpaceDE w:val="0"/>
        <w:autoSpaceDN w:val="0"/>
        <w:adjustRightInd w:val="0"/>
        <w:spacing w:before="0" w:after="0" w:line="240" w:lineRule="auto"/>
        <w:rPr>
          <w:rFonts w:asciiTheme="minorHAnsi" w:eastAsia="TimesNewRoman" w:hAnsiTheme="minorHAnsi" w:cs="TimesNewRoman"/>
          <w:color w:val="000000"/>
          <w:sz w:val="16"/>
          <w:szCs w:val="16"/>
        </w:rPr>
      </w:pPr>
      <w:r w:rsidRPr="00691C34">
        <w:rPr>
          <w:rFonts w:asciiTheme="minorHAnsi" w:eastAsia="TimesNewRoman" w:hAnsiTheme="minorHAnsi" w:cs="TimesNewRoman"/>
          <w:color w:val="000000"/>
          <w:sz w:val="16"/>
          <w:szCs w:val="16"/>
        </w:rPr>
        <w:t>4. Any hepatic AEs (preferred terms of hepatic failure, acute hepatic failure, hepatotoxicity, liver injury, or drug-induced liver injury) leading to discontinuation of study drug</w:t>
      </w:r>
      <w:r>
        <w:rPr>
          <w:rFonts w:asciiTheme="minorHAnsi" w:eastAsia="TimesNewRoman" w:hAnsiTheme="minorHAnsi" w:cs="TimesNewRoman"/>
          <w:color w:val="000000"/>
          <w:sz w:val="16"/>
          <w:szCs w:val="16"/>
        </w:rPr>
        <w:t>.</w:t>
      </w:r>
    </w:p>
    <w:p w:rsidR="00E3090E" w:rsidRPr="00691C34" w:rsidRDefault="00E3090E" w:rsidP="00B40C5E">
      <w:pPr>
        <w:autoSpaceDE w:val="0"/>
        <w:autoSpaceDN w:val="0"/>
        <w:adjustRightInd w:val="0"/>
        <w:spacing w:before="0" w:after="0" w:line="240" w:lineRule="auto"/>
        <w:rPr>
          <w:sz w:val="16"/>
          <w:szCs w:val="16"/>
        </w:rPr>
      </w:pPr>
      <w:r w:rsidRPr="00691C34">
        <w:rPr>
          <w:rFonts w:asciiTheme="minorHAnsi" w:eastAsia="TimesNewRoman" w:hAnsiTheme="minorHAnsi" w:cs="TimesNewRoman"/>
          <w:color w:val="000000"/>
          <w:sz w:val="16"/>
          <w:szCs w:val="16"/>
        </w:rPr>
        <w:t xml:space="preserve">5. Prespecified laboratory criteria for any subject during study treatment, identical to the on-treatment </w:t>
      </w:r>
      <w:r>
        <w:rPr>
          <w:rFonts w:asciiTheme="minorHAnsi" w:eastAsia="TimesNewRoman" w:hAnsiTheme="minorHAnsi" w:cs="TimesNewRoman"/>
          <w:color w:val="000000"/>
          <w:sz w:val="16"/>
          <w:szCs w:val="16"/>
        </w:rPr>
        <w:t>liver related</w:t>
      </w:r>
      <w:r w:rsidRPr="00691C34">
        <w:rPr>
          <w:rFonts w:asciiTheme="minorHAnsi" w:eastAsia="TimesNewRoman" w:hAnsiTheme="minorHAnsi" w:cs="TimesNewRoman"/>
          <w:color w:val="000000"/>
          <w:sz w:val="16"/>
          <w:szCs w:val="16"/>
        </w:rPr>
        <w:t xml:space="preserve"> laboratory abnormalities criteria ALT and/or AST &gt; 3 × ULN and total bilirubin &gt; 2 × ULN; or ALT &gt; 5 × ULN; or Total bilirubin &gt; 2 × ULN</w:t>
      </w:r>
    </w:p>
  </w:footnote>
  <w:footnote w:id="44">
    <w:p w:rsidR="00E3090E" w:rsidRPr="00691C34" w:rsidRDefault="00E3090E" w:rsidP="00B40C5E">
      <w:pPr>
        <w:pStyle w:val="FootnoteText"/>
        <w:rPr>
          <w:sz w:val="16"/>
          <w:szCs w:val="16"/>
        </w:rPr>
      </w:pPr>
      <w:r w:rsidRPr="00691C34">
        <w:rPr>
          <w:rStyle w:val="FootnoteReference"/>
          <w:sz w:val="16"/>
          <w:szCs w:val="16"/>
        </w:rPr>
        <w:footnoteRef/>
      </w:r>
      <w:r w:rsidRPr="00691C34">
        <w:rPr>
          <w:sz w:val="16"/>
          <w:szCs w:val="16"/>
        </w:rPr>
        <w:t xml:space="preserve"> A 50 year old Black female with chronic genotype 1a HCV infection and liver cirrhosis who was </w:t>
      </w:r>
      <w:r>
        <w:rPr>
          <w:sz w:val="16"/>
          <w:szCs w:val="16"/>
        </w:rPr>
        <w:t>treatment naïve</w:t>
      </w:r>
      <w:r w:rsidRPr="00691C34">
        <w:rPr>
          <w:sz w:val="16"/>
          <w:szCs w:val="16"/>
        </w:rPr>
        <w:t xml:space="preserve"> and enrolled in study GS-US-367-1168 received OL treatment with SOF/VEL + VOX+RBV for 8 weeks and elevation in ALT and AST observed 2 at week 2 visit leading to discontinuation of study drug. Values decreased by week 4 of follow-up visit and were within normal limits 4 months later. </w:t>
      </w:r>
    </w:p>
  </w:footnote>
  <w:footnote w:id="45">
    <w:p w:rsidR="00E3090E" w:rsidRPr="00691C34" w:rsidRDefault="00E3090E" w:rsidP="00B40C5E">
      <w:pPr>
        <w:autoSpaceDE w:val="0"/>
        <w:autoSpaceDN w:val="0"/>
        <w:adjustRightInd w:val="0"/>
        <w:spacing w:before="0" w:after="0" w:line="240" w:lineRule="auto"/>
        <w:rPr>
          <w:sz w:val="16"/>
          <w:szCs w:val="16"/>
        </w:rPr>
      </w:pPr>
      <w:r w:rsidRPr="00691C34">
        <w:rPr>
          <w:rStyle w:val="FootnoteReference"/>
          <w:rFonts w:asciiTheme="minorHAnsi" w:hAnsiTheme="minorHAnsi"/>
          <w:sz w:val="16"/>
          <w:szCs w:val="16"/>
        </w:rPr>
        <w:footnoteRef/>
      </w:r>
      <w:r w:rsidRPr="00691C34">
        <w:rPr>
          <w:rFonts w:asciiTheme="minorHAnsi" w:hAnsiTheme="minorHAnsi"/>
          <w:sz w:val="16"/>
          <w:szCs w:val="16"/>
        </w:rPr>
        <w:t xml:space="preserve"> </w:t>
      </w:r>
      <w:r w:rsidRPr="00691C34">
        <w:rPr>
          <w:rFonts w:asciiTheme="minorHAnsi" w:eastAsia="TimesNewRoman" w:hAnsiTheme="minorHAnsi" w:cs="TimesNewRoman"/>
          <w:sz w:val="16"/>
          <w:szCs w:val="16"/>
        </w:rPr>
        <w:t>54-year-old white, non-Hispanic male with chronic genotype 3 HCV infection and liver cirrhosis, who was DAA experienced and enrolled in Study GS-US-367-1170; The subject started open-label treatment with SOF/VEL/VOX for 12 weeks ALT and AST were elevated at baseline, improved overall during the first 4 weeks of treatment, and then increased again at Week 8. At the Week 4 follow-up visit on post treatment Day 8, ALT and AST decreased. The transient ALT and AST elevation in the setting of HCV suppression may be related to concurrent alcohol use</w:t>
      </w:r>
      <w:r>
        <w:rPr>
          <w:rFonts w:asciiTheme="minorHAnsi" w:eastAsia="TimesNewRoman" w:hAnsiTheme="minorHAnsi" w:cs="TimesNewRoman"/>
          <w:sz w:val="16"/>
          <w:szCs w:val="16"/>
        </w:rPr>
        <w:t>.</w:t>
      </w:r>
    </w:p>
  </w:footnote>
  <w:footnote w:id="46">
    <w:p w:rsidR="00E3090E" w:rsidRPr="00691C34" w:rsidRDefault="00E3090E" w:rsidP="00B40C5E">
      <w:pPr>
        <w:autoSpaceDE w:val="0"/>
        <w:autoSpaceDN w:val="0"/>
        <w:adjustRightInd w:val="0"/>
        <w:spacing w:before="0" w:after="0" w:line="240" w:lineRule="auto"/>
        <w:rPr>
          <w:sz w:val="16"/>
          <w:szCs w:val="16"/>
        </w:rPr>
      </w:pPr>
      <w:r w:rsidRPr="00691C34">
        <w:rPr>
          <w:rStyle w:val="FootnoteReference"/>
          <w:sz w:val="16"/>
          <w:szCs w:val="16"/>
        </w:rPr>
        <w:footnoteRef/>
      </w:r>
      <w:r w:rsidRPr="00691C34">
        <w:rPr>
          <w:sz w:val="16"/>
          <w:szCs w:val="16"/>
        </w:rPr>
        <w:t xml:space="preserve"> </w:t>
      </w:r>
      <w:r w:rsidRPr="00691C34">
        <w:rPr>
          <w:rFonts w:asciiTheme="minorHAnsi" w:eastAsia="TimesNewRoman" w:hAnsiTheme="minorHAnsi" w:cs="TimesNewRoman"/>
          <w:sz w:val="16"/>
          <w:szCs w:val="16"/>
        </w:rPr>
        <w:t>The 2 subjects with Grade 3 ALT elevations had graded elevated ALT at screening, baseline/Day 1, and during treatment. The other subject had a Grade 4 elevated ALT at post treatment Week 4, which the investigator attributed to a newly initiated concomitant medication, diclofenac.</w:t>
      </w:r>
    </w:p>
  </w:footnote>
  <w:footnote w:id="47">
    <w:p w:rsidR="00E3090E" w:rsidRPr="00691C34" w:rsidRDefault="00E3090E" w:rsidP="00B40C5E">
      <w:pPr>
        <w:autoSpaceDE w:val="0"/>
        <w:autoSpaceDN w:val="0"/>
        <w:adjustRightInd w:val="0"/>
        <w:spacing w:before="0" w:after="0" w:line="240" w:lineRule="auto"/>
        <w:rPr>
          <w:sz w:val="16"/>
          <w:szCs w:val="16"/>
        </w:rPr>
      </w:pPr>
      <w:r w:rsidRPr="00691C34">
        <w:rPr>
          <w:rStyle w:val="FootnoteReference"/>
          <w:sz w:val="16"/>
          <w:szCs w:val="16"/>
        </w:rPr>
        <w:footnoteRef/>
      </w:r>
      <w:r w:rsidRPr="00691C34">
        <w:rPr>
          <w:sz w:val="16"/>
          <w:szCs w:val="16"/>
        </w:rPr>
        <w:t xml:space="preserve"> </w:t>
      </w:r>
      <w:r w:rsidRPr="00691C34">
        <w:rPr>
          <w:rFonts w:asciiTheme="minorHAnsi" w:eastAsia="TimesNewRoman" w:hAnsiTheme="minorHAnsi" w:cs="TimesNewRoman"/>
          <w:color w:val="000000"/>
          <w:sz w:val="16"/>
          <w:szCs w:val="16"/>
        </w:rPr>
        <w:t>This subject did not have cirrhosis, had Grade 2 total bilirubin levels at screening and baseline/Day 1 that increased to Grade 3 at Week 1 and then was Grade 1 for the remaining visits.</w:t>
      </w:r>
    </w:p>
  </w:footnote>
  <w:footnote w:id="48">
    <w:p w:rsidR="00E3090E" w:rsidRDefault="00E3090E" w:rsidP="00B40C5E">
      <w:pPr>
        <w:pStyle w:val="FootnoteText"/>
      </w:pPr>
      <w:r>
        <w:rPr>
          <w:rStyle w:val="FootnoteReference"/>
        </w:rPr>
        <w:footnoteRef/>
      </w:r>
      <w:r>
        <w:t xml:space="preserve"> </w:t>
      </w:r>
      <w:r w:rsidRPr="00A25598">
        <w:rPr>
          <w:rFonts w:asciiTheme="minorHAnsi" w:eastAsia="TimesNewRoman" w:hAnsiTheme="minorHAnsi" w:cs="TimesNewRoman"/>
          <w:sz w:val="16"/>
          <w:szCs w:val="16"/>
        </w:rPr>
        <w:t>The subject denied symptoms, and all other liver function tests, including alkaline phosphatase, albumin, and total and direct bilirubin were within normal limits</w:t>
      </w:r>
    </w:p>
  </w:footnote>
  <w:footnote w:id="49">
    <w:p w:rsidR="00E3090E" w:rsidRDefault="00E3090E" w:rsidP="00B40C5E">
      <w:pPr>
        <w:autoSpaceDE w:val="0"/>
        <w:autoSpaceDN w:val="0"/>
        <w:adjustRightInd w:val="0"/>
        <w:spacing w:before="0" w:after="0" w:line="240" w:lineRule="auto"/>
      </w:pPr>
      <w:r>
        <w:rPr>
          <w:rStyle w:val="FootnoteReference"/>
        </w:rPr>
        <w:footnoteRef/>
      </w:r>
      <w:r>
        <w:t xml:space="preserve"> </w:t>
      </w:r>
      <w:r w:rsidRPr="00F67A5A">
        <w:rPr>
          <w:rFonts w:asciiTheme="minorHAnsi" w:eastAsia="TimesNewRoman" w:hAnsiTheme="minorHAnsi" w:cs="TimesNewRoman"/>
          <w:color w:val="000000"/>
          <w:sz w:val="16"/>
          <w:szCs w:val="16"/>
        </w:rPr>
        <w:t xml:space="preserve">A stable regimen was defined as the same regimen used prior to or on the first dose date of study drug administration and continued through the entire study treatment period. </w:t>
      </w:r>
    </w:p>
  </w:footnote>
  <w:footnote w:id="50">
    <w:p w:rsidR="00E3090E" w:rsidRDefault="00E3090E" w:rsidP="00B40C5E">
      <w:pPr>
        <w:autoSpaceDE w:val="0"/>
        <w:autoSpaceDN w:val="0"/>
        <w:adjustRightInd w:val="0"/>
        <w:spacing w:before="0" w:after="0" w:line="240" w:lineRule="auto"/>
      </w:pPr>
      <w:r>
        <w:rPr>
          <w:rStyle w:val="FootnoteReference"/>
        </w:rPr>
        <w:footnoteRef/>
      </w:r>
      <w:r>
        <w:t xml:space="preserve"> </w:t>
      </w:r>
      <w:r w:rsidRPr="00F67A5A">
        <w:rPr>
          <w:rFonts w:asciiTheme="minorHAnsi" w:eastAsia="TimesNewRoman" w:hAnsiTheme="minorHAnsi" w:cs="TimesNewRoman"/>
          <w:sz w:val="16"/>
          <w:szCs w:val="16"/>
        </w:rPr>
        <w:t xml:space="preserve">This placebo subject with family history of sudden cardiac </w:t>
      </w:r>
      <w:proofErr w:type="gramStart"/>
      <w:r w:rsidRPr="00F67A5A">
        <w:rPr>
          <w:rFonts w:asciiTheme="minorHAnsi" w:eastAsia="TimesNewRoman" w:hAnsiTheme="minorHAnsi" w:cs="TimesNewRoman"/>
          <w:sz w:val="16"/>
          <w:szCs w:val="16"/>
        </w:rPr>
        <w:t>death,</w:t>
      </w:r>
      <w:proofErr w:type="gramEnd"/>
      <w:r w:rsidRPr="00F67A5A">
        <w:rPr>
          <w:rFonts w:asciiTheme="minorHAnsi" w:eastAsia="TimesNewRoman" w:hAnsiTheme="minorHAnsi" w:cs="TimesNewRoman"/>
          <w:sz w:val="16"/>
          <w:szCs w:val="16"/>
        </w:rPr>
        <w:t xml:space="preserve"> had AEs of ventricular</w:t>
      </w:r>
      <w:r>
        <w:rPr>
          <w:rFonts w:asciiTheme="minorHAnsi" w:eastAsia="TimesNewRoman" w:hAnsiTheme="minorHAnsi" w:cs="TimesNewRoman"/>
          <w:sz w:val="16"/>
          <w:szCs w:val="16"/>
        </w:rPr>
        <w:t xml:space="preserve"> </w:t>
      </w:r>
      <w:r w:rsidRPr="00F67A5A">
        <w:rPr>
          <w:rFonts w:asciiTheme="minorHAnsi" w:eastAsia="TimesNewRoman" w:hAnsiTheme="minorHAnsi" w:cs="TimesNewRoman"/>
          <w:sz w:val="16"/>
          <w:szCs w:val="16"/>
        </w:rPr>
        <w:t>fibrillation and atrial fibrillation and was treated for these events with amiodarone on study</w:t>
      </w:r>
      <w:r>
        <w:rPr>
          <w:rFonts w:asciiTheme="minorHAnsi" w:eastAsia="TimesNewRoman" w:hAnsiTheme="minorHAnsi" w:cs="TimesNewRoman"/>
          <w:sz w:val="16"/>
          <w:szCs w:val="16"/>
        </w:rPr>
        <w:t xml:space="preserve"> </w:t>
      </w:r>
      <w:r w:rsidRPr="00F67A5A">
        <w:rPr>
          <w:rFonts w:asciiTheme="minorHAnsi" w:eastAsia="TimesNewRoman" w:hAnsiTheme="minorHAnsi" w:cs="TimesNewRoman"/>
          <w:sz w:val="16"/>
          <w:szCs w:val="16"/>
        </w:rPr>
        <w:t>Day 14. These AEs were considered unrelated to study drug</w:t>
      </w:r>
      <w:r>
        <w:rPr>
          <w:rFonts w:asciiTheme="minorHAnsi" w:eastAsia="TimesNewRoman" w:hAnsiTheme="minorHAnsi" w:cs="TimesNewRoman"/>
          <w:sz w:val="16"/>
          <w:szCs w:val="16"/>
        </w:rPr>
        <w:t>.</w:t>
      </w:r>
    </w:p>
  </w:footnote>
  <w:footnote w:id="51">
    <w:p w:rsidR="00E3090E" w:rsidRDefault="00E3090E" w:rsidP="00B40C5E">
      <w:pPr>
        <w:autoSpaceDE w:val="0"/>
        <w:autoSpaceDN w:val="0"/>
        <w:adjustRightInd w:val="0"/>
        <w:spacing w:before="0" w:after="0" w:line="240" w:lineRule="auto"/>
      </w:pPr>
      <w:r>
        <w:rPr>
          <w:rStyle w:val="FootnoteReference"/>
        </w:rPr>
        <w:footnoteRef/>
      </w:r>
      <w:r>
        <w:t xml:space="preserve"> </w:t>
      </w:r>
      <w:r w:rsidRPr="000E2467">
        <w:rPr>
          <w:rFonts w:asciiTheme="minorHAnsi" w:eastAsia="TimesNewRoman" w:hAnsiTheme="minorHAnsi" w:cs="TimesNewRoman"/>
          <w:color w:val="000000"/>
          <w:sz w:val="16"/>
          <w:szCs w:val="16"/>
        </w:rPr>
        <w:t>The subject had sinus bradycardia and first-degree atrioventricular block at screening, baseline/Day 1, and on-treatment Week 1 that were assessed as not clinically significant</w:t>
      </w:r>
      <w:r>
        <w:rPr>
          <w:rFonts w:asciiTheme="minorHAnsi" w:eastAsia="TimesNewRoman" w:hAnsiTheme="minorHAnsi" w:cs="TimesNewRoman"/>
          <w:color w:val="000000"/>
          <w:sz w:val="16"/>
          <w:szCs w:val="16"/>
        </w:rPr>
        <w:t xml:space="preserve">; </w:t>
      </w:r>
      <w:proofErr w:type="gramStart"/>
      <w:r w:rsidRPr="000E2467">
        <w:rPr>
          <w:rFonts w:asciiTheme="minorHAnsi" w:eastAsia="TimesNewRoman" w:hAnsiTheme="minorHAnsi" w:cs="TimesNewRoman"/>
          <w:color w:val="000000"/>
          <w:sz w:val="16"/>
          <w:szCs w:val="16"/>
        </w:rPr>
        <w:t>The</w:t>
      </w:r>
      <w:proofErr w:type="gramEnd"/>
      <w:r w:rsidRPr="000E2467">
        <w:rPr>
          <w:rFonts w:asciiTheme="minorHAnsi" w:eastAsia="TimesNewRoman" w:hAnsiTheme="minorHAnsi" w:cs="TimesNewRoman"/>
          <w:color w:val="000000"/>
          <w:sz w:val="16"/>
          <w:szCs w:val="16"/>
        </w:rPr>
        <w:t xml:space="preserve"> subject had an echocardiogram performed during screening to further evaluate a cardiac murmur which demonstrated mild/moderate aortic stenosis and left atrial enlargement. Atrial flutter at Week 12 was reported as a Grade 2 AE and was assessed as unrelated to study drug and was attributed to pre-existing structural heart disease by the investigator. The subject began treatment with the antithrombotic agent, dabigatran, and the event was considered resolved at the post treatment Week 4 assessment (the subject had spontaneously reverted to sinus</w:t>
      </w:r>
      <w:r>
        <w:rPr>
          <w:rFonts w:asciiTheme="minorHAnsi" w:eastAsia="TimesNewRoman" w:hAnsiTheme="minorHAnsi" w:cs="TimesNewRoman"/>
          <w:color w:val="000000"/>
          <w:sz w:val="16"/>
          <w:szCs w:val="16"/>
        </w:rPr>
        <w:t xml:space="preserve"> </w:t>
      </w:r>
      <w:r w:rsidRPr="000E2467">
        <w:rPr>
          <w:rFonts w:asciiTheme="minorHAnsi" w:eastAsia="TimesNewRoman" w:hAnsiTheme="minorHAnsi" w:cs="TimesNewRoman"/>
          <w:color w:val="000000"/>
          <w:sz w:val="16"/>
          <w:szCs w:val="16"/>
        </w:rPr>
        <w:t>rhythm).</w:t>
      </w:r>
    </w:p>
  </w:footnote>
  <w:footnote w:id="52">
    <w:p w:rsidR="00E3090E" w:rsidRDefault="00E3090E" w:rsidP="00B40C5E">
      <w:pPr>
        <w:autoSpaceDE w:val="0"/>
        <w:autoSpaceDN w:val="0"/>
        <w:adjustRightInd w:val="0"/>
        <w:spacing w:before="0" w:after="0" w:line="240" w:lineRule="auto"/>
      </w:pPr>
      <w:r>
        <w:rPr>
          <w:rStyle w:val="FootnoteReference"/>
        </w:rPr>
        <w:footnoteRef/>
      </w:r>
      <w:r>
        <w:t xml:space="preserve"> </w:t>
      </w:r>
      <w:r w:rsidRPr="00DE48DF">
        <w:rPr>
          <w:rFonts w:asciiTheme="minorHAnsi" w:eastAsia="TimesNewRoman" w:hAnsiTheme="minorHAnsi" w:cs="TimesNewRoman"/>
          <w:sz w:val="16"/>
          <w:szCs w:val="16"/>
        </w:rPr>
        <w:t>This subject had a medical history of bipolar disorder, depression, psychosis, post-traumatic stress disorder, schizophrenia, and previous suicide ideation attempted suicide by motor vehicle accident on post treatment Day 30. The AE of suicide attempt was resolved on the same day and was considered unrelated to study drug by the investigator</w:t>
      </w:r>
      <w:r>
        <w:rPr>
          <w:rFonts w:asciiTheme="minorHAnsi" w:eastAsia="TimesNewRoman" w:hAnsiTheme="minorHAnsi" w:cs="TimesNewRoman"/>
          <w:sz w:val="16"/>
          <w:szCs w:val="16"/>
        </w:rPr>
        <w:t>.</w:t>
      </w:r>
    </w:p>
  </w:footnote>
  <w:footnote w:id="53">
    <w:p w:rsidR="00E3090E" w:rsidRPr="00D51BB6" w:rsidRDefault="00E3090E">
      <w:pPr>
        <w:pStyle w:val="FootnoteText"/>
        <w:rPr>
          <w:lang w:val="en-US"/>
        </w:rPr>
      </w:pPr>
      <w:r>
        <w:rPr>
          <w:rStyle w:val="FootnoteReference"/>
        </w:rPr>
        <w:footnoteRef/>
      </w:r>
      <w:r>
        <w:t xml:space="preserve"> </w:t>
      </w:r>
      <w:r w:rsidRPr="00B40C5E">
        <w:t>Food &amp; Drug Administration (FDA) 2010</w:t>
      </w:r>
    </w:p>
  </w:footnote>
  <w:footnote w:id="54">
    <w:p w:rsidR="00E3090E" w:rsidRPr="00D51BB6" w:rsidRDefault="00E3090E">
      <w:pPr>
        <w:pStyle w:val="FootnoteText"/>
        <w:rPr>
          <w:lang w:val="en-US"/>
        </w:rPr>
      </w:pPr>
      <w:r>
        <w:rPr>
          <w:rStyle w:val="FootnoteReference"/>
        </w:rPr>
        <w:footnoteRef/>
      </w:r>
      <w:r>
        <w:t xml:space="preserve"> </w:t>
      </w:r>
      <w:r w:rsidRPr="00B40C5E">
        <w:t>U.S. Department of Health and Human Services Food and Drug Administration Centre for Drug Evaluation and Research (CDER) 2013</w:t>
      </w:r>
    </w:p>
  </w:footnote>
  <w:footnote w:id="55">
    <w:p w:rsidR="00E3090E" w:rsidRPr="00D51BB6" w:rsidRDefault="00E3090E">
      <w:pPr>
        <w:pStyle w:val="FootnoteText"/>
        <w:rPr>
          <w:lang w:val="en-US"/>
        </w:rPr>
      </w:pPr>
      <w:r>
        <w:rPr>
          <w:rStyle w:val="FootnoteReference"/>
        </w:rPr>
        <w:footnoteRef/>
      </w:r>
      <w:r>
        <w:t xml:space="preserve"> </w:t>
      </w:r>
      <w:r w:rsidRPr="00B40C5E">
        <w:t>European Medicines Agency (EMEA) 2011</w:t>
      </w:r>
    </w:p>
  </w:footnote>
  <w:footnote w:id="56">
    <w:p w:rsidR="00E3090E" w:rsidRPr="0056234A" w:rsidRDefault="00E3090E" w:rsidP="00B40C5E">
      <w:pPr>
        <w:pStyle w:val="FootnoteText"/>
        <w:rPr>
          <w:sz w:val="16"/>
          <w:szCs w:val="16"/>
        </w:rPr>
      </w:pPr>
      <w:r w:rsidRPr="0056234A">
        <w:rPr>
          <w:rStyle w:val="FootnoteReference"/>
          <w:sz w:val="16"/>
          <w:szCs w:val="16"/>
        </w:rPr>
        <w:footnoteRef/>
      </w:r>
      <w:r w:rsidRPr="0056234A">
        <w:rPr>
          <w:sz w:val="16"/>
          <w:szCs w:val="16"/>
        </w:rPr>
        <w:t xml:space="preserve"> </w:t>
      </w:r>
      <w:r w:rsidRPr="0056234A">
        <w:rPr>
          <w:rFonts w:asciiTheme="minorHAnsi" w:eastAsia="TimesNewRoman" w:hAnsiTheme="minorHAnsi" w:cs="TimesNewRoman"/>
          <w:sz w:val="16"/>
          <w:szCs w:val="16"/>
        </w:rPr>
        <w:t>This subject had a history of atrial fibrillation and hypertension and had a new finding of decreased ejection fraction on baseline/Day 1 prior to starting treatment with SOF/VEL/VOX.</w:t>
      </w:r>
    </w:p>
  </w:footnote>
  <w:footnote w:id="57">
    <w:p w:rsidR="00E3090E" w:rsidRDefault="00E3090E" w:rsidP="00B40C5E">
      <w:pPr>
        <w:pStyle w:val="FootnoteText"/>
      </w:pPr>
      <w:r>
        <w:rPr>
          <w:rStyle w:val="FootnoteReference"/>
        </w:rPr>
        <w:footnoteRef/>
      </w:r>
      <w:r>
        <w:t xml:space="preserve"> </w:t>
      </w:r>
      <w:r w:rsidRPr="00EA4E69">
        <w:rPr>
          <w:rFonts w:asciiTheme="minorHAnsi" w:eastAsia="TimesNewRoman" w:hAnsiTheme="minorHAnsi" w:cs="TimesNewRoman"/>
          <w:sz w:val="16"/>
          <w:szCs w:val="16"/>
        </w:rPr>
        <w:t>1 atrial fibrillation in a subject with no cardiac history and 1 Grade 1 QT prolongation on ECG which was not deemed clinically significant by the investigator, and 1 Grade 1 sinus tachycardia</w:t>
      </w:r>
    </w:p>
  </w:footnote>
  <w:footnote w:id="58">
    <w:p w:rsidR="00E3090E" w:rsidRDefault="00E3090E" w:rsidP="00E650A8">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E3090E" w:rsidRDefault="00E3090E" w:rsidP="00E650A8">
      <w:pPr>
        <w:pStyle w:val="FootnoteText"/>
      </w:pPr>
      <w:r w:rsidRPr="00F12492">
        <w:rPr>
          <w:i/>
        </w:rPr>
        <w:t>Routine pharmacovigilance</w:t>
      </w:r>
      <w:r>
        <w:t xml:space="preserve"> practices involve the following activities:</w:t>
      </w:r>
    </w:p>
    <w:p w:rsidR="00E3090E" w:rsidRDefault="00E3090E" w:rsidP="00E650A8">
      <w:pPr>
        <w:pStyle w:val="FootnoteText"/>
        <w:numPr>
          <w:ilvl w:val="0"/>
          <w:numId w:val="6"/>
        </w:numPr>
      </w:pPr>
      <w:r>
        <w:t>All suspected adverse reactions that are reported to the personnel of the company are collected and collated in an accessible manner;</w:t>
      </w:r>
    </w:p>
    <w:p w:rsidR="00E3090E" w:rsidRDefault="00E3090E" w:rsidP="00E650A8">
      <w:pPr>
        <w:pStyle w:val="FootnoteText"/>
        <w:numPr>
          <w:ilvl w:val="0"/>
          <w:numId w:val="6"/>
        </w:numPr>
      </w:pPr>
      <w:r>
        <w:t>Reporting to regulatory authorities;</w:t>
      </w:r>
    </w:p>
    <w:p w:rsidR="00E3090E" w:rsidRDefault="00E3090E" w:rsidP="00E650A8">
      <w:pPr>
        <w:pStyle w:val="FootnoteText"/>
        <w:numPr>
          <w:ilvl w:val="0"/>
          <w:numId w:val="6"/>
        </w:numPr>
      </w:pPr>
      <w:r>
        <w:t xml:space="preserve">Continuous monitoring of the safety profiles of approved products including signal detection and updating of </w:t>
      </w:r>
      <w:proofErr w:type="spellStart"/>
      <w:r>
        <w:t>labeling</w:t>
      </w:r>
      <w:proofErr w:type="spellEnd"/>
      <w:r>
        <w:t>;</w:t>
      </w:r>
    </w:p>
    <w:p w:rsidR="00E3090E" w:rsidRDefault="00E3090E" w:rsidP="00E650A8">
      <w:pPr>
        <w:pStyle w:val="FootnoteText"/>
        <w:numPr>
          <w:ilvl w:val="0"/>
          <w:numId w:val="6"/>
        </w:numPr>
      </w:pPr>
      <w:r>
        <w:t>Submission of PSURs;</w:t>
      </w:r>
    </w:p>
    <w:p w:rsidR="00E3090E" w:rsidRPr="00F12492" w:rsidRDefault="00E3090E" w:rsidP="00E650A8">
      <w:pPr>
        <w:pStyle w:val="FootnoteText"/>
        <w:numPr>
          <w:ilvl w:val="0"/>
          <w:numId w:val="6"/>
        </w:numPr>
        <w:rPr>
          <w:lang w:val="en-US"/>
        </w:rPr>
      </w:pPr>
      <w:r>
        <w:t>Meeting other local regulatory agency requirements.</w:t>
      </w:r>
    </w:p>
  </w:footnote>
  <w:footnote w:id="59">
    <w:p w:rsidR="00E3090E" w:rsidRDefault="00E3090E" w:rsidP="00AF414F">
      <w:pPr>
        <w:pStyle w:val="FootnoteText"/>
      </w:pPr>
      <w:r>
        <w:rPr>
          <w:rStyle w:val="FootnoteReference"/>
        </w:rPr>
        <w:footnoteRef/>
      </w:r>
      <w:r>
        <w:t xml:space="preserve"> </w:t>
      </w:r>
      <w:r w:rsidRPr="00DF0AD2">
        <w:t>Centre for Drug Evaluation and Research 209195Orig1s000 Summary Review, VOSEVI</w:t>
      </w:r>
    </w:p>
  </w:footnote>
  <w:footnote w:id="60">
    <w:p w:rsidR="00E3090E" w:rsidRPr="000D5C0A" w:rsidRDefault="00E3090E">
      <w:pPr>
        <w:pStyle w:val="FootnoteText"/>
        <w:rPr>
          <w:lang w:val="en-US"/>
        </w:rPr>
      </w:pPr>
      <w:r>
        <w:rPr>
          <w:rStyle w:val="FootnoteReference"/>
        </w:rPr>
        <w:footnoteRef/>
      </w:r>
      <w:r>
        <w:t xml:space="preserve"> Epclusa</w:t>
      </w:r>
      <w:r w:rsidRPr="00761F7D">
        <w:t xml:space="preserve"> Overview</w:t>
      </w:r>
      <w:r>
        <w:t xml:space="preserve"> and ACPM 313, </w:t>
      </w:r>
      <w:r w:rsidRPr="00761F7D">
        <w:t>1-2 December 2016</w:t>
      </w:r>
      <w:r>
        <w:t xml:space="preserve"> ratified minutes</w:t>
      </w:r>
    </w:p>
  </w:footnote>
  <w:footnote w:id="61">
    <w:p w:rsidR="00E3090E" w:rsidRDefault="00E3090E" w:rsidP="00AF414F">
      <w:pPr>
        <w:pStyle w:val="FootnoteText"/>
      </w:pPr>
      <w:r>
        <w:rPr>
          <w:rStyle w:val="FootnoteReference"/>
        </w:rPr>
        <w:footnoteRef/>
      </w:r>
      <w:r>
        <w:t xml:space="preserve"> </w:t>
      </w:r>
      <w:proofErr w:type="gramStart"/>
      <w:r w:rsidRPr="00E8000F">
        <w:t>Product information.</w:t>
      </w:r>
      <w:proofErr w:type="gramEnd"/>
      <w:r w:rsidRPr="00E8000F">
        <w:t xml:space="preserve"> EPCLUSA</w:t>
      </w:r>
    </w:p>
  </w:footnote>
  <w:footnote w:id="62">
    <w:p w:rsidR="00E3090E" w:rsidRPr="000D5C0A" w:rsidRDefault="00E3090E">
      <w:pPr>
        <w:pStyle w:val="FootnoteText"/>
      </w:pPr>
      <w:r>
        <w:rPr>
          <w:rStyle w:val="FootnoteReference"/>
        </w:rPr>
        <w:footnoteRef/>
      </w:r>
      <w:r>
        <w:t xml:space="preserve"> </w:t>
      </w:r>
      <w:r w:rsidRPr="00DF0AD2">
        <w:t>Centre for Drug Evaluation and Research 209195Orig1s000 Summary Review, VOSEVI</w:t>
      </w:r>
    </w:p>
  </w:footnote>
  <w:footnote w:id="63">
    <w:p w:rsidR="00E3090E" w:rsidRDefault="00E3090E" w:rsidP="00AF414F">
      <w:pPr>
        <w:pStyle w:val="FootnoteText"/>
      </w:pPr>
      <w:r>
        <w:rPr>
          <w:rStyle w:val="FootnoteReference"/>
        </w:rPr>
        <w:footnoteRef/>
      </w:r>
      <w:r>
        <w:t xml:space="preserve"> </w:t>
      </w:r>
      <w:proofErr w:type="gramStart"/>
      <w:r>
        <w:t>European Medicines Agency.</w:t>
      </w:r>
      <w:proofErr w:type="gramEnd"/>
      <w:r>
        <w:t xml:space="preserve"> </w:t>
      </w:r>
      <w:proofErr w:type="gramStart"/>
      <w:r>
        <w:t>Committee for Medicinal Products for Human Use.</w:t>
      </w:r>
      <w:proofErr w:type="gramEnd"/>
      <w:r>
        <w:t xml:space="preserve"> </w:t>
      </w:r>
      <w:proofErr w:type="gramStart"/>
      <w:r>
        <w:t>Assessment report, VOSEVI.</w:t>
      </w:r>
      <w:proofErr w:type="gramEnd"/>
      <w:r>
        <w:t xml:space="preserve"> 22 June 2017, EMA/441550/2017</w:t>
      </w:r>
    </w:p>
  </w:footnote>
  <w:footnote w:id="64">
    <w:p w:rsidR="00E3090E" w:rsidRDefault="00E3090E" w:rsidP="00AF414F">
      <w:pPr>
        <w:pStyle w:val="FootnoteText"/>
      </w:pPr>
      <w:r>
        <w:rPr>
          <w:rStyle w:val="FootnoteReference"/>
        </w:rPr>
        <w:footnoteRef/>
      </w:r>
      <w:r>
        <w:t xml:space="preserve"> </w:t>
      </w:r>
      <w:r w:rsidRPr="000E7B0F">
        <w:t>Centre for Drug Evaluation and Research 209195Orig1s000 Clinical Pharmacology and Biopharmaceutics review(s)</w:t>
      </w:r>
    </w:p>
  </w:footnote>
  <w:footnote w:id="65">
    <w:p w:rsidR="00E3090E" w:rsidRPr="00A95AB7" w:rsidRDefault="00E3090E">
      <w:pPr>
        <w:pStyle w:val="FootnoteText"/>
        <w:rPr>
          <w:lang w:val="en-GB"/>
        </w:rPr>
      </w:pPr>
      <w:r>
        <w:rPr>
          <w:rStyle w:val="FootnoteReference"/>
        </w:rPr>
        <w:footnoteRef/>
      </w:r>
      <w:r>
        <w:t xml:space="preserve"> </w:t>
      </w:r>
      <w:r>
        <w:rPr>
          <w:lang w:val="en-GB"/>
        </w:rPr>
        <w:t xml:space="preserve">Delegate’s comment (in the Delegate’s Overview): </w:t>
      </w:r>
      <w:r>
        <w:t>T</w:t>
      </w:r>
      <w:r w:rsidRPr="00AF414F">
        <w:t>h</w:t>
      </w:r>
      <w:r>
        <w:t>ese studies do</w:t>
      </w:r>
      <w:r w:rsidRPr="00AF414F">
        <w:t xml:space="preserve"> not appear to have been evaluated in the </w:t>
      </w:r>
      <w:r>
        <w:t>second round</w:t>
      </w:r>
      <w:r w:rsidRPr="00AF414F">
        <w:t xml:space="preserve"> CER.</w:t>
      </w:r>
    </w:p>
  </w:footnote>
  <w:footnote w:id="66">
    <w:p w:rsidR="00E3090E" w:rsidRDefault="00E3090E" w:rsidP="009461C2">
      <w:pPr>
        <w:pStyle w:val="FootnoteText"/>
      </w:pPr>
      <w:r>
        <w:rPr>
          <w:rStyle w:val="FootnoteReference"/>
        </w:rPr>
        <w:footnoteRef/>
      </w:r>
      <w:r w:rsidRPr="00250B28">
        <w:rPr>
          <w:lang w:val="fr-FR"/>
        </w:rPr>
        <w:t xml:space="preserve"> </w:t>
      </w:r>
      <w:proofErr w:type="spellStart"/>
      <w:r w:rsidRPr="00250B28">
        <w:rPr>
          <w:lang w:val="fr-FR"/>
        </w:rPr>
        <w:t>Bourlière</w:t>
      </w:r>
      <w:proofErr w:type="spellEnd"/>
      <w:r w:rsidRPr="00250B28">
        <w:rPr>
          <w:lang w:val="fr-FR"/>
        </w:rPr>
        <w:t xml:space="preserve"> M, et al.</w:t>
      </w:r>
      <w:r w:rsidRPr="009461C2">
        <w:t xml:space="preserve"> </w:t>
      </w:r>
      <w:proofErr w:type="gramStart"/>
      <w:r>
        <w:t>Sofosbuvir, Velpatasvir, and Voxilaprevir for Previously Treated HCV Infection.</w:t>
      </w:r>
      <w:proofErr w:type="gramEnd"/>
      <w:r w:rsidRPr="00250B28">
        <w:rPr>
          <w:lang w:val="fr-FR"/>
        </w:rPr>
        <w:t xml:space="preserve"> </w:t>
      </w:r>
      <w:r w:rsidRPr="009461C2">
        <w:rPr>
          <w:i/>
        </w:rPr>
        <w:t xml:space="preserve">N </w:t>
      </w:r>
      <w:proofErr w:type="spellStart"/>
      <w:r w:rsidRPr="009461C2">
        <w:rPr>
          <w:i/>
        </w:rPr>
        <w:t>Engl</w:t>
      </w:r>
      <w:proofErr w:type="spellEnd"/>
      <w:r w:rsidRPr="009461C2">
        <w:rPr>
          <w:i/>
        </w:rPr>
        <w:t xml:space="preserve"> J Med</w:t>
      </w:r>
      <w:r w:rsidRPr="00FB5B1D">
        <w:t xml:space="preserve"> 2017</w:t>
      </w:r>
      <w:proofErr w:type="gramStart"/>
      <w:r w:rsidRPr="00FB5B1D">
        <w:t>;376</w:t>
      </w:r>
      <w:proofErr w:type="gramEnd"/>
      <w:r w:rsidRPr="00FB5B1D">
        <w:t>:</w:t>
      </w:r>
      <w:r>
        <w:t xml:space="preserve"> </w:t>
      </w:r>
      <w:r w:rsidRPr="00FB5B1D">
        <w:t>2134-46.</w:t>
      </w:r>
    </w:p>
  </w:footnote>
  <w:footnote w:id="67">
    <w:p w:rsidR="00E3090E" w:rsidRPr="009461C2" w:rsidRDefault="00E3090E">
      <w:pPr>
        <w:pStyle w:val="FootnoteText"/>
        <w:rPr>
          <w:lang w:val="en-US"/>
        </w:rPr>
      </w:pPr>
      <w:r>
        <w:rPr>
          <w:rStyle w:val="FootnoteReference"/>
        </w:rPr>
        <w:footnoteRef/>
      </w:r>
      <w:r>
        <w:t xml:space="preserve"> Centre for Drug Evaluation and Research </w:t>
      </w:r>
      <w:r w:rsidRPr="00E47F73">
        <w:t xml:space="preserve">209195Orig1s000 </w:t>
      </w:r>
      <w:r>
        <w:t>Medical Review, VOSEVI</w:t>
      </w:r>
    </w:p>
  </w:footnote>
  <w:footnote w:id="68">
    <w:p w:rsidR="00E3090E" w:rsidRDefault="00E3090E" w:rsidP="006A3EF3">
      <w:pPr>
        <w:pStyle w:val="FootnoteText"/>
      </w:pPr>
      <w:r>
        <w:rPr>
          <w:rStyle w:val="FootnoteReference"/>
        </w:rPr>
        <w:footnoteRef/>
      </w:r>
      <w:r>
        <w:t xml:space="preserve"> Centre for Drug Evaluation and Research </w:t>
      </w:r>
      <w:r w:rsidRPr="00E47F73">
        <w:t xml:space="preserve">209195Orig1s000 </w:t>
      </w:r>
      <w:r>
        <w:t>Medical Review, VOSEVI</w:t>
      </w:r>
    </w:p>
  </w:footnote>
  <w:footnote w:id="69">
    <w:p w:rsidR="00E3090E" w:rsidRDefault="00E3090E" w:rsidP="007C712C">
      <w:pPr>
        <w:pStyle w:val="FootnoteText"/>
      </w:pPr>
      <w:r>
        <w:rPr>
          <w:rStyle w:val="FootnoteReference"/>
        </w:rPr>
        <w:footnoteRef/>
      </w:r>
      <w:r w:rsidRPr="00250B28">
        <w:rPr>
          <w:lang w:val="fr-FR"/>
        </w:rPr>
        <w:t xml:space="preserve"> Jacobson IM, et </w:t>
      </w:r>
      <w:r w:rsidRPr="007C712C">
        <w:t>al. Efficacy of 8 Weeks of Sofosbuvir, Velpatasvir</w:t>
      </w:r>
      <w:r w:rsidRPr="007C712C">
        <w:rPr>
          <w:rStyle w:val="FootnoteTextChar"/>
        </w:rPr>
        <w:t>, and Voxilaprevir in Patients With Chronic HCV Infection: 2 Phase 3 Randomized Trials.</w:t>
      </w:r>
      <w:r>
        <w:rPr>
          <w:rStyle w:val="FootnoteTextChar"/>
        </w:rPr>
        <w:t xml:space="preserve"> </w:t>
      </w:r>
      <w:r w:rsidRPr="007C712C">
        <w:rPr>
          <w:i/>
        </w:rPr>
        <w:t>Gastroenterology</w:t>
      </w:r>
      <w:r>
        <w:t xml:space="preserve"> 2017;153:113-122</w:t>
      </w:r>
    </w:p>
  </w:footnote>
  <w:footnote w:id="70">
    <w:p w:rsidR="00E3090E" w:rsidRPr="007E0F0B" w:rsidRDefault="00E3090E">
      <w:pPr>
        <w:pStyle w:val="FootnoteText"/>
        <w:rPr>
          <w:lang w:val="en-US"/>
        </w:rPr>
      </w:pPr>
      <w:r>
        <w:rPr>
          <w:rStyle w:val="FootnoteReference"/>
        </w:rPr>
        <w:footnoteRef/>
      </w:r>
      <w:r>
        <w:t xml:space="preserve"> </w:t>
      </w:r>
      <w:proofErr w:type="gramStart"/>
      <w:r>
        <w:t>European Medicines Agency.</w:t>
      </w:r>
      <w:proofErr w:type="gramEnd"/>
      <w:r>
        <w:t xml:space="preserve"> </w:t>
      </w:r>
      <w:proofErr w:type="gramStart"/>
      <w:r>
        <w:t>Committee for Medicinal Products for Human Use.</w:t>
      </w:r>
      <w:proofErr w:type="gramEnd"/>
      <w:r>
        <w:t xml:space="preserve"> </w:t>
      </w:r>
      <w:proofErr w:type="gramStart"/>
      <w:r>
        <w:t>Assessment report, VOSEVI.</w:t>
      </w:r>
      <w:proofErr w:type="gramEnd"/>
      <w:r>
        <w:t xml:space="preserve"> 22 June 2017, EMA/441550/2017</w:t>
      </w:r>
    </w:p>
  </w:footnote>
  <w:footnote w:id="71">
    <w:p w:rsidR="00E3090E" w:rsidRPr="002179DA" w:rsidRDefault="00E3090E" w:rsidP="002179DA">
      <w:pPr>
        <w:rPr>
          <w:sz w:val="18"/>
          <w:szCs w:val="20"/>
        </w:rPr>
      </w:pPr>
      <w:r>
        <w:rPr>
          <w:rStyle w:val="FootnoteReference"/>
        </w:rPr>
        <w:footnoteRef/>
      </w:r>
      <w:r>
        <w:t xml:space="preserve"> </w:t>
      </w:r>
      <w:r w:rsidRPr="002179DA">
        <w:rPr>
          <w:rStyle w:val="FootnoteTextChar"/>
        </w:rPr>
        <w:t xml:space="preserve">Dore GJ, </w:t>
      </w:r>
      <w:r>
        <w:rPr>
          <w:rStyle w:val="FootnoteTextChar"/>
        </w:rPr>
        <w:t>et al</w:t>
      </w:r>
      <w:r w:rsidRPr="002179DA">
        <w:rPr>
          <w:rStyle w:val="FootnoteTextChar"/>
        </w:rPr>
        <w:t xml:space="preserve">. Epidemiology of hepatitis C virus infection in Australia. </w:t>
      </w:r>
      <w:r w:rsidRPr="002179DA">
        <w:rPr>
          <w:rStyle w:val="FootnoteTextChar"/>
          <w:i/>
        </w:rPr>
        <w:t xml:space="preserve">J </w:t>
      </w:r>
      <w:proofErr w:type="spellStart"/>
      <w:r w:rsidRPr="002179DA">
        <w:rPr>
          <w:rStyle w:val="FootnoteTextChar"/>
          <w:i/>
        </w:rPr>
        <w:t>Clin</w:t>
      </w:r>
      <w:proofErr w:type="spellEnd"/>
      <w:r w:rsidRPr="002179DA">
        <w:rPr>
          <w:rStyle w:val="FootnoteTextChar"/>
          <w:i/>
        </w:rPr>
        <w:t xml:space="preserve"> </w:t>
      </w:r>
      <w:proofErr w:type="spellStart"/>
      <w:r w:rsidRPr="002179DA">
        <w:rPr>
          <w:rStyle w:val="FootnoteTextChar"/>
          <w:i/>
        </w:rPr>
        <w:t>Virol</w:t>
      </w:r>
      <w:proofErr w:type="spellEnd"/>
      <w:r>
        <w:rPr>
          <w:rStyle w:val="FootnoteTextChar"/>
        </w:rPr>
        <w:t xml:space="preserve"> 2003</w:t>
      </w:r>
      <w:proofErr w:type="gramStart"/>
      <w:r>
        <w:rPr>
          <w:rStyle w:val="FootnoteTextChar"/>
        </w:rPr>
        <w:t>;26</w:t>
      </w:r>
      <w:proofErr w:type="gramEnd"/>
      <w:r>
        <w:rPr>
          <w:rStyle w:val="FootnoteTextChar"/>
        </w:rPr>
        <w:t xml:space="preserve"> </w:t>
      </w:r>
      <w:r w:rsidRPr="002179DA">
        <w:rPr>
          <w:rStyle w:val="FootnoteTextChar"/>
        </w:rPr>
        <w:t>:171-</w:t>
      </w:r>
      <w:r>
        <w:rPr>
          <w:rStyle w:val="FootnoteTextChar"/>
        </w:rPr>
        <w:t>1</w:t>
      </w:r>
      <w:r w:rsidRPr="002179DA">
        <w:rPr>
          <w:rStyle w:val="FootnoteTextChar"/>
        </w:rPr>
        <w:t>84.</w:t>
      </w:r>
    </w:p>
  </w:footnote>
  <w:footnote w:id="72">
    <w:p w:rsidR="00E3090E" w:rsidRDefault="00E3090E"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E3090E" w:rsidRPr="00456765" w:rsidRDefault="00E3090E"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E" w:rsidRDefault="00E3090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E" w:rsidRDefault="00E3090E">
    <w:pPr>
      <w:rPr>
        <w:noProof/>
        <w:lang w:eastAsia="en-AU"/>
      </w:rPr>
    </w:pPr>
    <w:r w:rsidRPr="00347824">
      <w:rPr>
        <w:noProof/>
        <w:lang w:eastAsia="en-AU"/>
      </w:rPr>
      <w:drawing>
        <wp:anchor distT="0" distB="0" distL="114300" distR="114300" simplePos="0" relativeHeight="251659264" behindDoc="1" locked="0" layoutInCell="1" allowOverlap="1" wp14:anchorId="5A2C3E93" wp14:editId="6E696E48">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3090E" w:rsidRDefault="00E3090E" w:rsidP="00593AD1">
    <w:pPr>
      <w:pStyle w:val="HeaderNoLine"/>
    </w:pPr>
    <w:r>
      <w:rPr>
        <w:noProof/>
        <w:lang w:eastAsia="en-AU"/>
      </w:rPr>
      <w:drawing>
        <wp:inline distT="0" distB="0" distL="0" distR="0" wp14:anchorId="5DB8BB0A" wp14:editId="12EC4447">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E" w:rsidRDefault="00E3090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E" w:rsidRDefault="00E3090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E" w:rsidRDefault="00E3090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E" w:rsidRDefault="00E3090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E" w:rsidRDefault="00E3090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90E" w:rsidRDefault="00E3090E" w:rsidP="006E08B3">
    <w:r>
      <w:t>Therapeutic Goods Administration</w:t>
    </w:r>
  </w:p>
  <w:p w:rsidR="00E3090E" w:rsidRDefault="00E3090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68F13E9"/>
    <w:multiLevelType w:val="multilevel"/>
    <w:tmpl w:val="016028F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489B15D7"/>
    <w:multiLevelType w:val="hybridMultilevel"/>
    <w:tmpl w:val="41CA2FEE"/>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2"/>
  </w:num>
  <w:num w:numId="4">
    <w:abstractNumId w:val="1"/>
  </w:num>
  <w:num w:numId="5">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5"/>
  </w:num>
  <w:num w:numId="18">
    <w:abstractNumId w:val="0"/>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614"/>
    <w:rsid w:val="000012D7"/>
    <w:rsid w:val="00002031"/>
    <w:rsid w:val="00004734"/>
    <w:rsid w:val="00006B22"/>
    <w:rsid w:val="0001276A"/>
    <w:rsid w:val="00020AA8"/>
    <w:rsid w:val="000246AE"/>
    <w:rsid w:val="00025C67"/>
    <w:rsid w:val="000416C2"/>
    <w:rsid w:val="00041BBE"/>
    <w:rsid w:val="00043F9D"/>
    <w:rsid w:val="00044772"/>
    <w:rsid w:val="00045317"/>
    <w:rsid w:val="0005559E"/>
    <w:rsid w:val="000604D6"/>
    <w:rsid w:val="00062A08"/>
    <w:rsid w:val="00071AED"/>
    <w:rsid w:val="000734D8"/>
    <w:rsid w:val="00077775"/>
    <w:rsid w:val="0008365A"/>
    <w:rsid w:val="00090471"/>
    <w:rsid w:val="00096602"/>
    <w:rsid w:val="00096AA7"/>
    <w:rsid w:val="000A3AED"/>
    <w:rsid w:val="000A4F79"/>
    <w:rsid w:val="000B080A"/>
    <w:rsid w:val="000B3532"/>
    <w:rsid w:val="000B3A75"/>
    <w:rsid w:val="000C00C2"/>
    <w:rsid w:val="000C291D"/>
    <w:rsid w:val="000C690F"/>
    <w:rsid w:val="000D04F2"/>
    <w:rsid w:val="000D1295"/>
    <w:rsid w:val="000D391B"/>
    <w:rsid w:val="000D3D6D"/>
    <w:rsid w:val="000D4FC7"/>
    <w:rsid w:val="000D5C0A"/>
    <w:rsid w:val="000E1116"/>
    <w:rsid w:val="000E6196"/>
    <w:rsid w:val="000F4869"/>
    <w:rsid w:val="000F5B42"/>
    <w:rsid w:val="000F6E6F"/>
    <w:rsid w:val="00102E77"/>
    <w:rsid w:val="0010601F"/>
    <w:rsid w:val="0010788A"/>
    <w:rsid w:val="00107A31"/>
    <w:rsid w:val="00110EA5"/>
    <w:rsid w:val="00112F56"/>
    <w:rsid w:val="00124ACD"/>
    <w:rsid w:val="00125318"/>
    <w:rsid w:val="001305A2"/>
    <w:rsid w:val="00133238"/>
    <w:rsid w:val="00133A1B"/>
    <w:rsid w:val="0014197B"/>
    <w:rsid w:val="00142CB6"/>
    <w:rsid w:val="001447CD"/>
    <w:rsid w:val="001516B1"/>
    <w:rsid w:val="00154EBB"/>
    <w:rsid w:val="00156316"/>
    <w:rsid w:val="00161181"/>
    <w:rsid w:val="00162D14"/>
    <w:rsid w:val="00163780"/>
    <w:rsid w:val="00165389"/>
    <w:rsid w:val="0017693F"/>
    <w:rsid w:val="00180E04"/>
    <w:rsid w:val="0018110E"/>
    <w:rsid w:val="00181684"/>
    <w:rsid w:val="00183653"/>
    <w:rsid w:val="001843C6"/>
    <w:rsid w:val="001850E0"/>
    <w:rsid w:val="00192D15"/>
    <w:rsid w:val="001A2158"/>
    <w:rsid w:val="001A525F"/>
    <w:rsid w:val="001B09F9"/>
    <w:rsid w:val="001B5C90"/>
    <w:rsid w:val="001B6448"/>
    <w:rsid w:val="001C32CD"/>
    <w:rsid w:val="001D2984"/>
    <w:rsid w:val="001E07CF"/>
    <w:rsid w:val="001E59F1"/>
    <w:rsid w:val="001F05BF"/>
    <w:rsid w:val="001F2CEE"/>
    <w:rsid w:val="001F49EB"/>
    <w:rsid w:val="001F6CBA"/>
    <w:rsid w:val="00201D4E"/>
    <w:rsid w:val="002076C9"/>
    <w:rsid w:val="002179DA"/>
    <w:rsid w:val="00220B8A"/>
    <w:rsid w:val="002257F3"/>
    <w:rsid w:val="00233456"/>
    <w:rsid w:val="002339A5"/>
    <w:rsid w:val="00234AF1"/>
    <w:rsid w:val="00257848"/>
    <w:rsid w:val="00266334"/>
    <w:rsid w:val="00267183"/>
    <w:rsid w:val="0027084A"/>
    <w:rsid w:val="00286434"/>
    <w:rsid w:val="00286C59"/>
    <w:rsid w:val="00291957"/>
    <w:rsid w:val="002942D1"/>
    <w:rsid w:val="0029501A"/>
    <w:rsid w:val="002A3721"/>
    <w:rsid w:val="002B1638"/>
    <w:rsid w:val="002B3624"/>
    <w:rsid w:val="002D0952"/>
    <w:rsid w:val="002D4109"/>
    <w:rsid w:val="002D6BA0"/>
    <w:rsid w:val="002E40B3"/>
    <w:rsid w:val="002E4C9A"/>
    <w:rsid w:val="002E5EBC"/>
    <w:rsid w:val="002F11F8"/>
    <w:rsid w:val="002F3F56"/>
    <w:rsid w:val="002F44B5"/>
    <w:rsid w:val="002F5122"/>
    <w:rsid w:val="002F6614"/>
    <w:rsid w:val="00311AC0"/>
    <w:rsid w:val="003176FC"/>
    <w:rsid w:val="00317C38"/>
    <w:rsid w:val="0032583B"/>
    <w:rsid w:val="00327883"/>
    <w:rsid w:val="00332A4C"/>
    <w:rsid w:val="00335504"/>
    <w:rsid w:val="00340C18"/>
    <w:rsid w:val="0034184C"/>
    <w:rsid w:val="003442FD"/>
    <w:rsid w:val="00347824"/>
    <w:rsid w:val="00350567"/>
    <w:rsid w:val="003521E8"/>
    <w:rsid w:val="00370CE3"/>
    <w:rsid w:val="003728F3"/>
    <w:rsid w:val="003735BC"/>
    <w:rsid w:val="0037496E"/>
    <w:rsid w:val="00383221"/>
    <w:rsid w:val="00384C51"/>
    <w:rsid w:val="00386150"/>
    <w:rsid w:val="003874CE"/>
    <w:rsid w:val="00390900"/>
    <w:rsid w:val="003925CF"/>
    <w:rsid w:val="003A5113"/>
    <w:rsid w:val="003A7F6C"/>
    <w:rsid w:val="003B424E"/>
    <w:rsid w:val="003B4961"/>
    <w:rsid w:val="003B4D60"/>
    <w:rsid w:val="003B59C1"/>
    <w:rsid w:val="003B7E39"/>
    <w:rsid w:val="003C58DC"/>
    <w:rsid w:val="003C735A"/>
    <w:rsid w:val="003D019C"/>
    <w:rsid w:val="003D1E62"/>
    <w:rsid w:val="003E0B99"/>
    <w:rsid w:val="003E2486"/>
    <w:rsid w:val="003E3208"/>
    <w:rsid w:val="003F0B04"/>
    <w:rsid w:val="0040134E"/>
    <w:rsid w:val="00416834"/>
    <w:rsid w:val="004334C7"/>
    <w:rsid w:val="00440A2D"/>
    <w:rsid w:val="00441C3F"/>
    <w:rsid w:val="004564A7"/>
    <w:rsid w:val="00456765"/>
    <w:rsid w:val="004617BF"/>
    <w:rsid w:val="00463658"/>
    <w:rsid w:val="004637A0"/>
    <w:rsid w:val="0046634B"/>
    <w:rsid w:val="004722CC"/>
    <w:rsid w:val="00476CD0"/>
    <w:rsid w:val="004936E4"/>
    <w:rsid w:val="00494E60"/>
    <w:rsid w:val="00497487"/>
    <w:rsid w:val="004A55F8"/>
    <w:rsid w:val="004A6189"/>
    <w:rsid w:val="004A7390"/>
    <w:rsid w:val="004B23FD"/>
    <w:rsid w:val="004B51BC"/>
    <w:rsid w:val="004B7B76"/>
    <w:rsid w:val="004C239D"/>
    <w:rsid w:val="004C2DCA"/>
    <w:rsid w:val="004C5E42"/>
    <w:rsid w:val="004C61D2"/>
    <w:rsid w:val="004E7E24"/>
    <w:rsid w:val="004F0C4A"/>
    <w:rsid w:val="004F0F38"/>
    <w:rsid w:val="004F47D6"/>
    <w:rsid w:val="004F5F76"/>
    <w:rsid w:val="00500337"/>
    <w:rsid w:val="00501921"/>
    <w:rsid w:val="00507436"/>
    <w:rsid w:val="00530354"/>
    <w:rsid w:val="0053625B"/>
    <w:rsid w:val="005434C6"/>
    <w:rsid w:val="00543933"/>
    <w:rsid w:val="00543B39"/>
    <w:rsid w:val="00545ED5"/>
    <w:rsid w:val="00546154"/>
    <w:rsid w:val="005474B3"/>
    <w:rsid w:val="00550096"/>
    <w:rsid w:val="00555280"/>
    <w:rsid w:val="00557FF9"/>
    <w:rsid w:val="00562327"/>
    <w:rsid w:val="005711D5"/>
    <w:rsid w:val="00575D6B"/>
    <w:rsid w:val="00576378"/>
    <w:rsid w:val="00577130"/>
    <w:rsid w:val="00577945"/>
    <w:rsid w:val="00577E38"/>
    <w:rsid w:val="00585322"/>
    <w:rsid w:val="005857C6"/>
    <w:rsid w:val="00592F6E"/>
    <w:rsid w:val="00593AD1"/>
    <w:rsid w:val="005A68B6"/>
    <w:rsid w:val="005B1951"/>
    <w:rsid w:val="005C5570"/>
    <w:rsid w:val="005C79A4"/>
    <w:rsid w:val="005D5442"/>
    <w:rsid w:val="005F3B70"/>
    <w:rsid w:val="005F50AC"/>
    <w:rsid w:val="00603F32"/>
    <w:rsid w:val="00605AD4"/>
    <w:rsid w:val="00610D06"/>
    <w:rsid w:val="006136D7"/>
    <w:rsid w:val="00613A66"/>
    <w:rsid w:val="00625A6E"/>
    <w:rsid w:val="00632398"/>
    <w:rsid w:val="00640FC3"/>
    <w:rsid w:val="00642020"/>
    <w:rsid w:val="0064586A"/>
    <w:rsid w:val="0065337B"/>
    <w:rsid w:val="0065419D"/>
    <w:rsid w:val="006603BC"/>
    <w:rsid w:val="006604D8"/>
    <w:rsid w:val="00664A5B"/>
    <w:rsid w:val="0066735C"/>
    <w:rsid w:val="006763D2"/>
    <w:rsid w:val="00676E8E"/>
    <w:rsid w:val="00680C08"/>
    <w:rsid w:val="006916A0"/>
    <w:rsid w:val="006931B1"/>
    <w:rsid w:val="006A15C0"/>
    <w:rsid w:val="006A3EF3"/>
    <w:rsid w:val="006C1E08"/>
    <w:rsid w:val="006C3E2A"/>
    <w:rsid w:val="006C4D15"/>
    <w:rsid w:val="006C642F"/>
    <w:rsid w:val="006D03E5"/>
    <w:rsid w:val="006D3CFD"/>
    <w:rsid w:val="006D5948"/>
    <w:rsid w:val="006D5D3E"/>
    <w:rsid w:val="006E08B3"/>
    <w:rsid w:val="006F17AC"/>
    <w:rsid w:val="006F25B8"/>
    <w:rsid w:val="006F572E"/>
    <w:rsid w:val="007046D6"/>
    <w:rsid w:val="00705DB0"/>
    <w:rsid w:val="00722B57"/>
    <w:rsid w:val="00730F8A"/>
    <w:rsid w:val="00735A8C"/>
    <w:rsid w:val="0074253D"/>
    <w:rsid w:val="0074429B"/>
    <w:rsid w:val="0075442C"/>
    <w:rsid w:val="00755126"/>
    <w:rsid w:val="007615BC"/>
    <w:rsid w:val="00762F05"/>
    <w:rsid w:val="00763395"/>
    <w:rsid w:val="007652FF"/>
    <w:rsid w:val="00770CAC"/>
    <w:rsid w:val="00770EF1"/>
    <w:rsid w:val="00773EF7"/>
    <w:rsid w:val="00774E1D"/>
    <w:rsid w:val="007765D8"/>
    <w:rsid w:val="0077675A"/>
    <w:rsid w:val="00776EDC"/>
    <w:rsid w:val="00780355"/>
    <w:rsid w:val="007819FD"/>
    <w:rsid w:val="00781A47"/>
    <w:rsid w:val="00785717"/>
    <w:rsid w:val="00785721"/>
    <w:rsid w:val="00793A59"/>
    <w:rsid w:val="00795E66"/>
    <w:rsid w:val="007A46F5"/>
    <w:rsid w:val="007B6132"/>
    <w:rsid w:val="007B6E9F"/>
    <w:rsid w:val="007C1216"/>
    <w:rsid w:val="007C1AF7"/>
    <w:rsid w:val="007C6B9B"/>
    <w:rsid w:val="007C712C"/>
    <w:rsid w:val="007E0F0B"/>
    <w:rsid w:val="007E7455"/>
    <w:rsid w:val="00805D27"/>
    <w:rsid w:val="00806DCB"/>
    <w:rsid w:val="008138CC"/>
    <w:rsid w:val="00821776"/>
    <w:rsid w:val="008321F5"/>
    <w:rsid w:val="00832369"/>
    <w:rsid w:val="00834660"/>
    <w:rsid w:val="00836BC2"/>
    <w:rsid w:val="0084539B"/>
    <w:rsid w:val="0085156D"/>
    <w:rsid w:val="00852B28"/>
    <w:rsid w:val="00852D86"/>
    <w:rsid w:val="0085641B"/>
    <w:rsid w:val="00856FEB"/>
    <w:rsid w:val="00857136"/>
    <w:rsid w:val="00870D7E"/>
    <w:rsid w:val="00875A6B"/>
    <w:rsid w:val="00877139"/>
    <w:rsid w:val="00885B11"/>
    <w:rsid w:val="00886D15"/>
    <w:rsid w:val="00887DD8"/>
    <w:rsid w:val="00891BA9"/>
    <w:rsid w:val="00896018"/>
    <w:rsid w:val="008960DD"/>
    <w:rsid w:val="0089635C"/>
    <w:rsid w:val="008A29C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140CB"/>
    <w:rsid w:val="0091523F"/>
    <w:rsid w:val="00920330"/>
    <w:rsid w:val="009219D7"/>
    <w:rsid w:val="00922D53"/>
    <w:rsid w:val="00923B70"/>
    <w:rsid w:val="00924482"/>
    <w:rsid w:val="00930237"/>
    <w:rsid w:val="00937C17"/>
    <w:rsid w:val="00940A89"/>
    <w:rsid w:val="00942C6A"/>
    <w:rsid w:val="009461C2"/>
    <w:rsid w:val="00946EA5"/>
    <w:rsid w:val="00963C08"/>
    <w:rsid w:val="00967A0B"/>
    <w:rsid w:val="009752A5"/>
    <w:rsid w:val="0098585A"/>
    <w:rsid w:val="00992623"/>
    <w:rsid w:val="009A4CED"/>
    <w:rsid w:val="009A690D"/>
    <w:rsid w:val="009B1D12"/>
    <w:rsid w:val="009B416B"/>
    <w:rsid w:val="009C4BD5"/>
    <w:rsid w:val="009D7B77"/>
    <w:rsid w:val="009E0BB0"/>
    <w:rsid w:val="009E38EA"/>
    <w:rsid w:val="009E3FBB"/>
    <w:rsid w:val="009E6C8F"/>
    <w:rsid w:val="009F7353"/>
    <w:rsid w:val="00A04F85"/>
    <w:rsid w:val="00A05FA4"/>
    <w:rsid w:val="00A102E4"/>
    <w:rsid w:val="00A12C42"/>
    <w:rsid w:val="00A14DF7"/>
    <w:rsid w:val="00A2119F"/>
    <w:rsid w:val="00A22D57"/>
    <w:rsid w:val="00A3246D"/>
    <w:rsid w:val="00A34D06"/>
    <w:rsid w:val="00A36FA7"/>
    <w:rsid w:val="00A44DDB"/>
    <w:rsid w:val="00A475B7"/>
    <w:rsid w:val="00A47AF7"/>
    <w:rsid w:val="00A47C3E"/>
    <w:rsid w:val="00A50226"/>
    <w:rsid w:val="00A60BAD"/>
    <w:rsid w:val="00A77F87"/>
    <w:rsid w:val="00A80B5B"/>
    <w:rsid w:val="00A84E36"/>
    <w:rsid w:val="00A95AB7"/>
    <w:rsid w:val="00A964D1"/>
    <w:rsid w:val="00AA0ED0"/>
    <w:rsid w:val="00AA5E62"/>
    <w:rsid w:val="00AA624F"/>
    <w:rsid w:val="00AC0F8C"/>
    <w:rsid w:val="00AC2B40"/>
    <w:rsid w:val="00AC2BB2"/>
    <w:rsid w:val="00AC2C3C"/>
    <w:rsid w:val="00AC3806"/>
    <w:rsid w:val="00AC512D"/>
    <w:rsid w:val="00AD0083"/>
    <w:rsid w:val="00AD3935"/>
    <w:rsid w:val="00AE65EB"/>
    <w:rsid w:val="00AE67A7"/>
    <w:rsid w:val="00AF1D94"/>
    <w:rsid w:val="00AF414F"/>
    <w:rsid w:val="00AF60C5"/>
    <w:rsid w:val="00AF7415"/>
    <w:rsid w:val="00B0055C"/>
    <w:rsid w:val="00B009C6"/>
    <w:rsid w:val="00B01548"/>
    <w:rsid w:val="00B13EBD"/>
    <w:rsid w:val="00B14720"/>
    <w:rsid w:val="00B21D29"/>
    <w:rsid w:val="00B25034"/>
    <w:rsid w:val="00B31BA7"/>
    <w:rsid w:val="00B33588"/>
    <w:rsid w:val="00B33863"/>
    <w:rsid w:val="00B37D17"/>
    <w:rsid w:val="00B40C5E"/>
    <w:rsid w:val="00B4175E"/>
    <w:rsid w:val="00B41C85"/>
    <w:rsid w:val="00B452CE"/>
    <w:rsid w:val="00B54C25"/>
    <w:rsid w:val="00B76B91"/>
    <w:rsid w:val="00B77EB1"/>
    <w:rsid w:val="00B811C6"/>
    <w:rsid w:val="00B855B0"/>
    <w:rsid w:val="00B92E08"/>
    <w:rsid w:val="00BB6256"/>
    <w:rsid w:val="00BC622A"/>
    <w:rsid w:val="00BE0A78"/>
    <w:rsid w:val="00BE79F0"/>
    <w:rsid w:val="00BF046D"/>
    <w:rsid w:val="00BF1190"/>
    <w:rsid w:val="00BF3774"/>
    <w:rsid w:val="00BF5D04"/>
    <w:rsid w:val="00C009AA"/>
    <w:rsid w:val="00C1164D"/>
    <w:rsid w:val="00C11679"/>
    <w:rsid w:val="00C16861"/>
    <w:rsid w:val="00C26BA7"/>
    <w:rsid w:val="00C346AB"/>
    <w:rsid w:val="00C349F9"/>
    <w:rsid w:val="00C404A6"/>
    <w:rsid w:val="00C40A36"/>
    <w:rsid w:val="00C4145D"/>
    <w:rsid w:val="00C44419"/>
    <w:rsid w:val="00C45E7B"/>
    <w:rsid w:val="00C471B1"/>
    <w:rsid w:val="00C6316B"/>
    <w:rsid w:val="00C634A9"/>
    <w:rsid w:val="00C64586"/>
    <w:rsid w:val="00C70D53"/>
    <w:rsid w:val="00C73D0B"/>
    <w:rsid w:val="00C772FF"/>
    <w:rsid w:val="00C80137"/>
    <w:rsid w:val="00C801AF"/>
    <w:rsid w:val="00C80256"/>
    <w:rsid w:val="00C94CD4"/>
    <w:rsid w:val="00C9747E"/>
    <w:rsid w:val="00CA18EE"/>
    <w:rsid w:val="00CA2D91"/>
    <w:rsid w:val="00CB37FB"/>
    <w:rsid w:val="00CB6BC0"/>
    <w:rsid w:val="00CC1B7C"/>
    <w:rsid w:val="00CC727F"/>
    <w:rsid w:val="00CE0E69"/>
    <w:rsid w:val="00CE27F2"/>
    <w:rsid w:val="00CF15C3"/>
    <w:rsid w:val="00CF2B6F"/>
    <w:rsid w:val="00CF2F3E"/>
    <w:rsid w:val="00CF4334"/>
    <w:rsid w:val="00CF58B6"/>
    <w:rsid w:val="00D0062D"/>
    <w:rsid w:val="00D017ED"/>
    <w:rsid w:val="00D033A4"/>
    <w:rsid w:val="00D040D3"/>
    <w:rsid w:val="00D04C65"/>
    <w:rsid w:val="00D11551"/>
    <w:rsid w:val="00D201D2"/>
    <w:rsid w:val="00D224FE"/>
    <w:rsid w:val="00D23139"/>
    <w:rsid w:val="00D27C5D"/>
    <w:rsid w:val="00D32A2F"/>
    <w:rsid w:val="00D35780"/>
    <w:rsid w:val="00D425BB"/>
    <w:rsid w:val="00D43BF2"/>
    <w:rsid w:val="00D453FA"/>
    <w:rsid w:val="00D51BB6"/>
    <w:rsid w:val="00D6493E"/>
    <w:rsid w:val="00D7195D"/>
    <w:rsid w:val="00D7301E"/>
    <w:rsid w:val="00D83AE1"/>
    <w:rsid w:val="00D855D4"/>
    <w:rsid w:val="00D902C9"/>
    <w:rsid w:val="00D93466"/>
    <w:rsid w:val="00DA0F8A"/>
    <w:rsid w:val="00DA1124"/>
    <w:rsid w:val="00DB06B8"/>
    <w:rsid w:val="00DB3894"/>
    <w:rsid w:val="00DB6124"/>
    <w:rsid w:val="00DB750B"/>
    <w:rsid w:val="00DB75B7"/>
    <w:rsid w:val="00DC6E02"/>
    <w:rsid w:val="00DD2514"/>
    <w:rsid w:val="00DD28CD"/>
    <w:rsid w:val="00DE02AE"/>
    <w:rsid w:val="00DE39D1"/>
    <w:rsid w:val="00DF1D7F"/>
    <w:rsid w:val="00DF4BE4"/>
    <w:rsid w:val="00E02382"/>
    <w:rsid w:val="00E02FB4"/>
    <w:rsid w:val="00E1265F"/>
    <w:rsid w:val="00E13FC7"/>
    <w:rsid w:val="00E20571"/>
    <w:rsid w:val="00E235F7"/>
    <w:rsid w:val="00E23659"/>
    <w:rsid w:val="00E239D4"/>
    <w:rsid w:val="00E26130"/>
    <w:rsid w:val="00E3090E"/>
    <w:rsid w:val="00E40B22"/>
    <w:rsid w:val="00E44ED1"/>
    <w:rsid w:val="00E45619"/>
    <w:rsid w:val="00E4588F"/>
    <w:rsid w:val="00E45B2D"/>
    <w:rsid w:val="00E46DA3"/>
    <w:rsid w:val="00E51BB1"/>
    <w:rsid w:val="00E55465"/>
    <w:rsid w:val="00E624A5"/>
    <w:rsid w:val="00E64BA4"/>
    <w:rsid w:val="00E650A8"/>
    <w:rsid w:val="00E7344E"/>
    <w:rsid w:val="00E82665"/>
    <w:rsid w:val="00E8522C"/>
    <w:rsid w:val="00EA5261"/>
    <w:rsid w:val="00EA6C30"/>
    <w:rsid w:val="00EB0395"/>
    <w:rsid w:val="00EB0798"/>
    <w:rsid w:val="00EB40AD"/>
    <w:rsid w:val="00EB586E"/>
    <w:rsid w:val="00EB5FC8"/>
    <w:rsid w:val="00EC463D"/>
    <w:rsid w:val="00EC7A85"/>
    <w:rsid w:val="00ED2922"/>
    <w:rsid w:val="00ED3CAD"/>
    <w:rsid w:val="00ED5A41"/>
    <w:rsid w:val="00EE1DE8"/>
    <w:rsid w:val="00EE22BF"/>
    <w:rsid w:val="00EE27C2"/>
    <w:rsid w:val="00EF4BAD"/>
    <w:rsid w:val="00EF59DC"/>
    <w:rsid w:val="00F033EC"/>
    <w:rsid w:val="00F04F68"/>
    <w:rsid w:val="00F12670"/>
    <w:rsid w:val="00F14B27"/>
    <w:rsid w:val="00F17AFC"/>
    <w:rsid w:val="00F3148D"/>
    <w:rsid w:val="00F325C5"/>
    <w:rsid w:val="00F32FE0"/>
    <w:rsid w:val="00F35298"/>
    <w:rsid w:val="00F459F1"/>
    <w:rsid w:val="00F45B1B"/>
    <w:rsid w:val="00F47333"/>
    <w:rsid w:val="00F47E37"/>
    <w:rsid w:val="00F53C07"/>
    <w:rsid w:val="00F54B65"/>
    <w:rsid w:val="00F640B6"/>
    <w:rsid w:val="00F64A30"/>
    <w:rsid w:val="00F66DF2"/>
    <w:rsid w:val="00F80E40"/>
    <w:rsid w:val="00F848D9"/>
    <w:rsid w:val="00FA5069"/>
    <w:rsid w:val="00FA5B82"/>
    <w:rsid w:val="00FA639E"/>
    <w:rsid w:val="00FC1FCA"/>
    <w:rsid w:val="00FC25E4"/>
    <w:rsid w:val="00FC4EF7"/>
    <w:rsid w:val="00FD0824"/>
    <w:rsid w:val="00FD119B"/>
    <w:rsid w:val="00FD1EDC"/>
    <w:rsid w:val="00FE1DEE"/>
    <w:rsid w:val="00FF2126"/>
    <w:rsid w:val="00FF5755"/>
    <w:rsid w:val="00FF619F"/>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D5C0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nhideWhenUsed/>
    <w:qFormat/>
    <w:rsid w:val="0009660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40C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3090E"/>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E3090E"/>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A2D91"/>
    <w:pPr>
      <w:adjustRightInd w:val="0"/>
      <w:snapToGrid w:val="0"/>
      <w:spacing w:before="180" w:after="180"/>
      <w:ind w:left="720"/>
      <w:contextualSpacing/>
    </w:pPr>
    <w:rPr>
      <w:rFonts w:eastAsia="MS Mincho"/>
      <w:szCs w:val="20"/>
      <w:lang w:eastAsia="ja-JP"/>
    </w:rPr>
  </w:style>
  <w:style w:type="paragraph" w:customStyle="1" w:styleId="Default">
    <w:name w:val="Default"/>
    <w:rsid w:val="003C735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point">
    <w:name w:val="Bullet point"/>
    <w:basedOn w:val="Normal"/>
    <w:rsid w:val="002D6BA0"/>
    <w:pPr>
      <w:numPr>
        <w:numId w:val="11"/>
      </w:numPr>
      <w:tabs>
        <w:tab w:val="left" w:pos="397"/>
      </w:tabs>
      <w:spacing w:before="0" w:after="180" w:line="252" w:lineRule="auto"/>
    </w:pPr>
    <w:rPr>
      <w:rFonts w:eastAsia="Times New Roman"/>
      <w:snapToGrid w:val="0"/>
      <w:kern w:val="16"/>
      <w:szCs w:val="24"/>
    </w:rPr>
  </w:style>
  <w:style w:type="paragraph" w:customStyle="1" w:styleId="SectionHeading">
    <w:name w:val="Section Heading"/>
    <w:basedOn w:val="Normal"/>
    <w:next w:val="Normal"/>
    <w:link w:val="SectionHeadingCharChar"/>
    <w:rsid w:val="002D6BA0"/>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2D6BA0"/>
    <w:rPr>
      <w:rFonts w:ascii="Cambria" w:eastAsia="Times New Roman" w:hAnsi="Cambria" w:cs="Times New Roman"/>
      <w:b/>
      <w:caps/>
      <w:snapToGrid w:val="0"/>
      <w:kern w:val="16"/>
      <w:sz w:val="24"/>
      <w:szCs w:val="24"/>
    </w:rPr>
  </w:style>
  <w:style w:type="paragraph" w:customStyle="1" w:styleId="Standard">
    <w:name w:val="Standard"/>
    <w:basedOn w:val="Normal"/>
    <w:link w:val="StandardChar"/>
    <w:qFormat/>
    <w:rsid w:val="005B1951"/>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5B1951"/>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5B1951"/>
    <w:pPr>
      <w:keepNext/>
      <w:spacing w:after="110"/>
      <w:outlineLvl w:val="2"/>
    </w:pPr>
    <w:rPr>
      <w:b/>
      <w:i/>
    </w:rPr>
  </w:style>
  <w:style w:type="paragraph" w:customStyle="1" w:styleId="AssessmentSection">
    <w:name w:val="Assessment Section"/>
    <w:basedOn w:val="AssessmentSubsection"/>
    <w:next w:val="Standard"/>
    <w:rsid w:val="00676E8E"/>
    <w:pPr>
      <w:outlineLvl w:val="1"/>
    </w:pPr>
    <w:rPr>
      <w:i w:val="0"/>
    </w:rPr>
  </w:style>
  <w:style w:type="character" w:customStyle="1" w:styleId="TableTitleChar">
    <w:name w:val="Table Title Char"/>
    <w:basedOn w:val="StandardChar"/>
    <w:link w:val="TableTitle"/>
    <w:rsid w:val="00CE27F2"/>
    <w:rPr>
      <w:rFonts w:ascii="Cambria" w:eastAsia="Cambria" w:hAnsi="Cambria" w:cs="Times New Roman"/>
      <w:b/>
      <w:snapToGrid/>
      <w:kern w:val="16"/>
      <w:szCs w:val="24"/>
    </w:rPr>
  </w:style>
  <w:style w:type="paragraph" w:customStyle="1" w:styleId="AssessmentSubsection2">
    <w:name w:val="Assessment Subsection 2"/>
    <w:basedOn w:val="Normal"/>
    <w:next w:val="Standard"/>
    <w:rsid w:val="00CE27F2"/>
    <w:pPr>
      <w:keepNext/>
      <w:spacing w:before="0" w:after="110" w:line="252" w:lineRule="auto"/>
      <w:outlineLvl w:val="3"/>
    </w:pPr>
    <w:rPr>
      <w:rFonts w:eastAsia="Times New Roman"/>
      <w:i/>
      <w:snapToGrid w:val="0"/>
      <w:kern w:val="16"/>
      <w:szCs w:val="24"/>
    </w:rPr>
  </w:style>
  <w:style w:type="character" w:customStyle="1" w:styleId="TabletextChar">
    <w:name w:val="Table text Char"/>
    <w:basedOn w:val="DefaultParagraphFont"/>
    <w:link w:val="Tabletext"/>
    <w:rsid w:val="00CE27F2"/>
    <w:rPr>
      <w:rFonts w:ascii="Cambria" w:eastAsia="Cambria" w:hAnsi="Cambria" w:cs="Times New Roman"/>
      <w:sz w:val="19"/>
    </w:rPr>
  </w:style>
  <w:style w:type="paragraph" w:customStyle="1" w:styleId="TableHeader">
    <w:name w:val="Table Header"/>
    <w:basedOn w:val="Normal"/>
    <w:rsid w:val="00CE27F2"/>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4C5E42"/>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4C5E42"/>
    <w:rPr>
      <w:rFonts w:ascii="Cambria" w:eastAsia="Times New Roman" w:hAnsi="Cambria" w:cs="Times New Roman"/>
      <w:snapToGrid w:val="0"/>
      <w:kern w:val="16"/>
      <w:sz w:val="18"/>
      <w:szCs w:val="19"/>
    </w:rPr>
  </w:style>
  <w:style w:type="paragraph" w:customStyle="1" w:styleId="WhiteSpace">
    <w:name w:val="White Space"/>
    <w:basedOn w:val="Standard"/>
    <w:next w:val="Standard"/>
    <w:link w:val="WhiteSpaceChar"/>
    <w:rsid w:val="004C5E42"/>
    <w:pPr>
      <w:spacing w:after="0"/>
    </w:pPr>
    <w:rPr>
      <w:sz w:val="16"/>
      <w:szCs w:val="16"/>
    </w:rPr>
  </w:style>
  <w:style w:type="character" w:customStyle="1" w:styleId="WhiteSpaceChar">
    <w:name w:val="White Space Char"/>
    <w:basedOn w:val="DefaultParagraphFont"/>
    <w:link w:val="WhiteSpace"/>
    <w:rsid w:val="004C5E42"/>
    <w:rPr>
      <w:rFonts w:ascii="Cambria" w:eastAsia="Times New Roman" w:hAnsi="Cambria" w:cs="Times New Roman"/>
      <w:snapToGrid w:val="0"/>
      <w:kern w:val="16"/>
      <w:sz w:val="16"/>
      <w:szCs w:val="16"/>
    </w:rPr>
  </w:style>
  <w:style w:type="character" w:customStyle="1" w:styleId="Heading8Char">
    <w:name w:val="Heading 8 Char"/>
    <w:basedOn w:val="DefaultParagraphFont"/>
    <w:link w:val="Heading8"/>
    <w:rsid w:val="0009660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B40C5E"/>
    <w:rPr>
      <w:rFonts w:asciiTheme="majorHAnsi" w:eastAsiaTheme="majorEastAsia" w:hAnsiTheme="majorHAnsi" w:cstheme="majorBidi"/>
      <w:i/>
      <w:iCs/>
      <w:color w:val="404040" w:themeColor="text1" w:themeTint="BF"/>
      <w:sz w:val="20"/>
      <w:szCs w:val="20"/>
    </w:rPr>
  </w:style>
  <w:style w:type="paragraph" w:customStyle="1" w:styleId="TableHeading">
    <w:name w:val="Table Heading"/>
    <w:basedOn w:val="Normal"/>
    <w:rsid w:val="00B40C5E"/>
    <w:rPr>
      <w:rFonts w:ascii="Calibri" w:eastAsia="Calibri" w:hAnsi="Calibri"/>
      <w:b/>
      <w:color w:val="FFFFFF"/>
      <w:sz w:val="20"/>
    </w:rPr>
  </w:style>
  <w:style w:type="paragraph" w:customStyle="1" w:styleId="Tabletitle0">
    <w:name w:val="Table title"/>
    <w:basedOn w:val="Normal"/>
    <w:next w:val="Normal"/>
    <w:rsid w:val="00B40C5E"/>
    <w:pPr>
      <w:keepNext/>
      <w:spacing w:after="180"/>
      <w:outlineLvl w:val="4"/>
    </w:pPr>
    <w:rPr>
      <w:rFonts w:cstheme="minorBidi"/>
      <w:b/>
    </w:rPr>
  </w:style>
  <w:style w:type="paragraph" w:customStyle="1" w:styleId="Bullet2">
    <w:name w:val="Bullet 2"/>
    <w:basedOn w:val="Normal"/>
    <w:rsid w:val="00B40C5E"/>
    <w:pPr>
      <w:numPr>
        <w:numId w:val="16"/>
      </w:numPr>
      <w:spacing w:after="0" w:line="240" w:lineRule="auto"/>
    </w:pPr>
    <w:rPr>
      <w:rFonts w:eastAsia="Times New Roman"/>
      <w:kern w:val="24"/>
      <w:szCs w:val="24"/>
      <w:lang w:eastAsia="en-AU"/>
    </w:rPr>
  </w:style>
  <w:style w:type="paragraph" w:customStyle="1" w:styleId="Instructions1">
    <w:name w:val="Instructions 1"/>
    <w:basedOn w:val="Normal"/>
    <w:qFormat/>
    <w:rsid w:val="00B40C5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B40C5E"/>
    <w:pPr>
      <w:numPr>
        <w:numId w:val="1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B40C5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B40C5E"/>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B40C5E"/>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B40C5E"/>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B40C5E"/>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B40C5E"/>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B40C5E"/>
    <w:pPr>
      <w:spacing w:before="0" w:after="0"/>
      <w:ind w:left="1760"/>
    </w:pPr>
    <w:rPr>
      <w:rFonts w:asciiTheme="minorHAnsi" w:hAnsiTheme="minorHAnsi"/>
      <w:sz w:val="18"/>
      <w:szCs w:val="18"/>
    </w:rPr>
  </w:style>
  <w:style w:type="paragraph" w:styleId="TableofFigures">
    <w:name w:val="table of figures"/>
    <w:basedOn w:val="Normal"/>
    <w:next w:val="Normal"/>
    <w:uiPriority w:val="99"/>
    <w:unhideWhenUsed/>
    <w:rsid w:val="00B40C5E"/>
    <w:pPr>
      <w:spacing w:after="0"/>
    </w:pPr>
  </w:style>
  <w:style w:type="paragraph" w:styleId="NormalWeb">
    <w:name w:val="Normal (Web)"/>
    <w:basedOn w:val="Normal"/>
    <w:uiPriority w:val="99"/>
    <w:unhideWhenUsed/>
    <w:rsid w:val="00B40C5E"/>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apple-converted-space">
    <w:name w:val="apple-converted-space"/>
    <w:basedOn w:val="DefaultParagraphFont"/>
    <w:rsid w:val="00B40C5E"/>
  </w:style>
  <w:style w:type="paragraph" w:styleId="BodyText">
    <w:name w:val="Body Text"/>
    <w:basedOn w:val="Normal"/>
    <w:link w:val="BodyTextChar"/>
    <w:rsid w:val="00B40C5E"/>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B40C5E"/>
    <w:rPr>
      <w:rFonts w:ascii="Times New Roman" w:eastAsia="Times New Roman" w:hAnsi="Times New Roman" w:cs="Times New Roman"/>
      <w:sz w:val="24"/>
      <w:szCs w:val="20"/>
      <w:lang w:val="en-US"/>
    </w:rPr>
  </w:style>
  <w:style w:type="character" w:styleId="Emphasis">
    <w:name w:val="Emphasis"/>
    <w:uiPriority w:val="20"/>
    <w:qFormat/>
    <w:rsid w:val="00B40C5E"/>
    <w:rPr>
      <w:i/>
      <w:iCs/>
    </w:rPr>
  </w:style>
  <w:style w:type="character" w:customStyle="1" w:styleId="authors">
    <w:name w:val="authors"/>
    <w:basedOn w:val="DefaultParagraphFont"/>
    <w:rsid w:val="00B40C5E"/>
  </w:style>
  <w:style w:type="character" w:customStyle="1" w:styleId="Title1">
    <w:name w:val="Title1"/>
    <w:basedOn w:val="DefaultParagraphFont"/>
    <w:rsid w:val="00B40C5E"/>
  </w:style>
  <w:style w:type="paragraph" w:styleId="NoSpacing">
    <w:name w:val="No Spacing"/>
    <w:uiPriority w:val="1"/>
    <w:qFormat/>
    <w:rsid w:val="00B40C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eastAsia="Times New Roman" w:cs="Times New Roman"/>
      <w:kern w:val="16"/>
      <w:lang w:eastAsia="en-AU"/>
    </w:rPr>
  </w:style>
  <w:style w:type="paragraph" w:customStyle="1" w:styleId="Bulletlist">
    <w:name w:val="Bullet list"/>
    <w:basedOn w:val="Normal"/>
    <w:link w:val="BulletlistChar"/>
    <w:qFormat/>
    <w:rsid w:val="00F17AFC"/>
    <w:pPr>
      <w:numPr>
        <w:numId w:val="18"/>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F17AFC"/>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F17AFC"/>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F17AFC"/>
    <w:rPr>
      <w:rFonts w:ascii="Cambria" w:eastAsia="Times New Roman" w:hAnsi="Cambria" w:cs="Times New Roman"/>
      <w:b/>
      <w:snapToGrid w:val="0"/>
      <w:kern w:val="16"/>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0D5C0A"/>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nhideWhenUsed/>
    <w:qFormat/>
    <w:rsid w:val="00096602"/>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B40C5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E3090E"/>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E3090E"/>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A2D91"/>
    <w:pPr>
      <w:adjustRightInd w:val="0"/>
      <w:snapToGrid w:val="0"/>
      <w:spacing w:before="180" w:after="180"/>
      <w:ind w:left="720"/>
      <w:contextualSpacing/>
    </w:pPr>
    <w:rPr>
      <w:rFonts w:eastAsia="MS Mincho"/>
      <w:szCs w:val="20"/>
      <w:lang w:eastAsia="ja-JP"/>
    </w:rPr>
  </w:style>
  <w:style w:type="paragraph" w:customStyle="1" w:styleId="Default">
    <w:name w:val="Default"/>
    <w:rsid w:val="003C735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point">
    <w:name w:val="Bullet point"/>
    <w:basedOn w:val="Normal"/>
    <w:rsid w:val="002D6BA0"/>
    <w:pPr>
      <w:numPr>
        <w:numId w:val="11"/>
      </w:numPr>
      <w:tabs>
        <w:tab w:val="left" w:pos="397"/>
      </w:tabs>
      <w:spacing w:before="0" w:after="180" w:line="252" w:lineRule="auto"/>
    </w:pPr>
    <w:rPr>
      <w:rFonts w:eastAsia="Times New Roman"/>
      <w:snapToGrid w:val="0"/>
      <w:kern w:val="16"/>
      <w:szCs w:val="24"/>
    </w:rPr>
  </w:style>
  <w:style w:type="paragraph" w:customStyle="1" w:styleId="SectionHeading">
    <w:name w:val="Section Heading"/>
    <w:basedOn w:val="Normal"/>
    <w:next w:val="Normal"/>
    <w:link w:val="SectionHeadingCharChar"/>
    <w:rsid w:val="002D6BA0"/>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2D6BA0"/>
    <w:rPr>
      <w:rFonts w:ascii="Cambria" w:eastAsia="Times New Roman" w:hAnsi="Cambria" w:cs="Times New Roman"/>
      <w:b/>
      <w:caps/>
      <w:snapToGrid w:val="0"/>
      <w:kern w:val="16"/>
      <w:sz w:val="24"/>
      <w:szCs w:val="24"/>
    </w:rPr>
  </w:style>
  <w:style w:type="paragraph" w:customStyle="1" w:styleId="Standard">
    <w:name w:val="Standard"/>
    <w:basedOn w:val="Normal"/>
    <w:link w:val="StandardChar"/>
    <w:qFormat/>
    <w:rsid w:val="005B1951"/>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5B1951"/>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5B1951"/>
    <w:pPr>
      <w:keepNext/>
      <w:spacing w:after="110"/>
      <w:outlineLvl w:val="2"/>
    </w:pPr>
    <w:rPr>
      <w:b/>
      <w:i/>
    </w:rPr>
  </w:style>
  <w:style w:type="paragraph" w:customStyle="1" w:styleId="AssessmentSection">
    <w:name w:val="Assessment Section"/>
    <w:basedOn w:val="AssessmentSubsection"/>
    <w:next w:val="Standard"/>
    <w:rsid w:val="00676E8E"/>
    <w:pPr>
      <w:outlineLvl w:val="1"/>
    </w:pPr>
    <w:rPr>
      <w:i w:val="0"/>
    </w:rPr>
  </w:style>
  <w:style w:type="character" w:customStyle="1" w:styleId="TableTitleChar">
    <w:name w:val="Table Title Char"/>
    <w:basedOn w:val="StandardChar"/>
    <w:link w:val="TableTitle"/>
    <w:rsid w:val="00CE27F2"/>
    <w:rPr>
      <w:rFonts w:ascii="Cambria" w:eastAsia="Cambria" w:hAnsi="Cambria" w:cs="Times New Roman"/>
      <w:b/>
      <w:snapToGrid/>
      <w:kern w:val="16"/>
      <w:szCs w:val="24"/>
    </w:rPr>
  </w:style>
  <w:style w:type="paragraph" w:customStyle="1" w:styleId="AssessmentSubsection2">
    <w:name w:val="Assessment Subsection 2"/>
    <w:basedOn w:val="Normal"/>
    <w:next w:val="Standard"/>
    <w:rsid w:val="00CE27F2"/>
    <w:pPr>
      <w:keepNext/>
      <w:spacing w:before="0" w:after="110" w:line="252" w:lineRule="auto"/>
      <w:outlineLvl w:val="3"/>
    </w:pPr>
    <w:rPr>
      <w:rFonts w:eastAsia="Times New Roman"/>
      <w:i/>
      <w:snapToGrid w:val="0"/>
      <w:kern w:val="16"/>
      <w:szCs w:val="24"/>
    </w:rPr>
  </w:style>
  <w:style w:type="character" w:customStyle="1" w:styleId="TabletextChar">
    <w:name w:val="Table text Char"/>
    <w:basedOn w:val="DefaultParagraphFont"/>
    <w:link w:val="Tabletext"/>
    <w:rsid w:val="00CE27F2"/>
    <w:rPr>
      <w:rFonts w:ascii="Cambria" w:eastAsia="Cambria" w:hAnsi="Cambria" w:cs="Times New Roman"/>
      <w:sz w:val="19"/>
    </w:rPr>
  </w:style>
  <w:style w:type="paragraph" w:customStyle="1" w:styleId="TableHeader">
    <w:name w:val="Table Header"/>
    <w:basedOn w:val="Normal"/>
    <w:rsid w:val="00CE27F2"/>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4C5E42"/>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4C5E42"/>
    <w:rPr>
      <w:rFonts w:ascii="Cambria" w:eastAsia="Times New Roman" w:hAnsi="Cambria" w:cs="Times New Roman"/>
      <w:snapToGrid w:val="0"/>
      <w:kern w:val="16"/>
      <w:sz w:val="18"/>
      <w:szCs w:val="19"/>
    </w:rPr>
  </w:style>
  <w:style w:type="paragraph" w:customStyle="1" w:styleId="WhiteSpace">
    <w:name w:val="White Space"/>
    <w:basedOn w:val="Standard"/>
    <w:next w:val="Standard"/>
    <w:link w:val="WhiteSpaceChar"/>
    <w:rsid w:val="004C5E42"/>
    <w:pPr>
      <w:spacing w:after="0"/>
    </w:pPr>
    <w:rPr>
      <w:sz w:val="16"/>
      <w:szCs w:val="16"/>
    </w:rPr>
  </w:style>
  <w:style w:type="character" w:customStyle="1" w:styleId="WhiteSpaceChar">
    <w:name w:val="White Space Char"/>
    <w:basedOn w:val="DefaultParagraphFont"/>
    <w:link w:val="WhiteSpace"/>
    <w:rsid w:val="004C5E42"/>
    <w:rPr>
      <w:rFonts w:ascii="Cambria" w:eastAsia="Times New Roman" w:hAnsi="Cambria" w:cs="Times New Roman"/>
      <w:snapToGrid w:val="0"/>
      <w:kern w:val="16"/>
      <w:sz w:val="16"/>
      <w:szCs w:val="16"/>
    </w:rPr>
  </w:style>
  <w:style w:type="character" w:customStyle="1" w:styleId="Heading8Char">
    <w:name w:val="Heading 8 Char"/>
    <w:basedOn w:val="DefaultParagraphFont"/>
    <w:link w:val="Heading8"/>
    <w:rsid w:val="0009660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B40C5E"/>
    <w:rPr>
      <w:rFonts w:asciiTheme="majorHAnsi" w:eastAsiaTheme="majorEastAsia" w:hAnsiTheme="majorHAnsi" w:cstheme="majorBidi"/>
      <w:i/>
      <w:iCs/>
      <w:color w:val="404040" w:themeColor="text1" w:themeTint="BF"/>
      <w:sz w:val="20"/>
      <w:szCs w:val="20"/>
    </w:rPr>
  </w:style>
  <w:style w:type="paragraph" w:customStyle="1" w:styleId="TableHeading">
    <w:name w:val="Table Heading"/>
    <w:basedOn w:val="Normal"/>
    <w:rsid w:val="00B40C5E"/>
    <w:rPr>
      <w:rFonts w:ascii="Calibri" w:eastAsia="Calibri" w:hAnsi="Calibri"/>
      <w:b/>
      <w:color w:val="FFFFFF"/>
      <w:sz w:val="20"/>
    </w:rPr>
  </w:style>
  <w:style w:type="paragraph" w:customStyle="1" w:styleId="Tabletitle0">
    <w:name w:val="Table title"/>
    <w:basedOn w:val="Normal"/>
    <w:next w:val="Normal"/>
    <w:rsid w:val="00B40C5E"/>
    <w:pPr>
      <w:keepNext/>
      <w:spacing w:after="180"/>
      <w:outlineLvl w:val="4"/>
    </w:pPr>
    <w:rPr>
      <w:rFonts w:cstheme="minorBidi"/>
      <w:b/>
    </w:rPr>
  </w:style>
  <w:style w:type="paragraph" w:customStyle="1" w:styleId="Bullet2">
    <w:name w:val="Bullet 2"/>
    <w:basedOn w:val="Normal"/>
    <w:rsid w:val="00B40C5E"/>
    <w:pPr>
      <w:numPr>
        <w:numId w:val="16"/>
      </w:numPr>
      <w:spacing w:after="0" w:line="240" w:lineRule="auto"/>
    </w:pPr>
    <w:rPr>
      <w:rFonts w:eastAsia="Times New Roman"/>
      <w:kern w:val="24"/>
      <w:szCs w:val="24"/>
      <w:lang w:eastAsia="en-AU"/>
    </w:rPr>
  </w:style>
  <w:style w:type="paragraph" w:customStyle="1" w:styleId="Instructions1">
    <w:name w:val="Instructions 1"/>
    <w:basedOn w:val="Normal"/>
    <w:qFormat/>
    <w:rsid w:val="00B40C5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TableBullet">
    <w:name w:val="Table Bullet"/>
    <w:basedOn w:val="Normal"/>
    <w:rsid w:val="00B40C5E"/>
    <w:pPr>
      <w:numPr>
        <w:numId w:val="1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customStyle="1" w:styleId="Comment1">
    <w:name w:val="Comment 1"/>
    <w:basedOn w:val="Normal"/>
    <w:next w:val="Normal"/>
    <w:qFormat/>
    <w:rsid w:val="00B40C5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TOC4">
    <w:name w:val="toc 4"/>
    <w:basedOn w:val="Normal"/>
    <w:next w:val="Normal"/>
    <w:autoRedefine/>
    <w:uiPriority w:val="39"/>
    <w:unhideWhenUsed/>
    <w:rsid w:val="00B40C5E"/>
    <w:pPr>
      <w:spacing w:before="0" w:after="0"/>
      <w:ind w:left="660"/>
    </w:pPr>
    <w:rPr>
      <w:rFonts w:asciiTheme="minorHAnsi" w:hAnsiTheme="minorHAnsi"/>
      <w:sz w:val="18"/>
      <w:szCs w:val="18"/>
    </w:rPr>
  </w:style>
  <w:style w:type="paragraph" w:styleId="TOC5">
    <w:name w:val="toc 5"/>
    <w:basedOn w:val="Normal"/>
    <w:next w:val="Normal"/>
    <w:autoRedefine/>
    <w:uiPriority w:val="39"/>
    <w:unhideWhenUsed/>
    <w:rsid w:val="00B40C5E"/>
    <w:pPr>
      <w:spacing w:before="0" w:after="0"/>
      <w:ind w:left="880"/>
    </w:pPr>
    <w:rPr>
      <w:rFonts w:asciiTheme="minorHAnsi" w:hAnsiTheme="minorHAnsi"/>
      <w:sz w:val="18"/>
      <w:szCs w:val="18"/>
    </w:rPr>
  </w:style>
  <w:style w:type="paragraph" w:styleId="TOC6">
    <w:name w:val="toc 6"/>
    <w:basedOn w:val="Normal"/>
    <w:next w:val="Normal"/>
    <w:autoRedefine/>
    <w:uiPriority w:val="39"/>
    <w:unhideWhenUsed/>
    <w:rsid w:val="00B40C5E"/>
    <w:pPr>
      <w:spacing w:before="0" w:after="0"/>
      <w:ind w:left="1100"/>
    </w:pPr>
    <w:rPr>
      <w:rFonts w:asciiTheme="minorHAnsi" w:hAnsiTheme="minorHAnsi"/>
      <w:sz w:val="18"/>
      <w:szCs w:val="18"/>
    </w:rPr>
  </w:style>
  <w:style w:type="paragraph" w:styleId="TOC7">
    <w:name w:val="toc 7"/>
    <w:basedOn w:val="Normal"/>
    <w:next w:val="Normal"/>
    <w:autoRedefine/>
    <w:uiPriority w:val="39"/>
    <w:unhideWhenUsed/>
    <w:rsid w:val="00B40C5E"/>
    <w:pPr>
      <w:spacing w:before="0" w:after="0"/>
      <w:ind w:left="1320"/>
    </w:pPr>
    <w:rPr>
      <w:rFonts w:asciiTheme="minorHAnsi" w:hAnsiTheme="minorHAnsi"/>
      <w:sz w:val="18"/>
      <w:szCs w:val="18"/>
    </w:rPr>
  </w:style>
  <w:style w:type="paragraph" w:styleId="TOC8">
    <w:name w:val="toc 8"/>
    <w:basedOn w:val="Normal"/>
    <w:next w:val="Normal"/>
    <w:autoRedefine/>
    <w:uiPriority w:val="39"/>
    <w:unhideWhenUsed/>
    <w:rsid w:val="00B40C5E"/>
    <w:pPr>
      <w:spacing w:before="0" w:after="0"/>
      <w:ind w:left="1540"/>
    </w:pPr>
    <w:rPr>
      <w:rFonts w:asciiTheme="minorHAnsi" w:hAnsiTheme="minorHAnsi"/>
      <w:sz w:val="18"/>
      <w:szCs w:val="18"/>
    </w:rPr>
  </w:style>
  <w:style w:type="paragraph" w:styleId="TOC9">
    <w:name w:val="toc 9"/>
    <w:basedOn w:val="Normal"/>
    <w:next w:val="Normal"/>
    <w:autoRedefine/>
    <w:uiPriority w:val="39"/>
    <w:unhideWhenUsed/>
    <w:rsid w:val="00B40C5E"/>
    <w:pPr>
      <w:spacing w:before="0" w:after="0"/>
      <w:ind w:left="1760"/>
    </w:pPr>
    <w:rPr>
      <w:rFonts w:asciiTheme="minorHAnsi" w:hAnsiTheme="minorHAnsi"/>
      <w:sz w:val="18"/>
      <w:szCs w:val="18"/>
    </w:rPr>
  </w:style>
  <w:style w:type="paragraph" w:styleId="TableofFigures">
    <w:name w:val="table of figures"/>
    <w:basedOn w:val="Normal"/>
    <w:next w:val="Normal"/>
    <w:uiPriority w:val="99"/>
    <w:unhideWhenUsed/>
    <w:rsid w:val="00B40C5E"/>
    <w:pPr>
      <w:spacing w:after="0"/>
    </w:pPr>
  </w:style>
  <w:style w:type="paragraph" w:styleId="NormalWeb">
    <w:name w:val="Normal (Web)"/>
    <w:basedOn w:val="Normal"/>
    <w:uiPriority w:val="99"/>
    <w:unhideWhenUsed/>
    <w:rsid w:val="00B40C5E"/>
    <w:pPr>
      <w:spacing w:before="100" w:beforeAutospacing="1" w:after="100" w:afterAutospacing="1" w:line="240" w:lineRule="auto"/>
    </w:pPr>
    <w:rPr>
      <w:rFonts w:ascii="Times New Roman" w:eastAsiaTheme="minorHAnsi" w:hAnsi="Times New Roman"/>
      <w:sz w:val="24"/>
      <w:szCs w:val="24"/>
      <w:lang w:eastAsia="en-AU"/>
    </w:rPr>
  </w:style>
  <w:style w:type="character" w:customStyle="1" w:styleId="apple-converted-space">
    <w:name w:val="apple-converted-space"/>
    <w:basedOn w:val="DefaultParagraphFont"/>
    <w:rsid w:val="00B40C5E"/>
  </w:style>
  <w:style w:type="paragraph" w:styleId="BodyText">
    <w:name w:val="Body Text"/>
    <w:basedOn w:val="Normal"/>
    <w:link w:val="BodyTextChar"/>
    <w:rsid w:val="00B40C5E"/>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B40C5E"/>
    <w:rPr>
      <w:rFonts w:ascii="Times New Roman" w:eastAsia="Times New Roman" w:hAnsi="Times New Roman" w:cs="Times New Roman"/>
      <w:sz w:val="24"/>
      <w:szCs w:val="20"/>
      <w:lang w:val="en-US"/>
    </w:rPr>
  </w:style>
  <w:style w:type="character" w:styleId="Emphasis">
    <w:name w:val="Emphasis"/>
    <w:uiPriority w:val="20"/>
    <w:qFormat/>
    <w:rsid w:val="00B40C5E"/>
    <w:rPr>
      <w:i/>
      <w:iCs/>
    </w:rPr>
  </w:style>
  <w:style w:type="character" w:customStyle="1" w:styleId="authors">
    <w:name w:val="authors"/>
    <w:basedOn w:val="DefaultParagraphFont"/>
    <w:rsid w:val="00B40C5E"/>
  </w:style>
  <w:style w:type="character" w:customStyle="1" w:styleId="Title1">
    <w:name w:val="Title1"/>
    <w:basedOn w:val="DefaultParagraphFont"/>
    <w:rsid w:val="00B40C5E"/>
  </w:style>
  <w:style w:type="paragraph" w:styleId="NoSpacing">
    <w:name w:val="No Spacing"/>
    <w:uiPriority w:val="1"/>
    <w:qFormat/>
    <w:rsid w:val="00B40C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eastAsia="Times New Roman" w:cs="Times New Roman"/>
      <w:kern w:val="16"/>
      <w:lang w:eastAsia="en-AU"/>
    </w:rPr>
  </w:style>
  <w:style w:type="paragraph" w:customStyle="1" w:styleId="Bulletlist">
    <w:name w:val="Bullet list"/>
    <w:basedOn w:val="Normal"/>
    <w:link w:val="BulletlistChar"/>
    <w:qFormat/>
    <w:rsid w:val="00F17AFC"/>
    <w:pPr>
      <w:numPr>
        <w:numId w:val="18"/>
      </w:numPr>
      <w:spacing w:before="0" w:after="180" w:line="252" w:lineRule="auto"/>
    </w:pPr>
    <w:rPr>
      <w:rFonts w:eastAsia="Times New Roman"/>
      <w:snapToGrid w:val="0"/>
      <w:kern w:val="2"/>
      <w:sz w:val="23"/>
    </w:rPr>
  </w:style>
  <w:style w:type="character" w:customStyle="1" w:styleId="BulletlistChar">
    <w:name w:val="Bullet list Char"/>
    <w:basedOn w:val="DefaultParagraphFont"/>
    <w:link w:val="Bulletlist"/>
    <w:rsid w:val="00F17AFC"/>
    <w:rPr>
      <w:rFonts w:ascii="Cambria" w:eastAsia="Times New Roman" w:hAnsi="Cambria" w:cs="Times New Roman"/>
      <w:snapToGrid w:val="0"/>
      <w:kern w:val="2"/>
      <w:sz w:val="23"/>
    </w:rPr>
  </w:style>
  <w:style w:type="paragraph" w:customStyle="1" w:styleId="Summaryofsafetyconcerns">
    <w:name w:val="Summary of safety concerns"/>
    <w:basedOn w:val="Tabletext"/>
    <w:link w:val="SummaryofsafetyconcernsChar"/>
    <w:qFormat/>
    <w:rsid w:val="00F17AFC"/>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F17AFC"/>
    <w:rPr>
      <w:rFonts w:ascii="Cambria" w:eastAsia="Times New Roman" w:hAnsi="Cambria" w:cs="Times New Roman"/>
      <w:b/>
      <w:snapToGrid w:val="0"/>
      <w:kern w:val="1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38304">
      <w:bodyDiv w:val="1"/>
      <w:marLeft w:val="0"/>
      <w:marRight w:val="0"/>
      <w:marTop w:val="0"/>
      <w:marBottom w:val="0"/>
      <w:divBdr>
        <w:top w:val="none" w:sz="0" w:space="0" w:color="auto"/>
        <w:left w:val="none" w:sz="0" w:space="0" w:color="auto"/>
        <w:bottom w:val="none" w:sz="0" w:space="0" w:color="auto"/>
        <w:right w:val="none" w:sz="0" w:space="0" w:color="auto"/>
      </w:divBdr>
    </w:div>
    <w:div w:id="1169101307">
      <w:bodyDiv w:val="1"/>
      <w:marLeft w:val="0"/>
      <w:marRight w:val="0"/>
      <w:marTop w:val="0"/>
      <w:marBottom w:val="0"/>
      <w:divBdr>
        <w:top w:val="none" w:sz="0" w:space="0" w:color="auto"/>
        <w:left w:val="none" w:sz="0" w:space="0" w:color="auto"/>
        <w:bottom w:val="none" w:sz="0" w:space="0" w:color="auto"/>
        <w:right w:val="none" w:sz="0" w:space="0" w:color="auto"/>
      </w:divBdr>
    </w:div>
    <w:div w:id="1368793733">
      <w:bodyDiv w:val="1"/>
      <w:marLeft w:val="0"/>
      <w:marRight w:val="0"/>
      <w:marTop w:val="0"/>
      <w:marBottom w:val="0"/>
      <w:divBdr>
        <w:top w:val="none" w:sz="0" w:space="0" w:color="auto"/>
        <w:left w:val="none" w:sz="0" w:space="0" w:color="auto"/>
        <w:bottom w:val="none" w:sz="0" w:space="0" w:color="auto"/>
        <w:right w:val="none" w:sz="0" w:space="0" w:color="auto"/>
      </w:divBdr>
    </w:div>
    <w:div w:id="164227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48.png"/><Relationship Id="rId68" Type="http://schemas.openxmlformats.org/officeDocument/2006/relationships/header" Target="header5.xml"/><Relationship Id="rId76"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header" Target="header3.xml"/><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emf"/><Relationship Id="rId57" Type="http://schemas.microsoft.com/office/2007/relationships/hdphoto" Target="media/hdphoto2.wdp"/><Relationship Id="rId61" Type="http://schemas.openxmlformats.org/officeDocument/2006/relationships/image" Target="media/image47.png"/><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hyperlink" Target="https://www.tga.gov.au/product-information-pi" TargetMode="External"/><Relationship Id="rId73" Type="http://schemas.openxmlformats.org/officeDocument/2006/relationships/header" Target="header7.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emf"/><Relationship Id="rId48" Type="http://schemas.microsoft.com/office/2007/relationships/hdphoto" Target="media/hdphoto1.wdp"/><Relationship Id="rId56" Type="http://schemas.openxmlformats.org/officeDocument/2006/relationships/image" Target="media/image43.png"/><Relationship Id="rId64" Type="http://schemas.openxmlformats.org/officeDocument/2006/relationships/image" Target="media/image49.png"/><Relationship Id="rId69" Type="http://schemas.openxmlformats.org/officeDocument/2006/relationships/footer" Target="footer2.xm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header" Target="header4.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1.png"/><Relationship Id="rId62" Type="http://schemas.microsoft.com/office/2007/relationships/hdphoto" Target="media/hdphoto3.wdp"/><Relationship Id="rId70" Type="http://schemas.openxmlformats.org/officeDocument/2006/relationships/hyperlink" Target="mailto:info@tga.gov.au" TargetMode="External"/><Relationship Id="rId7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hcvguidelines.org/full-report-view.%20Updated%2006%20July.%20201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088\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21291-F92E-42F4-A727-256A419BB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98</TotalTime>
  <Pages>132</Pages>
  <Words>42473</Words>
  <Characters>242100</Characters>
  <Application>Microsoft Office Word</Application>
  <DocSecurity>0</DocSecurity>
  <Lines>2017</Lines>
  <Paragraphs>568</Paragraphs>
  <ScaleCrop>false</ScaleCrop>
  <HeadingPairs>
    <vt:vector size="2" baseType="variant">
      <vt:variant>
        <vt:lpstr>Title</vt:lpstr>
      </vt:variant>
      <vt:variant>
        <vt:i4>1</vt:i4>
      </vt:variant>
    </vt:vector>
  </HeadingPairs>
  <TitlesOfParts>
    <vt:vector size="1" baseType="lpstr">
      <vt:lpstr>Australian Public Assessment Report for Sofosbuvir / Velpatasvir / Voxilaprevir</vt:lpstr>
    </vt:vector>
  </TitlesOfParts>
  <Company>Department of Health Therapeutic Goods Administration</Company>
  <LinksUpToDate>false</LinksUpToDate>
  <CharactersWithSpaces>284005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Sofosbuvir / Velpatasvir / Voxilaprevir</dc:title>
  <dc:subject>prescription medicines</dc:subject>
  <dc:creator>Therapeutic Goods Administration</dc:creator>
  <cp:keywords>AusPARs</cp:keywords>
  <cp:lastPrinted>2015-09-22T23:39:00Z</cp:lastPrinted>
  <dcterms:created xsi:type="dcterms:W3CDTF">2019-05-08T22:49:00Z</dcterms:created>
  <dcterms:modified xsi:type="dcterms:W3CDTF">2019-05-09T00:44:00Z</dcterms:modified>
  <cp:category/>
</cp:coreProperties>
</file>