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1E451373" wp14:editId="5B07E1C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5BF" w:rsidRPr="00BE2A26" w:rsidRDefault="00AE75BF"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rsidR="00AE75BF" w:rsidRPr="00BE2A26" w:rsidRDefault="00AE75BF"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8F298E">
        <w:rPr>
          <w:rFonts w:ascii="Times New Roman" w:hAnsi="Times New Roman" w:cs="Times New Roman"/>
        </w:rPr>
        <w:t xml:space="preserve">This medicinal product is subject to additional monitoring in Australia. This will allow quick identification of new safety information. Healthcare professionals are asked to report any suspected </w:t>
      </w:r>
      <w:bookmarkStart w:id="0" w:name="_GoBack"/>
      <w:r w:rsidR="001A3992" w:rsidRPr="008F298E">
        <w:rPr>
          <w:rFonts w:ascii="Times New Roman" w:hAnsi="Times New Roman" w:cs="Times New Roman"/>
        </w:rPr>
        <w:t xml:space="preserve">adverse events at </w:t>
      </w:r>
      <w:hyperlink r:id="rId9" w:history="1">
        <w:r w:rsidRPr="008F298E">
          <w:rPr>
            <w:rStyle w:val="Hyperlink"/>
            <w:rFonts w:ascii="Times New Roman" w:hAnsi="Times New Roman" w:cs="Times New Roman"/>
          </w:rPr>
          <w:t>www.tga.gov.au/reporting-problems</w:t>
        </w:r>
      </w:hyperlink>
      <w:r w:rsidRPr="008F298E">
        <w:rPr>
          <w:rFonts w:ascii="Times New Roman" w:hAnsi="Times New Roman" w:cs="Times New Roman"/>
        </w:rPr>
        <w:t>.</w:t>
      </w:r>
    </w:p>
    <w:bookmarkEnd w:id="0"/>
    <w:p w:rsidR="00347421" w:rsidRPr="008F298E" w:rsidRDefault="00347421" w:rsidP="00347421">
      <w:pPr>
        <w:widowControl w:val="0"/>
        <w:jc w:val="center"/>
        <w:rPr>
          <w:rFonts w:ascii="Times New Roman" w:hAnsi="Times New Roman"/>
          <w:b/>
          <w:noProof/>
          <w:sz w:val="28"/>
          <w:szCs w:val="28"/>
        </w:rPr>
      </w:pPr>
      <w:r w:rsidRPr="008F298E">
        <w:rPr>
          <w:rFonts w:ascii="Times New Roman" w:hAnsi="Times New Roman"/>
          <w:b/>
          <w:noProof/>
          <w:sz w:val="28"/>
          <w:szCs w:val="28"/>
        </w:rPr>
        <w:t>Product Information</w:t>
      </w:r>
    </w:p>
    <w:p w:rsidR="006018AE" w:rsidRPr="00AE75BF" w:rsidRDefault="0029345D" w:rsidP="005C0C71">
      <w:pPr>
        <w:rPr>
          <w:rFonts w:ascii="Times New Roman" w:hAnsi="Times New Roman" w:cs="Times New Roman"/>
          <w:b/>
          <w:sz w:val="28"/>
          <w:szCs w:val="28"/>
        </w:rPr>
      </w:pPr>
      <w:r w:rsidRPr="00AE75BF">
        <w:rPr>
          <w:rFonts w:ascii="Times New Roman" w:hAnsi="Times New Roman" w:cs="Times New Roman"/>
          <w:b/>
          <w:sz w:val="28"/>
          <w:szCs w:val="28"/>
        </w:rPr>
        <w:t>VOSEVI</w:t>
      </w:r>
      <w:r w:rsidRPr="00AE75BF">
        <w:rPr>
          <w:rFonts w:ascii="Times New Roman" w:hAnsi="Times New Roman" w:cs="Times New Roman"/>
          <w:b/>
          <w:sz w:val="28"/>
          <w:szCs w:val="28"/>
          <w:vertAlign w:val="superscript"/>
        </w:rPr>
        <w:t>®</w:t>
      </w:r>
      <w:r w:rsidR="00AF238D" w:rsidRPr="00AE75BF">
        <w:rPr>
          <w:rFonts w:ascii="Times New Roman" w:hAnsi="Times New Roman" w:cs="Times New Roman"/>
          <w:b/>
          <w:sz w:val="28"/>
          <w:szCs w:val="28"/>
        </w:rPr>
        <w:t xml:space="preserve"> </w:t>
      </w:r>
      <w:r w:rsidRPr="00AE75BF">
        <w:rPr>
          <w:rFonts w:ascii="Times New Roman" w:hAnsi="Times New Roman" w:cs="Times New Roman"/>
          <w:b/>
          <w:sz w:val="28"/>
          <w:szCs w:val="28"/>
        </w:rPr>
        <w:t>(sofosbuvir/velpatasvir/voxilaprevir) tablets</w:t>
      </w:r>
    </w:p>
    <w:p w:rsidR="001A3992" w:rsidRPr="00AE75BF" w:rsidRDefault="001A3992" w:rsidP="001A3992">
      <w:pPr>
        <w:pStyle w:val="Heading1"/>
        <w:spacing w:before="0" w:after="120"/>
        <w:rPr>
          <w:rFonts w:ascii="Times New Roman" w:hAnsi="Times New Roman" w:cs="Times New Roman"/>
        </w:rPr>
      </w:pPr>
      <w:r w:rsidRPr="00AE75BF">
        <w:rPr>
          <w:rFonts w:ascii="Times New Roman" w:hAnsi="Times New Roman" w:cs="Times New Roman"/>
        </w:rPr>
        <w:t>Name of the medicine</w:t>
      </w:r>
    </w:p>
    <w:p w:rsidR="0029345D" w:rsidRPr="00525F08" w:rsidRDefault="0029345D" w:rsidP="0029345D">
      <w:pPr>
        <w:rPr>
          <w:noProof/>
        </w:rPr>
      </w:pPr>
      <w:r w:rsidRPr="00F20539">
        <w:rPr>
          <w:rFonts w:ascii="Times New Roman" w:hAnsi="Times New Roman" w:cs="Times New Roman"/>
          <w:noProof/>
          <w:sz w:val="24"/>
          <w:szCs w:val="24"/>
        </w:rPr>
        <w:t>VOSEVI (sofosbuvir/velpatasvir/voxilaprevir 400 mg/100 mg/100 mg)</w:t>
      </w:r>
      <w:r w:rsidRPr="00F20539">
        <w:rPr>
          <w:rFonts w:ascii="Times New Roman" w:hAnsi="Times New Roman" w:cs="Times New Roman"/>
          <w:b/>
          <w:noProof/>
          <w:sz w:val="24"/>
          <w:szCs w:val="24"/>
        </w:rPr>
        <w:t xml:space="preserve"> </w:t>
      </w:r>
      <w:r w:rsidRPr="00F20539">
        <w:rPr>
          <w:rFonts w:ascii="Times New Roman" w:hAnsi="Times New Roman" w:cs="Times New Roman"/>
          <w:noProof/>
          <w:sz w:val="24"/>
          <w:szCs w:val="24"/>
        </w:rPr>
        <w:t>tablets</w:t>
      </w:r>
      <w:r w:rsidRPr="00525F08">
        <w:rPr>
          <w:noProof/>
        </w:rPr>
        <w:t xml:space="preserve">.  </w:t>
      </w:r>
    </w:p>
    <w:p w:rsidR="001A3992" w:rsidRPr="00AE75BF" w:rsidRDefault="001A3992" w:rsidP="001A3992">
      <w:pPr>
        <w:pStyle w:val="Heading1"/>
        <w:spacing w:before="0" w:after="120"/>
        <w:rPr>
          <w:rFonts w:ascii="Times New Roman" w:hAnsi="Times New Roman" w:cs="Times New Roman"/>
        </w:rPr>
      </w:pPr>
      <w:r w:rsidRPr="00AE75BF">
        <w:rPr>
          <w:rFonts w:ascii="Times New Roman" w:hAnsi="Times New Roman" w:cs="Times New Roman"/>
        </w:rPr>
        <w:t>Qualitative and quantitative composition</w:t>
      </w:r>
    </w:p>
    <w:p w:rsidR="007C1F8B" w:rsidRPr="00AE75BF" w:rsidRDefault="005D064F" w:rsidP="00347421">
      <w:pPr>
        <w:spacing w:before="120" w:after="240" w:line="240" w:lineRule="auto"/>
        <w:rPr>
          <w:rFonts w:ascii="Times New Roman" w:hAnsi="Times New Roman" w:cs="Times New Roman"/>
          <w:sz w:val="24"/>
          <w:szCs w:val="24"/>
          <w:shd w:val="clear" w:color="auto" w:fill="FFFFFF"/>
        </w:rPr>
      </w:pPr>
      <w:r w:rsidRPr="00AE75BF">
        <w:rPr>
          <w:rFonts w:ascii="Times New Roman" w:hAnsi="Times New Roman" w:cs="Times New Roman"/>
          <w:sz w:val="24"/>
          <w:szCs w:val="24"/>
          <w:shd w:val="clear" w:color="auto" w:fill="FFFFFF"/>
        </w:rPr>
        <w:t xml:space="preserve">VOSEVI is available as a fixed-dose combination tablet.  </w:t>
      </w:r>
      <w:r w:rsidR="007C1F8B" w:rsidRPr="00AE75BF">
        <w:rPr>
          <w:rFonts w:ascii="Times New Roman" w:hAnsi="Times New Roman" w:cs="Times New Roman"/>
          <w:sz w:val="24"/>
          <w:szCs w:val="24"/>
          <w:shd w:val="clear" w:color="auto" w:fill="FFFFFF"/>
        </w:rPr>
        <w:t>The active substances in VOSEVI tablets are sofosbuvir, velpatasvir and voxilaprevir.</w:t>
      </w:r>
    </w:p>
    <w:p w:rsidR="00243A4D" w:rsidRPr="00AE75BF" w:rsidRDefault="005D064F" w:rsidP="00347421">
      <w:pPr>
        <w:spacing w:before="120" w:after="240" w:line="240" w:lineRule="auto"/>
        <w:rPr>
          <w:rFonts w:ascii="Times New Roman" w:hAnsi="Times New Roman" w:cs="Times New Roman"/>
          <w:sz w:val="24"/>
          <w:szCs w:val="24"/>
          <w:shd w:val="clear" w:color="auto" w:fill="FFFFFF"/>
        </w:rPr>
      </w:pPr>
      <w:r w:rsidRPr="00AE75BF">
        <w:rPr>
          <w:rFonts w:ascii="Times New Roman" w:hAnsi="Times New Roman" w:cs="Times New Roman"/>
          <w:sz w:val="24"/>
          <w:szCs w:val="24"/>
          <w:shd w:val="clear" w:color="auto" w:fill="FFFFFF"/>
        </w:rPr>
        <w:t xml:space="preserve">Each tablet contains 400 mg of sofosbuvir, 100 mg of velpatasvir, and 100 mg of voxilaprevir. </w:t>
      </w:r>
    </w:p>
    <w:p w:rsidR="00347421" w:rsidRPr="00AE75BF" w:rsidRDefault="0029345D" w:rsidP="00347421">
      <w:pPr>
        <w:spacing w:before="120" w:after="240" w:line="240" w:lineRule="auto"/>
        <w:rPr>
          <w:rFonts w:ascii="Times New Roman" w:hAnsi="Times New Roman" w:cs="Times New Roman"/>
          <w:sz w:val="24"/>
          <w:szCs w:val="24"/>
        </w:rPr>
      </w:pPr>
      <w:r w:rsidRPr="00AE75BF">
        <w:rPr>
          <w:rFonts w:ascii="Times New Roman" w:hAnsi="Times New Roman" w:cs="Times New Roman"/>
          <w:sz w:val="24"/>
          <w:szCs w:val="24"/>
          <w:shd w:val="clear" w:color="auto" w:fill="FFFFFF"/>
        </w:rPr>
        <w:t xml:space="preserve">Sofosbuvir </w:t>
      </w:r>
      <w:r w:rsidRPr="00AE75BF">
        <w:rPr>
          <w:rFonts w:ascii="Times New Roman" w:hAnsi="Times New Roman" w:cs="Times New Roman"/>
          <w:sz w:val="24"/>
          <w:szCs w:val="24"/>
        </w:rPr>
        <w:t xml:space="preserve">is a white to off-white powder with a solubility of ≥ 2 mg/mL across the pH range of 2-7.7 at 37 °C. </w:t>
      </w:r>
    </w:p>
    <w:p w:rsidR="00347421" w:rsidRPr="00AE75BF" w:rsidRDefault="0029345D" w:rsidP="00347421">
      <w:pPr>
        <w:spacing w:before="120" w:after="240" w:line="240" w:lineRule="auto"/>
        <w:rPr>
          <w:rFonts w:ascii="Times New Roman" w:hAnsi="Times New Roman" w:cs="Times New Roman"/>
          <w:sz w:val="24"/>
          <w:szCs w:val="24"/>
        </w:rPr>
      </w:pPr>
      <w:r w:rsidRPr="00AE75BF">
        <w:rPr>
          <w:rFonts w:ascii="Times New Roman" w:hAnsi="Times New Roman" w:cs="Times New Roman"/>
          <w:sz w:val="24"/>
          <w:szCs w:val="24"/>
        </w:rPr>
        <w:t>Velpatasvir is a white to tan or yellow solid. Velpatasvir is practically insoluble (less than 0.1 mg/mL) above pH 5, slightly soluble (3.6 mg/mL) at pH 2, and soluble (greater than 36 mg/mL) at pH 1.2.</w:t>
      </w:r>
    </w:p>
    <w:p w:rsidR="0029345D" w:rsidRPr="00AE75BF" w:rsidRDefault="00D868DD" w:rsidP="00347421">
      <w:pPr>
        <w:spacing w:before="120" w:after="240" w:line="240" w:lineRule="auto"/>
        <w:rPr>
          <w:rFonts w:ascii="Times New Roman" w:hAnsi="Times New Roman" w:cs="Times New Roman"/>
          <w:sz w:val="24"/>
          <w:szCs w:val="24"/>
        </w:rPr>
      </w:pPr>
      <w:r w:rsidRPr="00AE75BF">
        <w:rPr>
          <w:rFonts w:ascii="Times New Roman" w:hAnsi="Times New Roman" w:cs="Times New Roman"/>
          <w:sz w:val="24"/>
          <w:szCs w:val="24"/>
        </w:rPr>
        <w:t>Voxilaprevir is a white to light brown solid. It is slightly hygroscopic to hygroscopic. Voxilaprevir is practically insoluble (less than 0.1 mg/mL) below pH 6.8.</w:t>
      </w:r>
    </w:p>
    <w:p w:rsidR="005B2812" w:rsidRPr="00AE75BF" w:rsidRDefault="005B2812" w:rsidP="00347421">
      <w:pPr>
        <w:spacing w:before="120" w:after="240" w:line="240" w:lineRule="auto"/>
        <w:rPr>
          <w:rFonts w:ascii="Times New Roman" w:hAnsi="Times New Roman" w:cs="Times New Roman"/>
          <w:sz w:val="24"/>
          <w:szCs w:val="24"/>
          <w:lang w:val="en"/>
        </w:rPr>
      </w:pPr>
      <w:r w:rsidRPr="00AE75BF">
        <w:rPr>
          <w:rFonts w:ascii="Times New Roman" w:hAnsi="Times New Roman" w:cs="Times New Roman"/>
          <w:sz w:val="24"/>
          <w:szCs w:val="24"/>
          <w:lang w:val="en"/>
        </w:rPr>
        <w:t xml:space="preserve">For the full list of excipients, see Section 6.1 List of excipients. </w:t>
      </w:r>
    </w:p>
    <w:p w:rsidR="00347421" w:rsidRPr="005B2812" w:rsidRDefault="00347421" w:rsidP="00347421">
      <w:pPr>
        <w:spacing w:after="0" w:line="240" w:lineRule="auto"/>
        <w:rPr>
          <w:rFonts w:asciiTheme="majorHAnsi" w:hAnsiTheme="majorHAnsi" w:cstheme="minorHAnsi"/>
        </w:rPr>
      </w:pPr>
    </w:p>
    <w:p w:rsidR="001A3992" w:rsidRPr="00AE75BF" w:rsidRDefault="001A3992" w:rsidP="001A3992">
      <w:pPr>
        <w:pStyle w:val="Heading1"/>
        <w:spacing w:before="0" w:after="120"/>
        <w:rPr>
          <w:rFonts w:ascii="Times New Roman" w:hAnsi="Times New Roman" w:cs="Times New Roman"/>
        </w:rPr>
      </w:pPr>
      <w:r w:rsidRPr="00AE75BF">
        <w:rPr>
          <w:rFonts w:ascii="Times New Roman" w:hAnsi="Times New Roman" w:cs="Times New Roman"/>
        </w:rPr>
        <w:t>Pharmaceutical form</w:t>
      </w:r>
    </w:p>
    <w:p w:rsidR="006F6A96" w:rsidRDefault="006F6A96" w:rsidP="00347421">
      <w:pPr>
        <w:spacing w:before="120" w:after="240" w:line="240" w:lineRule="auto"/>
        <w:rPr>
          <w:rFonts w:ascii="Times New Roman" w:hAnsi="Times New Roman" w:cs="Times New Roman"/>
          <w:noProof/>
          <w:sz w:val="24"/>
          <w:szCs w:val="24"/>
        </w:rPr>
      </w:pPr>
      <w:r w:rsidRPr="006F6A96">
        <w:rPr>
          <w:rFonts w:ascii="Times New Roman" w:hAnsi="Times New Roman" w:cs="Times New Roman"/>
          <w:noProof/>
          <w:sz w:val="24"/>
          <w:szCs w:val="24"/>
        </w:rPr>
        <w:t>VOSEVI tablets are beige, capsule -shaped, film coated tablets, debossed with “GSI” on one side and “</w:t>
      </w:r>
      <w:r w:rsidRPr="006F6A96">
        <w:rPr>
          <w:rFonts w:ascii="Times New Roman" w:hAnsi="Times New Roman" w:cs="Times New Roman"/>
          <w:sz w:val="24"/>
          <w:szCs w:val="24"/>
          <w:bdr w:val="single" w:sz="6" w:space="0" w:color="000000"/>
        </w:rPr>
        <w:t>3</w:t>
      </w:r>
      <w:r w:rsidRPr="006F6A96">
        <w:rPr>
          <w:rFonts w:ascii="Times New Roman" w:hAnsi="Times New Roman" w:cs="Times New Roman"/>
          <w:noProof/>
          <w:sz w:val="24"/>
          <w:szCs w:val="24"/>
        </w:rPr>
        <w:t xml:space="preserve">” on the other side.  </w:t>
      </w:r>
    </w:p>
    <w:p w:rsidR="008435C9" w:rsidRDefault="008435C9" w:rsidP="00347421">
      <w:pPr>
        <w:spacing w:before="120" w:after="240" w:line="240" w:lineRule="auto"/>
        <w:rPr>
          <w:rFonts w:ascii="Times New Roman" w:hAnsi="Times New Roman" w:cs="Times New Roman"/>
          <w:noProof/>
          <w:sz w:val="24"/>
          <w:szCs w:val="24"/>
        </w:rPr>
      </w:pPr>
    </w:p>
    <w:p w:rsidR="008435C9" w:rsidRDefault="008435C9" w:rsidP="00347421">
      <w:pPr>
        <w:spacing w:before="120" w:after="240" w:line="240" w:lineRule="auto"/>
        <w:rPr>
          <w:rFonts w:ascii="Times New Roman" w:hAnsi="Times New Roman" w:cs="Times New Roman"/>
          <w:noProof/>
          <w:sz w:val="24"/>
          <w:szCs w:val="24"/>
        </w:rPr>
      </w:pPr>
    </w:p>
    <w:p w:rsidR="008435C9" w:rsidRDefault="008435C9" w:rsidP="00347421">
      <w:pPr>
        <w:spacing w:before="120" w:after="240" w:line="240" w:lineRule="auto"/>
        <w:rPr>
          <w:rFonts w:ascii="Times New Roman" w:hAnsi="Times New Roman" w:cs="Times New Roman"/>
          <w:noProof/>
          <w:sz w:val="24"/>
          <w:szCs w:val="24"/>
        </w:rPr>
      </w:pPr>
    </w:p>
    <w:p w:rsidR="008435C9" w:rsidRDefault="008435C9" w:rsidP="00347421">
      <w:pPr>
        <w:spacing w:before="120" w:after="240" w:line="240" w:lineRule="auto"/>
        <w:rPr>
          <w:rFonts w:ascii="Times New Roman" w:hAnsi="Times New Roman" w:cs="Times New Roman"/>
          <w:noProof/>
          <w:sz w:val="24"/>
          <w:szCs w:val="24"/>
        </w:rPr>
      </w:pPr>
    </w:p>
    <w:p w:rsidR="008435C9" w:rsidRDefault="008435C9" w:rsidP="00347421">
      <w:pPr>
        <w:spacing w:before="120" w:after="240" w:line="240" w:lineRule="auto"/>
        <w:rPr>
          <w:rFonts w:ascii="Times New Roman" w:hAnsi="Times New Roman" w:cs="Times New Roman"/>
          <w:noProof/>
          <w:sz w:val="24"/>
          <w:szCs w:val="24"/>
        </w:rPr>
      </w:pPr>
    </w:p>
    <w:p w:rsidR="008435C9" w:rsidRDefault="008435C9" w:rsidP="00347421">
      <w:pPr>
        <w:spacing w:before="120" w:after="240" w:line="240" w:lineRule="auto"/>
        <w:rPr>
          <w:rFonts w:ascii="Times New Roman" w:hAnsi="Times New Roman" w:cs="Times New Roman"/>
          <w:noProof/>
          <w:sz w:val="24"/>
          <w:szCs w:val="24"/>
        </w:rPr>
      </w:pPr>
    </w:p>
    <w:p w:rsidR="008435C9" w:rsidRPr="006F6A96" w:rsidRDefault="008435C9" w:rsidP="00347421">
      <w:pPr>
        <w:spacing w:before="120" w:after="240" w:line="240" w:lineRule="auto"/>
        <w:rPr>
          <w:rFonts w:ascii="Times New Roman" w:hAnsi="Times New Roman" w:cs="Times New Roman"/>
          <w:iCs/>
          <w:noProof/>
          <w:color w:val="FF0000"/>
          <w:sz w:val="24"/>
          <w:szCs w:val="24"/>
        </w:rPr>
      </w:pPr>
    </w:p>
    <w:p w:rsidR="001A3992" w:rsidRPr="00AE75BF" w:rsidRDefault="001A3992" w:rsidP="001A3992">
      <w:pPr>
        <w:pStyle w:val="Heading1"/>
        <w:spacing w:before="0" w:after="120"/>
        <w:rPr>
          <w:rFonts w:ascii="Times New Roman" w:hAnsi="Times New Roman" w:cs="Times New Roman"/>
        </w:rPr>
      </w:pPr>
      <w:r w:rsidRPr="00AE75BF">
        <w:rPr>
          <w:rFonts w:ascii="Times New Roman" w:hAnsi="Times New Roman" w:cs="Times New Roman"/>
        </w:rPr>
        <w:lastRenderedPageBreak/>
        <w:t>Clinical particulars</w:t>
      </w:r>
    </w:p>
    <w:p w:rsidR="00347421" w:rsidRPr="00A31B5B" w:rsidRDefault="00347421" w:rsidP="00A31B5B">
      <w:pPr>
        <w:pStyle w:val="Heading2"/>
        <w:spacing w:before="0" w:after="120"/>
        <w:rPr>
          <w:rFonts w:ascii="Times New Roman" w:hAnsi="Times New Roman" w:cs="Times New Roman"/>
        </w:rPr>
      </w:pPr>
      <w:r w:rsidRPr="00D169BE">
        <w:rPr>
          <w:noProof/>
        </w:rPr>
        <w:t xml:space="preserve"> </w:t>
      </w:r>
      <w:r w:rsidR="00A31B5B" w:rsidRPr="00606FCA">
        <w:rPr>
          <w:rFonts w:ascii="Times New Roman" w:hAnsi="Times New Roman" w:cs="Times New Roman"/>
        </w:rPr>
        <w:t xml:space="preserve">Therapeutic indications </w:t>
      </w:r>
    </w:p>
    <w:p w:rsidR="00D868DD" w:rsidRPr="00F20539" w:rsidRDefault="00D868DD" w:rsidP="00347421">
      <w:pPr>
        <w:spacing w:before="120" w:after="240" w:line="240" w:lineRule="auto"/>
        <w:rPr>
          <w:rFonts w:ascii="Times New Roman" w:hAnsi="Times New Roman" w:cs="Times New Roman"/>
          <w:iCs/>
          <w:sz w:val="24"/>
          <w:szCs w:val="24"/>
        </w:rPr>
      </w:pPr>
      <w:r w:rsidRPr="00F20539">
        <w:rPr>
          <w:rFonts w:ascii="Times New Roman" w:hAnsi="Times New Roman" w:cs="Times New Roman"/>
          <w:iCs/>
          <w:sz w:val="24"/>
          <w:szCs w:val="24"/>
        </w:rPr>
        <w:t>VOSEVI (sofosbuvir/velpatasvir/voxilaprevir fixed-dose combination) is indicated for the treatment of chronic hepatitis C virus (HCV) infection in adult patients, without cirrhosis or with compensated cirrhosis, who have:</w:t>
      </w:r>
    </w:p>
    <w:p w:rsidR="00D868DD" w:rsidRPr="00F20539" w:rsidRDefault="00D868DD" w:rsidP="00347421">
      <w:pPr>
        <w:spacing w:before="120" w:after="240" w:line="240" w:lineRule="auto"/>
        <w:rPr>
          <w:rFonts w:ascii="Times New Roman" w:hAnsi="Times New Roman" w:cs="Times New Roman"/>
          <w:iCs/>
          <w:sz w:val="24"/>
          <w:szCs w:val="24"/>
        </w:rPr>
      </w:pPr>
      <w:r w:rsidRPr="00F20539">
        <w:rPr>
          <w:rFonts w:ascii="Times New Roman" w:hAnsi="Times New Roman" w:cs="Times New Roman"/>
          <w:iCs/>
          <w:sz w:val="24"/>
          <w:szCs w:val="24"/>
        </w:rPr>
        <w:t>- genotype 1, 2, 3, 4, 5, or 6 infection and have previously been treated with an HCV regimen containing an NS5A inhibitor;</w:t>
      </w:r>
    </w:p>
    <w:p w:rsidR="00243A4D" w:rsidRDefault="00D868DD" w:rsidP="00347421">
      <w:pPr>
        <w:spacing w:before="120" w:after="240" w:line="240" w:lineRule="auto"/>
        <w:rPr>
          <w:rFonts w:ascii="Times New Roman" w:hAnsi="Times New Roman" w:cs="Times New Roman"/>
          <w:iCs/>
          <w:sz w:val="24"/>
          <w:szCs w:val="24"/>
        </w:rPr>
      </w:pPr>
      <w:r w:rsidRPr="00F20539">
        <w:rPr>
          <w:rFonts w:ascii="Times New Roman" w:hAnsi="Times New Roman" w:cs="Times New Roman"/>
          <w:iCs/>
          <w:sz w:val="24"/>
          <w:szCs w:val="24"/>
        </w:rPr>
        <w:t>- genotype 1a or 3 infection and have previously been treated with an HCV regimen containing sofosbuvir without an NS5A inhibitor</w:t>
      </w:r>
      <w:r w:rsidR="008435C9" w:rsidRPr="00F20539">
        <w:rPr>
          <w:rFonts w:ascii="Times New Roman" w:hAnsi="Times New Roman" w:cs="Times New Roman"/>
          <w:iCs/>
          <w:sz w:val="24"/>
          <w:szCs w:val="24"/>
        </w:rPr>
        <w:t>;</w:t>
      </w:r>
      <w:r w:rsidR="005E1D85">
        <w:rPr>
          <w:rFonts w:ascii="Times New Roman" w:hAnsi="Times New Roman" w:cs="Times New Roman"/>
          <w:iCs/>
          <w:sz w:val="24"/>
          <w:szCs w:val="24"/>
        </w:rPr>
        <w:t xml:space="preserve"> </w:t>
      </w:r>
    </w:p>
    <w:p w:rsidR="00D868DD" w:rsidRPr="006F6A96" w:rsidRDefault="005E1D85" w:rsidP="00347421">
      <w:pPr>
        <w:spacing w:before="120" w:after="240" w:line="240" w:lineRule="auto"/>
        <w:rPr>
          <w:rFonts w:ascii="Times New Roman" w:hAnsi="Times New Roman" w:cs="Times New Roman"/>
          <w:iCs/>
          <w:sz w:val="24"/>
          <w:szCs w:val="24"/>
        </w:rPr>
      </w:pPr>
      <w:r>
        <w:rPr>
          <w:rFonts w:ascii="Times New Roman" w:hAnsi="Times New Roman" w:cs="Times New Roman"/>
          <w:iCs/>
          <w:sz w:val="24"/>
          <w:szCs w:val="24"/>
        </w:rPr>
        <w:t xml:space="preserve">(see </w:t>
      </w:r>
      <w:r w:rsidR="003437D5">
        <w:rPr>
          <w:rFonts w:ascii="Times New Roman" w:hAnsi="Times New Roman" w:cs="Times New Roman"/>
          <w:iCs/>
          <w:sz w:val="24"/>
          <w:szCs w:val="24"/>
        </w:rPr>
        <w:t>Section</w:t>
      </w:r>
      <w:r w:rsidR="00CE59A7">
        <w:rPr>
          <w:rFonts w:ascii="Times New Roman" w:hAnsi="Times New Roman" w:cs="Times New Roman"/>
          <w:iCs/>
          <w:sz w:val="24"/>
          <w:szCs w:val="24"/>
        </w:rPr>
        <w:t>s</w:t>
      </w:r>
      <w:r w:rsidR="003437D5">
        <w:rPr>
          <w:rFonts w:ascii="Times New Roman" w:hAnsi="Times New Roman" w:cs="Times New Roman"/>
          <w:iCs/>
          <w:sz w:val="24"/>
          <w:szCs w:val="24"/>
        </w:rPr>
        <w:t xml:space="preserve"> 4.2</w:t>
      </w:r>
      <w:r w:rsidR="001F0D62">
        <w:rPr>
          <w:rFonts w:ascii="Times New Roman" w:hAnsi="Times New Roman" w:cs="Times New Roman"/>
          <w:iCs/>
          <w:sz w:val="24"/>
          <w:szCs w:val="24"/>
        </w:rPr>
        <w:t xml:space="preserve"> Dose and method of administration</w:t>
      </w:r>
      <w:r w:rsidR="001111CD">
        <w:rPr>
          <w:rFonts w:ascii="Times New Roman" w:hAnsi="Times New Roman" w:cs="Times New Roman"/>
          <w:iCs/>
          <w:sz w:val="24"/>
          <w:szCs w:val="24"/>
        </w:rPr>
        <w:t xml:space="preserve"> </w:t>
      </w:r>
      <w:r w:rsidR="003437D5">
        <w:rPr>
          <w:rFonts w:ascii="Times New Roman" w:hAnsi="Times New Roman" w:cs="Times New Roman"/>
          <w:iCs/>
          <w:sz w:val="24"/>
          <w:szCs w:val="24"/>
        </w:rPr>
        <w:t xml:space="preserve"> and 5.</w:t>
      </w:r>
      <w:r w:rsidR="003437D5" w:rsidRPr="00970BEA">
        <w:rPr>
          <w:rFonts w:ascii="Times New Roman" w:hAnsi="Times New Roman" w:cs="Times New Roman"/>
          <w:iCs/>
          <w:sz w:val="24"/>
          <w:szCs w:val="24"/>
        </w:rPr>
        <w:t>1</w:t>
      </w:r>
      <w:r w:rsidR="001F4643">
        <w:rPr>
          <w:rFonts w:ascii="Times New Roman" w:hAnsi="Times New Roman" w:cs="Times New Roman"/>
          <w:iCs/>
          <w:sz w:val="24"/>
          <w:szCs w:val="24"/>
        </w:rPr>
        <w:t xml:space="preserve"> </w:t>
      </w:r>
      <w:r w:rsidR="009E2571">
        <w:rPr>
          <w:rFonts w:ascii="Times New Roman" w:hAnsi="Times New Roman" w:cs="Times New Roman"/>
          <w:iCs/>
          <w:sz w:val="24"/>
          <w:szCs w:val="24"/>
        </w:rPr>
        <w:t>Pharmacodynami</w:t>
      </w:r>
      <w:r w:rsidR="001F0D62">
        <w:rPr>
          <w:rFonts w:ascii="Times New Roman" w:hAnsi="Times New Roman" w:cs="Times New Roman"/>
          <w:iCs/>
          <w:sz w:val="24"/>
          <w:szCs w:val="24"/>
        </w:rPr>
        <w:t>c properties, Clinical t</w:t>
      </w:r>
      <w:r w:rsidR="009E2571">
        <w:rPr>
          <w:rFonts w:ascii="Times New Roman" w:hAnsi="Times New Roman" w:cs="Times New Roman"/>
          <w:iCs/>
          <w:sz w:val="24"/>
          <w:szCs w:val="24"/>
        </w:rPr>
        <w:t>rials</w:t>
      </w:r>
      <w:r w:rsidRPr="00970BEA">
        <w:rPr>
          <w:rFonts w:ascii="Times New Roman" w:hAnsi="Times New Roman" w:cs="Times New Roman"/>
          <w:iCs/>
          <w:sz w:val="24"/>
          <w:szCs w:val="24"/>
        </w:rPr>
        <w:t>)</w:t>
      </w:r>
      <w:r w:rsidR="0048032B" w:rsidRPr="00970BEA">
        <w:rPr>
          <w:rFonts w:ascii="Times New Roman" w:hAnsi="Times New Roman" w:cs="Times New Roman"/>
          <w:iCs/>
          <w:sz w:val="24"/>
          <w:szCs w:val="24"/>
        </w:rPr>
        <w:t>.</w:t>
      </w:r>
    </w:p>
    <w:p w:rsidR="00A31B5B" w:rsidRDefault="00347421" w:rsidP="00A31B5B">
      <w:pPr>
        <w:pStyle w:val="Heading2"/>
        <w:spacing w:before="0" w:after="120"/>
        <w:rPr>
          <w:rFonts w:ascii="Times New Roman" w:hAnsi="Times New Roman" w:cs="Times New Roman"/>
        </w:rPr>
      </w:pPr>
      <w:r w:rsidRPr="000E1BC3">
        <w:rPr>
          <w:rFonts w:ascii="Times New Roman" w:hAnsi="Times New Roman"/>
          <w:b w:val="0"/>
          <w:noProof/>
          <w:szCs w:val="24"/>
        </w:rPr>
        <w:t xml:space="preserve"> </w:t>
      </w:r>
      <w:r w:rsidR="00A31B5B" w:rsidRPr="00606FCA">
        <w:rPr>
          <w:rFonts w:ascii="Times New Roman" w:hAnsi="Times New Roman" w:cs="Times New Roman"/>
        </w:rPr>
        <w:t xml:space="preserve">Dose and method of administration </w:t>
      </w:r>
    </w:p>
    <w:p w:rsidR="00F36764" w:rsidRPr="00A31B5B" w:rsidRDefault="00F36764" w:rsidP="00A31B5B">
      <w:pPr>
        <w:spacing w:after="120"/>
        <w:rPr>
          <w:rFonts w:ascii="Times New Roman" w:hAnsi="Times New Roman" w:cs="Times New Roman"/>
          <w:i/>
          <w:sz w:val="24"/>
          <w:szCs w:val="24"/>
        </w:rPr>
      </w:pPr>
      <w:r w:rsidRPr="00A31B5B">
        <w:rPr>
          <w:rFonts w:ascii="Times New Roman" w:hAnsi="Times New Roman" w:cs="Times New Roman"/>
          <w:sz w:val="24"/>
          <w:szCs w:val="24"/>
        </w:rPr>
        <w:t>The recommended dose of VOSEVI is one tablet, taken orally, once daily with food</w:t>
      </w:r>
      <w:r w:rsidRPr="00A31B5B">
        <w:rPr>
          <w:rFonts w:ascii="Times New Roman" w:hAnsi="Times New Roman" w:cs="Times New Roman"/>
          <w:i/>
          <w:sz w:val="24"/>
          <w:szCs w:val="24"/>
        </w:rPr>
        <w:t>.</w:t>
      </w:r>
    </w:p>
    <w:p w:rsidR="00347421" w:rsidRPr="00A31B5B" w:rsidRDefault="00347421" w:rsidP="00F36764">
      <w:pPr>
        <w:pStyle w:val="Text1"/>
        <w:rPr>
          <w:i/>
          <w:szCs w:val="24"/>
        </w:rPr>
      </w:pPr>
      <w:r w:rsidRPr="00A31B5B">
        <w:rPr>
          <w:szCs w:val="24"/>
        </w:rPr>
        <w:t>Table 1 provides the recommended treatment regimen and duration based on patient population.</w:t>
      </w:r>
    </w:p>
    <w:p w:rsidR="00F36764" w:rsidRPr="005F1CBE" w:rsidRDefault="00F36764" w:rsidP="00F36764">
      <w:pPr>
        <w:pStyle w:val="Caption"/>
      </w:pPr>
      <w:bookmarkStart w:id="1" w:name="_Ref480797190"/>
      <w:r w:rsidRPr="005F1CBE">
        <w:t xml:space="preserve">Table </w:t>
      </w:r>
      <w:bookmarkEnd w:id="1"/>
      <w:r w:rsidR="00347421">
        <w:rPr>
          <w:noProof/>
        </w:rPr>
        <w:t>1</w:t>
      </w:r>
      <w:r w:rsidRPr="005F1CBE">
        <w:tab/>
        <w:t>Recommended Treatment Regimen and Duration in Adults Without Cirrhosis or With Compensated Cirrhosis (Child-Pugh A)</w:t>
      </w:r>
    </w:p>
    <w:tbl>
      <w:tblPr>
        <w:tblStyle w:val="TableGrid"/>
        <w:tblW w:w="0" w:type="auto"/>
        <w:tblInd w:w="198" w:type="dxa"/>
        <w:shd w:val="clear" w:color="auto" w:fill="FFFFFF" w:themeFill="background1"/>
        <w:tblLook w:val="04A0" w:firstRow="1" w:lastRow="0" w:firstColumn="1" w:lastColumn="0" w:noHBand="0" w:noVBand="1"/>
      </w:tblPr>
      <w:tblGrid>
        <w:gridCol w:w="2250"/>
        <w:gridCol w:w="4410"/>
        <w:gridCol w:w="2302"/>
      </w:tblGrid>
      <w:tr w:rsidR="00F36764" w:rsidRPr="005F1CBE" w:rsidTr="000968F5">
        <w:trPr>
          <w:trHeight w:val="674"/>
        </w:trPr>
        <w:tc>
          <w:tcPr>
            <w:tcW w:w="2250" w:type="dxa"/>
            <w:tcBorders>
              <w:top w:val="single" w:sz="12" w:space="0" w:color="auto"/>
              <w:left w:val="nil"/>
              <w:bottom w:val="single" w:sz="12" w:space="0" w:color="auto"/>
            </w:tcBorders>
            <w:shd w:val="clear" w:color="auto" w:fill="auto"/>
            <w:vAlign w:val="center"/>
          </w:tcPr>
          <w:p w:rsidR="00F36764" w:rsidRPr="00AB6769" w:rsidRDefault="00F36764" w:rsidP="005C0C71">
            <w:pPr>
              <w:pStyle w:val="NoSpacing"/>
              <w:keepNext/>
              <w:jc w:val="center"/>
              <w:rPr>
                <w:rFonts w:ascii="Times New Roman" w:hAnsi="Times New Roman" w:cs="Times New Roman"/>
                <w:b/>
                <w:sz w:val="24"/>
                <w:szCs w:val="24"/>
              </w:rPr>
            </w:pPr>
            <w:r w:rsidRPr="00AB6769">
              <w:rPr>
                <w:rFonts w:ascii="Times New Roman" w:hAnsi="Times New Roman" w:cs="Times New Roman"/>
                <w:b/>
                <w:sz w:val="24"/>
                <w:szCs w:val="24"/>
              </w:rPr>
              <w:t>Genotype</w:t>
            </w:r>
          </w:p>
        </w:tc>
        <w:tc>
          <w:tcPr>
            <w:tcW w:w="4410" w:type="dxa"/>
            <w:tcBorders>
              <w:top w:val="single" w:sz="12" w:space="0" w:color="auto"/>
              <w:bottom w:val="single" w:sz="12" w:space="0" w:color="auto"/>
            </w:tcBorders>
            <w:shd w:val="clear" w:color="auto" w:fill="auto"/>
            <w:vAlign w:val="center"/>
          </w:tcPr>
          <w:p w:rsidR="00F36764" w:rsidRPr="00AB6769" w:rsidRDefault="00F36764" w:rsidP="005C0C71">
            <w:pPr>
              <w:pStyle w:val="NoSpacing"/>
              <w:keepNext/>
              <w:jc w:val="center"/>
              <w:rPr>
                <w:rFonts w:ascii="Times New Roman" w:hAnsi="Times New Roman" w:cs="Times New Roman"/>
                <w:b/>
                <w:sz w:val="24"/>
                <w:szCs w:val="24"/>
              </w:rPr>
            </w:pPr>
            <w:r w:rsidRPr="00AB6769">
              <w:rPr>
                <w:rFonts w:ascii="Times New Roman" w:hAnsi="Times New Roman" w:cs="Times New Roman"/>
                <w:b/>
                <w:sz w:val="24"/>
                <w:szCs w:val="24"/>
              </w:rPr>
              <w:t>Patients Previously Treated with an HCV Regimen Containing:</w:t>
            </w:r>
          </w:p>
        </w:tc>
        <w:tc>
          <w:tcPr>
            <w:tcW w:w="2302" w:type="dxa"/>
            <w:tcBorders>
              <w:top w:val="single" w:sz="12" w:space="0" w:color="auto"/>
              <w:bottom w:val="single" w:sz="12" w:space="0" w:color="auto"/>
              <w:right w:val="nil"/>
            </w:tcBorders>
            <w:shd w:val="clear" w:color="auto" w:fill="auto"/>
            <w:vAlign w:val="center"/>
          </w:tcPr>
          <w:p w:rsidR="00F36764" w:rsidRPr="00AB6769" w:rsidRDefault="00F36764" w:rsidP="005C0C71">
            <w:pPr>
              <w:pStyle w:val="NoSpacing"/>
              <w:keepNext/>
              <w:jc w:val="center"/>
              <w:rPr>
                <w:rFonts w:ascii="Times New Roman" w:hAnsi="Times New Roman" w:cs="Times New Roman"/>
                <w:b/>
                <w:sz w:val="24"/>
                <w:szCs w:val="24"/>
              </w:rPr>
            </w:pPr>
            <w:r w:rsidRPr="00AB6769">
              <w:rPr>
                <w:rFonts w:ascii="Times New Roman" w:hAnsi="Times New Roman" w:cs="Times New Roman"/>
                <w:b/>
                <w:sz w:val="24"/>
                <w:szCs w:val="24"/>
              </w:rPr>
              <w:t>VOSEVI</w:t>
            </w:r>
          </w:p>
          <w:p w:rsidR="00F36764" w:rsidRPr="00AB6769" w:rsidRDefault="00F36764" w:rsidP="005C0C71">
            <w:pPr>
              <w:pStyle w:val="NoSpacing"/>
              <w:keepNext/>
              <w:jc w:val="center"/>
              <w:rPr>
                <w:rFonts w:ascii="Times New Roman" w:hAnsi="Times New Roman" w:cs="Times New Roman"/>
                <w:b/>
                <w:sz w:val="24"/>
                <w:szCs w:val="24"/>
              </w:rPr>
            </w:pPr>
            <w:r w:rsidRPr="00AB6769">
              <w:rPr>
                <w:rFonts w:ascii="Times New Roman" w:hAnsi="Times New Roman" w:cs="Times New Roman"/>
                <w:b/>
                <w:sz w:val="24"/>
                <w:szCs w:val="24"/>
              </w:rPr>
              <w:t>Duration</w:t>
            </w:r>
          </w:p>
        </w:tc>
      </w:tr>
      <w:tr w:rsidR="00F36764" w:rsidRPr="005F1CBE" w:rsidTr="000968F5">
        <w:trPr>
          <w:trHeight w:val="642"/>
        </w:trPr>
        <w:tc>
          <w:tcPr>
            <w:tcW w:w="2250" w:type="dxa"/>
            <w:tcBorders>
              <w:top w:val="single" w:sz="12" w:space="0" w:color="auto"/>
              <w:left w:val="nil"/>
            </w:tcBorders>
            <w:shd w:val="clear" w:color="auto" w:fill="auto"/>
            <w:vAlign w:val="center"/>
          </w:tcPr>
          <w:p w:rsidR="00F36764" w:rsidRPr="00AB6769" w:rsidRDefault="00F36764" w:rsidP="005C0C71">
            <w:pPr>
              <w:pStyle w:val="NoSpacing"/>
              <w:shd w:val="clear" w:color="auto" w:fill="FFFFFF" w:themeFill="background1"/>
              <w:jc w:val="center"/>
              <w:rPr>
                <w:rFonts w:ascii="Times New Roman" w:hAnsi="Times New Roman" w:cs="Times New Roman"/>
                <w:sz w:val="24"/>
                <w:szCs w:val="24"/>
              </w:rPr>
            </w:pPr>
            <w:r w:rsidRPr="00AB6769">
              <w:rPr>
                <w:rFonts w:ascii="Times New Roman" w:hAnsi="Times New Roman" w:cs="Times New Roman"/>
                <w:sz w:val="24"/>
                <w:szCs w:val="24"/>
              </w:rPr>
              <w:t>1, 2, 3, 4, 5, or 6</w:t>
            </w:r>
          </w:p>
        </w:tc>
        <w:tc>
          <w:tcPr>
            <w:tcW w:w="4410" w:type="dxa"/>
            <w:tcBorders>
              <w:top w:val="single" w:sz="12" w:space="0" w:color="auto"/>
            </w:tcBorders>
            <w:shd w:val="clear" w:color="auto" w:fill="auto"/>
            <w:vAlign w:val="center"/>
          </w:tcPr>
          <w:p w:rsidR="00F36764" w:rsidRPr="00AB6769" w:rsidRDefault="00F36764" w:rsidP="005C0C71">
            <w:pPr>
              <w:pStyle w:val="NoSpacing"/>
              <w:shd w:val="clear" w:color="auto" w:fill="FFFFFF" w:themeFill="background1"/>
              <w:jc w:val="center"/>
              <w:rPr>
                <w:rFonts w:ascii="Times New Roman" w:hAnsi="Times New Roman" w:cs="Times New Roman"/>
                <w:sz w:val="24"/>
                <w:szCs w:val="24"/>
              </w:rPr>
            </w:pPr>
            <w:r w:rsidRPr="00AB6769">
              <w:rPr>
                <w:rFonts w:ascii="Times New Roman" w:hAnsi="Times New Roman" w:cs="Times New Roman"/>
                <w:sz w:val="24"/>
                <w:szCs w:val="24"/>
              </w:rPr>
              <w:t>An NS5A inhibitor</w:t>
            </w:r>
            <w:r w:rsidRPr="00AB6769">
              <w:rPr>
                <w:rFonts w:ascii="Times New Roman" w:eastAsia="Times New Roman" w:hAnsi="Times New Roman" w:cs="Times New Roman"/>
                <w:color w:val="000000"/>
                <w:sz w:val="24"/>
                <w:szCs w:val="24"/>
                <w:vertAlign w:val="superscript"/>
              </w:rPr>
              <w:t>a</w:t>
            </w:r>
            <w:r w:rsidRPr="00AB6769" w:rsidDel="00E627A0">
              <w:rPr>
                <w:rFonts w:ascii="Times New Roman" w:hAnsi="Times New Roman" w:cs="Times New Roman"/>
                <w:sz w:val="24"/>
                <w:szCs w:val="24"/>
              </w:rPr>
              <w:t xml:space="preserve"> </w:t>
            </w:r>
          </w:p>
        </w:tc>
        <w:tc>
          <w:tcPr>
            <w:tcW w:w="2302" w:type="dxa"/>
            <w:tcBorders>
              <w:top w:val="single" w:sz="12" w:space="0" w:color="auto"/>
              <w:right w:val="nil"/>
            </w:tcBorders>
            <w:shd w:val="clear" w:color="auto" w:fill="auto"/>
            <w:vAlign w:val="center"/>
          </w:tcPr>
          <w:p w:rsidR="00F36764" w:rsidRPr="00AB6769" w:rsidRDefault="00F36764" w:rsidP="005C0C71">
            <w:pPr>
              <w:pStyle w:val="NoSpacing"/>
              <w:shd w:val="clear" w:color="auto" w:fill="FFFFFF" w:themeFill="background1"/>
              <w:jc w:val="center"/>
              <w:rPr>
                <w:rFonts w:ascii="Times New Roman" w:hAnsi="Times New Roman" w:cs="Times New Roman"/>
                <w:sz w:val="24"/>
                <w:szCs w:val="24"/>
              </w:rPr>
            </w:pPr>
            <w:r w:rsidRPr="00AB6769">
              <w:rPr>
                <w:rFonts w:ascii="Times New Roman" w:hAnsi="Times New Roman" w:cs="Times New Roman"/>
                <w:sz w:val="24"/>
                <w:szCs w:val="24"/>
              </w:rPr>
              <w:t>12 weeks</w:t>
            </w:r>
          </w:p>
        </w:tc>
      </w:tr>
      <w:tr w:rsidR="00F36764" w:rsidRPr="005F1CBE" w:rsidTr="000968F5">
        <w:trPr>
          <w:trHeight w:val="574"/>
        </w:trPr>
        <w:tc>
          <w:tcPr>
            <w:tcW w:w="2250" w:type="dxa"/>
            <w:tcBorders>
              <w:left w:val="nil"/>
              <w:bottom w:val="single" w:sz="12" w:space="0" w:color="auto"/>
            </w:tcBorders>
            <w:shd w:val="clear" w:color="auto" w:fill="auto"/>
            <w:vAlign w:val="center"/>
          </w:tcPr>
          <w:p w:rsidR="00F36764" w:rsidRPr="00AB6769" w:rsidDel="00BC4BE1" w:rsidRDefault="00F36764" w:rsidP="005C0C71">
            <w:pPr>
              <w:pStyle w:val="NoSpacing"/>
              <w:shd w:val="clear" w:color="auto" w:fill="FFFFFF" w:themeFill="background1"/>
              <w:jc w:val="center"/>
              <w:rPr>
                <w:rFonts w:ascii="Times New Roman" w:hAnsi="Times New Roman" w:cs="Times New Roman"/>
                <w:sz w:val="24"/>
                <w:szCs w:val="24"/>
              </w:rPr>
            </w:pPr>
            <w:r w:rsidRPr="00AB6769">
              <w:rPr>
                <w:rFonts w:ascii="Times New Roman" w:hAnsi="Times New Roman" w:cs="Times New Roman"/>
                <w:sz w:val="24"/>
                <w:szCs w:val="24"/>
              </w:rPr>
              <w:t>1a or 3</w:t>
            </w:r>
            <w:r w:rsidR="004F236A" w:rsidRPr="004F236A">
              <w:rPr>
                <w:rFonts w:ascii="Times New Roman" w:hAnsi="Times New Roman" w:cs="Times New Roman"/>
                <w:sz w:val="24"/>
                <w:szCs w:val="24"/>
                <w:vertAlign w:val="superscript"/>
              </w:rPr>
              <w:t>b</w:t>
            </w:r>
          </w:p>
        </w:tc>
        <w:tc>
          <w:tcPr>
            <w:tcW w:w="4410" w:type="dxa"/>
            <w:tcBorders>
              <w:bottom w:val="single" w:sz="12" w:space="0" w:color="auto"/>
            </w:tcBorders>
            <w:shd w:val="clear" w:color="auto" w:fill="auto"/>
            <w:vAlign w:val="center"/>
          </w:tcPr>
          <w:p w:rsidR="00F36764" w:rsidRPr="00AB6769" w:rsidDel="00BC4BE1" w:rsidRDefault="00F36764" w:rsidP="005C0C71">
            <w:pPr>
              <w:pStyle w:val="NoSpacing"/>
              <w:shd w:val="clear" w:color="auto" w:fill="FFFFFF" w:themeFill="background1"/>
              <w:jc w:val="center"/>
              <w:rPr>
                <w:rFonts w:ascii="Times New Roman" w:hAnsi="Times New Roman" w:cs="Times New Roman"/>
                <w:sz w:val="24"/>
                <w:szCs w:val="24"/>
              </w:rPr>
            </w:pPr>
            <w:r w:rsidRPr="00AB6769">
              <w:rPr>
                <w:rFonts w:ascii="Times New Roman" w:hAnsi="Times New Roman" w:cs="Times New Roman"/>
                <w:sz w:val="24"/>
                <w:szCs w:val="24"/>
              </w:rPr>
              <w:t>Sofosbuvir without an NS5A inhibitor</w:t>
            </w:r>
            <w:r w:rsidR="004F236A">
              <w:rPr>
                <w:rFonts w:ascii="Times New Roman" w:eastAsia="Times New Roman" w:hAnsi="Times New Roman" w:cs="Times New Roman"/>
                <w:color w:val="000000"/>
                <w:sz w:val="24"/>
                <w:szCs w:val="24"/>
                <w:vertAlign w:val="superscript"/>
              </w:rPr>
              <w:t>c</w:t>
            </w:r>
            <w:r w:rsidRPr="00AB6769" w:rsidDel="00BC4BE1">
              <w:rPr>
                <w:rFonts w:ascii="Times New Roman" w:hAnsi="Times New Roman" w:cs="Times New Roman"/>
                <w:sz w:val="24"/>
                <w:szCs w:val="24"/>
              </w:rPr>
              <w:t xml:space="preserve"> </w:t>
            </w:r>
          </w:p>
        </w:tc>
        <w:tc>
          <w:tcPr>
            <w:tcW w:w="2302" w:type="dxa"/>
            <w:tcBorders>
              <w:bottom w:val="single" w:sz="12" w:space="0" w:color="auto"/>
              <w:right w:val="nil"/>
            </w:tcBorders>
            <w:shd w:val="clear" w:color="auto" w:fill="auto"/>
            <w:vAlign w:val="center"/>
          </w:tcPr>
          <w:p w:rsidR="00F36764" w:rsidRPr="00AB6769" w:rsidRDefault="00F36764" w:rsidP="005C0C71">
            <w:pPr>
              <w:pStyle w:val="NoSpacing"/>
              <w:shd w:val="clear" w:color="auto" w:fill="FFFFFF" w:themeFill="background1"/>
              <w:jc w:val="center"/>
              <w:rPr>
                <w:rFonts w:ascii="Times New Roman" w:hAnsi="Times New Roman" w:cs="Times New Roman"/>
                <w:sz w:val="24"/>
                <w:szCs w:val="24"/>
              </w:rPr>
            </w:pPr>
            <w:r w:rsidRPr="00AB6769">
              <w:rPr>
                <w:rFonts w:ascii="Times New Roman" w:hAnsi="Times New Roman" w:cs="Times New Roman"/>
                <w:sz w:val="24"/>
                <w:szCs w:val="24"/>
              </w:rPr>
              <w:t>12 weeks</w:t>
            </w:r>
          </w:p>
        </w:tc>
      </w:tr>
    </w:tbl>
    <w:p w:rsidR="00F36764" w:rsidRPr="00F20539" w:rsidRDefault="00F36764" w:rsidP="00F36764">
      <w:pPr>
        <w:autoSpaceDE w:val="0"/>
        <w:autoSpaceDN w:val="0"/>
        <w:spacing w:before="60" w:after="40"/>
        <w:ind w:left="273" w:hanging="187"/>
        <w:rPr>
          <w:rFonts w:ascii="Times New Roman" w:hAnsi="Times New Roman" w:cs="Times New Roman"/>
          <w:sz w:val="16"/>
          <w:szCs w:val="16"/>
        </w:rPr>
      </w:pPr>
      <w:r w:rsidRPr="00F20539">
        <w:rPr>
          <w:rFonts w:ascii="Times New Roman" w:hAnsi="Times New Roman" w:cs="Times New Roman"/>
          <w:color w:val="000000"/>
          <w:sz w:val="16"/>
          <w:szCs w:val="16"/>
        </w:rPr>
        <w:t>a.</w:t>
      </w:r>
      <w:r w:rsidRPr="00F20539">
        <w:rPr>
          <w:rFonts w:ascii="Times New Roman" w:hAnsi="Times New Roman" w:cs="Times New Roman"/>
          <w:color w:val="000000"/>
          <w:sz w:val="16"/>
          <w:szCs w:val="16"/>
        </w:rPr>
        <w:tab/>
        <w:t xml:space="preserve">In clinical trials, prior NS5A inhibitor experience included daclatasvir, elbasvir, ledipasvir, ombitasvir, or velpatasvir. </w:t>
      </w:r>
    </w:p>
    <w:p w:rsidR="00530714" w:rsidRDefault="00F36764" w:rsidP="00F36764">
      <w:pPr>
        <w:autoSpaceDE w:val="0"/>
        <w:autoSpaceDN w:val="0"/>
        <w:spacing w:after="40"/>
        <w:ind w:left="270" w:hanging="180"/>
        <w:rPr>
          <w:rFonts w:ascii="Times New Roman" w:hAnsi="Times New Roman"/>
          <w:color w:val="000000"/>
          <w:sz w:val="16"/>
          <w:szCs w:val="16"/>
        </w:rPr>
      </w:pPr>
      <w:r w:rsidRPr="00F20539">
        <w:rPr>
          <w:rFonts w:ascii="Times New Roman" w:hAnsi="Times New Roman" w:cs="Times New Roman"/>
          <w:color w:val="000000"/>
          <w:sz w:val="16"/>
          <w:szCs w:val="16"/>
        </w:rPr>
        <w:t>b.</w:t>
      </w:r>
      <w:r w:rsidRPr="00F20539">
        <w:rPr>
          <w:rFonts w:ascii="Times New Roman" w:hAnsi="Times New Roman" w:cs="Times New Roman"/>
          <w:color w:val="000000"/>
          <w:sz w:val="16"/>
          <w:szCs w:val="16"/>
        </w:rPr>
        <w:tab/>
      </w:r>
      <w:r w:rsidR="00530714" w:rsidRPr="008F298E">
        <w:rPr>
          <w:rFonts w:ascii="Times New Roman" w:hAnsi="Times New Roman"/>
          <w:color w:val="000000"/>
          <w:sz w:val="16"/>
          <w:szCs w:val="16"/>
        </w:rPr>
        <w:t>Additional benefit of VOSEVI over sofosbuvir/velpatasvir was not shown in adults with genotype 1b, 2, 4, 5, or 6 infection previously treated with sofosbuvir without an NS5A inhibitor.</w:t>
      </w:r>
    </w:p>
    <w:p w:rsidR="004F236A" w:rsidRPr="008F298E" w:rsidRDefault="004F236A" w:rsidP="00F36764">
      <w:pPr>
        <w:autoSpaceDE w:val="0"/>
        <w:autoSpaceDN w:val="0"/>
        <w:spacing w:after="40"/>
        <w:ind w:left="270" w:hanging="180"/>
        <w:rPr>
          <w:rFonts w:ascii="Times New Roman" w:hAnsi="Times New Roman" w:cs="Times New Roman"/>
          <w:color w:val="000000"/>
          <w:sz w:val="16"/>
          <w:szCs w:val="16"/>
        </w:rPr>
      </w:pPr>
      <w:r>
        <w:rPr>
          <w:rFonts w:ascii="Times New Roman" w:hAnsi="Times New Roman" w:cs="Times New Roman"/>
          <w:color w:val="000000"/>
          <w:sz w:val="16"/>
          <w:szCs w:val="16"/>
        </w:rPr>
        <w:t>c.</w:t>
      </w:r>
      <w:r>
        <w:rPr>
          <w:rFonts w:ascii="Times New Roman" w:hAnsi="Times New Roman" w:cs="Times New Roman"/>
          <w:color w:val="000000"/>
          <w:sz w:val="16"/>
          <w:szCs w:val="16"/>
        </w:rPr>
        <w:tab/>
      </w:r>
      <w:r w:rsidRPr="00F20539">
        <w:rPr>
          <w:rFonts w:ascii="Times New Roman" w:hAnsi="Times New Roman" w:cs="Times New Roman"/>
          <w:color w:val="000000"/>
          <w:sz w:val="16"/>
          <w:szCs w:val="16"/>
        </w:rPr>
        <w:t>In clinical trials, prior treatment experience included sofosbuvir with or without any of the following: peginterferon alfa/ribavirin, ribavirin, HCV NS3/4A protease inhibitor (boceprevir, simeprevir, or telaprevir).  </w:t>
      </w:r>
    </w:p>
    <w:p w:rsidR="00F36764" w:rsidRDefault="00F36764" w:rsidP="00F36764">
      <w:pPr>
        <w:autoSpaceDE w:val="0"/>
        <w:autoSpaceDN w:val="0"/>
        <w:spacing w:after="40"/>
        <w:ind w:left="270" w:hanging="180"/>
        <w:rPr>
          <w:rFonts w:cs="Arial"/>
          <w:color w:val="000000"/>
          <w:sz w:val="16"/>
          <w:szCs w:val="16"/>
        </w:rPr>
      </w:pPr>
    </w:p>
    <w:p w:rsidR="00F36764" w:rsidRPr="00E019FA" w:rsidRDefault="00F36764" w:rsidP="00347421">
      <w:pPr>
        <w:pStyle w:val="Text1"/>
        <w:rPr>
          <w:b/>
          <w:sz w:val="22"/>
          <w:szCs w:val="22"/>
        </w:rPr>
      </w:pPr>
      <w:bookmarkStart w:id="2" w:name="_Toc434324379"/>
      <w:r w:rsidRPr="00E019FA">
        <w:rPr>
          <w:b/>
          <w:sz w:val="22"/>
          <w:szCs w:val="22"/>
        </w:rPr>
        <w:t>Children and Adolescents up to 18 Years of Age</w:t>
      </w:r>
      <w:bookmarkEnd w:id="2"/>
    </w:p>
    <w:p w:rsidR="00F36764" w:rsidRPr="00525F08" w:rsidRDefault="00F36764" w:rsidP="00347421">
      <w:pPr>
        <w:pStyle w:val="Text1"/>
        <w:rPr>
          <w:sz w:val="32"/>
        </w:rPr>
      </w:pPr>
      <w:r w:rsidRPr="00525F08">
        <w:t>No data are available on which to make a dose recommendation for children &lt; 18 years of age.</w:t>
      </w:r>
    </w:p>
    <w:p w:rsidR="00F36764" w:rsidRPr="00E019FA" w:rsidRDefault="00F36764" w:rsidP="00347421">
      <w:pPr>
        <w:pStyle w:val="Text1"/>
        <w:rPr>
          <w:b/>
          <w:sz w:val="22"/>
          <w:szCs w:val="22"/>
        </w:rPr>
      </w:pPr>
      <w:bookmarkStart w:id="3" w:name="_Toc434324380"/>
      <w:r w:rsidRPr="00E019FA">
        <w:rPr>
          <w:b/>
          <w:sz w:val="22"/>
          <w:szCs w:val="22"/>
        </w:rPr>
        <w:t>Elderly</w:t>
      </w:r>
      <w:bookmarkEnd w:id="3"/>
    </w:p>
    <w:p w:rsidR="00F36764" w:rsidRPr="00E019FA" w:rsidRDefault="00F36764" w:rsidP="00F36764">
      <w:pPr>
        <w:pStyle w:val="Text1"/>
        <w:rPr>
          <w:szCs w:val="24"/>
        </w:rPr>
      </w:pPr>
      <w:r w:rsidRPr="00E019FA">
        <w:rPr>
          <w:szCs w:val="24"/>
        </w:rPr>
        <w:t>No dose adjustment is warranted for elderly patients.</w:t>
      </w:r>
    </w:p>
    <w:p w:rsidR="00F36764" w:rsidRPr="00E019FA" w:rsidRDefault="00F36764" w:rsidP="00D169BE">
      <w:pPr>
        <w:pStyle w:val="Text1"/>
        <w:rPr>
          <w:b/>
          <w:sz w:val="22"/>
          <w:szCs w:val="22"/>
        </w:rPr>
      </w:pPr>
      <w:bookmarkStart w:id="4" w:name="_Toc434324381"/>
      <w:r w:rsidRPr="00E019FA">
        <w:rPr>
          <w:b/>
          <w:sz w:val="22"/>
          <w:szCs w:val="22"/>
        </w:rPr>
        <w:t>Renal Impairment</w:t>
      </w:r>
      <w:bookmarkEnd w:id="4"/>
    </w:p>
    <w:p w:rsidR="00F36764" w:rsidRPr="00525F08" w:rsidRDefault="00F36764" w:rsidP="00F36764">
      <w:pPr>
        <w:pStyle w:val="Text1"/>
        <w:rPr>
          <w:sz w:val="32"/>
        </w:rPr>
      </w:pPr>
      <w:r w:rsidRPr="00525F08">
        <w:t xml:space="preserve">No dose adjustment of </w:t>
      </w:r>
      <w:r>
        <w:t>VOSEVI</w:t>
      </w:r>
      <w:r w:rsidRPr="00525F08">
        <w:t xml:space="preserve"> is required for patients with mild or moderate renal impairment. The safety and efficacy of </w:t>
      </w:r>
      <w:r>
        <w:t>VOSEVI</w:t>
      </w:r>
      <w:r w:rsidRPr="00525F08">
        <w:t xml:space="preserve"> have not been established in patients with </w:t>
      </w:r>
      <w:r w:rsidRPr="00525F08">
        <w:lastRenderedPageBreak/>
        <w:t>severe renal impairment (eGFR &lt; 30 mL/min/1.73 m</w:t>
      </w:r>
      <w:r w:rsidRPr="00525F08">
        <w:rPr>
          <w:vertAlign w:val="superscript"/>
        </w:rPr>
        <w:t>2</w:t>
      </w:r>
      <w:r w:rsidRPr="00525F08">
        <w:t xml:space="preserve">) or end stage renal disease (ESRD) requiring haemodialysis </w:t>
      </w:r>
      <w:r w:rsidRPr="00D76988">
        <w:t xml:space="preserve">(see </w:t>
      </w:r>
      <w:r w:rsidR="00D76988">
        <w:t>Section 5.2</w:t>
      </w:r>
      <w:r w:rsidR="001F0D62">
        <w:t xml:space="preserve"> Pharmacokinetic p</w:t>
      </w:r>
      <w:r w:rsidR="009E2571">
        <w:t>roperties</w:t>
      </w:r>
      <w:r w:rsidRPr="00D76988">
        <w:t>)</w:t>
      </w:r>
      <w:r w:rsidRPr="00D76988">
        <w:rPr>
          <w:i/>
        </w:rPr>
        <w:t>.</w:t>
      </w:r>
      <w:r w:rsidRPr="00525F08">
        <w:t xml:space="preserve"> </w:t>
      </w:r>
    </w:p>
    <w:p w:rsidR="00F36764" w:rsidRPr="00E019FA" w:rsidRDefault="00F36764" w:rsidP="00D169BE">
      <w:pPr>
        <w:pStyle w:val="Text1"/>
        <w:rPr>
          <w:b/>
          <w:sz w:val="22"/>
          <w:szCs w:val="22"/>
        </w:rPr>
      </w:pPr>
      <w:bookmarkStart w:id="5" w:name="_Toc434324382"/>
      <w:r w:rsidRPr="00E019FA">
        <w:rPr>
          <w:b/>
          <w:sz w:val="22"/>
          <w:szCs w:val="22"/>
        </w:rPr>
        <w:t>Hepatic Impairment</w:t>
      </w:r>
      <w:bookmarkEnd w:id="5"/>
    </w:p>
    <w:p w:rsidR="00F36764" w:rsidRPr="00F36764" w:rsidRDefault="00F36764" w:rsidP="00F36764">
      <w:pPr>
        <w:pStyle w:val="Text1"/>
        <w:rPr>
          <w:sz w:val="40"/>
        </w:rPr>
      </w:pPr>
      <w:r w:rsidRPr="00525F08">
        <w:t xml:space="preserve">No dose adjustment of </w:t>
      </w:r>
      <w:r>
        <w:t>VOSEVI</w:t>
      </w:r>
      <w:r w:rsidRPr="00525F08">
        <w:t xml:space="preserve"> is required for patients with mild hepatic impairment (Child-Pugh A). </w:t>
      </w:r>
      <w:r>
        <w:t>VOSEVI</w:t>
      </w:r>
      <w:r w:rsidRPr="00525F08">
        <w:t xml:space="preserve"> is not recommended in patients with moderate or severe hepatic impairment (Child-Pugh B or C). </w:t>
      </w:r>
      <w:r w:rsidRPr="00D76988">
        <w:t>(see</w:t>
      </w:r>
      <w:r w:rsidR="00D76988">
        <w:t xml:space="preserve"> Section 5.2</w:t>
      </w:r>
      <w:r w:rsidR="009E2571">
        <w:t xml:space="preserve"> </w:t>
      </w:r>
      <w:r w:rsidR="001F0D62">
        <w:t>Pharmacokinetic p</w:t>
      </w:r>
      <w:r w:rsidR="009E2571">
        <w:t>roperties</w:t>
      </w:r>
      <w:r w:rsidRPr="00D76988">
        <w:t>).</w:t>
      </w:r>
      <w:r w:rsidRPr="00525F08">
        <w:t xml:space="preserve"> </w:t>
      </w:r>
    </w:p>
    <w:p w:rsidR="00A31B5B" w:rsidRPr="000F6BD5" w:rsidRDefault="00A31B5B" w:rsidP="000F6BD5">
      <w:pPr>
        <w:pStyle w:val="Heading2"/>
        <w:rPr>
          <w:rFonts w:ascii="Times New Roman" w:hAnsi="Times New Roman" w:cs="Times New Roman"/>
        </w:rPr>
      </w:pPr>
      <w:r w:rsidRPr="000F6BD5">
        <w:rPr>
          <w:rFonts w:ascii="Times New Roman" w:hAnsi="Times New Roman" w:cs="Times New Roman"/>
        </w:rPr>
        <w:t>Contraindications</w:t>
      </w:r>
    </w:p>
    <w:p w:rsidR="00F36764" w:rsidRPr="00F36764" w:rsidRDefault="00F36764" w:rsidP="00D169BE">
      <w:pPr>
        <w:spacing w:before="120" w:after="240" w:line="240" w:lineRule="auto"/>
        <w:rPr>
          <w:rFonts w:ascii="Times New Roman" w:hAnsi="Times New Roman" w:cs="Times New Roman"/>
          <w:sz w:val="24"/>
          <w:szCs w:val="24"/>
        </w:rPr>
      </w:pPr>
      <w:r w:rsidRPr="00F36764">
        <w:rPr>
          <w:rFonts w:ascii="Times New Roman" w:hAnsi="Times New Roman" w:cs="Times New Roman"/>
          <w:sz w:val="24"/>
          <w:szCs w:val="24"/>
        </w:rPr>
        <w:t xml:space="preserve">VOSEVI tablets are contraindicated in patients with known hypersensitivity to the active substance or to any other component of the tablets. </w:t>
      </w:r>
    </w:p>
    <w:p w:rsidR="00F36764" w:rsidRDefault="00F36764" w:rsidP="00D169BE">
      <w:pPr>
        <w:spacing w:before="120" w:after="240" w:line="240" w:lineRule="auto"/>
        <w:rPr>
          <w:rFonts w:ascii="Times New Roman" w:hAnsi="Times New Roman" w:cs="Times New Roman"/>
          <w:sz w:val="24"/>
          <w:szCs w:val="24"/>
        </w:rPr>
      </w:pPr>
      <w:r w:rsidRPr="00F36764">
        <w:rPr>
          <w:rFonts w:ascii="Times New Roman" w:hAnsi="Times New Roman" w:cs="Times New Roman"/>
          <w:sz w:val="24"/>
          <w:szCs w:val="24"/>
        </w:rPr>
        <w:t>VOSEVI is contraindicated with rifampicin</w:t>
      </w:r>
      <w:r w:rsidR="001111CD">
        <w:rPr>
          <w:rFonts w:ascii="Times New Roman" w:hAnsi="Times New Roman" w:cs="Times New Roman"/>
          <w:sz w:val="24"/>
          <w:szCs w:val="24"/>
        </w:rPr>
        <w:t xml:space="preserve"> and </w:t>
      </w:r>
      <w:r w:rsidR="001111CD" w:rsidRPr="001111CD">
        <w:rPr>
          <w:rFonts w:ascii="Times New Roman" w:hAnsi="Times New Roman" w:cs="Times New Roman"/>
          <w:sz w:val="24"/>
          <w:szCs w:val="24"/>
        </w:rPr>
        <w:t>rosuvastatin</w:t>
      </w:r>
      <w:r w:rsidRPr="00F36764">
        <w:rPr>
          <w:rFonts w:ascii="Times New Roman" w:hAnsi="Times New Roman" w:cs="Times New Roman"/>
          <w:sz w:val="24"/>
          <w:szCs w:val="24"/>
        </w:rPr>
        <w:t>.</w:t>
      </w:r>
    </w:p>
    <w:p w:rsidR="000F6BD5" w:rsidRPr="00606FCA" w:rsidRDefault="000F6BD5" w:rsidP="000F6BD5">
      <w:pPr>
        <w:pStyle w:val="Heading2"/>
        <w:spacing w:before="0" w:after="120"/>
        <w:rPr>
          <w:rFonts w:ascii="Times New Roman" w:hAnsi="Times New Roman" w:cs="Times New Roman"/>
        </w:rPr>
      </w:pPr>
      <w:r w:rsidRPr="00606FCA">
        <w:rPr>
          <w:rFonts w:ascii="Times New Roman" w:hAnsi="Times New Roman" w:cs="Times New Roman"/>
        </w:rPr>
        <w:t>Special warnings and precautions for use</w:t>
      </w:r>
    </w:p>
    <w:p w:rsidR="00F36764" w:rsidRPr="000F6BD5" w:rsidRDefault="00F36764" w:rsidP="00D169BE">
      <w:pPr>
        <w:spacing w:before="120" w:after="240" w:line="240" w:lineRule="auto"/>
        <w:rPr>
          <w:rFonts w:ascii="Times New Roman" w:hAnsi="Times New Roman" w:cs="Times New Roman"/>
          <w:b/>
        </w:rPr>
      </w:pPr>
      <w:r w:rsidRPr="000F6BD5">
        <w:rPr>
          <w:rFonts w:ascii="Times New Roman" w:hAnsi="Times New Roman" w:cs="Times New Roman"/>
          <w:b/>
        </w:rPr>
        <w:t>Symptomatic Bradycardia When Sofosbuvir Is Coadministered with Amiodarone and Another HCV Direct Acting Antiviral</w:t>
      </w:r>
    </w:p>
    <w:p w:rsidR="00F36764" w:rsidRPr="006F6A96" w:rsidRDefault="00F36764" w:rsidP="00D169BE">
      <w:pPr>
        <w:spacing w:before="120" w:after="240" w:line="240" w:lineRule="auto"/>
        <w:rPr>
          <w:rFonts w:ascii="Times New Roman" w:hAnsi="Times New Roman" w:cs="Times New Roman"/>
          <w:sz w:val="24"/>
          <w:szCs w:val="24"/>
        </w:rPr>
      </w:pPr>
      <w:r w:rsidRPr="006F6A96">
        <w:rPr>
          <w:rFonts w:ascii="Times New Roman" w:hAnsi="Times New Roman" w:cs="Times New Roman"/>
          <w:sz w:val="24"/>
          <w:szCs w:val="24"/>
        </w:rPr>
        <w:t>Postmarketing cases of symptomatic bradycardia and cases requiring pacemaker intervention have been reported when amiodarone is coadministered with sofosbuvir in combination with daclatasvir or simeprevir. A fatal cardiac arrest was reported in a patient taking amiodarone who was coadministered a sofosbuvir-containing regimen (HARVONI</w:t>
      </w:r>
      <w:r w:rsidR="006F6A96">
        <w:rPr>
          <w:rFonts w:ascii="Times New Roman" w:hAnsi="Times New Roman" w:cs="Times New Roman"/>
          <w:sz w:val="24"/>
          <w:szCs w:val="24"/>
        </w:rPr>
        <w:t xml:space="preserve"> </w:t>
      </w:r>
      <w:r w:rsidRPr="006F6A96">
        <w:rPr>
          <w:rFonts w:ascii="Times New Roman" w:hAnsi="Times New Roman" w:cs="Times New Roman"/>
          <w:sz w:val="24"/>
          <w:szCs w:val="24"/>
        </w:rPr>
        <w:t>ledipasvir/sofosbuvir)). Bradycardia has generally occurred within hours to days, but cases have been observed up to 2 weeks after initiating HCV treatment. Patients also taking beta blockers, or those with underlying cardiac comorbidities and/or advanced liver disease may be at increased risk for symptomatic bradycardia with coadministration of amiodarone. Bradycardia generally resolved after discontinuation of HCV treatment. The mechanism for this effect is unknown.</w:t>
      </w:r>
    </w:p>
    <w:p w:rsidR="00F36764" w:rsidRPr="000F6BD5" w:rsidRDefault="00F36764" w:rsidP="00D169BE">
      <w:pPr>
        <w:spacing w:before="120" w:after="240" w:line="240" w:lineRule="auto"/>
        <w:rPr>
          <w:rFonts w:ascii="Times New Roman" w:hAnsi="Times New Roman" w:cs="Times New Roman"/>
          <w:sz w:val="24"/>
          <w:szCs w:val="24"/>
        </w:rPr>
      </w:pPr>
      <w:r w:rsidRPr="000F6BD5">
        <w:rPr>
          <w:rFonts w:ascii="Times New Roman" w:hAnsi="Times New Roman" w:cs="Times New Roman"/>
          <w:sz w:val="24"/>
          <w:szCs w:val="24"/>
        </w:rPr>
        <w:t>Coadministration of amiodarone with VOSEVI is not recommended. For patients taking amiodarone who have no other alternative, viable treatment options and who will be coadministered VOSEVI:</w:t>
      </w:r>
    </w:p>
    <w:p w:rsidR="00F36764" w:rsidRPr="006F6A96" w:rsidRDefault="00F36764" w:rsidP="00D169BE">
      <w:pPr>
        <w:spacing w:before="120" w:after="240" w:line="240" w:lineRule="auto"/>
        <w:rPr>
          <w:rFonts w:ascii="Times New Roman" w:hAnsi="Times New Roman" w:cs="Times New Roman"/>
          <w:sz w:val="24"/>
          <w:szCs w:val="24"/>
        </w:rPr>
      </w:pPr>
      <w:r w:rsidRPr="006F6A96">
        <w:rPr>
          <w:rFonts w:ascii="Times New Roman" w:hAnsi="Times New Roman" w:cs="Times New Roman"/>
          <w:sz w:val="24"/>
          <w:szCs w:val="24"/>
        </w:rPr>
        <w:t>•</w:t>
      </w:r>
      <w:r w:rsidRPr="006F6A96">
        <w:rPr>
          <w:rFonts w:ascii="Times New Roman" w:hAnsi="Times New Roman" w:cs="Times New Roman"/>
          <w:sz w:val="24"/>
          <w:szCs w:val="24"/>
        </w:rPr>
        <w:tab/>
        <w:t xml:space="preserve">Counsel patients about the risk of symptomatic bradycardia </w:t>
      </w:r>
    </w:p>
    <w:p w:rsidR="00F36764" w:rsidRPr="006F6A96" w:rsidRDefault="00F36764" w:rsidP="00D169BE">
      <w:pPr>
        <w:spacing w:before="120" w:after="240" w:line="240" w:lineRule="auto"/>
        <w:ind w:left="720" w:hanging="720"/>
        <w:rPr>
          <w:rFonts w:ascii="Times New Roman" w:hAnsi="Times New Roman" w:cs="Times New Roman"/>
          <w:sz w:val="24"/>
          <w:szCs w:val="24"/>
        </w:rPr>
      </w:pPr>
      <w:r w:rsidRPr="006F6A96">
        <w:rPr>
          <w:rFonts w:ascii="Times New Roman" w:hAnsi="Times New Roman" w:cs="Times New Roman"/>
          <w:sz w:val="24"/>
          <w:szCs w:val="24"/>
        </w:rPr>
        <w:t>•</w:t>
      </w:r>
      <w:r w:rsidRPr="006F6A96">
        <w:rPr>
          <w:rFonts w:ascii="Times New Roman" w:hAnsi="Times New Roman" w:cs="Times New Roman"/>
          <w:sz w:val="24"/>
          <w:szCs w:val="24"/>
        </w:rPr>
        <w:tab/>
        <w:t xml:space="preserve">Cardiac monitoring in an in-patient setting for the first 48 hours of coadministration is recommended, after which outpatient or self-monitoring of the heart rate should occur on a daily basis through at least the first 2 weeks of treatment. </w:t>
      </w:r>
    </w:p>
    <w:p w:rsidR="00F36764" w:rsidRPr="006F6A96" w:rsidRDefault="00F36764" w:rsidP="00D169BE">
      <w:pPr>
        <w:spacing w:before="120" w:after="240" w:line="240" w:lineRule="auto"/>
        <w:rPr>
          <w:rFonts w:ascii="Times New Roman" w:hAnsi="Times New Roman" w:cs="Times New Roman"/>
          <w:sz w:val="24"/>
          <w:szCs w:val="24"/>
        </w:rPr>
      </w:pPr>
      <w:r w:rsidRPr="006F6A96">
        <w:rPr>
          <w:rFonts w:ascii="Times New Roman" w:hAnsi="Times New Roman" w:cs="Times New Roman"/>
          <w:sz w:val="24"/>
          <w:szCs w:val="24"/>
        </w:rPr>
        <w:t xml:space="preserve">Patients who are taking VOSEVI who need to start amiodarone therapy due to no other alternative, viable treatment options should undergo similar cardiac monitoring as outlined above. </w:t>
      </w:r>
    </w:p>
    <w:p w:rsidR="00F36764" w:rsidRPr="006F6A96" w:rsidRDefault="00F36764" w:rsidP="00D169BE">
      <w:pPr>
        <w:spacing w:before="120" w:after="240" w:line="240" w:lineRule="auto"/>
        <w:rPr>
          <w:rFonts w:ascii="Times New Roman" w:hAnsi="Times New Roman" w:cs="Times New Roman"/>
          <w:sz w:val="24"/>
          <w:szCs w:val="24"/>
        </w:rPr>
      </w:pPr>
      <w:r w:rsidRPr="006F6A96">
        <w:rPr>
          <w:rFonts w:ascii="Times New Roman" w:hAnsi="Times New Roman" w:cs="Times New Roman"/>
          <w:sz w:val="24"/>
          <w:szCs w:val="24"/>
        </w:rPr>
        <w:t xml:space="preserve">Due to amiodarone’s long half-life, patients discontinuing amiodarone just prior to starting VOSEVI should also undergo similar cardiac monitoring as outlined above. </w:t>
      </w:r>
    </w:p>
    <w:p w:rsidR="00F36764" w:rsidRDefault="00F36764" w:rsidP="00D169BE">
      <w:pPr>
        <w:spacing w:before="120" w:after="240" w:line="240" w:lineRule="auto"/>
      </w:pPr>
      <w:r w:rsidRPr="006F6A96">
        <w:rPr>
          <w:rFonts w:ascii="Times New Roman" w:hAnsi="Times New Roman" w:cs="Times New Roman"/>
          <w:sz w:val="24"/>
          <w:szCs w:val="24"/>
        </w:rPr>
        <w:t xml:space="preserve">Patients who develop signs or symptoms of bradycardia should seek medical evaluation immediately. Symptoms may include near-fainting or fainting, dizziness or lightheadedness, </w:t>
      </w:r>
      <w:r w:rsidRPr="006F6A96">
        <w:rPr>
          <w:rFonts w:ascii="Times New Roman" w:hAnsi="Times New Roman" w:cs="Times New Roman"/>
          <w:sz w:val="24"/>
          <w:szCs w:val="24"/>
        </w:rPr>
        <w:lastRenderedPageBreak/>
        <w:t>malaise, weakness, excessive tiredness, shortness of breath, chest pains, confusion, or memory problems</w:t>
      </w:r>
      <w:r>
        <w:t>.</w:t>
      </w:r>
    </w:p>
    <w:p w:rsidR="00FC2A16" w:rsidRDefault="00FC2A16" w:rsidP="00D169BE">
      <w:pPr>
        <w:spacing w:before="120" w:after="240" w:line="240" w:lineRule="auto"/>
      </w:pPr>
    </w:p>
    <w:p w:rsidR="00F36764" w:rsidRPr="00502F37" w:rsidRDefault="00F36764" w:rsidP="00D169BE">
      <w:pPr>
        <w:spacing w:before="120" w:after="240" w:line="240" w:lineRule="auto"/>
        <w:rPr>
          <w:rFonts w:ascii="Times New Roman" w:hAnsi="Times New Roman" w:cs="Times New Roman"/>
          <w:b/>
        </w:rPr>
      </w:pPr>
      <w:r w:rsidRPr="00502F37">
        <w:rPr>
          <w:rFonts w:ascii="Times New Roman" w:hAnsi="Times New Roman" w:cs="Times New Roman"/>
          <w:b/>
        </w:rPr>
        <w:t>Hepatitis B Virus Reactivation</w:t>
      </w:r>
    </w:p>
    <w:p w:rsidR="00F36764" w:rsidRPr="006F6A96" w:rsidRDefault="00F36764" w:rsidP="00D169BE">
      <w:pPr>
        <w:spacing w:before="120" w:after="240" w:line="240" w:lineRule="auto"/>
        <w:rPr>
          <w:rFonts w:ascii="Times New Roman" w:hAnsi="Times New Roman" w:cs="Times New Roman"/>
          <w:sz w:val="24"/>
          <w:szCs w:val="24"/>
        </w:rPr>
      </w:pPr>
      <w:r w:rsidRPr="006F6A96">
        <w:rPr>
          <w:rFonts w:ascii="Times New Roman" w:hAnsi="Times New Roman" w:cs="Times New Roman"/>
          <w:sz w:val="24"/>
          <w:szCs w:val="24"/>
        </w:rPr>
        <w:t xml:space="preserve">Cases of HBV reactivation, including fatal cases, have been reported during and after treatment of HCV with direct-acting antiviral agents in HCV/HBV co-infected patients. Screening for current or past HBV infection, including testing for HBV surface antigen (HBsAg) and HBV core antibody (anti-HBc), should be performed in all patients before initiation of treatment with VOSEVI.   </w:t>
      </w:r>
    </w:p>
    <w:p w:rsidR="00F36764" w:rsidRPr="006F6A96" w:rsidRDefault="00F36764" w:rsidP="00D169BE">
      <w:pPr>
        <w:spacing w:before="120" w:after="240" w:line="240" w:lineRule="auto"/>
        <w:rPr>
          <w:rFonts w:ascii="Times New Roman" w:hAnsi="Times New Roman" w:cs="Times New Roman"/>
          <w:sz w:val="24"/>
          <w:szCs w:val="24"/>
        </w:rPr>
      </w:pPr>
      <w:r w:rsidRPr="006F6A96">
        <w:rPr>
          <w:rFonts w:ascii="Times New Roman" w:hAnsi="Times New Roman" w:cs="Times New Roman"/>
          <w:sz w:val="24"/>
          <w:szCs w:val="24"/>
        </w:rPr>
        <w:t>Patients with serologic evidence of current or past HBV infection should be monitored and treated according to current clinical practice guidelines to manage potential HBV reactivation. Consider initiation of HBV antiviral therapy, if indicated.</w:t>
      </w:r>
    </w:p>
    <w:p w:rsidR="00F36764" w:rsidRPr="006F6A96" w:rsidRDefault="00F36764" w:rsidP="00D169BE">
      <w:pPr>
        <w:spacing w:before="120" w:after="240" w:line="240" w:lineRule="auto"/>
        <w:rPr>
          <w:rFonts w:ascii="Times New Roman" w:hAnsi="Times New Roman" w:cs="Times New Roman"/>
          <w:sz w:val="24"/>
          <w:szCs w:val="24"/>
        </w:rPr>
      </w:pPr>
      <w:r w:rsidRPr="006F6A96">
        <w:rPr>
          <w:rFonts w:ascii="Times New Roman" w:hAnsi="Times New Roman" w:cs="Times New Roman"/>
          <w:sz w:val="24"/>
          <w:szCs w:val="24"/>
        </w:rPr>
        <w:t>There are no data on the use of VOSEVI in patients with HCV/ HBV co-infection.</w:t>
      </w:r>
    </w:p>
    <w:p w:rsidR="00F36764" w:rsidRPr="00502F37" w:rsidRDefault="00F36764" w:rsidP="00D169BE">
      <w:pPr>
        <w:spacing w:before="120" w:after="240" w:line="240" w:lineRule="auto"/>
        <w:rPr>
          <w:rFonts w:ascii="Times New Roman" w:hAnsi="Times New Roman" w:cs="Times New Roman"/>
          <w:b/>
        </w:rPr>
      </w:pPr>
      <w:r w:rsidRPr="00502F37">
        <w:rPr>
          <w:rFonts w:ascii="Times New Roman" w:hAnsi="Times New Roman" w:cs="Times New Roman"/>
          <w:b/>
        </w:rPr>
        <w:t>Use with Potent Inducers of P-gp and/or Moderate to Potent Inducers of CYP</w:t>
      </w:r>
    </w:p>
    <w:p w:rsidR="00F36764" w:rsidRPr="006F6A96" w:rsidRDefault="00F36764" w:rsidP="00D169BE">
      <w:pPr>
        <w:spacing w:before="120" w:after="240" w:line="240" w:lineRule="auto"/>
        <w:rPr>
          <w:rFonts w:ascii="Times New Roman" w:hAnsi="Times New Roman" w:cs="Times New Roman"/>
          <w:sz w:val="24"/>
          <w:szCs w:val="24"/>
        </w:rPr>
      </w:pPr>
      <w:r w:rsidRPr="006F6A96">
        <w:rPr>
          <w:rFonts w:ascii="Times New Roman" w:hAnsi="Times New Roman" w:cs="Times New Roman"/>
          <w:sz w:val="24"/>
          <w:szCs w:val="24"/>
        </w:rPr>
        <w:t xml:space="preserve">Drugs that are potent inducers of P-gp and/or moderate to potent inducers of CYP2B6, CYP2C8, or CYP3A4 (e.g., St. John’s wort, carbamazepine) may significantly decrease plasma concentrations of sofosbuvir, velpatasvir, and/or voxilaprevir leading to reduced therapeutic effect of VOSEVI. The use of these agents with VOSEVI is not recommended (see </w:t>
      </w:r>
      <w:r w:rsidR="00D76988">
        <w:rPr>
          <w:rFonts w:ascii="Times New Roman" w:hAnsi="Times New Roman" w:cs="Times New Roman"/>
          <w:sz w:val="24"/>
          <w:szCs w:val="24"/>
        </w:rPr>
        <w:t>Section 4.5</w:t>
      </w:r>
      <w:r w:rsidR="009E2571">
        <w:rPr>
          <w:rFonts w:ascii="Times New Roman" w:hAnsi="Times New Roman" w:cs="Times New Roman"/>
          <w:sz w:val="24"/>
          <w:szCs w:val="24"/>
        </w:rPr>
        <w:t xml:space="preserve"> Interaction</w:t>
      </w:r>
      <w:r w:rsidR="001F0D62">
        <w:rPr>
          <w:rFonts w:ascii="Times New Roman" w:hAnsi="Times New Roman" w:cs="Times New Roman"/>
          <w:sz w:val="24"/>
          <w:szCs w:val="24"/>
        </w:rPr>
        <w:t>s with other m</w:t>
      </w:r>
      <w:r w:rsidR="009E2571">
        <w:rPr>
          <w:rFonts w:ascii="Times New Roman" w:hAnsi="Times New Roman" w:cs="Times New Roman"/>
          <w:sz w:val="24"/>
          <w:szCs w:val="24"/>
        </w:rPr>
        <w:t>edicines and ot</w:t>
      </w:r>
      <w:r w:rsidR="001F0D62">
        <w:rPr>
          <w:rFonts w:ascii="Times New Roman" w:hAnsi="Times New Roman" w:cs="Times New Roman"/>
          <w:sz w:val="24"/>
          <w:szCs w:val="24"/>
        </w:rPr>
        <w:t>her forms of interactions)</w:t>
      </w:r>
      <w:r w:rsidRPr="006F6A96">
        <w:rPr>
          <w:rFonts w:ascii="Times New Roman" w:hAnsi="Times New Roman" w:cs="Times New Roman"/>
          <w:sz w:val="24"/>
          <w:szCs w:val="24"/>
        </w:rPr>
        <w:t>.</w:t>
      </w:r>
    </w:p>
    <w:p w:rsidR="001A3992" w:rsidRPr="00502F37" w:rsidRDefault="001A3992" w:rsidP="00D169BE">
      <w:pPr>
        <w:pStyle w:val="Text1"/>
        <w:rPr>
          <w:b/>
          <w:sz w:val="22"/>
          <w:szCs w:val="22"/>
        </w:rPr>
      </w:pPr>
      <w:r w:rsidRPr="00502F37">
        <w:rPr>
          <w:b/>
          <w:sz w:val="22"/>
          <w:szCs w:val="22"/>
        </w:rPr>
        <w:t>Use in the elderly</w:t>
      </w:r>
    </w:p>
    <w:p w:rsidR="00F36764" w:rsidRPr="00EF5EB5" w:rsidRDefault="00F36764" w:rsidP="00D169BE">
      <w:pPr>
        <w:spacing w:before="120" w:after="240" w:line="240" w:lineRule="auto"/>
        <w:rPr>
          <w:rFonts w:ascii="Times New Roman" w:hAnsi="Times New Roman" w:cs="Times New Roman"/>
          <w:sz w:val="24"/>
          <w:szCs w:val="24"/>
        </w:rPr>
      </w:pPr>
      <w:r w:rsidRPr="00EF5EB5">
        <w:rPr>
          <w:rFonts w:ascii="Times New Roman" w:hAnsi="Times New Roman" w:cs="Times New Roman"/>
          <w:sz w:val="24"/>
          <w:szCs w:val="24"/>
        </w:rPr>
        <w:t xml:space="preserve">Clinical studies of VOSEVI included 189 patients aged 65 and over (17% of total number of patients in the Phase 2 and 3 clinical trials). The response rates observed for patients ≥ 65 years of age were similar to that of patients &lt; 65 years of age, across treatment groups. </w:t>
      </w:r>
    </w:p>
    <w:p w:rsidR="001A3992" w:rsidRPr="00502F37" w:rsidRDefault="001A3992" w:rsidP="00D169BE">
      <w:pPr>
        <w:pStyle w:val="Text1"/>
        <w:rPr>
          <w:b/>
          <w:sz w:val="22"/>
          <w:szCs w:val="22"/>
        </w:rPr>
      </w:pPr>
      <w:r w:rsidRPr="00502F37">
        <w:rPr>
          <w:b/>
          <w:sz w:val="22"/>
          <w:szCs w:val="22"/>
        </w:rPr>
        <w:t>Paediatric use</w:t>
      </w:r>
    </w:p>
    <w:p w:rsidR="00F36764" w:rsidRPr="00F36764" w:rsidRDefault="00F36764" w:rsidP="00D169BE">
      <w:pPr>
        <w:pStyle w:val="Text1"/>
      </w:pPr>
      <w:r w:rsidRPr="00525F08">
        <w:t xml:space="preserve">Safety and effectiveness of </w:t>
      </w:r>
      <w:r>
        <w:t>VOSEVI</w:t>
      </w:r>
      <w:r w:rsidRPr="00525F08">
        <w:t xml:space="preserve"> in children less than 18 years of age have not been established.</w:t>
      </w:r>
    </w:p>
    <w:p w:rsidR="001A3992" w:rsidRPr="00502F37" w:rsidRDefault="001A3992" w:rsidP="00D169BE">
      <w:pPr>
        <w:pStyle w:val="Text1"/>
        <w:rPr>
          <w:b/>
          <w:sz w:val="22"/>
          <w:szCs w:val="22"/>
        </w:rPr>
      </w:pPr>
      <w:r w:rsidRPr="00502F37">
        <w:rPr>
          <w:b/>
          <w:sz w:val="22"/>
          <w:szCs w:val="22"/>
        </w:rPr>
        <w:t>Effects on laboratory tests</w:t>
      </w:r>
    </w:p>
    <w:p w:rsidR="003314A4" w:rsidRDefault="00D169BE" w:rsidP="00D169BE">
      <w:pPr>
        <w:spacing w:before="120" w:after="240" w:line="240" w:lineRule="auto"/>
        <w:rPr>
          <w:rFonts w:ascii="Times New Roman" w:hAnsi="Times New Roman" w:cs="Times New Roman"/>
          <w:sz w:val="24"/>
          <w:szCs w:val="24"/>
        </w:rPr>
      </w:pPr>
      <w:r w:rsidRPr="00970BEA">
        <w:rPr>
          <w:rFonts w:ascii="Times New Roman" w:hAnsi="Times New Roman" w:cs="Times New Roman"/>
          <w:sz w:val="24"/>
          <w:szCs w:val="24"/>
        </w:rPr>
        <w:t>No data available</w:t>
      </w:r>
      <w:r w:rsidR="0048032B" w:rsidRPr="00970BEA">
        <w:rPr>
          <w:rFonts w:ascii="Times New Roman" w:hAnsi="Times New Roman" w:cs="Times New Roman"/>
          <w:sz w:val="24"/>
          <w:szCs w:val="24"/>
        </w:rPr>
        <w:t>.</w:t>
      </w:r>
      <w:r>
        <w:rPr>
          <w:rFonts w:ascii="Times New Roman" w:hAnsi="Times New Roman" w:cs="Times New Roman"/>
          <w:sz w:val="24"/>
          <w:szCs w:val="24"/>
        </w:rPr>
        <w:t xml:space="preserve"> </w:t>
      </w:r>
    </w:p>
    <w:p w:rsidR="001A3992" w:rsidRPr="00502F37" w:rsidRDefault="00502F37" w:rsidP="00502F37">
      <w:pPr>
        <w:pStyle w:val="Heading2"/>
        <w:keepNext/>
        <w:keepLines/>
        <w:spacing w:before="0" w:after="120"/>
        <w:rPr>
          <w:rFonts w:ascii="Times New Roman" w:hAnsi="Times New Roman" w:cs="Times New Roman"/>
        </w:rPr>
      </w:pPr>
      <w:r w:rsidRPr="00606FCA">
        <w:rPr>
          <w:rFonts w:ascii="Times New Roman" w:hAnsi="Times New Roman" w:cs="Times New Roman"/>
        </w:rPr>
        <w:t>Interactions with other medicines and other forms of interactions</w:t>
      </w:r>
    </w:p>
    <w:p w:rsidR="002D2985" w:rsidRPr="00D169BE" w:rsidRDefault="002D2985" w:rsidP="00D169BE">
      <w:pPr>
        <w:spacing w:before="120" w:after="240" w:line="240" w:lineRule="auto"/>
        <w:rPr>
          <w:rFonts w:ascii="Times New Roman" w:hAnsi="Times New Roman" w:cs="Times New Roman"/>
          <w:noProof/>
          <w:sz w:val="24"/>
          <w:szCs w:val="24"/>
        </w:rPr>
      </w:pPr>
      <w:r w:rsidRPr="00D169BE">
        <w:rPr>
          <w:rFonts w:ascii="Times New Roman" w:hAnsi="Times New Roman" w:cs="Times New Roman"/>
          <w:noProof/>
          <w:sz w:val="24"/>
          <w:szCs w:val="24"/>
        </w:rPr>
        <w:t>As VOSEVI contains sofosbuvir, velpatasvir and voxilaprevir any interactions that have been identified with these agents individually may occur with VOSEVI.</w:t>
      </w:r>
    </w:p>
    <w:p w:rsidR="002D2985" w:rsidRPr="00502F37" w:rsidRDefault="002D2985" w:rsidP="00D169BE">
      <w:pPr>
        <w:pStyle w:val="Heading3"/>
        <w:spacing w:before="120" w:after="240" w:line="240" w:lineRule="auto"/>
        <w:ind w:left="0"/>
        <w:rPr>
          <w:rFonts w:ascii="Times New Roman" w:hAnsi="Times New Roman" w:cs="Times New Roman"/>
        </w:rPr>
      </w:pPr>
      <w:r w:rsidRPr="00502F37">
        <w:rPr>
          <w:rFonts w:ascii="Times New Roman" w:hAnsi="Times New Roman" w:cs="Times New Roman"/>
        </w:rPr>
        <w:t xml:space="preserve">Potential for VOSEVI to Affect Other Drugs </w:t>
      </w:r>
    </w:p>
    <w:p w:rsidR="002D2985" w:rsidRPr="00D169BE" w:rsidRDefault="002D2985" w:rsidP="00D169BE">
      <w:pPr>
        <w:spacing w:before="120" w:after="240" w:line="240" w:lineRule="auto"/>
        <w:rPr>
          <w:rFonts w:ascii="Times New Roman" w:hAnsi="Times New Roman" w:cs="Times New Roman"/>
          <w:sz w:val="24"/>
          <w:szCs w:val="24"/>
        </w:rPr>
      </w:pPr>
      <w:r w:rsidRPr="00D169BE">
        <w:rPr>
          <w:rFonts w:ascii="Times New Roman" w:hAnsi="Times New Roman" w:cs="Times New Roman"/>
          <w:sz w:val="24"/>
          <w:szCs w:val="24"/>
        </w:rPr>
        <w:t xml:space="preserve">Velpatasvir and voxilaprevir are inhibitors of drug transporters P-gp, breast cancer resistance protein (BCRP), OATP1B1, and OATP1B3. Velpatasvir is also an inhibitor of OATP2B1. Coadministration of VOSEVI with drugs that are substrates of these transporters may alter </w:t>
      </w:r>
      <w:r w:rsidRPr="00D169BE">
        <w:rPr>
          <w:rFonts w:ascii="Times New Roman" w:hAnsi="Times New Roman" w:cs="Times New Roman"/>
          <w:sz w:val="24"/>
          <w:szCs w:val="24"/>
        </w:rPr>
        <w:lastRenderedPageBreak/>
        <w:t xml:space="preserve">the exposure of such drugs.  Coadministration of VOSEVI with BCRP substrates is not recommended.  </w:t>
      </w:r>
    </w:p>
    <w:p w:rsidR="002D2985" w:rsidRPr="00502F37" w:rsidRDefault="002D2985" w:rsidP="00D169BE">
      <w:pPr>
        <w:pStyle w:val="Heading3"/>
        <w:spacing w:before="120" w:after="240" w:line="240" w:lineRule="auto"/>
        <w:ind w:left="0"/>
        <w:rPr>
          <w:rFonts w:ascii="Times New Roman" w:hAnsi="Times New Roman" w:cs="Times New Roman"/>
        </w:rPr>
      </w:pPr>
      <w:r w:rsidRPr="00502F37">
        <w:rPr>
          <w:rFonts w:ascii="Times New Roman" w:hAnsi="Times New Roman" w:cs="Times New Roman"/>
        </w:rPr>
        <w:t>Potential for Other Drugs to Affect VOSEVI</w:t>
      </w:r>
    </w:p>
    <w:p w:rsidR="002D2985" w:rsidRPr="00D169BE" w:rsidRDefault="002D2985" w:rsidP="00D169BE">
      <w:pPr>
        <w:spacing w:before="120" w:after="240" w:line="240" w:lineRule="auto"/>
        <w:rPr>
          <w:rFonts w:ascii="Times New Roman" w:hAnsi="Times New Roman" w:cs="Times New Roman"/>
          <w:sz w:val="24"/>
          <w:szCs w:val="24"/>
        </w:rPr>
      </w:pPr>
      <w:r w:rsidRPr="00D169BE">
        <w:rPr>
          <w:rFonts w:ascii="Times New Roman" w:hAnsi="Times New Roman" w:cs="Times New Roman"/>
          <w:sz w:val="24"/>
          <w:szCs w:val="24"/>
        </w:rPr>
        <w:t xml:space="preserve">Sofosbuvir, velpatasvir, and voxilaprevir are substrates of drug transporters P-gp and BCRP while GS-331007 is not. Voxilaprevir is also a substrate of OATP1B1 and OATP1B3. </w:t>
      </w:r>
      <w:r w:rsidRPr="00D169BE">
        <w:rPr>
          <w:rFonts w:ascii="Times New Roman" w:hAnsi="Times New Roman" w:cs="Times New Roman"/>
          <w:i/>
          <w:sz w:val="24"/>
          <w:szCs w:val="24"/>
        </w:rPr>
        <w:t>In vitro</w:t>
      </w:r>
      <w:r w:rsidRPr="00D169BE">
        <w:rPr>
          <w:rFonts w:ascii="Times New Roman" w:hAnsi="Times New Roman" w:cs="Times New Roman"/>
          <w:sz w:val="24"/>
          <w:szCs w:val="24"/>
        </w:rPr>
        <w:t xml:space="preserve">, slow metabolic turnover of velpatasvir primarily by CYP2B6, CYP2C8, and CYP3A4 and of voxilaprevir primarily by CYP3A4 was observed. </w:t>
      </w:r>
    </w:p>
    <w:p w:rsidR="002D2985" w:rsidRPr="00525F08" w:rsidRDefault="002D2985" w:rsidP="00D169BE">
      <w:pPr>
        <w:pStyle w:val="Heading3"/>
        <w:spacing w:before="120" w:after="240" w:line="240" w:lineRule="auto"/>
        <w:ind w:left="0"/>
        <w:rPr>
          <w:b w:val="0"/>
          <w:sz w:val="23"/>
          <w:szCs w:val="23"/>
        </w:rPr>
      </w:pPr>
      <w:r w:rsidRPr="00EF5EB5">
        <w:rPr>
          <w:rFonts w:ascii="Times New Roman" w:hAnsi="Times New Roman" w:cs="Times New Roman"/>
          <w:b w:val="0"/>
          <w:sz w:val="24"/>
          <w:szCs w:val="24"/>
        </w:rPr>
        <w:t xml:space="preserve">Drugs that are potent inducers of P-gp and/or moderate to potent inducers of CYP2B6, CYP2C8, or CYP3A4 (e.g., St. John’s wort, carbamazepine) may decrease plasma concentrations of sofosbuvir, velpatasvir, or voxilaprevir leading to reduced therapeutic effect of VOSEVI. The use of these agents with VOSEVI is not recommended </w:t>
      </w:r>
      <w:r w:rsidR="000F556A">
        <w:rPr>
          <w:rFonts w:ascii="Times New Roman" w:hAnsi="Times New Roman" w:cs="Times New Roman"/>
          <w:b w:val="0"/>
          <w:bCs w:val="0"/>
          <w:i/>
          <w:iCs/>
          <w:sz w:val="24"/>
          <w:szCs w:val="24"/>
        </w:rPr>
        <w:t>(</w:t>
      </w:r>
      <w:r w:rsidR="000F556A">
        <w:rPr>
          <w:rFonts w:ascii="Times New Roman" w:hAnsi="Times New Roman" w:cs="Times New Roman"/>
          <w:b w:val="0"/>
          <w:bCs w:val="0"/>
          <w:iCs/>
          <w:sz w:val="24"/>
          <w:szCs w:val="24"/>
        </w:rPr>
        <w:t>See Section 4.4</w:t>
      </w:r>
      <w:r w:rsidR="001F0D62">
        <w:rPr>
          <w:rFonts w:ascii="Times New Roman" w:hAnsi="Times New Roman" w:cs="Times New Roman"/>
          <w:b w:val="0"/>
          <w:bCs w:val="0"/>
          <w:iCs/>
          <w:sz w:val="24"/>
          <w:szCs w:val="24"/>
        </w:rPr>
        <w:t xml:space="preserve"> Special warnings and precautions for use</w:t>
      </w:r>
      <w:r w:rsidRPr="00EF5EB5">
        <w:rPr>
          <w:rFonts w:ascii="Times New Roman" w:hAnsi="Times New Roman" w:cs="Times New Roman"/>
          <w:b w:val="0"/>
          <w:bCs w:val="0"/>
          <w:i/>
          <w:iCs/>
          <w:sz w:val="24"/>
          <w:szCs w:val="24"/>
        </w:rPr>
        <w:t xml:space="preserve">) </w:t>
      </w:r>
      <w:r w:rsidRPr="00EF5EB5">
        <w:rPr>
          <w:rFonts w:ascii="Times New Roman" w:hAnsi="Times New Roman" w:cs="Times New Roman"/>
          <w:b w:val="0"/>
          <w:sz w:val="24"/>
          <w:szCs w:val="24"/>
        </w:rPr>
        <w:t>Coadministration with drugs that inhibit P-gp and/or BCRP may increase sofosbuvir, velpatasvir, or voxilaprevir plasma concentrations without increasing GS-331007 plasma concentration. Coadministration with drugs that inhibit OATP may increase voxilaprevir plasma concentrations. Drugs that inhibit CYP2B6, CYP2C8, or CYP3A4 may increase plasma concentration of velpatasvir or voxilaprevir. VOSEVI may be coadministered with P-gp, BCRP, and CYP inhibitors. The use of potent inhibitors of OATP with VOSEVI is not recommended</w:t>
      </w:r>
      <w:r w:rsidRPr="00B90FDF">
        <w:rPr>
          <w:b w:val="0"/>
          <w:szCs w:val="24"/>
        </w:rPr>
        <w:t>.</w:t>
      </w:r>
      <w:r w:rsidRPr="00525F08">
        <w:rPr>
          <w:b w:val="0"/>
          <w:sz w:val="23"/>
          <w:szCs w:val="23"/>
        </w:rPr>
        <w:t xml:space="preserve"> </w:t>
      </w:r>
    </w:p>
    <w:p w:rsidR="002D2985" w:rsidRPr="00502F37" w:rsidRDefault="002D2985" w:rsidP="00D169BE">
      <w:pPr>
        <w:pStyle w:val="Heading3"/>
        <w:spacing w:before="120" w:after="240" w:line="240" w:lineRule="auto"/>
        <w:ind w:left="0"/>
        <w:rPr>
          <w:rFonts w:ascii="Times New Roman" w:hAnsi="Times New Roman" w:cs="Times New Roman"/>
        </w:rPr>
      </w:pPr>
      <w:r w:rsidRPr="00502F37">
        <w:rPr>
          <w:rFonts w:ascii="Times New Roman" w:hAnsi="Times New Roman" w:cs="Times New Roman"/>
        </w:rPr>
        <w:t xml:space="preserve">Established and Other Potentially Significant Drug Interactions </w:t>
      </w:r>
    </w:p>
    <w:p w:rsidR="002D2985" w:rsidRPr="00EF5EB5" w:rsidRDefault="002D2985" w:rsidP="00D169BE">
      <w:pPr>
        <w:spacing w:before="120" w:after="240" w:line="240" w:lineRule="auto"/>
        <w:rPr>
          <w:rFonts w:ascii="Times New Roman" w:hAnsi="Times New Roman" w:cs="Times New Roman"/>
          <w:noProof/>
          <w:sz w:val="24"/>
          <w:szCs w:val="24"/>
        </w:rPr>
      </w:pPr>
      <w:r w:rsidRPr="00EF5EB5">
        <w:rPr>
          <w:rFonts w:ascii="Times New Roman" w:hAnsi="Times New Roman" w:cs="Times New Roman"/>
          <w:noProof/>
          <w:sz w:val="24"/>
          <w:szCs w:val="24"/>
        </w:rPr>
        <w:t xml:space="preserve">Table 2 </w:t>
      </w:r>
      <w:r w:rsidRPr="00EF5EB5">
        <w:rPr>
          <w:rFonts w:ascii="Times New Roman" w:hAnsi="Times New Roman" w:cs="Times New Roman"/>
          <w:sz w:val="24"/>
          <w:szCs w:val="24"/>
        </w:rPr>
        <w:t xml:space="preserve">provides a listing of established or potentially clinically significant drug interactions. The drug interactions described are based on studies conducted with either VOSEVI, the components of VOSEVI (sofosbuvir, velpatasvir, and/or voxilaprevir), or are predicted drug interactions that may occur with VOSEVI. </w:t>
      </w:r>
      <w:r w:rsidRPr="00EF5EB5">
        <w:rPr>
          <w:rFonts w:ascii="Times New Roman" w:hAnsi="Times New Roman" w:cs="Times New Roman"/>
          <w:noProof/>
          <w:sz w:val="24"/>
          <w:szCs w:val="24"/>
        </w:rPr>
        <w:t>This table is not all inclusive</w:t>
      </w:r>
      <w:r w:rsidR="00D169BE">
        <w:rPr>
          <w:rFonts w:ascii="Times New Roman" w:hAnsi="Times New Roman" w:cs="Times New Roman"/>
          <w:noProof/>
          <w:sz w:val="24"/>
          <w:szCs w:val="24"/>
        </w:rPr>
        <w:t>.</w:t>
      </w:r>
    </w:p>
    <w:p w:rsidR="002D2985" w:rsidRPr="00502F37" w:rsidRDefault="002D2985" w:rsidP="002D2985">
      <w:pPr>
        <w:pStyle w:val="Caption"/>
        <w:rPr>
          <w:noProof/>
          <w:sz w:val="22"/>
          <w:szCs w:val="22"/>
        </w:rPr>
      </w:pPr>
      <w:r w:rsidRPr="00502F37">
        <w:rPr>
          <w:sz w:val="22"/>
          <w:szCs w:val="22"/>
        </w:rPr>
        <w:t>Table 2</w:t>
      </w:r>
      <w:r w:rsidRPr="00502F37">
        <w:rPr>
          <w:sz w:val="22"/>
          <w:szCs w:val="22"/>
        </w:rPr>
        <w:tab/>
        <w:t>Established and Other Potentially Significant</w:t>
      </w:r>
      <w:r w:rsidRPr="00502F37">
        <w:rPr>
          <w:sz w:val="22"/>
          <w:szCs w:val="22"/>
          <w:vertAlign w:val="superscript"/>
        </w:rPr>
        <w:t>a</w:t>
      </w:r>
      <w:r w:rsidRPr="00502F37">
        <w:rPr>
          <w:sz w:val="22"/>
          <w:szCs w:val="22"/>
        </w:rPr>
        <w:t xml:space="preserve"> Drug Interactions</w:t>
      </w:r>
    </w:p>
    <w:tbl>
      <w:tblPr>
        <w:tblW w:w="5039" w:type="pct"/>
        <w:tblInd w:w="-72"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492"/>
        <w:gridCol w:w="1921"/>
        <w:gridCol w:w="4901"/>
      </w:tblGrid>
      <w:tr w:rsidR="002D2985" w:rsidRPr="00525F08" w:rsidTr="005E1D85">
        <w:trPr>
          <w:trHeight w:val="20"/>
          <w:tblHeader/>
        </w:trPr>
        <w:tc>
          <w:tcPr>
            <w:tcW w:w="1338" w:type="pct"/>
            <w:tcBorders>
              <w:top w:val="single" w:sz="12" w:space="0" w:color="auto"/>
              <w:bottom w:val="single" w:sz="12" w:space="0" w:color="auto"/>
            </w:tcBorders>
          </w:tcPr>
          <w:p w:rsidR="002D2985" w:rsidRPr="00502F37" w:rsidRDefault="002D2985" w:rsidP="005C0C71">
            <w:pPr>
              <w:spacing w:before="40" w:after="120"/>
              <w:rPr>
                <w:rFonts w:ascii="Times New Roman" w:hAnsi="Times New Roman" w:cs="Times New Roman"/>
                <w:b/>
              </w:rPr>
            </w:pPr>
            <w:r w:rsidRPr="00502F37">
              <w:rPr>
                <w:rFonts w:ascii="Times New Roman" w:hAnsi="Times New Roman" w:cs="Times New Roman"/>
                <w:b/>
              </w:rPr>
              <w:t>Concomitant Drug Class:  Drug Name</w:t>
            </w:r>
          </w:p>
        </w:tc>
        <w:tc>
          <w:tcPr>
            <w:tcW w:w="1031" w:type="pct"/>
            <w:tcBorders>
              <w:top w:val="single" w:sz="12" w:space="0" w:color="auto"/>
              <w:bottom w:val="single" w:sz="12" w:space="0" w:color="auto"/>
            </w:tcBorders>
            <w:vAlign w:val="bottom"/>
          </w:tcPr>
          <w:p w:rsidR="002D2985" w:rsidRPr="00502F37" w:rsidRDefault="002D2985" w:rsidP="005C0C71">
            <w:pPr>
              <w:spacing w:before="40" w:after="120"/>
              <w:rPr>
                <w:rFonts w:ascii="Times New Roman" w:hAnsi="Times New Roman" w:cs="Times New Roman"/>
                <w:b/>
              </w:rPr>
            </w:pPr>
            <w:r w:rsidRPr="00502F37">
              <w:rPr>
                <w:rFonts w:ascii="Times New Roman" w:hAnsi="Times New Roman" w:cs="Times New Roman"/>
                <w:b/>
              </w:rPr>
              <w:t>Effect on Concentration</w:t>
            </w:r>
            <w:r w:rsidRPr="00502F37">
              <w:rPr>
                <w:rFonts w:ascii="Times New Roman" w:hAnsi="Times New Roman" w:cs="Times New Roman"/>
                <w:b/>
                <w:vertAlign w:val="superscript"/>
              </w:rPr>
              <w:t>b</w:t>
            </w:r>
          </w:p>
        </w:tc>
        <w:tc>
          <w:tcPr>
            <w:tcW w:w="2631" w:type="pct"/>
            <w:tcBorders>
              <w:top w:val="single" w:sz="12" w:space="0" w:color="auto"/>
              <w:bottom w:val="single" w:sz="12" w:space="0" w:color="auto"/>
            </w:tcBorders>
            <w:vAlign w:val="bottom"/>
          </w:tcPr>
          <w:p w:rsidR="002D2985" w:rsidRPr="00502F37" w:rsidRDefault="002D2985" w:rsidP="005C0C71">
            <w:pPr>
              <w:spacing w:before="40" w:after="120"/>
              <w:rPr>
                <w:rFonts w:ascii="Times New Roman" w:hAnsi="Times New Roman" w:cs="Times New Roman"/>
                <w:b/>
              </w:rPr>
            </w:pPr>
            <w:r w:rsidRPr="00502F37">
              <w:rPr>
                <w:rFonts w:ascii="Times New Roman" w:hAnsi="Times New Roman" w:cs="Times New Roman"/>
                <w:b/>
              </w:rPr>
              <w:t>Clinical Comment</w:t>
            </w:r>
          </w:p>
        </w:tc>
      </w:tr>
      <w:tr w:rsidR="002D2985" w:rsidRPr="00525F08" w:rsidTr="005E1D85">
        <w:trPr>
          <w:trHeight w:val="20"/>
        </w:trPr>
        <w:tc>
          <w:tcPr>
            <w:tcW w:w="1338" w:type="pct"/>
            <w:tcBorders>
              <w:top w:val="single" w:sz="12" w:space="0" w:color="auto"/>
              <w:bottom w:val="nil"/>
            </w:tcBorders>
          </w:tcPr>
          <w:p w:rsidR="002D2985" w:rsidRPr="002A46BA" w:rsidRDefault="002D2985" w:rsidP="00D169BE">
            <w:pPr>
              <w:spacing w:before="120" w:after="240" w:line="240" w:lineRule="auto"/>
              <w:rPr>
                <w:rFonts w:ascii="Times New Roman" w:hAnsi="Times New Roman" w:cs="Times New Roman"/>
                <w:b/>
              </w:rPr>
            </w:pPr>
            <w:r w:rsidRPr="002A46BA">
              <w:rPr>
                <w:rFonts w:ascii="Times New Roman" w:hAnsi="Times New Roman" w:cs="Times New Roman"/>
                <w:b/>
              </w:rPr>
              <w:t>Acid Reducing Agents:</w:t>
            </w:r>
          </w:p>
          <w:p w:rsidR="002D2985" w:rsidRPr="002A46BA" w:rsidRDefault="002D2985" w:rsidP="00D169BE">
            <w:pPr>
              <w:spacing w:before="120" w:after="240" w:line="240" w:lineRule="auto"/>
              <w:rPr>
                <w:rFonts w:ascii="Times New Roman" w:hAnsi="Times New Roman" w:cs="Times New Roman"/>
              </w:rPr>
            </w:pPr>
          </w:p>
        </w:tc>
        <w:tc>
          <w:tcPr>
            <w:tcW w:w="1031" w:type="pct"/>
            <w:tcBorders>
              <w:top w:val="single" w:sz="12" w:space="0" w:color="auto"/>
              <w:bottom w:val="nil"/>
            </w:tcBorders>
          </w:tcPr>
          <w:p w:rsidR="002D2985" w:rsidRPr="002A46BA" w:rsidRDefault="002D2985" w:rsidP="00D169BE">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velpatasvir </w:t>
            </w:r>
          </w:p>
          <w:p w:rsidR="002D2985" w:rsidRPr="002A46BA" w:rsidRDefault="002D2985" w:rsidP="00D169BE">
            <w:pPr>
              <w:spacing w:before="120" w:after="240" w:line="240" w:lineRule="auto"/>
              <w:rPr>
                <w:rFonts w:ascii="Times New Roman" w:hAnsi="Times New Roman" w:cs="Times New Roman"/>
              </w:rPr>
            </w:pPr>
          </w:p>
        </w:tc>
        <w:tc>
          <w:tcPr>
            <w:tcW w:w="2631" w:type="pct"/>
            <w:tcBorders>
              <w:top w:val="single" w:sz="12" w:space="0" w:color="auto"/>
              <w:bottom w:val="nil"/>
            </w:tcBorders>
          </w:tcPr>
          <w:p w:rsidR="002D2985" w:rsidRPr="002A46BA" w:rsidRDefault="002D2985" w:rsidP="00D169B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rPr>
                <w:rFonts w:ascii="Times New Roman" w:hAnsi="Times New Roman" w:cs="Times New Roman"/>
              </w:rPr>
            </w:pPr>
            <w:r w:rsidRPr="002A46BA">
              <w:rPr>
                <w:rFonts w:ascii="Times New Roman" w:hAnsi="Times New Roman" w:cs="Times New Roman"/>
              </w:rPr>
              <w:t xml:space="preserve">Velpatasvir solubility decreases as pH increases. Drugs that increase gastric pH are expected to decrease concentration of velpatasvir. </w:t>
            </w:r>
          </w:p>
        </w:tc>
      </w:tr>
      <w:tr w:rsidR="002D2985" w:rsidRPr="00525F08" w:rsidTr="005E1D85">
        <w:trPr>
          <w:trHeight w:val="20"/>
        </w:trPr>
        <w:tc>
          <w:tcPr>
            <w:tcW w:w="1338" w:type="pct"/>
            <w:tcBorders>
              <w:top w:val="nil"/>
              <w:bottom w:val="nil"/>
            </w:tcBorders>
          </w:tcPr>
          <w:p w:rsidR="002D2985" w:rsidRPr="002A46BA" w:rsidRDefault="002D2985" w:rsidP="00D169BE">
            <w:pPr>
              <w:spacing w:before="120" w:after="240" w:line="240" w:lineRule="auto"/>
              <w:rPr>
                <w:rFonts w:ascii="Times New Roman" w:hAnsi="Times New Roman" w:cs="Times New Roman"/>
              </w:rPr>
            </w:pPr>
            <w:r w:rsidRPr="002A46BA">
              <w:rPr>
                <w:rFonts w:ascii="Times New Roman" w:hAnsi="Times New Roman" w:cs="Times New Roman"/>
              </w:rPr>
              <w:t>Antacids (e.g., aluminum and magnesium hydroxide)</w:t>
            </w:r>
          </w:p>
        </w:tc>
        <w:tc>
          <w:tcPr>
            <w:tcW w:w="1031" w:type="pct"/>
            <w:tcBorders>
              <w:top w:val="nil"/>
              <w:bottom w:val="nil"/>
            </w:tcBorders>
          </w:tcPr>
          <w:p w:rsidR="002D2985" w:rsidRPr="002A46BA" w:rsidRDefault="002D2985" w:rsidP="00D169BE">
            <w:pPr>
              <w:spacing w:before="120" w:after="240" w:line="240" w:lineRule="auto"/>
              <w:rPr>
                <w:rFonts w:ascii="Times New Roman" w:hAnsi="Times New Roman" w:cs="Times New Roman"/>
              </w:rPr>
            </w:pPr>
          </w:p>
        </w:tc>
        <w:tc>
          <w:tcPr>
            <w:tcW w:w="2631" w:type="pct"/>
            <w:tcBorders>
              <w:top w:val="nil"/>
              <w:bottom w:val="nil"/>
            </w:tcBorders>
          </w:tcPr>
          <w:p w:rsidR="002D2985" w:rsidRPr="002A46BA" w:rsidRDefault="002D2985" w:rsidP="00D169B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rPr>
                <w:rFonts w:ascii="Times New Roman" w:hAnsi="Times New Roman" w:cs="Times New Roman"/>
              </w:rPr>
            </w:pPr>
            <w:r w:rsidRPr="002A46BA">
              <w:rPr>
                <w:rFonts w:ascii="Times New Roman" w:hAnsi="Times New Roman" w:cs="Times New Roman"/>
              </w:rPr>
              <w:t>It is recommended to separate antacid and VOSEVI administration by 4 hours.</w:t>
            </w:r>
          </w:p>
        </w:tc>
      </w:tr>
      <w:tr w:rsidR="002D2985" w:rsidRPr="00525F08" w:rsidTr="005E1D85">
        <w:trPr>
          <w:trHeight w:val="20"/>
        </w:trPr>
        <w:tc>
          <w:tcPr>
            <w:tcW w:w="1338" w:type="pct"/>
            <w:tcBorders>
              <w:top w:val="nil"/>
              <w:bottom w:val="nil"/>
            </w:tcBorders>
          </w:tcPr>
          <w:p w:rsidR="002D2985" w:rsidRPr="002A46BA" w:rsidRDefault="002D2985" w:rsidP="00D169BE">
            <w:pPr>
              <w:spacing w:before="120" w:after="240" w:line="240" w:lineRule="auto"/>
              <w:rPr>
                <w:rFonts w:ascii="Times New Roman" w:hAnsi="Times New Roman" w:cs="Times New Roman"/>
                <w:vertAlign w:val="superscript"/>
              </w:rPr>
            </w:pPr>
            <w:r w:rsidRPr="002A46BA">
              <w:rPr>
                <w:rFonts w:ascii="Times New Roman" w:hAnsi="Times New Roman" w:cs="Times New Roman"/>
              </w:rPr>
              <w:t>H</w:t>
            </w:r>
            <w:r w:rsidRPr="002A46BA">
              <w:rPr>
                <w:rFonts w:ascii="Times New Roman" w:hAnsi="Times New Roman" w:cs="Times New Roman"/>
                <w:vertAlign w:val="subscript"/>
              </w:rPr>
              <w:t>2</w:t>
            </w:r>
            <w:r w:rsidRPr="002A46BA">
              <w:rPr>
                <w:rFonts w:ascii="Times New Roman" w:hAnsi="Times New Roman" w:cs="Times New Roman"/>
              </w:rPr>
              <w:t>-receptor antagonists (e.g., famotidine)</w:t>
            </w:r>
            <w:r w:rsidRPr="002A46BA">
              <w:rPr>
                <w:rFonts w:ascii="Times New Roman" w:hAnsi="Times New Roman" w:cs="Times New Roman"/>
                <w:vertAlign w:val="superscript"/>
              </w:rPr>
              <w:t>c</w:t>
            </w:r>
          </w:p>
        </w:tc>
        <w:tc>
          <w:tcPr>
            <w:tcW w:w="1031" w:type="pct"/>
            <w:tcBorders>
              <w:top w:val="nil"/>
              <w:bottom w:val="nil"/>
            </w:tcBorders>
          </w:tcPr>
          <w:p w:rsidR="002D2985" w:rsidRPr="002A46BA" w:rsidRDefault="002D2985" w:rsidP="00D169BE">
            <w:pPr>
              <w:spacing w:before="120" w:after="240" w:line="240" w:lineRule="auto"/>
              <w:rPr>
                <w:rFonts w:ascii="Times New Roman" w:hAnsi="Times New Roman" w:cs="Times New Roman"/>
              </w:rPr>
            </w:pPr>
          </w:p>
        </w:tc>
        <w:tc>
          <w:tcPr>
            <w:tcW w:w="2631" w:type="pct"/>
            <w:tcBorders>
              <w:top w:val="nil"/>
              <w:bottom w:val="nil"/>
            </w:tcBorders>
          </w:tcPr>
          <w:p w:rsidR="002D2985" w:rsidRPr="002A46BA" w:rsidRDefault="002D2985" w:rsidP="00D169B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rPr>
                <w:rFonts w:ascii="Times New Roman" w:hAnsi="Times New Roman" w:cs="Times New Roman"/>
              </w:rPr>
            </w:pPr>
            <w:r w:rsidRPr="002A46BA">
              <w:rPr>
                <w:rFonts w:ascii="Times New Roman" w:hAnsi="Times New Roman" w:cs="Times New Roman"/>
              </w:rPr>
              <w:t>H</w:t>
            </w:r>
            <w:r w:rsidRPr="002A46BA">
              <w:rPr>
                <w:rFonts w:ascii="Times New Roman" w:hAnsi="Times New Roman" w:cs="Times New Roman"/>
                <w:vertAlign w:val="subscript"/>
              </w:rPr>
              <w:t>2</w:t>
            </w:r>
            <w:r w:rsidRPr="002A46BA">
              <w:rPr>
                <w:rFonts w:ascii="Times New Roman" w:hAnsi="Times New Roman" w:cs="Times New Roman"/>
              </w:rPr>
              <w:t>-receptor antagonists may be administered simultaneously with or staggered from VOSEVI at a dose that does not exceed doses comparable with famotidine 40 mg twice daily.</w:t>
            </w:r>
          </w:p>
        </w:tc>
      </w:tr>
      <w:tr w:rsidR="002D2985" w:rsidRPr="00525F08" w:rsidTr="00D169BE">
        <w:trPr>
          <w:trHeight w:val="1278"/>
        </w:trPr>
        <w:tc>
          <w:tcPr>
            <w:tcW w:w="1338" w:type="pct"/>
            <w:tcBorders>
              <w:top w:val="nil"/>
              <w:bottom w:val="single" w:sz="4" w:space="0" w:color="auto"/>
            </w:tcBorders>
          </w:tcPr>
          <w:p w:rsidR="002D2985" w:rsidRPr="002A46BA" w:rsidRDefault="002D2985" w:rsidP="00D169BE">
            <w:pPr>
              <w:spacing w:before="120" w:after="240" w:line="240" w:lineRule="auto"/>
              <w:rPr>
                <w:rFonts w:ascii="Times New Roman" w:hAnsi="Times New Roman" w:cs="Times New Roman"/>
                <w:b/>
              </w:rPr>
            </w:pPr>
            <w:r w:rsidRPr="002A46BA">
              <w:rPr>
                <w:rFonts w:ascii="Times New Roman" w:hAnsi="Times New Roman" w:cs="Times New Roman"/>
              </w:rPr>
              <w:t>Proton-pump inhibitors (e.g., omeprazole)</w:t>
            </w:r>
            <w:r w:rsidRPr="002A46BA">
              <w:rPr>
                <w:rFonts w:ascii="Times New Roman" w:hAnsi="Times New Roman" w:cs="Times New Roman"/>
                <w:vertAlign w:val="superscript"/>
              </w:rPr>
              <w:t>c</w:t>
            </w:r>
          </w:p>
        </w:tc>
        <w:tc>
          <w:tcPr>
            <w:tcW w:w="1031" w:type="pct"/>
            <w:tcBorders>
              <w:top w:val="nil"/>
              <w:bottom w:val="single" w:sz="4" w:space="0" w:color="auto"/>
            </w:tcBorders>
          </w:tcPr>
          <w:p w:rsidR="002D2985" w:rsidRPr="002A46BA" w:rsidRDefault="002D2985" w:rsidP="00D169BE">
            <w:pPr>
              <w:spacing w:before="120" w:after="240" w:line="240" w:lineRule="auto"/>
              <w:rPr>
                <w:rFonts w:ascii="Times New Roman" w:hAnsi="Times New Roman" w:cs="Times New Roman"/>
              </w:rPr>
            </w:pPr>
          </w:p>
        </w:tc>
        <w:tc>
          <w:tcPr>
            <w:tcW w:w="2631" w:type="pct"/>
            <w:tcBorders>
              <w:top w:val="nil"/>
              <w:bottom w:val="single" w:sz="4" w:space="0" w:color="auto"/>
            </w:tcBorders>
          </w:tcPr>
          <w:p w:rsidR="00D169BE" w:rsidRPr="002A46BA" w:rsidRDefault="002D2985" w:rsidP="00D169B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rPr>
                <w:rFonts w:ascii="Times New Roman" w:hAnsi="Times New Roman" w:cs="Times New Roman"/>
              </w:rPr>
            </w:pPr>
            <w:r w:rsidRPr="002A46BA">
              <w:rPr>
                <w:rFonts w:ascii="Times New Roman" w:hAnsi="Times New Roman" w:cs="Times New Roman"/>
              </w:rPr>
              <w:t xml:space="preserve">Proton-pump inhibitor doses comparable with omeprazole 20 mg can be administered with VOSEVI. </w:t>
            </w:r>
          </w:p>
        </w:tc>
      </w:tr>
      <w:tr w:rsidR="002D2985" w:rsidRPr="00525F08" w:rsidTr="005E1D85">
        <w:trPr>
          <w:trHeight w:val="20"/>
        </w:trPr>
        <w:tc>
          <w:tcPr>
            <w:tcW w:w="1338" w:type="pct"/>
            <w:tcBorders>
              <w:top w:val="single" w:sz="4" w:space="0" w:color="auto"/>
              <w:bottom w:val="nil"/>
            </w:tcBorders>
          </w:tcPr>
          <w:p w:rsidR="002D2985" w:rsidRPr="002A46BA" w:rsidRDefault="002D2985" w:rsidP="002A46BA">
            <w:pPr>
              <w:spacing w:before="120" w:after="240" w:line="240" w:lineRule="auto"/>
              <w:rPr>
                <w:rFonts w:ascii="Times New Roman" w:hAnsi="Times New Roman" w:cs="Times New Roman"/>
                <w:b/>
              </w:rPr>
            </w:pPr>
            <w:r w:rsidRPr="002A46BA">
              <w:rPr>
                <w:rFonts w:ascii="Times New Roman" w:hAnsi="Times New Roman" w:cs="Times New Roman"/>
                <w:b/>
              </w:rPr>
              <w:lastRenderedPageBreak/>
              <w:t xml:space="preserve">Antiarrhythmics: </w:t>
            </w:r>
          </w:p>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amiodarone</w:t>
            </w:r>
          </w:p>
        </w:tc>
        <w:tc>
          <w:tcPr>
            <w:tcW w:w="1031" w:type="pct"/>
            <w:tcBorders>
              <w:top w:val="single" w:sz="4" w:space="0" w:color="auto"/>
              <w:bottom w:val="nil"/>
            </w:tcBorders>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Effect on amiodarone, sofosbuvir, velpatasvir, and voxilaprevir concentrations unknown</w:t>
            </w:r>
          </w:p>
        </w:tc>
        <w:tc>
          <w:tcPr>
            <w:tcW w:w="2631" w:type="pct"/>
            <w:tcBorders>
              <w:top w:val="single" w:sz="4" w:space="0" w:color="auto"/>
              <w:bottom w:val="nil"/>
            </w:tcBorders>
          </w:tcPr>
          <w:p w:rsidR="002D2985" w:rsidRPr="002A46BA" w:rsidRDefault="002D2985" w:rsidP="007F5911">
            <w:pPr>
              <w:spacing w:before="120" w:after="240" w:line="240" w:lineRule="auto"/>
              <w:rPr>
                <w:rFonts w:ascii="Times New Roman" w:hAnsi="Times New Roman" w:cs="Times New Roman"/>
              </w:rPr>
            </w:pPr>
            <w:r w:rsidRPr="002A46BA">
              <w:rPr>
                <w:rFonts w:ascii="Times New Roman" w:hAnsi="Times New Roman" w:cs="Times New Roman"/>
              </w:rPr>
              <w:t xml:space="preserve">Coadministration of amiodarone with VOSEVI may result in serious symptomatic bradycardia. The mechanism of this effect is unknown. Coadministration of amiodarone with VOSEVI is not recommended; if coadministration is required, cardiac monitoring is recommended </w:t>
            </w:r>
            <w:r w:rsidRPr="00505CBC">
              <w:rPr>
                <w:rFonts w:ascii="Times New Roman" w:hAnsi="Times New Roman" w:cs="Times New Roman"/>
              </w:rPr>
              <w:t>(see</w:t>
            </w:r>
            <w:r w:rsidR="00E31DA4">
              <w:rPr>
                <w:rFonts w:ascii="Times New Roman" w:hAnsi="Times New Roman" w:cs="Times New Roman"/>
              </w:rPr>
              <w:t xml:space="preserve"> </w:t>
            </w:r>
            <w:r w:rsidR="007F5911">
              <w:rPr>
                <w:rFonts w:ascii="Times New Roman" w:hAnsi="Times New Roman" w:cs="Times New Roman"/>
              </w:rPr>
              <w:t>Section 4.4</w:t>
            </w:r>
            <w:r w:rsidR="001F0D62">
              <w:rPr>
                <w:rFonts w:ascii="Times New Roman" w:hAnsi="Times New Roman" w:cs="Times New Roman"/>
              </w:rPr>
              <w:t xml:space="preserve"> Special warnings and precautions for use</w:t>
            </w:r>
            <w:r w:rsidRPr="00505CBC">
              <w:rPr>
                <w:rFonts w:ascii="Times New Roman" w:hAnsi="Times New Roman" w:cs="Times New Roman"/>
              </w:rPr>
              <w:t>).</w:t>
            </w:r>
          </w:p>
        </w:tc>
      </w:tr>
      <w:tr w:rsidR="002D2985" w:rsidRPr="00525F08" w:rsidTr="005E1D85">
        <w:trPr>
          <w:trHeight w:val="20"/>
        </w:trPr>
        <w:tc>
          <w:tcPr>
            <w:tcW w:w="1338" w:type="pct"/>
            <w:tcBorders>
              <w:top w:val="nil"/>
            </w:tcBorders>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digoxin</w:t>
            </w:r>
            <w:r w:rsidRPr="002A46BA">
              <w:rPr>
                <w:rFonts w:ascii="Times New Roman" w:hAnsi="Times New Roman" w:cs="Times New Roman"/>
                <w:vertAlign w:val="superscript"/>
              </w:rPr>
              <w:t>c</w:t>
            </w:r>
          </w:p>
        </w:tc>
        <w:tc>
          <w:tcPr>
            <w:tcW w:w="1031" w:type="pct"/>
            <w:tcBorders>
              <w:top w:val="nil"/>
            </w:tcBorders>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digoxin</w:t>
            </w:r>
          </w:p>
        </w:tc>
        <w:tc>
          <w:tcPr>
            <w:tcW w:w="2631" w:type="pct"/>
            <w:tcBorders>
              <w:top w:val="nil"/>
            </w:tcBorders>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 xml:space="preserve">Coadministration of VOSEVI with digoxin may increase the concentration of digoxin. Caution is warranted and therapeutic concentration monitoring of digoxin is recommended </w:t>
            </w:r>
            <w:r w:rsidR="00E31DA4">
              <w:rPr>
                <w:rFonts w:ascii="Times New Roman" w:hAnsi="Times New Roman" w:cs="Times New Roman"/>
              </w:rPr>
              <w:t>when coadministered with VOSEVI</w:t>
            </w:r>
          </w:p>
        </w:tc>
      </w:tr>
      <w:tr w:rsidR="002D2985" w:rsidRPr="00525F08" w:rsidTr="005E1D85">
        <w:trPr>
          <w:trHeight w:val="20"/>
        </w:trPr>
        <w:tc>
          <w:tcPr>
            <w:tcW w:w="1338" w:type="pct"/>
          </w:tcPr>
          <w:p w:rsidR="002D2985" w:rsidRPr="002A46BA" w:rsidRDefault="002D2985" w:rsidP="002A46BA">
            <w:pPr>
              <w:spacing w:before="120" w:after="240" w:line="240" w:lineRule="auto"/>
              <w:rPr>
                <w:rFonts w:ascii="Times New Roman" w:hAnsi="Times New Roman" w:cs="Times New Roman"/>
                <w:b/>
              </w:rPr>
            </w:pPr>
            <w:r w:rsidRPr="002A46BA">
              <w:rPr>
                <w:rFonts w:ascii="Times New Roman" w:hAnsi="Times New Roman" w:cs="Times New Roman"/>
                <w:b/>
              </w:rPr>
              <w:t>Anticoagulants:</w:t>
            </w:r>
          </w:p>
          <w:p w:rsidR="002D2985" w:rsidRPr="002A46BA" w:rsidRDefault="002D2985" w:rsidP="002A46BA">
            <w:pPr>
              <w:spacing w:before="120" w:after="240" w:line="240" w:lineRule="auto"/>
              <w:rPr>
                <w:rFonts w:ascii="Times New Roman" w:hAnsi="Times New Roman" w:cs="Times New Roman"/>
                <w:b/>
              </w:rPr>
            </w:pPr>
            <w:r w:rsidRPr="002A46BA">
              <w:rPr>
                <w:rFonts w:ascii="Times New Roman" w:hAnsi="Times New Roman" w:cs="Times New Roman"/>
              </w:rPr>
              <w:t>dabigatran etexilate</w:t>
            </w:r>
            <w:r w:rsidRPr="002A46BA">
              <w:rPr>
                <w:rFonts w:ascii="Times New Roman" w:hAnsi="Times New Roman" w:cs="Times New Roman"/>
                <w:vertAlign w:val="superscript"/>
              </w:rPr>
              <w:t>c</w:t>
            </w:r>
          </w:p>
        </w:tc>
        <w:tc>
          <w:tcPr>
            <w:tcW w:w="1031" w:type="pct"/>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 dabigatran</w:t>
            </w:r>
          </w:p>
        </w:tc>
        <w:tc>
          <w:tcPr>
            <w:tcW w:w="2631" w:type="pct"/>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Coadministration of VOSEVI with dabigatran etexilate may increase the concentration of dabigatran. Caution is warranted and clinical monitoring of dabigatran is recommended w</w:t>
            </w:r>
            <w:r w:rsidR="00E31DA4">
              <w:rPr>
                <w:rFonts w:ascii="Times New Roman" w:hAnsi="Times New Roman" w:cs="Times New Roman"/>
              </w:rPr>
              <w:t>hen coadministered with VOSEVI.</w:t>
            </w:r>
          </w:p>
        </w:tc>
      </w:tr>
      <w:tr w:rsidR="002D2985" w:rsidRPr="00D535D3" w:rsidTr="005E1D85">
        <w:trPr>
          <w:trHeight w:val="20"/>
        </w:trPr>
        <w:tc>
          <w:tcPr>
            <w:tcW w:w="1338" w:type="pct"/>
          </w:tcPr>
          <w:p w:rsidR="002D2985" w:rsidRPr="002A46BA" w:rsidRDefault="002D2985" w:rsidP="002A46BA">
            <w:pPr>
              <w:spacing w:before="120" w:after="240" w:line="240" w:lineRule="auto"/>
              <w:rPr>
                <w:rFonts w:ascii="Times New Roman" w:hAnsi="Times New Roman" w:cs="Times New Roman"/>
                <w:u w:val="single"/>
              </w:rPr>
            </w:pPr>
            <w:r w:rsidRPr="002A46BA">
              <w:rPr>
                <w:rFonts w:ascii="Times New Roman" w:hAnsi="Times New Roman" w:cs="Times New Roman"/>
              </w:rPr>
              <w:t xml:space="preserve">vitamin K antagonists </w:t>
            </w:r>
          </w:p>
        </w:tc>
        <w:tc>
          <w:tcPr>
            <w:tcW w:w="1031" w:type="pct"/>
          </w:tcPr>
          <w:p w:rsidR="002D2985" w:rsidRPr="002A46BA" w:rsidRDefault="002D2985" w:rsidP="002A46BA">
            <w:pPr>
              <w:spacing w:before="120" w:after="240" w:line="240" w:lineRule="auto"/>
              <w:rPr>
                <w:rFonts w:ascii="Times New Roman" w:hAnsi="Times New Roman" w:cs="Times New Roman"/>
                <w:u w:val="single"/>
              </w:rPr>
            </w:pPr>
            <w:r w:rsidRPr="002A46BA">
              <w:rPr>
                <w:rFonts w:ascii="Times New Roman" w:hAnsi="Times New Roman" w:cs="Times New Roman"/>
              </w:rPr>
              <w:sym w:font="Symbol" w:char="F0AB"/>
            </w:r>
            <w:r w:rsidRPr="002A46BA">
              <w:rPr>
                <w:rFonts w:ascii="Times New Roman" w:hAnsi="Times New Roman" w:cs="Times New Roman"/>
              </w:rPr>
              <w:t xml:space="preserve"> vitamin K antagonist</w:t>
            </w:r>
          </w:p>
        </w:tc>
        <w:tc>
          <w:tcPr>
            <w:tcW w:w="2631" w:type="pct"/>
          </w:tcPr>
          <w:p w:rsidR="002D2985" w:rsidRPr="002A46BA" w:rsidRDefault="002D2985" w:rsidP="002A46BA">
            <w:pPr>
              <w:spacing w:before="120" w:after="240" w:line="240" w:lineRule="auto"/>
              <w:rPr>
                <w:rFonts w:ascii="Times New Roman" w:hAnsi="Times New Roman" w:cs="Times New Roman"/>
                <w:u w:val="single"/>
              </w:rPr>
            </w:pPr>
            <w:r w:rsidRPr="002A46BA">
              <w:rPr>
                <w:rFonts w:ascii="Times New Roman" w:hAnsi="Times New Roman" w:cs="Times New Roman"/>
              </w:rPr>
              <w:t>Close monitoring of International Normalized Ratio (INR) is recommended as liver function may improve during treatment with VOSEVI.</w:t>
            </w:r>
          </w:p>
        </w:tc>
      </w:tr>
      <w:tr w:rsidR="002D2985" w:rsidRPr="00EF5EB5" w:rsidTr="005E1D85">
        <w:trPr>
          <w:trHeight w:val="20"/>
        </w:trPr>
        <w:tc>
          <w:tcPr>
            <w:tcW w:w="1338" w:type="pct"/>
          </w:tcPr>
          <w:p w:rsidR="002D2985" w:rsidRPr="002A46BA" w:rsidRDefault="002D2985" w:rsidP="002A46BA">
            <w:pPr>
              <w:spacing w:before="120" w:after="240" w:line="240" w:lineRule="auto"/>
              <w:rPr>
                <w:rFonts w:ascii="Times New Roman" w:hAnsi="Times New Roman" w:cs="Times New Roman"/>
                <w:b/>
              </w:rPr>
            </w:pPr>
            <w:r w:rsidRPr="002A46BA">
              <w:rPr>
                <w:rFonts w:ascii="Times New Roman" w:hAnsi="Times New Roman" w:cs="Times New Roman"/>
                <w:b/>
              </w:rPr>
              <w:t>Anticonvulsants:</w:t>
            </w:r>
          </w:p>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 xml:space="preserve">carbamazepine </w:t>
            </w:r>
            <w:r w:rsidRPr="002A46BA">
              <w:rPr>
                <w:rFonts w:ascii="Times New Roman" w:hAnsi="Times New Roman" w:cs="Times New Roman"/>
              </w:rPr>
              <w:br/>
              <w:t xml:space="preserve">phenytoin </w:t>
            </w:r>
            <w:r w:rsidRPr="002A46BA">
              <w:rPr>
                <w:rFonts w:ascii="Times New Roman" w:hAnsi="Times New Roman" w:cs="Times New Roman"/>
              </w:rPr>
              <w:br/>
              <w:t xml:space="preserve">phenobarbital </w:t>
            </w:r>
            <w:r w:rsidRPr="002A46BA">
              <w:rPr>
                <w:rFonts w:ascii="Times New Roman" w:hAnsi="Times New Roman" w:cs="Times New Roman"/>
              </w:rPr>
              <w:br/>
              <w:t>oxcarbazepine</w:t>
            </w:r>
          </w:p>
        </w:tc>
        <w:tc>
          <w:tcPr>
            <w:tcW w:w="1031" w:type="pct"/>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sofosbuvir</w:t>
            </w:r>
          </w:p>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velpatasvir </w:t>
            </w:r>
          </w:p>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voxilaprev</w:t>
            </w:r>
            <w:r w:rsidR="009C5F12">
              <w:rPr>
                <w:rFonts w:ascii="Times New Roman" w:hAnsi="Times New Roman" w:cs="Times New Roman"/>
              </w:rPr>
              <w:t>ir</w:t>
            </w:r>
          </w:p>
        </w:tc>
        <w:tc>
          <w:tcPr>
            <w:tcW w:w="2631" w:type="pct"/>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Coadministration is not recommended.</w:t>
            </w:r>
          </w:p>
        </w:tc>
      </w:tr>
      <w:tr w:rsidR="002D2985" w:rsidRPr="00525F08" w:rsidTr="009C5F12">
        <w:trPr>
          <w:trHeight w:val="2729"/>
        </w:trPr>
        <w:tc>
          <w:tcPr>
            <w:tcW w:w="1338" w:type="pct"/>
            <w:tcBorders>
              <w:bottom w:val="single" w:sz="4" w:space="0" w:color="auto"/>
            </w:tcBorders>
          </w:tcPr>
          <w:p w:rsidR="002D2985" w:rsidRPr="002A46BA" w:rsidRDefault="002D2985" w:rsidP="002A46BA">
            <w:pPr>
              <w:spacing w:before="120" w:after="240" w:line="240" w:lineRule="auto"/>
              <w:rPr>
                <w:rFonts w:ascii="Times New Roman" w:hAnsi="Times New Roman" w:cs="Times New Roman"/>
                <w:b/>
              </w:rPr>
            </w:pPr>
            <w:r w:rsidRPr="002A46BA">
              <w:rPr>
                <w:rFonts w:ascii="Times New Roman" w:hAnsi="Times New Roman" w:cs="Times New Roman"/>
                <w:b/>
              </w:rPr>
              <w:t xml:space="preserve">Antimycobacterials: </w:t>
            </w:r>
          </w:p>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rifampicin</w:t>
            </w:r>
            <w:r w:rsidRPr="002A46BA">
              <w:rPr>
                <w:rFonts w:ascii="Times New Roman" w:hAnsi="Times New Roman" w:cs="Times New Roman"/>
                <w:vertAlign w:val="superscript"/>
              </w:rPr>
              <w:t>c</w:t>
            </w:r>
          </w:p>
          <w:p w:rsidR="002D2985" w:rsidRPr="002A46BA" w:rsidRDefault="002D2985" w:rsidP="002A46BA">
            <w:pPr>
              <w:spacing w:before="120" w:after="240" w:line="240" w:lineRule="auto"/>
              <w:rPr>
                <w:rFonts w:ascii="Times New Roman" w:hAnsi="Times New Roman" w:cs="Times New Roman"/>
              </w:rPr>
            </w:pPr>
          </w:p>
          <w:p w:rsidR="002D2985" w:rsidRPr="002A46BA" w:rsidRDefault="002D2985" w:rsidP="002A46BA">
            <w:pPr>
              <w:spacing w:before="120" w:after="240" w:line="240" w:lineRule="auto"/>
              <w:rPr>
                <w:rFonts w:ascii="Times New Roman" w:hAnsi="Times New Roman" w:cs="Times New Roman"/>
              </w:rPr>
            </w:pPr>
          </w:p>
          <w:p w:rsidR="002D2985" w:rsidRPr="002A46BA" w:rsidRDefault="002D2985" w:rsidP="002A46BA">
            <w:pPr>
              <w:spacing w:before="120" w:after="240" w:line="240" w:lineRule="auto"/>
              <w:rPr>
                <w:rFonts w:ascii="Times New Roman" w:hAnsi="Times New Roman" w:cs="Times New Roman"/>
              </w:rPr>
            </w:pPr>
          </w:p>
          <w:p w:rsidR="002D2985" w:rsidRPr="002A46BA" w:rsidRDefault="002D2985" w:rsidP="002A46BA">
            <w:pPr>
              <w:spacing w:before="120" w:after="240" w:line="240" w:lineRule="auto"/>
              <w:rPr>
                <w:rFonts w:ascii="Times New Roman" w:hAnsi="Times New Roman" w:cs="Times New Roman"/>
              </w:rPr>
            </w:pPr>
          </w:p>
        </w:tc>
        <w:tc>
          <w:tcPr>
            <w:tcW w:w="1031" w:type="pct"/>
            <w:tcBorders>
              <w:bottom w:val="single" w:sz="4" w:space="0" w:color="auto"/>
            </w:tcBorders>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sofosbuvir</w:t>
            </w:r>
          </w:p>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velpatasvir</w:t>
            </w:r>
          </w:p>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voxilaprevir (single dose)</w:t>
            </w:r>
          </w:p>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002A46BA">
              <w:rPr>
                <w:rFonts w:ascii="Times New Roman" w:hAnsi="Times New Roman" w:cs="Times New Roman"/>
              </w:rPr>
              <w:t>voxilaprevir (multiple dose)</w:t>
            </w:r>
          </w:p>
        </w:tc>
        <w:tc>
          <w:tcPr>
            <w:tcW w:w="2631" w:type="pct"/>
            <w:tcBorders>
              <w:bottom w:val="single" w:sz="4" w:space="0" w:color="auto"/>
            </w:tcBorders>
          </w:tcPr>
          <w:p w:rsidR="002D2985" w:rsidRPr="002A46BA" w:rsidRDefault="002D2985" w:rsidP="002A46BA">
            <w:pPr>
              <w:spacing w:before="120" w:after="240" w:line="240" w:lineRule="auto"/>
              <w:rPr>
                <w:rFonts w:ascii="Times New Roman" w:hAnsi="Times New Roman" w:cs="Times New Roman"/>
              </w:rPr>
            </w:pPr>
            <w:r w:rsidRPr="002A46BA">
              <w:rPr>
                <w:rFonts w:ascii="Times New Roman" w:hAnsi="Times New Roman" w:cs="Times New Roman"/>
              </w:rPr>
              <w:t>Coadministration with rifampicin is contraindicated.</w:t>
            </w:r>
          </w:p>
          <w:p w:rsidR="002D2985" w:rsidRPr="002A46BA" w:rsidRDefault="002D2985" w:rsidP="002A46BA">
            <w:pPr>
              <w:spacing w:before="120" w:after="240" w:line="240" w:lineRule="auto"/>
              <w:rPr>
                <w:rFonts w:ascii="Times New Roman" w:hAnsi="Times New Roman" w:cs="Times New Roman"/>
              </w:rPr>
            </w:pPr>
          </w:p>
          <w:p w:rsidR="002D2985" w:rsidRPr="002A46BA" w:rsidRDefault="002D2985" w:rsidP="002A46BA">
            <w:pPr>
              <w:spacing w:before="120" w:after="240" w:line="240" w:lineRule="auto"/>
              <w:rPr>
                <w:rFonts w:ascii="Times New Roman" w:hAnsi="Times New Roman" w:cs="Times New Roman"/>
              </w:rPr>
            </w:pPr>
          </w:p>
          <w:p w:rsidR="002D2985" w:rsidRPr="002A46BA" w:rsidRDefault="002D2985" w:rsidP="002A46BA">
            <w:pPr>
              <w:spacing w:before="120" w:after="240" w:line="240" w:lineRule="auto"/>
              <w:rPr>
                <w:rFonts w:ascii="Times New Roman" w:hAnsi="Times New Roman" w:cs="Times New Roman"/>
              </w:rPr>
            </w:pPr>
          </w:p>
          <w:p w:rsidR="002D2985" w:rsidRPr="002A46BA" w:rsidRDefault="002D2985" w:rsidP="002A46BA">
            <w:pPr>
              <w:spacing w:before="120" w:after="240" w:line="240" w:lineRule="auto"/>
              <w:rPr>
                <w:rFonts w:ascii="Times New Roman" w:hAnsi="Times New Roman" w:cs="Times New Roman"/>
              </w:rPr>
            </w:pPr>
          </w:p>
          <w:p w:rsidR="002D2985" w:rsidRPr="002A46BA" w:rsidRDefault="002D2985" w:rsidP="002A46BA">
            <w:pPr>
              <w:spacing w:before="120" w:after="240" w:line="240" w:lineRule="auto"/>
              <w:rPr>
                <w:rFonts w:ascii="Times New Roman" w:hAnsi="Times New Roman" w:cs="Times New Roman"/>
              </w:rPr>
            </w:pPr>
          </w:p>
        </w:tc>
      </w:tr>
      <w:tr w:rsidR="009C5F12" w:rsidRPr="00525F08" w:rsidTr="008F298E">
        <w:trPr>
          <w:trHeight w:val="2006"/>
        </w:trPr>
        <w:tc>
          <w:tcPr>
            <w:tcW w:w="1338" w:type="pct"/>
            <w:tcBorders>
              <w:top w:val="single" w:sz="4" w:space="0" w:color="auto"/>
              <w:bottom w:val="single" w:sz="6" w:space="0" w:color="auto"/>
            </w:tcBorders>
          </w:tcPr>
          <w:p w:rsidR="009C5F12" w:rsidRPr="002A46BA" w:rsidRDefault="009C5F12" w:rsidP="002A46BA">
            <w:pPr>
              <w:spacing w:before="120" w:after="240" w:line="240" w:lineRule="auto"/>
              <w:rPr>
                <w:rFonts w:ascii="Times New Roman" w:hAnsi="Times New Roman" w:cs="Times New Roman"/>
                <w:b/>
              </w:rPr>
            </w:pPr>
            <w:r w:rsidRPr="002A46BA">
              <w:rPr>
                <w:rFonts w:ascii="Times New Roman" w:hAnsi="Times New Roman" w:cs="Times New Roman"/>
              </w:rPr>
              <w:lastRenderedPageBreak/>
              <w:t>rifabutin</w:t>
            </w:r>
            <w:r w:rsidRPr="002A46BA">
              <w:rPr>
                <w:rFonts w:ascii="Times New Roman" w:hAnsi="Times New Roman" w:cs="Times New Roman"/>
              </w:rPr>
              <w:br/>
            </w:r>
            <w:r w:rsidRPr="002A46BA">
              <w:rPr>
                <w:rFonts w:ascii="Times New Roman" w:hAnsi="Times New Roman" w:cs="Times New Roman"/>
              </w:rPr>
              <w:br/>
              <w:t>rifapentine</w:t>
            </w:r>
          </w:p>
        </w:tc>
        <w:tc>
          <w:tcPr>
            <w:tcW w:w="1031" w:type="pct"/>
            <w:tcBorders>
              <w:top w:val="single" w:sz="4" w:space="0" w:color="auto"/>
              <w:bottom w:val="single" w:sz="6" w:space="0" w:color="auto"/>
            </w:tcBorders>
          </w:tcPr>
          <w:p w:rsidR="009C5F12" w:rsidRPr="002A46BA" w:rsidRDefault="009C5F12" w:rsidP="002A46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sofosbuvir</w:t>
            </w:r>
          </w:p>
          <w:p w:rsidR="009C5F12" w:rsidRPr="002A46BA" w:rsidRDefault="009C5F12" w:rsidP="002A46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velpatasvir</w:t>
            </w:r>
          </w:p>
          <w:p w:rsidR="009C5F12" w:rsidRPr="002A46BA" w:rsidRDefault="009C5F12" w:rsidP="002A46BA">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00602A05">
              <w:rPr>
                <w:rFonts w:ascii="Times New Roman" w:hAnsi="Times New Roman" w:cs="Times New Roman"/>
              </w:rPr>
              <w:t xml:space="preserve"> voxilaprevir</w:t>
            </w:r>
          </w:p>
        </w:tc>
        <w:tc>
          <w:tcPr>
            <w:tcW w:w="2631" w:type="pct"/>
            <w:tcBorders>
              <w:top w:val="single" w:sz="4" w:space="0" w:color="auto"/>
              <w:bottom w:val="single" w:sz="6" w:space="0" w:color="auto"/>
            </w:tcBorders>
          </w:tcPr>
          <w:p w:rsidR="009C5F12" w:rsidRPr="002A46BA" w:rsidRDefault="009C5F12" w:rsidP="002A46BA">
            <w:pPr>
              <w:spacing w:before="120" w:after="240" w:line="240" w:lineRule="auto"/>
              <w:rPr>
                <w:rFonts w:ascii="Times New Roman" w:hAnsi="Times New Roman" w:cs="Times New Roman"/>
              </w:rPr>
            </w:pPr>
            <w:r w:rsidRPr="002A46BA">
              <w:rPr>
                <w:rFonts w:ascii="Times New Roman" w:hAnsi="Times New Roman" w:cs="Times New Roman"/>
              </w:rPr>
              <w:t>Coadministration is not recommended.</w:t>
            </w:r>
          </w:p>
        </w:tc>
      </w:tr>
      <w:tr w:rsidR="002D2985" w:rsidRPr="00525F08" w:rsidTr="005E1D85">
        <w:trPr>
          <w:trHeight w:val="1499"/>
        </w:trPr>
        <w:tc>
          <w:tcPr>
            <w:tcW w:w="1338" w:type="pct"/>
            <w:tcBorders>
              <w:top w:val="single" w:sz="6" w:space="0" w:color="auto"/>
              <w:bottom w:val="nil"/>
            </w:tcBorders>
          </w:tcPr>
          <w:p w:rsidR="002D2985" w:rsidRPr="002A46BA" w:rsidRDefault="002D2985" w:rsidP="005C0C71">
            <w:pPr>
              <w:spacing w:before="40" w:after="120"/>
              <w:rPr>
                <w:rFonts w:ascii="Times New Roman" w:hAnsi="Times New Roman" w:cs="Times New Roman"/>
                <w:b/>
              </w:rPr>
            </w:pPr>
            <w:r w:rsidRPr="002A46BA">
              <w:rPr>
                <w:rFonts w:ascii="Times New Roman" w:hAnsi="Times New Roman" w:cs="Times New Roman"/>
                <w:b/>
              </w:rPr>
              <w:t>Antiretrovirals:</w:t>
            </w:r>
          </w:p>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t>atazanavir</w:t>
            </w:r>
            <w:r w:rsidRPr="002A46BA">
              <w:rPr>
                <w:rFonts w:ascii="Times New Roman" w:hAnsi="Times New Roman" w:cs="Times New Roman"/>
                <w:vertAlign w:val="superscript"/>
              </w:rPr>
              <w:t>c</w:t>
            </w:r>
          </w:p>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t>lopinavir</w:t>
            </w:r>
          </w:p>
          <w:p w:rsidR="002D2985" w:rsidRPr="002A46BA" w:rsidRDefault="002D2985" w:rsidP="005C0C71">
            <w:pPr>
              <w:spacing w:before="40" w:after="120"/>
              <w:rPr>
                <w:rFonts w:ascii="Times New Roman" w:hAnsi="Times New Roman" w:cs="Times New Roman"/>
              </w:rPr>
            </w:pPr>
          </w:p>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t>efavirenz</w:t>
            </w:r>
            <w:r w:rsidRPr="002A46BA">
              <w:rPr>
                <w:rFonts w:ascii="Times New Roman" w:hAnsi="Times New Roman" w:cs="Times New Roman"/>
                <w:vertAlign w:val="superscript"/>
              </w:rPr>
              <w:t>c</w:t>
            </w:r>
          </w:p>
          <w:p w:rsidR="002D2985" w:rsidRPr="002A46BA" w:rsidRDefault="002D2985" w:rsidP="005C0C71">
            <w:pPr>
              <w:spacing w:before="40" w:after="120"/>
              <w:rPr>
                <w:rFonts w:ascii="Times New Roman" w:hAnsi="Times New Roman" w:cs="Times New Roman"/>
              </w:rPr>
            </w:pPr>
          </w:p>
        </w:tc>
        <w:tc>
          <w:tcPr>
            <w:tcW w:w="1031" w:type="pct"/>
            <w:tcBorders>
              <w:top w:val="single" w:sz="6" w:space="0" w:color="auto"/>
              <w:bottom w:val="nil"/>
            </w:tcBorders>
          </w:tcPr>
          <w:p w:rsidR="002D2985" w:rsidRPr="002A46BA" w:rsidRDefault="002D2985" w:rsidP="008F298E">
            <w:pPr>
              <w:spacing w:before="120" w:after="240" w:line="240" w:lineRule="auto"/>
              <w:rPr>
                <w:rFonts w:ascii="Times New Roman" w:hAnsi="Times New Roman" w:cs="Times New Roman"/>
              </w:rPr>
            </w:pPr>
          </w:p>
          <w:p w:rsidR="002D2985" w:rsidRPr="002A46BA" w:rsidRDefault="002D2985" w:rsidP="008F298E">
            <w:pPr>
              <w:pStyle w:val="Default"/>
              <w:spacing w:before="120" w:after="240"/>
              <w:jc w:val="both"/>
              <w:rPr>
                <w:sz w:val="22"/>
                <w:szCs w:val="22"/>
              </w:rPr>
            </w:pPr>
            <w:r w:rsidRPr="002A46BA">
              <w:rPr>
                <w:sz w:val="22"/>
                <w:szCs w:val="22"/>
              </w:rPr>
              <w:t xml:space="preserve">↑ voxilaprevir </w:t>
            </w:r>
          </w:p>
          <w:p w:rsidR="002D2985" w:rsidRPr="002A46BA" w:rsidRDefault="002D2985" w:rsidP="008F298E">
            <w:pPr>
              <w:spacing w:before="120" w:after="240" w:line="240" w:lineRule="auto"/>
              <w:rPr>
                <w:rFonts w:ascii="Times New Roman" w:hAnsi="Times New Roman" w:cs="Times New Roman"/>
              </w:rPr>
            </w:pPr>
          </w:p>
          <w:p w:rsidR="002D2985" w:rsidRPr="002A46BA" w:rsidRDefault="002D2985" w:rsidP="008F298E">
            <w:pPr>
              <w:spacing w:before="120" w:after="240" w:line="240" w:lineRule="auto"/>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velpatasvir</w:t>
            </w:r>
          </w:p>
          <w:p w:rsidR="002D2985" w:rsidRPr="002A46BA" w:rsidRDefault="002D2985" w:rsidP="008F298E">
            <w:pPr>
              <w:pStyle w:val="Default"/>
              <w:spacing w:before="120" w:after="240"/>
              <w:jc w:val="both"/>
              <w:rPr>
                <w:sz w:val="22"/>
                <w:szCs w:val="22"/>
              </w:rPr>
            </w:pPr>
            <w:r w:rsidRPr="002A46BA">
              <w:rPr>
                <w:sz w:val="22"/>
                <w:szCs w:val="22"/>
              </w:rPr>
              <w:sym w:font="Symbol" w:char="F0AF"/>
            </w:r>
            <w:r w:rsidRPr="002A46BA">
              <w:rPr>
                <w:sz w:val="22"/>
                <w:szCs w:val="22"/>
              </w:rPr>
              <w:t xml:space="preserve"> voxilaprevir </w:t>
            </w:r>
          </w:p>
          <w:p w:rsidR="002D2985" w:rsidRPr="002A46BA" w:rsidRDefault="002D2985" w:rsidP="008F298E">
            <w:pPr>
              <w:spacing w:before="120" w:after="240" w:line="240" w:lineRule="auto"/>
              <w:rPr>
                <w:rFonts w:ascii="Times New Roman" w:hAnsi="Times New Roman" w:cs="Times New Roman"/>
              </w:rPr>
            </w:pPr>
          </w:p>
        </w:tc>
        <w:tc>
          <w:tcPr>
            <w:tcW w:w="2631" w:type="pct"/>
            <w:tcBorders>
              <w:top w:val="single" w:sz="6" w:space="0" w:color="auto"/>
              <w:bottom w:val="nil"/>
            </w:tcBorders>
          </w:tcPr>
          <w:p w:rsidR="002D2985" w:rsidRPr="002A46BA" w:rsidRDefault="002D2985" w:rsidP="008F298E">
            <w:pPr>
              <w:spacing w:before="120" w:after="240" w:line="240" w:lineRule="auto"/>
              <w:rPr>
                <w:rFonts w:ascii="Times New Roman" w:hAnsi="Times New Roman" w:cs="Times New Roman"/>
              </w:rPr>
            </w:pPr>
          </w:p>
          <w:p w:rsidR="002D2985" w:rsidRPr="002A46BA" w:rsidRDefault="002D2985" w:rsidP="008F298E">
            <w:pPr>
              <w:spacing w:before="120" w:after="240" w:line="240" w:lineRule="auto"/>
              <w:rPr>
                <w:rFonts w:ascii="Times New Roman" w:hAnsi="Times New Roman" w:cs="Times New Roman"/>
              </w:rPr>
            </w:pPr>
            <w:r w:rsidRPr="002A46BA">
              <w:rPr>
                <w:rFonts w:ascii="Times New Roman" w:hAnsi="Times New Roman" w:cs="Times New Roman"/>
              </w:rPr>
              <w:t>Coadministration of VOSEVI with atazanavir- or lopinavir-containing regimens is not recommended.</w:t>
            </w:r>
          </w:p>
          <w:p w:rsidR="002D2985" w:rsidRPr="002A46BA" w:rsidRDefault="002D2985" w:rsidP="008F298E">
            <w:pPr>
              <w:spacing w:before="120" w:after="240" w:line="240" w:lineRule="auto"/>
              <w:rPr>
                <w:rFonts w:ascii="Times New Roman" w:hAnsi="Times New Roman" w:cs="Times New Roman"/>
              </w:rPr>
            </w:pPr>
            <w:r w:rsidRPr="002A46BA">
              <w:rPr>
                <w:rFonts w:ascii="Times New Roman" w:hAnsi="Times New Roman" w:cs="Times New Roman"/>
              </w:rPr>
              <w:br/>
              <w:t>Coadministration of VOSEVI with efavirenz containing regimens is not recommended.</w:t>
            </w:r>
          </w:p>
        </w:tc>
      </w:tr>
      <w:tr w:rsidR="002D2985" w:rsidRPr="00525F08" w:rsidTr="005E1D85">
        <w:trPr>
          <w:trHeight w:val="20"/>
        </w:trPr>
        <w:tc>
          <w:tcPr>
            <w:tcW w:w="1338" w:type="pct"/>
            <w:tcBorders>
              <w:top w:val="nil"/>
              <w:bottom w:val="single" w:sz="6" w:space="0" w:color="auto"/>
            </w:tcBorders>
          </w:tcPr>
          <w:p w:rsidR="002D2985" w:rsidRPr="002A46BA" w:rsidRDefault="002D2985" w:rsidP="005C0C71">
            <w:pPr>
              <w:spacing w:before="40" w:after="120"/>
              <w:rPr>
                <w:rFonts w:ascii="Times New Roman" w:hAnsi="Times New Roman" w:cs="Times New Roman"/>
                <w:b/>
              </w:rPr>
            </w:pPr>
            <w:r w:rsidRPr="002A46BA">
              <w:rPr>
                <w:rFonts w:ascii="Times New Roman" w:hAnsi="Times New Roman" w:cs="Times New Roman"/>
              </w:rPr>
              <w:t>tenofovir disoproxil fumarate (tenofovir DF)</w:t>
            </w:r>
            <w:r w:rsidRPr="002A46BA">
              <w:rPr>
                <w:rFonts w:ascii="Times New Roman" w:hAnsi="Times New Roman" w:cs="Times New Roman"/>
                <w:vertAlign w:val="superscript"/>
              </w:rPr>
              <w:t>c</w:t>
            </w:r>
          </w:p>
        </w:tc>
        <w:tc>
          <w:tcPr>
            <w:tcW w:w="1031" w:type="pct"/>
            <w:tcBorders>
              <w:top w:val="nil"/>
              <w:bottom w:val="single" w:sz="6" w:space="0" w:color="auto"/>
            </w:tcBorders>
          </w:tcPr>
          <w:p w:rsidR="002D2985" w:rsidRPr="002A46BA" w:rsidRDefault="002D2985" w:rsidP="008F298E">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tenofovir</w:t>
            </w:r>
          </w:p>
        </w:tc>
        <w:tc>
          <w:tcPr>
            <w:tcW w:w="2631" w:type="pct"/>
            <w:tcBorders>
              <w:top w:val="nil"/>
              <w:bottom w:val="single" w:sz="6" w:space="0" w:color="auto"/>
            </w:tcBorders>
          </w:tcPr>
          <w:p w:rsidR="002D2985" w:rsidRPr="002A46BA" w:rsidRDefault="002D2985" w:rsidP="008F298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rPr>
                <w:rFonts w:ascii="Times New Roman" w:hAnsi="Times New Roman" w:cs="Times New Roman"/>
              </w:rPr>
            </w:pPr>
            <w:r w:rsidRPr="002A46BA">
              <w:rPr>
                <w:rFonts w:ascii="Times New Roman" w:hAnsi="Times New Roman" w:cs="Times New Roman"/>
              </w:rPr>
              <w:t>Monitor for tenofovir-associated adverse reactions in patients receiving VOSEVI concomitantly with a regimen containing tenofovir DF. Refer to the</w:t>
            </w:r>
            <w:r w:rsidRPr="002A46BA" w:rsidDel="007D3CD9">
              <w:rPr>
                <w:rFonts w:ascii="Times New Roman" w:hAnsi="Times New Roman" w:cs="Times New Roman"/>
              </w:rPr>
              <w:t xml:space="preserve"> </w:t>
            </w:r>
            <w:r w:rsidRPr="002A46BA">
              <w:rPr>
                <w:rFonts w:ascii="Times New Roman" w:hAnsi="Times New Roman" w:cs="Times New Roman"/>
              </w:rPr>
              <w:t>prescribing information of the tenofovir DF-containing product for recommendations on renal monitoring.</w:t>
            </w:r>
            <w:r w:rsidRPr="002A46BA" w:rsidDel="007D3CD9">
              <w:rPr>
                <w:rFonts w:ascii="Times New Roman" w:hAnsi="Times New Roman" w:cs="Times New Roman"/>
              </w:rPr>
              <w:t xml:space="preserve"> </w:t>
            </w:r>
          </w:p>
        </w:tc>
      </w:tr>
      <w:tr w:rsidR="002D2985" w:rsidRPr="00525F08" w:rsidTr="006E68ED">
        <w:trPr>
          <w:trHeight w:val="20"/>
        </w:trPr>
        <w:tc>
          <w:tcPr>
            <w:tcW w:w="1338" w:type="pct"/>
            <w:tcBorders>
              <w:top w:val="single" w:sz="6" w:space="0" w:color="auto"/>
              <w:bottom w:val="single" w:sz="6" w:space="0" w:color="auto"/>
            </w:tcBorders>
          </w:tcPr>
          <w:p w:rsidR="002D2985" w:rsidRPr="002A46BA" w:rsidRDefault="002D2985" w:rsidP="005C0C71">
            <w:pPr>
              <w:spacing w:before="40" w:after="120"/>
              <w:rPr>
                <w:rFonts w:ascii="Times New Roman" w:hAnsi="Times New Roman" w:cs="Times New Roman"/>
                <w:b/>
              </w:rPr>
            </w:pPr>
            <w:r w:rsidRPr="002A46BA">
              <w:rPr>
                <w:rFonts w:ascii="Times New Roman" w:hAnsi="Times New Roman" w:cs="Times New Roman"/>
                <w:b/>
              </w:rPr>
              <w:t>Herbal Supplements:</w:t>
            </w:r>
          </w:p>
          <w:p w:rsidR="002D2985" w:rsidRPr="002A46BA" w:rsidRDefault="002D2985" w:rsidP="005C0C71">
            <w:pPr>
              <w:spacing w:before="40" w:after="120"/>
              <w:rPr>
                <w:rFonts w:ascii="Times New Roman" w:hAnsi="Times New Roman" w:cs="Times New Roman"/>
                <w:b/>
              </w:rPr>
            </w:pPr>
            <w:r w:rsidRPr="002A46BA">
              <w:rPr>
                <w:rFonts w:ascii="Times New Roman" w:hAnsi="Times New Roman" w:cs="Times New Roman"/>
              </w:rPr>
              <w:t>St. John’s wort</w:t>
            </w:r>
          </w:p>
        </w:tc>
        <w:tc>
          <w:tcPr>
            <w:tcW w:w="1031" w:type="pct"/>
            <w:tcBorders>
              <w:top w:val="single" w:sz="6" w:space="0" w:color="auto"/>
              <w:bottom w:val="single" w:sz="6" w:space="0" w:color="auto"/>
            </w:tcBorders>
          </w:tcPr>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sofosbuvir</w:t>
            </w:r>
          </w:p>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velpatasvir</w:t>
            </w:r>
          </w:p>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sym w:font="Symbol" w:char="F0AF"/>
            </w:r>
            <w:r w:rsidRPr="002A46BA">
              <w:rPr>
                <w:rFonts w:ascii="Times New Roman" w:hAnsi="Times New Roman" w:cs="Times New Roman"/>
              </w:rPr>
              <w:t xml:space="preserve"> voxilaprevir</w:t>
            </w:r>
          </w:p>
        </w:tc>
        <w:tc>
          <w:tcPr>
            <w:tcW w:w="2631" w:type="pct"/>
            <w:tcBorders>
              <w:top w:val="single" w:sz="6" w:space="0" w:color="auto"/>
              <w:bottom w:val="single" w:sz="6" w:space="0" w:color="auto"/>
            </w:tcBorders>
          </w:tcPr>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t>Coadministration is not recommended.</w:t>
            </w:r>
          </w:p>
        </w:tc>
      </w:tr>
      <w:tr w:rsidR="002D2985" w:rsidRPr="00525F08" w:rsidTr="005E1D85">
        <w:trPr>
          <w:trHeight w:val="20"/>
        </w:trPr>
        <w:tc>
          <w:tcPr>
            <w:tcW w:w="1338" w:type="pct"/>
            <w:tcBorders>
              <w:top w:val="single" w:sz="6" w:space="0" w:color="auto"/>
              <w:bottom w:val="single" w:sz="6" w:space="0" w:color="auto"/>
            </w:tcBorders>
          </w:tcPr>
          <w:p w:rsidR="002D2985" w:rsidRPr="002A46BA" w:rsidRDefault="002D2985" w:rsidP="008F298E">
            <w:pPr>
              <w:spacing w:before="120" w:after="240" w:line="240" w:lineRule="auto"/>
              <w:rPr>
                <w:rFonts w:ascii="Times New Roman" w:hAnsi="Times New Roman" w:cs="Times New Roman"/>
                <w:b/>
              </w:rPr>
            </w:pPr>
            <w:r w:rsidRPr="002A46BA">
              <w:rPr>
                <w:rFonts w:ascii="Times New Roman" w:hAnsi="Times New Roman" w:cs="Times New Roman"/>
                <w:b/>
              </w:rPr>
              <w:t>HMG-CoA Reductase Inhibitors:</w:t>
            </w:r>
          </w:p>
          <w:p w:rsidR="002D2985" w:rsidRPr="002A46BA" w:rsidRDefault="002D2985" w:rsidP="008F298E">
            <w:pPr>
              <w:spacing w:before="120" w:after="240" w:line="240" w:lineRule="auto"/>
              <w:rPr>
                <w:rFonts w:ascii="Times New Roman" w:hAnsi="Times New Roman" w:cs="Times New Roman"/>
              </w:rPr>
            </w:pPr>
            <w:r w:rsidRPr="002A46BA">
              <w:rPr>
                <w:rFonts w:ascii="Times New Roman" w:hAnsi="Times New Roman" w:cs="Times New Roman"/>
              </w:rPr>
              <w:t>pravastatin</w:t>
            </w:r>
            <w:r w:rsidRPr="002A46BA">
              <w:rPr>
                <w:rFonts w:ascii="Times New Roman" w:hAnsi="Times New Roman" w:cs="Times New Roman"/>
                <w:vertAlign w:val="superscript"/>
              </w:rPr>
              <w:t>c</w:t>
            </w:r>
          </w:p>
          <w:p w:rsidR="002D2985" w:rsidRPr="002A46BA" w:rsidRDefault="002D2985" w:rsidP="008F298E">
            <w:pPr>
              <w:spacing w:before="120" w:after="240" w:line="240" w:lineRule="auto"/>
              <w:rPr>
                <w:rFonts w:ascii="Times New Roman" w:hAnsi="Times New Roman" w:cs="Times New Roman"/>
              </w:rPr>
            </w:pPr>
          </w:p>
          <w:p w:rsidR="008F298E" w:rsidRDefault="008F298E" w:rsidP="008F298E">
            <w:pPr>
              <w:pageBreakBefore/>
              <w:spacing w:before="120" w:after="240" w:line="240" w:lineRule="auto"/>
              <w:rPr>
                <w:rFonts w:ascii="Times New Roman" w:hAnsi="Times New Roman" w:cs="Times New Roman"/>
              </w:rPr>
            </w:pPr>
          </w:p>
          <w:p w:rsidR="002D2985" w:rsidRPr="002A46BA" w:rsidRDefault="002D2985" w:rsidP="008F298E">
            <w:pPr>
              <w:spacing w:before="120" w:after="240" w:line="240" w:lineRule="auto"/>
              <w:rPr>
                <w:rFonts w:ascii="Times New Roman" w:hAnsi="Times New Roman" w:cs="Times New Roman"/>
              </w:rPr>
            </w:pPr>
          </w:p>
          <w:p w:rsidR="002D2985" w:rsidRPr="002A46BA" w:rsidRDefault="002D2985" w:rsidP="008F298E">
            <w:pPr>
              <w:spacing w:before="120" w:after="240" w:line="240" w:lineRule="auto"/>
              <w:rPr>
                <w:rFonts w:ascii="Times New Roman" w:hAnsi="Times New Roman" w:cs="Times New Roman"/>
              </w:rPr>
            </w:pPr>
          </w:p>
        </w:tc>
        <w:tc>
          <w:tcPr>
            <w:tcW w:w="1031" w:type="pct"/>
            <w:tcBorders>
              <w:top w:val="single" w:sz="6" w:space="0" w:color="auto"/>
              <w:bottom w:val="single" w:sz="6" w:space="0" w:color="auto"/>
            </w:tcBorders>
          </w:tcPr>
          <w:p w:rsidR="008F298E" w:rsidRDefault="008F298E" w:rsidP="008F298E">
            <w:pPr>
              <w:spacing w:before="120" w:after="240" w:line="240" w:lineRule="auto"/>
              <w:rPr>
                <w:rFonts w:ascii="Times New Roman" w:hAnsi="Times New Roman" w:cs="Times New Roman"/>
              </w:rPr>
            </w:pPr>
          </w:p>
          <w:p w:rsidR="002D2985" w:rsidRPr="002A46BA" w:rsidRDefault="002D2985" w:rsidP="008F298E">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pravastatin</w:t>
            </w:r>
          </w:p>
          <w:p w:rsidR="00D169BE" w:rsidRPr="002A46BA" w:rsidRDefault="00D169BE" w:rsidP="008F298E">
            <w:pPr>
              <w:spacing w:before="120" w:after="240" w:line="240" w:lineRule="auto"/>
              <w:rPr>
                <w:rFonts w:ascii="Times New Roman" w:hAnsi="Times New Roman" w:cs="Times New Roman"/>
              </w:rPr>
            </w:pPr>
          </w:p>
          <w:p w:rsidR="002A46BA" w:rsidRDefault="002A46BA" w:rsidP="008F298E">
            <w:pPr>
              <w:spacing w:before="120" w:after="240" w:line="240" w:lineRule="auto"/>
              <w:rPr>
                <w:rFonts w:ascii="Times New Roman" w:hAnsi="Times New Roman" w:cs="Times New Roman"/>
              </w:rPr>
            </w:pPr>
          </w:p>
          <w:p w:rsidR="002D2985" w:rsidRPr="002A46BA" w:rsidRDefault="002D2985" w:rsidP="008F298E">
            <w:pPr>
              <w:spacing w:before="120" w:after="240" w:line="240" w:lineRule="auto"/>
              <w:rPr>
                <w:rFonts w:ascii="Times New Roman" w:hAnsi="Times New Roman" w:cs="Times New Roman"/>
              </w:rPr>
            </w:pPr>
          </w:p>
        </w:tc>
        <w:tc>
          <w:tcPr>
            <w:tcW w:w="2631" w:type="pct"/>
            <w:tcBorders>
              <w:top w:val="single" w:sz="6" w:space="0" w:color="auto"/>
              <w:bottom w:val="single" w:sz="6" w:space="0" w:color="auto"/>
            </w:tcBorders>
          </w:tcPr>
          <w:p w:rsidR="008F298E" w:rsidRDefault="002D2985" w:rsidP="008F298E">
            <w:pPr>
              <w:spacing w:before="120" w:after="240" w:line="240" w:lineRule="auto"/>
              <w:rPr>
                <w:rFonts w:ascii="Times New Roman" w:hAnsi="Times New Roman" w:cs="Times New Roman"/>
              </w:rPr>
            </w:pPr>
            <w:r w:rsidRPr="002A46BA">
              <w:rPr>
                <w:rFonts w:ascii="Times New Roman" w:hAnsi="Times New Roman" w:cs="Times New Roman"/>
              </w:rPr>
              <w:t>Coadministration of VOSEVI with pravastatin has been shown to increase the concentration of pravastatin, which is associated with increased risk of myopathy, including rhabdomyolysis. Pravastatin may be administered with VOSEVI at a dose that does not exceed pravastatin 40 mg.</w:t>
            </w:r>
          </w:p>
          <w:p w:rsidR="002D2985" w:rsidRPr="002A46BA" w:rsidRDefault="002D2985" w:rsidP="008F298E">
            <w:pPr>
              <w:pageBreakBefore/>
              <w:spacing w:before="120" w:after="240" w:line="240" w:lineRule="auto"/>
              <w:rPr>
                <w:rFonts w:ascii="Times New Roman" w:hAnsi="Times New Roman" w:cs="Times New Roman"/>
              </w:rPr>
            </w:pPr>
          </w:p>
        </w:tc>
      </w:tr>
      <w:tr w:rsidR="00760E28" w:rsidRPr="00525F08" w:rsidTr="005E1D85">
        <w:trPr>
          <w:trHeight w:val="20"/>
        </w:trPr>
        <w:tc>
          <w:tcPr>
            <w:tcW w:w="1338" w:type="pct"/>
            <w:tcBorders>
              <w:top w:val="single" w:sz="6" w:space="0" w:color="auto"/>
              <w:bottom w:val="single" w:sz="6" w:space="0" w:color="auto"/>
            </w:tcBorders>
          </w:tcPr>
          <w:p w:rsidR="00760E28" w:rsidRPr="002A46BA" w:rsidRDefault="00760E28" w:rsidP="00760E28">
            <w:pPr>
              <w:pageBreakBefore/>
              <w:spacing w:before="120" w:after="240" w:line="240" w:lineRule="auto"/>
              <w:rPr>
                <w:rFonts w:ascii="Times New Roman" w:hAnsi="Times New Roman" w:cs="Times New Roman"/>
                <w:vertAlign w:val="superscript"/>
              </w:rPr>
            </w:pPr>
            <w:r w:rsidRPr="002A46BA">
              <w:rPr>
                <w:rFonts w:ascii="Times New Roman" w:hAnsi="Times New Roman" w:cs="Times New Roman"/>
              </w:rPr>
              <w:lastRenderedPageBreak/>
              <w:t>rosuvastatin</w:t>
            </w:r>
            <w:r w:rsidRPr="002A46BA">
              <w:rPr>
                <w:rFonts w:ascii="Times New Roman" w:hAnsi="Times New Roman" w:cs="Times New Roman"/>
                <w:vertAlign w:val="superscript"/>
              </w:rPr>
              <w:t>c</w:t>
            </w:r>
          </w:p>
          <w:p w:rsidR="00760E28" w:rsidRPr="002A46BA" w:rsidRDefault="00760E28" w:rsidP="00760E28">
            <w:pPr>
              <w:spacing w:before="120" w:after="240" w:line="240" w:lineRule="auto"/>
              <w:rPr>
                <w:rFonts w:ascii="Times New Roman" w:hAnsi="Times New Roman" w:cs="Times New Roman"/>
                <w:vertAlign w:val="superscript"/>
              </w:rPr>
            </w:pPr>
          </w:p>
          <w:p w:rsidR="00760E28" w:rsidRPr="002A46BA" w:rsidRDefault="00760E28" w:rsidP="00760E28">
            <w:pPr>
              <w:spacing w:before="120" w:after="240" w:line="240" w:lineRule="auto"/>
              <w:rPr>
                <w:rFonts w:ascii="Times New Roman" w:hAnsi="Times New Roman" w:cs="Times New Roman"/>
              </w:rPr>
            </w:pPr>
          </w:p>
          <w:p w:rsidR="00760E28" w:rsidRPr="002A46BA"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t>atorvastatin</w:t>
            </w:r>
            <w:r w:rsidRPr="00612373">
              <w:rPr>
                <w:rFonts w:ascii="Times New Roman" w:hAnsi="Times New Roman" w:cs="Times New Roman"/>
                <w:vertAlign w:val="superscript"/>
              </w:rPr>
              <w:t>c</w:t>
            </w:r>
          </w:p>
          <w:p w:rsidR="00760E28" w:rsidRPr="002A46BA"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t>fluvastatin</w:t>
            </w:r>
          </w:p>
          <w:p w:rsidR="00760E28" w:rsidRPr="002A46BA"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t>lovastatin</w:t>
            </w:r>
          </w:p>
          <w:p w:rsidR="00760E28" w:rsidRPr="002A46BA" w:rsidRDefault="00760E28" w:rsidP="00760E28">
            <w:pPr>
              <w:spacing w:before="120" w:after="240" w:line="240" w:lineRule="auto"/>
              <w:rPr>
                <w:rFonts w:ascii="Times New Roman" w:hAnsi="Times New Roman" w:cs="Times New Roman"/>
                <w:b/>
              </w:rPr>
            </w:pPr>
            <w:r w:rsidRPr="002A46BA">
              <w:rPr>
                <w:rFonts w:ascii="Times New Roman" w:hAnsi="Times New Roman" w:cs="Times New Roman"/>
              </w:rPr>
              <w:t>simvastatin</w:t>
            </w:r>
          </w:p>
        </w:tc>
        <w:tc>
          <w:tcPr>
            <w:tcW w:w="1031" w:type="pct"/>
            <w:tcBorders>
              <w:top w:val="single" w:sz="6" w:space="0" w:color="auto"/>
              <w:bottom w:val="single" w:sz="6" w:space="0" w:color="auto"/>
            </w:tcBorders>
          </w:tcPr>
          <w:p w:rsidR="00760E28" w:rsidRPr="002A46BA"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rosuvastatin</w:t>
            </w:r>
          </w:p>
          <w:p w:rsidR="00760E28" w:rsidRPr="002A46BA" w:rsidRDefault="00760E28" w:rsidP="00760E28">
            <w:pPr>
              <w:spacing w:before="120" w:after="240" w:line="240" w:lineRule="auto"/>
              <w:rPr>
                <w:rFonts w:ascii="Times New Roman" w:hAnsi="Times New Roman" w:cs="Times New Roman"/>
              </w:rPr>
            </w:pPr>
          </w:p>
          <w:p w:rsidR="00760E28" w:rsidRPr="002A46BA" w:rsidRDefault="00760E28" w:rsidP="00760E28">
            <w:pPr>
              <w:spacing w:before="120" w:after="240" w:line="240" w:lineRule="auto"/>
              <w:rPr>
                <w:rFonts w:ascii="Times New Roman" w:hAnsi="Times New Roman" w:cs="Times New Roman"/>
              </w:rPr>
            </w:pPr>
          </w:p>
          <w:p w:rsidR="00760E28" w:rsidRPr="002A46BA"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atorvastatin</w:t>
            </w:r>
          </w:p>
          <w:p w:rsidR="00760E28" w:rsidRPr="002A46BA"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fluvastatin</w:t>
            </w:r>
          </w:p>
          <w:p w:rsidR="00760E28" w:rsidRPr="002A46BA"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lovastatin</w:t>
            </w:r>
          </w:p>
          <w:p w:rsidR="00760E28"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simvastatin</w:t>
            </w:r>
          </w:p>
        </w:tc>
        <w:tc>
          <w:tcPr>
            <w:tcW w:w="2631" w:type="pct"/>
            <w:tcBorders>
              <w:top w:val="single" w:sz="6" w:space="0" w:color="auto"/>
              <w:bottom w:val="single" w:sz="6" w:space="0" w:color="auto"/>
            </w:tcBorders>
          </w:tcPr>
          <w:p w:rsidR="00760E28"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t xml:space="preserve">Coadministration with </w:t>
            </w:r>
            <w:r>
              <w:rPr>
                <w:rFonts w:ascii="Times New Roman" w:hAnsi="Times New Roman" w:cs="Times New Roman"/>
              </w:rPr>
              <w:t>rosuvastatin is contraindicated.</w:t>
            </w:r>
          </w:p>
          <w:p w:rsidR="00760E28" w:rsidRPr="002A46BA" w:rsidRDefault="00760E28" w:rsidP="00760E28">
            <w:pPr>
              <w:spacing w:before="120" w:after="240" w:line="240" w:lineRule="auto"/>
              <w:rPr>
                <w:rFonts w:ascii="Times New Roman" w:hAnsi="Times New Roman" w:cs="Times New Roman"/>
              </w:rPr>
            </w:pPr>
          </w:p>
          <w:p w:rsidR="00760E28" w:rsidRPr="002A46BA" w:rsidRDefault="00760E28" w:rsidP="00760E28">
            <w:pPr>
              <w:spacing w:before="120" w:after="240" w:line="240" w:lineRule="auto"/>
              <w:rPr>
                <w:rFonts w:ascii="Times New Roman" w:hAnsi="Times New Roman" w:cs="Times New Roman"/>
              </w:rPr>
            </w:pPr>
            <w:r w:rsidRPr="002A46BA">
              <w:rPr>
                <w:rFonts w:ascii="Times New Roman" w:hAnsi="Times New Roman" w:cs="Times New Roman"/>
              </w:rPr>
              <w:t xml:space="preserve">Coadministration with VOSEVI may increase the concentrations of atorvastatin, fluvastatin, lovastatin, and simvastatin. Increased statin concentrations may increase the risk of myopathy, including rhabdomyolysis. Use the lowest approved statin dose. If higher doses are needed, use the lowest necessary statin dose based on a risk/benefit </w:t>
            </w:r>
            <w:r w:rsidRPr="006E68ED">
              <w:rPr>
                <w:rFonts w:ascii="Times New Roman" w:hAnsi="Times New Roman" w:cs="Times New Roman"/>
              </w:rPr>
              <w:t>assessment.</w:t>
            </w:r>
          </w:p>
        </w:tc>
      </w:tr>
      <w:tr w:rsidR="002D2985" w:rsidRPr="00525F08" w:rsidTr="005E1D85">
        <w:trPr>
          <w:trHeight w:val="20"/>
        </w:trPr>
        <w:tc>
          <w:tcPr>
            <w:tcW w:w="1338" w:type="pct"/>
            <w:tcBorders>
              <w:top w:val="single" w:sz="6" w:space="0" w:color="auto"/>
              <w:bottom w:val="single" w:sz="6" w:space="0" w:color="auto"/>
            </w:tcBorders>
          </w:tcPr>
          <w:p w:rsidR="002D2985" w:rsidRPr="002A46BA" w:rsidRDefault="002D2985" w:rsidP="005C0C71">
            <w:pPr>
              <w:spacing w:before="40" w:after="120"/>
              <w:rPr>
                <w:rFonts w:ascii="Times New Roman" w:hAnsi="Times New Roman" w:cs="Times New Roman"/>
                <w:b/>
              </w:rPr>
            </w:pPr>
            <w:r w:rsidRPr="002A46BA">
              <w:rPr>
                <w:rFonts w:ascii="Times New Roman" w:hAnsi="Times New Roman" w:cs="Times New Roman"/>
                <w:b/>
              </w:rPr>
              <w:t>Immunosuppres</w:t>
            </w:r>
            <w:r w:rsidR="005E1D85" w:rsidRPr="002A46BA">
              <w:rPr>
                <w:rFonts w:ascii="Times New Roman" w:hAnsi="Times New Roman" w:cs="Times New Roman"/>
                <w:b/>
              </w:rPr>
              <w:t>s</w:t>
            </w:r>
            <w:r w:rsidRPr="002A46BA">
              <w:rPr>
                <w:rFonts w:ascii="Times New Roman" w:hAnsi="Times New Roman" w:cs="Times New Roman"/>
                <w:b/>
              </w:rPr>
              <w:t>ants:</w:t>
            </w:r>
          </w:p>
          <w:p w:rsidR="002D2985" w:rsidRPr="002A46BA" w:rsidRDefault="002D2985" w:rsidP="005C0C71">
            <w:pPr>
              <w:spacing w:before="40" w:after="120"/>
              <w:rPr>
                <w:rFonts w:ascii="Times New Roman" w:hAnsi="Times New Roman" w:cs="Times New Roman"/>
                <w:b/>
              </w:rPr>
            </w:pPr>
            <w:r w:rsidRPr="002A46BA">
              <w:rPr>
                <w:rFonts w:ascii="Times New Roman" w:hAnsi="Times New Roman" w:cs="Times New Roman"/>
              </w:rPr>
              <w:t>cyclosporine</w:t>
            </w:r>
            <w:r w:rsidRPr="002A46BA">
              <w:rPr>
                <w:rFonts w:ascii="Times New Roman" w:hAnsi="Times New Roman" w:cs="Times New Roman"/>
                <w:vertAlign w:val="superscript"/>
              </w:rPr>
              <w:t>c</w:t>
            </w:r>
          </w:p>
        </w:tc>
        <w:tc>
          <w:tcPr>
            <w:tcW w:w="1031" w:type="pct"/>
            <w:tcBorders>
              <w:top w:val="single" w:sz="6" w:space="0" w:color="auto"/>
              <w:bottom w:val="single" w:sz="6" w:space="0" w:color="auto"/>
            </w:tcBorders>
          </w:tcPr>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sym w:font="Symbol" w:char="F0AD"/>
            </w:r>
            <w:r w:rsidRPr="002A46BA">
              <w:rPr>
                <w:rFonts w:ascii="Times New Roman" w:hAnsi="Times New Roman" w:cs="Times New Roman"/>
              </w:rPr>
              <w:t xml:space="preserve"> voxilaprevir</w:t>
            </w:r>
          </w:p>
        </w:tc>
        <w:tc>
          <w:tcPr>
            <w:tcW w:w="2631" w:type="pct"/>
            <w:tcBorders>
              <w:top w:val="single" w:sz="6" w:space="0" w:color="auto"/>
              <w:bottom w:val="single" w:sz="6" w:space="0" w:color="auto"/>
            </w:tcBorders>
          </w:tcPr>
          <w:p w:rsidR="002D2985" w:rsidRPr="002A46BA" w:rsidRDefault="002D2985" w:rsidP="005C0C71">
            <w:pPr>
              <w:spacing w:before="40" w:after="120"/>
              <w:rPr>
                <w:rFonts w:ascii="Times New Roman" w:hAnsi="Times New Roman" w:cs="Times New Roman"/>
              </w:rPr>
            </w:pPr>
            <w:r w:rsidRPr="002A46BA">
              <w:rPr>
                <w:rFonts w:ascii="Times New Roman" w:hAnsi="Times New Roman" w:cs="Times New Roman"/>
              </w:rPr>
              <w:t>Coadministration of voxilaprevir with cyclosporine has been shown to substantially increase the plasma concentration of voxilaprevir, the safety of which has not been established. Coadministration of VOSEVI with cyclosporine is not recommended.</w:t>
            </w:r>
          </w:p>
        </w:tc>
      </w:tr>
      <w:tr w:rsidR="005E1D85" w:rsidRPr="00525F08" w:rsidTr="005E1D85">
        <w:trPr>
          <w:trHeight w:val="20"/>
        </w:trPr>
        <w:tc>
          <w:tcPr>
            <w:tcW w:w="1338" w:type="pct"/>
            <w:tcBorders>
              <w:top w:val="single" w:sz="6" w:space="0" w:color="auto"/>
              <w:bottom w:val="single" w:sz="12" w:space="0" w:color="auto"/>
            </w:tcBorders>
          </w:tcPr>
          <w:p w:rsidR="005E1D85" w:rsidRPr="005E1D85" w:rsidRDefault="005E1D85" w:rsidP="005E1D85">
            <w:pPr>
              <w:spacing w:before="40" w:after="120"/>
              <w:rPr>
                <w:rFonts w:ascii="Times New Roman" w:hAnsi="Times New Roman" w:cs="Times New Roman"/>
                <w:b/>
                <w:lang w:val="en-CA"/>
              </w:rPr>
            </w:pPr>
            <w:r w:rsidRPr="005E1D85">
              <w:rPr>
                <w:rFonts w:ascii="Times New Roman" w:hAnsi="Times New Roman" w:cs="Times New Roman"/>
                <w:b/>
                <w:bCs/>
              </w:rPr>
              <w:t>Oral Contraceptives:</w:t>
            </w:r>
          </w:p>
          <w:p w:rsidR="005E1D85" w:rsidRPr="00EF5EB5" w:rsidRDefault="005E1D85" w:rsidP="005E1D85">
            <w:pPr>
              <w:spacing w:before="40" w:after="120"/>
              <w:rPr>
                <w:rFonts w:ascii="Times New Roman" w:hAnsi="Times New Roman" w:cs="Times New Roman"/>
                <w:b/>
                <w:sz w:val="24"/>
                <w:szCs w:val="24"/>
              </w:rPr>
            </w:pPr>
            <w:r w:rsidRPr="005E1D85">
              <w:rPr>
                <w:rFonts w:ascii="Times New Roman" w:hAnsi="Times New Roman" w:cs="Times New Roman"/>
                <w:lang w:val="en-CA"/>
              </w:rPr>
              <w:t>ethinyl estradiol-containing drugs</w:t>
            </w:r>
          </w:p>
        </w:tc>
        <w:tc>
          <w:tcPr>
            <w:tcW w:w="1031" w:type="pct"/>
            <w:tcBorders>
              <w:top w:val="single" w:sz="6" w:space="0" w:color="auto"/>
              <w:bottom w:val="single" w:sz="12" w:space="0" w:color="auto"/>
            </w:tcBorders>
          </w:tcPr>
          <w:p w:rsidR="005E1D85" w:rsidRPr="005E1D85" w:rsidRDefault="005E1D85" w:rsidP="005C0C71">
            <w:pPr>
              <w:spacing w:before="40" w:after="120"/>
              <w:rPr>
                <w:rFonts w:ascii="Times New Roman" w:hAnsi="Times New Roman" w:cs="Times New Roman"/>
                <w:sz w:val="24"/>
                <w:szCs w:val="24"/>
              </w:rPr>
            </w:pPr>
            <w:r w:rsidRPr="005E1D85">
              <w:rPr>
                <w:rFonts w:ascii="Times New Roman" w:hAnsi="Times New Roman" w:cs="Times New Roman"/>
                <w:color w:val="000000"/>
                <w:lang w:val="en-CA"/>
              </w:rPr>
              <w:t>↔</w:t>
            </w:r>
          </w:p>
        </w:tc>
        <w:tc>
          <w:tcPr>
            <w:tcW w:w="2631" w:type="pct"/>
            <w:tcBorders>
              <w:top w:val="single" w:sz="6" w:space="0" w:color="auto"/>
              <w:bottom w:val="single" w:sz="12" w:space="0" w:color="auto"/>
            </w:tcBorders>
          </w:tcPr>
          <w:p w:rsidR="005E1D85" w:rsidRPr="005E1D85" w:rsidRDefault="005E1D85" w:rsidP="007B7D22">
            <w:pPr>
              <w:spacing w:before="40" w:after="120"/>
              <w:rPr>
                <w:rFonts w:ascii="Times New Roman" w:hAnsi="Times New Roman" w:cs="Times New Roman"/>
              </w:rPr>
            </w:pPr>
            <w:r w:rsidRPr="005E1D85">
              <w:rPr>
                <w:rFonts w:ascii="Times New Roman" w:hAnsi="Times New Roman" w:cs="Times New Roman"/>
                <w:lang w:val="en-CA"/>
              </w:rPr>
              <w:t>Coadministration of VOSEVI with ethinyl estradiol-containing drugs may increase the risk of ALT elevation. Monitoring of ALT may be considered.</w:t>
            </w:r>
          </w:p>
        </w:tc>
      </w:tr>
    </w:tbl>
    <w:p w:rsidR="002D2985" w:rsidRPr="00525F08" w:rsidRDefault="002D2985" w:rsidP="002D2985">
      <w:pPr>
        <w:pStyle w:val="TableFooter"/>
        <w:spacing w:before="0" w:after="0"/>
        <w:ind w:left="329" w:hanging="329"/>
      </w:pPr>
      <w:r w:rsidRPr="00525F08">
        <w:t>a</w:t>
      </w:r>
      <w:r w:rsidRPr="00525F08">
        <w:tab/>
        <w:t>This table is not all inclusive.</w:t>
      </w:r>
    </w:p>
    <w:p w:rsidR="002D2985" w:rsidRPr="00525F08" w:rsidRDefault="002D2985" w:rsidP="002D2985">
      <w:pPr>
        <w:pStyle w:val="TableFooter"/>
        <w:spacing w:before="0" w:after="0"/>
        <w:ind w:left="329" w:hanging="329"/>
      </w:pPr>
      <w:r w:rsidRPr="00525F08">
        <w:t>b</w:t>
      </w:r>
      <w:r w:rsidRPr="00525F08">
        <w:tab/>
      </w:r>
      <w:r w:rsidRPr="00525F08">
        <w:sym w:font="Symbol" w:char="F0AD"/>
      </w:r>
      <w:r w:rsidRPr="00525F08">
        <w:t xml:space="preserve"> = increase, ↓ = decrease</w:t>
      </w:r>
      <w:r>
        <w:t xml:space="preserve">, </w:t>
      </w:r>
      <w:r w:rsidRPr="00396607">
        <w:t xml:space="preserve">, </w:t>
      </w:r>
      <w:r w:rsidRPr="00396607">
        <w:sym w:font="Symbol" w:char="F0AB"/>
      </w:r>
      <w:r w:rsidRPr="00396607">
        <w:t xml:space="preserve"> no effect </w:t>
      </w:r>
      <w:r w:rsidRPr="00525F08">
        <w:t xml:space="preserve"> </w:t>
      </w:r>
    </w:p>
    <w:p w:rsidR="002D2985" w:rsidRPr="00525F08" w:rsidRDefault="002D2985" w:rsidP="002D2985">
      <w:pPr>
        <w:pStyle w:val="TableFooter"/>
        <w:spacing w:before="0" w:after="360"/>
        <w:ind w:left="329" w:hanging="329"/>
      </w:pPr>
      <w:r w:rsidRPr="00525F08">
        <w:t>c</w:t>
      </w:r>
      <w:r w:rsidRPr="00525F08">
        <w:tab/>
        <w:t>These interactions have been studied in healthy adults.</w:t>
      </w:r>
    </w:p>
    <w:p w:rsidR="002D2985" w:rsidRPr="00CF03D0" w:rsidRDefault="002D2985" w:rsidP="00013985">
      <w:pPr>
        <w:pStyle w:val="Text1"/>
        <w:rPr>
          <w:b/>
          <w:sz w:val="22"/>
          <w:szCs w:val="22"/>
        </w:rPr>
      </w:pPr>
      <w:r w:rsidRPr="00CF03D0">
        <w:rPr>
          <w:b/>
          <w:sz w:val="22"/>
          <w:szCs w:val="22"/>
        </w:rPr>
        <w:t>Drugs without Clinically Significant Interactions with VOSEVI</w:t>
      </w:r>
    </w:p>
    <w:p w:rsidR="00D0272C" w:rsidRDefault="002D2985" w:rsidP="00013985">
      <w:pPr>
        <w:spacing w:before="120" w:after="240" w:line="240" w:lineRule="auto"/>
        <w:rPr>
          <w:rFonts w:ascii="Times New Roman" w:hAnsi="Times New Roman" w:cs="Times New Roman"/>
          <w:sz w:val="24"/>
          <w:szCs w:val="24"/>
        </w:rPr>
      </w:pPr>
      <w:r w:rsidRPr="00EF5EB5">
        <w:rPr>
          <w:rFonts w:ascii="Times New Roman" w:hAnsi="Times New Roman" w:cs="Times New Roman"/>
          <w:sz w:val="24"/>
          <w:szCs w:val="24"/>
        </w:rPr>
        <w:t xml:space="preserve">Based on drug interaction studies conducted with the components of VOSEVI (sofosbuvir, velpatasvir, or voxilaprevir) or VOSEVI, no clinically significant drug interactions have been either observed or are expected when VOSEVI is combined with the following drugs </w:t>
      </w:r>
      <w:r w:rsidRPr="007F5911">
        <w:rPr>
          <w:rFonts w:ascii="Times New Roman" w:hAnsi="Times New Roman" w:cs="Times New Roman"/>
          <w:sz w:val="24"/>
          <w:szCs w:val="24"/>
        </w:rPr>
        <w:t>(see</w:t>
      </w:r>
      <w:r w:rsidR="007F5911">
        <w:rPr>
          <w:rFonts w:ascii="Times New Roman" w:hAnsi="Times New Roman" w:cs="Times New Roman"/>
          <w:sz w:val="24"/>
          <w:szCs w:val="24"/>
        </w:rPr>
        <w:t>Section 5.2</w:t>
      </w:r>
      <w:r w:rsidRPr="007F5911">
        <w:rPr>
          <w:rFonts w:ascii="Times New Roman" w:hAnsi="Times New Roman" w:cs="Times New Roman"/>
          <w:sz w:val="24"/>
          <w:szCs w:val="24"/>
        </w:rPr>
        <w:t>):</w:t>
      </w:r>
      <w:r w:rsidRPr="00EF5EB5">
        <w:rPr>
          <w:rFonts w:ascii="Times New Roman" w:hAnsi="Times New Roman" w:cs="Times New Roman"/>
          <w:sz w:val="24"/>
          <w:szCs w:val="24"/>
        </w:rPr>
        <w:t xml:space="preserve"> cobicistat, darunavir, dolutegravir, elvitegravir, emtricitabine, gemfibrozil, ketoconazole, methadone, oral contraceptives, raltegravir, rilpivirine, ritonavir, tacrolimus, tenofovir alafenamide, or </w:t>
      </w:r>
      <w:r w:rsidRPr="006E68ED">
        <w:rPr>
          <w:rFonts w:ascii="Times New Roman" w:hAnsi="Times New Roman" w:cs="Times New Roman"/>
          <w:sz w:val="24"/>
          <w:szCs w:val="24"/>
        </w:rPr>
        <w:t>voriconazole</w:t>
      </w:r>
      <w:r w:rsidR="000C1F72" w:rsidRPr="006E68ED">
        <w:rPr>
          <w:rFonts w:ascii="Times New Roman" w:hAnsi="Times New Roman" w:cs="Times New Roman"/>
          <w:sz w:val="24"/>
          <w:szCs w:val="24"/>
        </w:rPr>
        <w:t>.</w:t>
      </w:r>
    </w:p>
    <w:p w:rsidR="00D0272C" w:rsidRPr="00CF03D0" w:rsidRDefault="00D0272C" w:rsidP="002D2985">
      <w:pPr>
        <w:rPr>
          <w:rFonts w:ascii="Times New Roman" w:hAnsi="Times New Roman" w:cs="Times New Roman"/>
          <w:u w:val="single"/>
        </w:rPr>
      </w:pPr>
      <w:r w:rsidRPr="00CF03D0">
        <w:rPr>
          <w:rFonts w:ascii="Times New Roman" w:hAnsi="Times New Roman" w:cs="Times New Roman"/>
          <w:u w:val="single"/>
        </w:rPr>
        <w:t>Assessment of Drug Interactions</w:t>
      </w:r>
    </w:p>
    <w:p w:rsidR="00D0272C" w:rsidRPr="00D0272C" w:rsidRDefault="00D0272C" w:rsidP="00013985">
      <w:pPr>
        <w:spacing w:before="120" w:after="240" w:line="240" w:lineRule="auto"/>
        <w:rPr>
          <w:rFonts w:ascii="Times New Roman" w:hAnsi="Times New Roman" w:cs="Times New Roman"/>
          <w:sz w:val="24"/>
          <w:szCs w:val="24"/>
        </w:rPr>
      </w:pPr>
      <w:r w:rsidRPr="00D0272C">
        <w:rPr>
          <w:rFonts w:ascii="Times New Roman" w:hAnsi="Times New Roman" w:cs="Times New Roman"/>
          <w:sz w:val="24"/>
          <w:szCs w:val="24"/>
        </w:rPr>
        <w:t xml:space="preserve">After oral administration of VOSEVI sofosbuvir is rapidly absorbed and subject to extensive first-pass hepatic extraction. Hydrolytic prodrug cleavage and sequential phosphorylation steps results in formation of the pharmacologically active uridine nucleoside analog triphosphate. Dephosphorylation of nucleotide metabolites results in conversion to the predominant circulating metabolite GS-331007 that accounts for the majority of total systemic exposure. In clinical pharmacology studies, both sofosbuvir and GS-331007 were monitored for purposes of pharmacokinetic analyses. </w:t>
      </w:r>
    </w:p>
    <w:p w:rsidR="00D0272C" w:rsidRPr="00D0272C" w:rsidRDefault="00D0272C" w:rsidP="00013985">
      <w:pPr>
        <w:spacing w:before="120" w:after="240" w:line="240" w:lineRule="auto"/>
        <w:rPr>
          <w:rFonts w:ascii="Times New Roman" w:hAnsi="Times New Roman" w:cs="Times New Roman"/>
          <w:sz w:val="24"/>
          <w:szCs w:val="24"/>
        </w:rPr>
      </w:pPr>
      <w:r w:rsidRPr="00D0272C">
        <w:rPr>
          <w:rFonts w:ascii="Times New Roman" w:hAnsi="Times New Roman" w:cs="Times New Roman"/>
          <w:sz w:val="24"/>
          <w:szCs w:val="24"/>
        </w:rPr>
        <w:t xml:space="preserve">Sofosbuvir, velpatasvir, and voxilaprevir are substrates of drug transporters P-gp and BCRP, while GS-331007 is not.  Voxilaprevir, and to a lesser extent velpatasvir, are also substrates </w:t>
      </w:r>
      <w:r w:rsidRPr="00D0272C">
        <w:rPr>
          <w:rFonts w:ascii="Times New Roman" w:hAnsi="Times New Roman" w:cs="Times New Roman"/>
          <w:sz w:val="24"/>
          <w:szCs w:val="24"/>
        </w:rPr>
        <w:lastRenderedPageBreak/>
        <w:t xml:space="preserve">of OATP1B1 and OATP1B3. In vitro, slow metabolic turnover of velpatasvir primarily by CYP2B6, CYP2C8, and CYP3A4 and of voxilaprevir primarily by </w:t>
      </w:r>
      <w:r w:rsidRPr="006E68ED">
        <w:rPr>
          <w:rFonts w:ascii="Times New Roman" w:hAnsi="Times New Roman" w:cs="Times New Roman"/>
          <w:sz w:val="24"/>
          <w:szCs w:val="24"/>
        </w:rPr>
        <w:t>CYP3A4 was</w:t>
      </w:r>
      <w:r w:rsidRPr="00D0272C">
        <w:rPr>
          <w:rFonts w:ascii="Times New Roman" w:hAnsi="Times New Roman" w:cs="Times New Roman"/>
          <w:sz w:val="24"/>
          <w:szCs w:val="24"/>
        </w:rPr>
        <w:t xml:space="preserve"> observed.</w:t>
      </w:r>
    </w:p>
    <w:p w:rsidR="00D0272C" w:rsidRPr="00D0272C" w:rsidRDefault="00D0272C" w:rsidP="00013985">
      <w:pPr>
        <w:spacing w:before="120" w:after="240" w:line="240" w:lineRule="auto"/>
        <w:rPr>
          <w:rFonts w:ascii="Times New Roman" w:hAnsi="Times New Roman" w:cs="Times New Roman"/>
          <w:sz w:val="24"/>
          <w:szCs w:val="24"/>
        </w:rPr>
      </w:pPr>
      <w:r w:rsidRPr="00D0272C">
        <w:rPr>
          <w:rFonts w:ascii="Times New Roman" w:hAnsi="Times New Roman" w:cs="Times New Roman"/>
          <w:sz w:val="24"/>
          <w:szCs w:val="24"/>
        </w:rPr>
        <w:t>Sofosbuvir and GS-331007 are not inhibitors of drug transporters P-gp, BCRP, OATP1B1, OATP1B3, and OCT1, and GS-331007 is not an inhibitor of OAT1, OAT3, OCT2, and MATE1. Sofosbuvir and GS-331007 are not inhibitors or inducers of CYP or UGT1A1 enzymes.</w:t>
      </w:r>
    </w:p>
    <w:p w:rsidR="00D0272C" w:rsidRPr="00D0272C" w:rsidRDefault="00D0272C" w:rsidP="00013985">
      <w:pPr>
        <w:spacing w:before="120" w:after="240" w:line="240" w:lineRule="auto"/>
        <w:rPr>
          <w:rFonts w:ascii="Times New Roman" w:hAnsi="Times New Roman" w:cs="Times New Roman"/>
          <w:sz w:val="24"/>
          <w:szCs w:val="24"/>
        </w:rPr>
      </w:pPr>
      <w:r w:rsidRPr="00D0272C">
        <w:rPr>
          <w:rFonts w:ascii="Times New Roman" w:hAnsi="Times New Roman" w:cs="Times New Roman"/>
          <w:sz w:val="24"/>
          <w:szCs w:val="24"/>
        </w:rPr>
        <w:t>Velpatasvir is an inhibitor of drug transporters P-gp, BCRP, OATP1B1, OATP1B3, and OATP2B1, and its involvement in drug interactions with these transporters is primarily limited to the process of absorption. At clinically relevant concentration, velpatasvir is not an inhibitor of hepatic transporters OATP1A2 or OCT1, renal transporters OCT2, OAT1, OAT3 or MATE1, or CYP or UGT1A1 enzymes.</w:t>
      </w:r>
    </w:p>
    <w:p w:rsidR="00D0272C" w:rsidRPr="00D0272C" w:rsidRDefault="00D0272C" w:rsidP="00013985">
      <w:pPr>
        <w:spacing w:before="120" w:after="240" w:line="240" w:lineRule="auto"/>
        <w:rPr>
          <w:rFonts w:ascii="Times New Roman" w:hAnsi="Times New Roman" w:cs="Times New Roman"/>
          <w:sz w:val="24"/>
          <w:szCs w:val="24"/>
        </w:rPr>
      </w:pPr>
      <w:r w:rsidRPr="00D0272C">
        <w:rPr>
          <w:rFonts w:ascii="Times New Roman" w:hAnsi="Times New Roman" w:cs="Times New Roman"/>
          <w:sz w:val="24"/>
          <w:szCs w:val="24"/>
        </w:rPr>
        <w:t>Voxilaprevir is an inhibitor of drug transporters P-gp, BCRP, OATP1B1 and OATP1B3, and its involvement in drug interactions with these transporters is primarily limited to the process of absorption. At clinically relevant concentrations, voxilaprevir is not an inhibitor of hepatic transporters OCT1, renal transporters OCT2, OAT1, OAT3 or MATE1, or CYP or UGT1A1 enzymes.</w:t>
      </w:r>
    </w:p>
    <w:p w:rsidR="00D0272C" w:rsidRDefault="00D0272C" w:rsidP="00013985">
      <w:pPr>
        <w:spacing w:before="120" w:after="240" w:line="240" w:lineRule="auto"/>
        <w:rPr>
          <w:rFonts w:ascii="Times New Roman" w:hAnsi="Times New Roman" w:cs="Times New Roman"/>
          <w:sz w:val="24"/>
          <w:szCs w:val="24"/>
          <w:u w:val="single"/>
        </w:rPr>
      </w:pPr>
      <w:r w:rsidRPr="00D0272C">
        <w:rPr>
          <w:rFonts w:ascii="Times New Roman" w:hAnsi="Times New Roman" w:cs="Times New Roman"/>
          <w:sz w:val="24"/>
          <w:szCs w:val="24"/>
        </w:rPr>
        <w:t xml:space="preserve">The effects of coadministered drugs on the exposure of sofosbuvir, GS-331007, velpatasvir and voxilaprevir are shown in Table </w:t>
      </w:r>
      <w:r w:rsidR="00013985">
        <w:rPr>
          <w:rFonts w:ascii="Times New Roman" w:hAnsi="Times New Roman" w:cs="Times New Roman"/>
          <w:sz w:val="24"/>
          <w:szCs w:val="24"/>
        </w:rPr>
        <w:t>3</w:t>
      </w:r>
      <w:r w:rsidRPr="00D0272C">
        <w:rPr>
          <w:rFonts w:ascii="Times New Roman" w:hAnsi="Times New Roman" w:cs="Times New Roman"/>
          <w:sz w:val="24"/>
          <w:szCs w:val="24"/>
        </w:rPr>
        <w:t xml:space="preserve">. The effects of sofosbuvir, velpatasvir or voxilaprevir on the exposure of coadministered drugs are shown in Table </w:t>
      </w:r>
      <w:r w:rsidR="00013985">
        <w:rPr>
          <w:rFonts w:ascii="Times New Roman" w:hAnsi="Times New Roman" w:cs="Times New Roman"/>
          <w:sz w:val="24"/>
          <w:szCs w:val="24"/>
        </w:rPr>
        <w:t>4</w:t>
      </w:r>
      <w:r w:rsidRPr="00D0272C">
        <w:rPr>
          <w:rFonts w:ascii="Times New Roman" w:hAnsi="Times New Roman" w:cs="Times New Roman"/>
          <w:sz w:val="24"/>
          <w:szCs w:val="24"/>
        </w:rPr>
        <w:t>.</w:t>
      </w:r>
    </w:p>
    <w:p w:rsidR="00D0272C" w:rsidRDefault="00D0272C" w:rsidP="00D0272C">
      <w:pPr>
        <w:pStyle w:val="Caption"/>
        <w:rPr>
          <w:vertAlign w:val="superscript"/>
        </w:rPr>
      </w:pPr>
      <w:r w:rsidRPr="00525F08">
        <w:t xml:space="preserve">Table </w:t>
      </w:r>
      <w:r w:rsidR="00013985">
        <w:t>3</w:t>
      </w:r>
      <w:r w:rsidRPr="00525F08">
        <w:tab/>
        <w:t>Drug Interactions: Changes in Pharmacokinetic Parameters for Sofosbuvir, its Predominant Circulating Metabolite GS-331007, Velpatasvir and Voxilaprevir in the Presence of the Coadministered Drug</w:t>
      </w:r>
      <w:r w:rsidRPr="00525F08">
        <w:rPr>
          <w:vertAlign w:val="superscript"/>
        </w:rPr>
        <w:t>a</w:t>
      </w:r>
    </w:p>
    <w:p w:rsidR="00D0272C" w:rsidRDefault="00D0272C" w:rsidP="00D0272C">
      <w:pPr>
        <w:rPr>
          <w:lang w:val="en-US"/>
        </w:rPr>
      </w:pPr>
    </w:p>
    <w:tbl>
      <w:tblPr>
        <w:tblStyle w:val="TableGrid"/>
        <w:tblW w:w="5024"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1E0" w:firstRow="1" w:lastRow="1" w:firstColumn="1" w:lastColumn="1" w:noHBand="0" w:noVBand="0"/>
      </w:tblPr>
      <w:tblGrid>
        <w:gridCol w:w="1239"/>
        <w:gridCol w:w="1323"/>
        <w:gridCol w:w="1148"/>
        <w:gridCol w:w="1149"/>
        <w:gridCol w:w="398"/>
        <w:gridCol w:w="1093"/>
        <w:gridCol w:w="974"/>
        <w:gridCol w:w="996"/>
        <w:gridCol w:w="966"/>
      </w:tblGrid>
      <w:tr w:rsidR="00D0272C" w:rsidRPr="00525F08" w:rsidTr="005C0C71">
        <w:trPr>
          <w:trHeight w:val="668"/>
          <w:tblHeader/>
        </w:trPr>
        <w:tc>
          <w:tcPr>
            <w:tcW w:w="2569" w:type="dxa"/>
            <w:gridSpan w:val="2"/>
            <w:tcBorders>
              <w:top w:val="single" w:sz="12" w:space="0" w:color="auto"/>
              <w:bottom w:val="single" w:sz="4" w:space="0" w:color="auto"/>
            </w:tcBorders>
            <w:shd w:val="clear" w:color="auto" w:fill="auto"/>
            <w:vAlign w:val="center"/>
          </w:tcPr>
          <w:p w:rsidR="00D0272C" w:rsidRPr="00525F08" w:rsidRDefault="00D0272C" w:rsidP="005C0C71">
            <w:pPr>
              <w:keepNext/>
              <w:keepLines/>
              <w:spacing w:before="60" w:after="60"/>
              <w:jc w:val="center"/>
              <w:rPr>
                <w:rFonts w:eastAsia="Arial Unicode MS" w:cs="Arial"/>
                <w:b/>
                <w:color w:val="000000" w:themeColor="text1"/>
                <w:sz w:val="16"/>
                <w:szCs w:val="16"/>
              </w:rPr>
            </w:pPr>
            <w:r w:rsidRPr="00525F08">
              <w:rPr>
                <w:rFonts w:cs="Arial"/>
                <w:b/>
                <w:color w:val="000000" w:themeColor="text1"/>
                <w:sz w:val="16"/>
                <w:szCs w:val="16"/>
              </w:rPr>
              <w:t>Co-administered Drug</w:t>
            </w:r>
          </w:p>
        </w:tc>
        <w:tc>
          <w:tcPr>
            <w:tcW w:w="2303" w:type="dxa"/>
            <w:gridSpan w:val="2"/>
            <w:tcBorders>
              <w:top w:val="single" w:sz="12" w:space="0" w:color="auto"/>
              <w:bottom w:val="single" w:sz="4" w:space="0" w:color="auto"/>
            </w:tcBorders>
            <w:shd w:val="clear" w:color="auto" w:fill="auto"/>
            <w:vAlign w:val="center"/>
          </w:tcPr>
          <w:p w:rsidR="00D0272C" w:rsidRPr="00525F08" w:rsidRDefault="00D0272C" w:rsidP="005C0C71">
            <w:pPr>
              <w:keepNext/>
              <w:keepLines/>
              <w:spacing w:before="60" w:after="60"/>
              <w:jc w:val="center"/>
              <w:rPr>
                <w:rFonts w:eastAsia="Arial Unicode MS" w:cs="Arial"/>
                <w:b/>
                <w:color w:val="000000" w:themeColor="text1"/>
                <w:sz w:val="16"/>
                <w:szCs w:val="16"/>
                <w:vertAlign w:val="superscript"/>
              </w:rPr>
            </w:pPr>
            <w:r w:rsidRPr="00525F08">
              <w:rPr>
                <w:rFonts w:eastAsia="Arial Unicode MS" w:cs="Arial"/>
                <w:b/>
                <w:color w:val="000000" w:themeColor="text1"/>
                <w:sz w:val="16"/>
                <w:szCs w:val="16"/>
              </w:rPr>
              <w:t xml:space="preserve">Sofosbuvir (SOF)/ </w:t>
            </w:r>
            <w:r w:rsidRPr="00525F08">
              <w:rPr>
                <w:rFonts w:eastAsia="Arial Unicode MS" w:cs="Arial"/>
                <w:b/>
                <w:color w:val="000000" w:themeColor="text1"/>
                <w:sz w:val="16"/>
                <w:szCs w:val="16"/>
              </w:rPr>
              <w:br/>
              <w:t>Velpatasvir (VEL)/</w:t>
            </w:r>
            <w:r w:rsidRPr="00525F08">
              <w:rPr>
                <w:rFonts w:eastAsia="Arial Unicode MS" w:cs="Arial"/>
                <w:b/>
                <w:color w:val="000000" w:themeColor="text1"/>
                <w:sz w:val="16"/>
                <w:szCs w:val="16"/>
              </w:rPr>
              <w:br/>
              <w:t>Voxilaprevir (VOX)</w:t>
            </w:r>
          </w:p>
        </w:tc>
        <w:tc>
          <w:tcPr>
            <w:tcW w:w="399" w:type="dxa"/>
            <w:vMerge w:val="restart"/>
            <w:tcBorders>
              <w:top w:val="single" w:sz="12" w:space="0" w:color="auto"/>
              <w:bottom w:val="single" w:sz="6" w:space="0" w:color="auto"/>
            </w:tcBorders>
            <w:shd w:val="clear" w:color="auto" w:fill="auto"/>
            <w:vAlign w:val="bottom"/>
          </w:tcPr>
          <w:p w:rsidR="00D0272C" w:rsidRPr="00525F08" w:rsidRDefault="00D0272C" w:rsidP="005C0C71">
            <w:pPr>
              <w:keepNext/>
              <w:keepLines/>
              <w:spacing w:before="60" w:after="60"/>
              <w:jc w:val="center"/>
              <w:rPr>
                <w:rFonts w:eastAsia="Arial Unicode MS" w:cs="Arial"/>
                <w:b/>
                <w:color w:val="000000" w:themeColor="text1"/>
                <w:sz w:val="16"/>
                <w:szCs w:val="16"/>
              </w:rPr>
            </w:pPr>
            <w:r w:rsidRPr="00525F08">
              <w:rPr>
                <w:rFonts w:eastAsia="Arial Unicode MS" w:cs="Arial"/>
                <w:b/>
                <w:color w:val="000000" w:themeColor="text1"/>
                <w:sz w:val="16"/>
                <w:szCs w:val="16"/>
              </w:rPr>
              <w:t>N</w:t>
            </w:r>
          </w:p>
        </w:tc>
        <w:tc>
          <w:tcPr>
            <w:tcW w:w="4061" w:type="dxa"/>
            <w:gridSpan w:val="4"/>
            <w:vMerge w:val="restart"/>
            <w:tcBorders>
              <w:top w:val="single" w:sz="12" w:space="0" w:color="auto"/>
            </w:tcBorders>
            <w:shd w:val="clear" w:color="auto" w:fill="auto"/>
            <w:vAlign w:val="center"/>
          </w:tcPr>
          <w:p w:rsidR="00D0272C" w:rsidRPr="00525F08" w:rsidRDefault="00D0272C" w:rsidP="005C0C71">
            <w:pPr>
              <w:keepNext/>
              <w:keepLines/>
              <w:spacing w:before="60" w:after="60"/>
              <w:jc w:val="center"/>
              <w:rPr>
                <w:rFonts w:eastAsia="Arial Unicode MS" w:cs="Arial"/>
                <w:b/>
                <w:color w:val="000000" w:themeColor="text1"/>
                <w:sz w:val="16"/>
                <w:szCs w:val="16"/>
              </w:rPr>
            </w:pPr>
            <w:r w:rsidRPr="00525F08">
              <w:rPr>
                <w:rFonts w:eastAsia="Arial Unicode MS" w:cs="Arial"/>
                <w:b/>
                <w:color w:val="000000" w:themeColor="text1"/>
                <w:sz w:val="16"/>
                <w:szCs w:val="16"/>
              </w:rPr>
              <w:t>Mean Ratio (90% CI) of Sofosbuvir, GS</w:t>
            </w:r>
            <w:r w:rsidRPr="00525F08">
              <w:rPr>
                <w:rFonts w:eastAsia="Arial Unicode MS" w:cs="Arial"/>
                <w:b/>
                <w:color w:val="000000" w:themeColor="text1"/>
                <w:sz w:val="16"/>
                <w:szCs w:val="16"/>
              </w:rPr>
              <w:noBreakHyphen/>
              <w:t xml:space="preserve">331007, Velpatasvir, </w:t>
            </w:r>
            <w:r w:rsidRPr="00525F08">
              <w:rPr>
                <w:rFonts w:eastAsia="Arial Unicode MS" w:cs="Arial"/>
                <w:b/>
                <w:color w:val="000000" w:themeColor="text1"/>
                <w:sz w:val="16"/>
                <w:szCs w:val="16"/>
                <w:shd w:val="clear" w:color="auto" w:fill="FFFFFF" w:themeFill="background1"/>
              </w:rPr>
              <w:t>and Voxilaprevir</w:t>
            </w:r>
            <w:r w:rsidRPr="00525F08">
              <w:rPr>
                <w:rFonts w:eastAsia="Arial Unicode MS" w:cs="Arial"/>
                <w:b/>
                <w:color w:val="000000" w:themeColor="text1"/>
                <w:sz w:val="16"/>
                <w:szCs w:val="16"/>
              </w:rPr>
              <w:t xml:space="preserve"> PK With/Without Coadministered Drug</w:t>
            </w:r>
            <w:r w:rsidRPr="00525F08">
              <w:rPr>
                <w:rFonts w:eastAsia="Arial Unicode MS" w:cs="Arial"/>
                <w:b/>
                <w:color w:val="000000" w:themeColor="text1"/>
                <w:sz w:val="16"/>
                <w:szCs w:val="16"/>
              </w:rPr>
              <w:br/>
              <w:t>No Effect=1.00</w:t>
            </w:r>
          </w:p>
        </w:tc>
      </w:tr>
      <w:tr w:rsidR="00D0272C" w:rsidRPr="00525F08" w:rsidTr="005C0C71">
        <w:trPr>
          <w:trHeight w:val="327"/>
          <w:tblHeader/>
        </w:trPr>
        <w:tc>
          <w:tcPr>
            <w:tcW w:w="1242" w:type="dxa"/>
            <w:vMerge w:val="restart"/>
            <w:tcBorders>
              <w:top w:val="single" w:sz="4" w:space="0" w:color="auto"/>
              <w:bottom w:val="single" w:sz="6" w:space="0" w:color="auto"/>
            </w:tcBorders>
            <w:shd w:val="clear" w:color="auto" w:fill="auto"/>
            <w:vAlign w:val="center"/>
          </w:tcPr>
          <w:p w:rsidR="00D0272C" w:rsidRPr="00525F08" w:rsidRDefault="00D0272C" w:rsidP="005C0C71">
            <w:pPr>
              <w:keepNext/>
              <w:keepLines/>
              <w:spacing w:before="60" w:after="60"/>
              <w:jc w:val="center"/>
              <w:rPr>
                <w:rFonts w:cs="Arial"/>
                <w:b/>
                <w:color w:val="000000" w:themeColor="text1"/>
                <w:sz w:val="16"/>
                <w:szCs w:val="16"/>
              </w:rPr>
            </w:pPr>
            <w:r w:rsidRPr="00525F08">
              <w:rPr>
                <w:rFonts w:cs="Arial"/>
                <w:b/>
                <w:color w:val="000000" w:themeColor="text1"/>
                <w:sz w:val="16"/>
                <w:szCs w:val="16"/>
              </w:rPr>
              <w:t>Drug</w:t>
            </w:r>
          </w:p>
        </w:tc>
        <w:tc>
          <w:tcPr>
            <w:tcW w:w="1327" w:type="dxa"/>
            <w:vMerge w:val="restart"/>
            <w:tcBorders>
              <w:top w:val="single" w:sz="4" w:space="0" w:color="auto"/>
              <w:bottom w:val="single" w:sz="6" w:space="0" w:color="auto"/>
            </w:tcBorders>
            <w:shd w:val="clear" w:color="auto" w:fill="auto"/>
            <w:vAlign w:val="center"/>
          </w:tcPr>
          <w:p w:rsidR="00D0272C" w:rsidRPr="00525F08" w:rsidRDefault="00D0272C" w:rsidP="005C0C71">
            <w:pPr>
              <w:keepNext/>
              <w:keepLines/>
              <w:spacing w:before="60" w:after="60"/>
              <w:jc w:val="center"/>
              <w:rPr>
                <w:rFonts w:eastAsia="Arial Unicode MS" w:cs="Arial"/>
                <w:b/>
                <w:color w:val="000000" w:themeColor="text1"/>
                <w:sz w:val="16"/>
                <w:szCs w:val="16"/>
              </w:rPr>
            </w:pPr>
            <w:r w:rsidRPr="00525F08">
              <w:rPr>
                <w:rFonts w:eastAsia="Arial Unicode MS" w:cs="Arial"/>
                <w:b/>
                <w:color w:val="000000" w:themeColor="text1"/>
                <w:sz w:val="16"/>
                <w:szCs w:val="16"/>
              </w:rPr>
              <w:t>Dosage</w:t>
            </w:r>
            <w:r w:rsidRPr="00525F08">
              <w:rPr>
                <w:rFonts w:eastAsia="Arial Unicode MS" w:cs="Arial"/>
                <w:b/>
                <w:color w:val="000000" w:themeColor="text1"/>
                <w:sz w:val="16"/>
                <w:szCs w:val="16"/>
              </w:rPr>
              <w:br/>
              <w:t>(mg)</w:t>
            </w:r>
          </w:p>
        </w:tc>
        <w:tc>
          <w:tcPr>
            <w:tcW w:w="1151" w:type="dxa"/>
            <w:vMerge w:val="restart"/>
            <w:tcBorders>
              <w:top w:val="single" w:sz="4" w:space="0" w:color="auto"/>
              <w:right w:val="single" w:sz="4" w:space="0" w:color="auto"/>
            </w:tcBorders>
            <w:shd w:val="clear" w:color="auto" w:fill="auto"/>
            <w:vAlign w:val="center"/>
          </w:tcPr>
          <w:p w:rsidR="00D0272C" w:rsidRPr="00525F08" w:rsidRDefault="00D0272C" w:rsidP="005C0C71">
            <w:pPr>
              <w:keepNext/>
              <w:keepLines/>
              <w:spacing w:before="60" w:after="60"/>
              <w:jc w:val="center"/>
              <w:rPr>
                <w:rFonts w:eastAsia="Arial Unicode MS" w:cs="Arial"/>
                <w:b/>
                <w:color w:val="000000" w:themeColor="text1"/>
                <w:sz w:val="16"/>
                <w:szCs w:val="16"/>
              </w:rPr>
            </w:pPr>
            <w:r w:rsidRPr="00525F08">
              <w:rPr>
                <w:rFonts w:eastAsia="Arial Unicode MS" w:cs="Arial"/>
                <w:b/>
                <w:color w:val="000000" w:themeColor="text1"/>
                <w:sz w:val="16"/>
                <w:szCs w:val="16"/>
              </w:rPr>
              <w:t>Active</w:t>
            </w:r>
            <w:r w:rsidRPr="00525F08">
              <w:rPr>
                <w:rFonts w:eastAsia="Arial Unicode MS" w:cs="Arial"/>
                <w:b/>
                <w:color w:val="000000" w:themeColor="text1"/>
                <w:sz w:val="16"/>
                <w:szCs w:val="16"/>
              </w:rPr>
              <w:br/>
              <w:t>Component</w:t>
            </w:r>
          </w:p>
        </w:tc>
        <w:tc>
          <w:tcPr>
            <w:tcW w:w="1152" w:type="dxa"/>
            <w:vMerge w:val="restart"/>
            <w:tcBorders>
              <w:top w:val="single" w:sz="4" w:space="0" w:color="auto"/>
              <w:left w:val="single" w:sz="4" w:space="0" w:color="auto"/>
            </w:tcBorders>
            <w:shd w:val="clear" w:color="auto" w:fill="auto"/>
            <w:vAlign w:val="center"/>
          </w:tcPr>
          <w:p w:rsidR="00D0272C" w:rsidRPr="00525F08" w:rsidRDefault="00D0272C" w:rsidP="005C0C71">
            <w:pPr>
              <w:keepNext/>
              <w:keepLines/>
              <w:spacing w:before="60" w:after="60"/>
              <w:jc w:val="center"/>
              <w:rPr>
                <w:rFonts w:eastAsia="Arial Unicode MS" w:cs="Arial"/>
                <w:b/>
                <w:color w:val="000000" w:themeColor="text1"/>
                <w:sz w:val="16"/>
                <w:szCs w:val="16"/>
              </w:rPr>
            </w:pPr>
            <w:r w:rsidRPr="00525F08">
              <w:rPr>
                <w:rFonts w:eastAsia="Arial Unicode MS" w:cs="Arial"/>
                <w:b/>
                <w:color w:val="000000" w:themeColor="text1"/>
                <w:sz w:val="16"/>
                <w:szCs w:val="16"/>
              </w:rPr>
              <w:t>Dosage</w:t>
            </w:r>
            <w:r w:rsidRPr="00525F08">
              <w:rPr>
                <w:rFonts w:eastAsia="Arial Unicode MS" w:cs="Arial"/>
                <w:b/>
                <w:color w:val="000000" w:themeColor="text1"/>
                <w:sz w:val="16"/>
                <w:szCs w:val="16"/>
              </w:rPr>
              <w:br/>
              <w:t>(mg)</w:t>
            </w:r>
          </w:p>
        </w:tc>
        <w:tc>
          <w:tcPr>
            <w:tcW w:w="399" w:type="dxa"/>
            <w:vMerge/>
            <w:tcBorders>
              <w:top w:val="single" w:sz="12" w:space="0" w:color="auto"/>
              <w:bottom w:val="single" w:sz="6" w:space="0" w:color="auto"/>
            </w:tcBorders>
            <w:shd w:val="clear" w:color="auto" w:fill="auto"/>
            <w:vAlign w:val="bottom"/>
          </w:tcPr>
          <w:p w:rsidR="00D0272C" w:rsidRPr="00525F08" w:rsidRDefault="00D0272C" w:rsidP="005C0C71">
            <w:pPr>
              <w:keepNext/>
              <w:keepLines/>
              <w:spacing w:before="60" w:after="60"/>
              <w:jc w:val="center"/>
              <w:rPr>
                <w:rFonts w:eastAsia="Arial Unicode MS" w:cs="Arial"/>
                <w:b/>
                <w:color w:val="000000" w:themeColor="text1"/>
                <w:sz w:val="16"/>
                <w:szCs w:val="16"/>
              </w:rPr>
            </w:pPr>
          </w:p>
        </w:tc>
        <w:tc>
          <w:tcPr>
            <w:tcW w:w="4061" w:type="dxa"/>
            <w:gridSpan w:val="4"/>
            <w:vMerge/>
            <w:tcBorders>
              <w:bottom w:val="single" w:sz="6" w:space="0" w:color="auto"/>
            </w:tcBorders>
            <w:shd w:val="clear" w:color="auto" w:fill="auto"/>
            <w:vAlign w:val="bottom"/>
          </w:tcPr>
          <w:p w:rsidR="00D0272C" w:rsidRPr="00525F08" w:rsidRDefault="00D0272C" w:rsidP="005C0C71">
            <w:pPr>
              <w:keepNext/>
              <w:keepLines/>
              <w:spacing w:before="60" w:after="60"/>
              <w:jc w:val="center"/>
              <w:rPr>
                <w:rFonts w:eastAsia="Arial Unicode MS" w:cs="Arial"/>
                <w:b/>
                <w:color w:val="000000" w:themeColor="text1"/>
                <w:sz w:val="16"/>
                <w:szCs w:val="16"/>
              </w:rPr>
            </w:pPr>
          </w:p>
        </w:tc>
      </w:tr>
      <w:tr w:rsidR="00D0272C" w:rsidRPr="00525F08" w:rsidTr="005C0C71">
        <w:trPr>
          <w:trHeight w:val="20"/>
          <w:tblHeader/>
        </w:trPr>
        <w:tc>
          <w:tcPr>
            <w:tcW w:w="1242" w:type="dxa"/>
            <w:vMerge/>
            <w:tcBorders>
              <w:top w:val="single" w:sz="6" w:space="0" w:color="auto"/>
              <w:bottom w:val="single" w:sz="12" w:space="0" w:color="auto"/>
            </w:tcBorders>
            <w:shd w:val="clear" w:color="auto" w:fill="auto"/>
            <w:vAlign w:val="bottom"/>
          </w:tcPr>
          <w:p w:rsidR="00D0272C" w:rsidRPr="00525F08" w:rsidRDefault="00D0272C" w:rsidP="005C0C71">
            <w:pPr>
              <w:keepNext/>
              <w:keepLines/>
              <w:spacing w:before="60" w:after="60"/>
              <w:jc w:val="center"/>
              <w:rPr>
                <w:rFonts w:eastAsia="Arial Unicode MS" w:cs="Arial"/>
                <w:b/>
                <w:color w:val="999999"/>
                <w:sz w:val="16"/>
                <w:szCs w:val="16"/>
              </w:rPr>
            </w:pPr>
          </w:p>
        </w:tc>
        <w:tc>
          <w:tcPr>
            <w:tcW w:w="1327" w:type="dxa"/>
            <w:vMerge/>
            <w:tcBorders>
              <w:top w:val="single" w:sz="6" w:space="0" w:color="auto"/>
              <w:bottom w:val="single" w:sz="12" w:space="0" w:color="auto"/>
            </w:tcBorders>
            <w:shd w:val="clear" w:color="auto" w:fill="auto"/>
            <w:vAlign w:val="bottom"/>
          </w:tcPr>
          <w:p w:rsidR="00D0272C" w:rsidRPr="00525F08" w:rsidRDefault="00D0272C" w:rsidP="005C0C71">
            <w:pPr>
              <w:keepNext/>
              <w:keepLines/>
              <w:spacing w:before="60" w:after="60"/>
              <w:jc w:val="center"/>
              <w:rPr>
                <w:rFonts w:eastAsia="Arial Unicode MS" w:cs="Arial"/>
                <w:b/>
                <w:color w:val="999999"/>
                <w:sz w:val="16"/>
                <w:szCs w:val="16"/>
              </w:rPr>
            </w:pPr>
          </w:p>
        </w:tc>
        <w:tc>
          <w:tcPr>
            <w:tcW w:w="1151" w:type="dxa"/>
            <w:vMerge/>
            <w:tcBorders>
              <w:bottom w:val="single" w:sz="12" w:space="0" w:color="auto"/>
              <w:right w:val="single" w:sz="4" w:space="0" w:color="auto"/>
            </w:tcBorders>
            <w:shd w:val="clear" w:color="auto" w:fill="auto"/>
            <w:vAlign w:val="bottom"/>
          </w:tcPr>
          <w:p w:rsidR="00D0272C" w:rsidRPr="00525F08" w:rsidRDefault="00D0272C" w:rsidP="005C0C71">
            <w:pPr>
              <w:keepNext/>
              <w:keepLines/>
              <w:spacing w:before="60" w:after="60"/>
              <w:jc w:val="center"/>
              <w:rPr>
                <w:rFonts w:eastAsia="Arial Unicode MS" w:cs="Arial"/>
                <w:b/>
                <w:color w:val="999999"/>
                <w:sz w:val="16"/>
                <w:szCs w:val="16"/>
              </w:rPr>
            </w:pPr>
          </w:p>
        </w:tc>
        <w:tc>
          <w:tcPr>
            <w:tcW w:w="1152" w:type="dxa"/>
            <w:vMerge/>
            <w:tcBorders>
              <w:left w:val="single" w:sz="4" w:space="0" w:color="auto"/>
              <w:bottom w:val="single" w:sz="12" w:space="0" w:color="auto"/>
            </w:tcBorders>
            <w:shd w:val="clear" w:color="auto" w:fill="auto"/>
            <w:vAlign w:val="bottom"/>
          </w:tcPr>
          <w:p w:rsidR="00D0272C" w:rsidRPr="00525F08" w:rsidRDefault="00D0272C" w:rsidP="005C0C71">
            <w:pPr>
              <w:keepNext/>
              <w:keepLines/>
              <w:spacing w:before="60" w:after="60"/>
              <w:jc w:val="center"/>
              <w:rPr>
                <w:rFonts w:eastAsia="Arial Unicode MS" w:cs="Arial"/>
                <w:b/>
                <w:color w:val="999999"/>
                <w:sz w:val="16"/>
                <w:szCs w:val="16"/>
              </w:rPr>
            </w:pPr>
          </w:p>
        </w:tc>
        <w:tc>
          <w:tcPr>
            <w:tcW w:w="399" w:type="dxa"/>
            <w:vMerge/>
            <w:tcBorders>
              <w:top w:val="single" w:sz="6" w:space="0" w:color="auto"/>
              <w:bottom w:val="single" w:sz="12" w:space="0" w:color="auto"/>
            </w:tcBorders>
            <w:shd w:val="clear" w:color="auto" w:fill="auto"/>
            <w:vAlign w:val="bottom"/>
          </w:tcPr>
          <w:p w:rsidR="00D0272C" w:rsidRPr="00525F08" w:rsidRDefault="00D0272C" w:rsidP="005C0C71">
            <w:pPr>
              <w:keepNext/>
              <w:keepLines/>
              <w:spacing w:before="60" w:after="60"/>
              <w:jc w:val="center"/>
              <w:rPr>
                <w:rFonts w:eastAsia="Arial Unicode MS" w:cs="Arial"/>
                <w:b/>
                <w:color w:val="999999"/>
                <w:sz w:val="16"/>
                <w:szCs w:val="16"/>
              </w:rPr>
            </w:pPr>
          </w:p>
        </w:tc>
        <w:tc>
          <w:tcPr>
            <w:tcW w:w="1095" w:type="dxa"/>
            <w:tcBorders>
              <w:top w:val="single" w:sz="6" w:space="0" w:color="auto"/>
              <w:bottom w:val="single" w:sz="12" w:space="0" w:color="auto"/>
            </w:tcBorders>
            <w:shd w:val="clear" w:color="auto" w:fill="auto"/>
            <w:vAlign w:val="bottom"/>
          </w:tcPr>
          <w:p w:rsidR="00D0272C" w:rsidRPr="00525F08" w:rsidRDefault="00D0272C" w:rsidP="005C0C71">
            <w:pPr>
              <w:keepNext/>
              <w:keepLines/>
              <w:spacing w:before="60" w:after="60"/>
              <w:ind w:left="-32"/>
              <w:jc w:val="center"/>
              <w:rPr>
                <w:rFonts w:eastAsia="Arial Unicode MS" w:cs="Arial"/>
                <w:b/>
                <w:color w:val="000000" w:themeColor="text1"/>
                <w:sz w:val="16"/>
                <w:szCs w:val="16"/>
              </w:rPr>
            </w:pPr>
            <w:r w:rsidRPr="00525F08">
              <w:rPr>
                <w:rFonts w:eastAsia="Arial Unicode MS" w:cs="Arial"/>
                <w:b/>
                <w:color w:val="000000" w:themeColor="text1"/>
                <w:sz w:val="16"/>
                <w:szCs w:val="16"/>
              </w:rPr>
              <w:t>Component</w:t>
            </w:r>
          </w:p>
        </w:tc>
        <w:tc>
          <w:tcPr>
            <w:tcW w:w="982" w:type="dxa"/>
            <w:tcBorders>
              <w:top w:val="single" w:sz="6" w:space="0" w:color="auto"/>
              <w:bottom w:val="single" w:sz="12" w:space="0" w:color="auto"/>
            </w:tcBorders>
            <w:shd w:val="clear" w:color="auto" w:fill="auto"/>
            <w:vAlign w:val="bottom"/>
          </w:tcPr>
          <w:p w:rsidR="00D0272C" w:rsidRPr="00525F08" w:rsidRDefault="00D0272C" w:rsidP="005C0C71">
            <w:pPr>
              <w:keepNext/>
              <w:keepLines/>
              <w:spacing w:before="60" w:after="60"/>
              <w:ind w:left="-98"/>
              <w:jc w:val="center"/>
              <w:rPr>
                <w:rFonts w:eastAsia="Arial Unicode MS" w:cs="Arial"/>
                <w:b/>
                <w:color w:val="000000" w:themeColor="text1"/>
                <w:sz w:val="16"/>
                <w:szCs w:val="16"/>
              </w:rPr>
            </w:pPr>
            <w:r w:rsidRPr="00525F08">
              <w:rPr>
                <w:rFonts w:eastAsia="Arial Unicode MS" w:cs="Arial"/>
                <w:b/>
                <w:color w:val="000000" w:themeColor="text1"/>
                <w:sz w:val="16"/>
                <w:szCs w:val="16"/>
              </w:rPr>
              <w:t>C</w:t>
            </w:r>
            <w:r w:rsidRPr="00525F08">
              <w:rPr>
                <w:rFonts w:eastAsia="Arial Unicode MS" w:cs="Arial"/>
                <w:b/>
                <w:color w:val="000000" w:themeColor="text1"/>
                <w:sz w:val="16"/>
                <w:szCs w:val="16"/>
                <w:vertAlign w:val="subscript"/>
              </w:rPr>
              <w:t>max</w:t>
            </w:r>
          </w:p>
        </w:tc>
        <w:tc>
          <w:tcPr>
            <w:tcW w:w="1006" w:type="dxa"/>
            <w:tcBorders>
              <w:top w:val="single" w:sz="6" w:space="0" w:color="auto"/>
              <w:bottom w:val="single" w:sz="12" w:space="0" w:color="auto"/>
            </w:tcBorders>
            <w:shd w:val="clear" w:color="auto" w:fill="auto"/>
            <w:vAlign w:val="bottom"/>
          </w:tcPr>
          <w:p w:rsidR="00D0272C" w:rsidRPr="00525F08" w:rsidRDefault="00D0272C" w:rsidP="005C0C71">
            <w:pPr>
              <w:keepNext/>
              <w:keepLines/>
              <w:spacing w:before="60" w:after="60"/>
              <w:ind w:left="-98"/>
              <w:jc w:val="center"/>
              <w:rPr>
                <w:rFonts w:eastAsia="Arial Unicode MS" w:cs="Arial"/>
                <w:b/>
                <w:color w:val="000000" w:themeColor="text1"/>
                <w:sz w:val="16"/>
                <w:szCs w:val="16"/>
              </w:rPr>
            </w:pPr>
            <w:r w:rsidRPr="00525F08">
              <w:rPr>
                <w:rFonts w:eastAsia="Arial Unicode MS" w:cs="Arial"/>
                <w:b/>
                <w:color w:val="000000" w:themeColor="text1"/>
                <w:sz w:val="16"/>
                <w:szCs w:val="16"/>
              </w:rPr>
              <w:t>AUC</w:t>
            </w:r>
          </w:p>
        </w:tc>
        <w:tc>
          <w:tcPr>
            <w:tcW w:w="978" w:type="dxa"/>
            <w:tcBorders>
              <w:top w:val="single" w:sz="6" w:space="0" w:color="auto"/>
              <w:bottom w:val="single" w:sz="12" w:space="0" w:color="auto"/>
            </w:tcBorders>
            <w:shd w:val="clear" w:color="auto" w:fill="auto"/>
            <w:vAlign w:val="bottom"/>
          </w:tcPr>
          <w:p w:rsidR="00D0272C" w:rsidRPr="00525F08" w:rsidRDefault="00D0272C" w:rsidP="005C0C71">
            <w:pPr>
              <w:keepNext/>
              <w:keepLines/>
              <w:spacing w:before="60" w:after="60"/>
              <w:ind w:left="-98"/>
              <w:jc w:val="center"/>
              <w:rPr>
                <w:rFonts w:eastAsia="Arial Unicode MS" w:cs="Arial"/>
                <w:b/>
                <w:color w:val="000000" w:themeColor="text1"/>
                <w:sz w:val="16"/>
                <w:szCs w:val="16"/>
              </w:rPr>
            </w:pPr>
            <w:r w:rsidRPr="00525F08">
              <w:rPr>
                <w:rFonts w:eastAsia="Arial Unicode MS" w:cs="Arial"/>
                <w:b/>
                <w:color w:val="000000" w:themeColor="text1"/>
                <w:sz w:val="16"/>
                <w:szCs w:val="16"/>
              </w:rPr>
              <w:t>C</w:t>
            </w:r>
            <w:r w:rsidRPr="00525F08">
              <w:rPr>
                <w:rFonts w:eastAsia="Arial Unicode MS" w:cs="Arial"/>
                <w:b/>
                <w:color w:val="000000" w:themeColor="text1"/>
                <w:sz w:val="16"/>
                <w:szCs w:val="16"/>
                <w:vertAlign w:val="subscript"/>
              </w:rPr>
              <w:t>min</w:t>
            </w:r>
          </w:p>
        </w:tc>
      </w:tr>
      <w:tr w:rsidR="00D0272C" w:rsidRPr="00525F08" w:rsidTr="005C0C71">
        <w:trPr>
          <w:trHeight w:val="20"/>
        </w:trPr>
        <w:tc>
          <w:tcPr>
            <w:tcW w:w="1242" w:type="dxa"/>
            <w:vMerge w:val="restart"/>
            <w:tcBorders>
              <w:top w:val="single" w:sz="12"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u w:val="single"/>
              </w:rPr>
            </w:pPr>
            <w:r w:rsidRPr="00525F08">
              <w:rPr>
                <w:rFonts w:cs="Arial"/>
                <w:sz w:val="16"/>
                <w:szCs w:val="16"/>
              </w:rPr>
              <w:t>Atazanavir + ritonavir</w:t>
            </w:r>
          </w:p>
        </w:tc>
        <w:tc>
          <w:tcPr>
            <w:tcW w:w="1327" w:type="dxa"/>
            <w:vMerge w:val="restart"/>
            <w:tcBorders>
              <w:top w:val="single" w:sz="12"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300 + 100 single dose</w:t>
            </w:r>
          </w:p>
        </w:tc>
        <w:tc>
          <w:tcPr>
            <w:tcW w:w="1151" w:type="dxa"/>
            <w:vMerge w:val="restart"/>
            <w:tcBorders>
              <w:top w:val="single" w:sz="12" w:space="0" w:color="auto"/>
              <w:bottom w:val="single" w:sz="6" w:space="0" w:color="auto"/>
              <w:right w:val="single" w:sz="4"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SOF/VEL/</w:t>
            </w:r>
            <w:r w:rsidRPr="00525F08">
              <w:rPr>
                <w:rFonts w:cs="Arial"/>
                <w:sz w:val="16"/>
                <w:szCs w:val="16"/>
              </w:rPr>
              <w:br/>
              <w:t xml:space="preserve">VOX </w:t>
            </w:r>
          </w:p>
        </w:tc>
        <w:tc>
          <w:tcPr>
            <w:tcW w:w="1152" w:type="dxa"/>
            <w:vMerge w:val="restart"/>
            <w:tcBorders>
              <w:top w:val="single" w:sz="12" w:space="0" w:color="auto"/>
              <w:left w:val="single" w:sz="4"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400/100/100 single dose</w:t>
            </w:r>
          </w:p>
        </w:tc>
        <w:tc>
          <w:tcPr>
            <w:tcW w:w="399" w:type="dxa"/>
            <w:vMerge w:val="restart"/>
            <w:tcBorders>
              <w:top w:val="single" w:sz="12"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15</w:t>
            </w:r>
          </w:p>
        </w:tc>
        <w:tc>
          <w:tcPr>
            <w:tcW w:w="1095" w:type="dxa"/>
            <w:tcBorders>
              <w:top w:val="single" w:sz="12"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tcBorders>
              <w:top w:val="single" w:sz="12" w:space="0" w:color="auto"/>
              <w:bottom w:val="single" w:sz="6" w:space="0" w:color="auto"/>
            </w:tcBorders>
            <w:shd w:val="clear" w:color="auto" w:fill="auto"/>
            <w:vAlign w:val="center"/>
          </w:tcPr>
          <w:p w:rsidR="00D0272C" w:rsidRPr="00525F08" w:rsidRDefault="00D0272C" w:rsidP="005C0C71">
            <w:pPr>
              <w:keepNext/>
              <w:keepLines/>
              <w:tabs>
                <w:tab w:val="left" w:pos="817"/>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1.29</w:t>
            </w:r>
            <w:r w:rsidRPr="00525F08">
              <w:rPr>
                <w:rFonts w:cs="Arial"/>
                <w:sz w:val="16"/>
                <w:szCs w:val="16"/>
              </w:rPr>
              <w:br/>
              <w:t>(1.09, 1.52)</w:t>
            </w:r>
          </w:p>
        </w:tc>
        <w:tc>
          <w:tcPr>
            <w:tcW w:w="1006" w:type="dxa"/>
            <w:tcBorders>
              <w:top w:val="single" w:sz="12"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1.40</w:t>
            </w:r>
            <w:r w:rsidRPr="00525F08">
              <w:rPr>
                <w:rFonts w:cs="Arial"/>
                <w:sz w:val="16"/>
                <w:szCs w:val="16"/>
              </w:rPr>
              <w:br/>
              <w:t>(1.25, 1.57)</w:t>
            </w:r>
          </w:p>
        </w:tc>
        <w:tc>
          <w:tcPr>
            <w:tcW w:w="978" w:type="dxa"/>
            <w:tcBorders>
              <w:top w:val="single" w:sz="12"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top w:val="single" w:sz="6"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1.05</w:t>
            </w:r>
            <w:r w:rsidRPr="00525F08">
              <w:rPr>
                <w:rFonts w:cs="Arial"/>
                <w:sz w:val="16"/>
                <w:szCs w:val="16"/>
              </w:rPr>
              <w:br/>
              <w:t>(0.99, 1.12)</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1.25</w:t>
            </w:r>
            <w:r w:rsidRPr="00525F08">
              <w:rPr>
                <w:rFonts w:cs="Arial"/>
                <w:sz w:val="16"/>
                <w:szCs w:val="16"/>
              </w:rPr>
              <w:br/>
              <w:t>(1.16, 1.36)</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1.29</w:t>
            </w:r>
            <w:r w:rsidRPr="00525F08">
              <w:rPr>
                <w:rFonts w:cs="Arial"/>
                <w:sz w:val="16"/>
                <w:szCs w:val="16"/>
              </w:rPr>
              <w:br/>
              <w:t>(1.07, 1.56)</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1.93</w:t>
            </w:r>
            <w:r w:rsidRPr="00525F08">
              <w:rPr>
                <w:rFonts w:cs="Arial"/>
                <w:sz w:val="16"/>
                <w:szCs w:val="16"/>
              </w:rPr>
              <w:br/>
              <w:t>(1.58, 2.36)</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voxilaprevir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4.42</w:t>
            </w:r>
            <w:r w:rsidRPr="00525F08">
              <w:rPr>
                <w:rFonts w:cs="Arial"/>
                <w:sz w:val="16"/>
                <w:szCs w:val="16"/>
              </w:rPr>
              <w:br/>
              <w:t>(3.65, 5.35)</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4.31</w:t>
            </w:r>
            <w:r w:rsidRPr="00525F08">
              <w:rPr>
                <w:rFonts w:cs="Arial"/>
                <w:sz w:val="16"/>
                <w:szCs w:val="16"/>
              </w:rPr>
              <w:br/>
              <w:t>(3.76, 4.93)</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val="restart"/>
            <w:tcBorders>
              <w:top w:val="single" w:sz="6" w:space="0" w:color="auto"/>
            </w:tcBorders>
            <w:shd w:val="clear" w:color="auto" w:fill="auto"/>
            <w:vAlign w:val="center"/>
          </w:tcPr>
          <w:p w:rsidR="00D0272C" w:rsidRPr="00525F08" w:rsidRDefault="00D0272C" w:rsidP="005C0C71">
            <w:pPr>
              <w:keepNext/>
              <w:pageBreakBefor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r w:rsidRPr="00525F08">
              <w:rPr>
                <w:rFonts w:cs="Arial"/>
                <w:sz w:val="16"/>
                <w:szCs w:val="16"/>
              </w:rPr>
              <w:lastRenderedPageBreak/>
              <w:t>Cyclosporine</w:t>
            </w:r>
          </w:p>
        </w:tc>
        <w:tc>
          <w:tcPr>
            <w:tcW w:w="1327" w:type="dxa"/>
            <w:vMerge w:val="restart"/>
            <w:tcBorders>
              <w:top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600 single dose</w:t>
            </w:r>
          </w:p>
        </w:tc>
        <w:tc>
          <w:tcPr>
            <w:tcW w:w="1151" w:type="dxa"/>
            <w:vMerge w:val="restart"/>
            <w:tcBorders>
              <w:top w:val="single" w:sz="6" w:space="0" w:color="auto"/>
              <w:right w:val="single" w:sz="4"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w:t>
            </w:r>
          </w:p>
        </w:tc>
        <w:tc>
          <w:tcPr>
            <w:tcW w:w="1152" w:type="dxa"/>
            <w:vMerge w:val="restart"/>
            <w:tcBorders>
              <w:top w:val="single" w:sz="6" w:space="0" w:color="auto"/>
              <w:left w:val="single" w:sz="4"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400 single dose</w:t>
            </w:r>
          </w:p>
        </w:tc>
        <w:tc>
          <w:tcPr>
            <w:tcW w:w="399" w:type="dxa"/>
            <w:vMerge w:val="restart"/>
            <w:tcBorders>
              <w:top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19</w:t>
            </w:r>
          </w:p>
        </w:tc>
        <w:tc>
          <w:tcPr>
            <w:tcW w:w="1095" w:type="dxa"/>
            <w:tcBorders>
              <w:top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tcBorders>
              <w:top w:val="single" w:sz="6" w:space="0" w:color="auto"/>
            </w:tcBorders>
            <w:shd w:val="clear" w:color="auto" w:fill="auto"/>
            <w:vAlign w:val="center"/>
          </w:tcPr>
          <w:p w:rsidR="00D0272C" w:rsidRPr="00525F08" w:rsidRDefault="00D0272C" w:rsidP="005C0C71">
            <w:pPr>
              <w:keepNext/>
              <w:spacing w:before="60" w:after="60"/>
              <w:ind w:left="-98"/>
              <w:jc w:val="center"/>
              <w:rPr>
                <w:rFonts w:cs="Arial"/>
                <w:sz w:val="16"/>
                <w:szCs w:val="16"/>
              </w:rPr>
            </w:pPr>
            <w:r w:rsidRPr="00525F08">
              <w:rPr>
                <w:rFonts w:cs="Arial"/>
                <w:sz w:val="16"/>
                <w:szCs w:val="16"/>
              </w:rPr>
              <w:t>2.54</w:t>
            </w:r>
            <w:r w:rsidRPr="00525F08">
              <w:rPr>
                <w:rFonts w:cs="Arial"/>
                <w:sz w:val="16"/>
                <w:szCs w:val="16"/>
              </w:rPr>
              <w:br/>
              <w:t>(1.87, 3.45)</w:t>
            </w:r>
          </w:p>
        </w:tc>
        <w:tc>
          <w:tcPr>
            <w:tcW w:w="1006" w:type="dxa"/>
            <w:tcBorders>
              <w:top w:val="single" w:sz="6" w:space="0" w:color="auto"/>
            </w:tcBorders>
            <w:shd w:val="clear" w:color="auto" w:fill="auto"/>
            <w:vAlign w:val="center"/>
          </w:tcPr>
          <w:p w:rsidR="00D0272C" w:rsidRPr="00525F08" w:rsidRDefault="00D0272C" w:rsidP="005C0C71">
            <w:pPr>
              <w:keepNext/>
              <w:spacing w:before="60" w:after="60"/>
              <w:ind w:left="-98"/>
              <w:jc w:val="center"/>
              <w:rPr>
                <w:rFonts w:cs="Arial"/>
                <w:sz w:val="16"/>
                <w:szCs w:val="16"/>
              </w:rPr>
            </w:pPr>
            <w:r w:rsidRPr="00525F08">
              <w:rPr>
                <w:rFonts w:cs="Arial"/>
                <w:sz w:val="16"/>
                <w:szCs w:val="16"/>
              </w:rPr>
              <w:t>4.53</w:t>
            </w:r>
            <w:r w:rsidRPr="00525F08">
              <w:rPr>
                <w:rFonts w:cs="Arial"/>
                <w:sz w:val="16"/>
                <w:szCs w:val="16"/>
              </w:rPr>
              <w:br/>
              <w:t>(3.26, 6.30)</w:t>
            </w:r>
          </w:p>
        </w:tc>
        <w:tc>
          <w:tcPr>
            <w:tcW w:w="978" w:type="dxa"/>
            <w:tcBorders>
              <w:top w:val="single" w:sz="6" w:space="0" w:color="auto"/>
            </w:tcBorders>
            <w:shd w:val="clear" w:color="auto" w:fill="auto"/>
            <w:vAlign w:val="center"/>
          </w:tcPr>
          <w:p w:rsidR="00D0272C" w:rsidRPr="00525F08" w:rsidRDefault="00D0272C" w:rsidP="005C0C71">
            <w:pPr>
              <w:keepNext/>
              <w:spacing w:before="60" w:after="60"/>
              <w:ind w:left="-98"/>
              <w:jc w:val="center"/>
              <w:rPr>
                <w:rFonts w:cs="Arial"/>
                <w:sz w:val="16"/>
                <w:szCs w:val="16"/>
              </w:rPr>
            </w:pPr>
            <w:r w:rsidRPr="00525F08">
              <w:rPr>
                <w:rFonts w:cs="Arial"/>
                <w:sz w:val="16"/>
                <w:szCs w:val="16"/>
              </w:rPr>
              <w:t>NA</w:t>
            </w:r>
          </w:p>
        </w:tc>
      </w:tr>
      <w:tr w:rsidR="00D0272C" w:rsidRPr="00525F08" w:rsidTr="005C0C71">
        <w:trPr>
          <w:trHeight w:val="462"/>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0.60</w:t>
            </w:r>
            <w:r w:rsidRPr="00525F08">
              <w:rPr>
                <w:rFonts w:cs="Arial"/>
                <w:sz w:val="16"/>
                <w:szCs w:val="16"/>
              </w:rPr>
              <w:br/>
              <w:t>(0.53, 0.69)</w:t>
            </w:r>
          </w:p>
        </w:tc>
        <w:tc>
          <w:tcPr>
            <w:tcW w:w="1006"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1.04</w:t>
            </w:r>
            <w:r w:rsidRPr="00525F08">
              <w:rPr>
                <w:rFonts w:cs="Arial"/>
                <w:sz w:val="16"/>
                <w:szCs w:val="16"/>
              </w:rPr>
              <w:br/>
              <w:t>(0.90, 1.20)</w:t>
            </w:r>
          </w:p>
        </w:tc>
        <w:tc>
          <w:tcPr>
            <w:tcW w:w="978"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tcBorders>
              <w:top w:val="single" w:sz="6" w:space="0" w:color="auto"/>
              <w:bottom w:val="single" w:sz="4"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 xml:space="preserve">VEL </w:t>
            </w:r>
          </w:p>
        </w:tc>
        <w:tc>
          <w:tcPr>
            <w:tcW w:w="1152" w:type="dxa"/>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100 single dose</w:t>
            </w:r>
          </w:p>
        </w:tc>
        <w:tc>
          <w:tcPr>
            <w:tcW w:w="399" w:type="dxa"/>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12</w:t>
            </w:r>
          </w:p>
        </w:tc>
        <w:tc>
          <w:tcPr>
            <w:tcW w:w="1095" w:type="dxa"/>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1.56</w:t>
            </w:r>
            <w:r w:rsidRPr="00525F08">
              <w:rPr>
                <w:rFonts w:cs="Arial"/>
                <w:sz w:val="16"/>
                <w:szCs w:val="16"/>
              </w:rPr>
              <w:br/>
              <w:t>(1.22, 2.01)</w:t>
            </w:r>
          </w:p>
        </w:tc>
        <w:tc>
          <w:tcPr>
            <w:tcW w:w="1006"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2.03</w:t>
            </w:r>
            <w:r w:rsidRPr="00525F08">
              <w:rPr>
                <w:rFonts w:cs="Arial"/>
                <w:sz w:val="16"/>
                <w:szCs w:val="16"/>
              </w:rPr>
              <w:br/>
              <w:t>(1.51, 2.71)</w:t>
            </w:r>
          </w:p>
        </w:tc>
        <w:tc>
          <w:tcPr>
            <w:tcW w:w="978"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tcBorders>
              <w:top w:val="single" w:sz="4"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 xml:space="preserve">VOX </w:t>
            </w:r>
          </w:p>
        </w:tc>
        <w:tc>
          <w:tcPr>
            <w:tcW w:w="1152" w:type="dxa"/>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100 single dose</w:t>
            </w:r>
          </w:p>
        </w:tc>
        <w:tc>
          <w:tcPr>
            <w:tcW w:w="399" w:type="dxa"/>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25</w:t>
            </w:r>
          </w:p>
        </w:tc>
        <w:tc>
          <w:tcPr>
            <w:tcW w:w="1095" w:type="dxa"/>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voxilaprevir</w:t>
            </w:r>
          </w:p>
        </w:tc>
        <w:tc>
          <w:tcPr>
            <w:tcW w:w="982" w:type="dxa"/>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rFonts w:cs="Arial"/>
                <w:sz w:val="16"/>
                <w:szCs w:val="16"/>
              </w:rPr>
            </w:pPr>
            <w:r w:rsidRPr="00525F08">
              <w:rPr>
                <w:rFonts w:cs="Arial"/>
                <w:sz w:val="16"/>
                <w:szCs w:val="16"/>
              </w:rPr>
              <w:t>19.02</w:t>
            </w:r>
            <w:r w:rsidRPr="00525F08">
              <w:rPr>
                <w:rFonts w:cs="Arial"/>
                <w:sz w:val="16"/>
                <w:szCs w:val="16"/>
              </w:rPr>
              <w:br/>
              <w:t>(14.12, 25.62)</w:t>
            </w:r>
          </w:p>
        </w:tc>
        <w:tc>
          <w:tcPr>
            <w:tcW w:w="1006" w:type="dxa"/>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rFonts w:cs="Arial"/>
                <w:sz w:val="16"/>
                <w:szCs w:val="16"/>
              </w:rPr>
            </w:pPr>
            <w:r w:rsidRPr="00525F08">
              <w:rPr>
                <w:rFonts w:cs="Arial"/>
                <w:sz w:val="16"/>
                <w:szCs w:val="16"/>
              </w:rPr>
              <w:t>9.39</w:t>
            </w:r>
            <w:r w:rsidRPr="00525F08">
              <w:rPr>
                <w:rFonts w:cs="Arial"/>
                <w:sz w:val="16"/>
                <w:szCs w:val="16"/>
              </w:rPr>
              <w:br/>
              <w:t>(7.37, 11.96)</w:t>
            </w:r>
          </w:p>
        </w:tc>
        <w:tc>
          <w:tcPr>
            <w:tcW w:w="978" w:type="dxa"/>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val="restart"/>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u w:val="single"/>
              </w:rPr>
            </w:pPr>
            <w:r w:rsidRPr="00525F08">
              <w:rPr>
                <w:rFonts w:cs="Arial"/>
                <w:sz w:val="16"/>
                <w:szCs w:val="16"/>
              </w:rPr>
              <w:t>Darunavir +</w:t>
            </w:r>
            <w:r w:rsidRPr="00525F08">
              <w:rPr>
                <w:rFonts w:cs="Arial"/>
                <w:sz w:val="16"/>
                <w:szCs w:val="16"/>
              </w:rPr>
              <w:br/>
              <w:t>ritonavir + emtricitabine/</w:t>
            </w:r>
            <w:r w:rsidRPr="00525F08">
              <w:rPr>
                <w:rFonts w:cs="Arial"/>
                <w:sz w:val="16"/>
                <w:szCs w:val="16"/>
              </w:rPr>
              <w:br/>
              <w:t xml:space="preserve"> tenofovir DF</w:t>
            </w:r>
          </w:p>
        </w:tc>
        <w:tc>
          <w:tcPr>
            <w:tcW w:w="1327" w:type="dxa"/>
            <w:vMerge w:val="restart"/>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800 + 100 + 200/300 once daily</w:t>
            </w:r>
          </w:p>
        </w:tc>
        <w:tc>
          <w:tcPr>
            <w:tcW w:w="1151" w:type="dxa"/>
            <w:vMerge w:val="restart"/>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SOF/VEL/</w:t>
            </w:r>
            <w:r w:rsidRPr="00525F08">
              <w:rPr>
                <w:rFonts w:cs="Arial"/>
                <w:sz w:val="16"/>
                <w:szCs w:val="16"/>
              </w:rPr>
              <w:br/>
              <w:t xml:space="preserve">VOX </w:t>
            </w:r>
            <w:r w:rsidRPr="00525F08">
              <w:rPr>
                <w:rFonts w:cs="Arial"/>
                <w:sz w:val="16"/>
                <w:szCs w:val="16"/>
              </w:rPr>
              <w:br/>
              <w:t>+ VOX</w:t>
            </w:r>
          </w:p>
        </w:tc>
        <w:tc>
          <w:tcPr>
            <w:tcW w:w="1152" w:type="dxa"/>
            <w:vMerge w:val="restart"/>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400/100/100 + 100</w:t>
            </w:r>
            <w:r w:rsidRPr="00525F08">
              <w:rPr>
                <w:rFonts w:cs="Arial"/>
                <w:sz w:val="16"/>
                <w:szCs w:val="16"/>
              </w:rPr>
              <w:br/>
              <w:t>once daily</w:t>
            </w:r>
          </w:p>
        </w:tc>
        <w:tc>
          <w:tcPr>
            <w:tcW w:w="399" w:type="dxa"/>
            <w:vMerge w:val="restart"/>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29</w:t>
            </w:r>
          </w:p>
        </w:tc>
        <w:tc>
          <w:tcPr>
            <w:tcW w:w="1095" w:type="dxa"/>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0.70</w:t>
            </w:r>
            <w:r w:rsidRPr="00525F08">
              <w:rPr>
                <w:rFonts w:cs="Arial"/>
                <w:sz w:val="16"/>
                <w:szCs w:val="16"/>
              </w:rPr>
              <w:br/>
              <w:t>(0.62, 0.78)</w:t>
            </w:r>
          </w:p>
        </w:tc>
        <w:tc>
          <w:tcPr>
            <w:tcW w:w="1006"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0.78</w:t>
            </w:r>
            <w:r w:rsidRPr="00525F08">
              <w:rPr>
                <w:rFonts w:cs="Arial"/>
                <w:sz w:val="16"/>
                <w:szCs w:val="16"/>
              </w:rPr>
              <w:br/>
              <w:t>(0.73, 0.83)</w:t>
            </w:r>
          </w:p>
        </w:tc>
        <w:tc>
          <w:tcPr>
            <w:tcW w:w="978"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1.06</w:t>
            </w:r>
            <w:r w:rsidRPr="00525F08">
              <w:rPr>
                <w:rFonts w:cs="Arial"/>
                <w:sz w:val="16"/>
                <w:szCs w:val="16"/>
              </w:rPr>
              <w:br/>
              <w:t>(1.01, 1.10)</w:t>
            </w:r>
          </w:p>
        </w:tc>
        <w:tc>
          <w:tcPr>
            <w:tcW w:w="1006"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1.15</w:t>
            </w:r>
            <w:r w:rsidRPr="00525F08">
              <w:rPr>
                <w:rFonts w:cs="Arial"/>
                <w:sz w:val="16"/>
                <w:szCs w:val="16"/>
              </w:rPr>
              <w:br/>
              <w:t>(1.12, 1.19)</w:t>
            </w:r>
          </w:p>
        </w:tc>
        <w:tc>
          <w:tcPr>
            <w:tcW w:w="978" w:type="dxa"/>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bottom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tcBorders>
              <w:bottom w:val="single" w:sz="4"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0.78</w:t>
            </w:r>
            <w:r w:rsidRPr="00525F08">
              <w:rPr>
                <w:rFonts w:cs="Arial"/>
                <w:sz w:val="16"/>
                <w:szCs w:val="16"/>
              </w:rPr>
              <w:br/>
              <w:t>(0.73, 0.84)</w:t>
            </w:r>
          </w:p>
        </w:tc>
        <w:tc>
          <w:tcPr>
            <w:tcW w:w="1006" w:type="dxa"/>
            <w:tcBorders>
              <w:bottom w:val="single" w:sz="4"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0.95</w:t>
            </w:r>
            <w:r w:rsidRPr="00525F08">
              <w:rPr>
                <w:rFonts w:cs="Arial"/>
                <w:sz w:val="16"/>
                <w:szCs w:val="16"/>
              </w:rPr>
              <w:br/>
              <w:t>(0.88, 1.02)</w:t>
            </w:r>
          </w:p>
        </w:tc>
        <w:tc>
          <w:tcPr>
            <w:tcW w:w="978" w:type="dxa"/>
            <w:tcBorders>
              <w:bottom w:val="single" w:sz="4"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1.16</w:t>
            </w:r>
            <w:r w:rsidRPr="00525F08">
              <w:rPr>
                <w:rFonts w:cs="Arial"/>
                <w:sz w:val="16"/>
                <w:szCs w:val="16"/>
              </w:rPr>
              <w:br/>
              <w:t>(1.07, 1.26)</w:t>
            </w:r>
          </w:p>
        </w:tc>
      </w:tr>
      <w:tr w:rsidR="00D0272C" w:rsidRPr="00525F08" w:rsidTr="005C0C71">
        <w:trPr>
          <w:trHeight w:val="20"/>
        </w:trPr>
        <w:tc>
          <w:tcPr>
            <w:tcW w:w="1242"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voxilaprevir</w:t>
            </w:r>
          </w:p>
        </w:tc>
        <w:tc>
          <w:tcPr>
            <w:tcW w:w="982" w:type="dxa"/>
            <w:tcBorders>
              <w:top w:val="single" w:sz="4"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1.72</w:t>
            </w:r>
            <w:r w:rsidRPr="00525F08">
              <w:rPr>
                <w:rFonts w:cs="Arial"/>
                <w:sz w:val="16"/>
                <w:szCs w:val="16"/>
              </w:rPr>
              <w:br/>
              <w:t>(1.51, 1.97)</w:t>
            </w:r>
          </w:p>
        </w:tc>
        <w:tc>
          <w:tcPr>
            <w:tcW w:w="1006" w:type="dxa"/>
            <w:tcBorders>
              <w:top w:val="single" w:sz="4"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2.43</w:t>
            </w:r>
            <w:r w:rsidRPr="00525F08">
              <w:rPr>
                <w:rFonts w:cs="Arial"/>
                <w:sz w:val="16"/>
                <w:szCs w:val="16"/>
              </w:rPr>
              <w:br/>
              <w:t>(2.15, 2.75)</w:t>
            </w:r>
          </w:p>
        </w:tc>
        <w:tc>
          <w:tcPr>
            <w:tcW w:w="978" w:type="dxa"/>
            <w:tcBorders>
              <w:top w:val="single" w:sz="4"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4.00</w:t>
            </w:r>
            <w:r w:rsidRPr="00525F08">
              <w:rPr>
                <w:rFonts w:cs="Arial"/>
                <w:sz w:val="16"/>
                <w:szCs w:val="16"/>
              </w:rPr>
              <w:br/>
              <w:t>(3.44, 4.65)</w:t>
            </w:r>
          </w:p>
        </w:tc>
      </w:tr>
      <w:tr w:rsidR="00D0272C" w:rsidRPr="00525F08" w:rsidDel="00E56D36" w:rsidTr="005C0C71">
        <w:trPr>
          <w:trHeight w:val="20"/>
        </w:trPr>
        <w:tc>
          <w:tcPr>
            <w:tcW w:w="1242" w:type="dxa"/>
            <w:vMerge w:val="restart"/>
            <w:tcBorders>
              <w:top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r w:rsidRPr="00525F08">
              <w:rPr>
                <w:rFonts w:cs="Arial"/>
                <w:sz w:val="16"/>
                <w:szCs w:val="16"/>
              </w:rPr>
              <w:t>Dolutegravir</w:t>
            </w:r>
          </w:p>
        </w:tc>
        <w:tc>
          <w:tcPr>
            <w:tcW w:w="1327" w:type="dxa"/>
            <w:vMerge w:val="restart"/>
            <w:tcBorders>
              <w:top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50 once daily</w:t>
            </w:r>
          </w:p>
        </w:tc>
        <w:tc>
          <w:tcPr>
            <w:tcW w:w="1151" w:type="dxa"/>
            <w:vMerge w:val="restart"/>
            <w:tcBorders>
              <w:top w:val="single" w:sz="6" w:space="0" w:color="auto"/>
              <w:right w:val="single" w:sz="4"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SOF/VEL</w:t>
            </w:r>
          </w:p>
        </w:tc>
        <w:tc>
          <w:tcPr>
            <w:tcW w:w="1152" w:type="dxa"/>
            <w:vMerge w:val="restart"/>
            <w:tcBorders>
              <w:top w:val="single" w:sz="6" w:space="0" w:color="auto"/>
              <w:left w:val="single" w:sz="4"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400/100 once daily</w:t>
            </w:r>
          </w:p>
        </w:tc>
        <w:tc>
          <w:tcPr>
            <w:tcW w:w="399" w:type="dxa"/>
            <w:vMerge w:val="restart"/>
            <w:tcBorders>
              <w:top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24</w:t>
            </w: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tcBorders>
              <w:top w:val="single" w:sz="6" w:space="0" w:color="auto"/>
              <w:bottom w:val="single" w:sz="6" w:space="0" w:color="auto"/>
            </w:tcBorders>
            <w:shd w:val="clear" w:color="auto" w:fill="auto"/>
            <w:vAlign w:val="center"/>
          </w:tcPr>
          <w:p w:rsidR="00D0272C" w:rsidRPr="00525F08" w:rsidDel="00E56D36" w:rsidRDefault="00D0272C" w:rsidP="005C0C71">
            <w:pPr>
              <w:keepNext/>
              <w:spacing w:before="60" w:after="60"/>
              <w:ind w:left="-98"/>
              <w:jc w:val="center"/>
              <w:rPr>
                <w:rFonts w:cs="Arial"/>
                <w:sz w:val="16"/>
                <w:szCs w:val="16"/>
              </w:rPr>
            </w:pPr>
            <w:r w:rsidRPr="00525F08">
              <w:rPr>
                <w:rFonts w:cs="Arial"/>
                <w:sz w:val="16"/>
                <w:szCs w:val="16"/>
              </w:rPr>
              <w:t>0.88</w:t>
            </w:r>
            <w:r w:rsidRPr="00525F08">
              <w:rPr>
                <w:rFonts w:cs="Arial"/>
                <w:sz w:val="16"/>
                <w:szCs w:val="16"/>
              </w:rPr>
              <w:br/>
              <w:t>(0.80, 0.98)</w:t>
            </w:r>
          </w:p>
        </w:tc>
        <w:tc>
          <w:tcPr>
            <w:tcW w:w="1006" w:type="dxa"/>
            <w:tcBorders>
              <w:top w:val="single" w:sz="6" w:space="0" w:color="auto"/>
              <w:bottom w:val="single" w:sz="6" w:space="0" w:color="auto"/>
            </w:tcBorders>
            <w:shd w:val="clear" w:color="auto" w:fill="auto"/>
            <w:vAlign w:val="center"/>
          </w:tcPr>
          <w:p w:rsidR="00D0272C" w:rsidRPr="00525F08" w:rsidDel="00E56D36" w:rsidRDefault="00D0272C" w:rsidP="005C0C71">
            <w:pPr>
              <w:keepNext/>
              <w:spacing w:before="60" w:after="60"/>
              <w:ind w:left="-98"/>
              <w:jc w:val="center"/>
              <w:rPr>
                <w:rFonts w:cs="Arial"/>
                <w:sz w:val="16"/>
                <w:szCs w:val="16"/>
              </w:rPr>
            </w:pPr>
            <w:r w:rsidRPr="00525F08">
              <w:rPr>
                <w:rFonts w:cs="Arial"/>
                <w:sz w:val="16"/>
                <w:szCs w:val="16"/>
              </w:rPr>
              <w:t>0.92</w:t>
            </w:r>
            <w:r w:rsidRPr="00525F08">
              <w:rPr>
                <w:rFonts w:cs="Arial"/>
                <w:sz w:val="16"/>
                <w:szCs w:val="16"/>
              </w:rPr>
              <w:br/>
              <w:t>(0.85, 0.99)</w:t>
            </w:r>
          </w:p>
        </w:tc>
        <w:tc>
          <w:tcPr>
            <w:tcW w:w="978" w:type="dxa"/>
            <w:tcBorders>
              <w:top w:val="single" w:sz="6" w:space="0" w:color="auto"/>
              <w:bottom w:val="single" w:sz="6" w:space="0" w:color="auto"/>
            </w:tcBorders>
            <w:shd w:val="clear" w:color="auto" w:fill="auto"/>
            <w:vAlign w:val="center"/>
          </w:tcPr>
          <w:p w:rsidR="00D0272C" w:rsidRPr="00525F08" w:rsidDel="00E56D36" w:rsidRDefault="00D0272C" w:rsidP="005C0C71">
            <w:pPr>
              <w:keepNext/>
              <w:spacing w:before="60" w:after="60"/>
              <w:ind w:left="-98"/>
              <w:jc w:val="center"/>
              <w:rPr>
                <w:rFonts w:cs="Arial"/>
                <w:sz w:val="16"/>
                <w:szCs w:val="16"/>
              </w:rPr>
            </w:pPr>
            <w:r w:rsidRPr="00525F08">
              <w:rPr>
                <w:rFonts w:cs="Arial"/>
                <w:sz w:val="16"/>
                <w:szCs w:val="16"/>
              </w:rPr>
              <w:t>NA</w:t>
            </w:r>
          </w:p>
        </w:tc>
      </w:tr>
      <w:tr w:rsidR="00D0272C" w:rsidRPr="00525F08" w:rsidDel="00E56D36" w:rsidTr="005C0C71">
        <w:trPr>
          <w:trHeight w:val="2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Del="00E56D36" w:rsidRDefault="00D0272C" w:rsidP="005C0C71">
            <w:pPr>
              <w:spacing w:before="60" w:after="60"/>
              <w:ind w:left="-98"/>
              <w:jc w:val="center"/>
              <w:rPr>
                <w:rFonts w:cs="Arial"/>
                <w:sz w:val="16"/>
                <w:szCs w:val="16"/>
              </w:rPr>
            </w:pPr>
            <w:r w:rsidRPr="00525F08">
              <w:rPr>
                <w:rFonts w:cs="Arial"/>
                <w:sz w:val="16"/>
                <w:szCs w:val="16"/>
              </w:rPr>
              <w:t>1.01</w:t>
            </w:r>
            <w:r w:rsidRPr="00525F08">
              <w:rPr>
                <w:rFonts w:cs="Arial"/>
                <w:sz w:val="16"/>
                <w:szCs w:val="16"/>
              </w:rPr>
              <w:br/>
              <w:t>(0.93, 1.10)</w:t>
            </w:r>
          </w:p>
        </w:tc>
        <w:tc>
          <w:tcPr>
            <w:tcW w:w="1006" w:type="dxa"/>
            <w:tcBorders>
              <w:top w:val="single" w:sz="6" w:space="0" w:color="auto"/>
              <w:bottom w:val="single" w:sz="6" w:space="0" w:color="auto"/>
            </w:tcBorders>
            <w:shd w:val="clear" w:color="auto" w:fill="auto"/>
            <w:vAlign w:val="center"/>
          </w:tcPr>
          <w:p w:rsidR="00D0272C" w:rsidRPr="00525F08" w:rsidDel="00E56D36" w:rsidRDefault="00D0272C" w:rsidP="005C0C71">
            <w:pPr>
              <w:spacing w:before="60" w:after="60"/>
              <w:ind w:left="-98"/>
              <w:jc w:val="center"/>
              <w:rPr>
                <w:rFonts w:cs="Arial"/>
                <w:sz w:val="16"/>
                <w:szCs w:val="16"/>
              </w:rPr>
            </w:pPr>
            <w:r w:rsidRPr="00525F08">
              <w:rPr>
                <w:rFonts w:cs="Arial"/>
                <w:sz w:val="16"/>
                <w:szCs w:val="16"/>
              </w:rPr>
              <w:t>0.99</w:t>
            </w:r>
            <w:r w:rsidRPr="00525F08">
              <w:rPr>
                <w:rFonts w:cs="Arial"/>
                <w:sz w:val="16"/>
                <w:szCs w:val="16"/>
              </w:rPr>
              <w:br/>
              <w:t>(0.97, 1.01)</w:t>
            </w:r>
          </w:p>
        </w:tc>
        <w:tc>
          <w:tcPr>
            <w:tcW w:w="978" w:type="dxa"/>
            <w:tcBorders>
              <w:top w:val="single" w:sz="6" w:space="0" w:color="auto"/>
              <w:bottom w:val="single" w:sz="6" w:space="0" w:color="auto"/>
            </w:tcBorders>
            <w:shd w:val="clear" w:color="auto" w:fill="auto"/>
            <w:vAlign w:val="center"/>
          </w:tcPr>
          <w:p w:rsidR="00D0272C" w:rsidRPr="00525F08" w:rsidDel="00E56D36" w:rsidRDefault="00D0272C" w:rsidP="005C0C71">
            <w:pPr>
              <w:spacing w:before="60" w:after="60"/>
              <w:ind w:left="-98"/>
              <w:jc w:val="center"/>
              <w:rPr>
                <w:rFonts w:cs="Arial"/>
                <w:sz w:val="16"/>
                <w:szCs w:val="16"/>
              </w:rPr>
            </w:pPr>
            <w:r w:rsidRPr="00525F08">
              <w:rPr>
                <w:rFonts w:cs="Arial"/>
                <w:sz w:val="16"/>
                <w:szCs w:val="16"/>
              </w:rPr>
              <w:t>0.99</w:t>
            </w:r>
            <w:r w:rsidRPr="00525F08">
              <w:rPr>
                <w:rFonts w:cs="Arial"/>
                <w:sz w:val="16"/>
                <w:szCs w:val="16"/>
              </w:rPr>
              <w:br/>
              <w:t>(0.97, 1.01)</w:t>
            </w:r>
          </w:p>
        </w:tc>
      </w:tr>
      <w:tr w:rsidR="00D0272C" w:rsidRPr="00525F08" w:rsidDel="00E56D36" w:rsidTr="005C0C71">
        <w:trPr>
          <w:trHeight w:val="57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tcBorders>
              <w:top w:val="single" w:sz="6" w:space="0" w:color="auto"/>
            </w:tcBorders>
            <w:shd w:val="clear" w:color="auto" w:fill="auto"/>
            <w:vAlign w:val="center"/>
          </w:tcPr>
          <w:p w:rsidR="00D0272C" w:rsidRPr="00525F08" w:rsidDel="00E56D36" w:rsidRDefault="00D0272C" w:rsidP="005C0C71">
            <w:pPr>
              <w:spacing w:before="60" w:after="60"/>
              <w:ind w:left="-98"/>
              <w:jc w:val="center"/>
              <w:rPr>
                <w:rFonts w:cs="Arial"/>
                <w:sz w:val="16"/>
                <w:szCs w:val="16"/>
              </w:rPr>
            </w:pPr>
            <w:r w:rsidRPr="00525F08">
              <w:rPr>
                <w:rFonts w:cs="Arial"/>
                <w:sz w:val="16"/>
                <w:szCs w:val="16"/>
              </w:rPr>
              <w:t>0.94</w:t>
            </w:r>
            <w:r w:rsidRPr="00525F08">
              <w:rPr>
                <w:rFonts w:cs="Arial"/>
                <w:sz w:val="16"/>
                <w:szCs w:val="16"/>
              </w:rPr>
              <w:br/>
              <w:t>(0.86, 1.02)</w:t>
            </w:r>
          </w:p>
        </w:tc>
        <w:tc>
          <w:tcPr>
            <w:tcW w:w="1006" w:type="dxa"/>
            <w:tcBorders>
              <w:top w:val="single" w:sz="6" w:space="0" w:color="auto"/>
            </w:tcBorders>
            <w:shd w:val="clear" w:color="auto" w:fill="auto"/>
            <w:vAlign w:val="center"/>
          </w:tcPr>
          <w:p w:rsidR="00D0272C" w:rsidRPr="00525F08" w:rsidDel="00E56D36" w:rsidRDefault="00D0272C" w:rsidP="005C0C71">
            <w:pPr>
              <w:spacing w:before="60" w:after="60"/>
              <w:ind w:left="-98"/>
              <w:jc w:val="center"/>
              <w:rPr>
                <w:rFonts w:cs="Arial"/>
                <w:sz w:val="16"/>
                <w:szCs w:val="16"/>
              </w:rPr>
            </w:pPr>
            <w:r w:rsidRPr="00525F08">
              <w:rPr>
                <w:rFonts w:cs="Arial"/>
                <w:sz w:val="16"/>
                <w:szCs w:val="16"/>
              </w:rPr>
              <w:t>0.91</w:t>
            </w:r>
            <w:r w:rsidRPr="00525F08">
              <w:rPr>
                <w:rFonts w:cs="Arial"/>
                <w:sz w:val="16"/>
                <w:szCs w:val="16"/>
              </w:rPr>
              <w:br/>
              <w:t>(0.84, 0.98)</w:t>
            </w:r>
          </w:p>
        </w:tc>
        <w:tc>
          <w:tcPr>
            <w:tcW w:w="978" w:type="dxa"/>
            <w:tcBorders>
              <w:top w:val="single" w:sz="6" w:space="0" w:color="auto"/>
            </w:tcBorders>
            <w:shd w:val="clear" w:color="auto" w:fill="auto"/>
            <w:vAlign w:val="center"/>
          </w:tcPr>
          <w:p w:rsidR="00D0272C" w:rsidRPr="00525F08" w:rsidDel="00E56D36" w:rsidRDefault="00D0272C" w:rsidP="005C0C71">
            <w:pPr>
              <w:spacing w:before="60" w:after="60"/>
              <w:ind w:left="-98"/>
              <w:jc w:val="center"/>
              <w:rPr>
                <w:rFonts w:cs="Arial"/>
                <w:sz w:val="16"/>
                <w:szCs w:val="16"/>
              </w:rPr>
            </w:pPr>
            <w:r w:rsidRPr="00525F08">
              <w:rPr>
                <w:rFonts w:cs="Arial"/>
                <w:sz w:val="16"/>
                <w:szCs w:val="16"/>
              </w:rPr>
              <w:t>0.88</w:t>
            </w:r>
            <w:r w:rsidRPr="00525F08">
              <w:rPr>
                <w:rFonts w:cs="Arial"/>
                <w:sz w:val="16"/>
                <w:szCs w:val="16"/>
              </w:rPr>
              <w:br/>
              <w:t>(0.82, 0.94)</w:t>
            </w:r>
          </w:p>
        </w:tc>
      </w:tr>
      <w:tr w:rsidR="00D0272C" w:rsidRPr="00525F08" w:rsidTr="005C0C71">
        <w:trPr>
          <w:trHeight w:val="20"/>
        </w:trPr>
        <w:tc>
          <w:tcPr>
            <w:tcW w:w="1242" w:type="dxa"/>
            <w:vMerge w:val="restart"/>
            <w:tcBorders>
              <w:top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Arial"/>
                <w:sz w:val="16"/>
                <w:szCs w:val="16"/>
              </w:rPr>
            </w:pPr>
            <w:r w:rsidRPr="00525F08">
              <w:rPr>
                <w:rFonts w:cs="Arial"/>
                <w:sz w:val="16"/>
                <w:szCs w:val="16"/>
              </w:rPr>
              <w:t>Efavirenz/</w:t>
            </w:r>
            <w:r w:rsidRPr="00525F08">
              <w:rPr>
                <w:rFonts w:cs="Arial"/>
                <w:sz w:val="16"/>
                <w:szCs w:val="16"/>
              </w:rPr>
              <w:br/>
              <w:t>emtricitabine/</w:t>
            </w:r>
            <w:r w:rsidRPr="00525F08">
              <w:rPr>
                <w:rFonts w:cs="Arial"/>
                <w:sz w:val="16"/>
                <w:szCs w:val="16"/>
              </w:rPr>
              <w:br/>
              <w:t>tenofovir DF</w:t>
            </w:r>
            <w:r w:rsidRPr="00525F08">
              <w:rPr>
                <w:rFonts w:cs="Arial"/>
                <w:sz w:val="16"/>
                <w:szCs w:val="16"/>
                <w:vertAlign w:val="superscript"/>
              </w:rPr>
              <w:t>b</w:t>
            </w:r>
          </w:p>
        </w:tc>
        <w:tc>
          <w:tcPr>
            <w:tcW w:w="1327" w:type="dxa"/>
            <w:vMerge w:val="restart"/>
            <w:tcBorders>
              <w:top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600/200/300 once daily</w:t>
            </w:r>
          </w:p>
        </w:tc>
        <w:tc>
          <w:tcPr>
            <w:tcW w:w="1151" w:type="dxa"/>
            <w:vMerge w:val="restart"/>
            <w:tcBorders>
              <w:top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SOF/VEL</w:t>
            </w:r>
          </w:p>
        </w:tc>
        <w:tc>
          <w:tcPr>
            <w:tcW w:w="1152" w:type="dxa"/>
            <w:vMerge w:val="restart"/>
            <w:tcBorders>
              <w:top w:val="single" w:sz="6" w:space="0" w:color="auto"/>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400/100 once daily</w:t>
            </w:r>
          </w:p>
        </w:tc>
        <w:tc>
          <w:tcPr>
            <w:tcW w:w="399" w:type="dxa"/>
            <w:vMerge w:val="restart"/>
            <w:tcBorders>
              <w:top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14</w:t>
            </w: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1.38</w:t>
            </w:r>
            <w:r w:rsidRPr="00525F08">
              <w:rPr>
                <w:rFonts w:cs="Arial"/>
                <w:sz w:val="16"/>
                <w:szCs w:val="16"/>
              </w:rPr>
              <w:br/>
              <w:t>(1.14, 1.67)</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0.97</w:t>
            </w:r>
            <w:r w:rsidRPr="00525F08">
              <w:rPr>
                <w:rFonts w:cs="Arial"/>
                <w:sz w:val="16"/>
                <w:szCs w:val="16"/>
              </w:rPr>
              <w:br/>
              <w:t>(0.83, 1.14)</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0.86</w:t>
            </w:r>
            <w:r w:rsidRPr="00525F08">
              <w:rPr>
                <w:rFonts w:cs="Arial"/>
                <w:sz w:val="16"/>
                <w:szCs w:val="16"/>
              </w:rPr>
              <w:br/>
              <w:t>(0.80, 0.93)</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0.90</w:t>
            </w:r>
            <w:r w:rsidRPr="00525F08">
              <w:rPr>
                <w:rFonts w:cs="Arial"/>
                <w:sz w:val="16"/>
                <w:szCs w:val="16"/>
              </w:rPr>
              <w:br/>
              <w:t>(0.85, 0.96)</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1.01</w:t>
            </w:r>
            <w:r w:rsidRPr="00525F08">
              <w:rPr>
                <w:rFonts w:cs="Arial"/>
                <w:sz w:val="16"/>
                <w:szCs w:val="16"/>
              </w:rPr>
              <w:br/>
              <w:t>(0.95, 1.07)</w:t>
            </w:r>
          </w:p>
        </w:tc>
      </w:tr>
      <w:tr w:rsidR="00D0272C" w:rsidRPr="00525F08" w:rsidTr="005C0C71">
        <w:trPr>
          <w:trHeight w:val="669"/>
        </w:trPr>
        <w:tc>
          <w:tcPr>
            <w:tcW w:w="1242"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tcBorders>
              <w:top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0.53</w:t>
            </w:r>
            <w:r w:rsidRPr="00525F08">
              <w:rPr>
                <w:rFonts w:cs="Arial"/>
                <w:sz w:val="16"/>
                <w:szCs w:val="16"/>
              </w:rPr>
              <w:br/>
              <w:t>(0.43, 0.64)</w:t>
            </w:r>
          </w:p>
        </w:tc>
        <w:tc>
          <w:tcPr>
            <w:tcW w:w="1006" w:type="dxa"/>
            <w:tcBorders>
              <w:top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0.47</w:t>
            </w:r>
            <w:r w:rsidRPr="00525F08">
              <w:rPr>
                <w:rFonts w:cs="Arial"/>
                <w:sz w:val="16"/>
                <w:szCs w:val="16"/>
              </w:rPr>
              <w:br/>
              <w:t>(0.39, 0.57)</w:t>
            </w:r>
          </w:p>
        </w:tc>
        <w:tc>
          <w:tcPr>
            <w:tcW w:w="978" w:type="dxa"/>
            <w:tcBorders>
              <w:top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0.43</w:t>
            </w:r>
            <w:r w:rsidRPr="00525F08">
              <w:rPr>
                <w:rFonts w:cs="Arial"/>
                <w:sz w:val="16"/>
                <w:szCs w:val="16"/>
              </w:rPr>
              <w:br/>
              <w:t>(0.36, 0.52)</w:t>
            </w:r>
          </w:p>
        </w:tc>
      </w:tr>
      <w:tr w:rsidR="00D0272C" w:rsidRPr="00525F08" w:rsidTr="005C0C71">
        <w:trPr>
          <w:trHeight w:val="20"/>
        </w:trPr>
        <w:tc>
          <w:tcPr>
            <w:tcW w:w="1242" w:type="dxa"/>
            <w:vMerge w:val="restar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Arial"/>
                <w:sz w:val="16"/>
                <w:szCs w:val="16"/>
              </w:rPr>
            </w:pPr>
            <w:r w:rsidRPr="00525F08">
              <w:rPr>
                <w:rFonts w:cs="Arial"/>
                <w:sz w:val="16"/>
                <w:szCs w:val="16"/>
              </w:rPr>
              <w:t>Elvitegravir/</w:t>
            </w:r>
            <w:r w:rsidRPr="00525F08">
              <w:rPr>
                <w:rFonts w:cs="Arial"/>
                <w:sz w:val="16"/>
                <w:szCs w:val="16"/>
              </w:rPr>
              <w:br/>
              <w:t>cobicistat/</w:t>
            </w:r>
            <w:r w:rsidRPr="00525F08">
              <w:rPr>
                <w:rFonts w:cs="Arial"/>
                <w:sz w:val="16"/>
                <w:szCs w:val="16"/>
              </w:rPr>
              <w:br/>
              <w:t>emtricitabine/</w:t>
            </w:r>
            <w:r w:rsidRPr="00525F08">
              <w:rPr>
                <w:rFonts w:cs="Arial"/>
                <w:sz w:val="16"/>
                <w:szCs w:val="16"/>
              </w:rPr>
              <w:br/>
              <w:t>tenofovir alafenamide</w:t>
            </w:r>
            <w:r w:rsidRPr="00525F08">
              <w:rPr>
                <w:rFonts w:cs="Arial"/>
                <w:sz w:val="16"/>
                <w:szCs w:val="16"/>
                <w:vertAlign w:val="superscript"/>
              </w:rPr>
              <w:t>c</w:t>
            </w:r>
          </w:p>
        </w:tc>
        <w:tc>
          <w:tcPr>
            <w:tcW w:w="1327" w:type="dxa"/>
            <w:vMerge w:val="restar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150/150/200/ 10 once daily</w:t>
            </w:r>
          </w:p>
        </w:tc>
        <w:tc>
          <w:tcPr>
            <w:tcW w:w="1151" w:type="dxa"/>
            <w:vMerge w:val="restart"/>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tabs>
                <w:tab w:val="left" w:pos="1440"/>
                <w:tab w:val="left" w:pos="1800"/>
                <w:tab w:val="left" w:pos="2160"/>
                <w:tab w:val="left" w:pos="2520"/>
                <w:tab w:val="left" w:pos="2880"/>
                <w:tab w:val="left" w:pos="3240"/>
                <w:tab w:val="left" w:pos="3600"/>
                <w:tab w:val="left" w:pos="3960"/>
                <w:tab w:val="left" w:pos="4320"/>
              </w:tabs>
              <w:spacing w:before="60" w:after="60"/>
              <w:ind w:left="-88" w:right="-64"/>
              <w:jc w:val="center"/>
              <w:rPr>
                <w:rFonts w:cs="Arial"/>
                <w:sz w:val="16"/>
                <w:szCs w:val="16"/>
              </w:rPr>
            </w:pPr>
            <w:r w:rsidRPr="00525F08">
              <w:rPr>
                <w:rFonts w:cs="Arial"/>
                <w:sz w:val="16"/>
                <w:szCs w:val="16"/>
              </w:rPr>
              <w:t>SOF/VEL/</w:t>
            </w:r>
            <w:r w:rsidRPr="00525F08">
              <w:rPr>
                <w:rFonts w:cs="Arial"/>
                <w:sz w:val="16"/>
                <w:szCs w:val="16"/>
              </w:rPr>
              <w:br/>
              <w:t>VOX</w:t>
            </w:r>
            <w:r w:rsidRPr="00525F08">
              <w:rPr>
                <w:rFonts w:cs="Arial"/>
                <w:sz w:val="16"/>
                <w:szCs w:val="16"/>
              </w:rPr>
              <w:br/>
              <w:t xml:space="preserve"> + VOX</w:t>
            </w:r>
          </w:p>
        </w:tc>
        <w:tc>
          <w:tcPr>
            <w:tcW w:w="1152" w:type="dxa"/>
            <w:vMerge w:val="restart"/>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 xml:space="preserve">400/100/100 + 100 </w:t>
            </w:r>
            <w:r w:rsidRPr="00525F08">
              <w:rPr>
                <w:rFonts w:cs="Arial"/>
                <w:sz w:val="16"/>
                <w:szCs w:val="16"/>
              </w:rPr>
              <w:br/>
              <w:t>once daily</w:t>
            </w:r>
          </w:p>
        </w:tc>
        <w:tc>
          <w:tcPr>
            <w:tcW w:w="399" w:type="dxa"/>
            <w:vMerge w:val="restar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29</w:t>
            </w: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1.27</w:t>
            </w:r>
            <w:r w:rsidRPr="00525F08">
              <w:rPr>
                <w:rFonts w:cs="Arial"/>
                <w:sz w:val="16"/>
                <w:szCs w:val="16"/>
              </w:rPr>
              <w:br/>
              <w:t>(1.09, 1.48)</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1.22</w:t>
            </w:r>
            <w:r w:rsidRPr="00525F08">
              <w:rPr>
                <w:rFonts w:cs="Arial"/>
                <w:sz w:val="16"/>
                <w:szCs w:val="16"/>
              </w:rPr>
              <w:br/>
              <w:t>(1.12, 1.32)</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1.28</w:t>
            </w:r>
            <w:r w:rsidRPr="00525F08">
              <w:rPr>
                <w:rFonts w:cs="Arial"/>
                <w:sz w:val="16"/>
                <w:szCs w:val="16"/>
              </w:rPr>
              <w:br/>
              <w:t>(1.25, 1.32)</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1.43</w:t>
            </w:r>
            <w:r w:rsidRPr="00525F08">
              <w:rPr>
                <w:rFonts w:cs="Arial"/>
                <w:sz w:val="16"/>
                <w:szCs w:val="16"/>
              </w:rPr>
              <w:br/>
              <w:t>(1.39, 1.47)</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0.96</w:t>
            </w:r>
            <w:r w:rsidRPr="00525F08">
              <w:rPr>
                <w:rFonts w:cs="Arial"/>
                <w:sz w:val="16"/>
                <w:szCs w:val="16"/>
              </w:rPr>
              <w:br/>
              <w:t>(0.89, 1.04)</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1.16</w:t>
            </w:r>
            <w:r w:rsidRPr="00525F08">
              <w:rPr>
                <w:rFonts w:cs="Arial"/>
                <w:sz w:val="16"/>
                <w:szCs w:val="16"/>
              </w:rPr>
              <w:br/>
              <w:t>(1.06, 1.27)</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1.46</w:t>
            </w:r>
            <w:r w:rsidRPr="00525F08">
              <w:rPr>
                <w:rFonts w:cs="Arial"/>
                <w:sz w:val="16"/>
                <w:szCs w:val="16"/>
              </w:rPr>
              <w:br/>
              <w:t>(1.30, 1.64)</w:t>
            </w:r>
          </w:p>
        </w:tc>
      </w:tr>
      <w:tr w:rsidR="00D0272C" w:rsidRPr="00525F08" w:rsidTr="005C0C71">
        <w:trPr>
          <w:trHeight w:val="20"/>
        </w:trPr>
        <w:tc>
          <w:tcPr>
            <w:tcW w:w="1242"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voxilaprevir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1.92</w:t>
            </w:r>
            <w:r w:rsidRPr="00525F08">
              <w:rPr>
                <w:rFonts w:cs="Arial"/>
                <w:sz w:val="16"/>
                <w:szCs w:val="16"/>
              </w:rPr>
              <w:br/>
              <w:t>(1.63, 2.26)</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2.71</w:t>
            </w:r>
            <w:r w:rsidRPr="00525F08">
              <w:rPr>
                <w:rFonts w:cs="Arial"/>
                <w:sz w:val="16"/>
                <w:szCs w:val="16"/>
              </w:rPr>
              <w:br/>
              <w:t>(2.30, 3.19)</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4.50</w:t>
            </w:r>
            <w:r w:rsidRPr="00525F08">
              <w:rPr>
                <w:rFonts w:cs="Arial"/>
                <w:sz w:val="16"/>
                <w:szCs w:val="16"/>
              </w:rPr>
              <w:br/>
              <w:t>(3.68, 5.50)</w:t>
            </w:r>
          </w:p>
        </w:tc>
      </w:tr>
      <w:tr w:rsidR="00D0272C" w:rsidRPr="00525F08" w:rsidTr="005C0C71">
        <w:trPr>
          <w:trHeight w:val="265"/>
        </w:trPr>
        <w:tc>
          <w:tcPr>
            <w:tcW w:w="1242" w:type="dxa"/>
            <w:vMerge w:val="restart"/>
            <w:shd w:val="clear" w:color="auto" w:fill="auto"/>
            <w:vAlign w:val="center"/>
          </w:tcPr>
          <w:p w:rsidR="00D0272C" w:rsidRPr="00525F08" w:rsidRDefault="00D0272C" w:rsidP="005C0C71">
            <w:pPr>
              <w:pStyle w:val="Default"/>
              <w:jc w:val="both"/>
              <w:rPr>
                <w:sz w:val="10"/>
                <w:szCs w:val="10"/>
              </w:rPr>
            </w:pPr>
            <w:r w:rsidRPr="00525F08">
              <w:rPr>
                <w:sz w:val="16"/>
                <w:szCs w:val="16"/>
              </w:rPr>
              <w:t>Emtricitabine/ rilpivirine/ tenofovir alafenamide</w:t>
            </w:r>
            <w:r w:rsidRPr="00D67A47">
              <w:rPr>
                <w:sz w:val="20"/>
                <w:szCs w:val="20"/>
                <w:vertAlign w:val="superscript"/>
              </w:rPr>
              <w:t>d</w:t>
            </w:r>
            <w:r w:rsidRPr="00D67A47">
              <w:rPr>
                <w:vertAlign w:val="superscript"/>
              </w:rPr>
              <w:t xml:space="preserve"> </w:t>
            </w:r>
          </w:p>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val="restart"/>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200/25/25once daily </w:t>
            </w:r>
          </w:p>
        </w:tc>
        <w:tc>
          <w:tcPr>
            <w:tcW w:w="1151" w:type="dxa"/>
            <w:vMerge w:val="restart"/>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SOF/VEL/ VOX + VOX </w:t>
            </w:r>
          </w:p>
        </w:tc>
        <w:tc>
          <w:tcPr>
            <w:tcW w:w="1152" w:type="dxa"/>
            <w:vMerge w:val="restart"/>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400/100/100 + 100 once daily </w:t>
            </w:r>
          </w:p>
        </w:tc>
        <w:tc>
          <w:tcPr>
            <w:tcW w:w="399" w:type="dxa"/>
            <w:vMerge w:val="restart"/>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Pr>
                <w:rFonts w:cs="Arial"/>
                <w:sz w:val="16"/>
                <w:szCs w:val="16"/>
              </w:rPr>
              <w:t>30</w:t>
            </w: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sofosbuvir </w:t>
            </w:r>
          </w:p>
        </w:tc>
        <w:tc>
          <w:tcPr>
            <w:tcW w:w="982" w:type="dxa"/>
            <w:tcBorders>
              <w:top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0.95 </w:t>
            </w:r>
          </w:p>
          <w:p w:rsidR="00D0272C" w:rsidRPr="00525F08" w:rsidRDefault="00D0272C" w:rsidP="005C0C71">
            <w:pPr>
              <w:spacing w:before="60" w:after="60"/>
              <w:ind w:left="-98"/>
              <w:jc w:val="center"/>
              <w:rPr>
                <w:rFonts w:cs="Arial"/>
                <w:sz w:val="16"/>
                <w:szCs w:val="16"/>
              </w:rPr>
            </w:pPr>
            <w:r w:rsidRPr="00525F08">
              <w:rPr>
                <w:sz w:val="16"/>
                <w:szCs w:val="16"/>
              </w:rPr>
              <w:t xml:space="preserve">(0.86, 1.05) </w:t>
            </w:r>
          </w:p>
        </w:tc>
        <w:tc>
          <w:tcPr>
            <w:tcW w:w="1006" w:type="dxa"/>
            <w:tcBorders>
              <w:top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1.01 </w:t>
            </w:r>
          </w:p>
          <w:p w:rsidR="00D0272C" w:rsidRPr="00525F08" w:rsidRDefault="00D0272C" w:rsidP="005C0C71">
            <w:pPr>
              <w:spacing w:before="60" w:after="60"/>
              <w:ind w:left="-98"/>
              <w:jc w:val="center"/>
              <w:rPr>
                <w:rFonts w:cs="Arial"/>
                <w:sz w:val="16"/>
                <w:szCs w:val="16"/>
              </w:rPr>
            </w:pPr>
            <w:r w:rsidRPr="00525F08">
              <w:rPr>
                <w:sz w:val="16"/>
                <w:szCs w:val="16"/>
              </w:rPr>
              <w:t xml:space="preserve">(0.97, 1.06) </w:t>
            </w:r>
          </w:p>
        </w:tc>
        <w:tc>
          <w:tcPr>
            <w:tcW w:w="978" w:type="dxa"/>
            <w:tcBorders>
              <w:top w:val="single" w:sz="6" w:space="0" w:color="auto"/>
            </w:tcBorders>
            <w:shd w:val="clear" w:color="auto" w:fill="auto"/>
          </w:tcPr>
          <w:p w:rsidR="00D0272C" w:rsidRPr="00525F08" w:rsidRDefault="00D0272C" w:rsidP="005C0C71">
            <w:pPr>
              <w:spacing w:before="60" w:after="60"/>
              <w:ind w:left="-98"/>
              <w:jc w:val="center"/>
              <w:rPr>
                <w:rFonts w:cs="Arial"/>
                <w:sz w:val="16"/>
                <w:szCs w:val="16"/>
              </w:rPr>
            </w:pPr>
            <w:r w:rsidRPr="00525F08">
              <w:rPr>
                <w:sz w:val="16"/>
                <w:szCs w:val="16"/>
              </w:rPr>
              <w:t xml:space="preserve">NA </w:t>
            </w:r>
          </w:p>
        </w:tc>
      </w:tr>
      <w:tr w:rsidR="00D0272C" w:rsidRPr="00525F08" w:rsidTr="005C0C71">
        <w:trPr>
          <w:trHeight w:val="265"/>
        </w:trPr>
        <w:tc>
          <w:tcPr>
            <w:tcW w:w="1242" w:type="dxa"/>
            <w:vMerge/>
            <w:shd w:val="clear" w:color="auto" w:fill="auto"/>
            <w:vAlign w:val="center"/>
          </w:tcPr>
          <w:p w:rsidR="00D0272C" w:rsidRPr="00525F08" w:rsidRDefault="00D0272C" w:rsidP="005C0C71">
            <w:pPr>
              <w:pStyle w:val="Default"/>
              <w:jc w:val="both"/>
              <w:rPr>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GS-331007 </w:t>
            </w:r>
          </w:p>
        </w:tc>
        <w:tc>
          <w:tcPr>
            <w:tcW w:w="982"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1.02 </w:t>
            </w:r>
          </w:p>
          <w:p w:rsidR="00D0272C" w:rsidRPr="00525F08" w:rsidRDefault="00D0272C" w:rsidP="005C0C71">
            <w:pPr>
              <w:spacing w:before="60" w:after="60"/>
              <w:ind w:left="-98"/>
              <w:jc w:val="center"/>
              <w:rPr>
                <w:rFonts w:cs="Arial"/>
                <w:sz w:val="16"/>
                <w:szCs w:val="16"/>
              </w:rPr>
            </w:pPr>
            <w:r w:rsidRPr="00525F08">
              <w:rPr>
                <w:sz w:val="16"/>
                <w:szCs w:val="16"/>
              </w:rPr>
              <w:t xml:space="preserve">(0.98, 1.06) </w:t>
            </w:r>
          </w:p>
        </w:tc>
        <w:tc>
          <w:tcPr>
            <w:tcW w:w="1006"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1.04</w:t>
            </w:r>
          </w:p>
          <w:p w:rsidR="00D0272C" w:rsidRPr="00525F08" w:rsidRDefault="00D0272C" w:rsidP="005C0C71">
            <w:pPr>
              <w:spacing w:before="60" w:after="60"/>
              <w:ind w:left="-98"/>
              <w:jc w:val="center"/>
              <w:rPr>
                <w:rFonts w:cs="Arial"/>
                <w:sz w:val="16"/>
                <w:szCs w:val="16"/>
              </w:rPr>
            </w:pPr>
            <w:r w:rsidRPr="00525F08">
              <w:rPr>
                <w:sz w:val="16"/>
                <w:szCs w:val="16"/>
              </w:rPr>
              <w:t xml:space="preserve"> (1.01, 1.06) </w:t>
            </w:r>
          </w:p>
        </w:tc>
        <w:tc>
          <w:tcPr>
            <w:tcW w:w="978" w:type="dxa"/>
            <w:shd w:val="clear" w:color="auto" w:fill="auto"/>
          </w:tcPr>
          <w:p w:rsidR="00D0272C" w:rsidRPr="00525F08" w:rsidRDefault="00D0272C" w:rsidP="005C0C71">
            <w:pPr>
              <w:spacing w:before="60" w:after="60"/>
              <w:ind w:left="-98"/>
              <w:jc w:val="center"/>
              <w:rPr>
                <w:rFonts w:cs="Arial"/>
                <w:sz w:val="16"/>
                <w:szCs w:val="16"/>
              </w:rPr>
            </w:pPr>
            <w:r w:rsidRPr="00525F08">
              <w:rPr>
                <w:sz w:val="16"/>
                <w:szCs w:val="16"/>
              </w:rPr>
              <w:t xml:space="preserve">NA </w:t>
            </w:r>
          </w:p>
        </w:tc>
      </w:tr>
      <w:tr w:rsidR="00D0272C" w:rsidRPr="00525F08" w:rsidTr="005C0C71">
        <w:trPr>
          <w:trHeight w:val="156"/>
        </w:trPr>
        <w:tc>
          <w:tcPr>
            <w:tcW w:w="1242" w:type="dxa"/>
            <w:vMerge/>
            <w:shd w:val="clear" w:color="auto" w:fill="auto"/>
            <w:vAlign w:val="center"/>
          </w:tcPr>
          <w:p w:rsidR="00D0272C" w:rsidRPr="00525F08" w:rsidRDefault="00D0272C" w:rsidP="005C0C71">
            <w:pPr>
              <w:pStyle w:val="Default"/>
              <w:jc w:val="both"/>
              <w:rPr>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velpatasvir </w:t>
            </w:r>
          </w:p>
        </w:tc>
        <w:tc>
          <w:tcPr>
            <w:tcW w:w="982"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1.05 </w:t>
            </w:r>
          </w:p>
          <w:p w:rsidR="00D0272C" w:rsidRPr="00525F08" w:rsidRDefault="00D0272C" w:rsidP="005C0C71">
            <w:pPr>
              <w:spacing w:before="60" w:after="60"/>
              <w:ind w:left="-98"/>
              <w:jc w:val="center"/>
              <w:rPr>
                <w:rFonts w:cs="Arial"/>
                <w:sz w:val="16"/>
                <w:szCs w:val="16"/>
              </w:rPr>
            </w:pPr>
            <w:r w:rsidRPr="00525F08">
              <w:rPr>
                <w:sz w:val="16"/>
                <w:szCs w:val="16"/>
              </w:rPr>
              <w:t xml:space="preserve">(0.96, 1.16) </w:t>
            </w:r>
          </w:p>
        </w:tc>
        <w:tc>
          <w:tcPr>
            <w:tcW w:w="1006"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1.01</w:t>
            </w:r>
          </w:p>
          <w:p w:rsidR="00D0272C" w:rsidRPr="00525F08" w:rsidRDefault="00D0272C" w:rsidP="005C0C71">
            <w:pPr>
              <w:spacing w:before="60" w:after="60"/>
              <w:ind w:left="-98"/>
              <w:jc w:val="center"/>
              <w:rPr>
                <w:rFonts w:cs="Arial"/>
                <w:sz w:val="16"/>
                <w:szCs w:val="16"/>
              </w:rPr>
            </w:pPr>
            <w:r w:rsidRPr="00525F08">
              <w:rPr>
                <w:sz w:val="16"/>
                <w:szCs w:val="16"/>
              </w:rPr>
              <w:t xml:space="preserve"> (0.94, 1.07) </w:t>
            </w:r>
          </w:p>
        </w:tc>
        <w:tc>
          <w:tcPr>
            <w:tcW w:w="978"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1.01</w:t>
            </w:r>
          </w:p>
          <w:p w:rsidR="00D0272C" w:rsidRPr="00525F08" w:rsidRDefault="00D0272C" w:rsidP="005C0C71">
            <w:pPr>
              <w:spacing w:before="60" w:after="60"/>
              <w:ind w:left="-98"/>
              <w:jc w:val="center"/>
              <w:rPr>
                <w:sz w:val="16"/>
                <w:szCs w:val="16"/>
              </w:rPr>
            </w:pPr>
            <w:r w:rsidRPr="00525F08">
              <w:rPr>
                <w:sz w:val="16"/>
                <w:szCs w:val="16"/>
              </w:rPr>
              <w:t xml:space="preserve"> (0.95, 1.09) </w:t>
            </w:r>
          </w:p>
          <w:p w:rsidR="00D0272C" w:rsidRPr="00525F08" w:rsidRDefault="00D0272C" w:rsidP="005C0C71">
            <w:pPr>
              <w:spacing w:before="60" w:after="60"/>
              <w:ind w:left="-98"/>
              <w:jc w:val="center"/>
              <w:rPr>
                <w:rFonts w:cs="Arial"/>
                <w:sz w:val="16"/>
                <w:szCs w:val="16"/>
              </w:rPr>
            </w:pPr>
          </w:p>
        </w:tc>
      </w:tr>
      <w:tr w:rsidR="00D0272C" w:rsidRPr="00525F08" w:rsidTr="005C0C71">
        <w:trPr>
          <w:trHeight w:val="155"/>
        </w:trPr>
        <w:tc>
          <w:tcPr>
            <w:tcW w:w="1242" w:type="dxa"/>
            <w:vMerge/>
            <w:tcBorders>
              <w:bottom w:val="single" w:sz="6" w:space="0" w:color="auto"/>
            </w:tcBorders>
            <w:shd w:val="clear" w:color="auto" w:fill="auto"/>
            <w:vAlign w:val="center"/>
          </w:tcPr>
          <w:p w:rsidR="00D0272C" w:rsidRPr="00525F08" w:rsidRDefault="00D0272C" w:rsidP="005C0C71">
            <w:pPr>
              <w:pStyle w:val="Default"/>
              <w:jc w:val="both"/>
              <w:rPr>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voxilaprevir </w:t>
            </w:r>
          </w:p>
        </w:tc>
        <w:tc>
          <w:tcPr>
            <w:tcW w:w="982"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0.96 </w:t>
            </w:r>
          </w:p>
          <w:p w:rsidR="00D0272C" w:rsidRPr="00525F08" w:rsidRDefault="00D0272C" w:rsidP="005C0C71">
            <w:pPr>
              <w:spacing w:before="60" w:after="60"/>
              <w:ind w:left="-98"/>
              <w:jc w:val="center"/>
              <w:rPr>
                <w:rFonts w:cs="Arial"/>
                <w:sz w:val="16"/>
                <w:szCs w:val="16"/>
              </w:rPr>
            </w:pPr>
            <w:r w:rsidRPr="00525F08">
              <w:rPr>
                <w:sz w:val="16"/>
                <w:szCs w:val="16"/>
              </w:rPr>
              <w:t xml:space="preserve">(0.84, 1.11) </w:t>
            </w:r>
          </w:p>
        </w:tc>
        <w:tc>
          <w:tcPr>
            <w:tcW w:w="1006"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0.94 </w:t>
            </w:r>
          </w:p>
          <w:p w:rsidR="00D0272C" w:rsidRPr="00525F08" w:rsidRDefault="00D0272C" w:rsidP="005C0C71">
            <w:pPr>
              <w:spacing w:before="60" w:after="60"/>
              <w:ind w:left="-98"/>
              <w:jc w:val="center"/>
              <w:rPr>
                <w:rFonts w:cs="Arial"/>
                <w:sz w:val="16"/>
                <w:szCs w:val="16"/>
              </w:rPr>
            </w:pPr>
            <w:r w:rsidRPr="00525F08">
              <w:rPr>
                <w:sz w:val="16"/>
                <w:szCs w:val="16"/>
              </w:rPr>
              <w:t xml:space="preserve">(0.84, 1.05) </w:t>
            </w:r>
          </w:p>
        </w:tc>
        <w:tc>
          <w:tcPr>
            <w:tcW w:w="978"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1.02 </w:t>
            </w:r>
          </w:p>
          <w:p w:rsidR="00D0272C" w:rsidRDefault="00D0272C" w:rsidP="005C0C71">
            <w:pPr>
              <w:spacing w:before="60" w:after="60"/>
              <w:ind w:left="-98"/>
              <w:jc w:val="center"/>
              <w:rPr>
                <w:sz w:val="16"/>
                <w:szCs w:val="16"/>
              </w:rPr>
            </w:pPr>
            <w:r w:rsidRPr="00525F08">
              <w:rPr>
                <w:sz w:val="16"/>
                <w:szCs w:val="16"/>
              </w:rPr>
              <w:t xml:space="preserve">(0.92, 1.12) </w:t>
            </w:r>
          </w:p>
          <w:p w:rsidR="00D0272C" w:rsidRDefault="00D0272C" w:rsidP="005C0C71">
            <w:pPr>
              <w:spacing w:before="60" w:after="60"/>
              <w:ind w:left="-98"/>
              <w:jc w:val="center"/>
              <w:rPr>
                <w:sz w:val="16"/>
                <w:szCs w:val="16"/>
              </w:rPr>
            </w:pPr>
          </w:p>
          <w:p w:rsidR="00D0272C" w:rsidRDefault="00D0272C" w:rsidP="005C0C71">
            <w:pPr>
              <w:spacing w:before="60" w:after="60"/>
              <w:ind w:left="-98"/>
              <w:jc w:val="center"/>
              <w:rPr>
                <w:sz w:val="16"/>
                <w:szCs w:val="16"/>
              </w:rPr>
            </w:pPr>
          </w:p>
          <w:p w:rsidR="00D0272C" w:rsidRDefault="00D0272C" w:rsidP="005C0C71">
            <w:pPr>
              <w:spacing w:before="60" w:after="60"/>
              <w:ind w:left="-98"/>
              <w:jc w:val="center"/>
              <w:rPr>
                <w:sz w:val="16"/>
                <w:szCs w:val="16"/>
              </w:rPr>
            </w:pPr>
          </w:p>
          <w:p w:rsidR="00D0272C" w:rsidRDefault="00D0272C" w:rsidP="005C0C71">
            <w:pPr>
              <w:spacing w:before="60" w:after="60"/>
              <w:ind w:left="-98"/>
              <w:jc w:val="center"/>
              <w:rPr>
                <w:sz w:val="16"/>
                <w:szCs w:val="16"/>
              </w:rPr>
            </w:pPr>
          </w:p>
          <w:p w:rsidR="00D0272C" w:rsidRPr="00525F08" w:rsidRDefault="00D0272C" w:rsidP="005C0C71">
            <w:pPr>
              <w:spacing w:before="60" w:after="60"/>
              <w:ind w:left="-98"/>
              <w:jc w:val="center"/>
              <w:rPr>
                <w:rFonts w:cs="Arial"/>
                <w:sz w:val="16"/>
                <w:szCs w:val="16"/>
              </w:rPr>
            </w:pPr>
          </w:p>
        </w:tc>
      </w:tr>
      <w:tr w:rsidR="00D0272C" w:rsidRPr="00525F08" w:rsidTr="005C0C71">
        <w:trPr>
          <w:trHeight w:val="59"/>
        </w:trPr>
        <w:tc>
          <w:tcPr>
            <w:tcW w:w="1242" w:type="dxa"/>
            <w:vMerge w:val="restart"/>
            <w:shd w:val="clear" w:color="auto" w:fill="auto"/>
            <w:vAlign w:val="center"/>
          </w:tcPr>
          <w:p w:rsidR="00D0272C" w:rsidRPr="00525F08" w:rsidRDefault="00D0272C" w:rsidP="005C0C71">
            <w:pPr>
              <w:pStyle w:val="Default"/>
              <w:jc w:val="both"/>
              <w:rPr>
                <w:sz w:val="16"/>
                <w:szCs w:val="16"/>
              </w:rPr>
            </w:pPr>
            <w:r w:rsidRPr="00525F08">
              <w:rPr>
                <w:sz w:val="16"/>
                <w:szCs w:val="16"/>
              </w:rPr>
              <w:lastRenderedPageBreak/>
              <w:t xml:space="preserve">Famotidine </w:t>
            </w:r>
          </w:p>
          <w:p w:rsidR="00D0272C" w:rsidRPr="00525F08" w:rsidRDefault="00D0272C" w:rsidP="005C0C71">
            <w:pPr>
              <w:pStyle w:val="Default"/>
              <w:jc w:val="both"/>
              <w:rPr>
                <w:sz w:val="16"/>
                <w:szCs w:val="16"/>
              </w:rPr>
            </w:pPr>
          </w:p>
        </w:tc>
        <w:tc>
          <w:tcPr>
            <w:tcW w:w="1327" w:type="dxa"/>
            <w:vMerge w:val="restart"/>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40 single dose simultaneously with </w:t>
            </w:r>
            <w:r>
              <w:rPr>
                <w:sz w:val="16"/>
                <w:szCs w:val="16"/>
              </w:rPr>
              <w:t>VOSEVI</w:t>
            </w:r>
          </w:p>
        </w:tc>
        <w:tc>
          <w:tcPr>
            <w:tcW w:w="1151" w:type="dxa"/>
            <w:vMerge w:val="restart"/>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SOF/VEL/ VOX</w:t>
            </w:r>
          </w:p>
        </w:tc>
        <w:tc>
          <w:tcPr>
            <w:tcW w:w="1152" w:type="dxa"/>
            <w:vMerge w:val="restart"/>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400/100/100 single dose</w:t>
            </w:r>
          </w:p>
        </w:tc>
        <w:tc>
          <w:tcPr>
            <w:tcW w:w="399" w:type="dxa"/>
            <w:vMerge w:val="restart"/>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35</w:t>
            </w:r>
          </w:p>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sofosbuvir </w:t>
            </w:r>
          </w:p>
        </w:tc>
        <w:tc>
          <w:tcPr>
            <w:tcW w:w="982" w:type="dxa"/>
            <w:tcBorders>
              <w:bottom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0.96</w:t>
            </w:r>
          </w:p>
          <w:p w:rsidR="00D0272C" w:rsidRPr="00525F08" w:rsidRDefault="00D0272C" w:rsidP="005C0C71">
            <w:pPr>
              <w:spacing w:before="60" w:after="60"/>
              <w:ind w:left="-98"/>
              <w:jc w:val="center"/>
              <w:rPr>
                <w:sz w:val="16"/>
                <w:szCs w:val="16"/>
              </w:rPr>
            </w:pPr>
            <w:r w:rsidRPr="00525F08">
              <w:rPr>
                <w:sz w:val="16"/>
                <w:szCs w:val="16"/>
              </w:rPr>
              <w:t xml:space="preserve"> (0.85, 1.09) </w:t>
            </w:r>
          </w:p>
        </w:tc>
        <w:tc>
          <w:tcPr>
            <w:tcW w:w="1006" w:type="dxa"/>
            <w:tcBorders>
              <w:bottom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0.94 </w:t>
            </w:r>
          </w:p>
          <w:p w:rsidR="00D0272C" w:rsidRPr="00525F08" w:rsidRDefault="00D0272C" w:rsidP="005C0C71">
            <w:pPr>
              <w:spacing w:before="60" w:after="60"/>
              <w:ind w:left="-98"/>
              <w:jc w:val="center"/>
              <w:rPr>
                <w:sz w:val="16"/>
                <w:szCs w:val="16"/>
              </w:rPr>
            </w:pPr>
            <w:r w:rsidRPr="00525F08">
              <w:rPr>
                <w:sz w:val="16"/>
                <w:szCs w:val="16"/>
              </w:rPr>
              <w:t xml:space="preserve">(0.88, 1.00) </w:t>
            </w:r>
          </w:p>
        </w:tc>
        <w:tc>
          <w:tcPr>
            <w:tcW w:w="978" w:type="dxa"/>
            <w:tcBorders>
              <w:bottom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57"/>
        </w:trPr>
        <w:tc>
          <w:tcPr>
            <w:tcW w:w="1242" w:type="dxa"/>
            <w:vMerge/>
            <w:shd w:val="clear" w:color="auto" w:fill="auto"/>
            <w:vAlign w:val="center"/>
          </w:tcPr>
          <w:p w:rsidR="00D0272C" w:rsidRPr="00525F08" w:rsidRDefault="00D0272C" w:rsidP="005C0C71">
            <w:pPr>
              <w:pStyle w:val="Default"/>
              <w:jc w:val="both"/>
              <w:rPr>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4" w:space="0" w:color="auto"/>
              <w:bottom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GS-331007 </w:t>
            </w:r>
          </w:p>
        </w:tc>
        <w:tc>
          <w:tcPr>
            <w:tcW w:w="982" w:type="dxa"/>
            <w:tcBorders>
              <w:top w:val="single" w:sz="4" w:space="0" w:color="auto"/>
              <w:bottom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1.08 </w:t>
            </w:r>
          </w:p>
          <w:p w:rsidR="00D0272C" w:rsidRPr="00525F08" w:rsidRDefault="00D0272C" w:rsidP="005C0C71">
            <w:pPr>
              <w:spacing w:before="60" w:after="60"/>
              <w:ind w:left="-98"/>
              <w:jc w:val="center"/>
              <w:rPr>
                <w:sz w:val="16"/>
                <w:szCs w:val="16"/>
              </w:rPr>
            </w:pPr>
            <w:r w:rsidRPr="00525F08">
              <w:rPr>
                <w:sz w:val="16"/>
                <w:szCs w:val="16"/>
              </w:rPr>
              <w:t xml:space="preserve">(1.03, 1.12) </w:t>
            </w:r>
          </w:p>
        </w:tc>
        <w:tc>
          <w:tcPr>
            <w:tcW w:w="1006" w:type="dxa"/>
            <w:tcBorders>
              <w:top w:val="single" w:sz="4" w:space="0" w:color="auto"/>
              <w:bottom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1.04 </w:t>
            </w:r>
          </w:p>
          <w:p w:rsidR="00D0272C" w:rsidRPr="00525F08" w:rsidRDefault="00D0272C" w:rsidP="005C0C71">
            <w:pPr>
              <w:spacing w:before="60" w:after="60"/>
              <w:ind w:left="-98"/>
              <w:jc w:val="center"/>
              <w:rPr>
                <w:sz w:val="16"/>
                <w:szCs w:val="16"/>
              </w:rPr>
            </w:pPr>
            <w:r w:rsidRPr="00525F08">
              <w:rPr>
                <w:sz w:val="16"/>
                <w:szCs w:val="16"/>
              </w:rPr>
              <w:t xml:space="preserve">(1.02, 1.06) </w:t>
            </w:r>
          </w:p>
        </w:tc>
        <w:tc>
          <w:tcPr>
            <w:tcW w:w="978" w:type="dxa"/>
            <w:tcBorders>
              <w:top w:val="single" w:sz="4" w:space="0" w:color="auto"/>
              <w:bottom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57"/>
        </w:trPr>
        <w:tc>
          <w:tcPr>
            <w:tcW w:w="1242" w:type="dxa"/>
            <w:vMerge/>
            <w:shd w:val="clear" w:color="auto" w:fill="auto"/>
            <w:vAlign w:val="center"/>
          </w:tcPr>
          <w:p w:rsidR="00D0272C" w:rsidRPr="00525F08" w:rsidRDefault="00D0272C" w:rsidP="005C0C71">
            <w:pPr>
              <w:pStyle w:val="Default"/>
              <w:jc w:val="both"/>
              <w:rPr>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4"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velpatasvir </w:t>
            </w:r>
          </w:p>
        </w:tc>
        <w:tc>
          <w:tcPr>
            <w:tcW w:w="982" w:type="dxa"/>
            <w:tcBorders>
              <w:top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0.91 </w:t>
            </w:r>
          </w:p>
          <w:p w:rsidR="00D0272C" w:rsidRPr="00525F08" w:rsidRDefault="00D0272C" w:rsidP="005C0C71">
            <w:pPr>
              <w:spacing w:before="60" w:after="60"/>
              <w:ind w:left="-98"/>
              <w:jc w:val="center"/>
              <w:rPr>
                <w:sz w:val="16"/>
                <w:szCs w:val="16"/>
              </w:rPr>
            </w:pPr>
            <w:r w:rsidRPr="00525F08">
              <w:rPr>
                <w:sz w:val="16"/>
                <w:szCs w:val="16"/>
              </w:rPr>
              <w:t xml:space="preserve">(0.83, 1.00) </w:t>
            </w:r>
          </w:p>
        </w:tc>
        <w:tc>
          <w:tcPr>
            <w:tcW w:w="1006" w:type="dxa"/>
            <w:tcBorders>
              <w:top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0.90 </w:t>
            </w:r>
          </w:p>
          <w:p w:rsidR="00D0272C" w:rsidRPr="00525F08" w:rsidRDefault="00D0272C" w:rsidP="005C0C71">
            <w:pPr>
              <w:spacing w:before="60" w:after="60"/>
              <w:ind w:left="-98"/>
              <w:jc w:val="center"/>
              <w:rPr>
                <w:sz w:val="16"/>
                <w:szCs w:val="16"/>
              </w:rPr>
            </w:pPr>
            <w:r w:rsidRPr="00525F08">
              <w:rPr>
                <w:sz w:val="16"/>
                <w:szCs w:val="16"/>
              </w:rPr>
              <w:t xml:space="preserve">(0.79, 1.01) </w:t>
            </w:r>
          </w:p>
        </w:tc>
        <w:tc>
          <w:tcPr>
            <w:tcW w:w="978" w:type="dxa"/>
            <w:tcBorders>
              <w:top w:val="single" w:sz="4"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57"/>
        </w:trPr>
        <w:tc>
          <w:tcPr>
            <w:tcW w:w="1242" w:type="dxa"/>
            <w:vMerge/>
            <w:shd w:val="clear" w:color="auto" w:fill="auto"/>
            <w:vAlign w:val="center"/>
          </w:tcPr>
          <w:p w:rsidR="00D0272C" w:rsidRPr="00525F08" w:rsidRDefault="00D0272C" w:rsidP="005C0C71">
            <w:pPr>
              <w:pStyle w:val="Default"/>
              <w:jc w:val="both"/>
              <w:rPr>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voxilaprevir </w:t>
            </w:r>
          </w:p>
        </w:tc>
        <w:tc>
          <w:tcPr>
            <w:tcW w:w="982"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0.90</w:t>
            </w:r>
          </w:p>
          <w:p w:rsidR="00D0272C" w:rsidRPr="00525F08" w:rsidRDefault="00D0272C" w:rsidP="005C0C71">
            <w:pPr>
              <w:spacing w:before="60" w:after="60"/>
              <w:ind w:left="-98"/>
              <w:jc w:val="center"/>
              <w:rPr>
                <w:sz w:val="16"/>
                <w:szCs w:val="16"/>
              </w:rPr>
            </w:pPr>
            <w:r w:rsidRPr="00525F08">
              <w:rPr>
                <w:sz w:val="16"/>
                <w:szCs w:val="16"/>
              </w:rPr>
              <w:t xml:space="preserve"> (0.81, 1.00) </w:t>
            </w:r>
          </w:p>
        </w:tc>
        <w:tc>
          <w:tcPr>
            <w:tcW w:w="1006"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0.98 </w:t>
            </w:r>
          </w:p>
          <w:p w:rsidR="00D0272C" w:rsidRPr="00525F08" w:rsidRDefault="00D0272C" w:rsidP="005C0C71">
            <w:pPr>
              <w:spacing w:before="60" w:after="60"/>
              <w:ind w:left="-98"/>
              <w:jc w:val="center"/>
              <w:rPr>
                <w:sz w:val="16"/>
                <w:szCs w:val="16"/>
              </w:rPr>
            </w:pPr>
            <w:r w:rsidRPr="00525F08">
              <w:rPr>
                <w:sz w:val="16"/>
                <w:szCs w:val="16"/>
              </w:rPr>
              <w:t xml:space="preserve">(0.90, 1.06) </w:t>
            </w:r>
          </w:p>
        </w:tc>
        <w:tc>
          <w:tcPr>
            <w:tcW w:w="978"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59"/>
        </w:trPr>
        <w:tc>
          <w:tcPr>
            <w:tcW w:w="1242" w:type="dxa"/>
            <w:vMerge/>
            <w:shd w:val="clear" w:color="auto" w:fill="auto"/>
            <w:vAlign w:val="center"/>
          </w:tcPr>
          <w:p w:rsidR="00D0272C" w:rsidRPr="00525F08" w:rsidRDefault="00D0272C" w:rsidP="005C0C71">
            <w:pPr>
              <w:pStyle w:val="Default"/>
              <w:jc w:val="both"/>
              <w:rPr>
                <w:sz w:val="16"/>
                <w:szCs w:val="16"/>
              </w:rPr>
            </w:pPr>
          </w:p>
        </w:tc>
        <w:tc>
          <w:tcPr>
            <w:tcW w:w="1327" w:type="dxa"/>
            <w:vMerge w:val="restart"/>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40 single dose 12 hours prior to </w:t>
            </w:r>
            <w:r>
              <w:rPr>
                <w:sz w:val="16"/>
                <w:szCs w:val="16"/>
              </w:rPr>
              <w:t>VOSEVI</w:t>
            </w:r>
            <w:r w:rsidRPr="00525F08">
              <w:rPr>
                <w:sz w:val="16"/>
                <w:szCs w:val="16"/>
              </w:rPr>
              <w:t xml:space="preserve"> </w:t>
            </w:r>
          </w:p>
        </w:tc>
        <w:tc>
          <w:tcPr>
            <w:tcW w:w="1151" w:type="dxa"/>
            <w:vMerge w:val="restart"/>
            <w:tcBorders>
              <w:righ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SOF/VEL/ VOX </w:t>
            </w:r>
          </w:p>
        </w:tc>
        <w:tc>
          <w:tcPr>
            <w:tcW w:w="1152" w:type="dxa"/>
            <w:vMerge w:val="restart"/>
            <w:tcBorders>
              <w:lef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400/100/100 single dose </w:t>
            </w:r>
          </w:p>
        </w:tc>
        <w:tc>
          <w:tcPr>
            <w:tcW w:w="399" w:type="dxa"/>
            <w:vMerge w:val="restart"/>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36 </w:t>
            </w: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sofosbuvir </w:t>
            </w:r>
          </w:p>
        </w:tc>
        <w:tc>
          <w:tcPr>
            <w:tcW w:w="982"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0.93 </w:t>
            </w:r>
          </w:p>
          <w:p w:rsidR="00D0272C" w:rsidRPr="00525F08" w:rsidRDefault="00D0272C" w:rsidP="005C0C71">
            <w:pPr>
              <w:spacing w:before="60" w:after="60"/>
              <w:ind w:left="-98"/>
              <w:jc w:val="center"/>
              <w:rPr>
                <w:sz w:val="16"/>
                <w:szCs w:val="16"/>
              </w:rPr>
            </w:pPr>
            <w:r w:rsidRPr="00525F08">
              <w:rPr>
                <w:sz w:val="16"/>
                <w:szCs w:val="16"/>
              </w:rPr>
              <w:t xml:space="preserve">(0.82, 1.05) </w:t>
            </w:r>
          </w:p>
        </w:tc>
        <w:tc>
          <w:tcPr>
            <w:tcW w:w="1006"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0.87 </w:t>
            </w:r>
          </w:p>
          <w:p w:rsidR="00D0272C" w:rsidRPr="00525F08" w:rsidRDefault="00D0272C" w:rsidP="005C0C71">
            <w:pPr>
              <w:spacing w:before="60" w:after="60"/>
              <w:ind w:left="-98"/>
              <w:jc w:val="center"/>
              <w:rPr>
                <w:sz w:val="16"/>
                <w:szCs w:val="16"/>
              </w:rPr>
            </w:pPr>
            <w:r w:rsidRPr="00525F08">
              <w:rPr>
                <w:sz w:val="16"/>
                <w:szCs w:val="16"/>
              </w:rPr>
              <w:t xml:space="preserve">(0.82, 0.92) </w:t>
            </w:r>
          </w:p>
        </w:tc>
        <w:tc>
          <w:tcPr>
            <w:tcW w:w="978"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57"/>
        </w:trPr>
        <w:tc>
          <w:tcPr>
            <w:tcW w:w="1242" w:type="dxa"/>
            <w:vMerge/>
            <w:shd w:val="clear" w:color="auto" w:fill="auto"/>
            <w:vAlign w:val="center"/>
          </w:tcPr>
          <w:p w:rsidR="00D0272C" w:rsidRPr="00525F08" w:rsidRDefault="00D0272C" w:rsidP="005C0C71">
            <w:pPr>
              <w:pStyle w:val="Default"/>
              <w:jc w:val="both"/>
              <w:rPr>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GS-331007 </w:t>
            </w:r>
          </w:p>
        </w:tc>
        <w:tc>
          <w:tcPr>
            <w:tcW w:w="982"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1.14 </w:t>
            </w:r>
          </w:p>
          <w:p w:rsidR="00D0272C" w:rsidRPr="00525F08" w:rsidRDefault="00D0272C" w:rsidP="005C0C71">
            <w:pPr>
              <w:spacing w:before="60" w:after="60"/>
              <w:ind w:left="-98"/>
              <w:jc w:val="center"/>
              <w:rPr>
                <w:sz w:val="16"/>
                <w:szCs w:val="16"/>
              </w:rPr>
            </w:pPr>
            <w:r w:rsidRPr="00525F08">
              <w:rPr>
                <w:sz w:val="16"/>
                <w:szCs w:val="16"/>
              </w:rPr>
              <w:t xml:space="preserve">(1.10, 1.19) </w:t>
            </w:r>
          </w:p>
        </w:tc>
        <w:tc>
          <w:tcPr>
            <w:tcW w:w="1006"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1.01</w:t>
            </w:r>
          </w:p>
          <w:p w:rsidR="00D0272C" w:rsidRPr="00525F08" w:rsidRDefault="00D0272C" w:rsidP="005C0C71">
            <w:pPr>
              <w:spacing w:before="60" w:after="60"/>
              <w:ind w:left="-98"/>
              <w:jc w:val="center"/>
              <w:rPr>
                <w:sz w:val="16"/>
                <w:szCs w:val="16"/>
              </w:rPr>
            </w:pPr>
            <w:r w:rsidRPr="00525F08">
              <w:rPr>
                <w:sz w:val="16"/>
                <w:szCs w:val="16"/>
              </w:rPr>
              <w:t xml:space="preserve"> (0.99, 1.03) </w:t>
            </w:r>
          </w:p>
        </w:tc>
        <w:tc>
          <w:tcPr>
            <w:tcW w:w="978"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57"/>
        </w:trPr>
        <w:tc>
          <w:tcPr>
            <w:tcW w:w="1242" w:type="dxa"/>
            <w:vMerge/>
            <w:shd w:val="clear" w:color="auto" w:fill="auto"/>
            <w:vAlign w:val="center"/>
          </w:tcPr>
          <w:p w:rsidR="00D0272C" w:rsidRPr="00525F08" w:rsidRDefault="00D0272C" w:rsidP="005C0C71">
            <w:pPr>
              <w:pStyle w:val="Default"/>
              <w:jc w:val="both"/>
              <w:rPr>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velpatasvir </w:t>
            </w:r>
          </w:p>
        </w:tc>
        <w:tc>
          <w:tcPr>
            <w:tcW w:w="982"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0.87 </w:t>
            </w:r>
          </w:p>
          <w:p w:rsidR="00D0272C" w:rsidRPr="00525F08" w:rsidRDefault="00D0272C" w:rsidP="005C0C71">
            <w:pPr>
              <w:spacing w:before="60" w:after="60"/>
              <w:ind w:left="-98"/>
              <w:jc w:val="center"/>
              <w:rPr>
                <w:sz w:val="16"/>
                <w:szCs w:val="16"/>
              </w:rPr>
            </w:pPr>
            <w:r w:rsidRPr="00525F08">
              <w:rPr>
                <w:sz w:val="16"/>
                <w:szCs w:val="16"/>
              </w:rPr>
              <w:t xml:space="preserve">(0.79, 0.95) </w:t>
            </w:r>
          </w:p>
        </w:tc>
        <w:tc>
          <w:tcPr>
            <w:tcW w:w="1006"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0.85 </w:t>
            </w:r>
          </w:p>
          <w:p w:rsidR="00D0272C" w:rsidRPr="00525F08" w:rsidRDefault="00D0272C" w:rsidP="005C0C71">
            <w:pPr>
              <w:spacing w:before="60" w:after="60"/>
              <w:ind w:left="-98"/>
              <w:jc w:val="center"/>
              <w:rPr>
                <w:sz w:val="16"/>
                <w:szCs w:val="16"/>
              </w:rPr>
            </w:pPr>
            <w:r w:rsidRPr="00525F08">
              <w:rPr>
                <w:sz w:val="16"/>
                <w:szCs w:val="16"/>
              </w:rPr>
              <w:t xml:space="preserve">(0.75, 0.96) </w:t>
            </w:r>
          </w:p>
        </w:tc>
        <w:tc>
          <w:tcPr>
            <w:tcW w:w="978" w:type="dxa"/>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57"/>
        </w:trPr>
        <w:tc>
          <w:tcPr>
            <w:tcW w:w="1242" w:type="dxa"/>
            <w:vMerge/>
            <w:tcBorders>
              <w:bottom w:val="single" w:sz="6" w:space="0" w:color="auto"/>
            </w:tcBorders>
            <w:shd w:val="clear" w:color="auto" w:fill="auto"/>
            <w:vAlign w:val="center"/>
          </w:tcPr>
          <w:p w:rsidR="00D0272C" w:rsidRPr="00525F08" w:rsidRDefault="00D0272C" w:rsidP="005C0C71">
            <w:pPr>
              <w:pStyle w:val="Default"/>
              <w:jc w:val="both"/>
              <w:rPr>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voxilaprevir </w:t>
            </w:r>
          </w:p>
        </w:tc>
        <w:tc>
          <w:tcPr>
            <w:tcW w:w="982"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0.90 (0.81, 1.01) </w:t>
            </w:r>
          </w:p>
        </w:tc>
        <w:tc>
          <w:tcPr>
            <w:tcW w:w="1006"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0.94 (0.87, 1.03) </w:t>
            </w:r>
          </w:p>
        </w:tc>
        <w:tc>
          <w:tcPr>
            <w:tcW w:w="978"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57"/>
        </w:trPr>
        <w:tc>
          <w:tcPr>
            <w:tcW w:w="1242" w:type="dxa"/>
            <w:tcBorders>
              <w:bottom w:val="single" w:sz="6" w:space="0" w:color="auto"/>
            </w:tcBorders>
            <w:shd w:val="clear" w:color="auto" w:fill="auto"/>
          </w:tcPr>
          <w:p w:rsidR="00D0272C" w:rsidRPr="00525F08" w:rsidRDefault="00D0272C" w:rsidP="005C0C71">
            <w:pPr>
              <w:pStyle w:val="Default"/>
              <w:jc w:val="both"/>
              <w:rPr>
                <w:sz w:val="16"/>
                <w:szCs w:val="16"/>
              </w:rPr>
            </w:pPr>
            <w:r w:rsidRPr="00525F08">
              <w:rPr>
                <w:sz w:val="16"/>
                <w:szCs w:val="16"/>
              </w:rPr>
              <w:t xml:space="preserve">Gemfibrozil </w:t>
            </w:r>
          </w:p>
        </w:tc>
        <w:tc>
          <w:tcPr>
            <w:tcW w:w="1327" w:type="dxa"/>
            <w:tcBorders>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600 twice daily </w:t>
            </w:r>
          </w:p>
        </w:tc>
        <w:tc>
          <w:tcPr>
            <w:tcW w:w="1151" w:type="dxa"/>
            <w:tcBorders>
              <w:bottom w:val="single" w:sz="6" w:space="0" w:color="auto"/>
              <w:righ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VOX </w:t>
            </w:r>
          </w:p>
        </w:tc>
        <w:tc>
          <w:tcPr>
            <w:tcW w:w="1152" w:type="dxa"/>
            <w:tcBorders>
              <w:left w:val="single" w:sz="4"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100 single dose </w:t>
            </w:r>
          </w:p>
        </w:tc>
        <w:tc>
          <w:tcPr>
            <w:tcW w:w="399" w:type="dxa"/>
            <w:tcBorders>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sz w:val="16"/>
                <w:szCs w:val="16"/>
              </w:rPr>
              <w:t xml:space="preserve">24 </w:t>
            </w:r>
          </w:p>
        </w:tc>
        <w:tc>
          <w:tcPr>
            <w:tcW w:w="1095" w:type="dxa"/>
            <w:tcBorders>
              <w:top w:val="single" w:sz="6"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voxilaprevir </w:t>
            </w:r>
          </w:p>
        </w:tc>
        <w:tc>
          <w:tcPr>
            <w:tcW w:w="982"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0.98 </w:t>
            </w:r>
          </w:p>
          <w:p w:rsidR="00D0272C" w:rsidRPr="00525F08" w:rsidRDefault="00D0272C" w:rsidP="005C0C71">
            <w:pPr>
              <w:spacing w:before="60" w:after="60"/>
              <w:ind w:left="-98"/>
              <w:jc w:val="center"/>
              <w:rPr>
                <w:sz w:val="16"/>
                <w:szCs w:val="16"/>
              </w:rPr>
            </w:pPr>
            <w:r w:rsidRPr="00525F08">
              <w:rPr>
                <w:sz w:val="16"/>
                <w:szCs w:val="16"/>
              </w:rPr>
              <w:t xml:space="preserve">(0.85, 1.13) </w:t>
            </w:r>
          </w:p>
        </w:tc>
        <w:tc>
          <w:tcPr>
            <w:tcW w:w="1006"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1.11 </w:t>
            </w:r>
          </w:p>
          <w:p w:rsidR="00D0272C" w:rsidRPr="00525F08" w:rsidRDefault="00D0272C" w:rsidP="005C0C71">
            <w:pPr>
              <w:spacing w:before="60" w:after="60"/>
              <w:ind w:left="-98"/>
              <w:jc w:val="center"/>
              <w:rPr>
                <w:sz w:val="16"/>
                <w:szCs w:val="16"/>
              </w:rPr>
            </w:pPr>
            <w:r w:rsidRPr="00525F08">
              <w:rPr>
                <w:sz w:val="16"/>
                <w:szCs w:val="16"/>
              </w:rPr>
              <w:t xml:space="preserve">(1.01, 1.23) </w:t>
            </w:r>
          </w:p>
        </w:tc>
        <w:tc>
          <w:tcPr>
            <w:tcW w:w="978" w:type="dxa"/>
            <w:tcBorders>
              <w:bottom w:val="single" w:sz="6" w:space="0" w:color="auto"/>
            </w:tcBorders>
            <w:shd w:val="clear" w:color="auto" w:fill="auto"/>
          </w:tcPr>
          <w:p w:rsidR="00D0272C" w:rsidRPr="00525F08" w:rsidRDefault="00D0272C" w:rsidP="005C0C71">
            <w:pPr>
              <w:spacing w:before="60" w:after="60"/>
              <w:ind w:left="-98"/>
              <w:jc w:val="center"/>
              <w:rPr>
                <w:sz w:val="16"/>
                <w:szCs w:val="16"/>
              </w:rPr>
            </w:pPr>
            <w:r w:rsidRPr="00525F08">
              <w:rPr>
                <w:sz w:val="16"/>
                <w:szCs w:val="16"/>
              </w:rPr>
              <w:t xml:space="preserve">NA </w:t>
            </w:r>
          </w:p>
        </w:tc>
      </w:tr>
      <w:tr w:rsidR="00D0272C" w:rsidRPr="00525F08" w:rsidTr="005C0C71">
        <w:trPr>
          <w:trHeight w:val="471"/>
        </w:trPr>
        <w:tc>
          <w:tcPr>
            <w:tcW w:w="1242"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r w:rsidRPr="00525F08">
              <w:rPr>
                <w:rFonts w:cs="Arial"/>
                <w:sz w:val="16"/>
                <w:szCs w:val="16"/>
              </w:rPr>
              <w:t>Ketoconazole</w:t>
            </w:r>
          </w:p>
        </w:tc>
        <w:tc>
          <w:tcPr>
            <w:tcW w:w="1327"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200 twice daily</w:t>
            </w:r>
          </w:p>
        </w:tc>
        <w:tc>
          <w:tcPr>
            <w:tcW w:w="1151" w:type="dxa"/>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w:t>
            </w:r>
          </w:p>
        </w:tc>
        <w:tc>
          <w:tcPr>
            <w:tcW w:w="1152" w:type="dxa"/>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100 single dose</w:t>
            </w:r>
          </w:p>
        </w:tc>
        <w:tc>
          <w:tcPr>
            <w:tcW w:w="399"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12</w:t>
            </w: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1.29</w:t>
            </w:r>
            <w:r w:rsidRPr="00525F08">
              <w:rPr>
                <w:rFonts w:cs="Arial"/>
                <w:sz w:val="16"/>
                <w:szCs w:val="16"/>
              </w:rPr>
              <w:br/>
              <w:t>(1.02, 1.64)</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1.71</w:t>
            </w:r>
            <w:r w:rsidRPr="00525F08">
              <w:rPr>
                <w:rFonts w:cs="Arial"/>
                <w:sz w:val="16"/>
                <w:szCs w:val="16"/>
              </w:rPr>
              <w:br/>
              <w:t>(1.35, 2.18)</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val="restar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r w:rsidRPr="00525F08">
              <w:rPr>
                <w:rFonts w:cs="Arial"/>
                <w:sz w:val="16"/>
                <w:szCs w:val="16"/>
              </w:rPr>
              <w:t>Methadone</w:t>
            </w:r>
          </w:p>
        </w:tc>
        <w:tc>
          <w:tcPr>
            <w:tcW w:w="1327" w:type="dxa"/>
            <w:vMerge w:val="restar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30 to 130 daily</w:t>
            </w:r>
          </w:p>
        </w:tc>
        <w:tc>
          <w:tcPr>
            <w:tcW w:w="1151" w:type="dxa"/>
            <w:vMerge w:val="restart"/>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w:t>
            </w:r>
          </w:p>
        </w:tc>
        <w:tc>
          <w:tcPr>
            <w:tcW w:w="1152" w:type="dxa"/>
            <w:vMerge w:val="restart"/>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400 once daily</w:t>
            </w:r>
          </w:p>
        </w:tc>
        <w:tc>
          <w:tcPr>
            <w:tcW w:w="399" w:type="dxa"/>
            <w:vMerge w:val="restar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14</w:t>
            </w: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0.95</w:t>
            </w:r>
            <w:r w:rsidRPr="00525F08">
              <w:rPr>
                <w:rFonts w:cs="Arial"/>
                <w:sz w:val="16"/>
                <w:szCs w:val="16"/>
              </w:rPr>
              <w:br/>
              <w:t>(0.68, 1.33)</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1.30</w:t>
            </w:r>
            <w:r w:rsidRPr="00525F08">
              <w:rPr>
                <w:rFonts w:cs="Arial"/>
                <w:sz w:val="16"/>
                <w:szCs w:val="16"/>
              </w:rPr>
              <w:br/>
              <w:t>(1.00, 1.69)</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363"/>
        </w:trPr>
        <w:tc>
          <w:tcPr>
            <w:tcW w:w="1242"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327"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0.73</w:t>
            </w:r>
            <w:r w:rsidRPr="00525F08">
              <w:rPr>
                <w:rFonts w:cs="Arial"/>
                <w:sz w:val="16"/>
                <w:szCs w:val="16"/>
                <w:vertAlign w:val="superscript"/>
              </w:rPr>
              <w:br/>
            </w:r>
            <w:r w:rsidRPr="00525F08">
              <w:rPr>
                <w:rFonts w:cs="Arial"/>
                <w:sz w:val="16"/>
                <w:szCs w:val="16"/>
              </w:rPr>
              <w:t>(0.65, 0.83)</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1.04</w:t>
            </w:r>
            <w:r w:rsidRPr="00525F08">
              <w:rPr>
                <w:rFonts w:cs="Arial"/>
                <w:sz w:val="16"/>
                <w:szCs w:val="16"/>
              </w:rPr>
              <w:br/>
              <w:t>(0.89, 1.22)</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453"/>
        </w:trPr>
        <w:tc>
          <w:tcPr>
            <w:tcW w:w="1242" w:type="dxa"/>
            <w:vMerge w:val="restart"/>
            <w:tcBorders>
              <w:top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r w:rsidRPr="00525F08">
              <w:rPr>
                <w:rFonts w:cs="Arial"/>
                <w:sz w:val="16"/>
                <w:szCs w:val="16"/>
              </w:rPr>
              <w:t>Omeprazole</w:t>
            </w:r>
          </w:p>
        </w:tc>
        <w:tc>
          <w:tcPr>
            <w:tcW w:w="1327" w:type="dxa"/>
            <w:vMerge w:val="restart"/>
            <w:tcBorders>
              <w:top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 xml:space="preserve">20 once daily 2 hours prior to </w:t>
            </w:r>
            <w:r>
              <w:rPr>
                <w:rFonts w:cs="Arial"/>
                <w:sz w:val="16"/>
                <w:szCs w:val="16"/>
              </w:rPr>
              <w:t>VOSEVI</w:t>
            </w:r>
          </w:p>
        </w:tc>
        <w:tc>
          <w:tcPr>
            <w:tcW w:w="1151" w:type="dxa"/>
            <w:vMerge w:val="restart"/>
            <w:tcBorders>
              <w:top w:val="single" w:sz="6" w:space="0" w:color="auto"/>
              <w:right w:val="single" w:sz="4"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SOF/VEL/</w:t>
            </w:r>
            <w:r w:rsidRPr="00525F08">
              <w:rPr>
                <w:rFonts w:cs="Arial"/>
                <w:sz w:val="16"/>
                <w:szCs w:val="16"/>
              </w:rPr>
              <w:br/>
              <w:t xml:space="preserve">VOX </w:t>
            </w:r>
          </w:p>
        </w:tc>
        <w:tc>
          <w:tcPr>
            <w:tcW w:w="1152" w:type="dxa"/>
            <w:vMerge w:val="restart"/>
            <w:tcBorders>
              <w:top w:val="single" w:sz="6" w:space="0" w:color="auto"/>
              <w:left w:val="single" w:sz="4"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400/100/100 single dose</w:t>
            </w:r>
          </w:p>
        </w:tc>
        <w:tc>
          <w:tcPr>
            <w:tcW w:w="399" w:type="dxa"/>
            <w:vMerge w:val="restart"/>
            <w:tcBorders>
              <w:top w:val="single" w:sz="6" w:space="0" w:color="auto"/>
              <w:right w:val="single" w:sz="4" w:space="0" w:color="auto"/>
            </w:tcBorders>
            <w:shd w:val="clear" w:color="auto" w:fill="FFFFFF" w:themeFill="background1"/>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34</w:t>
            </w:r>
          </w:p>
        </w:tc>
        <w:tc>
          <w:tcPr>
            <w:tcW w:w="1095" w:type="dxa"/>
            <w:tcBorders>
              <w:top w:val="single" w:sz="6" w:space="0" w:color="auto"/>
              <w:left w:val="single" w:sz="4"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sofosbuvir</w:t>
            </w:r>
          </w:p>
        </w:tc>
        <w:tc>
          <w:tcPr>
            <w:tcW w:w="982" w:type="dxa"/>
            <w:tcBorders>
              <w:top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0.77</w:t>
            </w:r>
            <w:r w:rsidRPr="00525F08">
              <w:rPr>
                <w:rFonts w:cs="Arial"/>
                <w:sz w:val="16"/>
                <w:szCs w:val="16"/>
              </w:rPr>
              <w:br/>
              <w:t>(0.65, 0.91)</w:t>
            </w:r>
          </w:p>
        </w:tc>
        <w:tc>
          <w:tcPr>
            <w:tcW w:w="1006" w:type="dxa"/>
            <w:tcBorders>
              <w:top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0.73</w:t>
            </w:r>
            <w:r w:rsidRPr="00525F08">
              <w:rPr>
                <w:rFonts w:cs="Arial"/>
                <w:sz w:val="16"/>
                <w:szCs w:val="16"/>
              </w:rPr>
              <w:br/>
              <w:t>(0.67, 0.79)</w:t>
            </w:r>
          </w:p>
        </w:tc>
        <w:tc>
          <w:tcPr>
            <w:tcW w:w="978" w:type="dxa"/>
            <w:tcBorders>
              <w:top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399" w:type="dxa"/>
            <w:vMerge/>
            <w:tcBorders>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095" w:type="dxa"/>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1.27</w:t>
            </w:r>
            <w:r w:rsidRPr="00525F08">
              <w:rPr>
                <w:rFonts w:cs="Arial"/>
                <w:sz w:val="16"/>
                <w:szCs w:val="16"/>
              </w:rPr>
              <w:br/>
              <w:t>(1.20, 1.34)</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0.97</w:t>
            </w:r>
            <w:r w:rsidRPr="00525F08">
              <w:rPr>
                <w:rFonts w:cs="Arial"/>
                <w:sz w:val="16"/>
                <w:szCs w:val="16"/>
              </w:rPr>
              <w:br/>
              <w:t>(0.94, 1.01)</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399" w:type="dxa"/>
            <w:vMerge/>
            <w:tcBorders>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095" w:type="dxa"/>
            <w:tcBorders>
              <w:top w:val="single" w:sz="4" w:space="0" w:color="auto"/>
              <w:left w:val="single" w:sz="4"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 xml:space="preserve">velpatasvir </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0.43</w:t>
            </w:r>
            <w:r w:rsidRPr="00525F08">
              <w:rPr>
                <w:rFonts w:cs="Arial"/>
                <w:sz w:val="16"/>
                <w:szCs w:val="16"/>
              </w:rPr>
              <w:br/>
              <w:t>(0.38, 0.49)</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0.46</w:t>
            </w:r>
            <w:r w:rsidRPr="00525F08">
              <w:rPr>
                <w:rFonts w:cs="Arial"/>
                <w:sz w:val="16"/>
                <w:szCs w:val="16"/>
              </w:rPr>
              <w:br/>
              <w:t>(0.41, 0.52)</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NA</w:t>
            </w:r>
          </w:p>
        </w:tc>
      </w:tr>
      <w:tr w:rsidR="00D0272C" w:rsidRPr="00525F08" w:rsidTr="005C0C71">
        <w:trPr>
          <w:trHeight w:val="381"/>
        </w:trPr>
        <w:tc>
          <w:tcPr>
            <w:tcW w:w="1242" w:type="dxa"/>
            <w:vMerge/>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399" w:type="dxa"/>
            <w:vMerge/>
            <w:tcBorders>
              <w:bottom w:val="single" w:sz="6" w:space="0" w:color="auto"/>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095" w:type="dxa"/>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voxilaprevir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0.76</w:t>
            </w:r>
            <w:r w:rsidRPr="00525F08">
              <w:rPr>
                <w:rFonts w:cs="Arial"/>
                <w:sz w:val="16"/>
                <w:szCs w:val="16"/>
              </w:rPr>
              <w:br/>
              <w:t>(0.69, 0.85)</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0.80</w:t>
            </w:r>
            <w:r w:rsidRPr="00525F08">
              <w:rPr>
                <w:rFonts w:cs="Arial"/>
                <w:sz w:val="16"/>
                <w:szCs w:val="16"/>
              </w:rPr>
              <w:br/>
              <w:t>(0.74, 0.87)</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val="restart"/>
            <w:tcBorders>
              <w:top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 xml:space="preserve">20 once daily 4 hours after  </w:t>
            </w:r>
            <w:r>
              <w:rPr>
                <w:rFonts w:cs="Arial"/>
                <w:sz w:val="16"/>
                <w:szCs w:val="16"/>
              </w:rPr>
              <w:t>VOSEVI</w:t>
            </w:r>
          </w:p>
        </w:tc>
        <w:tc>
          <w:tcPr>
            <w:tcW w:w="1151" w:type="dxa"/>
            <w:vMerge w:val="restart"/>
            <w:tcBorders>
              <w:top w:val="single" w:sz="6" w:space="0" w:color="auto"/>
              <w:right w:val="single" w:sz="4"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SOF/VEL/</w:t>
            </w:r>
            <w:r w:rsidRPr="00525F08">
              <w:rPr>
                <w:rFonts w:cs="Arial"/>
                <w:sz w:val="16"/>
                <w:szCs w:val="16"/>
              </w:rPr>
              <w:br/>
              <w:t xml:space="preserve">VOX </w:t>
            </w:r>
          </w:p>
        </w:tc>
        <w:tc>
          <w:tcPr>
            <w:tcW w:w="1152" w:type="dxa"/>
            <w:vMerge w:val="restart"/>
            <w:tcBorders>
              <w:top w:val="single" w:sz="6" w:space="0" w:color="auto"/>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400/100/100 single dose</w:t>
            </w:r>
          </w:p>
        </w:tc>
        <w:tc>
          <w:tcPr>
            <w:tcW w:w="399" w:type="dxa"/>
            <w:vMerge w:val="restart"/>
            <w:tcBorders>
              <w:top w:val="single" w:sz="6" w:space="0" w:color="auto"/>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34</w:t>
            </w:r>
          </w:p>
        </w:tc>
        <w:tc>
          <w:tcPr>
            <w:tcW w:w="1095" w:type="dxa"/>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sofosbuvir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0.94</w:t>
            </w:r>
            <w:r w:rsidRPr="00525F08">
              <w:rPr>
                <w:rFonts w:cs="Arial"/>
                <w:sz w:val="16"/>
                <w:szCs w:val="16"/>
              </w:rPr>
              <w:br/>
              <w:t>(0.83, 1.06)</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0.82</w:t>
            </w:r>
            <w:r w:rsidRPr="00525F08">
              <w:rPr>
                <w:rFonts w:cs="Arial"/>
                <w:sz w:val="16"/>
                <w:szCs w:val="16"/>
              </w:rPr>
              <w:br/>
              <w:t>(0.77, 0.87)</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Del="00613D84"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399" w:type="dxa"/>
            <w:vMerge/>
            <w:tcBorders>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095" w:type="dxa"/>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1.19</w:t>
            </w:r>
            <w:r w:rsidRPr="00525F08">
              <w:rPr>
                <w:rFonts w:cs="Arial"/>
                <w:sz w:val="16"/>
                <w:szCs w:val="16"/>
              </w:rPr>
              <w:br/>
              <w:t>(1.13, 1.26)</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0.99</w:t>
            </w:r>
            <w:r w:rsidRPr="00525F08">
              <w:rPr>
                <w:rFonts w:cs="Arial"/>
                <w:sz w:val="16"/>
                <w:szCs w:val="16"/>
              </w:rPr>
              <w:br/>
              <w:t>(0.97, 1.01)</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20" w:after="2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Del="00613D84"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399" w:type="dxa"/>
            <w:vMerge/>
            <w:tcBorders>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095" w:type="dxa"/>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 xml:space="preserve">velpatasvir </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20" w:after="20"/>
              <w:ind w:left="-98"/>
              <w:jc w:val="center"/>
              <w:rPr>
                <w:rFonts w:cs="Arial"/>
                <w:sz w:val="16"/>
                <w:szCs w:val="16"/>
              </w:rPr>
            </w:pPr>
            <w:r w:rsidRPr="00525F08">
              <w:rPr>
                <w:rFonts w:cs="Arial"/>
                <w:sz w:val="16"/>
                <w:szCs w:val="16"/>
              </w:rPr>
              <w:t>0.49</w:t>
            </w:r>
            <w:r w:rsidRPr="00525F08">
              <w:rPr>
                <w:rFonts w:cs="Arial"/>
                <w:sz w:val="16"/>
                <w:szCs w:val="16"/>
              </w:rPr>
              <w:br/>
              <w:t>(0.43, 0.55)</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20" w:after="20"/>
              <w:ind w:left="-98"/>
              <w:jc w:val="center"/>
              <w:rPr>
                <w:rFonts w:cs="Arial"/>
                <w:sz w:val="16"/>
                <w:szCs w:val="16"/>
              </w:rPr>
            </w:pPr>
            <w:r w:rsidRPr="00525F08">
              <w:rPr>
                <w:rFonts w:cs="Arial"/>
                <w:sz w:val="16"/>
                <w:szCs w:val="16"/>
              </w:rPr>
              <w:t>0.49</w:t>
            </w:r>
            <w:r w:rsidRPr="00525F08">
              <w:rPr>
                <w:rFonts w:cs="Arial"/>
                <w:sz w:val="16"/>
                <w:szCs w:val="16"/>
              </w:rPr>
              <w:br/>
              <w:t>(0.43, 0.55)</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20" w:after="20"/>
              <w:ind w:left="-98"/>
              <w:jc w:val="center"/>
              <w:rPr>
                <w:rFonts w:cs="Arial"/>
                <w:sz w:val="16"/>
                <w:szCs w:val="16"/>
              </w:rPr>
            </w:pPr>
            <w:r w:rsidRPr="00525F08">
              <w:rPr>
                <w:rFonts w:cs="Arial"/>
                <w:sz w:val="16"/>
                <w:szCs w:val="16"/>
              </w:rPr>
              <w:t>NA</w:t>
            </w:r>
          </w:p>
        </w:tc>
      </w:tr>
      <w:tr w:rsidR="00D0272C" w:rsidRPr="00525F08" w:rsidTr="005C0C71">
        <w:trPr>
          <w:trHeight w:val="372"/>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Del="00613D84"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399" w:type="dxa"/>
            <w:vMerge/>
            <w:tcBorders>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095" w:type="dxa"/>
            <w:tcBorders>
              <w:top w:val="single" w:sz="6" w:space="0" w:color="auto"/>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rFonts w:cs="Arial"/>
                <w:sz w:val="16"/>
                <w:szCs w:val="16"/>
              </w:rPr>
              <w:t>voxilaprevir</w:t>
            </w:r>
          </w:p>
        </w:tc>
        <w:tc>
          <w:tcPr>
            <w:tcW w:w="982" w:type="dxa"/>
            <w:tcBorders>
              <w:top w:val="single" w:sz="6" w:space="0" w:color="auto"/>
            </w:tcBorders>
            <w:shd w:val="clear" w:color="auto" w:fill="auto"/>
            <w:vAlign w:val="center"/>
          </w:tcPr>
          <w:p w:rsidR="00D0272C" w:rsidRPr="00525F08" w:rsidRDefault="00D0272C" w:rsidP="005C0C71">
            <w:pPr>
              <w:spacing w:before="20" w:after="20"/>
              <w:ind w:left="-98"/>
              <w:jc w:val="center"/>
              <w:rPr>
                <w:rFonts w:cs="Arial"/>
                <w:sz w:val="16"/>
                <w:szCs w:val="16"/>
              </w:rPr>
            </w:pPr>
            <w:r w:rsidRPr="00525F08">
              <w:rPr>
                <w:rFonts w:cs="Arial"/>
                <w:sz w:val="16"/>
                <w:szCs w:val="16"/>
              </w:rPr>
              <w:t>1.08</w:t>
            </w:r>
            <w:r w:rsidRPr="00525F08">
              <w:rPr>
                <w:rFonts w:cs="Arial"/>
                <w:sz w:val="16"/>
                <w:szCs w:val="16"/>
              </w:rPr>
              <w:br/>
              <w:t>(0.96, 1.22)</w:t>
            </w:r>
          </w:p>
        </w:tc>
        <w:tc>
          <w:tcPr>
            <w:tcW w:w="1006" w:type="dxa"/>
            <w:tcBorders>
              <w:top w:val="single" w:sz="6" w:space="0" w:color="auto"/>
            </w:tcBorders>
            <w:shd w:val="clear" w:color="auto" w:fill="auto"/>
            <w:vAlign w:val="center"/>
          </w:tcPr>
          <w:p w:rsidR="00D0272C" w:rsidRPr="00525F08" w:rsidRDefault="00D0272C" w:rsidP="005C0C71">
            <w:pPr>
              <w:spacing w:before="20" w:after="20"/>
              <w:ind w:left="-98"/>
              <w:jc w:val="center"/>
              <w:rPr>
                <w:rFonts w:cs="Arial"/>
                <w:sz w:val="16"/>
                <w:szCs w:val="16"/>
              </w:rPr>
            </w:pPr>
            <w:r w:rsidRPr="00525F08">
              <w:rPr>
                <w:rFonts w:cs="Arial"/>
                <w:sz w:val="16"/>
                <w:szCs w:val="16"/>
              </w:rPr>
              <w:t>0.95</w:t>
            </w:r>
            <w:r w:rsidRPr="00525F08">
              <w:rPr>
                <w:rFonts w:cs="Arial"/>
                <w:sz w:val="16"/>
                <w:szCs w:val="16"/>
              </w:rPr>
              <w:br/>
              <w:t>(0.88, 1.03)</w:t>
            </w:r>
          </w:p>
        </w:tc>
        <w:tc>
          <w:tcPr>
            <w:tcW w:w="978" w:type="dxa"/>
            <w:tcBorders>
              <w:top w:val="single" w:sz="6" w:space="0" w:color="auto"/>
            </w:tcBorders>
            <w:shd w:val="clear" w:color="auto" w:fill="auto"/>
            <w:vAlign w:val="center"/>
          </w:tcPr>
          <w:p w:rsidR="00D0272C" w:rsidRPr="00525F08" w:rsidRDefault="00D0272C" w:rsidP="005C0C71">
            <w:pPr>
              <w:spacing w:before="20" w:after="20"/>
              <w:ind w:left="-98"/>
              <w:jc w:val="center"/>
              <w:rPr>
                <w:rFonts w:cs="Arial"/>
                <w:sz w:val="16"/>
                <w:szCs w:val="16"/>
              </w:rPr>
            </w:pPr>
            <w:r w:rsidRPr="00525F08">
              <w:rPr>
                <w:rFonts w:cs="Arial"/>
                <w:sz w:val="16"/>
                <w:szCs w:val="16"/>
              </w:rPr>
              <w:t>NA</w:t>
            </w:r>
          </w:p>
        </w:tc>
      </w:tr>
      <w:tr w:rsidR="00D0272C" w:rsidRPr="00525F08" w:rsidTr="005C0C71">
        <w:trPr>
          <w:trHeight w:val="96"/>
        </w:trPr>
        <w:tc>
          <w:tcPr>
            <w:tcW w:w="1242" w:type="dxa"/>
            <w:vMerge w:val="restart"/>
            <w:shd w:val="clear" w:color="auto" w:fill="auto"/>
          </w:tcPr>
          <w:p w:rsidR="00D0272C" w:rsidRPr="00525F08" w:rsidRDefault="00D0272C" w:rsidP="005C0C71">
            <w:pPr>
              <w:pStyle w:val="Default"/>
              <w:rPr>
                <w:sz w:val="16"/>
                <w:szCs w:val="16"/>
              </w:rPr>
            </w:pPr>
            <w:r w:rsidRPr="00525F08">
              <w:rPr>
                <w:sz w:val="16"/>
                <w:szCs w:val="16"/>
              </w:rPr>
              <w:t xml:space="preserve">Raltegravir + emtricitabine/ </w:t>
            </w:r>
          </w:p>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r w:rsidRPr="00525F08">
              <w:rPr>
                <w:sz w:val="16"/>
                <w:szCs w:val="16"/>
              </w:rPr>
              <w:t xml:space="preserve">tenofovir DF </w:t>
            </w:r>
          </w:p>
        </w:tc>
        <w:tc>
          <w:tcPr>
            <w:tcW w:w="1327" w:type="dxa"/>
            <w:vMerge w:val="restart"/>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sz w:val="16"/>
                <w:szCs w:val="16"/>
              </w:rPr>
              <w:t xml:space="preserve">400 twice daily+200/300 once daily </w:t>
            </w:r>
          </w:p>
        </w:tc>
        <w:tc>
          <w:tcPr>
            <w:tcW w:w="1151" w:type="dxa"/>
            <w:vMerge w:val="restart"/>
            <w:tcBorders>
              <w:right w:val="single" w:sz="4" w:space="0" w:color="auto"/>
            </w:tcBorders>
            <w:shd w:val="clear" w:color="auto" w:fill="auto"/>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sz w:val="16"/>
                <w:szCs w:val="16"/>
              </w:rPr>
              <w:t xml:space="preserve">SOF/VEL </w:t>
            </w:r>
          </w:p>
        </w:tc>
        <w:tc>
          <w:tcPr>
            <w:tcW w:w="1152" w:type="dxa"/>
            <w:vMerge w:val="restart"/>
            <w:tcBorders>
              <w:left w:val="single" w:sz="4" w:space="0" w:color="auto"/>
            </w:tcBorders>
            <w:shd w:val="clear" w:color="auto" w:fill="auto"/>
          </w:tcPr>
          <w:p w:rsidR="00D0272C" w:rsidRPr="00525F08" w:rsidDel="00613D84"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sz w:val="16"/>
                <w:szCs w:val="16"/>
              </w:rPr>
              <w:t xml:space="preserve">400/100 once daily </w:t>
            </w:r>
          </w:p>
        </w:tc>
        <w:tc>
          <w:tcPr>
            <w:tcW w:w="399" w:type="dxa"/>
            <w:vMerge w:val="restart"/>
            <w:tcBorders>
              <w:right w:val="single" w:sz="4" w:space="0" w:color="auto"/>
            </w:tcBorders>
            <w:shd w:val="clear" w:color="auto" w:fill="FFFFFF" w:themeFill="background1"/>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sz w:val="16"/>
                <w:szCs w:val="16"/>
              </w:rPr>
              <w:t xml:space="preserve">30 </w:t>
            </w:r>
          </w:p>
        </w:tc>
        <w:tc>
          <w:tcPr>
            <w:tcW w:w="1095" w:type="dxa"/>
            <w:tcBorders>
              <w:top w:val="single" w:sz="6" w:space="0" w:color="auto"/>
              <w:lef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sz w:val="16"/>
                <w:szCs w:val="16"/>
              </w:rPr>
              <w:t xml:space="preserve">sofosbuvir </w:t>
            </w:r>
          </w:p>
        </w:tc>
        <w:tc>
          <w:tcPr>
            <w:tcW w:w="982" w:type="dxa"/>
            <w:tcBorders>
              <w:top w:val="single" w:sz="6" w:space="0" w:color="auto"/>
            </w:tcBorders>
            <w:shd w:val="clear" w:color="auto" w:fill="auto"/>
          </w:tcPr>
          <w:p w:rsidR="00D0272C" w:rsidRPr="00525F08" w:rsidRDefault="00D0272C" w:rsidP="005C0C71">
            <w:pPr>
              <w:spacing w:before="20" w:after="20"/>
              <w:ind w:left="-98"/>
              <w:jc w:val="center"/>
              <w:rPr>
                <w:sz w:val="16"/>
                <w:szCs w:val="16"/>
              </w:rPr>
            </w:pPr>
            <w:r w:rsidRPr="00525F08">
              <w:rPr>
                <w:sz w:val="16"/>
                <w:szCs w:val="16"/>
              </w:rPr>
              <w:t xml:space="preserve">1.09 </w:t>
            </w:r>
          </w:p>
          <w:p w:rsidR="00D0272C" w:rsidRPr="00525F08" w:rsidRDefault="00D0272C" w:rsidP="005C0C71">
            <w:pPr>
              <w:spacing w:before="20" w:after="20"/>
              <w:ind w:left="-98"/>
              <w:jc w:val="center"/>
              <w:rPr>
                <w:rFonts w:cs="Arial"/>
                <w:sz w:val="16"/>
                <w:szCs w:val="16"/>
              </w:rPr>
            </w:pPr>
            <w:r w:rsidRPr="00525F08">
              <w:rPr>
                <w:sz w:val="16"/>
                <w:szCs w:val="16"/>
              </w:rPr>
              <w:t xml:space="preserve">(0.97, 1.23) </w:t>
            </w:r>
          </w:p>
        </w:tc>
        <w:tc>
          <w:tcPr>
            <w:tcW w:w="1006" w:type="dxa"/>
            <w:tcBorders>
              <w:top w:val="single" w:sz="6" w:space="0" w:color="auto"/>
            </w:tcBorders>
            <w:shd w:val="clear" w:color="auto" w:fill="auto"/>
          </w:tcPr>
          <w:p w:rsidR="00D0272C" w:rsidRPr="00525F08" w:rsidRDefault="00D0272C" w:rsidP="005C0C71">
            <w:pPr>
              <w:spacing w:before="20" w:after="20"/>
              <w:ind w:left="-98"/>
              <w:jc w:val="center"/>
              <w:rPr>
                <w:sz w:val="16"/>
                <w:szCs w:val="16"/>
              </w:rPr>
            </w:pPr>
            <w:r w:rsidRPr="00525F08">
              <w:rPr>
                <w:sz w:val="16"/>
                <w:szCs w:val="16"/>
              </w:rPr>
              <w:t>1.16</w:t>
            </w:r>
          </w:p>
          <w:p w:rsidR="00D0272C" w:rsidRPr="00525F08" w:rsidRDefault="00D0272C" w:rsidP="005C0C71">
            <w:pPr>
              <w:spacing w:before="20" w:after="20"/>
              <w:ind w:left="-98"/>
              <w:jc w:val="center"/>
              <w:rPr>
                <w:rFonts w:cs="Arial"/>
                <w:sz w:val="16"/>
                <w:szCs w:val="16"/>
              </w:rPr>
            </w:pPr>
            <w:r w:rsidRPr="00525F08">
              <w:rPr>
                <w:sz w:val="16"/>
                <w:szCs w:val="16"/>
              </w:rPr>
              <w:t xml:space="preserve"> (1.07, 1.25) </w:t>
            </w:r>
          </w:p>
        </w:tc>
        <w:tc>
          <w:tcPr>
            <w:tcW w:w="978" w:type="dxa"/>
            <w:tcBorders>
              <w:top w:val="single" w:sz="6" w:space="0" w:color="auto"/>
            </w:tcBorders>
            <w:shd w:val="clear" w:color="auto" w:fill="auto"/>
          </w:tcPr>
          <w:p w:rsidR="00D0272C" w:rsidRPr="00525F08" w:rsidRDefault="00D0272C" w:rsidP="005C0C71">
            <w:pPr>
              <w:spacing w:before="20" w:after="20"/>
              <w:ind w:left="-98"/>
              <w:jc w:val="center"/>
              <w:rPr>
                <w:rFonts w:cs="Arial"/>
                <w:sz w:val="16"/>
                <w:szCs w:val="16"/>
              </w:rPr>
            </w:pPr>
            <w:r w:rsidRPr="00525F08">
              <w:rPr>
                <w:sz w:val="16"/>
                <w:szCs w:val="16"/>
              </w:rPr>
              <w:t xml:space="preserve">NA </w:t>
            </w:r>
          </w:p>
        </w:tc>
      </w:tr>
      <w:tr w:rsidR="00D0272C" w:rsidRPr="00525F08" w:rsidTr="005C0C71">
        <w:trPr>
          <w:trHeight w:val="96"/>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Del="00613D84"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399" w:type="dxa"/>
            <w:vMerge/>
            <w:tcBorders>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095" w:type="dxa"/>
            <w:tcBorders>
              <w:top w:val="single" w:sz="6" w:space="0" w:color="auto"/>
              <w:lef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sz w:val="16"/>
                <w:szCs w:val="16"/>
              </w:rPr>
              <w:t xml:space="preserve">GS-331007 </w:t>
            </w:r>
          </w:p>
        </w:tc>
        <w:tc>
          <w:tcPr>
            <w:tcW w:w="982" w:type="dxa"/>
            <w:shd w:val="clear" w:color="auto" w:fill="auto"/>
          </w:tcPr>
          <w:p w:rsidR="00D0272C" w:rsidRPr="00525F08" w:rsidRDefault="00D0272C" w:rsidP="005C0C71">
            <w:pPr>
              <w:spacing w:before="20" w:after="20"/>
              <w:ind w:left="-98"/>
              <w:jc w:val="center"/>
              <w:rPr>
                <w:sz w:val="16"/>
                <w:szCs w:val="16"/>
              </w:rPr>
            </w:pPr>
            <w:r w:rsidRPr="00525F08">
              <w:rPr>
                <w:sz w:val="16"/>
                <w:szCs w:val="16"/>
              </w:rPr>
              <w:t xml:space="preserve">0.95 </w:t>
            </w:r>
          </w:p>
          <w:p w:rsidR="00D0272C" w:rsidRPr="00525F08" w:rsidRDefault="00D0272C" w:rsidP="005C0C71">
            <w:pPr>
              <w:spacing w:before="20" w:after="20"/>
              <w:ind w:left="-98"/>
              <w:jc w:val="center"/>
              <w:rPr>
                <w:rFonts w:cs="Arial"/>
                <w:sz w:val="16"/>
                <w:szCs w:val="16"/>
              </w:rPr>
            </w:pPr>
            <w:r w:rsidRPr="00525F08">
              <w:rPr>
                <w:sz w:val="16"/>
                <w:szCs w:val="16"/>
              </w:rPr>
              <w:t xml:space="preserve">(0.91, 0.98) </w:t>
            </w:r>
          </w:p>
        </w:tc>
        <w:tc>
          <w:tcPr>
            <w:tcW w:w="1006" w:type="dxa"/>
            <w:shd w:val="clear" w:color="auto" w:fill="auto"/>
          </w:tcPr>
          <w:p w:rsidR="00D0272C" w:rsidRPr="00525F08" w:rsidRDefault="00D0272C" w:rsidP="005C0C71">
            <w:pPr>
              <w:spacing w:before="20" w:after="20"/>
              <w:ind w:left="-98"/>
              <w:jc w:val="center"/>
              <w:rPr>
                <w:sz w:val="16"/>
                <w:szCs w:val="16"/>
              </w:rPr>
            </w:pPr>
            <w:r w:rsidRPr="00525F08">
              <w:rPr>
                <w:sz w:val="16"/>
                <w:szCs w:val="16"/>
              </w:rPr>
              <w:t xml:space="preserve">1.03 </w:t>
            </w:r>
          </w:p>
          <w:p w:rsidR="00D0272C" w:rsidRPr="00525F08" w:rsidRDefault="00D0272C" w:rsidP="005C0C71">
            <w:pPr>
              <w:spacing w:before="20" w:after="20"/>
              <w:ind w:left="-98"/>
              <w:jc w:val="center"/>
              <w:rPr>
                <w:rFonts w:cs="Arial"/>
                <w:sz w:val="16"/>
                <w:szCs w:val="16"/>
              </w:rPr>
            </w:pPr>
            <w:r w:rsidRPr="00525F08">
              <w:rPr>
                <w:sz w:val="16"/>
                <w:szCs w:val="16"/>
              </w:rPr>
              <w:t xml:space="preserve">(1.00, 1.06) </w:t>
            </w:r>
          </w:p>
        </w:tc>
        <w:tc>
          <w:tcPr>
            <w:tcW w:w="978" w:type="dxa"/>
            <w:shd w:val="clear" w:color="auto" w:fill="auto"/>
          </w:tcPr>
          <w:p w:rsidR="00D0272C" w:rsidRPr="00525F08" w:rsidRDefault="00D0272C" w:rsidP="005C0C71">
            <w:pPr>
              <w:spacing w:before="20" w:after="20"/>
              <w:ind w:left="-98"/>
              <w:jc w:val="center"/>
              <w:rPr>
                <w:sz w:val="16"/>
                <w:szCs w:val="16"/>
              </w:rPr>
            </w:pPr>
            <w:r w:rsidRPr="00525F08">
              <w:rPr>
                <w:sz w:val="16"/>
                <w:szCs w:val="16"/>
              </w:rPr>
              <w:t xml:space="preserve">1.08 </w:t>
            </w:r>
          </w:p>
          <w:p w:rsidR="00D0272C" w:rsidRPr="00525F08" w:rsidRDefault="00D0272C" w:rsidP="005C0C71">
            <w:pPr>
              <w:spacing w:before="20" w:after="20"/>
              <w:ind w:left="-98"/>
              <w:jc w:val="center"/>
              <w:rPr>
                <w:rFonts w:cs="Arial"/>
                <w:sz w:val="16"/>
                <w:szCs w:val="16"/>
              </w:rPr>
            </w:pPr>
            <w:r w:rsidRPr="00525F08">
              <w:rPr>
                <w:sz w:val="16"/>
                <w:szCs w:val="16"/>
              </w:rPr>
              <w:t xml:space="preserve">(1.04, 1.13) </w:t>
            </w:r>
          </w:p>
        </w:tc>
      </w:tr>
      <w:tr w:rsidR="00D0272C" w:rsidRPr="00525F08" w:rsidTr="005C0C71">
        <w:trPr>
          <w:trHeight w:val="813"/>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1" w:type="dxa"/>
            <w:vMerge/>
            <w:tcBorders>
              <w:right w:val="single" w:sz="4" w:space="0" w:color="auto"/>
            </w:tcBorders>
            <w:shd w:val="clear" w:color="auto" w:fill="auto"/>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152" w:type="dxa"/>
            <w:vMerge/>
            <w:tcBorders>
              <w:left w:val="single" w:sz="4" w:space="0" w:color="auto"/>
            </w:tcBorders>
            <w:shd w:val="clear" w:color="auto" w:fill="auto"/>
            <w:vAlign w:val="center"/>
          </w:tcPr>
          <w:p w:rsidR="00D0272C" w:rsidRPr="00525F08" w:rsidDel="00613D84"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399" w:type="dxa"/>
            <w:vMerge/>
            <w:tcBorders>
              <w:right w:val="single" w:sz="4" w:space="0" w:color="auto"/>
            </w:tcBorders>
            <w:shd w:val="clear" w:color="auto" w:fill="FFFFFF" w:themeFill="background1"/>
            <w:vAlign w:val="center"/>
          </w:tcPr>
          <w:p w:rsidR="00D0272C" w:rsidRPr="00525F08" w:rsidDel="00613D84"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p>
        </w:tc>
        <w:tc>
          <w:tcPr>
            <w:tcW w:w="1095" w:type="dxa"/>
            <w:tcBorders>
              <w:top w:val="single" w:sz="6" w:space="0" w:color="auto"/>
              <w:lef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cs="Arial"/>
                <w:sz w:val="16"/>
                <w:szCs w:val="16"/>
              </w:rPr>
            </w:pPr>
            <w:r w:rsidRPr="00525F08">
              <w:rPr>
                <w:sz w:val="16"/>
                <w:szCs w:val="16"/>
              </w:rPr>
              <w:t xml:space="preserve">velpatasvir </w:t>
            </w:r>
          </w:p>
        </w:tc>
        <w:tc>
          <w:tcPr>
            <w:tcW w:w="982" w:type="dxa"/>
            <w:shd w:val="clear" w:color="auto" w:fill="auto"/>
          </w:tcPr>
          <w:p w:rsidR="00D0272C" w:rsidRPr="00525F08" w:rsidRDefault="00D0272C" w:rsidP="005C0C71">
            <w:pPr>
              <w:spacing w:before="20" w:after="20"/>
              <w:ind w:left="-98"/>
              <w:jc w:val="center"/>
              <w:rPr>
                <w:sz w:val="16"/>
                <w:szCs w:val="16"/>
              </w:rPr>
            </w:pPr>
            <w:r w:rsidRPr="00525F08">
              <w:rPr>
                <w:sz w:val="16"/>
                <w:szCs w:val="16"/>
              </w:rPr>
              <w:t xml:space="preserve">0.97 </w:t>
            </w:r>
          </w:p>
          <w:p w:rsidR="00D0272C" w:rsidRPr="00525F08" w:rsidRDefault="00D0272C" w:rsidP="005C0C71">
            <w:pPr>
              <w:spacing w:before="20" w:after="20"/>
              <w:ind w:left="-98"/>
              <w:jc w:val="center"/>
              <w:rPr>
                <w:rFonts w:cs="Arial"/>
                <w:sz w:val="16"/>
                <w:szCs w:val="16"/>
              </w:rPr>
            </w:pPr>
            <w:r w:rsidRPr="00525F08">
              <w:rPr>
                <w:sz w:val="16"/>
                <w:szCs w:val="16"/>
              </w:rPr>
              <w:t xml:space="preserve">(0.87, 1.08) </w:t>
            </w:r>
          </w:p>
        </w:tc>
        <w:tc>
          <w:tcPr>
            <w:tcW w:w="1006" w:type="dxa"/>
            <w:shd w:val="clear" w:color="auto" w:fill="auto"/>
          </w:tcPr>
          <w:p w:rsidR="00D0272C" w:rsidRPr="00525F08" w:rsidRDefault="00D0272C" w:rsidP="005C0C71">
            <w:pPr>
              <w:spacing w:before="20" w:after="20"/>
              <w:ind w:left="-98"/>
              <w:jc w:val="center"/>
              <w:rPr>
                <w:sz w:val="16"/>
                <w:szCs w:val="16"/>
              </w:rPr>
            </w:pPr>
            <w:r w:rsidRPr="00525F08">
              <w:rPr>
                <w:sz w:val="16"/>
                <w:szCs w:val="16"/>
              </w:rPr>
              <w:t xml:space="preserve">0.98 </w:t>
            </w:r>
          </w:p>
          <w:p w:rsidR="00D0272C" w:rsidRPr="00525F08" w:rsidRDefault="00D0272C" w:rsidP="005C0C71">
            <w:pPr>
              <w:spacing w:before="20" w:after="20"/>
              <w:ind w:left="-98"/>
              <w:jc w:val="center"/>
              <w:rPr>
                <w:rFonts w:cs="Arial"/>
                <w:sz w:val="16"/>
                <w:szCs w:val="16"/>
              </w:rPr>
            </w:pPr>
            <w:r w:rsidRPr="00525F08">
              <w:rPr>
                <w:sz w:val="16"/>
                <w:szCs w:val="16"/>
              </w:rPr>
              <w:t xml:space="preserve">(0.88, 1.10) </w:t>
            </w:r>
          </w:p>
        </w:tc>
        <w:tc>
          <w:tcPr>
            <w:tcW w:w="978" w:type="dxa"/>
            <w:shd w:val="clear" w:color="auto" w:fill="auto"/>
          </w:tcPr>
          <w:p w:rsidR="00D0272C" w:rsidRPr="00525F08" w:rsidRDefault="00D0272C" w:rsidP="005C0C71">
            <w:pPr>
              <w:spacing w:before="20" w:after="20"/>
              <w:ind w:left="-98"/>
              <w:jc w:val="center"/>
              <w:rPr>
                <w:sz w:val="16"/>
                <w:szCs w:val="16"/>
              </w:rPr>
            </w:pPr>
            <w:r w:rsidRPr="00525F08">
              <w:rPr>
                <w:sz w:val="16"/>
                <w:szCs w:val="16"/>
              </w:rPr>
              <w:t xml:space="preserve">0.97 </w:t>
            </w:r>
          </w:p>
          <w:p w:rsidR="00D0272C" w:rsidRDefault="00D0272C" w:rsidP="005C0C71">
            <w:pPr>
              <w:spacing w:before="20" w:after="20"/>
              <w:ind w:left="-98"/>
              <w:jc w:val="center"/>
              <w:rPr>
                <w:sz w:val="16"/>
                <w:szCs w:val="16"/>
              </w:rPr>
            </w:pPr>
            <w:r w:rsidRPr="00525F08">
              <w:rPr>
                <w:sz w:val="16"/>
                <w:szCs w:val="16"/>
              </w:rPr>
              <w:t xml:space="preserve">(0.87, 1.07) </w:t>
            </w:r>
          </w:p>
          <w:p w:rsidR="00D0272C" w:rsidRDefault="00D0272C" w:rsidP="005C0C71">
            <w:pPr>
              <w:spacing w:before="20" w:after="20"/>
              <w:ind w:left="-98"/>
              <w:jc w:val="center"/>
              <w:rPr>
                <w:sz w:val="16"/>
                <w:szCs w:val="16"/>
              </w:rPr>
            </w:pPr>
          </w:p>
          <w:p w:rsidR="00D0272C" w:rsidRDefault="00D0272C" w:rsidP="005C0C71">
            <w:pPr>
              <w:spacing w:before="20" w:after="20"/>
              <w:ind w:left="-98"/>
              <w:jc w:val="center"/>
              <w:rPr>
                <w:sz w:val="16"/>
                <w:szCs w:val="16"/>
              </w:rPr>
            </w:pPr>
          </w:p>
          <w:p w:rsidR="00D0272C" w:rsidRDefault="00D0272C" w:rsidP="005C0C71">
            <w:pPr>
              <w:spacing w:before="20" w:after="20"/>
              <w:ind w:left="-98"/>
              <w:jc w:val="center"/>
              <w:rPr>
                <w:sz w:val="16"/>
                <w:szCs w:val="16"/>
              </w:rPr>
            </w:pPr>
          </w:p>
          <w:p w:rsidR="00D0272C" w:rsidRPr="00525F08" w:rsidRDefault="00D0272C" w:rsidP="005C0C71">
            <w:pPr>
              <w:spacing w:before="20" w:after="20"/>
              <w:ind w:left="-98"/>
              <w:jc w:val="center"/>
              <w:rPr>
                <w:rFonts w:cs="Arial"/>
                <w:sz w:val="16"/>
                <w:szCs w:val="16"/>
              </w:rPr>
            </w:pPr>
          </w:p>
        </w:tc>
      </w:tr>
      <w:tr w:rsidR="00D0272C" w:rsidRPr="00525F08" w:rsidTr="005C0C71">
        <w:trPr>
          <w:trHeight w:val="20"/>
        </w:trPr>
        <w:tc>
          <w:tcPr>
            <w:tcW w:w="1242" w:type="dxa"/>
            <w:vMerge w:val="restart"/>
            <w:tcBorders>
              <w:top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r w:rsidRPr="00525F08">
              <w:rPr>
                <w:rFonts w:cs="Arial"/>
                <w:sz w:val="16"/>
                <w:szCs w:val="16"/>
              </w:rPr>
              <w:lastRenderedPageBreak/>
              <w:t>Rifamp</w:t>
            </w:r>
            <w:r>
              <w:rPr>
                <w:rFonts w:cs="Arial"/>
                <w:sz w:val="16"/>
                <w:szCs w:val="16"/>
              </w:rPr>
              <w:t>ic</w:t>
            </w:r>
            <w:r w:rsidRPr="00525F08">
              <w:rPr>
                <w:rFonts w:cs="Arial"/>
                <w:sz w:val="16"/>
                <w:szCs w:val="16"/>
              </w:rPr>
              <w:t>in</w:t>
            </w:r>
          </w:p>
        </w:tc>
        <w:tc>
          <w:tcPr>
            <w:tcW w:w="1327" w:type="dxa"/>
            <w:vMerge w:val="restart"/>
            <w:tcBorders>
              <w:top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600 once daily</w:t>
            </w:r>
          </w:p>
        </w:tc>
        <w:tc>
          <w:tcPr>
            <w:tcW w:w="1151" w:type="dxa"/>
            <w:vMerge w:val="restart"/>
            <w:tcBorders>
              <w:top w:val="single" w:sz="6" w:space="0" w:color="auto"/>
              <w:right w:val="single" w:sz="4"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w:t>
            </w:r>
          </w:p>
        </w:tc>
        <w:tc>
          <w:tcPr>
            <w:tcW w:w="1152" w:type="dxa"/>
            <w:vMerge w:val="restart"/>
            <w:tcBorders>
              <w:top w:val="single" w:sz="6" w:space="0" w:color="auto"/>
              <w:left w:val="single" w:sz="4"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400 single dose</w:t>
            </w:r>
          </w:p>
        </w:tc>
        <w:tc>
          <w:tcPr>
            <w:tcW w:w="399" w:type="dxa"/>
            <w:vMerge w:val="restart"/>
            <w:tcBorders>
              <w:top w:val="single" w:sz="6" w:space="0" w:color="auto"/>
              <w:bottom w:val="single" w:sz="6" w:space="0" w:color="auto"/>
            </w:tcBorders>
            <w:shd w:val="clear" w:color="auto" w:fill="auto"/>
            <w:vAlign w:val="center"/>
          </w:tcPr>
          <w:p w:rsidR="00D0272C" w:rsidRPr="00525F08" w:rsidDel="00613D84"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17</w:t>
            </w:r>
          </w:p>
        </w:tc>
        <w:tc>
          <w:tcPr>
            <w:tcW w:w="1095" w:type="dxa"/>
            <w:tcBorders>
              <w:top w:val="single" w:sz="6" w:space="0" w:color="auto"/>
              <w:bottom w:val="single" w:sz="6" w:space="0" w:color="auto"/>
            </w:tcBorders>
            <w:shd w:val="clear" w:color="auto" w:fill="auto"/>
            <w:vAlign w:val="center"/>
          </w:tcPr>
          <w:p w:rsidR="00D0272C" w:rsidRPr="00525F08" w:rsidDel="00D25C43"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tcBorders>
              <w:top w:val="single" w:sz="6" w:space="0" w:color="auto"/>
              <w:bottom w:val="single" w:sz="6" w:space="0" w:color="auto"/>
            </w:tcBorders>
            <w:shd w:val="clear" w:color="auto" w:fill="auto"/>
            <w:vAlign w:val="center"/>
          </w:tcPr>
          <w:p w:rsidR="00D0272C" w:rsidRPr="00525F08" w:rsidDel="00D25C43" w:rsidRDefault="00D0272C" w:rsidP="005C0C71">
            <w:pPr>
              <w:keepNext/>
              <w:spacing w:before="60" w:after="60"/>
              <w:ind w:left="-98"/>
              <w:jc w:val="center"/>
              <w:rPr>
                <w:rFonts w:cs="Arial"/>
                <w:sz w:val="16"/>
                <w:szCs w:val="16"/>
              </w:rPr>
            </w:pPr>
            <w:r w:rsidRPr="00525F08">
              <w:rPr>
                <w:rFonts w:cs="Arial"/>
                <w:sz w:val="16"/>
                <w:szCs w:val="16"/>
              </w:rPr>
              <w:t>0.23</w:t>
            </w:r>
            <w:r w:rsidRPr="00525F08">
              <w:rPr>
                <w:rFonts w:cs="Arial"/>
                <w:sz w:val="16"/>
                <w:szCs w:val="16"/>
              </w:rPr>
              <w:br/>
              <w:t>(0.19, 0.29)</w:t>
            </w:r>
          </w:p>
        </w:tc>
        <w:tc>
          <w:tcPr>
            <w:tcW w:w="1006" w:type="dxa"/>
            <w:tcBorders>
              <w:top w:val="single" w:sz="6" w:space="0" w:color="auto"/>
              <w:bottom w:val="single" w:sz="6" w:space="0" w:color="auto"/>
            </w:tcBorders>
            <w:shd w:val="clear" w:color="auto" w:fill="auto"/>
            <w:vAlign w:val="center"/>
          </w:tcPr>
          <w:p w:rsidR="00D0272C" w:rsidRPr="00525F08" w:rsidDel="00D25C43" w:rsidRDefault="00D0272C" w:rsidP="005C0C71">
            <w:pPr>
              <w:keepNext/>
              <w:spacing w:before="60" w:after="60"/>
              <w:ind w:left="-98"/>
              <w:jc w:val="center"/>
              <w:rPr>
                <w:rFonts w:cs="Arial"/>
                <w:sz w:val="16"/>
                <w:szCs w:val="16"/>
              </w:rPr>
            </w:pPr>
            <w:r w:rsidRPr="00525F08">
              <w:rPr>
                <w:rFonts w:cs="Arial"/>
                <w:sz w:val="16"/>
                <w:szCs w:val="16"/>
              </w:rPr>
              <w:t>0.28</w:t>
            </w:r>
            <w:r w:rsidRPr="00525F08">
              <w:rPr>
                <w:rFonts w:cs="Arial"/>
                <w:sz w:val="16"/>
                <w:szCs w:val="16"/>
              </w:rPr>
              <w:br/>
              <w:t>(0.24, 0.32)</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top w:val="single" w:sz="6" w:space="0" w:color="auto"/>
              <w:bottom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keepNext/>
              <w:spacing w:before="60" w:after="60"/>
              <w:ind w:left="-98"/>
              <w:jc w:val="center"/>
              <w:rPr>
                <w:rFonts w:cs="Arial"/>
                <w:sz w:val="16"/>
                <w:szCs w:val="16"/>
              </w:rPr>
            </w:pPr>
            <w:r w:rsidRPr="00525F08">
              <w:rPr>
                <w:rFonts w:cs="Arial"/>
                <w:sz w:val="16"/>
                <w:szCs w:val="16"/>
              </w:rPr>
              <w:t>1.23</w:t>
            </w:r>
            <w:r w:rsidRPr="00525F08">
              <w:rPr>
                <w:rFonts w:cs="Arial"/>
                <w:sz w:val="16"/>
                <w:szCs w:val="16"/>
              </w:rPr>
              <w:br/>
              <w:t>(1.14, 1.34)</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keepNext/>
              <w:spacing w:before="60" w:after="60"/>
              <w:ind w:left="-98"/>
              <w:jc w:val="center"/>
              <w:rPr>
                <w:rFonts w:cs="Arial"/>
                <w:sz w:val="16"/>
                <w:szCs w:val="16"/>
              </w:rPr>
            </w:pPr>
            <w:r w:rsidRPr="00525F08">
              <w:rPr>
                <w:rFonts w:cs="Arial"/>
                <w:sz w:val="16"/>
                <w:szCs w:val="16"/>
              </w:rPr>
              <w:t>0.95</w:t>
            </w:r>
            <w:r w:rsidRPr="00525F08">
              <w:rPr>
                <w:rFonts w:cs="Arial"/>
                <w:sz w:val="16"/>
                <w:szCs w:val="16"/>
              </w:rPr>
              <w:br/>
              <w:t>(0.88, 1.03)</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tcBorders>
              <w:top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 xml:space="preserve">VEL </w:t>
            </w:r>
          </w:p>
        </w:tc>
        <w:tc>
          <w:tcPr>
            <w:tcW w:w="1152" w:type="dxa"/>
            <w:tcBorders>
              <w:top w:val="single" w:sz="6" w:space="0" w:color="auto"/>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100 single dose</w:t>
            </w:r>
          </w:p>
        </w:tc>
        <w:tc>
          <w:tcPr>
            <w:tcW w:w="399"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12</w:t>
            </w: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0.29</w:t>
            </w:r>
            <w:r w:rsidRPr="00525F08">
              <w:rPr>
                <w:rFonts w:cs="Arial"/>
                <w:sz w:val="16"/>
                <w:szCs w:val="16"/>
              </w:rPr>
              <w:br/>
              <w:t>(0.23, 0.37)</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0.18</w:t>
            </w:r>
            <w:r w:rsidRPr="00525F08">
              <w:rPr>
                <w:rFonts w:cs="Arial"/>
                <w:sz w:val="16"/>
                <w:szCs w:val="16"/>
              </w:rPr>
              <w:br/>
              <w:t>(0.15, 0.22)</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after="170" w:line="260" w:lineRule="atLeast"/>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 xml:space="preserve">VOX </w:t>
            </w:r>
          </w:p>
        </w:tc>
        <w:tc>
          <w:tcPr>
            <w:tcW w:w="1152" w:type="dxa"/>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100 single dose</w:t>
            </w:r>
          </w:p>
        </w:tc>
        <w:tc>
          <w:tcPr>
            <w:tcW w:w="399"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voxilaprevir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 xml:space="preserve">0.91 </w:t>
            </w:r>
          </w:p>
          <w:p w:rsidR="00D0272C" w:rsidRPr="00525F08" w:rsidRDefault="00D0272C" w:rsidP="005C0C71">
            <w:pPr>
              <w:spacing w:before="60" w:after="60"/>
              <w:ind w:left="-98"/>
              <w:jc w:val="center"/>
              <w:rPr>
                <w:rFonts w:cs="Arial"/>
                <w:sz w:val="16"/>
                <w:szCs w:val="16"/>
              </w:rPr>
            </w:pPr>
            <w:r w:rsidRPr="00525F08">
              <w:rPr>
                <w:rFonts w:cs="Arial"/>
                <w:sz w:val="16"/>
                <w:szCs w:val="16"/>
              </w:rPr>
              <w:t>(0.76, 1.10)</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 xml:space="preserve">0.27 </w:t>
            </w:r>
          </w:p>
          <w:p w:rsidR="00D0272C" w:rsidRPr="00525F08" w:rsidRDefault="00D0272C" w:rsidP="005C0C71">
            <w:pPr>
              <w:spacing w:before="60" w:after="60"/>
              <w:ind w:left="-98"/>
              <w:jc w:val="center"/>
              <w:rPr>
                <w:rFonts w:cs="Arial"/>
                <w:sz w:val="16"/>
                <w:szCs w:val="16"/>
              </w:rPr>
            </w:pPr>
            <w:r w:rsidRPr="00525F08">
              <w:rPr>
                <w:rFonts w:cs="Arial"/>
                <w:sz w:val="16"/>
                <w:szCs w:val="16"/>
              </w:rPr>
              <w:t>(0.23, 0.31)</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after="170" w:line="260" w:lineRule="atLeast"/>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val="restart"/>
            <w:tcBorders>
              <w:top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600 single dose</w:t>
            </w:r>
          </w:p>
        </w:tc>
        <w:tc>
          <w:tcPr>
            <w:tcW w:w="1151" w:type="dxa"/>
            <w:tcBorders>
              <w:top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w:t>
            </w:r>
          </w:p>
        </w:tc>
        <w:tc>
          <w:tcPr>
            <w:tcW w:w="1152" w:type="dxa"/>
            <w:tcBorders>
              <w:top w:val="single" w:sz="6" w:space="0" w:color="auto"/>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100 single dose</w:t>
            </w:r>
          </w:p>
        </w:tc>
        <w:tc>
          <w:tcPr>
            <w:tcW w:w="399" w:type="dxa"/>
            <w:tcBorders>
              <w:top w:val="single" w:sz="6" w:space="0" w:color="auto"/>
            </w:tcBorders>
            <w:shd w:val="clear" w:color="auto" w:fill="auto"/>
            <w:vAlign w:val="center"/>
          </w:tcPr>
          <w:p w:rsidR="00D0272C" w:rsidRPr="00525F08" w:rsidDel="00613D84"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12</w:t>
            </w:r>
          </w:p>
        </w:tc>
        <w:tc>
          <w:tcPr>
            <w:tcW w:w="1095" w:type="dxa"/>
            <w:tcBorders>
              <w:top w:val="single" w:sz="6" w:space="0" w:color="auto"/>
              <w:bottom w:val="single" w:sz="6" w:space="0" w:color="auto"/>
            </w:tcBorders>
            <w:shd w:val="clear" w:color="auto" w:fill="auto"/>
            <w:vAlign w:val="center"/>
          </w:tcPr>
          <w:p w:rsidR="00D0272C" w:rsidRPr="00525F08" w:rsidDel="00D25C43"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velpatasvir</w:t>
            </w:r>
          </w:p>
        </w:tc>
        <w:tc>
          <w:tcPr>
            <w:tcW w:w="982" w:type="dxa"/>
            <w:tcBorders>
              <w:top w:val="single" w:sz="6" w:space="0" w:color="auto"/>
              <w:bottom w:val="single" w:sz="6" w:space="0" w:color="auto"/>
            </w:tcBorders>
            <w:shd w:val="clear" w:color="auto" w:fill="auto"/>
            <w:vAlign w:val="center"/>
          </w:tcPr>
          <w:p w:rsidR="00D0272C" w:rsidRPr="00525F08" w:rsidDel="00D25C43" w:rsidRDefault="00D0272C" w:rsidP="005C0C71">
            <w:pPr>
              <w:spacing w:before="60" w:after="60"/>
              <w:ind w:left="-98"/>
              <w:jc w:val="center"/>
              <w:rPr>
                <w:rFonts w:cs="Arial"/>
                <w:sz w:val="16"/>
                <w:szCs w:val="16"/>
              </w:rPr>
            </w:pPr>
            <w:r w:rsidRPr="00525F08">
              <w:rPr>
                <w:rFonts w:cs="Arial"/>
                <w:sz w:val="16"/>
                <w:szCs w:val="16"/>
              </w:rPr>
              <w:t>1.28</w:t>
            </w:r>
            <w:r w:rsidRPr="00525F08">
              <w:rPr>
                <w:rFonts w:cs="Arial"/>
                <w:sz w:val="16"/>
                <w:szCs w:val="16"/>
              </w:rPr>
              <w:br/>
              <w:t>(1.05, 1.56)</w:t>
            </w:r>
          </w:p>
        </w:tc>
        <w:tc>
          <w:tcPr>
            <w:tcW w:w="1006" w:type="dxa"/>
            <w:tcBorders>
              <w:top w:val="single" w:sz="6" w:space="0" w:color="auto"/>
              <w:bottom w:val="single" w:sz="6" w:space="0" w:color="auto"/>
            </w:tcBorders>
            <w:shd w:val="clear" w:color="auto" w:fill="auto"/>
            <w:vAlign w:val="center"/>
          </w:tcPr>
          <w:p w:rsidR="00D0272C" w:rsidRPr="00525F08" w:rsidDel="00D25C43" w:rsidRDefault="00D0272C" w:rsidP="005C0C71">
            <w:pPr>
              <w:spacing w:before="60" w:after="60"/>
              <w:ind w:left="-98"/>
              <w:jc w:val="center"/>
              <w:rPr>
                <w:rFonts w:cs="Arial"/>
                <w:sz w:val="16"/>
                <w:szCs w:val="16"/>
              </w:rPr>
            </w:pPr>
            <w:r w:rsidRPr="00525F08">
              <w:rPr>
                <w:rFonts w:cs="Arial"/>
                <w:sz w:val="16"/>
                <w:szCs w:val="16"/>
              </w:rPr>
              <w:t>1.46</w:t>
            </w:r>
            <w:r w:rsidRPr="00525F08">
              <w:rPr>
                <w:rFonts w:cs="Arial"/>
                <w:sz w:val="16"/>
                <w:szCs w:val="16"/>
              </w:rPr>
              <w:br/>
              <w:t>(1.17, 1.83)</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 xml:space="preserve">VOX </w:t>
            </w:r>
          </w:p>
        </w:tc>
        <w:tc>
          <w:tcPr>
            <w:tcW w:w="1152" w:type="dxa"/>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100 single dose</w:t>
            </w:r>
          </w:p>
        </w:tc>
        <w:tc>
          <w:tcPr>
            <w:tcW w:w="399"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24</w:t>
            </w: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voxilaprevir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11.10</w:t>
            </w:r>
            <w:r w:rsidRPr="00525F08">
              <w:rPr>
                <w:rFonts w:cs="Arial"/>
                <w:sz w:val="16"/>
                <w:szCs w:val="16"/>
              </w:rPr>
              <w:br/>
              <w:t>(8.23, 14.98)</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7.91</w:t>
            </w:r>
            <w:r w:rsidRPr="00525F08">
              <w:rPr>
                <w:rFonts w:cs="Arial"/>
                <w:sz w:val="16"/>
                <w:szCs w:val="16"/>
              </w:rPr>
              <w:br/>
              <w:t>(6.20, 10.09)</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1242" w:type="dxa"/>
            <w:vMerge w:val="restart"/>
            <w:tcBorders>
              <w:top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r w:rsidRPr="00525F08">
              <w:rPr>
                <w:rFonts w:cs="Arial"/>
                <w:sz w:val="16"/>
                <w:szCs w:val="16"/>
              </w:rPr>
              <w:t>Tacrolimus</w:t>
            </w:r>
          </w:p>
        </w:tc>
        <w:tc>
          <w:tcPr>
            <w:tcW w:w="1327" w:type="dxa"/>
            <w:vMerge w:val="restart"/>
            <w:tcBorders>
              <w:top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5 single dose</w:t>
            </w:r>
          </w:p>
        </w:tc>
        <w:tc>
          <w:tcPr>
            <w:tcW w:w="1151" w:type="dxa"/>
            <w:vMerge w:val="restart"/>
            <w:tcBorders>
              <w:top w:val="single" w:sz="6" w:space="0" w:color="auto"/>
              <w:right w:val="single" w:sz="4"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w:t>
            </w:r>
          </w:p>
        </w:tc>
        <w:tc>
          <w:tcPr>
            <w:tcW w:w="1152" w:type="dxa"/>
            <w:vMerge w:val="restart"/>
            <w:tcBorders>
              <w:top w:val="single" w:sz="6" w:space="0" w:color="auto"/>
              <w:left w:val="single" w:sz="4"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400 single dose</w:t>
            </w:r>
          </w:p>
        </w:tc>
        <w:tc>
          <w:tcPr>
            <w:tcW w:w="399" w:type="dxa"/>
            <w:vMerge w:val="restart"/>
            <w:tcBorders>
              <w:top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16</w:t>
            </w: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sofosbuvir</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60" w:after="60"/>
              <w:ind w:left="-98"/>
              <w:jc w:val="center"/>
              <w:rPr>
                <w:rFonts w:cs="Arial"/>
                <w:sz w:val="16"/>
                <w:szCs w:val="16"/>
              </w:rPr>
            </w:pPr>
            <w:r w:rsidRPr="00525F08">
              <w:rPr>
                <w:rFonts w:cs="Arial"/>
                <w:sz w:val="16"/>
                <w:szCs w:val="16"/>
              </w:rPr>
              <w:t>0.97</w:t>
            </w:r>
            <w:r w:rsidRPr="00525F08">
              <w:rPr>
                <w:rFonts w:cs="Arial"/>
                <w:sz w:val="16"/>
                <w:szCs w:val="16"/>
              </w:rPr>
              <w:br/>
              <w:t>(0.65, 1.43)</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60" w:after="60"/>
              <w:ind w:left="-98"/>
              <w:jc w:val="center"/>
              <w:rPr>
                <w:rFonts w:cs="Arial"/>
                <w:sz w:val="16"/>
                <w:szCs w:val="16"/>
              </w:rPr>
            </w:pPr>
            <w:r w:rsidRPr="00525F08">
              <w:rPr>
                <w:rFonts w:cs="Arial"/>
                <w:sz w:val="16"/>
                <w:szCs w:val="16"/>
              </w:rPr>
              <w:t>1.13</w:t>
            </w:r>
            <w:r w:rsidRPr="00525F08">
              <w:rPr>
                <w:rFonts w:cs="Arial"/>
                <w:sz w:val="16"/>
                <w:szCs w:val="16"/>
              </w:rPr>
              <w:br/>
              <w:t>(0.81, 1.57)</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keepNext/>
              <w:keepLines/>
              <w:spacing w:before="60" w:after="60"/>
              <w:ind w:left="-98"/>
              <w:jc w:val="center"/>
              <w:rPr>
                <w:rFonts w:cs="Arial"/>
                <w:sz w:val="16"/>
                <w:szCs w:val="16"/>
              </w:rPr>
            </w:pPr>
            <w:r w:rsidRPr="00525F08">
              <w:rPr>
                <w:rFonts w:cs="Arial"/>
                <w:sz w:val="16"/>
                <w:szCs w:val="16"/>
              </w:rPr>
              <w:t>NA</w:t>
            </w:r>
          </w:p>
        </w:tc>
      </w:tr>
      <w:tr w:rsidR="00D0272C" w:rsidRPr="00525F08" w:rsidTr="005C0C71">
        <w:trPr>
          <w:trHeight w:val="471"/>
        </w:trPr>
        <w:tc>
          <w:tcPr>
            <w:tcW w:w="1242"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p>
        </w:tc>
        <w:tc>
          <w:tcPr>
            <w:tcW w:w="1327"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1" w:type="dxa"/>
            <w:vMerge/>
            <w:tcBorders>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152" w:type="dxa"/>
            <w:vMerge/>
            <w:tcBorders>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399" w:type="dxa"/>
            <w:vMerge/>
            <w:tcBorders>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p>
        </w:tc>
        <w:tc>
          <w:tcPr>
            <w:tcW w:w="1095" w:type="dxa"/>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GS-331007</w:t>
            </w:r>
          </w:p>
        </w:tc>
        <w:tc>
          <w:tcPr>
            <w:tcW w:w="982"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0.97</w:t>
            </w:r>
            <w:r w:rsidRPr="00525F08">
              <w:rPr>
                <w:rFonts w:cs="Arial"/>
                <w:sz w:val="16"/>
                <w:szCs w:val="16"/>
              </w:rPr>
              <w:br/>
              <w:t>(0.83, 1.14)</w:t>
            </w:r>
          </w:p>
        </w:tc>
        <w:tc>
          <w:tcPr>
            <w:tcW w:w="1006"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1.00</w:t>
            </w:r>
            <w:r w:rsidRPr="00525F08">
              <w:rPr>
                <w:rFonts w:cs="Arial"/>
                <w:sz w:val="16"/>
                <w:szCs w:val="16"/>
              </w:rPr>
              <w:br/>
              <w:t>(0.87, 1.13)</w:t>
            </w:r>
          </w:p>
        </w:tc>
        <w:tc>
          <w:tcPr>
            <w:tcW w:w="978" w:type="dxa"/>
            <w:tcBorders>
              <w:top w:val="single" w:sz="6" w:space="0" w:color="auto"/>
              <w:bottom w:val="single" w:sz="6"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462"/>
        </w:trPr>
        <w:tc>
          <w:tcPr>
            <w:tcW w:w="1242" w:type="dxa"/>
            <w:tcBorders>
              <w:top w:val="single" w:sz="6" w:space="0" w:color="auto"/>
              <w:bottom w:val="single" w:sz="12"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sz w:val="16"/>
                <w:szCs w:val="16"/>
              </w:rPr>
            </w:pPr>
            <w:r w:rsidRPr="00525F08">
              <w:rPr>
                <w:rFonts w:cs="Arial"/>
                <w:sz w:val="16"/>
                <w:szCs w:val="16"/>
              </w:rPr>
              <w:t>Voriconazole</w:t>
            </w:r>
          </w:p>
        </w:tc>
        <w:tc>
          <w:tcPr>
            <w:tcW w:w="1327" w:type="dxa"/>
            <w:tcBorders>
              <w:top w:val="single" w:sz="6" w:space="0" w:color="auto"/>
              <w:bottom w:val="single" w:sz="12"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200 twice daily</w:t>
            </w:r>
          </w:p>
        </w:tc>
        <w:tc>
          <w:tcPr>
            <w:tcW w:w="1151" w:type="dxa"/>
            <w:tcBorders>
              <w:top w:val="single" w:sz="6" w:space="0" w:color="auto"/>
              <w:bottom w:val="single" w:sz="12" w:space="0" w:color="auto"/>
              <w:right w:val="single" w:sz="4" w:space="0" w:color="auto"/>
            </w:tcBorders>
            <w:shd w:val="clear" w:color="auto" w:fill="auto"/>
            <w:vAlign w:val="center"/>
          </w:tcPr>
          <w:p w:rsidR="00D0272C" w:rsidRPr="00525F08" w:rsidDel="00DB5FC1"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VOX</w:t>
            </w:r>
          </w:p>
        </w:tc>
        <w:tc>
          <w:tcPr>
            <w:tcW w:w="1152" w:type="dxa"/>
            <w:tcBorders>
              <w:top w:val="single" w:sz="6" w:space="0" w:color="auto"/>
              <w:left w:val="single" w:sz="4" w:space="0" w:color="auto"/>
              <w:bottom w:val="single" w:sz="12" w:space="0" w:color="auto"/>
            </w:tcBorders>
            <w:shd w:val="clear" w:color="auto" w:fill="auto"/>
            <w:vAlign w:val="center"/>
          </w:tcPr>
          <w:p w:rsidR="00D0272C" w:rsidRPr="00525F08" w:rsidDel="00DB5FC1"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100 single dose</w:t>
            </w:r>
          </w:p>
        </w:tc>
        <w:tc>
          <w:tcPr>
            <w:tcW w:w="399" w:type="dxa"/>
            <w:tcBorders>
              <w:top w:val="single" w:sz="6" w:space="0" w:color="auto"/>
              <w:bottom w:val="single" w:sz="12"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24</w:t>
            </w:r>
          </w:p>
        </w:tc>
        <w:tc>
          <w:tcPr>
            <w:tcW w:w="1095" w:type="dxa"/>
            <w:tcBorders>
              <w:top w:val="single" w:sz="6" w:space="0" w:color="auto"/>
              <w:bottom w:val="single" w:sz="12" w:space="0" w:color="auto"/>
            </w:tcBorders>
            <w:shd w:val="clear" w:color="auto" w:fill="auto"/>
            <w:vAlign w:val="center"/>
          </w:tcPr>
          <w:p w:rsidR="00D0272C" w:rsidRPr="00525F08" w:rsidDel="00DB5FC1"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sz w:val="16"/>
                <w:szCs w:val="16"/>
              </w:rPr>
            </w:pPr>
            <w:r w:rsidRPr="00525F08">
              <w:rPr>
                <w:rFonts w:cs="Arial"/>
                <w:sz w:val="16"/>
                <w:szCs w:val="16"/>
              </w:rPr>
              <w:t>voxilaprevir</w:t>
            </w:r>
          </w:p>
        </w:tc>
        <w:tc>
          <w:tcPr>
            <w:tcW w:w="982" w:type="dxa"/>
            <w:tcBorders>
              <w:top w:val="single" w:sz="6" w:space="0" w:color="auto"/>
              <w:bottom w:val="single" w:sz="12"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1.13</w:t>
            </w:r>
            <w:r w:rsidRPr="00525F08">
              <w:rPr>
                <w:rFonts w:cs="Arial"/>
                <w:sz w:val="16"/>
                <w:szCs w:val="16"/>
              </w:rPr>
              <w:br/>
              <w:t>(0.98, 1.31)</w:t>
            </w:r>
          </w:p>
        </w:tc>
        <w:tc>
          <w:tcPr>
            <w:tcW w:w="1006" w:type="dxa"/>
            <w:tcBorders>
              <w:top w:val="single" w:sz="6" w:space="0" w:color="auto"/>
              <w:bottom w:val="single" w:sz="12"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1.84</w:t>
            </w:r>
            <w:r w:rsidRPr="00525F08">
              <w:rPr>
                <w:rFonts w:cs="Arial"/>
                <w:sz w:val="16"/>
                <w:szCs w:val="16"/>
              </w:rPr>
              <w:br/>
              <w:t>(1.66, 2.03)</w:t>
            </w:r>
          </w:p>
        </w:tc>
        <w:tc>
          <w:tcPr>
            <w:tcW w:w="978" w:type="dxa"/>
            <w:tcBorders>
              <w:top w:val="single" w:sz="6" w:space="0" w:color="auto"/>
              <w:bottom w:val="single" w:sz="12" w:space="0" w:color="auto"/>
            </w:tcBorders>
            <w:shd w:val="clear" w:color="auto" w:fill="auto"/>
            <w:vAlign w:val="center"/>
          </w:tcPr>
          <w:p w:rsidR="00D0272C" w:rsidRPr="00525F08" w:rsidRDefault="00D0272C" w:rsidP="005C0C71">
            <w:pPr>
              <w:spacing w:before="60" w:after="60"/>
              <w:ind w:left="-98"/>
              <w:jc w:val="center"/>
              <w:rPr>
                <w:rFonts w:cs="Arial"/>
                <w:sz w:val="16"/>
                <w:szCs w:val="16"/>
              </w:rPr>
            </w:pPr>
            <w:r w:rsidRPr="00525F08">
              <w:rPr>
                <w:rFonts w:cs="Arial"/>
                <w:sz w:val="16"/>
                <w:szCs w:val="16"/>
              </w:rPr>
              <w:t>NA</w:t>
            </w:r>
          </w:p>
        </w:tc>
      </w:tr>
      <w:tr w:rsidR="00D0272C" w:rsidRPr="00525F08" w:rsidTr="005C0C71">
        <w:trPr>
          <w:trHeight w:val="20"/>
        </w:trPr>
        <w:tc>
          <w:tcPr>
            <w:tcW w:w="9332" w:type="dxa"/>
            <w:gridSpan w:val="9"/>
            <w:tcBorders>
              <w:top w:val="single" w:sz="12" w:space="0" w:color="auto"/>
              <w:bottom w:val="nil"/>
            </w:tcBorders>
            <w:shd w:val="clear" w:color="auto" w:fill="auto"/>
            <w:vAlign w:val="center"/>
          </w:tcPr>
          <w:p w:rsidR="00D0272C" w:rsidRPr="00525F08" w:rsidRDefault="00D0272C" w:rsidP="005C0C71">
            <w:pPr>
              <w:tabs>
                <w:tab w:val="left" w:pos="360"/>
              </w:tabs>
              <w:ind w:left="360" w:hanging="360"/>
              <w:contextualSpacing/>
              <w:rPr>
                <w:rFonts w:cs="Arial"/>
                <w:color w:val="000000" w:themeColor="text1"/>
                <w:sz w:val="16"/>
                <w:szCs w:val="16"/>
              </w:rPr>
            </w:pPr>
            <w:r w:rsidRPr="00525F08">
              <w:rPr>
                <w:rFonts w:cs="Arial"/>
                <w:color w:val="000000" w:themeColor="text1"/>
                <w:sz w:val="16"/>
                <w:szCs w:val="16"/>
              </w:rPr>
              <w:t xml:space="preserve">NA = not available/not applicable, ND = not dosed. </w:t>
            </w:r>
          </w:p>
          <w:p w:rsidR="00D0272C" w:rsidRPr="00525F08" w:rsidRDefault="00D0272C" w:rsidP="005C0C71">
            <w:pPr>
              <w:ind w:left="270" w:hanging="270"/>
              <w:contextualSpacing/>
              <w:rPr>
                <w:rFonts w:cs="Arial"/>
                <w:color w:val="000000" w:themeColor="text1"/>
                <w:sz w:val="16"/>
                <w:szCs w:val="16"/>
              </w:rPr>
            </w:pPr>
            <w:r w:rsidRPr="00525F08">
              <w:rPr>
                <w:rFonts w:cs="Arial"/>
                <w:color w:val="000000" w:themeColor="text1"/>
                <w:sz w:val="16"/>
                <w:szCs w:val="16"/>
              </w:rPr>
              <w:t>a.</w:t>
            </w:r>
            <w:r w:rsidRPr="00525F08">
              <w:rPr>
                <w:rFonts w:cs="Arial"/>
                <w:color w:val="000000" w:themeColor="text1"/>
                <w:sz w:val="16"/>
                <w:szCs w:val="16"/>
              </w:rPr>
              <w:tab/>
              <w:t>All interaction studies conducted in healthy volunteers.</w:t>
            </w:r>
          </w:p>
          <w:p w:rsidR="00D0272C" w:rsidRPr="00525F08" w:rsidRDefault="00D0272C" w:rsidP="005C0C71">
            <w:pPr>
              <w:ind w:left="270" w:hanging="270"/>
              <w:contextualSpacing/>
              <w:rPr>
                <w:rFonts w:cs="Arial"/>
                <w:color w:val="000000" w:themeColor="text1"/>
                <w:sz w:val="16"/>
                <w:szCs w:val="16"/>
              </w:rPr>
            </w:pPr>
            <w:r w:rsidRPr="00525F08">
              <w:rPr>
                <w:rFonts w:cs="Arial"/>
                <w:color w:val="000000" w:themeColor="text1"/>
                <w:sz w:val="16"/>
                <w:szCs w:val="16"/>
              </w:rPr>
              <w:t>b.</w:t>
            </w:r>
            <w:r w:rsidRPr="00525F08">
              <w:rPr>
                <w:rFonts w:cs="Arial"/>
                <w:color w:val="000000" w:themeColor="text1"/>
                <w:sz w:val="16"/>
                <w:szCs w:val="16"/>
              </w:rPr>
              <w:tab/>
              <w:t>Administered as ATRIPLA (efavirenz, emtricitabine and tenofovir DF fixed-dose combination).</w:t>
            </w:r>
          </w:p>
          <w:p w:rsidR="00D0272C" w:rsidRPr="00525F08" w:rsidRDefault="00D0272C" w:rsidP="005C0C71">
            <w:pPr>
              <w:ind w:left="270" w:hanging="270"/>
              <w:contextualSpacing/>
              <w:rPr>
                <w:rFonts w:cs="Arial"/>
                <w:color w:val="000000" w:themeColor="text1"/>
                <w:sz w:val="16"/>
                <w:szCs w:val="16"/>
              </w:rPr>
            </w:pPr>
            <w:r w:rsidRPr="00525F08">
              <w:rPr>
                <w:rFonts w:cs="Arial"/>
                <w:color w:val="000000" w:themeColor="text1"/>
                <w:sz w:val="16"/>
                <w:szCs w:val="16"/>
              </w:rPr>
              <w:t>c.</w:t>
            </w:r>
            <w:r w:rsidRPr="00525F08">
              <w:rPr>
                <w:rFonts w:cs="Arial"/>
                <w:color w:val="000000" w:themeColor="text1"/>
                <w:sz w:val="16"/>
                <w:szCs w:val="16"/>
              </w:rPr>
              <w:tab/>
              <w:t>Administered as GENVOYA (elvitegravir, cobicistat, emtricitabine and tenofovir alafenamide fixed-dose combination)</w:t>
            </w:r>
            <w:r>
              <w:rPr>
                <w:rFonts w:cs="Arial"/>
                <w:color w:val="000000" w:themeColor="text1"/>
                <w:sz w:val="16"/>
                <w:szCs w:val="16"/>
              </w:rPr>
              <w:t>.</w:t>
            </w:r>
          </w:p>
          <w:p w:rsidR="00D0272C" w:rsidRPr="00525F08" w:rsidRDefault="00D0272C" w:rsidP="005C0C71">
            <w:pPr>
              <w:ind w:left="270" w:hanging="270"/>
              <w:contextualSpacing/>
              <w:rPr>
                <w:rFonts w:cs="Arial"/>
                <w:color w:val="000000" w:themeColor="text1"/>
                <w:sz w:val="16"/>
                <w:szCs w:val="16"/>
              </w:rPr>
            </w:pPr>
            <w:r w:rsidRPr="00525F08">
              <w:rPr>
                <w:sz w:val="16"/>
                <w:szCs w:val="16"/>
              </w:rPr>
              <w:t xml:space="preserve">d. </w:t>
            </w:r>
            <w:r>
              <w:rPr>
                <w:sz w:val="16"/>
                <w:szCs w:val="16"/>
              </w:rPr>
              <w:t xml:space="preserve">  </w:t>
            </w:r>
            <w:r w:rsidRPr="00525F08">
              <w:rPr>
                <w:sz w:val="16"/>
                <w:szCs w:val="16"/>
              </w:rPr>
              <w:t>Administered as ODEFSEY (emtricitabine, rilpivirine, and tenofovir alafenamide fixed-dose combination).</w:t>
            </w:r>
          </w:p>
        </w:tc>
      </w:tr>
    </w:tbl>
    <w:p w:rsidR="00D0272C" w:rsidRPr="00D0272C" w:rsidRDefault="00D0272C" w:rsidP="00D0272C">
      <w:pPr>
        <w:rPr>
          <w:lang w:val="en-US"/>
        </w:rPr>
      </w:pPr>
    </w:p>
    <w:p w:rsidR="00D0272C" w:rsidRPr="00525F08" w:rsidRDefault="00D0272C" w:rsidP="00D0272C">
      <w:pPr>
        <w:pStyle w:val="Caption"/>
        <w:spacing w:before="240"/>
        <w:rPr>
          <w:szCs w:val="24"/>
        </w:rPr>
      </w:pPr>
      <w:r w:rsidRPr="00525F08">
        <w:t xml:space="preserve">Table </w:t>
      </w:r>
      <w:r w:rsidR="00013985">
        <w:t>4</w:t>
      </w:r>
      <w:r w:rsidRPr="00525F08">
        <w:tab/>
      </w:r>
      <w:r w:rsidRPr="00525F08">
        <w:rPr>
          <w:szCs w:val="24"/>
        </w:rPr>
        <w:t xml:space="preserve">Changes in Pharmacokinetic Parameters for Coadministered Drug in the Presence of Sofosbuvir, Velpatasvir, Voxilaprevir, or </w:t>
      </w:r>
      <w:r>
        <w:rPr>
          <w:szCs w:val="24"/>
        </w:rPr>
        <w:t>VOSEVI</w:t>
      </w:r>
      <w:r w:rsidRPr="00525F08">
        <w:rPr>
          <w:szCs w:val="24"/>
          <w:vertAlign w:val="superscript"/>
        </w:rPr>
        <w:t>a</w:t>
      </w:r>
    </w:p>
    <w:tbl>
      <w:tblPr>
        <w:tblStyle w:val="TableGrid"/>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Look w:val="01E0" w:firstRow="1" w:lastRow="1" w:firstColumn="1" w:lastColumn="1" w:noHBand="0" w:noVBand="0"/>
      </w:tblPr>
      <w:tblGrid>
        <w:gridCol w:w="1670"/>
        <w:gridCol w:w="1654"/>
        <w:gridCol w:w="1124"/>
        <w:gridCol w:w="1137"/>
        <w:gridCol w:w="519"/>
        <w:gridCol w:w="1042"/>
        <w:gridCol w:w="1041"/>
        <w:gridCol w:w="1055"/>
      </w:tblGrid>
      <w:tr w:rsidR="00D0272C" w:rsidRPr="00525F08" w:rsidTr="005C0C71">
        <w:trPr>
          <w:trHeight w:val="917"/>
          <w:tblHeader/>
        </w:trPr>
        <w:tc>
          <w:tcPr>
            <w:tcW w:w="1798" w:type="pct"/>
            <w:gridSpan w:val="2"/>
            <w:tcBorders>
              <w:top w:val="single" w:sz="12" w:space="0" w:color="auto"/>
              <w:bottom w:val="single" w:sz="4" w:space="0" w:color="auto"/>
            </w:tcBorders>
            <w:shd w:val="clear" w:color="auto" w:fill="auto"/>
            <w:vAlign w:val="center"/>
          </w:tcPr>
          <w:p w:rsidR="00D0272C" w:rsidRPr="00525F08" w:rsidRDefault="00D0272C" w:rsidP="005C0C71">
            <w:pPr>
              <w:keepLines/>
              <w:spacing w:before="60" w:after="60"/>
              <w:jc w:val="center"/>
              <w:rPr>
                <w:rFonts w:eastAsia="Arial Unicode MS"/>
                <w:b/>
                <w:color w:val="000000" w:themeColor="text1"/>
                <w:sz w:val="16"/>
                <w:szCs w:val="16"/>
              </w:rPr>
            </w:pPr>
            <w:r w:rsidRPr="00525F08">
              <w:rPr>
                <w:b/>
                <w:color w:val="000000" w:themeColor="text1"/>
                <w:sz w:val="16"/>
                <w:szCs w:val="16"/>
              </w:rPr>
              <w:t>Co-administered Drug</w:t>
            </w:r>
          </w:p>
        </w:tc>
        <w:tc>
          <w:tcPr>
            <w:tcW w:w="1223" w:type="pct"/>
            <w:gridSpan w:val="2"/>
            <w:tcBorders>
              <w:top w:val="single" w:sz="12" w:space="0" w:color="auto"/>
              <w:bottom w:val="single" w:sz="4" w:space="0" w:color="auto"/>
            </w:tcBorders>
            <w:shd w:val="clear" w:color="auto" w:fill="auto"/>
            <w:vAlign w:val="center"/>
          </w:tcPr>
          <w:p w:rsidR="00D0272C" w:rsidRPr="00525F08" w:rsidRDefault="00D0272C" w:rsidP="005C0C71">
            <w:pPr>
              <w:keepLines/>
              <w:spacing w:before="60" w:after="60"/>
              <w:jc w:val="center"/>
              <w:rPr>
                <w:rFonts w:eastAsia="Arial Unicode MS"/>
                <w:b/>
                <w:color w:val="000000" w:themeColor="text1"/>
                <w:sz w:val="16"/>
                <w:szCs w:val="16"/>
                <w:vertAlign w:val="superscript"/>
              </w:rPr>
            </w:pPr>
            <w:r w:rsidRPr="00525F08">
              <w:rPr>
                <w:rFonts w:eastAsia="Arial Unicode MS"/>
                <w:b/>
                <w:color w:val="000000" w:themeColor="text1"/>
                <w:sz w:val="16"/>
                <w:szCs w:val="16"/>
              </w:rPr>
              <w:t xml:space="preserve">Sofosbuvir (SOF)/ </w:t>
            </w:r>
            <w:r w:rsidRPr="00525F08">
              <w:rPr>
                <w:rFonts w:eastAsia="Arial Unicode MS"/>
                <w:b/>
                <w:color w:val="000000" w:themeColor="text1"/>
                <w:sz w:val="16"/>
                <w:szCs w:val="16"/>
              </w:rPr>
              <w:br/>
              <w:t>Velpatasvir (VEL)/</w:t>
            </w:r>
            <w:r w:rsidRPr="00525F08">
              <w:rPr>
                <w:rFonts w:eastAsia="Arial Unicode MS"/>
                <w:b/>
                <w:color w:val="000000" w:themeColor="text1"/>
                <w:sz w:val="16"/>
                <w:szCs w:val="16"/>
              </w:rPr>
              <w:br/>
              <w:t>Voxilaprevir (VOX)</w:t>
            </w:r>
          </w:p>
        </w:tc>
        <w:tc>
          <w:tcPr>
            <w:tcW w:w="281" w:type="pct"/>
            <w:vMerge w:val="restart"/>
            <w:tcBorders>
              <w:top w:val="single" w:sz="12" w:space="0" w:color="auto"/>
              <w:bottom w:val="single" w:sz="6" w:space="0" w:color="auto"/>
            </w:tcBorders>
            <w:shd w:val="clear" w:color="auto" w:fill="auto"/>
            <w:vAlign w:val="bottom"/>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b/>
                <w:sz w:val="16"/>
                <w:szCs w:val="16"/>
              </w:rPr>
            </w:pPr>
            <w:r w:rsidRPr="00525F08">
              <w:rPr>
                <w:b/>
                <w:sz w:val="16"/>
                <w:szCs w:val="16"/>
              </w:rPr>
              <w:t>N</w:t>
            </w:r>
          </w:p>
        </w:tc>
        <w:tc>
          <w:tcPr>
            <w:tcW w:w="1699" w:type="pct"/>
            <w:gridSpan w:val="3"/>
            <w:vMerge w:val="restart"/>
            <w:tcBorders>
              <w:top w:val="single" w:sz="12"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b/>
                <w:sz w:val="16"/>
                <w:szCs w:val="16"/>
              </w:rPr>
            </w:pPr>
            <w:r w:rsidRPr="00525F08">
              <w:rPr>
                <w:b/>
                <w:sz w:val="16"/>
                <w:szCs w:val="16"/>
              </w:rPr>
              <w:t xml:space="preserve">Mean Ratio (90% CI) of Coadministered Drug PK With/Without Sofosbuvir, Velpatasvir, </w:t>
            </w:r>
            <w:r w:rsidRPr="00525F08">
              <w:rPr>
                <w:b/>
                <w:sz w:val="16"/>
                <w:szCs w:val="16"/>
                <w:shd w:val="clear" w:color="auto" w:fill="FFFFFF" w:themeFill="background1"/>
              </w:rPr>
              <w:t>Voxilaprevir,</w:t>
            </w:r>
            <w:r w:rsidRPr="00525F08">
              <w:rPr>
                <w:b/>
                <w:sz w:val="16"/>
                <w:szCs w:val="16"/>
              </w:rPr>
              <w:t xml:space="preserve"> or </w:t>
            </w:r>
            <w:r>
              <w:rPr>
                <w:b/>
                <w:sz w:val="16"/>
                <w:szCs w:val="16"/>
              </w:rPr>
              <w:t>VOSEVI</w:t>
            </w:r>
            <w:r w:rsidRPr="00525F08">
              <w:rPr>
                <w:b/>
                <w:sz w:val="16"/>
                <w:szCs w:val="16"/>
              </w:rPr>
              <w:br/>
              <w:t>No Effect=1.00</w:t>
            </w:r>
          </w:p>
        </w:tc>
      </w:tr>
      <w:tr w:rsidR="00D0272C" w:rsidRPr="00525F08" w:rsidTr="005C0C71">
        <w:trPr>
          <w:trHeight w:val="327"/>
          <w:tblHeader/>
        </w:trPr>
        <w:tc>
          <w:tcPr>
            <w:tcW w:w="903" w:type="pct"/>
            <w:vMerge w:val="restart"/>
            <w:tcBorders>
              <w:top w:val="single" w:sz="4" w:space="0" w:color="auto"/>
              <w:bottom w:val="single" w:sz="6" w:space="0" w:color="auto"/>
            </w:tcBorders>
            <w:shd w:val="clear" w:color="auto" w:fill="auto"/>
            <w:vAlign w:val="center"/>
          </w:tcPr>
          <w:p w:rsidR="00D0272C" w:rsidRPr="00525F08" w:rsidRDefault="00D0272C" w:rsidP="005C0C71">
            <w:pPr>
              <w:keepLines/>
              <w:spacing w:before="60" w:after="60"/>
              <w:jc w:val="center"/>
              <w:rPr>
                <w:b/>
                <w:color w:val="000000" w:themeColor="text1"/>
                <w:sz w:val="16"/>
                <w:szCs w:val="16"/>
              </w:rPr>
            </w:pPr>
            <w:r w:rsidRPr="00525F08">
              <w:rPr>
                <w:b/>
                <w:color w:val="000000" w:themeColor="text1"/>
                <w:sz w:val="16"/>
                <w:szCs w:val="16"/>
              </w:rPr>
              <w:t>Drug</w:t>
            </w:r>
          </w:p>
        </w:tc>
        <w:tc>
          <w:tcPr>
            <w:tcW w:w="895" w:type="pct"/>
            <w:vMerge w:val="restart"/>
            <w:tcBorders>
              <w:top w:val="single" w:sz="4" w:space="0" w:color="auto"/>
              <w:bottom w:val="single" w:sz="6" w:space="0" w:color="auto"/>
            </w:tcBorders>
            <w:shd w:val="clear" w:color="auto" w:fill="auto"/>
            <w:vAlign w:val="center"/>
          </w:tcPr>
          <w:p w:rsidR="00D0272C" w:rsidRPr="00525F08" w:rsidRDefault="00D0272C" w:rsidP="005C0C71">
            <w:pPr>
              <w:keepLines/>
              <w:spacing w:before="60" w:after="60"/>
              <w:jc w:val="center"/>
              <w:rPr>
                <w:rFonts w:eastAsia="Arial Unicode MS"/>
                <w:b/>
                <w:color w:val="000000" w:themeColor="text1"/>
                <w:sz w:val="16"/>
                <w:szCs w:val="16"/>
              </w:rPr>
            </w:pPr>
            <w:r w:rsidRPr="00525F08">
              <w:rPr>
                <w:rFonts w:eastAsia="Arial Unicode MS"/>
                <w:b/>
                <w:color w:val="000000" w:themeColor="text1"/>
                <w:sz w:val="16"/>
                <w:szCs w:val="16"/>
              </w:rPr>
              <w:t>Dosage</w:t>
            </w:r>
            <w:r w:rsidRPr="00525F08">
              <w:rPr>
                <w:rFonts w:eastAsia="Arial Unicode MS"/>
                <w:b/>
                <w:color w:val="000000" w:themeColor="text1"/>
                <w:sz w:val="16"/>
                <w:szCs w:val="16"/>
              </w:rPr>
              <w:br/>
              <w:t>(mg)</w:t>
            </w:r>
          </w:p>
        </w:tc>
        <w:tc>
          <w:tcPr>
            <w:tcW w:w="608" w:type="pct"/>
            <w:vMerge w:val="restart"/>
            <w:tcBorders>
              <w:top w:val="single" w:sz="4" w:space="0" w:color="auto"/>
              <w:right w:val="single" w:sz="4" w:space="0" w:color="auto"/>
            </w:tcBorders>
            <w:shd w:val="clear" w:color="auto" w:fill="auto"/>
            <w:vAlign w:val="center"/>
          </w:tcPr>
          <w:p w:rsidR="00D0272C" w:rsidRPr="00525F08" w:rsidRDefault="00D0272C" w:rsidP="005C0C71">
            <w:pPr>
              <w:keepLines/>
              <w:spacing w:before="60" w:after="60"/>
              <w:jc w:val="center"/>
              <w:rPr>
                <w:rFonts w:eastAsia="Arial Unicode MS"/>
                <w:b/>
                <w:color w:val="000000" w:themeColor="text1"/>
                <w:sz w:val="16"/>
                <w:szCs w:val="16"/>
              </w:rPr>
            </w:pPr>
            <w:r w:rsidRPr="00525F08">
              <w:rPr>
                <w:rFonts w:eastAsia="Arial Unicode MS"/>
                <w:b/>
                <w:color w:val="000000" w:themeColor="text1"/>
                <w:sz w:val="16"/>
                <w:szCs w:val="16"/>
              </w:rPr>
              <w:t>Active</w:t>
            </w:r>
            <w:r w:rsidRPr="00525F08">
              <w:rPr>
                <w:rFonts w:eastAsia="Arial Unicode MS"/>
                <w:b/>
                <w:color w:val="000000" w:themeColor="text1"/>
                <w:sz w:val="16"/>
                <w:szCs w:val="16"/>
              </w:rPr>
              <w:br/>
              <w:t>Component</w:t>
            </w:r>
          </w:p>
        </w:tc>
        <w:tc>
          <w:tcPr>
            <w:tcW w:w="615" w:type="pct"/>
            <w:vMerge w:val="restart"/>
            <w:tcBorders>
              <w:top w:val="single" w:sz="4" w:space="0" w:color="auto"/>
              <w:left w:val="single" w:sz="4" w:space="0" w:color="auto"/>
            </w:tcBorders>
            <w:shd w:val="clear" w:color="auto" w:fill="auto"/>
            <w:vAlign w:val="center"/>
          </w:tcPr>
          <w:p w:rsidR="00D0272C" w:rsidRPr="00525F08" w:rsidRDefault="00D0272C" w:rsidP="005C0C71">
            <w:pPr>
              <w:keepLines/>
              <w:spacing w:before="60" w:after="60"/>
              <w:jc w:val="center"/>
              <w:rPr>
                <w:rFonts w:eastAsia="Arial Unicode MS"/>
                <w:b/>
                <w:color w:val="000000" w:themeColor="text1"/>
                <w:sz w:val="16"/>
                <w:szCs w:val="16"/>
              </w:rPr>
            </w:pPr>
            <w:r w:rsidRPr="00525F08">
              <w:rPr>
                <w:rFonts w:eastAsia="Arial Unicode MS"/>
                <w:b/>
                <w:color w:val="000000" w:themeColor="text1"/>
                <w:sz w:val="16"/>
                <w:szCs w:val="16"/>
              </w:rPr>
              <w:t>Dosage</w:t>
            </w:r>
            <w:r w:rsidRPr="00525F08">
              <w:rPr>
                <w:rFonts w:eastAsia="Arial Unicode MS"/>
                <w:b/>
                <w:color w:val="000000" w:themeColor="text1"/>
                <w:sz w:val="16"/>
                <w:szCs w:val="16"/>
              </w:rPr>
              <w:br/>
              <w:t>(mg)</w:t>
            </w:r>
          </w:p>
        </w:tc>
        <w:tc>
          <w:tcPr>
            <w:tcW w:w="281" w:type="pct"/>
            <w:vMerge/>
            <w:tcBorders>
              <w:top w:val="single" w:sz="12" w:space="0" w:color="auto"/>
              <w:bottom w:val="single" w:sz="6" w:space="0" w:color="auto"/>
            </w:tcBorders>
            <w:shd w:val="clear" w:color="auto" w:fill="auto"/>
            <w:vAlign w:val="bottom"/>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1699" w:type="pct"/>
            <w:gridSpan w:val="3"/>
            <w:vMerge/>
            <w:tcBorders>
              <w:bottom w:val="single" w:sz="6"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r>
      <w:tr w:rsidR="00D0272C" w:rsidRPr="00525F08" w:rsidTr="005C0C71">
        <w:trPr>
          <w:trHeight w:val="20"/>
          <w:tblHeader/>
        </w:trPr>
        <w:tc>
          <w:tcPr>
            <w:tcW w:w="903" w:type="pct"/>
            <w:vMerge/>
            <w:tcBorders>
              <w:top w:val="single" w:sz="6" w:space="0" w:color="auto"/>
              <w:bottom w:val="single" w:sz="12"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color w:val="999999"/>
                <w:sz w:val="16"/>
                <w:szCs w:val="16"/>
              </w:rPr>
            </w:pPr>
          </w:p>
        </w:tc>
        <w:tc>
          <w:tcPr>
            <w:tcW w:w="895" w:type="pct"/>
            <w:vMerge/>
            <w:tcBorders>
              <w:top w:val="single" w:sz="6" w:space="0" w:color="auto"/>
              <w:bottom w:val="single" w:sz="12"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color w:val="999999"/>
                <w:sz w:val="16"/>
                <w:szCs w:val="16"/>
              </w:rPr>
            </w:pPr>
          </w:p>
        </w:tc>
        <w:tc>
          <w:tcPr>
            <w:tcW w:w="608" w:type="pct"/>
            <w:vMerge/>
            <w:tcBorders>
              <w:bottom w:val="single" w:sz="12" w:space="0" w:color="auto"/>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color w:val="999999"/>
                <w:sz w:val="16"/>
                <w:szCs w:val="16"/>
              </w:rPr>
            </w:pPr>
          </w:p>
        </w:tc>
        <w:tc>
          <w:tcPr>
            <w:tcW w:w="615" w:type="pct"/>
            <w:vMerge/>
            <w:tcBorders>
              <w:left w:val="single" w:sz="4" w:space="0" w:color="auto"/>
              <w:bottom w:val="single" w:sz="12"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color w:val="999999"/>
                <w:sz w:val="16"/>
                <w:szCs w:val="16"/>
              </w:rPr>
            </w:pPr>
          </w:p>
        </w:tc>
        <w:tc>
          <w:tcPr>
            <w:tcW w:w="281" w:type="pct"/>
            <w:vMerge/>
            <w:tcBorders>
              <w:top w:val="single" w:sz="6" w:space="0" w:color="auto"/>
              <w:bottom w:val="single" w:sz="12"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color w:val="999999"/>
                <w:sz w:val="16"/>
                <w:szCs w:val="16"/>
              </w:rPr>
            </w:pPr>
          </w:p>
        </w:tc>
        <w:tc>
          <w:tcPr>
            <w:tcW w:w="564" w:type="pct"/>
            <w:tcBorders>
              <w:top w:val="single" w:sz="6" w:space="0" w:color="auto"/>
              <w:bottom w:val="single" w:sz="12"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b/>
                <w:sz w:val="16"/>
                <w:szCs w:val="16"/>
              </w:rPr>
            </w:pPr>
            <w:r w:rsidRPr="00525F08">
              <w:rPr>
                <w:b/>
                <w:sz w:val="16"/>
                <w:szCs w:val="16"/>
              </w:rPr>
              <w:t>C</w:t>
            </w:r>
            <w:r w:rsidRPr="00525F08">
              <w:rPr>
                <w:b/>
                <w:sz w:val="16"/>
                <w:szCs w:val="16"/>
                <w:vertAlign w:val="subscript"/>
              </w:rPr>
              <w:t>max</w:t>
            </w:r>
          </w:p>
        </w:tc>
        <w:tc>
          <w:tcPr>
            <w:tcW w:w="563" w:type="pct"/>
            <w:tcBorders>
              <w:top w:val="single" w:sz="6" w:space="0" w:color="auto"/>
              <w:bottom w:val="single" w:sz="12"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b/>
                <w:sz w:val="16"/>
                <w:szCs w:val="16"/>
              </w:rPr>
            </w:pPr>
            <w:r w:rsidRPr="00525F08">
              <w:rPr>
                <w:b/>
                <w:sz w:val="16"/>
                <w:szCs w:val="16"/>
              </w:rPr>
              <w:t>AUC</w:t>
            </w:r>
          </w:p>
        </w:tc>
        <w:tc>
          <w:tcPr>
            <w:tcW w:w="571" w:type="pct"/>
            <w:tcBorders>
              <w:top w:val="single" w:sz="6" w:space="0" w:color="auto"/>
              <w:bottom w:val="single" w:sz="12"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b/>
                <w:sz w:val="16"/>
                <w:szCs w:val="16"/>
              </w:rPr>
            </w:pPr>
            <w:r w:rsidRPr="00525F08">
              <w:rPr>
                <w:b/>
                <w:sz w:val="16"/>
                <w:szCs w:val="16"/>
              </w:rPr>
              <w:t>C</w:t>
            </w:r>
            <w:r w:rsidRPr="00525F08">
              <w:rPr>
                <w:b/>
                <w:sz w:val="16"/>
                <w:szCs w:val="16"/>
                <w:vertAlign w:val="subscript"/>
              </w:rPr>
              <w:t>min</w:t>
            </w:r>
          </w:p>
        </w:tc>
      </w:tr>
      <w:tr w:rsidR="00D0272C" w:rsidRPr="00525F08" w:rsidTr="005C0C71">
        <w:trPr>
          <w:trHeight w:val="20"/>
        </w:trPr>
        <w:tc>
          <w:tcPr>
            <w:tcW w:w="903" w:type="pct"/>
            <w:vMerge w:val="restar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r w:rsidRPr="00525F08">
              <w:rPr>
                <w:sz w:val="16"/>
                <w:szCs w:val="16"/>
              </w:rPr>
              <w:t>Cyclosporine</w:t>
            </w:r>
          </w:p>
        </w:tc>
        <w:tc>
          <w:tcPr>
            <w:tcW w:w="895" w:type="pct"/>
            <w:vMerge w:val="restar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600 single dose</w:t>
            </w:r>
          </w:p>
        </w:tc>
        <w:tc>
          <w:tcPr>
            <w:tcW w:w="608" w:type="pct"/>
            <w:tcBorders>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SOF</w:t>
            </w:r>
          </w:p>
        </w:tc>
        <w:tc>
          <w:tcPr>
            <w:tcW w:w="615" w:type="pct"/>
            <w:tcBorders>
              <w:lef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400 single dose</w:t>
            </w:r>
          </w:p>
        </w:tc>
        <w:tc>
          <w:tcPr>
            <w:tcW w:w="281"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19</w:t>
            </w:r>
          </w:p>
        </w:tc>
        <w:tc>
          <w:tcPr>
            <w:tcW w:w="564"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1.06</w:t>
            </w:r>
            <w:r w:rsidRPr="00525F08">
              <w:rPr>
                <w:sz w:val="16"/>
                <w:szCs w:val="16"/>
              </w:rPr>
              <w:br/>
              <w:t>(0.94, 1.18)</w:t>
            </w:r>
          </w:p>
        </w:tc>
        <w:tc>
          <w:tcPr>
            <w:tcW w:w="563"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0.98</w:t>
            </w:r>
            <w:r w:rsidRPr="00525F08">
              <w:rPr>
                <w:sz w:val="16"/>
                <w:szCs w:val="16"/>
              </w:rPr>
              <w:br/>
              <w:t>(0.85, 1.14)</w:t>
            </w:r>
          </w:p>
        </w:tc>
        <w:tc>
          <w:tcPr>
            <w:tcW w:w="571"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NA</w:t>
            </w:r>
          </w:p>
        </w:tc>
      </w:tr>
      <w:tr w:rsidR="00D0272C" w:rsidRPr="00525F08" w:rsidTr="005C0C71">
        <w:trPr>
          <w:trHeight w:val="20"/>
        </w:trPr>
        <w:tc>
          <w:tcPr>
            <w:tcW w:w="903"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p>
        </w:tc>
        <w:tc>
          <w:tcPr>
            <w:tcW w:w="895"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608" w:type="pct"/>
            <w:tcBorders>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VEL</w:t>
            </w:r>
          </w:p>
        </w:tc>
        <w:tc>
          <w:tcPr>
            <w:tcW w:w="615" w:type="pct"/>
            <w:tcBorders>
              <w:lef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100 single dose</w:t>
            </w:r>
          </w:p>
        </w:tc>
        <w:tc>
          <w:tcPr>
            <w:tcW w:w="281"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12</w:t>
            </w:r>
          </w:p>
        </w:tc>
        <w:tc>
          <w:tcPr>
            <w:tcW w:w="564"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0.92</w:t>
            </w:r>
            <w:r w:rsidRPr="00525F08">
              <w:rPr>
                <w:sz w:val="16"/>
                <w:szCs w:val="16"/>
              </w:rPr>
              <w:br/>
              <w:t>(0.82, 1.02)</w:t>
            </w:r>
          </w:p>
        </w:tc>
        <w:tc>
          <w:tcPr>
            <w:tcW w:w="563"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0.88</w:t>
            </w:r>
            <w:r w:rsidRPr="00525F08">
              <w:rPr>
                <w:sz w:val="16"/>
                <w:szCs w:val="16"/>
              </w:rPr>
              <w:br/>
              <w:t>(0.78, 1.00)</w:t>
            </w:r>
          </w:p>
        </w:tc>
        <w:tc>
          <w:tcPr>
            <w:tcW w:w="571"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NA</w:t>
            </w:r>
          </w:p>
        </w:tc>
      </w:tr>
      <w:tr w:rsidR="00D0272C" w:rsidRPr="00525F08" w:rsidTr="005C0C71">
        <w:trPr>
          <w:trHeight w:val="20"/>
        </w:trPr>
        <w:tc>
          <w:tcPr>
            <w:tcW w:w="903"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p>
        </w:tc>
        <w:tc>
          <w:tcPr>
            <w:tcW w:w="895"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608" w:type="pct"/>
            <w:tcBorders>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VOX</w:t>
            </w:r>
          </w:p>
        </w:tc>
        <w:tc>
          <w:tcPr>
            <w:tcW w:w="615" w:type="pct"/>
            <w:tcBorders>
              <w:lef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100 single dose</w:t>
            </w:r>
          </w:p>
        </w:tc>
        <w:tc>
          <w:tcPr>
            <w:tcW w:w="281"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24</w:t>
            </w:r>
          </w:p>
        </w:tc>
        <w:tc>
          <w:tcPr>
            <w:tcW w:w="564"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0.95</w:t>
            </w:r>
            <w:r w:rsidRPr="00525F08">
              <w:rPr>
                <w:sz w:val="16"/>
                <w:szCs w:val="16"/>
              </w:rPr>
              <w:br/>
              <w:t>(0.88, 1.03)</w:t>
            </w:r>
          </w:p>
        </w:tc>
        <w:tc>
          <w:tcPr>
            <w:tcW w:w="563"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0.94</w:t>
            </w:r>
            <w:r w:rsidRPr="00525F08">
              <w:rPr>
                <w:sz w:val="16"/>
                <w:szCs w:val="16"/>
              </w:rPr>
              <w:br/>
              <w:t>(0.84, 1.06)</w:t>
            </w:r>
          </w:p>
        </w:tc>
        <w:tc>
          <w:tcPr>
            <w:tcW w:w="571"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NA</w:t>
            </w:r>
          </w:p>
        </w:tc>
      </w:tr>
      <w:tr w:rsidR="00D0272C" w:rsidRPr="00525F08" w:rsidTr="005C0C71">
        <w:trPr>
          <w:trHeight w:val="20"/>
        </w:trPr>
        <w:tc>
          <w:tcPr>
            <w:tcW w:w="903"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r w:rsidRPr="00525F08">
              <w:rPr>
                <w:sz w:val="16"/>
                <w:szCs w:val="16"/>
              </w:rPr>
              <w:t>Dabigatran etexilate</w:t>
            </w:r>
          </w:p>
        </w:tc>
        <w:tc>
          <w:tcPr>
            <w:tcW w:w="895"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75 single dose</w:t>
            </w:r>
          </w:p>
        </w:tc>
        <w:tc>
          <w:tcPr>
            <w:tcW w:w="608" w:type="pct"/>
            <w:tcBorders>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SOF/VEL/</w:t>
            </w:r>
            <w:r w:rsidRPr="00525F08">
              <w:rPr>
                <w:sz w:val="16"/>
                <w:szCs w:val="16"/>
              </w:rPr>
              <w:br/>
              <w:t xml:space="preserve">VOX </w:t>
            </w:r>
            <w:r w:rsidRPr="00525F08">
              <w:rPr>
                <w:sz w:val="16"/>
                <w:szCs w:val="16"/>
              </w:rPr>
              <w:br/>
              <w:t>+ VOX</w:t>
            </w:r>
          </w:p>
        </w:tc>
        <w:tc>
          <w:tcPr>
            <w:tcW w:w="615" w:type="pct"/>
            <w:tcBorders>
              <w:lef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400/100/100 + 100</w:t>
            </w:r>
            <w:r w:rsidRPr="00525F08">
              <w:rPr>
                <w:sz w:val="16"/>
                <w:szCs w:val="16"/>
              </w:rPr>
              <w:br/>
              <w:t>single dose</w:t>
            </w:r>
          </w:p>
        </w:tc>
        <w:tc>
          <w:tcPr>
            <w:tcW w:w="281"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36</w:t>
            </w:r>
          </w:p>
        </w:tc>
        <w:tc>
          <w:tcPr>
            <w:tcW w:w="564"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2.87</w:t>
            </w:r>
            <w:r w:rsidRPr="00525F08">
              <w:rPr>
                <w:sz w:val="16"/>
                <w:szCs w:val="16"/>
              </w:rPr>
              <w:br/>
              <w:t>(2.61, 3.15)</w:t>
            </w:r>
          </w:p>
        </w:tc>
        <w:tc>
          <w:tcPr>
            <w:tcW w:w="563"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2.61</w:t>
            </w:r>
            <w:r w:rsidRPr="00525F08">
              <w:rPr>
                <w:sz w:val="16"/>
                <w:szCs w:val="16"/>
              </w:rPr>
              <w:br/>
              <w:t>(2.41, 2.82)</w:t>
            </w:r>
          </w:p>
        </w:tc>
        <w:tc>
          <w:tcPr>
            <w:tcW w:w="571"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NA</w:t>
            </w:r>
          </w:p>
        </w:tc>
      </w:tr>
      <w:tr w:rsidR="00D0272C" w:rsidRPr="00525F08" w:rsidTr="005C0C71">
        <w:trPr>
          <w:trHeight w:val="20"/>
        </w:trPr>
        <w:tc>
          <w:tcPr>
            <w:tcW w:w="903" w:type="pct"/>
            <w:vMerge w:val="restart"/>
            <w:shd w:val="clear" w:color="auto" w:fill="auto"/>
            <w:vAlign w:val="center"/>
          </w:tcPr>
          <w:p w:rsidR="00D0272C" w:rsidRPr="00525F08" w:rsidRDefault="00D0272C" w:rsidP="00DB67CE">
            <w:pPr>
              <w:keepLines/>
              <w:pageBreakBefore/>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r w:rsidRPr="00525F08">
              <w:rPr>
                <w:sz w:val="16"/>
                <w:szCs w:val="16"/>
              </w:rPr>
              <w:lastRenderedPageBreak/>
              <w:t>Darunavir + ritonavir + emtricitabine/</w:t>
            </w:r>
            <w:r w:rsidRPr="00525F08">
              <w:rPr>
                <w:sz w:val="16"/>
                <w:szCs w:val="16"/>
              </w:rPr>
              <w:br/>
              <w:t>tenofovir DF</w:t>
            </w:r>
            <w:r w:rsidRPr="00525F08">
              <w:rPr>
                <w:sz w:val="16"/>
                <w:szCs w:val="16"/>
                <w:vertAlign w:val="superscript"/>
              </w:rPr>
              <w:t>b</w:t>
            </w:r>
          </w:p>
        </w:tc>
        <w:tc>
          <w:tcPr>
            <w:tcW w:w="895"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 xml:space="preserve">darunavir 800 </w:t>
            </w:r>
            <w:r w:rsidRPr="00525F08">
              <w:rPr>
                <w:sz w:val="16"/>
                <w:szCs w:val="16"/>
              </w:rPr>
              <w:br/>
              <w:t>once daily</w:t>
            </w:r>
          </w:p>
        </w:tc>
        <w:tc>
          <w:tcPr>
            <w:tcW w:w="608" w:type="pct"/>
            <w:vMerge w:val="restart"/>
            <w:tcBorders>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SOF/VEL/</w:t>
            </w:r>
            <w:r w:rsidRPr="00525F08">
              <w:rPr>
                <w:sz w:val="16"/>
                <w:szCs w:val="16"/>
              </w:rPr>
              <w:br/>
              <w:t>VOX</w:t>
            </w:r>
            <w:r w:rsidRPr="00525F08">
              <w:rPr>
                <w:sz w:val="16"/>
                <w:szCs w:val="16"/>
              </w:rPr>
              <w:br/>
              <w:t xml:space="preserve"> + VOX</w:t>
            </w:r>
          </w:p>
        </w:tc>
        <w:tc>
          <w:tcPr>
            <w:tcW w:w="615" w:type="pct"/>
            <w:vMerge w:val="restart"/>
            <w:tcBorders>
              <w:lef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400/100/100 + 100</w:t>
            </w:r>
            <w:r w:rsidRPr="00525F08">
              <w:rPr>
                <w:sz w:val="16"/>
                <w:szCs w:val="16"/>
              </w:rPr>
              <w:br/>
              <w:t>once daily</w:t>
            </w:r>
          </w:p>
        </w:tc>
        <w:tc>
          <w:tcPr>
            <w:tcW w:w="281" w:type="pct"/>
            <w:vMerge w:val="restar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29</w:t>
            </w:r>
          </w:p>
        </w:tc>
        <w:tc>
          <w:tcPr>
            <w:tcW w:w="564" w:type="pct"/>
            <w:shd w:val="clear" w:color="auto" w:fill="auto"/>
            <w:vAlign w:val="center"/>
          </w:tcPr>
          <w:p w:rsidR="00D0272C" w:rsidRPr="00525F08" w:rsidRDefault="00D0272C" w:rsidP="005C0C71">
            <w:pPr>
              <w:spacing w:before="60" w:after="40"/>
              <w:jc w:val="center"/>
              <w:rPr>
                <w:sz w:val="16"/>
                <w:szCs w:val="16"/>
              </w:rPr>
            </w:pPr>
            <w:r w:rsidRPr="00525F08">
              <w:rPr>
                <w:sz w:val="16"/>
                <w:szCs w:val="16"/>
              </w:rPr>
              <w:t>0.89</w:t>
            </w:r>
            <w:r w:rsidRPr="00525F08">
              <w:rPr>
                <w:sz w:val="16"/>
                <w:szCs w:val="16"/>
              </w:rPr>
              <w:br/>
              <w:t>(0.85, 0.94)</w:t>
            </w:r>
          </w:p>
        </w:tc>
        <w:tc>
          <w:tcPr>
            <w:tcW w:w="563" w:type="pct"/>
            <w:shd w:val="clear" w:color="auto" w:fill="auto"/>
            <w:vAlign w:val="center"/>
          </w:tcPr>
          <w:p w:rsidR="00D0272C" w:rsidRPr="00525F08" w:rsidRDefault="00D0272C" w:rsidP="005C0C71">
            <w:pPr>
              <w:spacing w:before="60" w:after="40"/>
              <w:jc w:val="center"/>
              <w:rPr>
                <w:sz w:val="16"/>
                <w:szCs w:val="16"/>
              </w:rPr>
            </w:pPr>
            <w:r w:rsidRPr="00525F08">
              <w:rPr>
                <w:sz w:val="16"/>
                <w:szCs w:val="16"/>
              </w:rPr>
              <w:t>0.86</w:t>
            </w:r>
            <w:r w:rsidRPr="00525F08">
              <w:rPr>
                <w:sz w:val="16"/>
                <w:szCs w:val="16"/>
              </w:rPr>
              <w:br/>
              <w:t>(0.81, 0.91)</w:t>
            </w:r>
          </w:p>
        </w:tc>
        <w:tc>
          <w:tcPr>
            <w:tcW w:w="571" w:type="pct"/>
            <w:shd w:val="clear" w:color="auto" w:fill="auto"/>
            <w:vAlign w:val="center"/>
          </w:tcPr>
          <w:p w:rsidR="00D0272C" w:rsidRPr="00525F08" w:rsidRDefault="00D0272C" w:rsidP="005C0C71">
            <w:pPr>
              <w:keepLines/>
              <w:spacing w:before="60" w:after="40"/>
              <w:jc w:val="center"/>
              <w:rPr>
                <w:sz w:val="16"/>
                <w:szCs w:val="16"/>
              </w:rPr>
            </w:pPr>
            <w:r w:rsidRPr="00525F08">
              <w:rPr>
                <w:sz w:val="16"/>
                <w:szCs w:val="16"/>
              </w:rPr>
              <w:t>0.66</w:t>
            </w:r>
            <w:r w:rsidRPr="00525F08">
              <w:rPr>
                <w:sz w:val="16"/>
                <w:szCs w:val="16"/>
              </w:rPr>
              <w:br/>
              <w:t>(0.58, 0.74)</w:t>
            </w:r>
          </w:p>
        </w:tc>
      </w:tr>
      <w:tr w:rsidR="00D0272C" w:rsidRPr="00525F08" w:rsidTr="005C0C71">
        <w:trPr>
          <w:trHeight w:val="20"/>
        </w:trPr>
        <w:tc>
          <w:tcPr>
            <w:tcW w:w="903"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p>
        </w:tc>
        <w:tc>
          <w:tcPr>
            <w:tcW w:w="895"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 xml:space="preserve">ritonavir 100 </w:t>
            </w:r>
            <w:r w:rsidRPr="00525F08">
              <w:rPr>
                <w:sz w:val="16"/>
                <w:szCs w:val="16"/>
              </w:rPr>
              <w:br/>
              <w:t>once daily</w:t>
            </w:r>
          </w:p>
        </w:tc>
        <w:tc>
          <w:tcPr>
            <w:tcW w:w="608" w:type="pct"/>
            <w:vMerge/>
            <w:tcBorders>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615" w:type="pct"/>
            <w:vMerge/>
            <w:tcBorders>
              <w:lef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281"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564" w:type="pct"/>
            <w:shd w:val="clear" w:color="auto" w:fill="auto"/>
            <w:vAlign w:val="center"/>
          </w:tcPr>
          <w:p w:rsidR="00D0272C" w:rsidRPr="00525F08" w:rsidRDefault="00D0272C" w:rsidP="005C0C71">
            <w:pPr>
              <w:spacing w:before="60" w:after="40"/>
              <w:jc w:val="center"/>
              <w:rPr>
                <w:sz w:val="16"/>
                <w:szCs w:val="16"/>
              </w:rPr>
            </w:pPr>
            <w:r w:rsidRPr="00525F08">
              <w:rPr>
                <w:sz w:val="16"/>
                <w:szCs w:val="16"/>
              </w:rPr>
              <w:t>1.60</w:t>
            </w:r>
            <w:r w:rsidRPr="00525F08">
              <w:rPr>
                <w:sz w:val="16"/>
                <w:szCs w:val="16"/>
              </w:rPr>
              <w:br/>
              <w:t>(1.47, 1.75)</w:t>
            </w:r>
          </w:p>
        </w:tc>
        <w:tc>
          <w:tcPr>
            <w:tcW w:w="563" w:type="pct"/>
            <w:shd w:val="clear" w:color="auto" w:fill="auto"/>
            <w:vAlign w:val="center"/>
          </w:tcPr>
          <w:p w:rsidR="00D0272C" w:rsidRPr="00525F08" w:rsidRDefault="00D0272C" w:rsidP="005C0C71">
            <w:pPr>
              <w:spacing w:before="60" w:after="40"/>
              <w:jc w:val="center"/>
              <w:rPr>
                <w:sz w:val="16"/>
                <w:szCs w:val="16"/>
              </w:rPr>
            </w:pPr>
            <w:r w:rsidRPr="00525F08">
              <w:rPr>
                <w:sz w:val="16"/>
                <w:szCs w:val="16"/>
              </w:rPr>
              <w:t>1.45</w:t>
            </w:r>
            <w:r w:rsidRPr="00525F08">
              <w:rPr>
                <w:sz w:val="16"/>
                <w:szCs w:val="16"/>
              </w:rPr>
              <w:br/>
              <w:t>(1.35, 1.57)</w:t>
            </w:r>
          </w:p>
        </w:tc>
        <w:tc>
          <w:tcPr>
            <w:tcW w:w="571" w:type="pct"/>
            <w:shd w:val="clear" w:color="auto" w:fill="auto"/>
            <w:vAlign w:val="center"/>
          </w:tcPr>
          <w:p w:rsidR="00D0272C" w:rsidRPr="00525F08" w:rsidRDefault="00D0272C" w:rsidP="005C0C71">
            <w:pPr>
              <w:keepLines/>
              <w:spacing w:before="60" w:after="40"/>
              <w:jc w:val="center"/>
              <w:rPr>
                <w:sz w:val="16"/>
                <w:szCs w:val="16"/>
              </w:rPr>
            </w:pPr>
            <w:r w:rsidRPr="00525F08">
              <w:rPr>
                <w:sz w:val="16"/>
                <w:szCs w:val="16"/>
              </w:rPr>
              <w:t>0.80</w:t>
            </w:r>
            <w:r w:rsidRPr="00525F08">
              <w:rPr>
                <w:sz w:val="16"/>
                <w:szCs w:val="16"/>
              </w:rPr>
              <w:br/>
              <w:t>(0.72, 0.89)</w:t>
            </w:r>
          </w:p>
        </w:tc>
      </w:tr>
      <w:tr w:rsidR="00D0272C" w:rsidRPr="00525F08" w:rsidTr="005C0C71">
        <w:trPr>
          <w:trHeight w:val="20"/>
        </w:trPr>
        <w:tc>
          <w:tcPr>
            <w:tcW w:w="903"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p>
        </w:tc>
        <w:tc>
          <w:tcPr>
            <w:tcW w:w="895"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emtricitabine 200 once daily</w:t>
            </w:r>
          </w:p>
        </w:tc>
        <w:tc>
          <w:tcPr>
            <w:tcW w:w="608" w:type="pct"/>
            <w:vMerge/>
            <w:tcBorders>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615" w:type="pct"/>
            <w:vMerge/>
            <w:tcBorders>
              <w:lef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281"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564" w:type="pct"/>
            <w:shd w:val="clear" w:color="auto" w:fill="auto"/>
            <w:vAlign w:val="center"/>
          </w:tcPr>
          <w:p w:rsidR="00D0272C" w:rsidRPr="00525F08" w:rsidRDefault="00D0272C" w:rsidP="005C0C71">
            <w:pPr>
              <w:spacing w:before="60" w:after="40"/>
              <w:jc w:val="center"/>
              <w:rPr>
                <w:sz w:val="16"/>
                <w:szCs w:val="16"/>
              </w:rPr>
            </w:pPr>
            <w:r w:rsidRPr="00525F08">
              <w:rPr>
                <w:sz w:val="16"/>
                <w:szCs w:val="16"/>
              </w:rPr>
              <w:t>0.88</w:t>
            </w:r>
            <w:r w:rsidRPr="00525F08">
              <w:rPr>
                <w:sz w:val="16"/>
                <w:szCs w:val="16"/>
              </w:rPr>
              <w:br/>
              <w:t>(0.82, 0.94)</w:t>
            </w:r>
          </w:p>
        </w:tc>
        <w:tc>
          <w:tcPr>
            <w:tcW w:w="563" w:type="pct"/>
            <w:shd w:val="clear" w:color="auto" w:fill="auto"/>
            <w:vAlign w:val="center"/>
          </w:tcPr>
          <w:p w:rsidR="00D0272C" w:rsidRPr="00525F08" w:rsidRDefault="00D0272C" w:rsidP="005C0C71">
            <w:pPr>
              <w:spacing w:before="60" w:after="40"/>
              <w:jc w:val="center"/>
              <w:rPr>
                <w:sz w:val="16"/>
                <w:szCs w:val="16"/>
              </w:rPr>
            </w:pPr>
            <w:r w:rsidRPr="00525F08">
              <w:rPr>
                <w:sz w:val="16"/>
                <w:szCs w:val="16"/>
              </w:rPr>
              <w:t>0.99</w:t>
            </w:r>
            <w:r w:rsidRPr="00525F08">
              <w:rPr>
                <w:sz w:val="16"/>
                <w:szCs w:val="16"/>
              </w:rPr>
              <w:br/>
              <w:t>(0.96, 1.03)</w:t>
            </w:r>
          </w:p>
        </w:tc>
        <w:tc>
          <w:tcPr>
            <w:tcW w:w="571" w:type="pct"/>
            <w:shd w:val="clear" w:color="auto" w:fill="auto"/>
            <w:vAlign w:val="center"/>
          </w:tcPr>
          <w:p w:rsidR="00D0272C" w:rsidRPr="00525F08" w:rsidRDefault="00D0272C" w:rsidP="005C0C71">
            <w:pPr>
              <w:keepLines/>
              <w:spacing w:before="60" w:after="40"/>
              <w:jc w:val="center"/>
              <w:rPr>
                <w:sz w:val="16"/>
                <w:szCs w:val="16"/>
              </w:rPr>
            </w:pPr>
            <w:r w:rsidRPr="00525F08">
              <w:rPr>
                <w:sz w:val="16"/>
                <w:szCs w:val="16"/>
              </w:rPr>
              <w:t>1.20</w:t>
            </w:r>
            <w:r w:rsidRPr="00525F08">
              <w:rPr>
                <w:sz w:val="16"/>
                <w:szCs w:val="16"/>
              </w:rPr>
              <w:br/>
              <w:t>(1.15, 1.26)</w:t>
            </w:r>
          </w:p>
        </w:tc>
      </w:tr>
      <w:tr w:rsidR="00D0272C" w:rsidRPr="00525F08" w:rsidTr="005C0C71">
        <w:trPr>
          <w:trHeight w:val="20"/>
        </w:trPr>
        <w:tc>
          <w:tcPr>
            <w:tcW w:w="903"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p>
        </w:tc>
        <w:tc>
          <w:tcPr>
            <w:tcW w:w="895" w:type="pct"/>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tenofovir DF 300 once daily</w:t>
            </w:r>
          </w:p>
        </w:tc>
        <w:tc>
          <w:tcPr>
            <w:tcW w:w="608" w:type="pct"/>
            <w:vMerge/>
            <w:tcBorders>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615" w:type="pct"/>
            <w:vMerge/>
            <w:tcBorders>
              <w:lef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281" w:type="pct"/>
            <w:vMerge/>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p>
        </w:tc>
        <w:tc>
          <w:tcPr>
            <w:tcW w:w="564" w:type="pct"/>
            <w:shd w:val="clear" w:color="auto" w:fill="auto"/>
            <w:vAlign w:val="center"/>
          </w:tcPr>
          <w:p w:rsidR="00D0272C" w:rsidRPr="00525F08" w:rsidRDefault="00D0272C" w:rsidP="005C0C71">
            <w:pPr>
              <w:spacing w:before="60" w:after="40"/>
              <w:jc w:val="center"/>
              <w:rPr>
                <w:sz w:val="16"/>
                <w:szCs w:val="16"/>
              </w:rPr>
            </w:pPr>
            <w:r w:rsidRPr="00525F08">
              <w:rPr>
                <w:sz w:val="16"/>
                <w:szCs w:val="16"/>
              </w:rPr>
              <w:t>1.48</w:t>
            </w:r>
            <w:r w:rsidRPr="00525F08">
              <w:rPr>
                <w:sz w:val="16"/>
                <w:szCs w:val="16"/>
              </w:rPr>
              <w:br/>
              <w:t>(1.36, 1.61)</w:t>
            </w:r>
          </w:p>
        </w:tc>
        <w:tc>
          <w:tcPr>
            <w:tcW w:w="563" w:type="pct"/>
            <w:shd w:val="clear" w:color="auto" w:fill="auto"/>
            <w:vAlign w:val="center"/>
          </w:tcPr>
          <w:p w:rsidR="00D0272C" w:rsidRPr="00525F08" w:rsidRDefault="00D0272C" w:rsidP="005C0C71">
            <w:pPr>
              <w:spacing w:before="60" w:after="40"/>
              <w:jc w:val="center"/>
              <w:rPr>
                <w:sz w:val="16"/>
                <w:szCs w:val="16"/>
              </w:rPr>
            </w:pPr>
            <w:r w:rsidRPr="00525F08">
              <w:rPr>
                <w:sz w:val="16"/>
                <w:szCs w:val="16"/>
              </w:rPr>
              <w:t>1.39</w:t>
            </w:r>
            <w:r w:rsidRPr="00525F08">
              <w:rPr>
                <w:sz w:val="16"/>
                <w:szCs w:val="16"/>
              </w:rPr>
              <w:br/>
              <w:t>(1.32, 1.46)</w:t>
            </w:r>
          </w:p>
        </w:tc>
        <w:tc>
          <w:tcPr>
            <w:tcW w:w="571" w:type="pct"/>
            <w:shd w:val="clear" w:color="auto" w:fill="auto"/>
            <w:vAlign w:val="center"/>
          </w:tcPr>
          <w:p w:rsidR="00D0272C" w:rsidRPr="00525F08" w:rsidRDefault="00D0272C" w:rsidP="005C0C71">
            <w:pPr>
              <w:keepLines/>
              <w:spacing w:before="60" w:after="40"/>
              <w:jc w:val="center"/>
              <w:rPr>
                <w:sz w:val="16"/>
                <w:szCs w:val="16"/>
              </w:rPr>
            </w:pPr>
            <w:r w:rsidRPr="00525F08">
              <w:rPr>
                <w:sz w:val="16"/>
                <w:szCs w:val="16"/>
              </w:rPr>
              <w:t>1.47</w:t>
            </w:r>
            <w:r w:rsidRPr="00525F08">
              <w:rPr>
                <w:sz w:val="16"/>
                <w:szCs w:val="16"/>
              </w:rPr>
              <w:br/>
              <w:t>(1.38, 1.56)</w:t>
            </w:r>
          </w:p>
        </w:tc>
      </w:tr>
      <w:tr w:rsidR="00D0272C" w:rsidRPr="00525F08" w:rsidTr="005C0C71">
        <w:trPr>
          <w:trHeight w:val="644"/>
        </w:trPr>
        <w:tc>
          <w:tcPr>
            <w:tcW w:w="903" w:type="pct"/>
            <w:tcBorders>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r w:rsidRPr="00525F08">
              <w:rPr>
                <w:sz w:val="16"/>
                <w:szCs w:val="16"/>
              </w:rPr>
              <w:t>Digoxin</w:t>
            </w:r>
          </w:p>
        </w:tc>
        <w:tc>
          <w:tcPr>
            <w:tcW w:w="895" w:type="pct"/>
            <w:tcBorders>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0.25 single dose</w:t>
            </w:r>
          </w:p>
        </w:tc>
        <w:tc>
          <w:tcPr>
            <w:tcW w:w="608" w:type="pct"/>
            <w:tcBorders>
              <w:bottom w:val="single" w:sz="6" w:space="0" w:color="auto"/>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VEL</w:t>
            </w:r>
          </w:p>
        </w:tc>
        <w:tc>
          <w:tcPr>
            <w:tcW w:w="615" w:type="pct"/>
            <w:tcBorders>
              <w:left w:val="single" w:sz="4"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100 once daily</w:t>
            </w:r>
          </w:p>
        </w:tc>
        <w:tc>
          <w:tcPr>
            <w:tcW w:w="281" w:type="pct"/>
            <w:tcBorders>
              <w:bottom w:val="single" w:sz="6" w:space="0" w:color="auto"/>
            </w:tcBorders>
            <w:shd w:val="clear" w:color="auto" w:fill="FFFFFF" w:themeFill="background1"/>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21</w:t>
            </w:r>
          </w:p>
        </w:tc>
        <w:tc>
          <w:tcPr>
            <w:tcW w:w="564" w:type="pct"/>
            <w:tcBorders>
              <w:bottom w:val="single" w:sz="6" w:space="0" w:color="auto"/>
            </w:tcBorders>
            <w:shd w:val="clear" w:color="auto" w:fill="auto"/>
            <w:vAlign w:val="center"/>
          </w:tcPr>
          <w:p w:rsidR="00D0272C" w:rsidRPr="00525F08" w:rsidRDefault="00D0272C" w:rsidP="005C0C71">
            <w:pPr>
              <w:spacing w:before="60" w:after="40"/>
              <w:jc w:val="center"/>
              <w:rPr>
                <w:sz w:val="16"/>
                <w:szCs w:val="16"/>
              </w:rPr>
            </w:pPr>
            <w:r w:rsidRPr="00525F08">
              <w:rPr>
                <w:sz w:val="16"/>
                <w:szCs w:val="16"/>
              </w:rPr>
              <w:t>1.88</w:t>
            </w:r>
            <w:r w:rsidRPr="00525F08">
              <w:rPr>
                <w:sz w:val="16"/>
                <w:szCs w:val="16"/>
              </w:rPr>
              <w:br/>
              <w:t>(1.71, 2.08)</w:t>
            </w:r>
          </w:p>
        </w:tc>
        <w:tc>
          <w:tcPr>
            <w:tcW w:w="563" w:type="pct"/>
            <w:tcBorders>
              <w:bottom w:val="single" w:sz="6" w:space="0" w:color="auto"/>
            </w:tcBorders>
            <w:shd w:val="clear" w:color="auto" w:fill="auto"/>
            <w:vAlign w:val="center"/>
          </w:tcPr>
          <w:p w:rsidR="00D0272C" w:rsidRPr="00525F08" w:rsidRDefault="00D0272C" w:rsidP="005C0C71">
            <w:pPr>
              <w:spacing w:before="60" w:after="40"/>
              <w:jc w:val="center"/>
              <w:rPr>
                <w:sz w:val="16"/>
                <w:szCs w:val="16"/>
              </w:rPr>
            </w:pPr>
            <w:r w:rsidRPr="00525F08">
              <w:rPr>
                <w:sz w:val="16"/>
                <w:szCs w:val="16"/>
              </w:rPr>
              <w:t>1.34</w:t>
            </w:r>
            <w:r w:rsidRPr="00525F08">
              <w:rPr>
                <w:sz w:val="16"/>
                <w:szCs w:val="16"/>
              </w:rPr>
              <w:br/>
              <w:t>(1.13, 1.60)</w:t>
            </w:r>
          </w:p>
        </w:tc>
        <w:tc>
          <w:tcPr>
            <w:tcW w:w="571" w:type="pct"/>
            <w:tcBorders>
              <w:bottom w:val="single" w:sz="6" w:space="0" w:color="auto"/>
            </w:tcBorders>
            <w:shd w:val="clear" w:color="auto" w:fill="auto"/>
            <w:vAlign w:val="center"/>
          </w:tcPr>
          <w:p w:rsidR="00D0272C" w:rsidRPr="00525F08" w:rsidRDefault="00D0272C" w:rsidP="005C0C71">
            <w:pPr>
              <w:keepLines/>
              <w:spacing w:before="60" w:after="40"/>
              <w:jc w:val="center"/>
              <w:rPr>
                <w:sz w:val="16"/>
                <w:szCs w:val="16"/>
              </w:rPr>
            </w:pPr>
            <w:r w:rsidRPr="00525F08">
              <w:rPr>
                <w:sz w:val="16"/>
                <w:szCs w:val="16"/>
              </w:rPr>
              <w:t>NA</w:t>
            </w:r>
          </w:p>
        </w:tc>
      </w:tr>
      <w:tr w:rsidR="00D0272C" w:rsidRPr="00525F08" w:rsidTr="005C0C71">
        <w:trPr>
          <w:trHeight w:val="644"/>
        </w:trPr>
        <w:tc>
          <w:tcPr>
            <w:tcW w:w="903" w:type="pct"/>
            <w:tcBorders>
              <w:bottom w:val="single" w:sz="6"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rPr>
                <w:sz w:val="16"/>
                <w:szCs w:val="16"/>
              </w:rPr>
            </w:pPr>
            <w:r w:rsidRPr="00525F08">
              <w:rPr>
                <w:sz w:val="16"/>
                <w:szCs w:val="16"/>
              </w:rPr>
              <w:t xml:space="preserve">Dolutegravir </w:t>
            </w:r>
          </w:p>
        </w:tc>
        <w:tc>
          <w:tcPr>
            <w:tcW w:w="895" w:type="pct"/>
            <w:tcBorders>
              <w:bottom w:val="single" w:sz="6"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 xml:space="preserve">50 once daily </w:t>
            </w:r>
          </w:p>
        </w:tc>
        <w:tc>
          <w:tcPr>
            <w:tcW w:w="608" w:type="pct"/>
            <w:tcBorders>
              <w:bottom w:val="single" w:sz="6" w:space="0" w:color="auto"/>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 xml:space="preserve">SOF/VEL </w:t>
            </w:r>
          </w:p>
        </w:tc>
        <w:tc>
          <w:tcPr>
            <w:tcW w:w="615" w:type="pct"/>
            <w:tcBorders>
              <w:left w:val="single" w:sz="4" w:space="0" w:color="auto"/>
              <w:bottom w:val="single" w:sz="6"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 xml:space="preserve">400/100 once daily </w:t>
            </w:r>
          </w:p>
        </w:tc>
        <w:tc>
          <w:tcPr>
            <w:tcW w:w="281" w:type="pct"/>
            <w:tcBorders>
              <w:bottom w:val="single" w:sz="6" w:space="0" w:color="auto"/>
            </w:tcBorders>
            <w:shd w:val="clear" w:color="auto" w:fill="FFFFFF" w:themeFill="background1"/>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 xml:space="preserve">24 </w:t>
            </w:r>
          </w:p>
        </w:tc>
        <w:tc>
          <w:tcPr>
            <w:tcW w:w="564" w:type="pct"/>
            <w:tcBorders>
              <w:bottom w:val="single" w:sz="6" w:space="0" w:color="auto"/>
            </w:tcBorders>
            <w:shd w:val="clear" w:color="auto" w:fill="auto"/>
          </w:tcPr>
          <w:p w:rsidR="00D0272C" w:rsidRPr="00525F08" w:rsidRDefault="00D0272C" w:rsidP="005C0C71">
            <w:pPr>
              <w:spacing w:before="60" w:after="40"/>
              <w:jc w:val="center"/>
              <w:rPr>
                <w:sz w:val="16"/>
                <w:szCs w:val="16"/>
              </w:rPr>
            </w:pPr>
            <w:r w:rsidRPr="00525F08">
              <w:rPr>
                <w:sz w:val="16"/>
                <w:szCs w:val="16"/>
              </w:rPr>
              <w:t xml:space="preserve">1.06 (1.01, 1.11) </w:t>
            </w:r>
          </w:p>
        </w:tc>
        <w:tc>
          <w:tcPr>
            <w:tcW w:w="563" w:type="pct"/>
            <w:tcBorders>
              <w:bottom w:val="single" w:sz="6" w:space="0" w:color="auto"/>
            </w:tcBorders>
            <w:shd w:val="clear" w:color="auto" w:fill="auto"/>
          </w:tcPr>
          <w:p w:rsidR="00D0272C" w:rsidRPr="00525F08" w:rsidRDefault="00D0272C" w:rsidP="005C0C71">
            <w:pPr>
              <w:spacing w:before="60" w:after="40"/>
              <w:jc w:val="center"/>
              <w:rPr>
                <w:sz w:val="16"/>
                <w:szCs w:val="16"/>
              </w:rPr>
            </w:pPr>
            <w:r w:rsidRPr="00525F08">
              <w:rPr>
                <w:sz w:val="16"/>
                <w:szCs w:val="16"/>
              </w:rPr>
              <w:t xml:space="preserve">1.06 (1.01, 1.13) </w:t>
            </w:r>
          </w:p>
        </w:tc>
        <w:tc>
          <w:tcPr>
            <w:tcW w:w="571" w:type="pct"/>
            <w:tcBorders>
              <w:bottom w:val="single" w:sz="6" w:space="0" w:color="auto"/>
            </w:tcBorders>
            <w:shd w:val="clear" w:color="auto" w:fill="auto"/>
          </w:tcPr>
          <w:p w:rsidR="00D0272C" w:rsidRPr="00525F08" w:rsidRDefault="00D0272C" w:rsidP="005C0C71">
            <w:pPr>
              <w:keepLines/>
              <w:spacing w:before="60" w:after="40"/>
              <w:jc w:val="center"/>
              <w:rPr>
                <w:sz w:val="16"/>
                <w:szCs w:val="16"/>
              </w:rPr>
            </w:pPr>
            <w:r w:rsidRPr="00525F08">
              <w:rPr>
                <w:sz w:val="16"/>
                <w:szCs w:val="16"/>
              </w:rPr>
              <w:t xml:space="preserve">1.04 (0.98, 1.10) </w:t>
            </w:r>
          </w:p>
        </w:tc>
      </w:tr>
      <w:tr w:rsidR="00D0272C" w:rsidRPr="00525F08" w:rsidTr="005C0C71">
        <w:trPr>
          <w:trHeight w:val="20"/>
        </w:trPr>
        <w:tc>
          <w:tcPr>
            <w:tcW w:w="903" w:type="pct"/>
            <w:vMerge w:val="restar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r w:rsidRPr="00525F08">
              <w:rPr>
                <w:sz w:val="16"/>
                <w:szCs w:val="16"/>
              </w:rPr>
              <w:t>Efavirenz/</w:t>
            </w:r>
            <w:r w:rsidRPr="00525F08">
              <w:rPr>
                <w:sz w:val="16"/>
                <w:szCs w:val="16"/>
              </w:rPr>
              <w:br/>
              <w:t>emtricitabine/</w:t>
            </w:r>
            <w:r w:rsidRPr="00525F08">
              <w:rPr>
                <w:sz w:val="16"/>
                <w:szCs w:val="16"/>
              </w:rPr>
              <w:br/>
              <w:t>tenofovir DF</w:t>
            </w:r>
            <w:r w:rsidRPr="00525F08">
              <w:rPr>
                <w:sz w:val="16"/>
                <w:szCs w:val="16"/>
                <w:vertAlign w:val="superscript"/>
              </w:rPr>
              <w:t>c</w:t>
            </w: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efavirenz 600 </w:t>
            </w:r>
            <w:r w:rsidRPr="00525F08">
              <w:rPr>
                <w:sz w:val="16"/>
                <w:szCs w:val="16"/>
              </w:rPr>
              <w:br/>
              <w:t>once daily</w:t>
            </w:r>
          </w:p>
        </w:tc>
        <w:tc>
          <w:tcPr>
            <w:tcW w:w="608" w:type="pct"/>
            <w:vMerge w:val="restart"/>
            <w:tcBorders>
              <w:top w:val="single" w:sz="6" w:space="0" w:color="auto"/>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SOF/VEL</w:t>
            </w:r>
          </w:p>
        </w:tc>
        <w:tc>
          <w:tcPr>
            <w:tcW w:w="615" w:type="pct"/>
            <w:vMerge w:val="restart"/>
            <w:tcBorders>
              <w:top w:val="single" w:sz="6" w:space="0" w:color="auto"/>
              <w:lef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400/100</w:t>
            </w:r>
            <w:r w:rsidRPr="00525F08">
              <w:rPr>
                <w:sz w:val="16"/>
                <w:szCs w:val="16"/>
              </w:rPr>
              <w:br/>
              <w:t>once daily</w:t>
            </w:r>
          </w:p>
        </w:tc>
        <w:tc>
          <w:tcPr>
            <w:tcW w:w="281" w:type="pct"/>
            <w:vMerge w:val="restar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15</w:t>
            </w: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keepLines/>
              <w:spacing w:before="60" w:after="60"/>
              <w:jc w:val="center"/>
              <w:rPr>
                <w:sz w:val="16"/>
                <w:szCs w:val="16"/>
              </w:rPr>
            </w:pPr>
            <w:r w:rsidRPr="00525F08">
              <w:rPr>
                <w:sz w:val="16"/>
                <w:szCs w:val="16"/>
              </w:rPr>
              <w:t>0.81</w:t>
            </w:r>
            <w:r w:rsidRPr="00525F08">
              <w:rPr>
                <w:sz w:val="16"/>
                <w:szCs w:val="16"/>
              </w:rPr>
              <w:br/>
              <w:t>(0.74, 0.89)</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keepLines/>
              <w:spacing w:before="60" w:after="60"/>
              <w:jc w:val="center"/>
              <w:rPr>
                <w:sz w:val="16"/>
                <w:szCs w:val="16"/>
              </w:rPr>
            </w:pPr>
            <w:r w:rsidRPr="00525F08">
              <w:rPr>
                <w:sz w:val="16"/>
                <w:szCs w:val="16"/>
              </w:rPr>
              <w:t>0.85</w:t>
            </w:r>
            <w:r w:rsidRPr="00525F08">
              <w:rPr>
                <w:sz w:val="16"/>
                <w:szCs w:val="16"/>
              </w:rPr>
              <w:br/>
              <w:t>(0.80, 0.91)</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keepLines/>
              <w:spacing w:before="60" w:after="60"/>
              <w:jc w:val="center"/>
              <w:rPr>
                <w:sz w:val="16"/>
                <w:szCs w:val="16"/>
              </w:rPr>
            </w:pPr>
            <w:r w:rsidRPr="00525F08">
              <w:rPr>
                <w:sz w:val="16"/>
                <w:szCs w:val="16"/>
              </w:rPr>
              <w:t>0.90</w:t>
            </w:r>
            <w:r w:rsidRPr="00525F08">
              <w:rPr>
                <w:sz w:val="16"/>
                <w:szCs w:val="16"/>
              </w:rPr>
              <w:br/>
              <w:t>(0.85, 0.95)</w:t>
            </w:r>
          </w:p>
        </w:tc>
      </w:tr>
      <w:tr w:rsidR="00D0272C" w:rsidRPr="00525F08" w:rsidTr="005C0C71">
        <w:trPr>
          <w:trHeight w:val="20"/>
        </w:trPr>
        <w:tc>
          <w:tcPr>
            <w:tcW w:w="903"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emtricitabine 200 once daily</w:t>
            </w:r>
          </w:p>
        </w:tc>
        <w:tc>
          <w:tcPr>
            <w:tcW w:w="608" w:type="pct"/>
            <w:vMerge/>
            <w:tcBorders>
              <w:righ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1.07</w:t>
            </w:r>
            <w:r w:rsidRPr="00525F08">
              <w:rPr>
                <w:sz w:val="16"/>
                <w:szCs w:val="16"/>
              </w:rPr>
              <w:br/>
              <w:t>(0.98, 1.18)</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1.07</w:t>
            </w:r>
            <w:r w:rsidRPr="00525F08">
              <w:rPr>
                <w:sz w:val="16"/>
                <w:szCs w:val="16"/>
              </w:rPr>
              <w:br/>
              <w:t>(1.00, 1.14)</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1.10</w:t>
            </w:r>
            <w:r w:rsidRPr="00525F08">
              <w:rPr>
                <w:sz w:val="16"/>
                <w:szCs w:val="16"/>
              </w:rPr>
              <w:br/>
              <w:t>(0.97, 1.25)</w:t>
            </w:r>
          </w:p>
        </w:tc>
      </w:tr>
      <w:tr w:rsidR="00D0272C" w:rsidRPr="00525F08" w:rsidTr="005C0C71">
        <w:trPr>
          <w:trHeight w:val="20"/>
        </w:trPr>
        <w:tc>
          <w:tcPr>
            <w:tcW w:w="903"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tenofovir DF 300 once daily</w:t>
            </w:r>
          </w:p>
        </w:tc>
        <w:tc>
          <w:tcPr>
            <w:tcW w:w="608" w:type="pct"/>
            <w:vMerge/>
            <w:tcBorders>
              <w:bottom w:val="single" w:sz="6" w:space="0" w:color="auto"/>
              <w:righ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1.77</w:t>
            </w:r>
            <w:r w:rsidRPr="00525F08">
              <w:rPr>
                <w:sz w:val="16"/>
                <w:szCs w:val="16"/>
              </w:rPr>
              <w:br/>
              <w:t>(1.53, 2.04)</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1.81</w:t>
            </w:r>
            <w:r w:rsidRPr="00525F08">
              <w:rPr>
                <w:sz w:val="16"/>
                <w:szCs w:val="16"/>
              </w:rPr>
              <w:br/>
              <w:t>(1.68, 1.94)</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2.21</w:t>
            </w:r>
            <w:r w:rsidRPr="00525F08">
              <w:rPr>
                <w:sz w:val="16"/>
                <w:szCs w:val="16"/>
              </w:rPr>
              <w:br/>
              <w:t>(2.00, 2.43)</w:t>
            </w:r>
          </w:p>
        </w:tc>
      </w:tr>
      <w:tr w:rsidR="00D0272C" w:rsidRPr="00525F08" w:rsidTr="005C0C71">
        <w:trPr>
          <w:trHeight w:val="20"/>
        </w:trPr>
        <w:tc>
          <w:tcPr>
            <w:tcW w:w="903" w:type="pct"/>
            <w:vMerge w:val="restar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800"/>
                <w:tab w:val="left" w:pos="2160"/>
                <w:tab w:val="left" w:pos="2520"/>
                <w:tab w:val="left" w:pos="2880"/>
                <w:tab w:val="left" w:pos="3240"/>
                <w:tab w:val="left" w:pos="3600"/>
                <w:tab w:val="left" w:pos="3960"/>
                <w:tab w:val="left" w:pos="4320"/>
              </w:tabs>
              <w:spacing w:before="60" w:after="60"/>
              <w:ind w:left="-90" w:right="-106"/>
              <w:rPr>
                <w:sz w:val="16"/>
                <w:szCs w:val="16"/>
              </w:rPr>
            </w:pPr>
            <w:r w:rsidRPr="00525F08">
              <w:rPr>
                <w:sz w:val="16"/>
                <w:szCs w:val="16"/>
              </w:rPr>
              <w:t>Elvitegravir/cobicistat/</w:t>
            </w:r>
            <w:r w:rsidRPr="00525F08">
              <w:rPr>
                <w:sz w:val="16"/>
                <w:szCs w:val="16"/>
              </w:rPr>
              <w:br/>
              <w:t>emtricitabine/tenofovir alafenamide</w:t>
            </w: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elvitegravir 150 once daily</w:t>
            </w:r>
          </w:p>
        </w:tc>
        <w:tc>
          <w:tcPr>
            <w:tcW w:w="608" w:type="pct"/>
            <w:vMerge w:val="restart"/>
            <w:tcBorders>
              <w:top w:val="single" w:sz="6" w:space="0" w:color="auto"/>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SOF/VEL/</w:t>
            </w:r>
            <w:r w:rsidRPr="00525F08">
              <w:rPr>
                <w:sz w:val="16"/>
                <w:szCs w:val="16"/>
              </w:rPr>
              <w:br/>
              <w:t>VOX</w:t>
            </w:r>
            <w:r w:rsidRPr="00525F08">
              <w:rPr>
                <w:sz w:val="16"/>
                <w:szCs w:val="16"/>
              </w:rPr>
              <w:br/>
              <w:t>+ VOX</w:t>
            </w:r>
          </w:p>
        </w:tc>
        <w:tc>
          <w:tcPr>
            <w:tcW w:w="615" w:type="pct"/>
            <w:vMerge w:val="restart"/>
            <w:tcBorders>
              <w:top w:val="single" w:sz="6" w:space="0" w:color="auto"/>
              <w:lef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400/100/100 + 100</w:t>
            </w:r>
            <w:r w:rsidRPr="00525F08">
              <w:rPr>
                <w:sz w:val="16"/>
                <w:szCs w:val="16"/>
              </w:rPr>
              <w:br/>
              <w:t>once daily</w:t>
            </w:r>
          </w:p>
        </w:tc>
        <w:tc>
          <w:tcPr>
            <w:tcW w:w="281" w:type="pct"/>
            <w:vMerge w:val="restart"/>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29</w:t>
            </w: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0.79</w:t>
            </w:r>
            <w:r w:rsidRPr="00525F08">
              <w:rPr>
                <w:sz w:val="16"/>
                <w:szCs w:val="16"/>
              </w:rPr>
              <w:br/>
              <w:t>(0.75, 0.85)</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0.94</w:t>
            </w:r>
            <w:r w:rsidRPr="00525F08">
              <w:rPr>
                <w:sz w:val="16"/>
                <w:szCs w:val="16"/>
              </w:rPr>
              <w:br/>
              <w:t>(0.88, 1.00)</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1.32</w:t>
            </w:r>
            <w:r w:rsidRPr="00525F08">
              <w:rPr>
                <w:sz w:val="16"/>
                <w:szCs w:val="16"/>
              </w:rPr>
              <w:br/>
              <w:t>(1.17, 1.49)</w:t>
            </w:r>
          </w:p>
        </w:tc>
      </w:tr>
      <w:tr w:rsidR="00D0272C" w:rsidRPr="00525F08" w:rsidTr="005C0C71">
        <w:trPr>
          <w:trHeight w:val="20"/>
        </w:trPr>
        <w:tc>
          <w:tcPr>
            <w:tcW w:w="903"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 xml:space="preserve">cobicistat 150 </w:t>
            </w:r>
            <w:r w:rsidRPr="00525F08">
              <w:rPr>
                <w:sz w:val="16"/>
                <w:szCs w:val="16"/>
              </w:rPr>
              <w:br/>
              <w:t>once daily</w:t>
            </w:r>
          </w:p>
        </w:tc>
        <w:tc>
          <w:tcPr>
            <w:tcW w:w="608" w:type="pct"/>
            <w:vMerge/>
            <w:tcBorders>
              <w:righ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1.23</w:t>
            </w:r>
            <w:r w:rsidRPr="00525F08">
              <w:rPr>
                <w:sz w:val="16"/>
                <w:szCs w:val="16"/>
              </w:rPr>
              <w:br/>
              <w:t>(1.18, 1.28)</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1.50</w:t>
            </w:r>
            <w:r w:rsidRPr="00525F08">
              <w:rPr>
                <w:sz w:val="16"/>
                <w:szCs w:val="16"/>
              </w:rPr>
              <w:br/>
              <w:t>(1.44, 1.58)</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3.50</w:t>
            </w:r>
            <w:r w:rsidRPr="00525F08">
              <w:rPr>
                <w:sz w:val="16"/>
                <w:szCs w:val="16"/>
              </w:rPr>
              <w:br/>
              <w:t>(3.01, 4.07)</w:t>
            </w:r>
          </w:p>
        </w:tc>
      </w:tr>
      <w:tr w:rsidR="00D0272C" w:rsidRPr="00525F08" w:rsidTr="005C0C71">
        <w:trPr>
          <w:trHeight w:val="20"/>
        </w:trPr>
        <w:tc>
          <w:tcPr>
            <w:tcW w:w="903"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emtricitabine 200 once daily</w:t>
            </w:r>
          </w:p>
        </w:tc>
        <w:tc>
          <w:tcPr>
            <w:tcW w:w="608" w:type="pct"/>
            <w:vMerge/>
            <w:tcBorders>
              <w:righ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0.87</w:t>
            </w:r>
            <w:r w:rsidRPr="00525F08">
              <w:rPr>
                <w:sz w:val="16"/>
                <w:szCs w:val="16"/>
              </w:rPr>
              <w:br/>
              <w:t>(0.84, 0.91)</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0.96</w:t>
            </w:r>
            <w:r w:rsidRPr="00525F08">
              <w:rPr>
                <w:sz w:val="16"/>
                <w:szCs w:val="16"/>
              </w:rPr>
              <w:br/>
              <w:t>(0.94, 0.99)</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1.14</w:t>
            </w:r>
            <w:r w:rsidRPr="00525F08">
              <w:rPr>
                <w:sz w:val="16"/>
                <w:szCs w:val="16"/>
              </w:rPr>
              <w:br/>
              <w:t>(1.09, 1.20)</w:t>
            </w:r>
          </w:p>
        </w:tc>
      </w:tr>
      <w:tr w:rsidR="00D0272C" w:rsidRPr="00525F08" w:rsidTr="005C0C71">
        <w:trPr>
          <w:trHeight w:val="20"/>
        </w:trPr>
        <w:tc>
          <w:tcPr>
            <w:tcW w:w="903"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 xml:space="preserve">tenofovir alafenamide 10 </w:t>
            </w:r>
            <w:r w:rsidRPr="00525F08">
              <w:rPr>
                <w:sz w:val="16"/>
                <w:szCs w:val="16"/>
              </w:rPr>
              <w:br/>
              <w:t>once daily</w:t>
            </w:r>
          </w:p>
        </w:tc>
        <w:tc>
          <w:tcPr>
            <w:tcW w:w="608" w:type="pct"/>
            <w:vMerge/>
            <w:tcBorders>
              <w:bottom w:val="single" w:sz="6" w:space="0" w:color="auto"/>
              <w:right w:val="single" w:sz="4"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bottom w:val="single" w:sz="6" w:space="0" w:color="auto"/>
            </w:tcBorders>
            <w:shd w:val="clear" w:color="auto" w:fill="auto"/>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0.79</w:t>
            </w:r>
            <w:r w:rsidRPr="00525F08">
              <w:rPr>
                <w:sz w:val="16"/>
                <w:szCs w:val="16"/>
              </w:rPr>
              <w:br/>
              <w:t>(0.68, 0.92)</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0.93</w:t>
            </w:r>
            <w:r w:rsidRPr="00525F08">
              <w:rPr>
                <w:sz w:val="16"/>
                <w:szCs w:val="16"/>
              </w:rPr>
              <w:br/>
              <w:t>(0.85, 1.01)</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NA</w:t>
            </w:r>
          </w:p>
        </w:tc>
      </w:tr>
      <w:tr w:rsidR="00D0272C" w:rsidRPr="00525F08" w:rsidTr="005C0C71">
        <w:trPr>
          <w:trHeight w:val="20"/>
        </w:trPr>
        <w:tc>
          <w:tcPr>
            <w:tcW w:w="903" w:type="pct"/>
            <w:vMerge w:val="restar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vertAlign w:val="superscript"/>
              </w:rPr>
            </w:pPr>
            <w:r w:rsidRPr="00525F08">
              <w:rPr>
                <w:sz w:val="16"/>
                <w:szCs w:val="16"/>
              </w:rPr>
              <w:t>Emtricitabine/</w:t>
            </w:r>
            <w:r w:rsidRPr="00525F08">
              <w:rPr>
                <w:sz w:val="16"/>
                <w:szCs w:val="16"/>
              </w:rPr>
              <w:br/>
              <w:t>rilpivirine/tenofovir alafenamide</w:t>
            </w:r>
            <w:r w:rsidRPr="00525F08">
              <w:rPr>
                <w:sz w:val="16"/>
                <w:szCs w:val="16"/>
                <w:vertAlign w:val="superscript"/>
              </w:rPr>
              <w:t>e</w:t>
            </w: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emtricitabine 200 once daily</w:t>
            </w:r>
          </w:p>
        </w:tc>
        <w:tc>
          <w:tcPr>
            <w:tcW w:w="608" w:type="pct"/>
            <w:vMerge w:val="restart"/>
            <w:tcBorders>
              <w:top w:val="single" w:sz="6" w:space="0" w:color="auto"/>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SOF/VEL/</w:t>
            </w:r>
            <w:r w:rsidRPr="00525F08">
              <w:rPr>
                <w:sz w:val="16"/>
                <w:szCs w:val="16"/>
              </w:rPr>
              <w:br/>
              <w:t xml:space="preserve">VOX </w:t>
            </w:r>
            <w:r w:rsidRPr="00525F08">
              <w:rPr>
                <w:sz w:val="16"/>
                <w:szCs w:val="16"/>
              </w:rPr>
              <w:br/>
              <w:t>+ VOX</w:t>
            </w:r>
          </w:p>
        </w:tc>
        <w:tc>
          <w:tcPr>
            <w:tcW w:w="615" w:type="pct"/>
            <w:vMerge w:val="restart"/>
            <w:tcBorders>
              <w:top w:val="single" w:sz="6" w:space="0" w:color="auto"/>
              <w:lef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40"/>
              <w:jc w:val="center"/>
              <w:rPr>
                <w:sz w:val="16"/>
                <w:szCs w:val="16"/>
              </w:rPr>
            </w:pPr>
            <w:r w:rsidRPr="00525F08">
              <w:rPr>
                <w:sz w:val="16"/>
                <w:szCs w:val="16"/>
              </w:rPr>
              <w:t>400/100/100 + 100</w:t>
            </w:r>
            <w:r w:rsidRPr="00525F08">
              <w:rPr>
                <w:sz w:val="16"/>
                <w:szCs w:val="16"/>
              </w:rPr>
              <w:br/>
              <w:t>once daily</w:t>
            </w:r>
          </w:p>
        </w:tc>
        <w:tc>
          <w:tcPr>
            <w:tcW w:w="281" w:type="pct"/>
            <w:vMerge w:val="restar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30</w:t>
            </w: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0.88</w:t>
            </w:r>
            <w:r w:rsidRPr="00525F08">
              <w:rPr>
                <w:sz w:val="16"/>
                <w:szCs w:val="16"/>
              </w:rPr>
              <w:br/>
              <w:t>(0.83, 0.93)</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0.93</w:t>
            </w:r>
            <w:r w:rsidRPr="00525F08">
              <w:rPr>
                <w:sz w:val="16"/>
                <w:szCs w:val="16"/>
              </w:rPr>
              <w:br/>
              <w:t>(0.90, 0.96)</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keepLines/>
              <w:spacing w:before="60" w:after="60"/>
              <w:jc w:val="center"/>
              <w:rPr>
                <w:sz w:val="16"/>
                <w:szCs w:val="16"/>
              </w:rPr>
            </w:pPr>
            <w:r w:rsidRPr="00525F08">
              <w:rPr>
                <w:sz w:val="16"/>
                <w:szCs w:val="16"/>
              </w:rPr>
              <w:t>1.07</w:t>
            </w:r>
            <w:r w:rsidRPr="00525F08">
              <w:rPr>
                <w:sz w:val="16"/>
                <w:szCs w:val="16"/>
              </w:rPr>
              <w:br/>
              <w:t>(1.01, 1.14)</w:t>
            </w:r>
          </w:p>
        </w:tc>
      </w:tr>
      <w:tr w:rsidR="00D0272C" w:rsidRPr="00525F08" w:rsidTr="005C0C71">
        <w:trPr>
          <w:trHeight w:val="20"/>
        </w:trPr>
        <w:tc>
          <w:tcPr>
            <w:tcW w:w="903" w:type="pct"/>
            <w:vMerge/>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rilpivirine 25</w:t>
            </w:r>
            <w:r w:rsidRPr="00525F08">
              <w:rPr>
                <w:sz w:val="16"/>
                <w:szCs w:val="16"/>
              </w:rPr>
              <w:br/>
              <w:t>once daily</w:t>
            </w:r>
          </w:p>
        </w:tc>
        <w:tc>
          <w:tcPr>
            <w:tcW w:w="608" w:type="pct"/>
            <w:vMerge/>
            <w:tcBorders>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0.79</w:t>
            </w:r>
            <w:r w:rsidRPr="00525F08">
              <w:rPr>
                <w:sz w:val="16"/>
                <w:szCs w:val="16"/>
              </w:rPr>
              <w:br/>
              <w:t>(0.74, 0.84)</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0.80</w:t>
            </w:r>
            <w:r w:rsidRPr="00525F08">
              <w:rPr>
                <w:sz w:val="16"/>
                <w:szCs w:val="16"/>
              </w:rPr>
              <w:br/>
              <w:t>(0.76, 0.85)</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keepLines/>
              <w:spacing w:before="60" w:after="60"/>
              <w:jc w:val="center"/>
              <w:rPr>
                <w:sz w:val="16"/>
                <w:szCs w:val="16"/>
              </w:rPr>
            </w:pPr>
            <w:r w:rsidRPr="00525F08">
              <w:rPr>
                <w:sz w:val="16"/>
                <w:szCs w:val="16"/>
              </w:rPr>
              <w:t>0.82</w:t>
            </w:r>
            <w:r w:rsidRPr="00525F08">
              <w:rPr>
                <w:sz w:val="16"/>
                <w:szCs w:val="16"/>
              </w:rPr>
              <w:br/>
              <w:t>(0.77, 0.87)</w:t>
            </w:r>
          </w:p>
        </w:tc>
      </w:tr>
      <w:tr w:rsidR="00D0272C" w:rsidRPr="00525F08" w:rsidTr="005C0C71">
        <w:trPr>
          <w:trHeight w:val="606"/>
        </w:trPr>
        <w:tc>
          <w:tcPr>
            <w:tcW w:w="903" w:type="pct"/>
            <w:vMerge/>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tenofovir alafenamide 25</w:t>
            </w:r>
            <w:r w:rsidRPr="00525F08">
              <w:rPr>
                <w:sz w:val="16"/>
                <w:szCs w:val="16"/>
              </w:rPr>
              <w:br/>
              <w:t>once daily</w:t>
            </w:r>
          </w:p>
        </w:tc>
        <w:tc>
          <w:tcPr>
            <w:tcW w:w="608" w:type="pct"/>
            <w:vMerge/>
            <w:tcBorders>
              <w:bottom w:val="single" w:sz="6" w:space="0" w:color="auto"/>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bottom w:val="single" w:sz="6"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1.32</w:t>
            </w:r>
            <w:r w:rsidRPr="00525F08">
              <w:rPr>
                <w:sz w:val="16"/>
                <w:szCs w:val="16"/>
              </w:rPr>
              <w:br/>
              <w:t>(1.17, 1.48)</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spacing w:before="60" w:after="60"/>
              <w:jc w:val="center"/>
              <w:rPr>
                <w:sz w:val="16"/>
                <w:szCs w:val="16"/>
              </w:rPr>
            </w:pPr>
            <w:r w:rsidRPr="00525F08">
              <w:rPr>
                <w:sz w:val="16"/>
                <w:szCs w:val="16"/>
              </w:rPr>
              <w:t>1.52</w:t>
            </w:r>
            <w:r w:rsidRPr="00525F08">
              <w:rPr>
                <w:sz w:val="16"/>
                <w:szCs w:val="16"/>
              </w:rPr>
              <w:br/>
              <w:t>(1.43, 1.61)</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keepLines/>
              <w:spacing w:before="60" w:after="60"/>
              <w:jc w:val="center"/>
              <w:rPr>
                <w:sz w:val="16"/>
                <w:szCs w:val="16"/>
              </w:rPr>
            </w:pPr>
            <w:r w:rsidRPr="00525F08">
              <w:rPr>
                <w:sz w:val="16"/>
                <w:szCs w:val="16"/>
              </w:rPr>
              <w:t>NA</w:t>
            </w:r>
          </w:p>
        </w:tc>
      </w:tr>
      <w:tr w:rsidR="00D0272C" w:rsidRPr="00525F08" w:rsidTr="005C0C71">
        <w:trPr>
          <w:trHeight w:val="231"/>
        </w:trPr>
        <w:tc>
          <w:tcPr>
            <w:tcW w:w="903" w:type="pct"/>
            <w:tcBorders>
              <w:top w:val="single" w:sz="6" w:space="0" w:color="auto"/>
              <w:bottom w:val="single" w:sz="6" w:space="0" w:color="auto"/>
            </w:tcBorders>
            <w:shd w:val="clear" w:color="auto" w:fill="auto"/>
            <w:vAlign w:val="center"/>
          </w:tcPr>
          <w:p w:rsidR="00D0272C" w:rsidRPr="00525F08" w:rsidRDefault="00D0272C" w:rsidP="005C0C71">
            <w:pPr>
              <w:pStyle w:val="Default"/>
              <w:rPr>
                <w:sz w:val="16"/>
                <w:szCs w:val="16"/>
              </w:rPr>
            </w:pPr>
            <w:r w:rsidRPr="00525F08">
              <w:rPr>
                <w:sz w:val="16"/>
                <w:szCs w:val="16"/>
              </w:rPr>
              <w:t xml:space="preserve">R-Methadone </w:t>
            </w:r>
          </w:p>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vMerge w:val="restart"/>
            <w:tcBorders>
              <w:top w:val="single" w:sz="6" w:space="0" w:color="auto"/>
            </w:tcBorders>
            <w:shd w:val="clear" w:color="auto" w:fill="auto"/>
            <w:vAlign w:val="center"/>
          </w:tcPr>
          <w:p w:rsidR="00D0272C" w:rsidRPr="00525F08" w:rsidRDefault="00D0272C" w:rsidP="005C0C71">
            <w:pPr>
              <w:pStyle w:val="Default"/>
              <w:jc w:val="center"/>
              <w:rPr>
                <w:sz w:val="16"/>
                <w:szCs w:val="16"/>
              </w:rPr>
            </w:pPr>
            <w:r w:rsidRPr="00525F08">
              <w:rPr>
                <w:sz w:val="16"/>
                <w:szCs w:val="16"/>
              </w:rPr>
              <w:t xml:space="preserve">30 to 130 daily </w:t>
            </w:r>
          </w:p>
          <w:p w:rsidR="00D0272C" w:rsidRPr="00525F08" w:rsidRDefault="00D0272C" w:rsidP="005C0C71">
            <w:pPr>
              <w:spacing w:before="60" w:after="60"/>
              <w:jc w:val="center"/>
              <w:rPr>
                <w:sz w:val="16"/>
                <w:szCs w:val="16"/>
              </w:rPr>
            </w:pPr>
          </w:p>
        </w:tc>
        <w:tc>
          <w:tcPr>
            <w:tcW w:w="608" w:type="pct"/>
            <w:tcBorders>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SOF </w:t>
            </w:r>
          </w:p>
        </w:tc>
        <w:tc>
          <w:tcPr>
            <w:tcW w:w="615" w:type="pct"/>
            <w:tcBorders>
              <w:lef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400 once daily </w:t>
            </w:r>
          </w:p>
        </w:tc>
        <w:tc>
          <w:tcPr>
            <w:tcW w:w="281" w:type="pct"/>
            <w:tcBorders>
              <w:top w:val="single" w:sz="6" w:space="0" w:color="auto"/>
            </w:tcBorders>
            <w:shd w:val="clear" w:color="auto" w:fill="auto"/>
            <w:vAlign w:val="center"/>
          </w:tcPr>
          <w:p w:rsidR="00D0272C" w:rsidRPr="00525F08" w:rsidRDefault="00D0272C" w:rsidP="005C0C71">
            <w:pPr>
              <w:pStyle w:val="Default"/>
              <w:jc w:val="center"/>
              <w:rPr>
                <w:sz w:val="16"/>
                <w:szCs w:val="16"/>
              </w:rPr>
            </w:pPr>
            <w:r w:rsidRPr="00525F08">
              <w:rPr>
                <w:sz w:val="16"/>
                <w:szCs w:val="16"/>
              </w:rPr>
              <w:t xml:space="preserve">14 </w:t>
            </w:r>
          </w:p>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564" w:type="pct"/>
            <w:tcBorders>
              <w:top w:val="single" w:sz="6" w:space="0" w:color="auto"/>
            </w:tcBorders>
            <w:shd w:val="clear" w:color="auto" w:fill="auto"/>
          </w:tcPr>
          <w:p w:rsidR="00D0272C" w:rsidRPr="00525F08" w:rsidRDefault="00D0272C" w:rsidP="005C0C71">
            <w:pPr>
              <w:spacing w:before="60" w:after="60"/>
              <w:jc w:val="center"/>
              <w:rPr>
                <w:sz w:val="16"/>
                <w:szCs w:val="16"/>
              </w:rPr>
            </w:pPr>
            <w:r w:rsidRPr="00525F08">
              <w:rPr>
                <w:sz w:val="16"/>
                <w:szCs w:val="16"/>
              </w:rPr>
              <w:t xml:space="preserve">0.99  </w:t>
            </w:r>
          </w:p>
          <w:p w:rsidR="00D0272C" w:rsidRPr="00525F08" w:rsidRDefault="00D0272C" w:rsidP="005C0C71">
            <w:pPr>
              <w:spacing w:before="60" w:after="60"/>
              <w:jc w:val="center"/>
              <w:rPr>
                <w:sz w:val="16"/>
                <w:szCs w:val="16"/>
              </w:rPr>
            </w:pPr>
            <w:r w:rsidRPr="00525F08">
              <w:rPr>
                <w:sz w:val="16"/>
                <w:szCs w:val="16"/>
              </w:rPr>
              <w:t xml:space="preserve">(0.85, 1.16) </w:t>
            </w:r>
          </w:p>
        </w:tc>
        <w:tc>
          <w:tcPr>
            <w:tcW w:w="563" w:type="pct"/>
            <w:tcBorders>
              <w:top w:val="single" w:sz="6" w:space="0" w:color="auto"/>
            </w:tcBorders>
            <w:shd w:val="clear" w:color="auto" w:fill="auto"/>
          </w:tcPr>
          <w:p w:rsidR="00D0272C" w:rsidRPr="00525F08" w:rsidRDefault="00D0272C" w:rsidP="005C0C71">
            <w:pPr>
              <w:spacing w:before="60" w:after="60"/>
              <w:jc w:val="center"/>
              <w:rPr>
                <w:sz w:val="16"/>
                <w:szCs w:val="16"/>
              </w:rPr>
            </w:pPr>
            <w:r w:rsidRPr="00525F08">
              <w:rPr>
                <w:sz w:val="16"/>
                <w:szCs w:val="16"/>
              </w:rPr>
              <w:t xml:space="preserve">1.01 </w:t>
            </w:r>
          </w:p>
          <w:p w:rsidR="00D0272C" w:rsidRPr="00525F08" w:rsidRDefault="00D0272C" w:rsidP="005C0C71">
            <w:pPr>
              <w:spacing w:before="60" w:after="60"/>
              <w:jc w:val="center"/>
              <w:rPr>
                <w:sz w:val="16"/>
                <w:szCs w:val="16"/>
              </w:rPr>
            </w:pPr>
            <w:r w:rsidRPr="00525F08">
              <w:rPr>
                <w:sz w:val="16"/>
                <w:szCs w:val="16"/>
              </w:rPr>
              <w:t xml:space="preserve"> (0.85, 1.21) </w:t>
            </w:r>
          </w:p>
        </w:tc>
        <w:tc>
          <w:tcPr>
            <w:tcW w:w="571" w:type="pct"/>
            <w:tcBorders>
              <w:top w:val="single" w:sz="6" w:space="0" w:color="auto"/>
            </w:tcBorders>
            <w:shd w:val="clear" w:color="auto" w:fill="auto"/>
          </w:tcPr>
          <w:p w:rsidR="00D0272C" w:rsidRPr="00525F08" w:rsidRDefault="00D0272C" w:rsidP="005C0C71">
            <w:pPr>
              <w:keepLines/>
              <w:spacing w:before="60" w:after="60"/>
              <w:jc w:val="center"/>
              <w:rPr>
                <w:sz w:val="16"/>
                <w:szCs w:val="16"/>
              </w:rPr>
            </w:pPr>
            <w:r w:rsidRPr="00525F08">
              <w:rPr>
                <w:sz w:val="16"/>
                <w:szCs w:val="16"/>
              </w:rPr>
              <w:t>0.94</w:t>
            </w:r>
          </w:p>
          <w:p w:rsidR="00D0272C" w:rsidRPr="00525F08" w:rsidRDefault="00D0272C" w:rsidP="005C0C71">
            <w:pPr>
              <w:keepLines/>
              <w:spacing w:before="60" w:after="60"/>
              <w:jc w:val="center"/>
              <w:rPr>
                <w:sz w:val="16"/>
                <w:szCs w:val="16"/>
              </w:rPr>
            </w:pPr>
            <w:r w:rsidRPr="00525F08">
              <w:rPr>
                <w:sz w:val="16"/>
                <w:szCs w:val="16"/>
              </w:rPr>
              <w:t xml:space="preserve"> (0.77, 1.14) </w:t>
            </w:r>
          </w:p>
        </w:tc>
      </w:tr>
      <w:tr w:rsidR="00D0272C" w:rsidRPr="009B6F12" w:rsidTr="00C7782E">
        <w:trPr>
          <w:trHeight w:val="750"/>
        </w:trPr>
        <w:tc>
          <w:tcPr>
            <w:tcW w:w="903" w:type="pct"/>
            <w:tcBorders>
              <w:top w:val="single" w:sz="6" w:space="0" w:color="auto"/>
              <w:bottom w:val="single" w:sz="6" w:space="0" w:color="auto"/>
            </w:tcBorders>
            <w:shd w:val="clear" w:color="auto" w:fill="auto"/>
            <w:vAlign w:val="center"/>
          </w:tcPr>
          <w:p w:rsidR="00D0272C" w:rsidRPr="00525F08" w:rsidRDefault="00D0272C" w:rsidP="005C0C71">
            <w:pPr>
              <w:pStyle w:val="Default"/>
              <w:rPr>
                <w:sz w:val="16"/>
                <w:szCs w:val="16"/>
              </w:rPr>
            </w:pPr>
            <w:r w:rsidRPr="00525F08">
              <w:rPr>
                <w:sz w:val="16"/>
                <w:szCs w:val="16"/>
              </w:rPr>
              <w:t xml:space="preserve">S-Methadone </w:t>
            </w:r>
          </w:p>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895" w:type="pct"/>
            <w:vMerge/>
            <w:tcBorders>
              <w:bottom w:val="single" w:sz="6" w:space="0" w:color="auto"/>
            </w:tcBorders>
            <w:shd w:val="clear" w:color="auto" w:fill="auto"/>
            <w:vAlign w:val="center"/>
          </w:tcPr>
          <w:p w:rsidR="00D0272C" w:rsidRPr="00525F08" w:rsidRDefault="00D0272C" w:rsidP="005C0C71">
            <w:pPr>
              <w:spacing w:before="60" w:after="60"/>
              <w:jc w:val="center"/>
              <w:rPr>
                <w:sz w:val="16"/>
                <w:szCs w:val="16"/>
              </w:rPr>
            </w:pPr>
          </w:p>
        </w:tc>
        <w:tc>
          <w:tcPr>
            <w:tcW w:w="608" w:type="pct"/>
            <w:tcBorders>
              <w:bottom w:val="single" w:sz="6" w:space="0" w:color="auto"/>
              <w:right w:val="single" w:sz="4"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SOF </w:t>
            </w:r>
          </w:p>
        </w:tc>
        <w:tc>
          <w:tcPr>
            <w:tcW w:w="615" w:type="pct"/>
            <w:tcBorders>
              <w:left w:val="single" w:sz="4" w:space="0" w:color="auto"/>
              <w:bottom w:val="single" w:sz="6" w:space="0" w:color="auto"/>
            </w:tcBorders>
            <w:shd w:val="clear" w:color="auto" w:fill="auto"/>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 xml:space="preserve">400 once daily </w:t>
            </w:r>
          </w:p>
        </w:tc>
        <w:tc>
          <w:tcPr>
            <w:tcW w:w="281" w:type="pct"/>
            <w:tcBorders>
              <w:bottom w:val="single" w:sz="6" w:space="0" w:color="auto"/>
            </w:tcBorders>
            <w:shd w:val="clear" w:color="auto" w:fill="auto"/>
            <w:vAlign w:val="center"/>
          </w:tcPr>
          <w:p w:rsidR="00D0272C" w:rsidRPr="00525F08" w:rsidRDefault="00D0272C" w:rsidP="005C0C71">
            <w:pPr>
              <w:pStyle w:val="Default"/>
              <w:jc w:val="center"/>
              <w:rPr>
                <w:sz w:val="16"/>
                <w:szCs w:val="16"/>
              </w:rPr>
            </w:pPr>
            <w:r w:rsidRPr="00525F08">
              <w:rPr>
                <w:sz w:val="16"/>
                <w:szCs w:val="16"/>
              </w:rPr>
              <w:t xml:space="preserve">14 </w:t>
            </w:r>
          </w:p>
          <w:p w:rsidR="00D0272C" w:rsidRPr="00525F08" w:rsidRDefault="00D0272C" w:rsidP="00C7782E">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 w:val="16"/>
                <w:szCs w:val="16"/>
              </w:rPr>
            </w:pPr>
          </w:p>
        </w:tc>
        <w:tc>
          <w:tcPr>
            <w:tcW w:w="564" w:type="pct"/>
            <w:tcBorders>
              <w:bottom w:val="single" w:sz="6" w:space="0" w:color="auto"/>
            </w:tcBorders>
            <w:shd w:val="clear" w:color="auto" w:fill="auto"/>
          </w:tcPr>
          <w:p w:rsidR="00D0272C" w:rsidRPr="00525F08" w:rsidRDefault="00D0272C" w:rsidP="005C0C71">
            <w:pPr>
              <w:spacing w:before="60" w:after="60"/>
              <w:jc w:val="center"/>
              <w:rPr>
                <w:sz w:val="16"/>
                <w:szCs w:val="16"/>
              </w:rPr>
            </w:pPr>
            <w:r w:rsidRPr="00525F08">
              <w:rPr>
                <w:sz w:val="16"/>
                <w:szCs w:val="16"/>
              </w:rPr>
              <w:t>0.95</w:t>
            </w:r>
          </w:p>
          <w:p w:rsidR="00D0272C" w:rsidRPr="00525F08" w:rsidRDefault="00D0272C" w:rsidP="005C0C71">
            <w:pPr>
              <w:spacing w:before="60" w:after="60"/>
              <w:jc w:val="center"/>
              <w:rPr>
                <w:sz w:val="16"/>
                <w:szCs w:val="16"/>
              </w:rPr>
            </w:pPr>
            <w:r w:rsidRPr="00525F08">
              <w:rPr>
                <w:sz w:val="16"/>
                <w:szCs w:val="16"/>
              </w:rPr>
              <w:t xml:space="preserve"> (0.79, 1.13) </w:t>
            </w:r>
          </w:p>
        </w:tc>
        <w:tc>
          <w:tcPr>
            <w:tcW w:w="563" w:type="pct"/>
            <w:tcBorders>
              <w:bottom w:val="single" w:sz="6" w:space="0" w:color="auto"/>
            </w:tcBorders>
            <w:shd w:val="clear" w:color="auto" w:fill="auto"/>
          </w:tcPr>
          <w:p w:rsidR="00D0272C" w:rsidRPr="00525F08" w:rsidRDefault="00D0272C" w:rsidP="005C0C71">
            <w:pPr>
              <w:spacing w:before="60" w:after="60"/>
              <w:jc w:val="center"/>
              <w:rPr>
                <w:sz w:val="16"/>
                <w:szCs w:val="16"/>
              </w:rPr>
            </w:pPr>
            <w:r w:rsidRPr="00525F08">
              <w:rPr>
                <w:sz w:val="16"/>
                <w:szCs w:val="16"/>
              </w:rPr>
              <w:t xml:space="preserve">0.95 </w:t>
            </w:r>
          </w:p>
          <w:p w:rsidR="00D0272C" w:rsidRPr="00525F08" w:rsidRDefault="00D0272C" w:rsidP="005C0C71">
            <w:pPr>
              <w:spacing w:before="60" w:after="60"/>
              <w:jc w:val="center"/>
              <w:rPr>
                <w:sz w:val="16"/>
                <w:szCs w:val="16"/>
              </w:rPr>
            </w:pPr>
            <w:r w:rsidRPr="00525F08">
              <w:rPr>
                <w:sz w:val="16"/>
                <w:szCs w:val="16"/>
              </w:rPr>
              <w:t xml:space="preserve">(0.77, 1.17) </w:t>
            </w:r>
          </w:p>
        </w:tc>
        <w:tc>
          <w:tcPr>
            <w:tcW w:w="571" w:type="pct"/>
            <w:tcBorders>
              <w:bottom w:val="single" w:sz="6" w:space="0" w:color="auto"/>
            </w:tcBorders>
            <w:shd w:val="clear" w:color="auto" w:fill="auto"/>
          </w:tcPr>
          <w:p w:rsidR="00D0272C" w:rsidRPr="00525F08" w:rsidRDefault="00D0272C" w:rsidP="005C0C71">
            <w:pPr>
              <w:keepLines/>
              <w:spacing w:before="60" w:after="60"/>
              <w:jc w:val="center"/>
              <w:rPr>
                <w:sz w:val="16"/>
                <w:szCs w:val="16"/>
              </w:rPr>
            </w:pPr>
            <w:r w:rsidRPr="00525F08">
              <w:rPr>
                <w:sz w:val="16"/>
                <w:szCs w:val="16"/>
              </w:rPr>
              <w:t xml:space="preserve">0.95 </w:t>
            </w:r>
          </w:p>
          <w:p w:rsidR="00D0272C" w:rsidRPr="00525F08" w:rsidRDefault="00D0272C" w:rsidP="005C0C71">
            <w:pPr>
              <w:keepLines/>
              <w:spacing w:before="60" w:after="60"/>
              <w:jc w:val="center"/>
              <w:rPr>
                <w:sz w:val="16"/>
                <w:szCs w:val="16"/>
              </w:rPr>
            </w:pPr>
            <w:r w:rsidRPr="00525F08">
              <w:rPr>
                <w:sz w:val="16"/>
                <w:szCs w:val="16"/>
              </w:rPr>
              <w:t xml:space="preserve">(0.74, 1.22) </w:t>
            </w:r>
          </w:p>
          <w:p w:rsidR="00D0272C" w:rsidRPr="00525F08" w:rsidRDefault="00D0272C" w:rsidP="005C0C71">
            <w:pPr>
              <w:keepLines/>
              <w:spacing w:before="60" w:after="60"/>
              <w:jc w:val="center"/>
              <w:rPr>
                <w:sz w:val="16"/>
                <w:szCs w:val="16"/>
              </w:rPr>
            </w:pPr>
          </w:p>
          <w:p w:rsidR="00D0272C" w:rsidRPr="00525F08" w:rsidRDefault="00D0272C" w:rsidP="005C0C71">
            <w:pPr>
              <w:keepLines/>
              <w:spacing w:before="60" w:after="60"/>
              <w:jc w:val="center"/>
              <w:rPr>
                <w:sz w:val="16"/>
                <w:szCs w:val="16"/>
              </w:rPr>
            </w:pPr>
          </w:p>
        </w:tc>
      </w:tr>
      <w:tr w:rsidR="00D0272C" w:rsidRPr="009B6F12" w:rsidTr="005C0C71">
        <w:trPr>
          <w:trHeight w:val="78"/>
        </w:trPr>
        <w:tc>
          <w:tcPr>
            <w:tcW w:w="903" w:type="pct"/>
            <w:tcBorders>
              <w:top w:val="single" w:sz="6" w:space="0" w:color="auto"/>
              <w:bottom w:val="single" w:sz="6" w:space="0" w:color="auto"/>
            </w:tcBorders>
            <w:shd w:val="clear" w:color="auto" w:fill="auto"/>
            <w:vAlign w:val="center"/>
          </w:tcPr>
          <w:p w:rsidR="00D0272C" w:rsidRDefault="00D0272C" w:rsidP="005C0C71">
            <w:pPr>
              <w:pStyle w:val="Default"/>
              <w:rPr>
                <w:sz w:val="16"/>
                <w:szCs w:val="16"/>
              </w:rPr>
            </w:pPr>
            <w:r>
              <w:rPr>
                <w:sz w:val="16"/>
                <w:szCs w:val="16"/>
              </w:rPr>
              <w:t xml:space="preserve">Norelgestromin </w:t>
            </w:r>
          </w:p>
          <w:p w:rsidR="00D0272C" w:rsidRDefault="00D0272C" w:rsidP="005C0C71">
            <w:pPr>
              <w:pStyle w:val="Default"/>
              <w:rPr>
                <w:sz w:val="16"/>
                <w:szCs w:val="16"/>
              </w:rPr>
            </w:pPr>
          </w:p>
        </w:tc>
        <w:tc>
          <w:tcPr>
            <w:tcW w:w="895" w:type="pct"/>
            <w:vMerge w:val="restart"/>
            <w:shd w:val="clear" w:color="auto" w:fill="auto"/>
            <w:vAlign w:val="center"/>
          </w:tcPr>
          <w:p w:rsidR="00D0272C" w:rsidRDefault="00D0272C" w:rsidP="005C0C71">
            <w:pPr>
              <w:pStyle w:val="Default"/>
              <w:jc w:val="center"/>
              <w:rPr>
                <w:sz w:val="16"/>
                <w:szCs w:val="16"/>
              </w:rPr>
            </w:pPr>
            <w:r>
              <w:rPr>
                <w:sz w:val="16"/>
                <w:szCs w:val="16"/>
              </w:rPr>
              <w:t xml:space="preserve">norgestimate 0.180/0.215/0.250/ </w:t>
            </w:r>
          </w:p>
          <w:p w:rsidR="00D0272C" w:rsidRPr="009B6F12" w:rsidRDefault="00D0272C" w:rsidP="005C0C71">
            <w:pPr>
              <w:spacing w:before="60" w:after="60"/>
              <w:jc w:val="center"/>
              <w:rPr>
                <w:sz w:val="16"/>
                <w:szCs w:val="16"/>
                <w:highlight w:val="lightGray"/>
              </w:rPr>
            </w:pPr>
            <w:r>
              <w:rPr>
                <w:sz w:val="16"/>
                <w:szCs w:val="16"/>
              </w:rPr>
              <w:t xml:space="preserve">ethinyl estradiol 0.025 once daily </w:t>
            </w:r>
          </w:p>
        </w:tc>
        <w:tc>
          <w:tcPr>
            <w:tcW w:w="608" w:type="pct"/>
            <w:vMerge w:val="restart"/>
            <w:tcBorders>
              <w:right w:val="single" w:sz="4" w:space="0" w:color="auto"/>
            </w:tcBorders>
            <w:shd w:val="clear" w:color="auto" w:fill="auto"/>
          </w:tcPr>
          <w:p w:rsidR="00D0272C"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Pr>
                <w:sz w:val="16"/>
                <w:szCs w:val="16"/>
              </w:rPr>
              <w:t xml:space="preserve">SOF/VEL/ VOX + VOX </w:t>
            </w:r>
          </w:p>
        </w:tc>
        <w:tc>
          <w:tcPr>
            <w:tcW w:w="615" w:type="pct"/>
            <w:vMerge w:val="restart"/>
            <w:tcBorders>
              <w:left w:val="single" w:sz="4" w:space="0" w:color="auto"/>
            </w:tcBorders>
            <w:shd w:val="clear" w:color="auto" w:fill="auto"/>
          </w:tcPr>
          <w:p w:rsidR="00D0272C"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Pr>
                <w:sz w:val="16"/>
                <w:szCs w:val="16"/>
              </w:rPr>
              <w:t xml:space="preserve">400/100/100 + 100 once daily </w:t>
            </w:r>
          </w:p>
        </w:tc>
        <w:tc>
          <w:tcPr>
            <w:tcW w:w="281" w:type="pct"/>
            <w:vMerge w:val="restart"/>
            <w:shd w:val="clear" w:color="auto" w:fill="auto"/>
          </w:tcPr>
          <w:p w:rsidR="00D0272C" w:rsidRDefault="00D0272C" w:rsidP="005C0C71">
            <w:pPr>
              <w:pStyle w:val="Default"/>
              <w:jc w:val="center"/>
              <w:rPr>
                <w:sz w:val="16"/>
                <w:szCs w:val="16"/>
              </w:rPr>
            </w:pPr>
            <w:r>
              <w:rPr>
                <w:sz w:val="16"/>
                <w:szCs w:val="16"/>
              </w:rPr>
              <w:t xml:space="preserve">15 </w:t>
            </w:r>
          </w:p>
        </w:tc>
        <w:tc>
          <w:tcPr>
            <w:tcW w:w="564" w:type="pct"/>
            <w:shd w:val="clear" w:color="auto" w:fill="auto"/>
          </w:tcPr>
          <w:p w:rsidR="00D0272C" w:rsidRDefault="00D0272C" w:rsidP="005C0C71">
            <w:pPr>
              <w:spacing w:before="60" w:after="60"/>
              <w:jc w:val="center"/>
              <w:rPr>
                <w:sz w:val="16"/>
                <w:szCs w:val="16"/>
              </w:rPr>
            </w:pPr>
            <w:r>
              <w:rPr>
                <w:sz w:val="16"/>
                <w:szCs w:val="16"/>
              </w:rPr>
              <w:t xml:space="preserve">1.08 </w:t>
            </w:r>
          </w:p>
          <w:p w:rsidR="00D0272C" w:rsidRDefault="00D0272C" w:rsidP="005C0C71">
            <w:pPr>
              <w:spacing w:before="60" w:after="60"/>
              <w:jc w:val="center"/>
              <w:rPr>
                <w:sz w:val="16"/>
                <w:szCs w:val="16"/>
              </w:rPr>
            </w:pPr>
            <w:r>
              <w:rPr>
                <w:sz w:val="16"/>
                <w:szCs w:val="16"/>
              </w:rPr>
              <w:t xml:space="preserve">(0.98, 1.19) </w:t>
            </w:r>
          </w:p>
        </w:tc>
        <w:tc>
          <w:tcPr>
            <w:tcW w:w="563" w:type="pct"/>
            <w:shd w:val="clear" w:color="auto" w:fill="auto"/>
          </w:tcPr>
          <w:p w:rsidR="00D0272C" w:rsidRDefault="00D0272C" w:rsidP="005C0C71">
            <w:pPr>
              <w:spacing w:before="60" w:after="60"/>
              <w:jc w:val="center"/>
              <w:rPr>
                <w:sz w:val="16"/>
                <w:szCs w:val="16"/>
              </w:rPr>
            </w:pPr>
            <w:r>
              <w:rPr>
                <w:sz w:val="16"/>
                <w:szCs w:val="16"/>
              </w:rPr>
              <w:t xml:space="preserve">1.07 </w:t>
            </w:r>
          </w:p>
          <w:p w:rsidR="00D0272C" w:rsidRDefault="00D0272C" w:rsidP="005C0C71">
            <w:pPr>
              <w:spacing w:before="60" w:after="60"/>
              <w:jc w:val="center"/>
              <w:rPr>
                <w:sz w:val="16"/>
                <w:szCs w:val="16"/>
              </w:rPr>
            </w:pPr>
            <w:r>
              <w:rPr>
                <w:sz w:val="16"/>
                <w:szCs w:val="16"/>
              </w:rPr>
              <w:t xml:space="preserve">(1.03, 1.12) </w:t>
            </w:r>
          </w:p>
        </w:tc>
        <w:tc>
          <w:tcPr>
            <w:tcW w:w="571" w:type="pct"/>
            <w:shd w:val="clear" w:color="auto" w:fill="auto"/>
          </w:tcPr>
          <w:p w:rsidR="00D0272C" w:rsidRDefault="00D0272C" w:rsidP="005C0C71">
            <w:pPr>
              <w:keepLines/>
              <w:spacing w:before="60" w:after="60"/>
              <w:jc w:val="center"/>
              <w:rPr>
                <w:sz w:val="16"/>
                <w:szCs w:val="16"/>
              </w:rPr>
            </w:pPr>
            <w:r>
              <w:rPr>
                <w:sz w:val="16"/>
                <w:szCs w:val="16"/>
              </w:rPr>
              <w:t>1.14</w:t>
            </w:r>
          </w:p>
          <w:p w:rsidR="00D0272C" w:rsidRDefault="00D0272C" w:rsidP="005C0C71">
            <w:pPr>
              <w:keepLines/>
              <w:spacing w:before="60" w:after="60"/>
              <w:jc w:val="center"/>
              <w:rPr>
                <w:sz w:val="16"/>
                <w:szCs w:val="16"/>
              </w:rPr>
            </w:pPr>
            <w:r>
              <w:rPr>
                <w:sz w:val="16"/>
                <w:szCs w:val="16"/>
              </w:rPr>
              <w:t xml:space="preserve"> (1.07, 1.21) </w:t>
            </w:r>
          </w:p>
        </w:tc>
      </w:tr>
      <w:tr w:rsidR="00D0272C" w:rsidRPr="009B6F12" w:rsidTr="005C0C71">
        <w:trPr>
          <w:trHeight w:val="76"/>
        </w:trPr>
        <w:tc>
          <w:tcPr>
            <w:tcW w:w="903" w:type="pct"/>
            <w:tcBorders>
              <w:top w:val="single" w:sz="6" w:space="0" w:color="auto"/>
              <w:bottom w:val="single" w:sz="6" w:space="0" w:color="auto"/>
            </w:tcBorders>
            <w:shd w:val="clear" w:color="auto" w:fill="auto"/>
            <w:vAlign w:val="center"/>
          </w:tcPr>
          <w:p w:rsidR="00D0272C" w:rsidRDefault="00D0272C" w:rsidP="005C0C71">
            <w:pPr>
              <w:pStyle w:val="Default"/>
              <w:rPr>
                <w:sz w:val="16"/>
                <w:szCs w:val="16"/>
              </w:rPr>
            </w:pPr>
            <w:r>
              <w:rPr>
                <w:sz w:val="16"/>
                <w:szCs w:val="16"/>
              </w:rPr>
              <w:t xml:space="preserve">Norgestrel </w:t>
            </w:r>
          </w:p>
          <w:p w:rsidR="00D0272C" w:rsidRDefault="00D0272C" w:rsidP="005C0C71">
            <w:pPr>
              <w:pStyle w:val="Default"/>
              <w:rPr>
                <w:sz w:val="16"/>
                <w:szCs w:val="16"/>
              </w:rPr>
            </w:pPr>
          </w:p>
        </w:tc>
        <w:tc>
          <w:tcPr>
            <w:tcW w:w="895" w:type="pct"/>
            <w:vMerge/>
            <w:shd w:val="clear" w:color="auto" w:fill="auto"/>
            <w:vAlign w:val="center"/>
          </w:tcPr>
          <w:p w:rsidR="00D0272C" w:rsidRPr="009B6F12" w:rsidRDefault="00D0272C" w:rsidP="005C0C71">
            <w:pPr>
              <w:spacing w:before="60" w:after="60"/>
              <w:jc w:val="center"/>
              <w:rPr>
                <w:sz w:val="16"/>
                <w:szCs w:val="16"/>
                <w:highlight w:val="lightGray"/>
              </w:rPr>
            </w:pPr>
          </w:p>
        </w:tc>
        <w:tc>
          <w:tcPr>
            <w:tcW w:w="608" w:type="pct"/>
            <w:vMerge/>
            <w:tcBorders>
              <w:right w:val="single" w:sz="4" w:space="0" w:color="auto"/>
            </w:tcBorders>
            <w:shd w:val="clear" w:color="auto" w:fill="auto"/>
          </w:tcPr>
          <w:p w:rsidR="00D0272C"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tcBorders>
            <w:shd w:val="clear" w:color="auto" w:fill="auto"/>
          </w:tcPr>
          <w:p w:rsidR="00D0272C"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shd w:val="clear" w:color="auto" w:fill="auto"/>
            <w:vAlign w:val="center"/>
          </w:tcPr>
          <w:p w:rsidR="00D0272C" w:rsidRDefault="00D0272C" w:rsidP="005C0C71">
            <w:pPr>
              <w:pStyle w:val="Default"/>
              <w:jc w:val="center"/>
              <w:rPr>
                <w:sz w:val="16"/>
                <w:szCs w:val="16"/>
              </w:rPr>
            </w:pPr>
          </w:p>
        </w:tc>
        <w:tc>
          <w:tcPr>
            <w:tcW w:w="564" w:type="pct"/>
            <w:shd w:val="clear" w:color="auto" w:fill="auto"/>
          </w:tcPr>
          <w:p w:rsidR="00D0272C" w:rsidRDefault="00D0272C" w:rsidP="005C0C71">
            <w:pPr>
              <w:spacing w:before="60" w:after="60"/>
              <w:jc w:val="center"/>
              <w:rPr>
                <w:sz w:val="16"/>
                <w:szCs w:val="16"/>
              </w:rPr>
            </w:pPr>
            <w:r>
              <w:rPr>
                <w:sz w:val="16"/>
                <w:szCs w:val="16"/>
              </w:rPr>
              <w:t xml:space="preserve">1.15 </w:t>
            </w:r>
          </w:p>
          <w:p w:rsidR="00D0272C" w:rsidRDefault="00D0272C" w:rsidP="005C0C71">
            <w:pPr>
              <w:spacing w:before="60" w:after="60"/>
              <w:jc w:val="center"/>
              <w:rPr>
                <w:sz w:val="16"/>
                <w:szCs w:val="16"/>
              </w:rPr>
            </w:pPr>
            <w:r>
              <w:rPr>
                <w:sz w:val="16"/>
                <w:szCs w:val="16"/>
              </w:rPr>
              <w:t xml:space="preserve">(1.08, 1.22) </w:t>
            </w:r>
          </w:p>
        </w:tc>
        <w:tc>
          <w:tcPr>
            <w:tcW w:w="563" w:type="pct"/>
            <w:shd w:val="clear" w:color="auto" w:fill="auto"/>
          </w:tcPr>
          <w:p w:rsidR="00D0272C" w:rsidRDefault="00D0272C" w:rsidP="005C0C71">
            <w:pPr>
              <w:spacing w:before="60" w:after="60"/>
              <w:jc w:val="center"/>
              <w:rPr>
                <w:sz w:val="16"/>
                <w:szCs w:val="16"/>
              </w:rPr>
            </w:pPr>
            <w:r>
              <w:rPr>
                <w:sz w:val="16"/>
                <w:szCs w:val="16"/>
              </w:rPr>
              <w:t xml:space="preserve">1.15 </w:t>
            </w:r>
          </w:p>
          <w:p w:rsidR="00D0272C" w:rsidRDefault="00D0272C" w:rsidP="005C0C71">
            <w:pPr>
              <w:spacing w:before="60" w:after="60"/>
              <w:jc w:val="center"/>
              <w:rPr>
                <w:sz w:val="16"/>
                <w:szCs w:val="16"/>
              </w:rPr>
            </w:pPr>
            <w:r>
              <w:rPr>
                <w:sz w:val="16"/>
                <w:szCs w:val="16"/>
              </w:rPr>
              <w:t xml:space="preserve">(1.06, 1.25) </w:t>
            </w:r>
          </w:p>
        </w:tc>
        <w:tc>
          <w:tcPr>
            <w:tcW w:w="571" w:type="pct"/>
            <w:shd w:val="clear" w:color="auto" w:fill="auto"/>
          </w:tcPr>
          <w:p w:rsidR="00D0272C" w:rsidRDefault="00D0272C" w:rsidP="005C0C71">
            <w:pPr>
              <w:keepLines/>
              <w:spacing w:before="60" w:after="60"/>
              <w:jc w:val="center"/>
              <w:rPr>
                <w:sz w:val="16"/>
                <w:szCs w:val="16"/>
              </w:rPr>
            </w:pPr>
            <w:r>
              <w:rPr>
                <w:sz w:val="16"/>
                <w:szCs w:val="16"/>
              </w:rPr>
              <w:t xml:space="preserve">1.22 </w:t>
            </w:r>
          </w:p>
          <w:p w:rsidR="00D0272C" w:rsidRDefault="00D0272C" w:rsidP="005C0C71">
            <w:pPr>
              <w:keepLines/>
              <w:spacing w:before="60" w:after="60"/>
              <w:jc w:val="center"/>
              <w:rPr>
                <w:sz w:val="16"/>
                <w:szCs w:val="16"/>
              </w:rPr>
            </w:pPr>
            <w:r>
              <w:rPr>
                <w:sz w:val="16"/>
                <w:szCs w:val="16"/>
              </w:rPr>
              <w:t xml:space="preserve">(1.11, 1.33) </w:t>
            </w:r>
          </w:p>
        </w:tc>
      </w:tr>
      <w:tr w:rsidR="00D0272C" w:rsidRPr="009B6F12" w:rsidTr="005C0C71">
        <w:trPr>
          <w:trHeight w:val="76"/>
        </w:trPr>
        <w:tc>
          <w:tcPr>
            <w:tcW w:w="903" w:type="pct"/>
            <w:tcBorders>
              <w:top w:val="single" w:sz="6" w:space="0" w:color="auto"/>
              <w:bottom w:val="single" w:sz="6" w:space="0" w:color="auto"/>
            </w:tcBorders>
            <w:shd w:val="clear" w:color="auto" w:fill="auto"/>
            <w:vAlign w:val="center"/>
          </w:tcPr>
          <w:p w:rsidR="00D0272C" w:rsidRDefault="00D0272C" w:rsidP="005C0C71">
            <w:pPr>
              <w:pStyle w:val="Default"/>
              <w:rPr>
                <w:sz w:val="16"/>
                <w:szCs w:val="16"/>
              </w:rPr>
            </w:pPr>
            <w:r>
              <w:rPr>
                <w:sz w:val="16"/>
                <w:szCs w:val="16"/>
              </w:rPr>
              <w:t xml:space="preserve">Ethinyl estradiol </w:t>
            </w:r>
          </w:p>
          <w:p w:rsidR="00D0272C" w:rsidRDefault="00D0272C" w:rsidP="005C0C71">
            <w:pPr>
              <w:pStyle w:val="Default"/>
              <w:rPr>
                <w:sz w:val="16"/>
                <w:szCs w:val="16"/>
              </w:rPr>
            </w:pPr>
          </w:p>
        </w:tc>
        <w:tc>
          <w:tcPr>
            <w:tcW w:w="895" w:type="pct"/>
            <w:vMerge/>
            <w:tcBorders>
              <w:bottom w:val="single" w:sz="6" w:space="0" w:color="auto"/>
            </w:tcBorders>
            <w:shd w:val="clear" w:color="auto" w:fill="auto"/>
            <w:vAlign w:val="center"/>
          </w:tcPr>
          <w:p w:rsidR="00D0272C" w:rsidRPr="009B6F12" w:rsidRDefault="00D0272C" w:rsidP="005C0C71">
            <w:pPr>
              <w:spacing w:before="60" w:after="60"/>
              <w:jc w:val="center"/>
              <w:rPr>
                <w:sz w:val="16"/>
                <w:szCs w:val="16"/>
                <w:highlight w:val="lightGray"/>
              </w:rPr>
            </w:pPr>
          </w:p>
        </w:tc>
        <w:tc>
          <w:tcPr>
            <w:tcW w:w="608" w:type="pct"/>
            <w:vMerge/>
            <w:tcBorders>
              <w:bottom w:val="single" w:sz="6" w:space="0" w:color="auto"/>
              <w:right w:val="single" w:sz="4" w:space="0" w:color="auto"/>
            </w:tcBorders>
            <w:shd w:val="clear" w:color="auto" w:fill="auto"/>
          </w:tcPr>
          <w:p w:rsidR="00D0272C"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615" w:type="pct"/>
            <w:vMerge/>
            <w:tcBorders>
              <w:left w:val="single" w:sz="4" w:space="0" w:color="auto"/>
              <w:bottom w:val="single" w:sz="6" w:space="0" w:color="auto"/>
            </w:tcBorders>
            <w:shd w:val="clear" w:color="auto" w:fill="auto"/>
          </w:tcPr>
          <w:p w:rsidR="00D0272C"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p>
        </w:tc>
        <w:tc>
          <w:tcPr>
            <w:tcW w:w="281" w:type="pct"/>
            <w:vMerge/>
            <w:tcBorders>
              <w:bottom w:val="single" w:sz="6" w:space="0" w:color="auto"/>
            </w:tcBorders>
            <w:shd w:val="clear" w:color="auto" w:fill="auto"/>
            <w:vAlign w:val="center"/>
          </w:tcPr>
          <w:p w:rsidR="00D0272C" w:rsidRDefault="00D0272C" w:rsidP="005C0C71">
            <w:pPr>
              <w:pStyle w:val="Default"/>
              <w:jc w:val="center"/>
              <w:rPr>
                <w:sz w:val="16"/>
                <w:szCs w:val="16"/>
              </w:rPr>
            </w:pPr>
          </w:p>
        </w:tc>
        <w:tc>
          <w:tcPr>
            <w:tcW w:w="564" w:type="pct"/>
            <w:tcBorders>
              <w:bottom w:val="single" w:sz="6" w:space="0" w:color="auto"/>
            </w:tcBorders>
            <w:shd w:val="clear" w:color="auto" w:fill="auto"/>
          </w:tcPr>
          <w:p w:rsidR="00D0272C" w:rsidRDefault="00D0272C" w:rsidP="005C0C71">
            <w:pPr>
              <w:spacing w:before="60" w:after="60"/>
              <w:jc w:val="center"/>
              <w:rPr>
                <w:sz w:val="16"/>
                <w:szCs w:val="16"/>
              </w:rPr>
            </w:pPr>
            <w:r>
              <w:rPr>
                <w:sz w:val="16"/>
                <w:szCs w:val="16"/>
              </w:rPr>
              <w:t>1.21</w:t>
            </w:r>
          </w:p>
          <w:p w:rsidR="00D0272C" w:rsidRDefault="00D0272C" w:rsidP="005C0C71">
            <w:pPr>
              <w:spacing w:before="60" w:after="60"/>
              <w:jc w:val="center"/>
              <w:rPr>
                <w:sz w:val="16"/>
                <w:szCs w:val="16"/>
              </w:rPr>
            </w:pPr>
            <w:r>
              <w:rPr>
                <w:sz w:val="16"/>
                <w:szCs w:val="16"/>
              </w:rPr>
              <w:t xml:space="preserve">(1.06, 1.38) </w:t>
            </w:r>
          </w:p>
        </w:tc>
        <w:tc>
          <w:tcPr>
            <w:tcW w:w="563" w:type="pct"/>
            <w:tcBorders>
              <w:bottom w:val="single" w:sz="6" w:space="0" w:color="auto"/>
            </w:tcBorders>
            <w:shd w:val="clear" w:color="auto" w:fill="auto"/>
          </w:tcPr>
          <w:p w:rsidR="00D0272C" w:rsidRDefault="00D0272C" w:rsidP="005C0C71">
            <w:pPr>
              <w:spacing w:before="60" w:after="60"/>
              <w:jc w:val="center"/>
              <w:rPr>
                <w:sz w:val="16"/>
                <w:szCs w:val="16"/>
              </w:rPr>
            </w:pPr>
            <w:r>
              <w:rPr>
                <w:sz w:val="16"/>
                <w:szCs w:val="16"/>
              </w:rPr>
              <w:t xml:space="preserve">1.05 </w:t>
            </w:r>
          </w:p>
          <w:p w:rsidR="00D0272C" w:rsidRDefault="00D0272C" w:rsidP="005C0C71">
            <w:pPr>
              <w:spacing w:before="60" w:after="60"/>
              <w:jc w:val="center"/>
              <w:rPr>
                <w:sz w:val="16"/>
                <w:szCs w:val="16"/>
              </w:rPr>
            </w:pPr>
            <w:r>
              <w:rPr>
                <w:sz w:val="16"/>
                <w:szCs w:val="16"/>
              </w:rPr>
              <w:t xml:space="preserve">(0.97, 1.15) </w:t>
            </w:r>
          </w:p>
        </w:tc>
        <w:tc>
          <w:tcPr>
            <w:tcW w:w="571" w:type="pct"/>
            <w:tcBorders>
              <w:bottom w:val="single" w:sz="6" w:space="0" w:color="auto"/>
            </w:tcBorders>
            <w:shd w:val="clear" w:color="auto" w:fill="auto"/>
          </w:tcPr>
          <w:p w:rsidR="00D0272C" w:rsidRDefault="00D0272C" w:rsidP="005C0C71">
            <w:pPr>
              <w:keepLines/>
              <w:spacing w:before="60" w:after="60"/>
              <w:jc w:val="center"/>
              <w:rPr>
                <w:sz w:val="16"/>
                <w:szCs w:val="16"/>
              </w:rPr>
            </w:pPr>
            <w:r>
              <w:rPr>
                <w:sz w:val="16"/>
                <w:szCs w:val="16"/>
              </w:rPr>
              <w:t>0.93</w:t>
            </w:r>
          </w:p>
          <w:p w:rsidR="00D0272C" w:rsidRDefault="00D0272C" w:rsidP="005C0C71">
            <w:pPr>
              <w:keepLines/>
              <w:spacing w:before="60" w:after="60"/>
              <w:jc w:val="center"/>
              <w:rPr>
                <w:sz w:val="16"/>
                <w:szCs w:val="16"/>
              </w:rPr>
            </w:pPr>
            <w:r>
              <w:rPr>
                <w:sz w:val="16"/>
                <w:szCs w:val="16"/>
              </w:rPr>
              <w:t xml:space="preserve"> (0.83, 1.04) </w:t>
            </w:r>
          </w:p>
        </w:tc>
      </w:tr>
      <w:tr w:rsidR="00D0272C" w:rsidRPr="00525F08" w:rsidTr="005C0C71">
        <w:trPr>
          <w:trHeight w:val="759"/>
        </w:trPr>
        <w:tc>
          <w:tcPr>
            <w:tcW w:w="903"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525F08">
              <w:rPr>
                <w:sz w:val="16"/>
                <w:szCs w:val="16"/>
              </w:rPr>
              <w:lastRenderedPageBreak/>
              <w:t>Pravastatin</w:t>
            </w:r>
          </w:p>
        </w:tc>
        <w:tc>
          <w:tcPr>
            <w:tcW w:w="895"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 xml:space="preserve">40 single dose </w:t>
            </w:r>
          </w:p>
        </w:tc>
        <w:tc>
          <w:tcPr>
            <w:tcW w:w="608" w:type="pct"/>
            <w:tcBorders>
              <w:top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SOF/VEL/</w:t>
            </w:r>
            <w:r w:rsidRPr="00525F08">
              <w:rPr>
                <w:sz w:val="16"/>
                <w:szCs w:val="16"/>
              </w:rPr>
              <w:br/>
              <w:t xml:space="preserve">VOX </w:t>
            </w:r>
            <w:r w:rsidRPr="00525F08">
              <w:rPr>
                <w:sz w:val="16"/>
                <w:szCs w:val="16"/>
              </w:rPr>
              <w:br/>
              <w:t xml:space="preserve">+ VOX </w:t>
            </w:r>
          </w:p>
        </w:tc>
        <w:tc>
          <w:tcPr>
            <w:tcW w:w="615" w:type="pct"/>
            <w:tcBorders>
              <w:top w:val="single" w:sz="6" w:space="0" w:color="auto"/>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 xml:space="preserve">400/100/100 + 100 </w:t>
            </w:r>
            <w:r w:rsidRPr="00525F08">
              <w:rPr>
                <w:sz w:val="16"/>
                <w:szCs w:val="16"/>
              </w:rPr>
              <w:br/>
            </w:r>
            <w:r>
              <w:rPr>
                <w:sz w:val="16"/>
                <w:szCs w:val="16"/>
              </w:rPr>
              <w:t>once daily</w:t>
            </w:r>
          </w:p>
        </w:tc>
        <w:tc>
          <w:tcPr>
            <w:tcW w:w="281"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19</w:t>
            </w:r>
          </w:p>
        </w:tc>
        <w:tc>
          <w:tcPr>
            <w:tcW w:w="564"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1.89</w:t>
            </w:r>
            <w:r w:rsidRPr="00525F08">
              <w:rPr>
                <w:sz w:val="16"/>
                <w:szCs w:val="16"/>
              </w:rPr>
              <w:br/>
              <w:t>(1.53, 2.34)</w:t>
            </w:r>
          </w:p>
        </w:tc>
        <w:tc>
          <w:tcPr>
            <w:tcW w:w="563"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2.16</w:t>
            </w:r>
            <w:r w:rsidRPr="00525F08">
              <w:rPr>
                <w:sz w:val="16"/>
                <w:szCs w:val="16"/>
              </w:rPr>
              <w:br/>
              <w:t>(1.79, 2.60)</w:t>
            </w:r>
          </w:p>
        </w:tc>
        <w:tc>
          <w:tcPr>
            <w:tcW w:w="571"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NA</w:t>
            </w:r>
          </w:p>
        </w:tc>
      </w:tr>
      <w:tr w:rsidR="00D0272C" w:rsidRPr="00525F08" w:rsidTr="005C0C71">
        <w:trPr>
          <w:trHeight w:val="696"/>
        </w:trPr>
        <w:tc>
          <w:tcPr>
            <w:tcW w:w="903"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525F08">
              <w:rPr>
                <w:sz w:val="16"/>
                <w:szCs w:val="16"/>
              </w:rPr>
              <w:t>Rosuvastatin</w:t>
            </w: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10 single dose</w:t>
            </w:r>
          </w:p>
        </w:tc>
        <w:tc>
          <w:tcPr>
            <w:tcW w:w="608" w:type="pct"/>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SOF/VEL/</w:t>
            </w:r>
            <w:r w:rsidRPr="00525F08">
              <w:rPr>
                <w:sz w:val="16"/>
                <w:szCs w:val="16"/>
              </w:rPr>
              <w:br/>
              <w:t xml:space="preserve">VOX </w:t>
            </w:r>
            <w:r w:rsidRPr="00525F08">
              <w:rPr>
                <w:sz w:val="16"/>
                <w:szCs w:val="16"/>
              </w:rPr>
              <w:br/>
              <w:t xml:space="preserve">+ VOX </w:t>
            </w:r>
          </w:p>
        </w:tc>
        <w:tc>
          <w:tcPr>
            <w:tcW w:w="615" w:type="pct"/>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400/100/100 + 100</w:t>
            </w:r>
            <w:r w:rsidRPr="00525F08">
              <w:rPr>
                <w:sz w:val="16"/>
                <w:szCs w:val="16"/>
              </w:rPr>
              <w:br/>
            </w:r>
            <w:r>
              <w:rPr>
                <w:sz w:val="16"/>
                <w:szCs w:val="16"/>
              </w:rPr>
              <w:t>once daily</w:t>
            </w:r>
          </w:p>
        </w:tc>
        <w:tc>
          <w:tcPr>
            <w:tcW w:w="281"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19</w:t>
            </w: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24"/>
              <w:jc w:val="center"/>
              <w:rPr>
                <w:sz w:val="16"/>
                <w:szCs w:val="16"/>
              </w:rPr>
            </w:pPr>
            <w:r w:rsidRPr="00525F08">
              <w:rPr>
                <w:sz w:val="16"/>
                <w:szCs w:val="16"/>
              </w:rPr>
              <w:t>18.88</w:t>
            </w:r>
            <w:r w:rsidRPr="00525F08">
              <w:rPr>
                <w:sz w:val="16"/>
                <w:szCs w:val="16"/>
              </w:rPr>
              <w:br/>
              <w:t>(16.23, 21.96)</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7.39</w:t>
            </w:r>
            <w:r w:rsidRPr="00525F08">
              <w:rPr>
                <w:sz w:val="16"/>
                <w:szCs w:val="16"/>
              </w:rPr>
              <w:br/>
              <w:t>(6.68 8.18)</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NA</w:t>
            </w:r>
          </w:p>
        </w:tc>
      </w:tr>
      <w:tr w:rsidR="00D0272C" w:rsidRPr="00525F08" w:rsidTr="005C0C71">
        <w:trPr>
          <w:trHeight w:val="20"/>
        </w:trPr>
        <w:tc>
          <w:tcPr>
            <w:tcW w:w="903" w:type="pct"/>
            <w:vMerge w:val="restar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525F08">
              <w:rPr>
                <w:sz w:val="16"/>
                <w:szCs w:val="16"/>
              </w:rPr>
              <w:t>Raltegravir + emtricitabine/</w:t>
            </w:r>
          </w:p>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525F08">
              <w:rPr>
                <w:sz w:val="16"/>
                <w:szCs w:val="16"/>
              </w:rPr>
              <w:t>tenofovir DF</w:t>
            </w:r>
            <w:r w:rsidRPr="00525F08">
              <w:rPr>
                <w:sz w:val="16"/>
                <w:szCs w:val="16"/>
                <w:vertAlign w:val="superscript"/>
              </w:rPr>
              <w:t xml:space="preserve"> </w:t>
            </w: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 xml:space="preserve">emtricitabine 200 once daily </w:t>
            </w:r>
          </w:p>
        </w:tc>
        <w:tc>
          <w:tcPr>
            <w:tcW w:w="608" w:type="pct"/>
            <w:vMerge w:val="restart"/>
            <w:tcBorders>
              <w:top w:val="single" w:sz="6" w:space="0" w:color="auto"/>
              <w:bottom w:val="single" w:sz="6" w:space="0" w:color="auto"/>
              <w:right w:val="single" w:sz="4"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SOF/VEL</w:t>
            </w:r>
          </w:p>
        </w:tc>
        <w:tc>
          <w:tcPr>
            <w:tcW w:w="615" w:type="pct"/>
            <w:vMerge w:val="restart"/>
            <w:tcBorders>
              <w:top w:val="single" w:sz="6" w:space="0" w:color="auto"/>
              <w:left w:val="single" w:sz="4"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400/100 once daily</w:t>
            </w:r>
          </w:p>
        </w:tc>
        <w:tc>
          <w:tcPr>
            <w:tcW w:w="281" w:type="pct"/>
            <w:vMerge w:val="restar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30</w:t>
            </w: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1.08</w:t>
            </w:r>
            <w:r w:rsidRPr="00525F08">
              <w:rPr>
                <w:sz w:val="16"/>
                <w:szCs w:val="16"/>
              </w:rPr>
              <w:br/>
              <w:t>(1.04, 1.12)</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1.05</w:t>
            </w:r>
            <w:r w:rsidRPr="00525F08">
              <w:rPr>
                <w:sz w:val="16"/>
                <w:szCs w:val="16"/>
              </w:rPr>
              <w:br/>
              <w:t>(1.03, 1.07)</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1.02</w:t>
            </w:r>
            <w:r w:rsidRPr="00525F08">
              <w:rPr>
                <w:sz w:val="16"/>
                <w:szCs w:val="16"/>
              </w:rPr>
              <w:br/>
              <w:t>(0.97, 1.08)</w:t>
            </w:r>
          </w:p>
        </w:tc>
      </w:tr>
      <w:tr w:rsidR="00D0272C" w:rsidRPr="00525F08" w:rsidTr="005C0C71">
        <w:trPr>
          <w:trHeight w:val="20"/>
        </w:trPr>
        <w:tc>
          <w:tcPr>
            <w:tcW w:w="903" w:type="pct"/>
            <w:vMerge/>
            <w:tcBorders>
              <w:top w:val="single" w:sz="6" w:space="0" w:color="auto"/>
              <w:bottom w:val="single" w:sz="6" w:space="0" w:color="auto"/>
            </w:tcBorders>
            <w:shd w:val="clear" w:color="auto" w:fill="auto"/>
            <w:vAlign w:val="center"/>
          </w:tcPr>
          <w:p w:rsidR="00D0272C" w:rsidRPr="00525F08" w:rsidDel="00227534"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tenofovir DF 300 once daily</w:t>
            </w:r>
          </w:p>
        </w:tc>
        <w:tc>
          <w:tcPr>
            <w:tcW w:w="608" w:type="pct"/>
            <w:vMerge/>
            <w:tcBorders>
              <w:top w:val="single" w:sz="6" w:space="0" w:color="auto"/>
              <w:bottom w:val="single" w:sz="6" w:space="0" w:color="auto"/>
              <w:right w:val="single" w:sz="4" w:space="0" w:color="auto"/>
            </w:tcBorders>
            <w:shd w:val="clear" w:color="auto" w:fill="auto"/>
            <w:vAlign w:val="center"/>
          </w:tcPr>
          <w:p w:rsidR="00D0272C" w:rsidRPr="00525F08" w:rsidDel="00227534"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615" w:type="pct"/>
            <w:vMerge/>
            <w:tcBorders>
              <w:top w:val="single" w:sz="6" w:space="0" w:color="auto"/>
              <w:left w:val="single" w:sz="4" w:space="0" w:color="auto"/>
              <w:bottom w:val="single" w:sz="6" w:space="0" w:color="auto"/>
            </w:tcBorders>
            <w:shd w:val="clear" w:color="auto" w:fill="auto"/>
            <w:vAlign w:val="center"/>
          </w:tcPr>
          <w:p w:rsidR="00D0272C" w:rsidRPr="00525F08" w:rsidDel="00227534"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Del="00227534"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1.46</w:t>
            </w:r>
            <w:r w:rsidRPr="00525F08">
              <w:rPr>
                <w:sz w:val="16"/>
                <w:szCs w:val="16"/>
              </w:rPr>
              <w:br/>
              <w:t>(1.39, 1.54)</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1.40</w:t>
            </w:r>
            <w:r w:rsidRPr="00525F08">
              <w:rPr>
                <w:sz w:val="16"/>
                <w:szCs w:val="16"/>
              </w:rPr>
              <w:br/>
              <w:t>(1.34, 1.45)</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1.70</w:t>
            </w:r>
            <w:r w:rsidRPr="00525F08">
              <w:rPr>
                <w:sz w:val="16"/>
                <w:szCs w:val="16"/>
              </w:rPr>
              <w:br/>
              <w:t>(1.61, 1.79)</w:t>
            </w:r>
          </w:p>
        </w:tc>
      </w:tr>
      <w:tr w:rsidR="00D0272C" w:rsidRPr="00525F08" w:rsidTr="005C0C71">
        <w:trPr>
          <w:trHeight w:val="20"/>
        </w:trPr>
        <w:tc>
          <w:tcPr>
            <w:tcW w:w="903" w:type="pct"/>
            <w:vMerge/>
            <w:tcBorders>
              <w:top w:val="single" w:sz="6" w:space="0" w:color="auto"/>
              <w:bottom w:val="single" w:sz="6" w:space="0" w:color="auto"/>
            </w:tcBorders>
            <w:shd w:val="clear" w:color="auto" w:fill="auto"/>
            <w:vAlign w:val="center"/>
          </w:tcPr>
          <w:p w:rsidR="00D0272C" w:rsidRPr="00525F08" w:rsidDel="00227534"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p>
        </w:tc>
        <w:tc>
          <w:tcPr>
            <w:tcW w:w="895"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 xml:space="preserve">raltegravir 400 twice daily </w:t>
            </w:r>
          </w:p>
        </w:tc>
        <w:tc>
          <w:tcPr>
            <w:tcW w:w="608" w:type="pct"/>
            <w:vMerge/>
            <w:tcBorders>
              <w:top w:val="single" w:sz="6" w:space="0" w:color="auto"/>
              <w:bottom w:val="single" w:sz="6" w:space="0" w:color="auto"/>
              <w:right w:val="single" w:sz="4" w:space="0" w:color="auto"/>
            </w:tcBorders>
            <w:shd w:val="clear" w:color="auto" w:fill="auto"/>
            <w:vAlign w:val="center"/>
          </w:tcPr>
          <w:p w:rsidR="00D0272C" w:rsidRPr="00525F08" w:rsidDel="00227534"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615" w:type="pct"/>
            <w:vMerge/>
            <w:tcBorders>
              <w:top w:val="single" w:sz="6" w:space="0" w:color="auto"/>
              <w:left w:val="single" w:sz="4" w:space="0" w:color="auto"/>
              <w:bottom w:val="single" w:sz="6" w:space="0" w:color="auto"/>
            </w:tcBorders>
            <w:shd w:val="clear" w:color="auto" w:fill="auto"/>
            <w:vAlign w:val="center"/>
          </w:tcPr>
          <w:p w:rsidR="00D0272C" w:rsidRPr="00525F08" w:rsidDel="00227534"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281" w:type="pct"/>
            <w:vMerge/>
            <w:tcBorders>
              <w:top w:val="single" w:sz="6" w:space="0" w:color="auto"/>
              <w:bottom w:val="single" w:sz="6" w:space="0" w:color="auto"/>
            </w:tcBorders>
            <w:shd w:val="clear" w:color="auto" w:fill="auto"/>
            <w:vAlign w:val="center"/>
          </w:tcPr>
          <w:p w:rsidR="00D0272C" w:rsidRPr="00525F08" w:rsidDel="00227534"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p>
        </w:tc>
        <w:tc>
          <w:tcPr>
            <w:tcW w:w="564"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1.03</w:t>
            </w:r>
            <w:r w:rsidRPr="00525F08">
              <w:rPr>
                <w:sz w:val="16"/>
                <w:szCs w:val="16"/>
              </w:rPr>
              <w:br/>
              <w:t>(0.74, 1.43)</w:t>
            </w:r>
          </w:p>
        </w:tc>
        <w:tc>
          <w:tcPr>
            <w:tcW w:w="563"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0.97</w:t>
            </w:r>
            <w:r w:rsidRPr="00525F08">
              <w:rPr>
                <w:sz w:val="16"/>
                <w:szCs w:val="16"/>
              </w:rPr>
              <w:br/>
              <w:t>(0.73, 1.28)</w:t>
            </w:r>
          </w:p>
        </w:tc>
        <w:tc>
          <w:tcPr>
            <w:tcW w:w="571" w:type="pct"/>
            <w:tcBorders>
              <w:top w:val="single" w:sz="6" w:space="0" w:color="auto"/>
              <w:bottom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0.79</w:t>
            </w:r>
            <w:r w:rsidRPr="00525F08">
              <w:rPr>
                <w:sz w:val="16"/>
                <w:szCs w:val="16"/>
              </w:rPr>
              <w:br/>
              <w:t>(0.42, 1.48)</w:t>
            </w:r>
          </w:p>
        </w:tc>
      </w:tr>
      <w:tr w:rsidR="00D0272C" w:rsidRPr="00525F08" w:rsidTr="005C0C71">
        <w:trPr>
          <w:trHeight w:val="684"/>
        </w:trPr>
        <w:tc>
          <w:tcPr>
            <w:tcW w:w="903"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r w:rsidRPr="00525F08">
              <w:rPr>
                <w:sz w:val="16"/>
                <w:szCs w:val="16"/>
              </w:rPr>
              <w:t>Tacrolimus</w:t>
            </w:r>
          </w:p>
        </w:tc>
        <w:tc>
          <w:tcPr>
            <w:tcW w:w="895"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5 single dose</w:t>
            </w:r>
          </w:p>
        </w:tc>
        <w:tc>
          <w:tcPr>
            <w:tcW w:w="608" w:type="pct"/>
            <w:tcBorders>
              <w:top w:val="single" w:sz="6" w:space="0" w:color="auto"/>
              <w:righ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 xml:space="preserve">SOF </w:t>
            </w:r>
          </w:p>
        </w:tc>
        <w:tc>
          <w:tcPr>
            <w:tcW w:w="615" w:type="pct"/>
            <w:tcBorders>
              <w:top w:val="single" w:sz="6" w:space="0" w:color="auto"/>
              <w:left w:val="single" w:sz="4" w:space="0" w:color="auto"/>
            </w:tcBorders>
            <w:shd w:val="clear" w:color="auto" w:fill="auto"/>
            <w:vAlign w:val="center"/>
          </w:tcPr>
          <w:p w:rsidR="00D0272C" w:rsidRPr="00525F08" w:rsidRDefault="00D0272C" w:rsidP="005C0C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400 once daily</w:t>
            </w:r>
          </w:p>
        </w:tc>
        <w:tc>
          <w:tcPr>
            <w:tcW w:w="281"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6"/>
              </w:rPr>
            </w:pPr>
            <w:r w:rsidRPr="00525F08">
              <w:rPr>
                <w:sz w:val="16"/>
                <w:szCs w:val="16"/>
              </w:rPr>
              <w:t>16</w:t>
            </w:r>
          </w:p>
        </w:tc>
        <w:tc>
          <w:tcPr>
            <w:tcW w:w="564"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0.73</w:t>
            </w:r>
            <w:r w:rsidRPr="00525F08">
              <w:rPr>
                <w:sz w:val="16"/>
                <w:szCs w:val="16"/>
              </w:rPr>
              <w:br/>
              <w:t>(0.59, 0.90)</w:t>
            </w:r>
          </w:p>
        </w:tc>
        <w:tc>
          <w:tcPr>
            <w:tcW w:w="563"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1.09</w:t>
            </w:r>
            <w:r w:rsidRPr="00525F08">
              <w:rPr>
                <w:sz w:val="16"/>
                <w:szCs w:val="16"/>
              </w:rPr>
              <w:br/>
              <w:t>(0.84, 1.40)</w:t>
            </w:r>
          </w:p>
        </w:tc>
        <w:tc>
          <w:tcPr>
            <w:tcW w:w="571" w:type="pct"/>
            <w:tcBorders>
              <w:top w:val="single" w:sz="6" w:space="0" w:color="auto"/>
            </w:tcBorders>
            <w:shd w:val="clear" w:color="auto" w:fill="auto"/>
            <w:vAlign w:val="center"/>
          </w:tcPr>
          <w:p w:rsidR="00D0272C" w:rsidRPr="00525F08" w:rsidRDefault="00D0272C"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 w:val="16"/>
                <w:szCs w:val="16"/>
              </w:rPr>
            </w:pPr>
            <w:r w:rsidRPr="00525F08">
              <w:rPr>
                <w:sz w:val="16"/>
                <w:szCs w:val="16"/>
              </w:rPr>
              <w:t>NA</w:t>
            </w:r>
          </w:p>
        </w:tc>
      </w:tr>
    </w:tbl>
    <w:p w:rsidR="00D0272C" w:rsidRPr="00D0272C" w:rsidRDefault="00D0272C" w:rsidP="00D0272C">
      <w:pPr>
        <w:spacing w:after="0"/>
        <w:rPr>
          <w:rFonts w:ascii="Times New Roman" w:hAnsi="Times New Roman" w:cs="Times New Roman"/>
          <w:sz w:val="16"/>
          <w:szCs w:val="16"/>
        </w:rPr>
      </w:pPr>
      <w:r w:rsidRPr="00D0272C">
        <w:rPr>
          <w:rFonts w:ascii="Times New Roman" w:hAnsi="Times New Roman" w:cs="Times New Roman"/>
          <w:sz w:val="16"/>
          <w:szCs w:val="16"/>
        </w:rPr>
        <w:t>NA = not available/not applicable</w:t>
      </w:r>
    </w:p>
    <w:p w:rsidR="00D0272C" w:rsidRPr="00D0272C" w:rsidRDefault="00D0272C" w:rsidP="00D0272C">
      <w:pPr>
        <w:spacing w:after="0"/>
        <w:ind w:left="270" w:hanging="270"/>
        <w:rPr>
          <w:rFonts w:ascii="Times New Roman" w:hAnsi="Times New Roman" w:cs="Times New Roman"/>
          <w:sz w:val="16"/>
          <w:szCs w:val="16"/>
        </w:rPr>
      </w:pPr>
      <w:r w:rsidRPr="00D0272C">
        <w:rPr>
          <w:rFonts w:ascii="Times New Roman" w:hAnsi="Times New Roman" w:cs="Times New Roman"/>
          <w:sz w:val="16"/>
          <w:szCs w:val="16"/>
        </w:rPr>
        <w:t>a.</w:t>
      </w:r>
      <w:r w:rsidRPr="00D0272C">
        <w:rPr>
          <w:rFonts w:ascii="Times New Roman" w:hAnsi="Times New Roman" w:cs="Times New Roman"/>
          <w:sz w:val="16"/>
          <w:szCs w:val="16"/>
        </w:rPr>
        <w:tab/>
        <w:t>All interaction studies conducted in healthy volunteers.</w:t>
      </w:r>
    </w:p>
    <w:p w:rsidR="00D0272C" w:rsidRPr="00D0272C" w:rsidRDefault="00D0272C" w:rsidP="00D0272C">
      <w:pPr>
        <w:spacing w:after="0"/>
        <w:ind w:left="270" w:hanging="270"/>
        <w:rPr>
          <w:rFonts w:ascii="Times New Roman" w:hAnsi="Times New Roman" w:cs="Times New Roman"/>
          <w:sz w:val="16"/>
          <w:szCs w:val="16"/>
        </w:rPr>
      </w:pPr>
      <w:r w:rsidRPr="00D0272C">
        <w:rPr>
          <w:rFonts w:ascii="Times New Roman" w:hAnsi="Times New Roman" w:cs="Times New Roman"/>
          <w:sz w:val="16"/>
          <w:szCs w:val="16"/>
        </w:rPr>
        <w:t>b.</w:t>
      </w:r>
      <w:r w:rsidRPr="00D0272C">
        <w:rPr>
          <w:rFonts w:ascii="Times New Roman" w:hAnsi="Times New Roman" w:cs="Times New Roman"/>
          <w:sz w:val="16"/>
          <w:szCs w:val="16"/>
        </w:rPr>
        <w:tab/>
        <w:t>Comparison based on exposures when administered as darunavir + ritonavir + emtricitabine/tenofovir DF.</w:t>
      </w:r>
    </w:p>
    <w:p w:rsidR="00D0272C" w:rsidRPr="00D0272C" w:rsidRDefault="00D0272C" w:rsidP="00D0272C">
      <w:pPr>
        <w:spacing w:after="0"/>
        <w:ind w:left="270" w:hanging="270"/>
        <w:rPr>
          <w:rFonts w:ascii="Times New Roman" w:hAnsi="Times New Roman" w:cs="Times New Roman"/>
          <w:sz w:val="16"/>
          <w:szCs w:val="16"/>
        </w:rPr>
      </w:pPr>
      <w:r w:rsidRPr="00D0272C">
        <w:rPr>
          <w:rFonts w:ascii="Times New Roman" w:hAnsi="Times New Roman" w:cs="Times New Roman"/>
          <w:sz w:val="16"/>
          <w:szCs w:val="16"/>
        </w:rPr>
        <w:t>c.</w:t>
      </w:r>
      <w:r w:rsidRPr="00D0272C">
        <w:rPr>
          <w:rFonts w:ascii="Times New Roman" w:hAnsi="Times New Roman" w:cs="Times New Roman"/>
          <w:sz w:val="16"/>
          <w:szCs w:val="16"/>
        </w:rPr>
        <w:tab/>
        <w:t>Administered as ATRIPLA (efavirenz, emtricitabine, and tenofovir DF fixed-dose combination).</w:t>
      </w:r>
    </w:p>
    <w:p w:rsidR="00D0272C" w:rsidRPr="00D0272C" w:rsidRDefault="00D0272C" w:rsidP="00D0272C">
      <w:pPr>
        <w:spacing w:after="0"/>
        <w:ind w:left="270" w:hanging="270"/>
        <w:rPr>
          <w:rFonts w:ascii="Times New Roman" w:hAnsi="Times New Roman" w:cs="Times New Roman"/>
          <w:sz w:val="16"/>
          <w:szCs w:val="16"/>
        </w:rPr>
      </w:pPr>
      <w:r w:rsidRPr="00D0272C">
        <w:rPr>
          <w:rFonts w:ascii="Times New Roman" w:hAnsi="Times New Roman" w:cs="Times New Roman"/>
          <w:sz w:val="16"/>
          <w:szCs w:val="16"/>
        </w:rPr>
        <w:t>d.</w:t>
      </w:r>
      <w:r w:rsidRPr="00D0272C">
        <w:rPr>
          <w:rFonts w:ascii="Times New Roman" w:hAnsi="Times New Roman" w:cs="Times New Roman"/>
          <w:sz w:val="16"/>
          <w:szCs w:val="16"/>
        </w:rPr>
        <w:tab/>
        <w:t>Administered as GENVOYA (elvitegravir, cobicistat, emtricitabine, and tenofovir alafenamide fixed-dose combination).</w:t>
      </w:r>
    </w:p>
    <w:p w:rsidR="00D0272C" w:rsidRPr="00013985" w:rsidRDefault="00D0272C" w:rsidP="00013985">
      <w:pPr>
        <w:spacing w:after="0"/>
        <w:ind w:left="270" w:hanging="270"/>
        <w:rPr>
          <w:rFonts w:ascii="Times New Roman" w:hAnsi="Times New Roman" w:cs="Times New Roman"/>
          <w:sz w:val="16"/>
          <w:szCs w:val="16"/>
        </w:rPr>
      </w:pPr>
      <w:r w:rsidRPr="00D0272C">
        <w:rPr>
          <w:rFonts w:ascii="Times New Roman" w:hAnsi="Times New Roman" w:cs="Times New Roman"/>
          <w:sz w:val="16"/>
          <w:szCs w:val="16"/>
        </w:rPr>
        <w:t>e.</w:t>
      </w:r>
      <w:r w:rsidRPr="00D0272C">
        <w:rPr>
          <w:rFonts w:ascii="Times New Roman" w:hAnsi="Times New Roman" w:cs="Times New Roman"/>
          <w:sz w:val="16"/>
          <w:szCs w:val="16"/>
        </w:rPr>
        <w:tab/>
        <w:t>Administered as ODEFSEY (emtricitabine, rilpivirine, and tenofovir alafe</w:t>
      </w:r>
      <w:r w:rsidR="00013985">
        <w:rPr>
          <w:rFonts w:ascii="Times New Roman" w:hAnsi="Times New Roman" w:cs="Times New Roman"/>
          <w:sz w:val="16"/>
          <w:szCs w:val="16"/>
        </w:rPr>
        <w:t>namide fixed-dose combination).</w:t>
      </w:r>
    </w:p>
    <w:p w:rsidR="00D0272C" w:rsidRDefault="00D0272C" w:rsidP="00D0272C">
      <w:pPr>
        <w:rPr>
          <w:rFonts w:ascii="Times New Roman" w:hAnsi="Times New Roman" w:cs="Times New Roman"/>
          <w:sz w:val="24"/>
          <w:szCs w:val="24"/>
          <w:u w:val="single"/>
        </w:rPr>
      </w:pPr>
    </w:p>
    <w:p w:rsidR="00013985" w:rsidRPr="00CF03D0" w:rsidRDefault="00013985" w:rsidP="00CF03D0">
      <w:pPr>
        <w:pStyle w:val="Heading2"/>
        <w:rPr>
          <w:rFonts w:ascii="Times New Roman" w:hAnsi="Times New Roman" w:cs="Times New Roman"/>
        </w:rPr>
      </w:pPr>
      <w:r w:rsidRPr="00CF03D0">
        <w:rPr>
          <w:rFonts w:ascii="Times New Roman" w:hAnsi="Times New Roman" w:cs="Times New Roman"/>
        </w:rPr>
        <w:t>FERTILITY, PREGNANCY AND LACTATION</w:t>
      </w:r>
    </w:p>
    <w:p w:rsidR="001A3992" w:rsidRPr="00CF03D0" w:rsidRDefault="001A3992" w:rsidP="00EF5EB5">
      <w:pPr>
        <w:pStyle w:val="Heading3"/>
        <w:spacing w:before="0" w:after="120"/>
        <w:ind w:left="0"/>
        <w:rPr>
          <w:rFonts w:ascii="Times New Roman" w:hAnsi="Times New Roman" w:cs="Times New Roman"/>
        </w:rPr>
      </w:pPr>
      <w:r w:rsidRPr="00CF03D0">
        <w:rPr>
          <w:rFonts w:ascii="Times New Roman" w:hAnsi="Times New Roman" w:cs="Times New Roman"/>
        </w:rPr>
        <w:t>Effects on fertility</w:t>
      </w:r>
    </w:p>
    <w:p w:rsidR="002D2985" w:rsidRPr="00EF5EB5" w:rsidRDefault="002D2985" w:rsidP="00013985">
      <w:pPr>
        <w:spacing w:before="120" w:after="240" w:line="240" w:lineRule="auto"/>
        <w:rPr>
          <w:rFonts w:ascii="Times New Roman" w:hAnsi="Times New Roman" w:cs="Times New Roman"/>
          <w:sz w:val="24"/>
          <w:szCs w:val="24"/>
        </w:rPr>
      </w:pPr>
      <w:r w:rsidRPr="007F5911">
        <w:rPr>
          <w:rFonts w:ascii="Times New Roman" w:hAnsi="Times New Roman" w:cs="Times New Roman"/>
          <w:i/>
          <w:sz w:val="24"/>
          <w:szCs w:val="24"/>
        </w:rPr>
        <w:t>Sofosbuvir</w:t>
      </w:r>
      <w:r w:rsidRPr="00EF5EB5">
        <w:rPr>
          <w:rFonts w:ascii="Times New Roman" w:hAnsi="Times New Roman" w:cs="Times New Roman"/>
          <w:sz w:val="24"/>
          <w:szCs w:val="24"/>
        </w:rPr>
        <w:t>:  Sofosbuvir had no effects on embryo-fetal viability or on fertility when evaluated in rats. At the highest dose tested, AUC exposure to the predominant circulating metabolite GS-331007 was approximately 4-fold the exposure in humans at the recommended clinical dose.</w:t>
      </w:r>
    </w:p>
    <w:p w:rsidR="002D2985" w:rsidRPr="00EF5EB5" w:rsidRDefault="002D2985" w:rsidP="00013985">
      <w:pPr>
        <w:spacing w:before="120" w:after="240" w:line="240" w:lineRule="auto"/>
        <w:rPr>
          <w:rFonts w:ascii="Times New Roman" w:hAnsi="Times New Roman" w:cs="Times New Roman"/>
          <w:sz w:val="24"/>
          <w:szCs w:val="24"/>
        </w:rPr>
      </w:pPr>
      <w:r w:rsidRPr="007F5911">
        <w:rPr>
          <w:rFonts w:ascii="Times New Roman" w:hAnsi="Times New Roman" w:cs="Times New Roman"/>
          <w:i/>
          <w:sz w:val="24"/>
          <w:szCs w:val="24"/>
        </w:rPr>
        <w:t>Velpatasvir</w:t>
      </w:r>
      <w:r w:rsidRPr="00EF5EB5">
        <w:rPr>
          <w:rFonts w:ascii="Times New Roman" w:hAnsi="Times New Roman" w:cs="Times New Roman"/>
          <w:sz w:val="24"/>
          <w:szCs w:val="24"/>
        </w:rPr>
        <w:t>: Velpatasvir had no effects on embryo-fetal viability or on fertility when evaluated in rats. At the highest dose tested, velpatasvir exposure was approximately 4-fold the exposure in humans at the recommended clinical dose.</w:t>
      </w:r>
    </w:p>
    <w:p w:rsidR="002D2985" w:rsidRPr="00EF5EB5" w:rsidRDefault="002D2985" w:rsidP="00013985">
      <w:pPr>
        <w:spacing w:before="120" w:after="240" w:line="240" w:lineRule="auto"/>
        <w:rPr>
          <w:rFonts w:ascii="Times New Roman" w:hAnsi="Times New Roman" w:cs="Times New Roman"/>
          <w:sz w:val="24"/>
          <w:szCs w:val="24"/>
        </w:rPr>
      </w:pPr>
      <w:r w:rsidRPr="007F5911">
        <w:rPr>
          <w:rFonts w:ascii="Times New Roman" w:hAnsi="Times New Roman" w:cs="Times New Roman"/>
          <w:i/>
          <w:sz w:val="24"/>
          <w:szCs w:val="24"/>
        </w:rPr>
        <w:t>Voxilaprevir</w:t>
      </w:r>
      <w:r w:rsidRPr="00EF5EB5">
        <w:rPr>
          <w:rFonts w:ascii="Times New Roman" w:hAnsi="Times New Roman" w:cs="Times New Roman"/>
          <w:sz w:val="24"/>
          <w:szCs w:val="24"/>
        </w:rPr>
        <w:t>: Voxilaprevir had no effects on embryo-fetal viability or on fertility when evaluated in rats. At the highest dose tested, voxilaprevir exposure was approximately 149–fold the exposure in humans at the recommended clinical dose.</w:t>
      </w:r>
    </w:p>
    <w:p w:rsidR="001A3992" w:rsidRPr="00CF03D0" w:rsidRDefault="001A3992" w:rsidP="00013985">
      <w:pPr>
        <w:pStyle w:val="Text1"/>
        <w:rPr>
          <w:b/>
          <w:sz w:val="22"/>
          <w:szCs w:val="22"/>
        </w:rPr>
      </w:pPr>
      <w:r w:rsidRPr="00CF03D0">
        <w:rPr>
          <w:b/>
          <w:sz w:val="22"/>
          <w:szCs w:val="22"/>
        </w:rPr>
        <w:t xml:space="preserve">Use in pregnancy </w:t>
      </w:r>
      <w:r w:rsidR="005B2812" w:rsidRPr="00CF03D0">
        <w:rPr>
          <w:b/>
          <w:sz w:val="22"/>
          <w:szCs w:val="22"/>
        </w:rPr>
        <w:t xml:space="preserve">– Pregnancy Category </w:t>
      </w:r>
      <w:r w:rsidR="00EF5EB5" w:rsidRPr="00CF03D0">
        <w:rPr>
          <w:b/>
          <w:sz w:val="22"/>
          <w:szCs w:val="22"/>
        </w:rPr>
        <w:t>B1</w:t>
      </w:r>
    </w:p>
    <w:p w:rsidR="002D2985" w:rsidRPr="00EF5EB5" w:rsidRDefault="002D2985" w:rsidP="00013985">
      <w:pPr>
        <w:spacing w:before="120" w:after="240" w:line="240" w:lineRule="auto"/>
        <w:rPr>
          <w:rFonts w:ascii="Times New Roman" w:hAnsi="Times New Roman" w:cs="Times New Roman"/>
          <w:sz w:val="24"/>
          <w:szCs w:val="24"/>
        </w:rPr>
      </w:pPr>
      <w:r w:rsidRPr="00EF5EB5">
        <w:rPr>
          <w:rFonts w:ascii="Times New Roman" w:hAnsi="Times New Roman" w:cs="Times New Roman"/>
          <w:sz w:val="24"/>
          <w:szCs w:val="24"/>
        </w:rPr>
        <w:t xml:space="preserve">There are no adequate and well-controlled studies with VOSEVI in pregnant women. </w:t>
      </w:r>
    </w:p>
    <w:p w:rsidR="002D2985" w:rsidRPr="00EF5EB5" w:rsidRDefault="002D2985" w:rsidP="00013985">
      <w:pPr>
        <w:spacing w:before="120" w:after="240" w:line="240" w:lineRule="auto"/>
        <w:rPr>
          <w:rFonts w:ascii="Times New Roman" w:hAnsi="Times New Roman" w:cs="Times New Roman"/>
          <w:sz w:val="24"/>
          <w:szCs w:val="24"/>
        </w:rPr>
      </w:pPr>
      <w:r w:rsidRPr="00EF5EB5">
        <w:rPr>
          <w:rFonts w:ascii="Times New Roman" w:hAnsi="Times New Roman" w:cs="Times New Roman"/>
          <w:sz w:val="24"/>
          <w:szCs w:val="24"/>
        </w:rPr>
        <w:t>In animal reproduction studies, no evidence of adverse developmental outcomes was observed with the administration of sofosbuvir, velpatasvir or voxilaprevir.</w:t>
      </w:r>
    </w:p>
    <w:p w:rsidR="002D2985" w:rsidRPr="00EF5EB5" w:rsidRDefault="002D2985" w:rsidP="00013985">
      <w:pPr>
        <w:spacing w:before="120" w:after="240" w:line="240" w:lineRule="auto"/>
        <w:rPr>
          <w:rFonts w:ascii="Times New Roman" w:hAnsi="Times New Roman" w:cs="Times New Roman"/>
          <w:sz w:val="24"/>
          <w:szCs w:val="24"/>
        </w:rPr>
      </w:pPr>
      <w:r w:rsidRPr="00EF5EB5">
        <w:rPr>
          <w:rFonts w:ascii="Times New Roman" w:hAnsi="Times New Roman" w:cs="Times New Roman"/>
          <w:i/>
          <w:color w:val="000000"/>
          <w:sz w:val="24"/>
          <w:szCs w:val="24"/>
        </w:rPr>
        <w:t>Sofosbuvir</w:t>
      </w:r>
      <w:r w:rsidRPr="00EF5EB5">
        <w:rPr>
          <w:rFonts w:ascii="Times New Roman" w:hAnsi="Times New Roman" w:cs="Times New Roman"/>
          <w:sz w:val="24"/>
          <w:szCs w:val="24"/>
        </w:rPr>
        <w:t xml:space="preserve">:  No effect on fetal development has been observed in rats and rabbits at the highest doses tested. In the rat and rabbit, exposure to the predominant circulating metabolite </w:t>
      </w:r>
      <w:r w:rsidRPr="00EF5EB5">
        <w:rPr>
          <w:rFonts w:ascii="Times New Roman" w:hAnsi="Times New Roman" w:cs="Times New Roman"/>
          <w:sz w:val="24"/>
          <w:szCs w:val="24"/>
        </w:rPr>
        <w:lastRenderedPageBreak/>
        <w:t xml:space="preserve">GS-331007 was approximately 6-fold and 16-fold the exposure in humans at the recommended clinical dose, respectively. Sofosbuvir had no adverse effects on behaviour, reproduction, or development of the offspring in the rat pre- and post-natal development study at AUC exposures approximately 7-fold higher than the human exposure at the recommended clinical dose.  </w:t>
      </w:r>
    </w:p>
    <w:p w:rsidR="002D2985" w:rsidRPr="00EF5EB5" w:rsidRDefault="002D2985" w:rsidP="00013985">
      <w:pPr>
        <w:spacing w:before="120" w:after="240" w:line="240" w:lineRule="auto"/>
        <w:rPr>
          <w:rFonts w:ascii="Times New Roman" w:hAnsi="Times New Roman" w:cs="Times New Roman"/>
          <w:sz w:val="24"/>
          <w:szCs w:val="24"/>
        </w:rPr>
      </w:pPr>
      <w:r w:rsidRPr="00EF5EB5">
        <w:rPr>
          <w:rFonts w:ascii="Times New Roman" w:hAnsi="Times New Roman" w:cs="Times New Roman"/>
          <w:i/>
          <w:sz w:val="24"/>
          <w:szCs w:val="24"/>
        </w:rPr>
        <w:t>Velpatasvir</w:t>
      </w:r>
      <w:r w:rsidRPr="00EF5EB5">
        <w:rPr>
          <w:rFonts w:ascii="Times New Roman" w:hAnsi="Times New Roman" w:cs="Times New Roman"/>
          <w:sz w:val="24"/>
          <w:szCs w:val="24"/>
        </w:rPr>
        <w:t>:  No effects on fetal development have been observed in mice, rats and rabbits at the highest doses tested. In the mouse, rat and rabbit, AUC exposure to velpatasvir was approximately 23-, 4-, and 0.5-fold, respectively, the exposure in humans at the recommended clinical dose.  Velpatasvir had no adverse effects on behaviour, reproduction, or development of the offspring in the rat pre- and post-natal development study at AUC exposures approximately 3-fold higher, respectively than the human exposure at the recommended clinical dose.</w:t>
      </w:r>
    </w:p>
    <w:p w:rsidR="002D2985" w:rsidRPr="00EF5EB5" w:rsidRDefault="002D2985" w:rsidP="00013985">
      <w:pPr>
        <w:spacing w:before="120" w:after="240" w:line="240" w:lineRule="auto"/>
        <w:rPr>
          <w:rFonts w:ascii="Times New Roman" w:hAnsi="Times New Roman" w:cs="Times New Roman"/>
          <w:sz w:val="24"/>
          <w:szCs w:val="24"/>
        </w:rPr>
      </w:pPr>
      <w:r w:rsidRPr="00EF5EB5">
        <w:rPr>
          <w:rFonts w:ascii="Times New Roman" w:hAnsi="Times New Roman" w:cs="Times New Roman"/>
          <w:i/>
          <w:sz w:val="24"/>
          <w:szCs w:val="24"/>
        </w:rPr>
        <w:t xml:space="preserve">Voxilaprevir: </w:t>
      </w:r>
      <w:r w:rsidRPr="00EF5EB5">
        <w:rPr>
          <w:rFonts w:ascii="Times New Roman" w:hAnsi="Times New Roman" w:cs="Times New Roman"/>
          <w:sz w:val="24"/>
          <w:szCs w:val="24"/>
        </w:rPr>
        <w:t xml:space="preserve"> No effects on fetal development have been observed in rats and rabbits at the highest doses tested. In the rat and rabbit AUC exposures to voxilaprevir were approximately 141- and 4-fold higher, respectively than the human exposure at the recommended clinical dose. Voxilaprevir had no adverse effects on behavior, reproduction, or development of the offspring in the rat pre- and post-natal development study at AUC exposures approximately 238-fold higher than the human exposure at the recommended clinical dose.</w:t>
      </w:r>
    </w:p>
    <w:p w:rsidR="002D2985" w:rsidRPr="00EF5EB5" w:rsidRDefault="002D2985" w:rsidP="00013985">
      <w:pPr>
        <w:spacing w:before="120" w:after="240" w:line="240" w:lineRule="auto"/>
        <w:rPr>
          <w:rFonts w:ascii="Times New Roman" w:hAnsi="Times New Roman" w:cs="Times New Roman"/>
          <w:sz w:val="24"/>
          <w:szCs w:val="24"/>
        </w:rPr>
      </w:pPr>
      <w:r w:rsidRPr="00EF5EB5">
        <w:rPr>
          <w:rFonts w:ascii="Times New Roman" w:hAnsi="Times New Roman" w:cs="Times New Roman"/>
          <w:sz w:val="24"/>
          <w:szCs w:val="24"/>
        </w:rPr>
        <w:t>Because animal reproduction studies are not always predictive of human response, VOSEVI should be used during pregnancy only if the potential benefit justifies the potential risk to the fetus.</w:t>
      </w:r>
    </w:p>
    <w:p w:rsidR="001A3992" w:rsidRPr="00E61F9C" w:rsidRDefault="001A3992" w:rsidP="005575AC">
      <w:pPr>
        <w:pStyle w:val="Heading3"/>
        <w:spacing w:before="0" w:after="120"/>
        <w:ind w:left="0"/>
        <w:rPr>
          <w:rFonts w:ascii="Times New Roman" w:hAnsi="Times New Roman" w:cs="Times New Roman"/>
        </w:rPr>
      </w:pPr>
      <w:r w:rsidRPr="00E61F9C">
        <w:rPr>
          <w:rFonts w:ascii="Times New Roman" w:hAnsi="Times New Roman" w:cs="Times New Roman"/>
        </w:rPr>
        <w:t>Use in lactation</w:t>
      </w:r>
    </w:p>
    <w:p w:rsidR="002D2985" w:rsidRPr="005575AC" w:rsidRDefault="002D2985" w:rsidP="00013985">
      <w:pPr>
        <w:spacing w:before="120" w:after="240" w:line="240" w:lineRule="auto"/>
        <w:rPr>
          <w:rFonts w:ascii="Times New Roman" w:hAnsi="Times New Roman" w:cs="Times New Roman"/>
          <w:sz w:val="24"/>
          <w:szCs w:val="24"/>
        </w:rPr>
      </w:pPr>
      <w:r w:rsidRPr="005575AC">
        <w:rPr>
          <w:rFonts w:ascii="Times New Roman" w:hAnsi="Times New Roman" w:cs="Times New Roman"/>
          <w:sz w:val="24"/>
          <w:szCs w:val="24"/>
        </w:rPr>
        <w:t xml:space="preserve">It is not known whether sofosbuvir, velpatasvir or voxilaprevir or their metabolites are present in human breast milk. </w:t>
      </w:r>
    </w:p>
    <w:p w:rsidR="002D2985" w:rsidRDefault="002D2985" w:rsidP="00013985">
      <w:pPr>
        <w:spacing w:before="120" w:after="240" w:line="240" w:lineRule="auto"/>
        <w:rPr>
          <w:rFonts w:ascii="Times New Roman" w:hAnsi="Times New Roman" w:cs="Times New Roman"/>
          <w:sz w:val="24"/>
          <w:szCs w:val="24"/>
        </w:rPr>
      </w:pPr>
      <w:r w:rsidRPr="005575AC">
        <w:rPr>
          <w:rFonts w:ascii="Times New Roman" w:hAnsi="Times New Roman" w:cs="Times New Roman"/>
          <w:sz w:val="24"/>
          <w:szCs w:val="24"/>
        </w:rPr>
        <w:t>The predominant circulating metabolite of sofosbuvir (GS-331007) was the primary component observed in the milk of lactating rats, without effect on nursing pups. Velpatasvir was present in the milk of lactating rats, without clear effects on nursing pups. When administered to lactating rats, voxilaprevir was detected in the plasma of nursing pups. The development and health benefits of breastfeeding should be considered along with the mother’s clinical need for VOSEVI and any potential adverse effects on the breastfed infant from VOSEVI or from the underlying maternal condition</w:t>
      </w:r>
    </w:p>
    <w:p w:rsidR="00013985" w:rsidRPr="00CF03D0" w:rsidRDefault="00013985" w:rsidP="00CF03D0">
      <w:pPr>
        <w:pStyle w:val="Heading2"/>
        <w:rPr>
          <w:rFonts w:ascii="Times New Roman" w:hAnsi="Times New Roman" w:cs="Times New Roman"/>
        </w:rPr>
      </w:pPr>
      <w:r w:rsidRPr="00CF03D0">
        <w:rPr>
          <w:rFonts w:ascii="Times New Roman" w:hAnsi="Times New Roman" w:cs="Times New Roman"/>
        </w:rPr>
        <w:t>EFFECTS ON ABILITY TO DRIVE AND USE MACHINES</w:t>
      </w:r>
    </w:p>
    <w:p w:rsidR="002D2985" w:rsidRDefault="002D2985" w:rsidP="00013985">
      <w:pPr>
        <w:pStyle w:val="Text1"/>
        <w:rPr>
          <w:szCs w:val="24"/>
        </w:rPr>
      </w:pPr>
      <w:r w:rsidRPr="00525F08">
        <w:rPr>
          <w:szCs w:val="24"/>
        </w:rPr>
        <w:t xml:space="preserve">No studies on the effects of </w:t>
      </w:r>
      <w:r>
        <w:rPr>
          <w:szCs w:val="24"/>
        </w:rPr>
        <w:t>VOSEVI</w:t>
      </w:r>
      <w:r w:rsidRPr="00525F08">
        <w:rPr>
          <w:szCs w:val="24"/>
        </w:rPr>
        <w:t xml:space="preserve"> on the ability to drive and use machines have been performed. </w:t>
      </w:r>
    </w:p>
    <w:p w:rsidR="00013985" w:rsidRPr="00CF03D0" w:rsidRDefault="00013985" w:rsidP="00CF03D0">
      <w:pPr>
        <w:pStyle w:val="Heading2"/>
        <w:rPr>
          <w:rFonts w:ascii="Times New Roman" w:hAnsi="Times New Roman" w:cs="Times New Roman"/>
        </w:rPr>
      </w:pPr>
      <w:r w:rsidRPr="00CF03D0">
        <w:rPr>
          <w:rFonts w:ascii="Times New Roman" w:hAnsi="Times New Roman" w:cs="Times New Roman"/>
        </w:rPr>
        <w:t>ADVERSE EFFECTS (UNDESIRABLE EFFECTS)</w:t>
      </w:r>
    </w:p>
    <w:p w:rsidR="00013985" w:rsidRPr="00013985" w:rsidRDefault="00013985" w:rsidP="00013985">
      <w:pPr>
        <w:spacing w:before="120" w:after="240" w:line="240" w:lineRule="auto"/>
        <w:rPr>
          <w:rFonts w:ascii="Times New Roman" w:hAnsi="Times New Roman" w:cs="Times New Roman"/>
          <w:sz w:val="24"/>
          <w:szCs w:val="24"/>
          <w:lang w:val="en"/>
        </w:rPr>
      </w:pPr>
      <w:r w:rsidRPr="00013985">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013985">
          <w:rPr>
            <w:rStyle w:val="Hyperlink"/>
            <w:rFonts w:ascii="Times New Roman" w:hAnsi="Times New Roman" w:cs="Times New Roman"/>
            <w:sz w:val="24"/>
            <w:szCs w:val="24"/>
            <w:lang w:val="en"/>
          </w:rPr>
          <w:t>www.tga.gov.au/reporting-problems</w:t>
        </w:r>
      </w:hyperlink>
      <w:r w:rsidRPr="00013985">
        <w:rPr>
          <w:rFonts w:ascii="Times New Roman" w:hAnsi="Times New Roman" w:cs="Times New Roman"/>
          <w:sz w:val="24"/>
          <w:szCs w:val="24"/>
          <w:lang w:val="en"/>
        </w:rPr>
        <w:t>.</w:t>
      </w:r>
    </w:p>
    <w:p w:rsidR="002D2985" w:rsidRPr="00CF03D0" w:rsidRDefault="002D2985" w:rsidP="00013985">
      <w:pPr>
        <w:pStyle w:val="Heading3"/>
        <w:spacing w:before="120" w:after="120" w:line="240" w:lineRule="auto"/>
        <w:ind w:left="0"/>
        <w:rPr>
          <w:rFonts w:ascii="Times New Roman" w:hAnsi="Times New Roman" w:cs="Times New Roman"/>
          <w:sz w:val="24"/>
          <w:szCs w:val="24"/>
        </w:rPr>
      </w:pPr>
      <w:r w:rsidRPr="00CF03D0">
        <w:rPr>
          <w:rFonts w:ascii="Times New Roman" w:hAnsi="Times New Roman" w:cs="Times New Roman"/>
          <w:sz w:val="24"/>
          <w:szCs w:val="24"/>
        </w:rPr>
        <w:lastRenderedPageBreak/>
        <w:t>Clinical Trials</w:t>
      </w:r>
    </w:p>
    <w:p w:rsidR="002D2985" w:rsidRPr="005575AC" w:rsidRDefault="002D2985" w:rsidP="00013985">
      <w:pPr>
        <w:spacing w:before="120" w:after="120" w:line="240" w:lineRule="auto"/>
        <w:rPr>
          <w:rFonts w:ascii="Times New Roman" w:hAnsi="Times New Roman" w:cs="Times New Roman"/>
          <w:b/>
          <w:sz w:val="24"/>
          <w:szCs w:val="24"/>
        </w:rPr>
      </w:pPr>
      <w:r w:rsidRPr="005575AC">
        <w:rPr>
          <w:rFonts w:ascii="Times New Roman" w:hAnsi="Times New Roman" w:cs="Times New Roman"/>
          <w:sz w:val="24"/>
          <w:szCs w:val="24"/>
        </w:rPr>
        <w:t>The safety assessment of VOSEVI was based on Phase 3 clinical trial data from DAA-experienced patients (POLARIS-1 and POLARIS-4) and DAA-naïve patients (POLARIS-2 and POLARIS-3) with genotype 1, 2, 3, 4, 5 or 6 HCV infection (without cirrhosis or with compensated cirrhosis) including:</w:t>
      </w:r>
    </w:p>
    <w:p w:rsidR="002D2985" w:rsidRPr="005575AC" w:rsidRDefault="002D2985" w:rsidP="00013985">
      <w:pPr>
        <w:pStyle w:val="ListParagraph"/>
        <w:numPr>
          <w:ilvl w:val="0"/>
          <w:numId w:val="12"/>
        </w:numPr>
        <w:spacing w:before="120" w:after="120" w:line="240" w:lineRule="auto"/>
        <w:ind w:left="714" w:hanging="357"/>
        <w:jc w:val="both"/>
        <w:rPr>
          <w:rFonts w:ascii="Times New Roman" w:hAnsi="Times New Roman" w:cs="Times New Roman"/>
          <w:b/>
          <w:sz w:val="24"/>
          <w:szCs w:val="24"/>
        </w:rPr>
      </w:pPr>
      <w:r w:rsidRPr="005575AC">
        <w:rPr>
          <w:rFonts w:ascii="Times New Roman" w:hAnsi="Times New Roman" w:cs="Times New Roman"/>
          <w:sz w:val="24"/>
          <w:szCs w:val="24"/>
        </w:rPr>
        <w:t>611 patients who received VOSEVI for 8 weeks,</w:t>
      </w:r>
    </w:p>
    <w:p w:rsidR="002D2985" w:rsidRPr="005575AC" w:rsidRDefault="002D2985" w:rsidP="00013985">
      <w:pPr>
        <w:pStyle w:val="ListParagraph"/>
        <w:numPr>
          <w:ilvl w:val="0"/>
          <w:numId w:val="12"/>
        </w:numPr>
        <w:spacing w:before="120" w:after="120" w:line="240" w:lineRule="auto"/>
        <w:ind w:left="714" w:hanging="357"/>
        <w:jc w:val="both"/>
        <w:rPr>
          <w:rFonts w:ascii="Times New Roman" w:hAnsi="Times New Roman" w:cs="Times New Roman"/>
          <w:b/>
          <w:sz w:val="24"/>
          <w:szCs w:val="24"/>
        </w:rPr>
      </w:pPr>
      <w:r w:rsidRPr="005575AC">
        <w:rPr>
          <w:rFonts w:ascii="Times New Roman" w:hAnsi="Times New Roman" w:cs="Times New Roman"/>
          <w:sz w:val="24"/>
          <w:szCs w:val="24"/>
        </w:rPr>
        <w:t>445 patients who received VOSEVI for 12 weeks,</w:t>
      </w:r>
    </w:p>
    <w:p w:rsidR="002D2985" w:rsidRPr="005575AC" w:rsidRDefault="002D2985" w:rsidP="00013985">
      <w:pPr>
        <w:pStyle w:val="ListParagraph"/>
        <w:numPr>
          <w:ilvl w:val="0"/>
          <w:numId w:val="12"/>
        </w:numPr>
        <w:spacing w:before="120" w:after="120" w:line="240" w:lineRule="auto"/>
        <w:ind w:left="714" w:hanging="357"/>
        <w:jc w:val="both"/>
        <w:rPr>
          <w:rFonts w:ascii="Times New Roman" w:hAnsi="Times New Roman" w:cs="Times New Roman"/>
          <w:b/>
          <w:sz w:val="24"/>
          <w:szCs w:val="24"/>
        </w:rPr>
      </w:pPr>
      <w:r w:rsidRPr="005575AC">
        <w:rPr>
          <w:rFonts w:ascii="Times New Roman" w:hAnsi="Times New Roman" w:cs="Times New Roman"/>
          <w:sz w:val="24"/>
          <w:szCs w:val="24"/>
        </w:rPr>
        <w:t>700 patients who received sofosbuvir/velpatasvir for 12 weeks,</w:t>
      </w:r>
    </w:p>
    <w:p w:rsidR="002D2985" w:rsidRPr="005575AC" w:rsidRDefault="002D2985" w:rsidP="00013985">
      <w:pPr>
        <w:pStyle w:val="ListParagraph"/>
        <w:numPr>
          <w:ilvl w:val="0"/>
          <w:numId w:val="12"/>
        </w:numPr>
        <w:spacing w:before="120" w:after="120" w:line="240" w:lineRule="auto"/>
        <w:ind w:left="714" w:hanging="357"/>
        <w:jc w:val="both"/>
        <w:rPr>
          <w:rFonts w:ascii="Times New Roman" w:hAnsi="Times New Roman" w:cs="Times New Roman"/>
          <w:b/>
          <w:sz w:val="24"/>
          <w:szCs w:val="24"/>
        </w:rPr>
      </w:pPr>
      <w:r w:rsidRPr="005575AC">
        <w:rPr>
          <w:rFonts w:ascii="Times New Roman" w:hAnsi="Times New Roman" w:cs="Times New Roman"/>
          <w:sz w:val="24"/>
          <w:szCs w:val="24"/>
        </w:rPr>
        <w:t xml:space="preserve">152 patients who received placebo for </w:t>
      </w:r>
      <w:r w:rsidRPr="006E68ED">
        <w:rPr>
          <w:rFonts w:ascii="Times New Roman" w:hAnsi="Times New Roman" w:cs="Times New Roman"/>
          <w:sz w:val="24"/>
          <w:szCs w:val="24"/>
        </w:rPr>
        <w:t>12 weeks</w:t>
      </w:r>
      <w:r w:rsidR="00470290" w:rsidRPr="006E68ED">
        <w:rPr>
          <w:rFonts w:ascii="Times New Roman" w:hAnsi="Times New Roman" w:cs="Times New Roman"/>
          <w:sz w:val="24"/>
          <w:szCs w:val="24"/>
        </w:rPr>
        <w:t>.</w:t>
      </w:r>
    </w:p>
    <w:p w:rsidR="002D2985" w:rsidRPr="005575AC" w:rsidRDefault="002D2985" w:rsidP="00013985">
      <w:pPr>
        <w:spacing w:before="120" w:after="120" w:line="240" w:lineRule="auto"/>
        <w:rPr>
          <w:rFonts w:ascii="Times New Roman" w:hAnsi="Times New Roman" w:cs="Times New Roman"/>
          <w:sz w:val="24"/>
          <w:szCs w:val="24"/>
        </w:rPr>
      </w:pPr>
      <w:r w:rsidRPr="005575AC">
        <w:rPr>
          <w:rFonts w:ascii="Times New Roman" w:hAnsi="Times New Roman" w:cs="Times New Roman"/>
          <w:sz w:val="24"/>
          <w:szCs w:val="24"/>
        </w:rPr>
        <w:t xml:space="preserve">The proportion of patients who permanently discontinued treatment due to adverse events was 0.2% for patients receiving VOSEVI for 12 weeks. There were no patients receiving VOSEVI for 8 weeks who permanently discontinued treatment due to adverse events. </w:t>
      </w:r>
    </w:p>
    <w:p w:rsidR="002D2985" w:rsidRPr="005575AC" w:rsidRDefault="002D2985" w:rsidP="00013985">
      <w:pPr>
        <w:spacing w:before="120" w:after="120" w:line="240" w:lineRule="auto"/>
        <w:rPr>
          <w:rFonts w:ascii="Times New Roman" w:hAnsi="Times New Roman" w:cs="Times New Roman"/>
          <w:sz w:val="24"/>
          <w:szCs w:val="24"/>
        </w:rPr>
      </w:pPr>
      <w:r w:rsidRPr="005575AC">
        <w:rPr>
          <w:rFonts w:ascii="Times New Roman" w:hAnsi="Times New Roman" w:cs="Times New Roman"/>
          <w:sz w:val="24"/>
          <w:szCs w:val="24"/>
        </w:rPr>
        <w:t xml:space="preserve">Table </w:t>
      </w:r>
      <w:r w:rsidR="00013985">
        <w:rPr>
          <w:rFonts w:ascii="Times New Roman" w:hAnsi="Times New Roman" w:cs="Times New Roman"/>
          <w:sz w:val="24"/>
          <w:szCs w:val="24"/>
        </w:rPr>
        <w:t>7</w:t>
      </w:r>
      <w:r w:rsidR="00013985" w:rsidRPr="005575AC">
        <w:rPr>
          <w:rFonts w:ascii="Times New Roman" w:hAnsi="Times New Roman" w:cs="Times New Roman"/>
          <w:sz w:val="24"/>
          <w:szCs w:val="24"/>
        </w:rPr>
        <w:t xml:space="preserve"> </w:t>
      </w:r>
      <w:r w:rsidRPr="005575AC">
        <w:rPr>
          <w:rFonts w:ascii="Times New Roman" w:hAnsi="Times New Roman" w:cs="Times New Roman"/>
          <w:sz w:val="24"/>
          <w:szCs w:val="24"/>
        </w:rPr>
        <w:t xml:space="preserve">lists adverse events (all grades and without regard to causality) observed in at least 5% of patients receiving 8 or 12 weeks treatment with VOSEVI in clinical trials compared to 12 weeks of treatment with SOF/VEL or placebo. </w:t>
      </w:r>
    </w:p>
    <w:p w:rsidR="002D2985" w:rsidRDefault="002D2985" w:rsidP="00013985">
      <w:pPr>
        <w:spacing w:before="120" w:after="120" w:line="240" w:lineRule="auto"/>
        <w:rPr>
          <w:rFonts w:ascii="Times New Roman" w:hAnsi="Times New Roman" w:cs="Times New Roman"/>
          <w:sz w:val="24"/>
          <w:szCs w:val="24"/>
        </w:rPr>
      </w:pPr>
      <w:r w:rsidRPr="005575AC">
        <w:rPr>
          <w:rFonts w:ascii="Times New Roman" w:hAnsi="Times New Roman" w:cs="Times New Roman"/>
          <w:sz w:val="24"/>
          <w:szCs w:val="24"/>
        </w:rPr>
        <w:t xml:space="preserve">Table </w:t>
      </w:r>
      <w:r w:rsidR="00013985">
        <w:rPr>
          <w:rFonts w:ascii="Times New Roman" w:hAnsi="Times New Roman" w:cs="Times New Roman"/>
          <w:sz w:val="24"/>
          <w:szCs w:val="24"/>
        </w:rPr>
        <w:t>8</w:t>
      </w:r>
      <w:r w:rsidR="00013985" w:rsidRPr="005575AC">
        <w:rPr>
          <w:rFonts w:ascii="Times New Roman" w:hAnsi="Times New Roman" w:cs="Times New Roman"/>
          <w:sz w:val="24"/>
          <w:szCs w:val="24"/>
        </w:rPr>
        <w:t xml:space="preserve"> </w:t>
      </w:r>
      <w:r w:rsidRPr="005575AC">
        <w:rPr>
          <w:rFonts w:ascii="Times New Roman" w:hAnsi="Times New Roman" w:cs="Times New Roman"/>
          <w:sz w:val="24"/>
          <w:szCs w:val="24"/>
        </w:rPr>
        <w:t>lists adverse events observed in at least 5% of DAA-experienced patients receiving 12 weeks treatment with VOSEVI in POLARIS-1 and POLARIS-4.</w:t>
      </w:r>
    </w:p>
    <w:p w:rsidR="005D40D3" w:rsidRPr="005575AC" w:rsidRDefault="005D40D3" w:rsidP="00013985">
      <w:pPr>
        <w:spacing w:before="120" w:after="120" w:line="240" w:lineRule="auto"/>
        <w:rPr>
          <w:rFonts w:ascii="Times New Roman" w:hAnsi="Times New Roman" w:cs="Times New Roman"/>
          <w:sz w:val="24"/>
          <w:szCs w:val="24"/>
        </w:rPr>
      </w:pPr>
    </w:p>
    <w:p w:rsidR="002D2985" w:rsidRPr="00D535D3" w:rsidRDefault="002D2985" w:rsidP="002D2985">
      <w:pPr>
        <w:pStyle w:val="Caption"/>
        <w:rPr>
          <w:u w:val="single"/>
        </w:rPr>
      </w:pPr>
      <w:r w:rsidRPr="00525F08">
        <w:t xml:space="preserve">Table </w:t>
      </w:r>
      <w:r w:rsidR="00013985">
        <w:t>7</w:t>
      </w:r>
      <w:r w:rsidRPr="00525F08">
        <w:tab/>
        <w:t xml:space="preserve">Adverse Events (All Grades and without Regard to Causality) Reported in ≥5% of Patients Receiving 8 or 12 Weeks of Treatment with </w:t>
      </w:r>
      <w:r>
        <w:t xml:space="preserve">VOSEVI </w:t>
      </w:r>
      <w:r w:rsidRPr="00525F08">
        <w:t>Compared to</w:t>
      </w:r>
      <w:r>
        <w:t xml:space="preserve"> 12 Weeks of Treatment with SOF/VEL or </w:t>
      </w:r>
      <w:r w:rsidRPr="00525F08">
        <w:t xml:space="preserve"> Placebo</w:t>
      </w:r>
      <w:r>
        <w:t xml:space="preserve"> </w:t>
      </w:r>
      <w:r w:rsidRPr="002739E4">
        <w:t>(POLARIS-1, POLARIS-2, POLARIS-3 and POLARIS-4)</w:t>
      </w:r>
      <w:r w:rsidRPr="00D535D3">
        <w:rPr>
          <w:u w:val="single"/>
        </w:rPr>
        <w:t xml:space="preserve"> </w:t>
      </w:r>
    </w:p>
    <w:tbl>
      <w:tblPr>
        <w:tblpPr w:leftFromText="180" w:rightFromText="180" w:vertAnchor="text" w:horzAnchor="margin" w:tblpY="47"/>
        <w:tblOverlap w:val="never"/>
        <w:tblW w:w="4909" w:type="pct"/>
        <w:tblCellMar>
          <w:left w:w="0" w:type="dxa"/>
          <w:right w:w="0" w:type="dxa"/>
        </w:tblCellMar>
        <w:tblLook w:val="0000" w:firstRow="0" w:lastRow="0" w:firstColumn="0" w:lastColumn="0" w:noHBand="0" w:noVBand="0"/>
      </w:tblPr>
      <w:tblGrid>
        <w:gridCol w:w="1890"/>
        <w:gridCol w:w="1790"/>
        <w:gridCol w:w="2149"/>
        <w:gridCol w:w="1613"/>
        <w:gridCol w:w="1439"/>
      </w:tblGrid>
      <w:tr w:rsidR="002D2985" w:rsidRPr="00525F08" w:rsidTr="005C0C71">
        <w:trPr>
          <w:cantSplit/>
          <w:tblHeader/>
        </w:trPr>
        <w:tc>
          <w:tcPr>
            <w:tcW w:w="1064" w:type="pct"/>
            <w:tcBorders>
              <w:top w:val="single" w:sz="12" w:space="0" w:color="auto"/>
              <w:left w:val="nil"/>
              <w:bottom w:val="single" w:sz="12" w:space="0" w:color="000000"/>
              <w:right w:val="nil"/>
            </w:tcBorders>
            <w:shd w:val="clear" w:color="auto" w:fill="FFFFFF"/>
            <w:tcMar>
              <w:left w:w="10" w:type="dxa"/>
              <w:right w:w="10" w:type="dxa"/>
            </w:tcMar>
            <w:vAlign w:val="bottom"/>
          </w:tcPr>
          <w:p w:rsidR="002D2985" w:rsidRPr="005575AC" w:rsidRDefault="005E1D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Pr>
                <w:rFonts w:ascii="Times New Roman" w:eastAsiaTheme="minorEastAsia" w:hAnsi="Times New Roman" w:cs="Times New Roman"/>
                <w:b/>
                <w:bCs/>
                <w:color w:val="000000"/>
                <w:sz w:val="24"/>
                <w:szCs w:val="24"/>
              </w:rPr>
              <w:t>VOSEVI</w:t>
            </w:r>
            <w:r w:rsidR="002D2985" w:rsidRPr="005575AC">
              <w:rPr>
                <w:rFonts w:ascii="Times New Roman" w:eastAsiaTheme="minorEastAsia" w:hAnsi="Times New Roman" w:cs="Times New Roman"/>
                <w:b/>
                <w:bCs/>
                <w:color w:val="000000"/>
                <w:sz w:val="24"/>
                <w:szCs w:val="24"/>
              </w:rPr>
              <w:br/>
              <w:t>8 Weeks</w:t>
            </w:r>
            <w:r w:rsidR="002D2985" w:rsidRPr="005575AC">
              <w:rPr>
                <w:rFonts w:ascii="Times New Roman" w:eastAsiaTheme="minorEastAsia" w:hAnsi="Times New Roman" w:cs="Times New Roman"/>
                <w:b/>
                <w:bCs/>
                <w:color w:val="000000"/>
                <w:sz w:val="24"/>
                <w:szCs w:val="24"/>
              </w:rPr>
              <w:br/>
              <w:t>(N=611)</w:t>
            </w:r>
          </w:p>
        </w:tc>
        <w:tc>
          <w:tcPr>
            <w:tcW w:w="1008" w:type="pct"/>
            <w:tcBorders>
              <w:top w:val="single" w:sz="12" w:space="0" w:color="000000"/>
              <w:left w:val="single" w:sz="4" w:space="0" w:color="000000"/>
              <w:bottom w:val="single" w:sz="12" w:space="0" w:color="000000"/>
              <w:right w:val="nil"/>
            </w:tcBorders>
            <w:shd w:val="clear" w:color="auto" w:fill="FFFFFF"/>
            <w:tcMar>
              <w:left w:w="10" w:type="dxa"/>
              <w:right w:w="10" w:type="dxa"/>
            </w:tcMar>
            <w:vAlign w:val="bottom"/>
          </w:tcPr>
          <w:p w:rsidR="002D2985" w:rsidRPr="005575AC" w:rsidRDefault="005E1D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Pr>
                <w:rFonts w:ascii="Times New Roman" w:eastAsiaTheme="minorEastAsia" w:hAnsi="Times New Roman" w:cs="Times New Roman"/>
                <w:b/>
                <w:bCs/>
                <w:color w:val="000000"/>
                <w:sz w:val="24"/>
                <w:szCs w:val="24"/>
              </w:rPr>
              <w:t>VOSEVI</w:t>
            </w:r>
            <w:r w:rsidR="002D2985" w:rsidRPr="005575AC">
              <w:rPr>
                <w:rFonts w:ascii="Times New Roman" w:eastAsiaTheme="minorEastAsia" w:hAnsi="Times New Roman" w:cs="Times New Roman"/>
                <w:b/>
                <w:bCs/>
                <w:color w:val="000000"/>
                <w:sz w:val="24"/>
                <w:szCs w:val="24"/>
              </w:rPr>
              <w:br/>
              <w:t>12 Weeks</w:t>
            </w:r>
            <w:r w:rsidR="002D2985" w:rsidRPr="005575AC">
              <w:rPr>
                <w:rFonts w:ascii="Times New Roman" w:eastAsiaTheme="minorEastAsia" w:hAnsi="Times New Roman" w:cs="Times New Roman"/>
                <w:b/>
                <w:bCs/>
                <w:color w:val="000000"/>
                <w:sz w:val="24"/>
                <w:szCs w:val="24"/>
              </w:rPr>
              <w:br/>
              <w:t>(N=445)</w:t>
            </w:r>
          </w:p>
        </w:tc>
        <w:tc>
          <w:tcPr>
            <w:tcW w:w="1210" w:type="pct"/>
            <w:tcBorders>
              <w:top w:val="single" w:sz="12" w:space="0" w:color="000000"/>
              <w:left w:val="single" w:sz="4" w:space="0" w:color="000000"/>
              <w:bottom w:val="single" w:sz="12"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SOF/VEL</w:t>
            </w:r>
          </w:p>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12 Weeks</w:t>
            </w:r>
          </w:p>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(N=700)</w:t>
            </w:r>
          </w:p>
        </w:tc>
        <w:tc>
          <w:tcPr>
            <w:tcW w:w="1718" w:type="pct"/>
            <w:gridSpan w:val="2"/>
            <w:tcBorders>
              <w:top w:val="single" w:sz="12" w:space="0" w:color="000000"/>
              <w:left w:val="single" w:sz="4" w:space="0" w:color="000000"/>
              <w:bottom w:val="single" w:sz="12" w:space="0" w:color="000000"/>
              <w:right w:val="nil"/>
            </w:tcBorders>
            <w:shd w:val="clear" w:color="auto" w:fill="FFFFFF"/>
            <w:tcMar>
              <w:left w:w="10" w:type="dxa"/>
              <w:right w:w="10" w:type="dxa"/>
            </w:tcMar>
            <w:vAlign w:val="bottom"/>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Placebo</w:t>
            </w:r>
            <w:r w:rsidRPr="005575AC">
              <w:rPr>
                <w:rFonts w:ascii="Times New Roman" w:eastAsiaTheme="minorEastAsia" w:hAnsi="Times New Roman" w:cs="Times New Roman"/>
                <w:b/>
                <w:bCs/>
                <w:color w:val="000000"/>
                <w:sz w:val="24"/>
                <w:szCs w:val="24"/>
              </w:rPr>
              <w:br/>
              <w:t>12 Weeks</w:t>
            </w:r>
            <w:r w:rsidRPr="005575AC">
              <w:rPr>
                <w:rFonts w:ascii="Times New Roman" w:eastAsiaTheme="minorEastAsia" w:hAnsi="Times New Roman" w:cs="Times New Roman"/>
                <w:b/>
                <w:bCs/>
                <w:color w:val="000000"/>
                <w:sz w:val="24"/>
                <w:szCs w:val="24"/>
              </w:rPr>
              <w:br/>
              <w:t>(N=152)</w:t>
            </w:r>
          </w:p>
        </w:tc>
      </w:tr>
      <w:tr w:rsidR="002D2985" w:rsidRPr="00525F08" w:rsidTr="005C0C71">
        <w:trPr>
          <w:cantSplit/>
        </w:trPr>
        <w:tc>
          <w:tcPr>
            <w:tcW w:w="1064"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Headache</w:t>
            </w:r>
          </w:p>
        </w:tc>
        <w:tc>
          <w:tcPr>
            <w:tcW w:w="1008"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26%</w:t>
            </w:r>
          </w:p>
        </w:tc>
        <w:tc>
          <w:tcPr>
            <w:tcW w:w="12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26%</w:t>
            </w:r>
          </w:p>
        </w:tc>
        <w:tc>
          <w:tcPr>
            <w:tcW w:w="908"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25%</w:t>
            </w:r>
          </w:p>
        </w:tc>
        <w:tc>
          <w:tcPr>
            <w:tcW w:w="8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17%</w:t>
            </w:r>
          </w:p>
        </w:tc>
      </w:tr>
      <w:tr w:rsidR="002D2985" w:rsidRPr="00525F08" w:rsidTr="005C0C71">
        <w:trPr>
          <w:cantSplit/>
        </w:trPr>
        <w:tc>
          <w:tcPr>
            <w:tcW w:w="1064"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Fatigue</w:t>
            </w:r>
          </w:p>
        </w:tc>
        <w:tc>
          <w:tcPr>
            <w:tcW w:w="1008"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22%</w:t>
            </w:r>
          </w:p>
        </w:tc>
        <w:tc>
          <w:tcPr>
            <w:tcW w:w="12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22%</w:t>
            </w:r>
          </w:p>
        </w:tc>
        <w:tc>
          <w:tcPr>
            <w:tcW w:w="908"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23%</w:t>
            </w:r>
          </w:p>
        </w:tc>
        <w:tc>
          <w:tcPr>
            <w:tcW w:w="8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20%</w:t>
            </w:r>
          </w:p>
        </w:tc>
      </w:tr>
      <w:tr w:rsidR="002D2985" w:rsidRPr="00525F08" w:rsidTr="005C0C71">
        <w:trPr>
          <w:cantSplit/>
        </w:trPr>
        <w:tc>
          <w:tcPr>
            <w:tcW w:w="1064"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Diarrhoea</w:t>
            </w:r>
          </w:p>
        </w:tc>
        <w:tc>
          <w:tcPr>
            <w:tcW w:w="1008"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 xml:space="preserve"> 17%</w:t>
            </w:r>
          </w:p>
        </w:tc>
        <w:tc>
          <w:tcPr>
            <w:tcW w:w="12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19%</w:t>
            </w:r>
          </w:p>
        </w:tc>
        <w:tc>
          <w:tcPr>
            <w:tcW w:w="908"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6%</w:t>
            </w:r>
          </w:p>
        </w:tc>
        <w:tc>
          <w:tcPr>
            <w:tcW w:w="8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13%</w:t>
            </w:r>
          </w:p>
        </w:tc>
      </w:tr>
      <w:tr w:rsidR="002D2985" w:rsidRPr="00525F08" w:rsidTr="005C0C71">
        <w:trPr>
          <w:cantSplit/>
        </w:trPr>
        <w:tc>
          <w:tcPr>
            <w:tcW w:w="1064"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Nausea</w:t>
            </w:r>
          </w:p>
        </w:tc>
        <w:tc>
          <w:tcPr>
            <w:tcW w:w="1008"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17%</w:t>
            </w:r>
          </w:p>
        </w:tc>
        <w:tc>
          <w:tcPr>
            <w:tcW w:w="12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13%</w:t>
            </w:r>
          </w:p>
        </w:tc>
        <w:tc>
          <w:tcPr>
            <w:tcW w:w="908"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9%</w:t>
            </w:r>
          </w:p>
        </w:tc>
        <w:tc>
          <w:tcPr>
            <w:tcW w:w="8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8%</w:t>
            </w:r>
          </w:p>
        </w:tc>
      </w:tr>
      <w:tr w:rsidR="002D2985" w:rsidRPr="00525F08" w:rsidTr="005C0C71">
        <w:trPr>
          <w:cantSplit/>
        </w:trPr>
        <w:tc>
          <w:tcPr>
            <w:tcW w:w="1064"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Asthenia</w:t>
            </w:r>
          </w:p>
        </w:tc>
        <w:tc>
          <w:tcPr>
            <w:tcW w:w="1008"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6%</w:t>
            </w:r>
          </w:p>
        </w:tc>
        <w:tc>
          <w:tcPr>
            <w:tcW w:w="12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7%</w:t>
            </w:r>
          </w:p>
        </w:tc>
        <w:tc>
          <w:tcPr>
            <w:tcW w:w="908"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6%</w:t>
            </w:r>
          </w:p>
        </w:tc>
        <w:tc>
          <w:tcPr>
            <w:tcW w:w="8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6%</w:t>
            </w:r>
          </w:p>
        </w:tc>
      </w:tr>
      <w:tr w:rsidR="002D2985" w:rsidRPr="00525F08" w:rsidTr="005C0C71">
        <w:trPr>
          <w:cantSplit/>
        </w:trPr>
        <w:tc>
          <w:tcPr>
            <w:tcW w:w="1064"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Insomnia</w:t>
            </w:r>
          </w:p>
        </w:tc>
        <w:tc>
          <w:tcPr>
            <w:tcW w:w="1008"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5%</w:t>
            </w:r>
          </w:p>
        </w:tc>
        <w:tc>
          <w:tcPr>
            <w:tcW w:w="12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7%</w:t>
            </w:r>
          </w:p>
        </w:tc>
        <w:tc>
          <w:tcPr>
            <w:tcW w:w="908"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4%</w:t>
            </w:r>
          </w:p>
        </w:tc>
        <w:tc>
          <w:tcPr>
            <w:tcW w:w="8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5%</w:t>
            </w:r>
          </w:p>
        </w:tc>
      </w:tr>
      <w:tr w:rsidR="002D2985" w:rsidRPr="00525F08" w:rsidTr="005C0C71">
        <w:trPr>
          <w:cantSplit/>
        </w:trPr>
        <w:tc>
          <w:tcPr>
            <w:tcW w:w="1064"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Abdominal pain</w:t>
            </w:r>
          </w:p>
        </w:tc>
        <w:tc>
          <w:tcPr>
            <w:tcW w:w="1008"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5%</w:t>
            </w:r>
          </w:p>
        </w:tc>
        <w:tc>
          <w:tcPr>
            <w:tcW w:w="12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w:t>
            </w:r>
          </w:p>
        </w:tc>
        <w:tc>
          <w:tcPr>
            <w:tcW w:w="908"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3%</w:t>
            </w:r>
          </w:p>
        </w:tc>
        <w:tc>
          <w:tcPr>
            <w:tcW w:w="810"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w:t>
            </w:r>
          </w:p>
        </w:tc>
      </w:tr>
      <w:tr w:rsidR="002D2985" w:rsidRPr="00525F08" w:rsidTr="005C0C71">
        <w:trPr>
          <w:cantSplit/>
        </w:trPr>
        <w:tc>
          <w:tcPr>
            <w:tcW w:w="1064" w:type="pct"/>
            <w:tcBorders>
              <w:top w:val="single" w:sz="4" w:space="0" w:color="000000"/>
              <w:left w:val="nil"/>
              <w:bottom w:val="single" w:sz="12"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Back pain</w:t>
            </w:r>
          </w:p>
        </w:tc>
        <w:tc>
          <w:tcPr>
            <w:tcW w:w="1008" w:type="pct"/>
            <w:tcBorders>
              <w:top w:val="single" w:sz="4" w:space="0" w:color="000000"/>
              <w:left w:val="single" w:sz="4" w:space="0" w:color="000000"/>
              <w:bottom w:val="single" w:sz="12"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w:t>
            </w:r>
          </w:p>
        </w:tc>
        <w:tc>
          <w:tcPr>
            <w:tcW w:w="1210" w:type="pct"/>
            <w:tcBorders>
              <w:top w:val="single" w:sz="4" w:space="0" w:color="000000"/>
              <w:left w:val="single" w:sz="4" w:space="0" w:color="000000"/>
              <w:bottom w:val="single" w:sz="12"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5%</w:t>
            </w:r>
          </w:p>
        </w:tc>
        <w:tc>
          <w:tcPr>
            <w:tcW w:w="908" w:type="pct"/>
            <w:tcBorders>
              <w:top w:val="single" w:sz="4" w:space="0" w:color="000000"/>
              <w:left w:val="single" w:sz="4" w:space="0" w:color="000000"/>
              <w:bottom w:val="single" w:sz="12"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4%</w:t>
            </w:r>
          </w:p>
        </w:tc>
        <w:tc>
          <w:tcPr>
            <w:tcW w:w="810" w:type="pct"/>
            <w:tcBorders>
              <w:top w:val="single" w:sz="4" w:space="0" w:color="000000"/>
              <w:left w:val="single" w:sz="4" w:space="0" w:color="000000"/>
              <w:bottom w:val="single" w:sz="12"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5%</w:t>
            </w:r>
          </w:p>
        </w:tc>
      </w:tr>
    </w:tbl>
    <w:p w:rsidR="005D40D3" w:rsidRDefault="005D40D3" w:rsidP="00A96CB7">
      <w:pPr>
        <w:pStyle w:val="Heading4"/>
        <w:numPr>
          <w:ilvl w:val="0"/>
          <w:numId w:val="0"/>
        </w:numPr>
        <w:ind w:left="1440" w:hanging="1440"/>
        <w:rPr>
          <w:rFonts w:ascii="Times New Roman" w:hAnsi="Times New Roman" w:cs="Times New Roman"/>
          <w:i w:val="0"/>
          <w:color w:val="auto"/>
          <w:sz w:val="24"/>
          <w:szCs w:val="24"/>
        </w:rPr>
      </w:pPr>
    </w:p>
    <w:p w:rsidR="005D40D3" w:rsidRPr="005D40D3" w:rsidRDefault="005D40D3" w:rsidP="005D40D3"/>
    <w:p w:rsidR="006955C8" w:rsidRPr="006955C8" w:rsidRDefault="006955C8" w:rsidP="006955C8"/>
    <w:p w:rsidR="002D2985" w:rsidRPr="00A96CB7" w:rsidRDefault="002D2985" w:rsidP="00A96CB7">
      <w:pPr>
        <w:pStyle w:val="Heading4"/>
        <w:numPr>
          <w:ilvl w:val="0"/>
          <w:numId w:val="0"/>
        </w:numPr>
        <w:ind w:left="1440" w:hanging="1440"/>
        <w:rPr>
          <w:rFonts w:ascii="Times New Roman" w:hAnsi="Times New Roman" w:cs="Times New Roman"/>
          <w:i w:val="0"/>
          <w:color w:val="auto"/>
          <w:sz w:val="24"/>
          <w:szCs w:val="24"/>
        </w:rPr>
      </w:pPr>
      <w:r w:rsidRPr="00A96CB7">
        <w:rPr>
          <w:rFonts w:ascii="Times New Roman" w:hAnsi="Times New Roman" w:cs="Times New Roman"/>
          <w:i w:val="0"/>
          <w:color w:val="auto"/>
          <w:sz w:val="24"/>
          <w:szCs w:val="24"/>
        </w:rPr>
        <w:lastRenderedPageBreak/>
        <w:t xml:space="preserve">Table </w:t>
      </w:r>
      <w:r w:rsidR="005D40D3">
        <w:rPr>
          <w:rFonts w:ascii="Times New Roman" w:hAnsi="Times New Roman" w:cs="Times New Roman"/>
          <w:i w:val="0"/>
          <w:color w:val="auto"/>
          <w:sz w:val="24"/>
          <w:szCs w:val="24"/>
        </w:rPr>
        <w:t>8</w:t>
      </w:r>
      <w:r w:rsidRPr="00A96CB7">
        <w:rPr>
          <w:rFonts w:ascii="Times New Roman" w:hAnsi="Times New Roman" w:cs="Times New Roman"/>
          <w:i w:val="0"/>
          <w:color w:val="auto"/>
          <w:sz w:val="24"/>
          <w:szCs w:val="24"/>
        </w:rPr>
        <w:tab/>
        <w:t>Adverse Events (All Grades and without Regard to Causality) Reported in ≥5% of Patients with HCV without Cirrhosis or With Compensated Cirrhosis Receiving VOSEVI in POLARIS-1 and POLARIS-4</w:t>
      </w:r>
    </w:p>
    <w:tbl>
      <w:tblPr>
        <w:tblpPr w:leftFromText="180" w:rightFromText="180" w:vertAnchor="text" w:horzAnchor="margin" w:tblpY="47"/>
        <w:tblOverlap w:val="never"/>
        <w:tblW w:w="4912" w:type="pct"/>
        <w:tblCellMar>
          <w:left w:w="0" w:type="dxa"/>
          <w:right w:w="0" w:type="dxa"/>
        </w:tblCellMar>
        <w:tblLook w:val="0000" w:firstRow="0" w:lastRow="0" w:firstColumn="0" w:lastColumn="0" w:noHBand="0" w:noVBand="0"/>
      </w:tblPr>
      <w:tblGrid>
        <w:gridCol w:w="1921"/>
        <w:gridCol w:w="1791"/>
        <w:gridCol w:w="2118"/>
        <w:gridCol w:w="1639"/>
        <w:gridCol w:w="1408"/>
      </w:tblGrid>
      <w:tr w:rsidR="002D2985" w:rsidRPr="00525F08" w:rsidTr="005C0C71">
        <w:trPr>
          <w:cantSplit/>
          <w:tblHeader/>
        </w:trPr>
        <w:tc>
          <w:tcPr>
            <w:tcW w:w="1082" w:type="pct"/>
            <w:vMerge w:val="restart"/>
            <w:tcBorders>
              <w:top w:val="single" w:sz="12" w:space="0" w:color="000000"/>
              <w:left w:val="nil"/>
              <w:right w:val="nil"/>
            </w:tcBorders>
            <w:shd w:val="clear" w:color="auto" w:fill="FFFFFF"/>
            <w:tcMar>
              <w:left w:w="10" w:type="dxa"/>
              <w:right w:w="10" w:type="dxa"/>
            </w:tcMar>
            <w:vAlign w:val="bottom"/>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p>
        </w:tc>
        <w:tc>
          <w:tcPr>
            <w:tcW w:w="2202" w:type="pct"/>
            <w:gridSpan w:val="2"/>
            <w:tcBorders>
              <w:top w:val="single" w:sz="12" w:space="0" w:color="000000"/>
              <w:left w:val="single" w:sz="4" w:space="0" w:color="000000"/>
              <w:bottom w:val="single" w:sz="12" w:space="0" w:color="000000"/>
              <w:right w:val="nil"/>
            </w:tcBorders>
            <w:shd w:val="clear" w:color="auto" w:fill="FFFFFF"/>
            <w:tcMar>
              <w:left w:w="10" w:type="dxa"/>
              <w:right w:w="10" w:type="dxa"/>
            </w:tcMar>
            <w:vAlign w:val="bottom"/>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POLARIS-1</w:t>
            </w:r>
          </w:p>
        </w:tc>
        <w:tc>
          <w:tcPr>
            <w:tcW w:w="1716" w:type="pct"/>
            <w:gridSpan w:val="2"/>
            <w:tcBorders>
              <w:top w:val="single" w:sz="12" w:space="0" w:color="000000"/>
              <w:left w:val="single" w:sz="4" w:space="0" w:color="000000"/>
              <w:bottom w:val="single" w:sz="12"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POLARIS-4</w:t>
            </w:r>
          </w:p>
        </w:tc>
      </w:tr>
      <w:tr w:rsidR="002D2985" w:rsidRPr="00525F08" w:rsidTr="005C0C71">
        <w:trPr>
          <w:cantSplit/>
          <w:tblHeader/>
        </w:trPr>
        <w:tc>
          <w:tcPr>
            <w:tcW w:w="1082" w:type="pct"/>
            <w:vMerge/>
            <w:tcBorders>
              <w:left w:val="nil"/>
              <w:bottom w:val="single" w:sz="12" w:space="0" w:color="000000"/>
              <w:right w:val="nil"/>
            </w:tcBorders>
            <w:shd w:val="clear" w:color="auto" w:fill="FFFFFF"/>
            <w:tcMar>
              <w:left w:w="10" w:type="dxa"/>
              <w:right w:w="10" w:type="dxa"/>
            </w:tcMar>
            <w:vAlign w:val="bottom"/>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p>
        </w:tc>
        <w:tc>
          <w:tcPr>
            <w:tcW w:w="1009" w:type="pct"/>
            <w:tcBorders>
              <w:top w:val="single" w:sz="12" w:space="0" w:color="000000"/>
              <w:left w:val="single" w:sz="4" w:space="0" w:color="000000"/>
              <w:bottom w:val="single" w:sz="12" w:space="0" w:color="000000"/>
              <w:right w:val="nil"/>
            </w:tcBorders>
            <w:shd w:val="clear" w:color="auto" w:fill="FFFFFF"/>
            <w:tcMar>
              <w:left w:w="10" w:type="dxa"/>
              <w:right w:w="10" w:type="dxa"/>
            </w:tcMar>
            <w:vAlign w:val="bottom"/>
          </w:tcPr>
          <w:p w:rsidR="002D2985" w:rsidRPr="005575AC" w:rsidRDefault="005E1D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Pr>
                <w:rFonts w:ascii="Times New Roman" w:eastAsiaTheme="minorEastAsia" w:hAnsi="Times New Roman" w:cs="Times New Roman"/>
                <w:b/>
                <w:bCs/>
                <w:color w:val="000000"/>
                <w:sz w:val="24"/>
                <w:szCs w:val="24"/>
              </w:rPr>
              <w:t>VOSEVI</w:t>
            </w:r>
            <w:r w:rsidR="002D2985" w:rsidRPr="005575AC">
              <w:rPr>
                <w:rFonts w:ascii="Times New Roman" w:eastAsiaTheme="minorEastAsia" w:hAnsi="Times New Roman" w:cs="Times New Roman"/>
                <w:b/>
                <w:bCs/>
                <w:color w:val="000000"/>
                <w:sz w:val="24"/>
                <w:szCs w:val="24"/>
              </w:rPr>
              <w:br/>
              <w:t>12 weeks</w:t>
            </w:r>
          </w:p>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(N=263)</w:t>
            </w:r>
          </w:p>
        </w:tc>
        <w:tc>
          <w:tcPr>
            <w:tcW w:w="1193" w:type="pct"/>
            <w:tcBorders>
              <w:top w:val="single" w:sz="12" w:space="0" w:color="000000"/>
              <w:left w:val="single" w:sz="4" w:space="0" w:color="000000"/>
              <w:bottom w:val="single" w:sz="12" w:space="0" w:color="000000"/>
              <w:right w:val="nil"/>
            </w:tcBorders>
            <w:shd w:val="clear" w:color="auto" w:fill="FFFFFF"/>
            <w:tcMar>
              <w:left w:w="10" w:type="dxa"/>
              <w:right w:w="10" w:type="dxa"/>
            </w:tcMar>
            <w:vAlign w:val="bottom"/>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Placebo</w:t>
            </w:r>
          </w:p>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12 weeks</w:t>
            </w:r>
          </w:p>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(N=152)</w:t>
            </w:r>
          </w:p>
        </w:tc>
        <w:tc>
          <w:tcPr>
            <w:tcW w:w="923" w:type="pct"/>
            <w:tcBorders>
              <w:top w:val="single" w:sz="12" w:space="0" w:color="000000"/>
              <w:left w:val="single" w:sz="4" w:space="0" w:color="000000"/>
              <w:bottom w:val="single" w:sz="12" w:space="0" w:color="000000"/>
              <w:right w:val="single" w:sz="4" w:space="0" w:color="000000"/>
            </w:tcBorders>
            <w:shd w:val="clear" w:color="auto" w:fill="FFFFFF"/>
          </w:tcPr>
          <w:p w:rsidR="002D2985" w:rsidRPr="005575AC" w:rsidRDefault="005E1D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Pr>
                <w:rFonts w:ascii="Times New Roman" w:eastAsiaTheme="minorEastAsia" w:hAnsi="Times New Roman" w:cs="Times New Roman"/>
                <w:b/>
                <w:bCs/>
                <w:color w:val="000000"/>
                <w:sz w:val="24"/>
                <w:szCs w:val="24"/>
              </w:rPr>
              <w:t>VOSEVI</w:t>
            </w:r>
          </w:p>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12 Weeks</w:t>
            </w:r>
          </w:p>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(N=182)</w:t>
            </w:r>
          </w:p>
        </w:tc>
        <w:tc>
          <w:tcPr>
            <w:tcW w:w="793" w:type="pct"/>
            <w:tcBorders>
              <w:top w:val="single" w:sz="12" w:space="0" w:color="000000"/>
              <w:left w:val="single" w:sz="4" w:space="0" w:color="000000"/>
              <w:bottom w:val="single" w:sz="12" w:space="0" w:color="000000"/>
              <w:right w:val="nil"/>
            </w:tcBorders>
            <w:shd w:val="clear" w:color="auto" w:fill="FFFFFF"/>
            <w:tcMar>
              <w:left w:w="10" w:type="dxa"/>
              <w:right w:w="10" w:type="dxa"/>
            </w:tcMar>
            <w:vAlign w:val="bottom"/>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b/>
                <w:bCs/>
                <w:color w:val="000000"/>
                <w:sz w:val="24"/>
                <w:szCs w:val="24"/>
              </w:rPr>
            </w:pPr>
            <w:r w:rsidRPr="005575AC">
              <w:rPr>
                <w:rFonts w:ascii="Times New Roman" w:eastAsiaTheme="minorEastAsia" w:hAnsi="Times New Roman" w:cs="Times New Roman"/>
                <w:b/>
                <w:bCs/>
                <w:color w:val="000000"/>
                <w:sz w:val="24"/>
                <w:szCs w:val="24"/>
              </w:rPr>
              <w:t>SOF/VEL</w:t>
            </w:r>
            <w:r w:rsidRPr="005575AC">
              <w:rPr>
                <w:rFonts w:ascii="Times New Roman" w:eastAsiaTheme="minorEastAsia" w:hAnsi="Times New Roman" w:cs="Times New Roman"/>
                <w:b/>
                <w:bCs/>
                <w:color w:val="000000"/>
                <w:sz w:val="24"/>
                <w:szCs w:val="24"/>
              </w:rPr>
              <w:br/>
              <w:t>12 Weeks</w:t>
            </w:r>
            <w:r w:rsidRPr="005575AC">
              <w:rPr>
                <w:rFonts w:ascii="Times New Roman" w:eastAsiaTheme="minorEastAsia" w:hAnsi="Times New Roman" w:cs="Times New Roman"/>
                <w:b/>
                <w:bCs/>
                <w:color w:val="000000"/>
                <w:sz w:val="24"/>
                <w:szCs w:val="24"/>
              </w:rPr>
              <w:br/>
              <w:t>(N=151)</w:t>
            </w:r>
          </w:p>
        </w:tc>
      </w:tr>
      <w:tr w:rsidR="002D2985" w:rsidRPr="00525F08" w:rsidTr="005C0C71">
        <w:trPr>
          <w:cantSplit/>
        </w:trPr>
        <w:tc>
          <w:tcPr>
            <w:tcW w:w="1082"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Headache</w:t>
            </w:r>
          </w:p>
        </w:tc>
        <w:tc>
          <w:tcPr>
            <w:tcW w:w="1009"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25%</w:t>
            </w:r>
          </w:p>
        </w:tc>
        <w:tc>
          <w:tcPr>
            <w:tcW w:w="11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17%</w:t>
            </w:r>
          </w:p>
        </w:tc>
        <w:tc>
          <w:tcPr>
            <w:tcW w:w="923"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27%</w:t>
            </w:r>
          </w:p>
        </w:tc>
        <w:tc>
          <w:tcPr>
            <w:tcW w:w="7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28%</w:t>
            </w:r>
          </w:p>
        </w:tc>
      </w:tr>
      <w:tr w:rsidR="002D2985" w:rsidRPr="00525F08" w:rsidTr="005C0C71">
        <w:trPr>
          <w:cantSplit/>
        </w:trPr>
        <w:tc>
          <w:tcPr>
            <w:tcW w:w="1082"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Fatigue</w:t>
            </w:r>
          </w:p>
        </w:tc>
        <w:tc>
          <w:tcPr>
            <w:tcW w:w="1009"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21%</w:t>
            </w:r>
          </w:p>
        </w:tc>
        <w:tc>
          <w:tcPr>
            <w:tcW w:w="11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20%</w:t>
            </w:r>
          </w:p>
        </w:tc>
        <w:tc>
          <w:tcPr>
            <w:tcW w:w="923"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24%</w:t>
            </w:r>
          </w:p>
        </w:tc>
        <w:tc>
          <w:tcPr>
            <w:tcW w:w="7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28%</w:t>
            </w:r>
          </w:p>
        </w:tc>
      </w:tr>
      <w:tr w:rsidR="002D2985" w:rsidRPr="00525F08" w:rsidTr="005C0C71">
        <w:trPr>
          <w:cantSplit/>
        </w:trPr>
        <w:tc>
          <w:tcPr>
            <w:tcW w:w="1082"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Diarrhoea</w:t>
            </w:r>
          </w:p>
        </w:tc>
        <w:tc>
          <w:tcPr>
            <w:tcW w:w="1009"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18%</w:t>
            </w:r>
          </w:p>
        </w:tc>
        <w:tc>
          <w:tcPr>
            <w:tcW w:w="11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13%</w:t>
            </w:r>
          </w:p>
        </w:tc>
        <w:tc>
          <w:tcPr>
            <w:tcW w:w="923"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20%</w:t>
            </w:r>
          </w:p>
        </w:tc>
        <w:tc>
          <w:tcPr>
            <w:tcW w:w="7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5%</w:t>
            </w:r>
          </w:p>
        </w:tc>
      </w:tr>
      <w:tr w:rsidR="002D2985" w:rsidRPr="00525F08" w:rsidTr="005C0C71">
        <w:trPr>
          <w:cantSplit/>
        </w:trPr>
        <w:tc>
          <w:tcPr>
            <w:tcW w:w="1082"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Nausea</w:t>
            </w:r>
          </w:p>
        </w:tc>
        <w:tc>
          <w:tcPr>
            <w:tcW w:w="1009"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14%</w:t>
            </w:r>
          </w:p>
        </w:tc>
        <w:tc>
          <w:tcPr>
            <w:tcW w:w="11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8%</w:t>
            </w:r>
          </w:p>
        </w:tc>
        <w:tc>
          <w:tcPr>
            <w:tcW w:w="923"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12%</w:t>
            </w:r>
          </w:p>
        </w:tc>
        <w:tc>
          <w:tcPr>
            <w:tcW w:w="7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8%</w:t>
            </w:r>
          </w:p>
        </w:tc>
      </w:tr>
      <w:tr w:rsidR="002D2985" w:rsidRPr="00525F08" w:rsidTr="005C0C71">
        <w:trPr>
          <w:cantSplit/>
        </w:trPr>
        <w:tc>
          <w:tcPr>
            <w:tcW w:w="1082"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Asthenia</w:t>
            </w:r>
          </w:p>
        </w:tc>
        <w:tc>
          <w:tcPr>
            <w:tcW w:w="1009"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8%</w:t>
            </w:r>
          </w:p>
        </w:tc>
        <w:tc>
          <w:tcPr>
            <w:tcW w:w="11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6%</w:t>
            </w:r>
          </w:p>
        </w:tc>
        <w:tc>
          <w:tcPr>
            <w:tcW w:w="923"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5%</w:t>
            </w:r>
          </w:p>
        </w:tc>
        <w:tc>
          <w:tcPr>
            <w:tcW w:w="7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6%</w:t>
            </w:r>
          </w:p>
        </w:tc>
      </w:tr>
      <w:tr w:rsidR="002D2985" w:rsidRPr="00525F08" w:rsidTr="005C0C71">
        <w:trPr>
          <w:cantSplit/>
        </w:trPr>
        <w:tc>
          <w:tcPr>
            <w:tcW w:w="1082" w:type="pct"/>
            <w:tcBorders>
              <w:top w:val="nil"/>
              <w:left w:val="nil"/>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Insomnia</w:t>
            </w:r>
          </w:p>
        </w:tc>
        <w:tc>
          <w:tcPr>
            <w:tcW w:w="1009"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7%</w:t>
            </w:r>
          </w:p>
        </w:tc>
        <w:tc>
          <w:tcPr>
            <w:tcW w:w="11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5%</w:t>
            </w:r>
          </w:p>
        </w:tc>
        <w:tc>
          <w:tcPr>
            <w:tcW w:w="923" w:type="pct"/>
            <w:tcBorders>
              <w:top w:val="nil"/>
              <w:left w:val="single" w:sz="4" w:space="0" w:color="000000"/>
              <w:bottom w:val="single" w:sz="4"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7%</w:t>
            </w:r>
          </w:p>
        </w:tc>
        <w:tc>
          <w:tcPr>
            <w:tcW w:w="793" w:type="pct"/>
            <w:tcBorders>
              <w:top w:val="nil"/>
              <w:left w:val="single" w:sz="4" w:space="0" w:color="000000"/>
              <w:bottom w:val="single" w:sz="4"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color w:val="000000"/>
                <w:sz w:val="24"/>
                <w:szCs w:val="24"/>
              </w:rPr>
            </w:pPr>
            <w:r w:rsidRPr="005575AC">
              <w:rPr>
                <w:rFonts w:ascii="Times New Roman" w:eastAsiaTheme="minorEastAsia" w:hAnsi="Times New Roman" w:cs="Times New Roman"/>
                <w:color w:val="000000"/>
                <w:sz w:val="24"/>
                <w:szCs w:val="24"/>
              </w:rPr>
              <w:t>2%</w:t>
            </w:r>
          </w:p>
        </w:tc>
      </w:tr>
      <w:tr w:rsidR="002D2985" w:rsidRPr="00DC4D4E" w:rsidTr="005C0C71">
        <w:trPr>
          <w:cantSplit/>
        </w:trPr>
        <w:tc>
          <w:tcPr>
            <w:tcW w:w="1082" w:type="pct"/>
            <w:tcBorders>
              <w:top w:val="single" w:sz="4" w:space="0" w:color="000000"/>
              <w:left w:val="nil"/>
              <w:bottom w:val="single" w:sz="12"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ind w:left="360"/>
              <w:rPr>
                <w:rFonts w:ascii="Times New Roman" w:eastAsiaTheme="minorEastAsia" w:hAnsi="Times New Roman" w:cs="Times New Roman"/>
                <w:strike/>
                <w:color w:val="000000"/>
                <w:sz w:val="24"/>
                <w:szCs w:val="24"/>
              </w:rPr>
            </w:pPr>
            <w:r w:rsidRPr="005575AC">
              <w:rPr>
                <w:rFonts w:ascii="Times New Roman" w:eastAsiaTheme="minorEastAsia" w:hAnsi="Times New Roman" w:cs="Times New Roman"/>
                <w:color w:val="000000"/>
                <w:sz w:val="24"/>
                <w:szCs w:val="24"/>
              </w:rPr>
              <w:t>Back pain</w:t>
            </w:r>
          </w:p>
        </w:tc>
        <w:tc>
          <w:tcPr>
            <w:tcW w:w="1009" w:type="pct"/>
            <w:tcBorders>
              <w:top w:val="single" w:sz="4" w:space="0" w:color="000000"/>
              <w:left w:val="single" w:sz="4" w:space="0" w:color="000000"/>
              <w:bottom w:val="single" w:sz="12"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strike/>
                <w:color w:val="000000"/>
                <w:sz w:val="24"/>
                <w:szCs w:val="24"/>
              </w:rPr>
            </w:pPr>
            <w:r w:rsidRPr="005575AC">
              <w:rPr>
                <w:rFonts w:ascii="Times New Roman" w:eastAsiaTheme="minorEastAsia" w:hAnsi="Times New Roman" w:cs="Times New Roman"/>
                <w:color w:val="000000"/>
                <w:sz w:val="24"/>
                <w:szCs w:val="24"/>
              </w:rPr>
              <w:t>4%</w:t>
            </w:r>
          </w:p>
        </w:tc>
        <w:tc>
          <w:tcPr>
            <w:tcW w:w="1193" w:type="pct"/>
            <w:tcBorders>
              <w:top w:val="single" w:sz="4" w:space="0" w:color="000000"/>
              <w:left w:val="single" w:sz="4" w:space="0" w:color="000000"/>
              <w:bottom w:val="single" w:sz="12"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strike/>
                <w:color w:val="000000"/>
                <w:sz w:val="24"/>
                <w:szCs w:val="24"/>
              </w:rPr>
            </w:pPr>
            <w:r w:rsidRPr="005575AC">
              <w:rPr>
                <w:rFonts w:ascii="Times New Roman" w:eastAsiaTheme="minorEastAsia" w:hAnsi="Times New Roman" w:cs="Times New Roman"/>
                <w:color w:val="000000"/>
                <w:sz w:val="24"/>
                <w:szCs w:val="24"/>
              </w:rPr>
              <w:t>5%</w:t>
            </w:r>
          </w:p>
        </w:tc>
        <w:tc>
          <w:tcPr>
            <w:tcW w:w="923" w:type="pct"/>
            <w:tcBorders>
              <w:top w:val="single" w:sz="4" w:space="0" w:color="000000"/>
              <w:left w:val="single" w:sz="4" w:space="0" w:color="000000"/>
              <w:bottom w:val="single" w:sz="12" w:space="0" w:color="000000"/>
              <w:right w:val="single" w:sz="4" w:space="0" w:color="000000"/>
            </w:tcBorders>
            <w:shd w:val="clear" w:color="auto" w:fill="FFFFFF"/>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strike/>
                <w:color w:val="000000"/>
                <w:sz w:val="24"/>
                <w:szCs w:val="24"/>
              </w:rPr>
            </w:pPr>
            <w:r w:rsidRPr="005575AC">
              <w:rPr>
                <w:rFonts w:ascii="Times New Roman" w:eastAsiaTheme="minorEastAsia" w:hAnsi="Times New Roman" w:cs="Times New Roman"/>
                <w:color w:val="000000"/>
                <w:sz w:val="24"/>
                <w:szCs w:val="24"/>
              </w:rPr>
              <w:t>7%</w:t>
            </w:r>
          </w:p>
        </w:tc>
        <w:tc>
          <w:tcPr>
            <w:tcW w:w="793" w:type="pct"/>
            <w:tcBorders>
              <w:top w:val="single" w:sz="4" w:space="0" w:color="000000"/>
              <w:left w:val="single" w:sz="4" w:space="0" w:color="000000"/>
              <w:bottom w:val="single" w:sz="12" w:space="0" w:color="000000"/>
              <w:right w:val="nil"/>
            </w:tcBorders>
            <w:shd w:val="clear" w:color="auto" w:fill="FFFFFF"/>
            <w:tcMar>
              <w:left w:w="10" w:type="dxa"/>
              <w:right w:w="10" w:type="dxa"/>
            </w:tcMar>
          </w:tcPr>
          <w:p w:rsidR="002D2985" w:rsidRPr="005575AC" w:rsidRDefault="002D2985" w:rsidP="005C0C71">
            <w:pPr>
              <w:autoSpaceDE w:val="0"/>
              <w:autoSpaceDN w:val="0"/>
              <w:adjustRightInd w:val="0"/>
              <w:spacing w:before="50" w:after="50"/>
              <w:jc w:val="center"/>
              <w:rPr>
                <w:rFonts w:ascii="Times New Roman" w:eastAsiaTheme="minorEastAsia" w:hAnsi="Times New Roman" w:cs="Times New Roman"/>
                <w:strike/>
                <w:color w:val="000000"/>
                <w:sz w:val="24"/>
                <w:szCs w:val="24"/>
              </w:rPr>
            </w:pPr>
            <w:r w:rsidRPr="005575AC">
              <w:rPr>
                <w:rFonts w:ascii="Times New Roman" w:eastAsiaTheme="minorEastAsia" w:hAnsi="Times New Roman" w:cs="Times New Roman"/>
                <w:color w:val="000000"/>
                <w:sz w:val="24"/>
                <w:szCs w:val="24"/>
              </w:rPr>
              <w:t>5%</w:t>
            </w:r>
          </w:p>
        </w:tc>
      </w:tr>
    </w:tbl>
    <w:p w:rsidR="002D2985" w:rsidRDefault="002D2985" w:rsidP="002D2985">
      <w:pPr>
        <w:pStyle w:val="Heading4"/>
        <w:numPr>
          <w:ilvl w:val="0"/>
          <w:numId w:val="0"/>
        </w:numPr>
        <w:ind w:left="864"/>
        <w:rPr>
          <w:b w:val="0"/>
          <w:i w:val="0"/>
        </w:rPr>
      </w:pPr>
    </w:p>
    <w:p w:rsidR="00D57708" w:rsidRPr="00CF03D0" w:rsidRDefault="00D57708" w:rsidP="005D40D3">
      <w:pPr>
        <w:pStyle w:val="TextTi11"/>
        <w:spacing w:after="240" w:line="240" w:lineRule="auto"/>
        <w:rPr>
          <w:sz w:val="24"/>
          <w:szCs w:val="24"/>
        </w:rPr>
      </w:pPr>
      <w:r w:rsidRPr="00CF03D0">
        <w:rPr>
          <w:sz w:val="24"/>
          <w:szCs w:val="24"/>
        </w:rPr>
        <w:t>In POLARIS-1, of the patients receiving VOSEVI who experienced these adverse events, &gt;99% of patients had an adverse event of mild or moderate (Grade 1 or 2) severity. Each of these adverse events occurred at a similar frequency or more frequently than in patients treated with placebo.</w:t>
      </w:r>
    </w:p>
    <w:p w:rsidR="00D57708" w:rsidRPr="00CF03D0" w:rsidRDefault="00D57708" w:rsidP="005D40D3">
      <w:pPr>
        <w:spacing w:before="120" w:after="240" w:line="240" w:lineRule="auto"/>
        <w:rPr>
          <w:rFonts w:ascii="Times New Roman" w:hAnsi="Times New Roman" w:cs="Times New Roman"/>
          <w:sz w:val="24"/>
          <w:szCs w:val="24"/>
        </w:rPr>
      </w:pPr>
      <w:r w:rsidRPr="00CF03D0">
        <w:rPr>
          <w:rFonts w:ascii="Times New Roman" w:hAnsi="Times New Roman" w:cs="Times New Roman"/>
          <w:sz w:val="24"/>
          <w:szCs w:val="24"/>
        </w:rPr>
        <w:t xml:space="preserve">Laboratory Abnormalities: </w:t>
      </w:r>
    </w:p>
    <w:p w:rsidR="00D57708" w:rsidRPr="00CF03D0" w:rsidRDefault="00D57708" w:rsidP="005D40D3">
      <w:pPr>
        <w:spacing w:before="120" w:after="240" w:line="240" w:lineRule="auto"/>
        <w:rPr>
          <w:rFonts w:ascii="Times New Roman" w:hAnsi="Times New Roman" w:cs="Times New Roman"/>
          <w:sz w:val="24"/>
          <w:szCs w:val="24"/>
        </w:rPr>
      </w:pPr>
      <w:r w:rsidRPr="00CF03D0">
        <w:rPr>
          <w:rFonts w:ascii="Times New Roman" w:hAnsi="Times New Roman" w:cs="Times New Roman"/>
          <w:sz w:val="24"/>
          <w:szCs w:val="24"/>
        </w:rPr>
        <w:t xml:space="preserve">Lipase Elevations: In the POLARIS-1 and POLARIS-4 Phase 3 trials, isolated, asymptomatic lipase elevations of greater than 3×ULN were observed in 2%, 3% and 1% of patients treated with VOSEVI, placebo and SOF/VEL for 12 weeks, respectively. </w:t>
      </w:r>
    </w:p>
    <w:p w:rsidR="00D57708" w:rsidRPr="00CF03D0" w:rsidRDefault="00D57708" w:rsidP="005D40D3">
      <w:pPr>
        <w:spacing w:before="120" w:after="240" w:line="240" w:lineRule="auto"/>
        <w:rPr>
          <w:rFonts w:ascii="Times New Roman" w:hAnsi="Times New Roman" w:cs="Times New Roman"/>
          <w:sz w:val="24"/>
          <w:szCs w:val="24"/>
        </w:rPr>
      </w:pPr>
      <w:r w:rsidRPr="00CF03D0">
        <w:rPr>
          <w:rFonts w:ascii="Times New Roman" w:hAnsi="Times New Roman" w:cs="Times New Roman"/>
          <w:sz w:val="24"/>
          <w:szCs w:val="24"/>
        </w:rPr>
        <w:t>Creatine Kinase: In the POLARIS-1 and POLARIS-4 Phase 3 trials, isolated, asymptomatic creatine kinase elevations greater than or equal to 10×ULN were reported in less than 1%, 1%, and less than 1% of patients treated with VOSEVI, placebo and SOF/VEL for 12 weeks, respectively.</w:t>
      </w:r>
    </w:p>
    <w:p w:rsidR="00D57708" w:rsidRPr="00CF03D0" w:rsidRDefault="00D57708" w:rsidP="005D40D3">
      <w:pPr>
        <w:spacing w:before="120" w:after="240" w:line="240" w:lineRule="auto"/>
        <w:rPr>
          <w:rFonts w:ascii="Times New Roman" w:hAnsi="Times New Roman" w:cs="Times New Roman"/>
          <w:sz w:val="24"/>
          <w:szCs w:val="24"/>
        </w:rPr>
      </w:pPr>
      <w:r w:rsidRPr="00CF03D0">
        <w:rPr>
          <w:rFonts w:ascii="Times New Roman" w:hAnsi="Times New Roman" w:cs="Times New Roman"/>
          <w:sz w:val="24"/>
          <w:szCs w:val="24"/>
        </w:rPr>
        <w:t>Total bilirubin: In the POLARIS-1 and POLARIS-4 Phase 3 trials, increases in total bilirubin less than or equal to 1.5×ULN were observed in 5% of patients without cirrhosis and 9% of subjects with compensated cirrhosis, due to inhibition of OATP1B1 and OATP1B3 by voxilaprevir. No patients experienced jaundice and total bilirubin levels decreased after completing VOSEVI treatment.</w:t>
      </w:r>
    </w:p>
    <w:p w:rsidR="00D57708" w:rsidRPr="00CF03D0" w:rsidRDefault="00D57708" w:rsidP="005D40D3">
      <w:pPr>
        <w:pStyle w:val="Heading4"/>
        <w:numPr>
          <w:ilvl w:val="0"/>
          <w:numId w:val="0"/>
        </w:numPr>
        <w:spacing w:before="120" w:after="240" w:line="240" w:lineRule="auto"/>
        <w:ind w:left="864" w:hanging="864"/>
        <w:rPr>
          <w:rFonts w:ascii="Times New Roman" w:hAnsi="Times New Roman" w:cs="Times New Roman"/>
          <w:b w:val="0"/>
          <w:i w:val="0"/>
          <w:color w:val="auto"/>
          <w:sz w:val="24"/>
          <w:szCs w:val="24"/>
          <w:u w:val="single"/>
        </w:rPr>
      </w:pPr>
      <w:r w:rsidRPr="00CF03D0">
        <w:rPr>
          <w:rFonts w:ascii="Times New Roman" w:hAnsi="Times New Roman" w:cs="Times New Roman"/>
          <w:b w:val="0"/>
          <w:i w:val="0"/>
          <w:color w:val="auto"/>
          <w:sz w:val="24"/>
          <w:szCs w:val="24"/>
          <w:u w:val="single"/>
        </w:rPr>
        <w:t xml:space="preserve">Post marketing Surveillance  </w:t>
      </w:r>
    </w:p>
    <w:p w:rsidR="00D57708" w:rsidRPr="00CF03D0" w:rsidRDefault="00D57708" w:rsidP="005D40D3">
      <w:pPr>
        <w:spacing w:before="120" w:after="240" w:line="240" w:lineRule="auto"/>
        <w:rPr>
          <w:rFonts w:ascii="Times New Roman" w:hAnsi="Times New Roman" w:cs="Times New Roman"/>
          <w:noProof/>
          <w:sz w:val="24"/>
          <w:szCs w:val="24"/>
        </w:rPr>
      </w:pPr>
      <w:r w:rsidRPr="00CF03D0">
        <w:rPr>
          <w:rFonts w:ascii="Times New Roman" w:hAnsi="Times New Roman" w:cs="Times New Roman"/>
          <w:noProof/>
          <w:sz w:val="24"/>
          <w:szCs w:val="24"/>
        </w:rPr>
        <w:t>The following possible adverse reactions were identified during postapproval use of sofosbuvir.  Because these reactions were reported voluntarily from a population of unknown size, estimates of frequency cannot be made.</w:t>
      </w:r>
    </w:p>
    <w:p w:rsidR="00D57708" w:rsidRPr="00A96CB7" w:rsidRDefault="00D57708" w:rsidP="005D40D3">
      <w:pPr>
        <w:pStyle w:val="Heading4"/>
        <w:numPr>
          <w:ilvl w:val="0"/>
          <w:numId w:val="0"/>
        </w:numPr>
        <w:spacing w:before="120" w:after="240" w:line="240" w:lineRule="auto"/>
        <w:rPr>
          <w:rFonts w:ascii="Times New Roman" w:hAnsi="Times New Roman" w:cs="Times New Roman"/>
          <w:b w:val="0"/>
          <w:i w:val="0"/>
          <w:noProof/>
          <w:color w:val="auto"/>
          <w:sz w:val="24"/>
          <w:szCs w:val="24"/>
          <w:u w:val="single"/>
        </w:rPr>
      </w:pPr>
      <w:r w:rsidRPr="00A96CB7">
        <w:rPr>
          <w:rFonts w:ascii="Times New Roman" w:hAnsi="Times New Roman" w:cs="Times New Roman"/>
          <w:b w:val="0"/>
          <w:i w:val="0"/>
          <w:noProof/>
          <w:color w:val="auto"/>
          <w:sz w:val="24"/>
          <w:szCs w:val="24"/>
          <w:u w:val="single"/>
        </w:rPr>
        <w:lastRenderedPageBreak/>
        <w:t>Cardiac Disorders</w:t>
      </w:r>
    </w:p>
    <w:p w:rsidR="002D2985" w:rsidRPr="005D40D3" w:rsidRDefault="00D57708" w:rsidP="005D40D3">
      <w:pPr>
        <w:spacing w:before="120" w:after="240" w:line="240" w:lineRule="auto"/>
        <w:rPr>
          <w:rFonts w:ascii="Times New Roman" w:hAnsi="Times New Roman" w:cs="Times New Roman"/>
          <w:noProof/>
          <w:sz w:val="24"/>
          <w:szCs w:val="24"/>
        </w:rPr>
      </w:pPr>
      <w:r w:rsidRPr="005D40D3">
        <w:rPr>
          <w:rFonts w:ascii="Times New Roman" w:hAnsi="Times New Roman" w:cs="Times New Roman"/>
          <w:noProof/>
          <w:sz w:val="24"/>
          <w:szCs w:val="24"/>
        </w:rPr>
        <w:t xml:space="preserve">Symptomatic bradycardia (when amiodarone is coadministered with sofosbuvir in combination with another HCV direct acting antiviral) </w:t>
      </w:r>
      <w:r w:rsidRPr="007F5911">
        <w:rPr>
          <w:rFonts w:ascii="Times New Roman" w:hAnsi="Times New Roman" w:cs="Times New Roman"/>
          <w:noProof/>
          <w:sz w:val="24"/>
          <w:szCs w:val="24"/>
        </w:rPr>
        <w:t xml:space="preserve">(see </w:t>
      </w:r>
      <w:r w:rsidR="007F5911">
        <w:rPr>
          <w:rFonts w:ascii="Times New Roman" w:hAnsi="Times New Roman" w:cs="Times New Roman"/>
          <w:noProof/>
          <w:sz w:val="24"/>
          <w:szCs w:val="24"/>
        </w:rPr>
        <w:t>Section 4.4</w:t>
      </w:r>
      <w:r w:rsidR="001F0D62">
        <w:rPr>
          <w:rFonts w:ascii="Times New Roman" w:hAnsi="Times New Roman" w:cs="Times New Roman"/>
          <w:noProof/>
          <w:sz w:val="24"/>
          <w:szCs w:val="24"/>
        </w:rPr>
        <w:t xml:space="preserve"> </w:t>
      </w:r>
      <w:r w:rsidR="00DE029D">
        <w:rPr>
          <w:rFonts w:ascii="Times New Roman" w:hAnsi="Times New Roman" w:cs="Times New Roman"/>
          <w:noProof/>
          <w:sz w:val="24"/>
          <w:szCs w:val="24"/>
        </w:rPr>
        <w:t>[</w:t>
      </w:r>
      <w:r w:rsidR="001F0D62">
        <w:rPr>
          <w:rFonts w:ascii="Times New Roman" w:hAnsi="Times New Roman" w:cs="Times New Roman"/>
          <w:noProof/>
          <w:sz w:val="24"/>
          <w:szCs w:val="24"/>
        </w:rPr>
        <w:t>S</w:t>
      </w:r>
      <w:r w:rsidR="00AA1A77">
        <w:rPr>
          <w:rFonts w:ascii="Times New Roman" w:hAnsi="Times New Roman" w:cs="Times New Roman"/>
          <w:noProof/>
          <w:sz w:val="24"/>
          <w:szCs w:val="24"/>
        </w:rPr>
        <w:t>pecial warnings and precautions for use</w:t>
      </w:r>
      <w:r w:rsidR="00DE029D">
        <w:rPr>
          <w:rFonts w:ascii="Times New Roman" w:hAnsi="Times New Roman" w:cs="Times New Roman"/>
          <w:noProof/>
          <w:sz w:val="24"/>
          <w:szCs w:val="24"/>
        </w:rPr>
        <w:t>]</w:t>
      </w:r>
      <w:r w:rsidRPr="007F5911">
        <w:rPr>
          <w:rFonts w:ascii="Times New Roman" w:hAnsi="Times New Roman" w:cs="Times New Roman"/>
          <w:noProof/>
          <w:sz w:val="24"/>
          <w:szCs w:val="24"/>
        </w:rPr>
        <w:t>).</w:t>
      </w:r>
    </w:p>
    <w:p w:rsidR="005D40D3" w:rsidRPr="00CF03D0" w:rsidRDefault="005D40D3" w:rsidP="00CF03D0">
      <w:pPr>
        <w:pStyle w:val="Heading2"/>
        <w:rPr>
          <w:rFonts w:ascii="Times New Roman" w:hAnsi="Times New Roman" w:cs="Times New Roman"/>
        </w:rPr>
      </w:pPr>
      <w:r w:rsidRPr="00CF03D0">
        <w:rPr>
          <w:rFonts w:ascii="Times New Roman" w:hAnsi="Times New Roman" w:cs="Times New Roman"/>
        </w:rPr>
        <w:t>OVERDOSE</w:t>
      </w:r>
    </w:p>
    <w:p w:rsidR="00D57708" w:rsidRPr="00F53776" w:rsidRDefault="00D57708" w:rsidP="005D40D3">
      <w:pPr>
        <w:spacing w:before="120" w:after="240" w:line="240" w:lineRule="auto"/>
        <w:rPr>
          <w:rFonts w:ascii="Times New Roman" w:hAnsi="Times New Roman" w:cs="Times New Roman"/>
          <w:sz w:val="24"/>
          <w:szCs w:val="24"/>
        </w:rPr>
      </w:pPr>
      <w:r w:rsidRPr="00F53776">
        <w:rPr>
          <w:rFonts w:ascii="Times New Roman" w:hAnsi="Times New Roman" w:cs="Times New Roman"/>
          <w:sz w:val="24"/>
          <w:szCs w:val="24"/>
        </w:rPr>
        <w:t xml:space="preserve">The highest documented doses of sofosbuvir, velpatasvir, and voxilaprevir were single doses of 1200 mg, 500 mg, and 900 mg, respectively. In healthy volunteer studies with sofosbuvir and velpatasvir, there were no untoward effects observed at these dose levels, and adverse events were similar in frequency and severity to those reported in the placebo groups. The most common adverse events in patients receiving voxilaprevir 900 mg were diarrhoea (34%), vomiting (19%), and nausea (17%). The effects of higher doses/exposures are not known. </w:t>
      </w:r>
    </w:p>
    <w:p w:rsidR="00D57708" w:rsidRPr="00F53776" w:rsidRDefault="00D57708" w:rsidP="005D40D3">
      <w:pPr>
        <w:spacing w:before="120" w:after="240" w:line="240" w:lineRule="auto"/>
        <w:rPr>
          <w:rFonts w:ascii="Times New Roman" w:hAnsi="Times New Roman" w:cs="Times New Roman"/>
          <w:sz w:val="24"/>
          <w:szCs w:val="24"/>
        </w:rPr>
      </w:pPr>
      <w:r w:rsidRPr="00F53776">
        <w:rPr>
          <w:rFonts w:ascii="Times New Roman" w:hAnsi="Times New Roman" w:cs="Times New Roman"/>
          <w:sz w:val="24"/>
          <w:szCs w:val="24"/>
        </w:rPr>
        <w:t>No specific antidote is available for overdose with VOSEVI. If overdose occurs the patient must be monitored for evidence of toxicity. Treatment of overdose with VOSEVI consists of general supportive measures including monitoring of vital signs as well as observation of the clinical status of the patient. Hemodialysis can efficiently remove the predominant circulating metabolite of sofosbuvir, GS-331007, with an extraction ratio of 53%. Hemodialysis is unlikely to result in significant removal of velpatasvir or voxilaprevir since velpatasvir and voxilaprevir are highly bound to plasma proteins.</w:t>
      </w:r>
    </w:p>
    <w:p w:rsidR="00D57708" w:rsidRDefault="00D57708" w:rsidP="005D40D3">
      <w:pPr>
        <w:spacing w:before="120" w:after="240" w:line="240" w:lineRule="auto"/>
        <w:rPr>
          <w:rFonts w:ascii="Times New Roman" w:hAnsi="Times New Roman" w:cs="Times New Roman"/>
          <w:sz w:val="24"/>
          <w:szCs w:val="24"/>
        </w:rPr>
      </w:pPr>
      <w:r w:rsidRPr="00F53776">
        <w:rPr>
          <w:rFonts w:ascii="Times New Roman" w:hAnsi="Times New Roman" w:cs="Times New Roman"/>
          <w:sz w:val="24"/>
          <w:szCs w:val="24"/>
        </w:rPr>
        <w:t>For information on the management of overdose, contact the Poison Information Centre on 131126 (Australia) and 0800 764 766 (New Zealand).</w:t>
      </w:r>
    </w:p>
    <w:p w:rsidR="005D40D3" w:rsidRPr="00CF03D0" w:rsidRDefault="005D40D3" w:rsidP="00CF03D0">
      <w:pPr>
        <w:pStyle w:val="Heading1"/>
        <w:rPr>
          <w:rFonts w:ascii="Times New Roman" w:hAnsi="Times New Roman" w:cs="Times New Roman"/>
        </w:rPr>
      </w:pPr>
      <w:r w:rsidRPr="00CF03D0">
        <w:rPr>
          <w:rFonts w:ascii="Times New Roman" w:hAnsi="Times New Roman" w:cs="Times New Roman"/>
        </w:rPr>
        <w:t>PHARMACOLOGICAL PROPERTIES</w:t>
      </w:r>
    </w:p>
    <w:p w:rsidR="005D40D3" w:rsidRPr="004469C5" w:rsidRDefault="005D40D3" w:rsidP="004469C5">
      <w:pPr>
        <w:pStyle w:val="Heading2"/>
        <w:rPr>
          <w:rFonts w:ascii="Times New Roman" w:hAnsi="Times New Roman" w:cs="Times New Roman"/>
        </w:rPr>
      </w:pPr>
      <w:r w:rsidRPr="004469C5">
        <w:rPr>
          <w:rFonts w:ascii="Times New Roman" w:hAnsi="Times New Roman" w:cs="Times New Roman"/>
        </w:rPr>
        <w:t xml:space="preserve">PHARMACODYNAMIC PROPERTIES </w:t>
      </w:r>
    </w:p>
    <w:p w:rsidR="00D57708" w:rsidRPr="00F53776" w:rsidRDefault="00D57708" w:rsidP="005D40D3">
      <w:pPr>
        <w:spacing w:before="120" w:after="240" w:line="240" w:lineRule="auto"/>
        <w:rPr>
          <w:rFonts w:ascii="Times New Roman" w:hAnsi="Times New Roman" w:cs="Times New Roman"/>
          <w:noProof/>
          <w:sz w:val="24"/>
          <w:szCs w:val="24"/>
          <w:lang w:val="en-GB"/>
        </w:rPr>
      </w:pPr>
      <w:r w:rsidRPr="00F53776">
        <w:rPr>
          <w:rFonts w:ascii="Times New Roman" w:hAnsi="Times New Roman" w:cs="Times New Roman"/>
          <w:i/>
          <w:noProof/>
          <w:sz w:val="24"/>
          <w:szCs w:val="24"/>
        </w:rPr>
        <w:t xml:space="preserve">Pharmacotherapeutic group: </w:t>
      </w:r>
      <w:r w:rsidRPr="00F53776">
        <w:rPr>
          <w:rFonts w:ascii="Times New Roman" w:hAnsi="Times New Roman" w:cs="Times New Roman"/>
          <w:sz w:val="24"/>
          <w:szCs w:val="24"/>
        </w:rPr>
        <w:t>Antivirals for systemic use; direct acting antivirals, other antivirals, ATC code: not yet assigned</w:t>
      </w:r>
      <w:r w:rsidRPr="00F53776">
        <w:rPr>
          <w:rFonts w:ascii="Times New Roman" w:hAnsi="Times New Roman" w:cs="Times New Roman"/>
          <w:noProof/>
          <w:sz w:val="24"/>
          <w:szCs w:val="24"/>
          <w:lang w:val="en-GB"/>
        </w:rPr>
        <w:t xml:space="preserve">. </w:t>
      </w:r>
    </w:p>
    <w:p w:rsidR="001A3992" w:rsidRPr="004469C5" w:rsidRDefault="001A3992" w:rsidP="005D40D3">
      <w:pPr>
        <w:pStyle w:val="Heading3"/>
        <w:spacing w:before="120" w:after="240" w:line="240" w:lineRule="auto"/>
        <w:ind w:left="0"/>
        <w:rPr>
          <w:rFonts w:ascii="Times New Roman" w:hAnsi="Times New Roman" w:cs="Times New Roman"/>
        </w:rPr>
      </w:pPr>
      <w:r w:rsidRPr="004469C5">
        <w:rPr>
          <w:rFonts w:ascii="Times New Roman" w:hAnsi="Times New Roman" w:cs="Times New Roman"/>
        </w:rPr>
        <w:t>Mechanism of action</w:t>
      </w:r>
    </w:p>
    <w:p w:rsidR="00D57708" w:rsidRPr="00F53776" w:rsidRDefault="00D57708" w:rsidP="005D40D3">
      <w:pPr>
        <w:spacing w:before="120" w:after="240" w:line="240" w:lineRule="auto"/>
        <w:rPr>
          <w:rFonts w:ascii="Times New Roman" w:hAnsi="Times New Roman" w:cs="Times New Roman"/>
          <w:sz w:val="24"/>
          <w:szCs w:val="24"/>
        </w:rPr>
      </w:pPr>
      <w:r w:rsidRPr="00F53776">
        <w:rPr>
          <w:rFonts w:ascii="Times New Roman" w:hAnsi="Times New Roman" w:cs="Times New Roman"/>
          <w:sz w:val="24"/>
          <w:szCs w:val="24"/>
        </w:rPr>
        <w:t>Sofosbuvir is a pan-genotypic inhibitor of the HCV NS5B RNA-dependent RNA polymerase, which is essential for viral replication. Sofosbuvir is a nucleotide prodrug that undergoes intracellular metabolism to form the pharmacologically active uridine analog triphosphate (GS-461203), which can be incorporated by HCV NS5B and acts as a chain terminator. In a biochemical assay, GS-461203 inhibited the polymerase activity of the recombinant NS5B from HCV genotype 1b, 2a, 3a and 4a with an IC</w:t>
      </w:r>
      <w:r w:rsidRPr="00F53776">
        <w:rPr>
          <w:rFonts w:ascii="Times New Roman" w:hAnsi="Times New Roman" w:cs="Times New Roman"/>
          <w:sz w:val="24"/>
          <w:szCs w:val="24"/>
          <w:vertAlign w:val="subscript"/>
        </w:rPr>
        <w:t>50</w:t>
      </w:r>
      <w:r w:rsidRPr="00F53776">
        <w:rPr>
          <w:rFonts w:ascii="Times New Roman" w:hAnsi="Times New Roman" w:cs="Times New Roman"/>
          <w:sz w:val="24"/>
          <w:szCs w:val="24"/>
        </w:rPr>
        <w:t xml:space="preserve"> value ranging from 0.36 to 3.3 μM. GS-461203 is neither an inhibitor of human DNA and RNA polymerases nor an inhibitor of mitochondrial RNA polymerase. </w:t>
      </w:r>
    </w:p>
    <w:p w:rsidR="00D57708" w:rsidRPr="00F53776" w:rsidRDefault="00D57708" w:rsidP="005D40D3">
      <w:pPr>
        <w:spacing w:before="120" w:after="240" w:line="240" w:lineRule="auto"/>
        <w:rPr>
          <w:rFonts w:ascii="Times New Roman" w:hAnsi="Times New Roman" w:cs="Times New Roman"/>
          <w:sz w:val="24"/>
          <w:szCs w:val="24"/>
        </w:rPr>
      </w:pPr>
      <w:r w:rsidRPr="00F53776">
        <w:rPr>
          <w:rFonts w:ascii="Times New Roman" w:hAnsi="Times New Roman" w:cs="Times New Roman"/>
          <w:sz w:val="24"/>
          <w:szCs w:val="24"/>
        </w:rPr>
        <w:t xml:space="preserve">Velpatasvir is a pan-genotypic HCV inhibitor targeting the HCV NS5A protein, which is essential for both RNA replication and the assembly of HCV virions. </w:t>
      </w:r>
      <w:r w:rsidRPr="00F53776">
        <w:rPr>
          <w:rFonts w:ascii="Times New Roman" w:hAnsi="Times New Roman" w:cs="Times New Roman"/>
          <w:i/>
          <w:sz w:val="24"/>
          <w:szCs w:val="24"/>
        </w:rPr>
        <w:t>In vitro</w:t>
      </w:r>
      <w:r w:rsidRPr="00F53776">
        <w:rPr>
          <w:rFonts w:ascii="Times New Roman" w:hAnsi="Times New Roman" w:cs="Times New Roman"/>
          <w:sz w:val="24"/>
          <w:szCs w:val="24"/>
        </w:rPr>
        <w:t xml:space="preserve"> resistance selection and cross-resistance studies indicate velpatasvir targets NS5A as its mode of action.</w:t>
      </w:r>
    </w:p>
    <w:p w:rsidR="00D57708" w:rsidRPr="00F53776" w:rsidRDefault="00D57708" w:rsidP="005D40D3">
      <w:pPr>
        <w:spacing w:before="120" w:after="240" w:line="240" w:lineRule="auto"/>
        <w:rPr>
          <w:rFonts w:ascii="Times New Roman" w:hAnsi="Times New Roman" w:cs="Times New Roman"/>
          <w:sz w:val="24"/>
          <w:szCs w:val="24"/>
        </w:rPr>
      </w:pPr>
      <w:r w:rsidRPr="00F53776">
        <w:rPr>
          <w:rFonts w:ascii="Times New Roman" w:hAnsi="Times New Roman" w:cs="Times New Roman"/>
          <w:sz w:val="24"/>
          <w:szCs w:val="24"/>
        </w:rPr>
        <w:t>Voxilaprevir is a pan-genotypic inhibitor of the NS3/4A protease. Voxilaprevir acts as a noncovalent, reversible inhibitor of the NS3/4A protease.</w:t>
      </w:r>
    </w:p>
    <w:p w:rsidR="00D57708" w:rsidRPr="004469C5" w:rsidRDefault="00D57708" w:rsidP="005D40D3">
      <w:pPr>
        <w:pStyle w:val="Heading3"/>
        <w:spacing w:before="120" w:after="240"/>
        <w:ind w:left="0"/>
        <w:rPr>
          <w:rFonts w:ascii="Times New Roman" w:hAnsi="Times New Roman" w:cs="Times New Roman"/>
          <w:i/>
        </w:rPr>
      </w:pPr>
      <w:r w:rsidRPr="004469C5">
        <w:rPr>
          <w:rFonts w:ascii="Times New Roman" w:hAnsi="Times New Roman" w:cs="Times New Roman"/>
        </w:rPr>
        <w:lastRenderedPageBreak/>
        <w:t xml:space="preserve">Antiviral activity </w:t>
      </w:r>
      <w:r w:rsidRPr="004469C5">
        <w:rPr>
          <w:rFonts w:ascii="Times New Roman" w:hAnsi="Times New Roman" w:cs="Times New Roman"/>
          <w:i/>
        </w:rPr>
        <w:t>in vitro</w:t>
      </w:r>
    </w:p>
    <w:p w:rsidR="00D57708" w:rsidRPr="006E68ED" w:rsidRDefault="00D57708" w:rsidP="006955C8">
      <w:pPr>
        <w:spacing w:before="120" w:after="240" w:line="240" w:lineRule="auto"/>
        <w:rPr>
          <w:rFonts w:ascii="Times New Roman" w:hAnsi="Times New Roman" w:cs="Times New Roman"/>
          <w:sz w:val="24"/>
          <w:szCs w:val="24"/>
        </w:rPr>
      </w:pPr>
      <w:r w:rsidRPr="006E68ED">
        <w:rPr>
          <w:rFonts w:ascii="Times New Roman" w:hAnsi="Times New Roman" w:cs="Times New Roman"/>
          <w:sz w:val="24"/>
          <w:szCs w:val="24"/>
        </w:rPr>
        <w:t>The EC</w:t>
      </w:r>
      <w:r w:rsidRPr="006E68ED">
        <w:rPr>
          <w:rFonts w:ascii="Times New Roman" w:hAnsi="Times New Roman" w:cs="Times New Roman"/>
          <w:sz w:val="24"/>
          <w:szCs w:val="24"/>
          <w:vertAlign w:val="subscript"/>
        </w:rPr>
        <w:t>50</w:t>
      </w:r>
      <w:r w:rsidRPr="006E68ED">
        <w:rPr>
          <w:rFonts w:ascii="Times New Roman" w:hAnsi="Times New Roman" w:cs="Times New Roman"/>
          <w:sz w:val="24"/>
          <w:szCs w:val="24"/>
        </w:rPr>
        <w:t xml:space="preserve"> values of sofosbuvir, velpatasvir, and voxilaprevir against full-length or chimeric replicons encoding NS5B, NS5A and NS3 protease sequences from the laboratory strains are presented in Table </w:t>
      </w:r>
      <w:r w:rsidR="005D40D3" w:rsidRPr="006E68ED">
        <w:rPr>
          <w:rFonts w:ascii="Times New Roman" w:hAnsi="Times New Roman" w:cs="Times New Roman"/>
          <w:sz w:val="24"/>
          <w:szCs w:val="24"/>
        </w:rPr>
        <w:t>9</w:t>
      </w:r>
      <w:r w:rsidRPr="006E68ED">
        <w:rPr>
          <w:rFonts w:ascii="Times New Roman" w:hAnsi="Times New Roman" w:cs="Times New Roman"/>
          <w:sz w:val="24"/>
          <w:szCs w:val="24"/>
        </w:rPr>
        <w:t>. The EC</w:t>
      </w:r>
      <w:r w:rsidRPr="006E68ED">
        <w:rPr>
          <w:rFonts w:ascii="Times New Roman" w:hAnsi="Times New Roman" w:cs="Times New Roman"/>
          <w:sz w:val="24"/>
          <w:szCs w:val="24"/>
          <w:vertAlign w:val="subscript"/>
        </w:rPr>
        <w:t>50</w:t>
      </w:r>
      <w:r w:rsidRPr="006E68ED">
        <w:rPr>
          <w:rFonts w:ascii="Times New Roman" w:hAnsi="Times New Roman" w:cs="Times New Roman"/>
          <w:sz w:val="24"/>
          <w:szCs w:val="24"/>
          <w:vertAlign w:val="superscript"/>
        </w:rPr>
        <w:t xml:space="preserve"> </w:t>
      </w:r>
      <w:r w:rsidRPr="006E68ED">
        <w:rPr>
          <w:rFonts w:ascii="Times New Roman" w:hAnsi="Times New Roman" w:cs="Times New Roman"/>
          <w:sz w:val="24"/>
          <w:szCs w:val="24"/>
        </w:rPr>
        <w:t xml:space="preserve">values of sofosbuvir, velpatasvir, and voxilaprevir against clinical isolates are presented in Table </w:t>
      </w:r>
      <w:r w:rsidR="005D40D3" w:rsidRPr="006E68ED">
        <w:rPr>
          <w:rFonts w:ascii="Times New Roman" w:hAnsi="Times New Roman" w:cs="Times New Roman"/>
          <w:sz w:val="24"/>
          <w:szCs w:val="24"/>
        </w:rPr>
        <w:t>10</w:t>
      </w:r>
      <w:r w:rsidRPr="006E68ED">
        <w:rPr>
          <w:rFonts w:ascii="Times New Roman" w:hAnsi="Times New Roman" w:cs="Times New Roman"/>
          <w:sz w:val="24"/>
          <w:szCs w:val="24"/>
        </w:rPr>
        <w:t xml:space="preserve">. </w:t>
      </w:r>
    </w:p>
    <w:p w:rsidR="00D57708" w:rsidRPr="00F53776" w:rsidRDefault="00D57708" w:rsidP="00D57708">
      <w:pPr>
        <w:ind w:left="1440" w:hanging="1440"/>
        <w:rPr>
          <w:rFonts w:ascii="Times New Roman" w:hAnsi="Times New Roman" w:cs="Times New Roman"/>
          <w:b/>
          <w:sz w:val="24"/>
          <w:szCs w:val="24"/>
        </w:rPr>
      </w:pPr>
      <w:r w:rsidRPr="00F53776">
        <w:rPr>
          <w:rFonts w:ascii="Times New Roman" w:hAnsi="Times New Roman" w:cs="Times New Roman"/>
          <w:b/>
          <w:sz w:val="24"/>
          <w:szCs w:val="24"/>
        </w:rPr>
        <w:t>Table </w:t>
      </w:r>
      <w:r w:rsidR="005D40D3">
        <w:rPr>
          <w:rFonts w:ascii="Times New Roman" w:hAnsi="Times New Roman" w:cs="Times New Roman"/>
          <w:b/>
          <w:sz w:val="24"/>
          <w:szCs w:val="24"/>
        </w:rPr>
        <w:t>9</w:t>
      </w:r>
      <w:r w:rsidRPr="00F53776">
        <w:rPr>
          <w:rFonts w:ascii="Times New Roman" w:hAnsi="Times New Roman" w:cs="Times New Roman"/>
          <w:b/>
          <w:sz w:val="24"/>
          <w:szCs w:val="24"/>
        </w:rPr>
        <w:t xml:space="preserve"> </w:t>
      </w:r>
      <w:r w:rsidRPr="00F53776">
        <w:rPr>
          <w:rFonts w:ascii="Times New Roman" w:hAnsi="Times New Roman" w:cs="Times New Roman"/>
          <w:b/>
          <w:sz w:val="24"/>
          <w:szCs w:val="24"/>
        </w:rPr>
        <w:tab/>
        <w:t>Activity of Sofosbuvir, Velpatasvir, and Voxilaprevir Against Full Length or Chimeric Laboratory Replicons</w:t>
      </w:r>
    </w:p>
    <w:tbl>
      <w:tblPr>
        <w:tblW w:w="5111" w:type="pct"/>
        <w:tblCellMar>
          <w:left w:w="0" w:type="dxa"/>
          <w:right w:w="0" w:type="dxa"/>
        </w:tblCellMar>
        <w:tblLook w:val="01E0" w:firstRow="1" w:lastRow="1" w:firstColumn="1" w:lastColumn="1" w:noHBand="0" w:noVBand="0"/>
      </w:tblPr>
      <w:tblGrid>
        <w:gridCol w:w="1469"/>
        <w:gridCol w:w="2781"/>
        <w:gridCol w:w="2489"/>
        <w:gridCol w:w="2487"/>
      </w:tblGrid>
      <w:tr w:rsidR="00D57708" w:rsidRPr="00F53776" w:rsidTr="00F53776">
        <w:trPr>
          <w:trHeight w:hRule="exact" w:val="977"/>
        </w:trPr>
        <w:tc>
          <w:tcPr>
            <w:tcW w:w="796" w:type="pct"/>
            <w:tcBorders>
              <w:top w:val="single" w:sz="12" w:space="0" w:color="000000"/>
              <w:left w:val="nil"/>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b/>
                <w:sz w:val="24"/>
                <w:szCs w:val="24"/>
              </w:rPr>
            </w:pPr>
            <w:r w:rsidRPr="00F53776">
              <w:rPr>
                <w:rFonts w:ascii="Times New Roman" w:hAnsi="Times New Roman" w:cs="Times New Roman"/>
                <w:b/>
                <w:sz w:val="24"/>
                <w:szCs w:val="24"/>
              </w:rPr>
              <w:t>Replicon Genotype</w:t>
            </w:r>
          </w:p>
        </w:tc>
        <w:tc>
          <w:tcPr>
            <w:tcW w:w="1507" w:type="pct"/>
            <w:tcBorders>
              <w:top w:val="single" w:sz="12" w:space="0" w:color="000000"/>
              <w:left w:val="single" w:sz="6" w:space="0" w:color="000000"/>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b/>
                <w:sz w:val="24"/>
                <w:szCs w:val="24"/>
              </w:rPr>
            </w:pPr>
            <w:r w:rsidRPr="00F53776">
              <w:rPr>
                <w:rFonts w:ascii="Times New Roman" w:hAnsi="Times New Roman" w:cs="Times New Roman"/>
                <w:b/>
                <w:sz w:val="24"/>
                <w:szCs w:val="24"/>
              </w:rPr>
              <w:t>Sofosbuvir EC</w:t>
            </w:r>
            <w:r w:rsidRPr="00F53776">
              <w:rPr>
                <w:rFonts w:ascii="Times New Roman" w:hAnsi="Times New Roman" w:cs="Times New Roman"/>
                <w:b/>
                <w:sz w:val="24"/>
                <w:szCs w:val="24"/>
                <w:vertAlign w:val="subscript"/>
              </w:rPr>
              <w:t>50</w:t>
            </w:r>
            <w:r w:rsidRPr="00F53776">
              <w:rPr>
                <w:rFonts w:ascii="Times New Roman" w:hAnsi="Times New Roman" w:cs="Times New Roman"/>
                <w:b/>
                <w:sz w:val="24"/>
                <w:szCs w:val="24"/>
              </w:rPr>
              <w:t>, nM</w:t>
            </w:r>
            <w:r w:rsidRPr="00F53776">
              <w:rPr>
                <w:rFonts w:ascii="Times New Roman" w:hAnsi="Times New Roman" w:cs="Times New Roman"/>
                <w:b/>
                <w:sz w:val="24"/>
                <w:szCs w:val="24"/>
                <w:vertAlign w:val="superscript"/>
              </w:rPr>
              <w:t>a</w:t>
            </w:r>
          </w:p>
        </w:tc>
        <w:tc>
          <w:tcPr>
            <w:tcW w:w="1349" w:type="pct"/>
            <w:tcBorders>
              <w:top w:val="single" w:sz="12" w:space="0" w:color="000000"/>
              <w:left w:val="single" w:sz="6" w:space="0" w:color="000000"/>
              <w:bottom w:val="single" w:sz="12" w:space="0" w:color="000000"/>
              <w:right w:val="nil"/>
            </w:tcBorders>
          </w:tcPr>
          <w:p w:rsidR="00D57708" w:rsidRPr="00F53776" w:rsidRDefault="00D57708" w:rsidP="005C0C71">
            <w:pPr>
              <w:spacing w:before="40" w:after="40"/>
              <w:jc w:val="center"/>
              <w:rPr>
                <w:rFonts w:ascii="Times New Roman" w:hAnsi="Times New Roman" w:cs="Times New Roman"/>
                <w:b/>
                <w:sz w:val="24"/>
                <w:szCs w:val="24"/>
              </w:rPr>
            </w:pPr>
            <w:r w:rsidRPr="00F53776">
              <w:rPr>
                <w:rFonts w:ascii="Times New Roman" w:hAnsi="Times New Roman" w:cs="Times New Roman"/>
                <w:b/>
                <w:sz w:val="24"/>
                <w:szCs w:val="24"/>
              </w:rPr>
              <w:t>Velpatasvir EC</w:t>
            </w:r>
            <w:r w:rsidRPr="00F53776">
              <w:rPr>
                <w:rFonts w:ascii="Times New Roman" w:hAnsi="Times New Roman" w:cs="Times New Roman"/>
                <w:b/>
                <w:sz w:val="24"/>
                <w:szCs w:val="24"/>
                <w:vertAlign w:val="subscript"/>
              </w:rPr>
              <w:t>50</w:t>
            </w:r>
            <w:r w:rsidRPr="00F53776">
              <w:rPr>
                <w:rFonts w:ascii="Times New Roman" w:hAnsi="Times New Roman" w:cs="Times New Roman"/>
                <w:b/>
                <w:sz w:val="24"/>
                <w:szCs w:val="24"/>
              </w:rPr>
              <w:t>, nM</w:t>
            </w:r>
            <w:r w:rsidRPr="00F53776">
              <w:rPr>
                <w:rFonts w:ascii="Times New Roman" w:hAnsi="Times New Roman" w:cs="Times New Roman"/>
                <w:b/>
                <w:sz w:val="24"/>
                <w:szCs w:val="24"/>
                <w:vertAlign w:val="superscript"/>
              </w:rPr>
              <w:t>a</w:t>
            </w:r>
          </w:p>
        </w:tc>
        <w:tc>
          <w:tcPr>
            <w:tcW w:w="1349" w:type="pct"/>
            <w:tcBorders>
              <w:top w:val="single" w:sz="12" w:space="0" w:color="000000"/>
              <w:left w:val="single" w:sz="6" w:space="0" w:color="000000"/>
              <w:bottom w:val="single" w:sz="12" w:space="0" w:color="000000"/>
              <w:right w:val="nil"/>
            </w:tcBorders>
          </w:tcPr>
          <w:p w:rsidR="00D57708" w:rsidRPr="00F53776" w:rsidRDefault="00D57708" w:rsidP="005C0C71">
            <w:pPr>
              <w:spacing w:before="40" w:after="40"/>
              <w:jc w:val="center"/>
              <w:rPr>
                <w:rFonts w:ascii="Times New Roman" w:hAnsi="Times New Roman" w:cs="Times New Roman"/>
                <w:b/>
                <w:sz w:val="24"/>
                <w:szCs w:val="24"/>
              </w:rPr>
            </w:pPr>
            <w:r w:rsidRPr="00F53776">
              <w:rPr>
                <w:rFonts w:ascii="Times New Roman" w:hAnsi="Times New Roman" w:cs="Times New Roman"/>
                <w:b/>
                <w:sz w:val="24"/>
                <w:szCs w:val="24"/>
              </w:rPr>
              <w:t>Voxilaprevir EC</w:t>
            </w:r>
            <w:r w:rsidRPr="00F53776">
              <w:rPr>
                <w:rFonts w:ascii="Times New Roman" w:hAnsi="Times New Roman" w:cs="Times New Roman"/>
                <w:b/>
                <w:sz w:val="24"/>
                <w:szCs w:val="24"/>
                <w:vertAlign w:val="subscript"/>
              </w:rPr>
              <w:t>50</w:t>
            </w:r>
            <w:r w:rsidRPr="00F53776">
              <w:rPr>
                <w:rFonts w:ascii="Times New Roman" w:hAnsi="Times New Roman" w:cs="Times New Roman"/>
                <w:b/>
                <w:sz w:val="24"/>
                <w:szCs w:val="24"/>
              </w:rPr>
              <w:t>, nM</w:t>
            </w:r>
            <w:r w:rsidRPr="00F53776">
              <w:rPr>
                <w:rFonts w:ascii="Times New Roman" w:hAnsi="Times New Roman" w:cs="Times New Roman"/>
                <w:b/>
                <w:sz w:val="24"/>
                <w:szCs w:val="24"/>
                <w:vertAlign w:val="superscript"/>
              </w:rPr>
              <w:t>a</w:t>
            </w:r>
          </w:p>
        </w:tc>
      </w:tr>
      <w:tr w:rsidR="00D57708" w:rsidRPr="00F53776" w:rsidTr="00F53776">
        <w:trPr>
          <w:trHeight w:hRule="exact" w:val="386"/>
        </w:trPr>
        <w:tc>
          <w:tcPr>
            <w:tcW w:w="796" w:type="pct"/>
            <w:tcBorders>
              <w:top w:val="single" w:sz="12"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1a</w:t>
            </w:r>
          </w:p>
        </w:tc>
        <w:tc>
          <w:tcPr>
            <w:tcW w:w="1507" w:type="pct"/>
            <w:tcBorders>
              <w:top w:val="single" w:sz="12"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40</w:t>
            </w:r>
          </w:p>
        </w:tc>
        <w:tc>
          <w:tcPr>
            <w:tcW w:w="1349" w:type="pct"/>
            <w:tcBorders>
              <w:top w:val="single" w:sz="12"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0.014</w:t>
            </w:r>
          </w:p>
        </w:tc>
        <w:tc>
          <w:tcPr>
            <w:tcW w:w="1349" w:type="pct"/>
            <w:tcBorders>
              <w:top w:val="single" w:sz="12"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3.9</w:t>
            </w:r>
            <w:r w:rsidRPr="00F53776">
              <w:rPr>
                <w:rFonts w:ascii="Times New Roman" w:hAnsi="Times New Roman" w:cs="Times New Roman"/>
                <w:sz w:val="24"/>
                <w:szCs w:val="24"/>
                <w:vertAlign w:val="superscript"/>
              </w:rPr>
              <w:t>e</w:t>
            </w:r>
          </w:p>
        </w:tc>
      </w:tr>
      <w:tr w:rsidR="00D57708" w:rsidRPr="00F53776" w:rsidTr="00F53776">
        <w:trPr>
          <w:trHeight w:hRule="exact" w:val="377"/>
        </w:trPr>
        <w:tc>
          <w:tcPr>
            <w:tcW w:w="796" w:type="pct"/>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1b</w:t>
            </w:r>
          </w:p>
        </w:tc>
        <w:tc>
          <w:tcPr>
            <w:tcW w:w="1507" w:type="pct"/>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110</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0.016</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3.3</w:t>
            </w:r>
            <w:r w:rsidRPr="00F53776">
              <w:rPr>
                <w:rFonts w:ascii="Times New Roman" w:hAnsi="Times New Roman" w:cs="Times New Roman"/>
                <w:sz w:val="24"/>
                <w:szCs w:val="24"/>
                <w:vertAlign w:val="superscript"/>
              </w:rPr>
              <w:t>e</w:t>
            </w:r>
          </w:p>
        </w:tc>
      </w:tr>
      <w:tr w:rsidR="00D57708" w:rsidRPr="00F53776" w:rsidTr="00F53776">
        <w:trPr>
          <w:trHeight w:hRule="exact" w:val="374"/>
        </w:trPr>
        <w:tc>
          <w:tcPr>
            <w:tcW w:w="796" w:type="pct"/>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2a</w:t>
            </w:r>
          </w:p>
        </w:tc>
        <w:tc>
          <w:tcPr>
            <w:tcW w:w="1507" w:type="pct"/>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50</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0.005-0.016</w:t>
            </w:r>
            <w:r w:rsidRPr="00F53776">
              <w:rPr>
                <w:rFonts w:ascii="Times New Roman" w:hAnsi="Times New Roman" w:cs="Times New Roman"/>
                <w:sz w:val="24"/>
                <w:szCs w:val="24"/>
                <w:vertAlign w:val="superscript"/>
              </w:rPr>
              <w:t>c</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3.7-4.5</w:t>
            </w:r>
            <w:r w:rsidRPr="00F53776">
              <w:rPr>
                <w:rFonts w:ascii="Times New Roman" w:hAnsi="Times New Roman" w:cs="Times New Roman"/>
                <w:sz w:val="24"/>
                <w:szCs w:val="24"/>
                <w:vertAlign w:val="superscript"/>
              </w:rPr>
              <w:t>e</w:t>
            </w:r>
          </w:p>
        </w:tc>
      </w:tr>
      <w:tr w:rsidR="00D57708" w:rsidRPr="00F53776" w:rsidTr="00F53776">
        <w:trPr>
          <w:trHeight w:hRule="exact" w:val="374"/>
        </w:trPr>
        <w:tc>
          <w:tcPr>
            <w:tcW w:w="796" w:type="pct"/>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2b</w:t>
            </w:r>
          </w:p>
        </w:tc>
        <w:tc>
          <w:tcPr>
            <w:tcW w:w="1507" w:type="pct"/>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15</w:t>
            </w:r>
            <w:r w:rsidRPr="00F53776">
              <w:rPr>
                <w:rFonts w:ascii="Times New Roman" w:hAnsi="Times New Roman" w:cs="Times New Roman"/>
                <w:sz w:val="24"/>
                <w:szCs w:val="24"/>
                <w:vertAlign w:val="superscript"/>
              </w:rPr>
              <w:t>b</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0.002-0.006</w:t>
            </w:r>
            <w:r w:rsidRPr="00F53776">
              <w:rPr>
                <w:rFonts w:ascii="Times New Roman" w:hAnsi="Times New Roman" w:cs="Times New Roman"/>
                <w:sz w:val="24"/>
                <w:szCs w:val="24"/>
                <w:vertAlign w:val="superscript"/>
              </w:rPr>
              <w:t>c</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1.8-6.6</w:t>
            </w:r>
            <w:r w:rsidRPr="00F53776">
              <w:rPr>
                <w:rFonts w:ascii="Times New Roman" w:hAnsi="Times New Roman" w:cs="Times New Roman"/>
                <w:sz w:val="24"/>
                <w:szCs w:val="24"/>
                <w:vertAlign w:val="superscript"/>
              </w:rPr>
              <w:t>f</w:t>
            </w:r>
          </w:p>
        </w:tc>
      </w:tr>
      <w:tr w:rsidR="00D57708" w:rsidRPr="00F53776" w:rsidTr="00F53776">
        <w:trPr>
          <w:trHeight w:hRule="exact" w:val="377"/>
        </w:trPr>
        <w:tc>
          <w:tcPr>
            <w:tcW w:w="796" w:type="pct"/>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3a</w:t>
            </w:r>
          </w:p>
        </w:tc>
        <w:tc>
          <w:tcPr>
            <w:tcW w:w="1507" w:type="pct"/>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50</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0.004</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6.1</w:t>
            </w:r>
            <w:r w:rsidRPr="00F53776">
              <w:rPr>
                <w:rFonts w:ascii="Times New Roman" w:hAnsi="Times New Roman" w:cs="Times New Roman"/>
                <w:sz w:val="24"/>
                <w:szCs w:val="24"/>
                <w:vertAlign w:val="superscript"/>
              </w:rPr>
              <w:t>f</w:t>
            </w:r>
          </w:p>
        </w:tc>
      </w:tr>
      <w:tr w:rsidR="00D57708" w:rsidRPr="00F53776" w:rsidTr="00F53776">
        <w:trPr>
          <w:trHeight w:hRule="exact" w:val="374"/>
        </w:trPr>
        <w:tc>
          <w:tcPr>
            <w:tcW w:w="796" w:type="pct"/>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4a</w:t>
            </w:r>
          </w:p>
        </w:tc>
        <w:tc>
          <w:tcPr>
            <w:tcW w:w="1507" w:type="pct"/>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40</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0.009</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2.9</w:t>
            </w:r>
            <w:r w:rsidRPr="00F53776">
              <w:rPr>
                <w:rFonts w:ascii="Times New Roman" w:hAnsi="Times New Roman" w:cs="Times New Roman"/>
                <w:sz w:val="24"/>
                <w:szCs w:val="24"/>
                <w:vertAlign w:val="superscript"/>
              </w:rPr>
              <w:t>e</w:t>
            </w:r>
          </w:p>
        </w:tc>
      </w:tr>
      <w:tr w:rsidR="00D57708" w:rsidRPr="00F53776" w:rsidTr="00F53776">
        <w:trPr>
          <w:trHeight w:hRule="exact" w:val="377"/>
        </w:trPr>
        <w:tc>
          <w:tcPr>
            <w:tcW w:w="796" w:type="pct"/>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4d</w:t>
            </w:r>
          </w:p>
        </w:tc>
        <w:tc>
          <w:tcPr>
            <w:tcW w:w="1507" w:type="pct"/>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33</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0.004</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3.2</w:t>
            </w:r>
            <w:r w:rsidRPr="00F53776">
              <w:rPr>
                <w:rFonts w:ascii="Times New Roman" w:hAnsi="Times New Roman" w:cs="Times New Roman"/>
                <w:sz w:val="24"/>
                <w:szCs w:val="24"/>
                <w:vertAlign w:val="superscript"/>
              </w:rPr>
              <w:t>e</w:t>
            </w:r>
          </w:p>
        </w:tc>
      </w:tr>
      <w:tr w:rsidR="00D57708" w:rsidRPr="00525F08" w:rsidTr="00F53776">
        <w:trPr>
          <w:trHeight w:hRule="exact" w:val="374"/>
        </w:trPr>
        <w:tc>
          <w:tcPr>
            <w:tcW w:w="796" w:type="pct"/>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5a</w:t>
            </w:r>
          </w:p>
        </w:tc>
        <w:tc>
          <w:tcPr>
            <w:tcW w:w="1507" w:type="pct"/>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15</w:t>
            </w:r>
            <w:r w:rsidRPr="00F53776">
              <w:rPr>
                <w:rFonts w:ascii="Times New Roman" w:hAnsi="Times New Roman" w:cs="Times New Roman"/>
                <w:sz w:val="24"/>
                <w:szCs w:val="24"/>
                <w:vertAlign w:val="superscript"/>
              </w:rPr>
              <w:t>b</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0.021-0.054</w:t>
            </w:r>
            <w:r w:rsidRPr="00F53776">
              <w:rPr>
                <w:rFonts w:ascii="Times New Roman" w:hAnsi="Times New Roman" w:cs="Times New Roman"/>
                <w:sz w:val="24"/>
                <w:szCs w:val="24"/>
                <w:vertAlign w:val="superscript"/>
              </w:rPr>
              <w:t>d</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1.9</w:t>
            </w:r>
            <w:r w:rsidRPr="00F53776">
              <w:rPr>
                <w:rFonts w:ascii="Times New Roman" w:hAnsi="Times New Roman" w:cs="Times New Roman"/>
                <w:sz w:val="24"/>
                <w:szCs w:val="24"/>
                <w:vertAlign w:val="superscript"/>
              </w:rPr>
              <w:t>f</w:t>
            </w:r>
          </w:p>
        </w:tc>
      </w:tr>
      <w:tr w:rsidR="00D57708" w:rsidRPr="00525F08" w:rsidTr="00F53776">
        <w:trPr>
          <w:trHeight w:hRule="exact" w:val="374"/>
        </w:trPr>
        <w:tc>
          <w:tcPr>
            <w:tcW w:w="796" w:type="pct"/>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6a</w:t>
            </w:r>
          </w:p>
        </w:tc>
        <w:tc>
          <w:tcPr>
            <w:tcW w:w="1507" w:type="pct"/>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14-25</w:t>
            </w:r>
            <w:r w:rsidRPr="00F53776">
              <w:rPr>
                <w:rFonts w:ascii="Times New Roman" w:hAnsi="Times New Roman" w:cs="Times New Roman"/>
                <w:sz w:val="24"/>
                <w:szCs w:val="24"/>
                <w:vertAlign w:val="superscript"/>
              </w:rPr>
              <w:t>b</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0.006-0.009</w:t>
            </w:r>
          </w:p>
        </w:tc>
        <w:tc>
          <w:tcPr>
            <w:tcW w:w="1349" w:type="pct"/>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3.0-4.0</w:t>
            </w:r>
            <w:r w:rsidRPr="00F53776">
              <w:rPr>
                <w:rFonts w:ascii="Times New Roman" w:hAnsi="Times New Roman" w:cs="Times New Roman"/>
                <w:sz w:val="24"/>
                <w:szCs w:val="24"/>
                <w:vertAlign w:val="superscript"/>
              </w:rPr>
              <w:t>e</w:t>
            </w:r>
          </w:p>
        </w:tc>
      </w:tr>
      <w:tr w:rsidR="00D57708" w:rsidRPr="00525F08" w:rsidTr="00F53776">
        <w:trPr>
          <w:trHeight w:hRule="exact" w:val="386"/>
        </w:trPr>
        <w:tc>
          <w:tcPr>
            <w:tcW w:w="796" w:type="pct"/>
            <w:tcBorders>
              <w:top w:val="single" w:sz="6" w:space="0" w:color="000000"/>
              <w:left w:val="nil"/>
              <w:bottom w:val="single" w:sz="4" w:space="0" w:color="auto"/>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6e</w:t>
            </w:r>
          </w:p>
        </w:tc>
        <w:tc>
          <w:tcPr>
            <w:tcW w:w="1507" w:type="pct"/>
            <w:tcBorders>
              <w:top w:val="single" w:sz="6" w:space="0" w:color="000000"/>
              <w:left w:val="single" w:sz="6" w:space="0" w:color="000000"/>
              <w:bottom w:val="single" w:sz="4" w:space="0" w:color="auto"/>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NA</w:t>
            </w:r>
          </w:p>
        </w:tc>
        <w:tc>
          <w:tcPr>
            <w:tcW w:w="1349" w:type="pct"/>
            <w:tcBorders>
              <w:top w:val="single" w:sz="6" w:space="0" w:color="000000"/>
              <w:left w:val="single" w:sz="6" w:space="0" w:color="000000"/>
              <w:bottom w:val="single" w:sz="4" w:space="0" w:color="auto"/>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0.130</w:t>
            </w:r>
            <w:r w:rsidRPr="00F53776">
              <w:rPr>
                <w:rFonts w:ascii="Times New Roman" w:hAnsi="Times New Roman" w:cs="Times New Roman"/>
                <w:sz w:val="24"/>
                <w:szCs w:val="24"/>
                <w:vertAlign w:val="superscript"/>
              </w:rPr>
              <w:t>d</w:t>
            </w:r>
          </w:p>
        </w:tc>
        <w:tc>
          <w:tcPr>
            <w:tcW w:w="1349" w:type="pct"/>
            <w:tcBorders>
              <w:top w:val="single" w:sz="6" w:space="0" w:color="000000"/>
              <w:left w:val="single" w:sz="6" w:space="0" w:color="000000"/>
              <w:bottom w:val="single" w:sz="4" w:space="0" w:color="auto"/>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0.33</w:t>
            </w:r>
            <w:r w:rsidRPr="00F53776">
              <w:rPr>
                <w:rFonts w:ascii="Times New Roman" w:hAnsi="Times New Roman" w:cs="Times New Roman"/>
                <w:sz w:val="24"/>
                <w:szCs w:val="24"/>
                <w:vertAlign w:val="superscript"/>
              </w:rPr>
              <w:t>f</w:t>
            </w:r>
          </w:p>
        </w:tc>
      </w:tr>
      <w:tr w:rsidR="00D57708" w:rsidRPr="00525F08" w:rsidTr="00F53776">
        <w:trPr>
          <w:trHeight w:hRule="exact" w:val="386"/>
        </w:trPr>
        <w:tc>
          <w:tcPr>
            <w:tcW w:w="796" w:type="pct"/>
            <w:tcBorders>
              <w:top w:val="single" w:sz="6" w:space="0" w:color="000000"/>
              <w:left w:val="nil"/>
              <w:bottom w:val="single" w:sz="4" w:space="0" w:color="auto"/>
              <w:right w:val="single" w:sz="6" w:space="0" w:color="000000"/>
            </w:tcBorders>
          </w:tcPr>
          <w:p w:rsidR="00D57708" w:rsidRPr="00F53776" w:rsidRDefault="00D57708" w:rsidP="005C0C71">
            <w:pPr>
              <w:spacing w:before="40" w:after="40"/>
              <w:ind w:left="142"/>
              <w:jc w:val="center"/>
              <w:rPr>
                <w:rFonts w:ascii="Times New Roman" w:hAnsi="Times New Roman" w:cs="Times New Roman"/>
                <w:sz w:val="24"/>
                <w:szCs w:val="24"/>
              </w:rPr>
            </w:pPr>
            <w:r w:rsidRPr="00F53776">
              <w:rPr>
                <w:rFonts w:ascii="Times New Roman" w:hAnsi="Times New Roman" w:cs="Times New Roman"/>
                <w:sz w:val="24"/>
                <w:szCs w:val="24"/>
              </w:rPr>
              <w:t>6n</w:t>
            </w:r>
          </w:p>
        </w:tc>
        <w:tc>
          <w:tcPr>
            <w:tcW w:w="1507" w:type="pct"/>
            <w:tcBorders>
              <w:top w:val="single" w:sz="6" w:space="0" w:color="000000"/>
              <w:left w:val="single" w:sz="6" w:space="0" w:color="000000"/>
              <w:bottom w:val="single" w:sz="4" w:space="0" w:color="auto"/>
              <w:right w:val="single" w:sz="6" w:space="0" w:color="000000"/>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NA</w:t>
            </w:r>
          </w:p>
        </w:tc>
        <w:tc>
          <w:tcPr>
            <w:tcW w:w="1349" w:type="pct"/>
            <w:tcBorders>
              <w:top w:val="single" w:sz="6" w:space="0" w:color="000000"/>
              <w:left w:val="single" w:sz="6" w:space="0" w:color="000000"/>
              <w:bottom w:val="single" w:sz="4" w:space="0" w:color="auto"/>
              <w:right w:val="nil"/>
            </w:tcBorders>
          </w:tcPr>
          <w:p w:rsidR="00D57708" w:rsidRPr="00F53776" w:rsidRDefault="00D57708" w:rsidP="005C0C71">
            <w:pPr>
              <w:spacing w:before="40" w:after="40"/>
              <w:jc w:val="center"/>
              <w:rPr>
                <w:rFonts w:ascii="Times New Roman" w:hAnsi="Times New Roman" w:cs="Times New Roman"/>
                <w:sz w:val="24"/>
                <w:szCs w:val="24"/>
              </w:rPr>
            </w:pPr>
            <w:r w:rsidRPr="00F53776">
              <w:rPr>
                <w:rFonts w:ascii="Times New Roman" w:hAnsi="Times New Roman" w:cs="Times New Roman"/>
                <w:sz w:val="24"/>
                <w:szCs w:val="24"/>
              </w:rPr>
              <w:t>NA</w:t>
            </w:r>
          </w:p>
        </w:tc>
        <w:tc>
          <w:tcPr>
            <w:tcW w:w="1349" w:type="pct"/>
            <w:tcBorders>
              <w:top w:val="single" w:sz="6" w:space="0" w:color="000000"/>
              <w:left w:val="single" w:sz="6" w:space="0" w:color="000000"/>
              <w:bottom w:val="single" w:sz="4" w:space="0" w:color="auto"/>
              <w:right w:val="nil"/>
            </w:tcBorders>
          </w:tcPr>
          <w:p w:rsidR="00D57708" w:rsidRPr="00F53776" w:rsidRDefault="00D57708" w:rsidP="005C0C71">
            <w:pPr>
              <w:spacing w:before="40" w:after="40"/>
              <w:jc w:val="center"/>
              <w:rPr>
                <w:rFonts w:ascii="Times New Roman" w:hAnsi="Times New Roman" w:cs="Times New Roman"/>
                <w:sz w:val="24"/>
                <w:szCs w:val="24"/>
                <w:vertAlign w:val="superscript"/>
              </w:rPr>
            </w:pPr>
            <w:r w:rsidRPr="00F53776">
              <w:rPr>
                <w:rFonts w:ascii="Times New Roman" w:hAnsi="Times New Roman" w:cs="Times New Roman"/>
                <w:sz w:val="24"/>
                <w:szCs w:val="24"/>
              </w:rPr>
              <w:t>2.9</w:t>
            </w:r>
            <w:r w:rsidRPr="00F53776">
              <w:rPr>
                <w:rFonts w:ascii="Times New Roman" w:hAnsi="Times New Roman" w:cs="Times New Roman"/>
                <w:sz w:val="24"/>
                <w:szCs w:val="24"/>
                <w:vertAlign w:val="superscript"/>
              </w:rPr>
              <w:t>f</w:t>
            </w:r>
          </w:p>
        </w:tc>
      </w:tr>
      <w:tr w:rsidR="00D57708" w:rsidRPr="00525F08" w:rsidTr="00F53776">
        <w:trPr>
          <w:trHeight w:hRule="exact" w:val="1771"/>
        </w:trPr>
        <w:tc>
          <w:tcPr>
            <w:tcW w:w="5000" w:type="pct"/>
            <w:gridSpan w:val="4"/>
            <w:tcBorders>
              <w:top w:val="single" w:sz="4" w:space="0" w:color="auto"/>
            </w:tcBorders>
          </w:tcPr>
          <w:p w:rsidR="00D57708" w:rsidRPr="00F53776" w:rsidRDefault="00D57708" w:rsidP="00D57708">
            <w:pPr>
              <w:spacing w:after="0"/>
              <w:rPr>
                <w:rFonts w:ascii="Times New Roman" w:hAnsi="Times New Roman" w:cs="Times New Roman"/>
                <w:sz w:val="16"/>
                <w:szCs w:val="16"/>
                <w:lang w:val="en-GB"/>
              </w:rPr>
            </w:pPr>
            <w:r w:rsidRPr="00F53776">
              <w:rPr>
                <w:rFonts w:ascii="Times New Roman" w:hAnsi="Times New Roman" w:cs="Times New Roman"/>
                <w:sz w:val="16"/>
                <w:szCs w:val="16"/>
                <w:lang w:val="en-GB"/>
              </w:rPr>
              <w:t>NA=Not Available</w:t>
            </w:r>
          </w:p>
          <w:p w:rsidR="00D57708" w:rsidRPr="00F53776" w:rsidRDefault="00D57708" w:rsidP="00D57708">
            <w:pPr>
              <w:spacing w:after="0"/>
              <w:rPr>
                <w:rFonts w:ascii="Times New Roman" w:hAnsi="Times New Roman" w:cs="Times New Roman"/>
                <w:sz w:val="16"/>
                <w:szCs w:val="16"/>
                <w:lang w:val="en-GB"/>
              </w:rPr>
            </w:pPr>
            <w:r w:rsidRPr="00F53776">
              <w:rPr>
                <w:rFonts w:ascii="Times New Roman" w:hAnsi="Times New Roman" w:cs="Times New Roman"/>
                <w:sz w:val="16"/>
                <w:szCs w:val="16"/>
                <w:lang w:val="en-GB"/>
              </w:rPr>
              <w:t>a. Mean value from multiple experiments of same laboratory replicon.</w:t>
            </w:r>
          </w:p>
          <w:p w:rsidR="00D57708" w:rsidRPr="00F53776" w:rsidRDefault="00D57708" w:rsidP="00D57708">
            <w:pPr>
              <w:spacing w:after="0"/>
              <w:rPr>
                <w:rFonts w:ascii="Times New Roman" w:hAnsi="Times New Roman" w:cs="Times New Roman"/>
                <w:sz w:val="16"/>
                <w:szCs w:val="16"/>
                <w:lang w:val="en-GB"/>
              </w:rPr>
            </w:pPr>
            <w:r w:rsidRPr="00F53776">
              <w:rPr>
                <w:rFonts w:ascii="Times New Roman" w:hAnsi="Times New Roman" w:cs="Times New Roman"/>
                <w:sz w:val="16"/>
                <w:szCs w:val="16"/>
                <w:lang w:val="en-GB"/>
              </w:rPr>
              <w:t>b. Stable chimeric 1b replicons carrying NS5B genes from genotype 2b, 5a, or 6a were used for testing.</w:t>
            </w:r>
          </w:p>
          <w:p w:rsidR="00D57708" w:rsidRPr="00F53776" w:rsidRDefault="00D57708" w:rsidP="00D57708">
            <w:pPr>
              <w:spacing w:after="0"/>
              <w:rPr>
                <w:rFonts w:ascii="Times New Roman" w:hAnsi="Times New Roman" w:cs="Times New Roman"/>
                <w:sz w:val="16"/>
                <w:szCs w:val="16"/>
                <w:lang w:val="en-GB"/>
              </w:rPr>
            </w:pPr>
            <w:r w:rsidRPr="00F53776">
              <w:rPr>
                <w:rFonts w:ascii="Times New Roman" w:hAnsi="Times New Roman" w:cs="Times New Roman"/>
                <w:sz w:val="16"/>
                <w:szCs w:val="16"/>
                <w:lang w:val="en-GB"/>
              </w:rPr>
              <w:t>c. Data from various strains of full length NS5A replicons or chimeric NS5A replicons carrying full-length NS5A genes that contain L31 or M31 polymorphisms.</w:t>
            </w:r>
          </w:p>
          <w:p w:rsidR="00D57708" w:rsidRPr="00F53776" w:rsidRDefault="00D57708" w:rsidP="00D57708">
            <w:pPr>
              <w:spacing w:after="0"/>
              <w:rPr>
                <w:rFonts w:ascii="Times New Roman" w:hAnsi="Times New Roman" w:cs="Times New Roman"/>
                <w:sz w:val="16"/>
                <w:szCs w:val="16"/>
                <w:lang w:val="en-GB"/>
              </w:rPr>
            </w:pPr>
            <w:r w:rsidRPr="00F53776">
              <w:rPr>
                <w:rFonts w:ascii="Times New Roman" w:hAnsi="Times New Roman" w:cs="Times New Roman"/>
                <w:sz w:val="16"/>
                <w:szCs w:val="16"/>
                <w:lang w:val="en-GB"/>
              </w:rPr>
              <w:t>d. Data from a chimeric NS5A replicon carrying NS5A amino acids 9-184.</w:t>
            </w:r>
          </w:p>
          <w:p w:rsidR="00D57708" w:rsidRPr="00F53776" w:rsidRDefault="00D57708" w:rsidP="00D57708">
            <w:pPr>
              <w:spacing w:after="0"/>
              <w:rPr>
                <w:rFonts w:ascii="Times New Roman" w:hAnsi="Times New Roman" w:cs="Times New Roman"/>
                <w:sz w:val="16"/>
                <w:szCs w:val="16"/>
                <w:lang w:val="en-GB"/>
              </w:rPr>
            </w:pPr>
            <w:r w:rsidRPr="00F53776">
              <w:rPr>
                <w:rFonts w:ascii="Times New Roman" w:hAnsi="Times New Roman" w:cs="Times New Roman"/>
                <w:sz w:val="16"/>
                <w:szCs w:val="16"/>
                <w:lang w:val="en-GB"/>
              </w:rPr>
              <w:t>e. Stable cell lines expressing Renilla luciferase-encoding replicons.</w:t>
            </w:r>
          </w:p>
          <w:p w:rsidR="00D57708" w:rsidRPr="00525F08" w:rsidRDefault="00D57708" w:rsidP="00D57708">
            <w:pPr>
              <w:spacing w:after="0"/>
              <w:rPr>
                <w:rFonts w:cs="Arial"/>
                <w:sz w:val="18"/>
                <w:szCs w:val="18"/>
                <w:lang w:val="en-GB"/>
              </w:rPr>
            </w:pPr>
            <w:r w:rsidRPr="00F53776">
              <w:rPr>
                <w:rFonts w:ascii="Times New Roman" w:hAnsi="Times New Roman" w:cs="Times New Roman"/>
                <w:sz w:val="16"/>
                <w:szCs w:val="16"/>
                <w:lang w:val="en-GB"/>
              </w:rPr>
              <w:t>f. Data obtained from transiently transfected replicons in Huh-7-Lunet or Huh7-1C cells</w:t>
            </w:r>
            <w:r w:rsidRPr="00D57708">
              <w:rPr>
                <w:rFonts w:cs="Arial"/>
                <w:sz w:val="16"/>
                <w:szCs w:val="16"/>
                <w:lang w:val="en-GB"/>
              </w:rPr>
              <w:t>.</w:t>
            </w:r>
          </w:p>
        </w:tc>
      </w:tr>
    </w:tbl>
    <w:p w:rsidR="00D57708" w:rsidRDefault="00D57708" w:rsidP="00D57708"/>
    <w:p w:rsidR="006955C8" w:rsidRDefault="006955C8" w:rsidP="00D57708"/>
    <w:p w:rsidR="006955C8" w:rsidRDefault="006955C8" w:rsidP="00D57708">
      <w:r>
        <w:br/>
      </w:r>
    </w:p>
    <w:p w:rsidR="0015198A" w:rsidRDefault="0015198A" w:rsidP="00D57708"/>
    <w:p w:rsidR="0015198A" w:rsidRDefault="0015198A" w:rsidP="00D57708"/>
    <w:p w:rsidR="0015198A" w:rsidRDefault="0015198A" w:rsidP="00D57708"/>
    <w:p w:rsidR="006955C8" w:rsidRDefault="006955C8" w:rsidP="00D57708"/>
    <w:p w:rsidR="00D57708" w:rsidRPr="00F53776" w:rsidRDefault="00D57708" w:rsidP="00D57708">
      <w:pPr>
        <w:ind w:left="1440" w:hanging="1440"/>
        <w:rPr>
          <w:rFonts w:ascii="Times New Roman" w:hAnsi="Times New Roman" w:cs="Times New Roman"/>
          <w:b/>
        </w:rPr>
      </w:pPr>
      <w:r w:rsidRPr="00F53776">
        <w:rPr>
          <w:rFonts w:ascii="Times New Roman" w:hAnsi="Times New Roman" w:cs="Times New Roman"/>
          <w:b/>
          <w:spacing w:val="1"/>
        </w:rPr>
        <w:lastRenderedPageBreak/>
        <w:t>Tabl</w:t>
      </w:r>
      <w:r w:rsidRPr="00F53776">
        <w:rPr>
          <w:rFonts w:ascii="Times New Roman" w:hAnsi="Times New Roman" w:cs="Times New Roman"/>
          <w:b/>
        </w:rPr>
        <w:t>e</w:t>
      </w:r>
      <w:r w:rsidRPr="00F53776">
        <w:rPr>
          <w:rFonts w:ascii="Times New Roman" w:hAnsi="Times New Roman" w:cs="Times New Roman"/>
          <w:b/>
          <w:spacing w:val="-1"/>
        </w:rPr>
        <w:t xml:space="preserve"> </w:t>
      </w:r>
      <w:r w:rsidR="005D40D3">
        <w:rPr>
          <w:rFonts w:ascii="Times New Roman" w:hAnsi="Times New Roman" w:cs="Times New Roman"/>
          <w:b/>
        </w:rPr>
        <w:t>10</w:t>
      </w:r>
      <w:r w:rsidRPr="00F53776">
        <w:rPr>
          <w:rFonts w:ascii="Times New Roman" w:hAnsi="Times New Roman" w:cs="Times New Roman"/>
          <w:b/>
        </w:rPr>
        <w:tab/>
        <w:t xml:space="preserve">Activity of Sofosbuvir, Velpatasvir and Voxilaprevir Against Transient Replicons </w:t>
      </w:r>
      <w:r w:rsidRPr="00F53776">
        <w:rPr>
          <w:rFonts w:ascii="Times New Roman" w:hAnsi="Times New Roman" w:cs="Times New Roman"/>
          <w:b/>
          <w:position w:val="-1"/>
        </w:rPr>
        <w:t>Containing NS5A, NS5B, or NS3 protease from Clinical Isolates</w:t>
      </w:r>
    </w:p>
    <w:tbl>
      <w:tblPr>
        <w:tblW w:w="8970" w:type="dxa"/>
        <w:tblInd w:w="102" w:type="dxa"/>
        <w:tblLayout w:type="fixed"/>
        <w:tblCellMar>
          <w:left w:w="0" w:type="dxa"/>
          <w:right w:w="0" w:type="dxa"/>
        </w:tblCellMar>
        <w:tblLook w:val="01E0" w:firstRow="1" w:lastRow="1" w:firstColumn="1" w:lastColumn="1" w:noHBand="0" w:noVBand="0"/>
      </w:tblPr>
      <w:tblGrid>
        <w:gridCol w:w="891"/>
        <w:gridCol w:w="1134"/>
        <w:gridCol w:w="1417"/>
        <w:gridCol w:w="1134"/>
        <w:gridCol w:w="1559"/>
        <w:gridCol w:w="1418"/>
        <w:gridCol w:w="1417"/>
      </w:tblGrid>
      <w:tr w:rsidR="00D57708" w:rsidRPr="00F53776" w:rsidTr="005C0C71">
        <w:trPr>
          <w:trHeight w:hRule="exact" w:val="849"/>
        </w:trPr>
        <w:tc>
          <w:tcPr>
            <w:tcW w:w="891" w:type="dxa"/>
            <w:vMerge w:val="restart"/>
            <w:tcBorders>
              <w:top w:val="single" w:sz="12" w:space="0" w:color="000000"/>
              <w:left w:val="nil"/>
              <w:right w:val="single" w:sz="6" w:space="0" w:color="000000"/>
            </w:tcBorders>
          </w:tcPr>
          <w:p w:rsidR="00D57708" w:rsidRPr="00F53776" w:rsidRDefault="00D57708" w:rsidP="005C0C71">
            <w:pPr>
              <w:spacing w:before="40" w:after="40"/>
              <w:rPr>
                <w:rFonts w:ascii="Times New Roman" w:hAnsi="Times New Roman" w:cs="Times New Roman"/>
                <w:b/>
                <w:sz w:val="20"/>
              </w:rPr>
            </w:pPr>
          </w:p>
          <w:p w:rsidR="00D57708" w:rsidRPr="00F53776" w:rsidRDefault="00D57708" w:rsidP="005C0C71">
            <w:pPr>
              <w:spacing w:before="40" w:after="40"/>
              <w:rPr>
                <w:rFonts w:ascii="Times New Roman" w:hAnsi="Times New Roman" w:cs="Times New Roman"/>
                <w:b/>
                <w:sz w:val="20"/>
              </w:rPr>
            </w:pPr>
            <w:r w:rsidRPr="00F53776">
              <w:rPr>
                <w:rFonts w:ascii="Times New Roman" w:hAnsi="Times New Roman" w:cs="Times New Roman"/>
                <w:b/>
                <w:sz w:val="20"/>
              </w:rPr>
              <w:t>Replicon Genotype</w:t>
            </w:r>
          </w:p>
        </w:tc>
        <w:tc>
          <w:tcPr>
            <w:tcW w:w="2551" w:type="dxa"/>
            <w:gridSpan w:val="2"/>
            <w:tcBorders>
              <w:top w:val="single" w:sz="12"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Replicons containing NS5B from clinical isolates</w:t>
            </w:r>
          </w:p>
        </w:tc>
        <w:tc>
          <w:tcPr>
            <w:tcW w:w="2693" w:type="dxa"/>
            <w:gridSpan w:val="2"/>
            <w:tcBorders>
              <w:top w:val="single" w:sz="12"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Replicons containing NS5A from clinical isolates</w:t>
            </w:r>
          </w:p>
        </w:tc>
        <w:tc>
          <w:tcPr>
            <w:tcW w:w="2835" w:type="dxa"/>
            <w:gridSpan w:val="2"/>
            <w:tcBorders>
              <w:top w:val="single" w:sz="12"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 xml:space="preserve">Replicons containing NS3 protease from </w:t>
            </w:r>
            <w:r w:rsidRPr="00F53776">
              <w:rPr>
                <w:rFonts w:ascii="Times New Roman" w:hAnsi="Times New Roman" w:cs="Times New Roman"/>
                <w:b/>
                <w:sz w:val="20"/>
              </w:rPr>
              <w:br/>
              <w:t>clinical isolates</w:t>
            </w:r>
          </w:p>
        </w:tc>
      </w:tr>
      <w:tr w:rsidR="00D57708" w:rsidRPr="00F53776" w:rsidTr="005C0C71">
        <w:trPr>
          <w:trHeight w:hRule="exact" w:val="1250"/>
        </w:trPr>
        <w:tc>
          <w:tcPr>
            <w:tcW w:w="891" w:type="dxa"/>
            <w:vMerge/>
            <w:tcBorders>
              <w:left w:val="nil"/>
              <w:bottom w:val="single" w:sz="12" w:space="0" w:color="000000"/>
              <w:right w:val="single" w:sz="6" w:space="0" w:color="000000"/>
            </w:tcBorders>
          </w:tcPr>
          <w:p w:rsidR="00D57708" w:rsidRPr="00F53776" w:rsidRDefault="00D57708" w:rsidP="005C0C71">
            <w:pPr>
              <w:spacing w:before="40" w:after="40"/>
              <w:rPr>
                <w:rFonts w:ascii="Times New Roman" w:hAnsi="Times New Roman" w:cs="Times New Roman"/>
                <w:b/>
                <w:sz w:val="20"/>
              </w:rPr>
            </w:pPr>
          </w:p>
        </w:tc>
        <w:tc>
          <w:tcPr>
            <w:tcW w:w="1134" w:type="dxa"/>
            <w:tcBorders>
              <w:top w:val="single" w:sz="6" w:space="0" w:color="000000"/>
              <w:left w:val="single" w:sz="6" w:space="0" w:color="000000"/>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 xml:space="preserve">Number of </w:t>
            </w:r>
            <w:r w:rsidRPr="00F53776">
              <w:rPr>
                <w:rFonts w:ascii="Times New Roman" w:hAnsi="Times New Roman" w:cs="Times New Roman"/>
                <w:b/>
                <w:sz w:val="20"/>
              </w:rPr>
              <w:br/>
              <w:t>clinical isolates</w:t>
            </w:r>
          </w:p>
        </w:tc>
        <w:tc>
          <w:tcPr>
            <w:tcW w:w="1417" w:type="dxa"/>
            <w:tcBorders>
              <w:top w:val="single" w:sz="6" w:space="0" w:color="000000"/>
              <w:left w:val="single" w:sz="6" w:space="0" w:color="000000"/>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Median sofosbuvir</w:t>
            </w:r>
          </w:p>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EC</w:t>
            </w:r>
            <w:r w:rsidRPr="00F53776">
              <w:rPr>
                <w:rFonts w:ascii="Times New Roman" w:hAnsi="Times New Roman" w:cs="Times New Roman"/>
                <w:b/>
                <w:sz w:val="20"/>
                <w:vertAlign w:val="subscript"/>
              </w:rPr>
              <w:t>50</w:t>
            </w:r>
            <w:r w:rsidRPr="00F53776">
              <w:rPr>
                <w:rFonts w:ascii="Times New Roman" w:hAnsi="Times New Roman" w:cs="Times New Roman"/>
                <w:b/>
                <w:sz w:val="20"/>
              </w:rPr>
              <w:t>, nM (range)</w:t>
            </w:r>
          </w:p>
        </w:tc>
        <w:tc>
          <w:tcPr>
            <w:tcW w:w="1134" w:type="dxa"/>
            <w:tcBorders>
              <w:top w:val="single" w:sz="6" w:space="0" w:color="000000"/>
              <w:left w:val="single" w:sz="6" w:space="0" w:color="000000"/>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 xml:space="preserve">Number of </w:t>
            </w:r>
            <w:r w:rsidRPr="00F53776">
              <w:rPr>
                <w:rFonts w:ascii="Times New Roman" w:hAnsi="Times New Roman" w:cs="Times New Roman"/>
                <w:b/>
                <w:sz w:val="20"/>
              </w:rPr>
              <w:br/>
              <w:t>clinical isolates</w:t>
            </w:r>
          </w:p>
        </w:tc>
        <w:tc>
          <w:tcPr>
            <w:tcW w:w="1559" w:type="dxa"/>
            <w:tcBorders>
              <w:top w:val="single" w:sz="6" w:space="0" w:color="000000"/>
              <w:left w:val="single" w:sz="6" w:space="0" w:color="000000"/>
              <w:bottom w:val="single" w:sz="12" w:space="0" w:color="000000"/>
              <w:right w:val="nil"/>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 xml:space="preserve">Median velpatasvir </w:t>
            </w:r>
          </w:p>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EC</w:t>
            </w:r>
            <w:r w:rsidRPr="00F53776">
              <w:rPr>
                <w:rFonts w:ascii="Times New Roman" w:hAnsi="Times New Roman" w:cs="Times New Roman"/>
                <w:b/>
                <w:sz w:val="20"/>
                <w:vertAlign w:val="subscript"/>
              </w:rPr>
              <w:t>50</w:t>
            </w:r>
            <w:r w:rsidRPr="00F53776">
              <w:rPr>
                <w:rFonts w:ascii="Times New Roman" w:hAnsi="Times New Roman" w:cs="Times New Roman"/>
                <w:b/>
                <w:sz w:val="20"/>
              </w:rPr>
              <w:t>, nM (range)</w:t>
            </w:r>
          </w:p>
        </w:tc>
        <w:tc>
          <w:tcPr>
            <w:tcW w:w="1418" w:type="dxa"/>
            <w:tcBorders>
              <w:top w:val="single" w:sz="6" w:space="0" w:color="000000"/>
              <w:left w:val="single" w:sz="6" w:space="0" w:color="000000"/>
              <w:bottom w:val="single" w:sz="12" w:space="0" w:color="000000"/>
              <w:right w:val="nil"/>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 xml:space="preserve">Number of </w:t>
            </w:r>
            <w:r w:rsidRPr="00F53776">
              <w:rPr>
                <w:rFonts w:ascii="Times New Roman" w:hAnsi="Times New Roman" w:cs="Times New Roman"/>
                <w:b/>
                <w:sz w:val="20"/>
              </w:rPr>
              <w:br/>
              <w:t>clinical isolates</w:t>
            </w:r>
          </w:p>
        </w:tc>
        <w:tc>
          <w:tcPr>
            <w:tcW w:w="1417" w:type="dxa"/>
            <w:tcBorders>
              <w:top w:val="single" w:sz="6" w:space="0" w:color="000000"/>
              <w:left w:val="single" w:sz="6" w:space="0" w:color="000000"/>
              <w:bottom w:val="single" w:sz="12" w:space="0" w:color="000000"/>
            </w:tcBorders>
          </w:tcPr>
          <w:p w:rsidR="00D57708" w:rsidRPr="00F53776" w:rsidRDefault="00D57708" w:rsidP="005C0C71">
            <w:pPr>
              <w:spacing w:before="40" w:after="40"/>
              <w:jc w:val="center"/>
              <w:rPr>
                <w:rFonts w:ascii="Times New Roman" w:hAnsi="Times New Roman" w:cs="Times New Roman"/>
                <w:b/>
                <w:sz w:val="20"/>
              </w:rPr>
            </w:pPr>
            <w:r w:rsidRPr="00F53776">
              <w:rPr>
                <w:rFonts w:ascii="Times New Roman" w:hAnsi="Times New Roman" w:cs="Times New Roman"/>
                <w:b/>
                <w:sz w:val="20"/>
              </w:rPr>
              <w:t>Median voxilaprevir EC</w:t>
            </w:r>
            <w:r w:rsidRPr="00F53776">
              <w:rPr>
                <w:rFonts w:ascii="Times New Roman" w:hAnsi="Times New Roman" w:cs="Times New Roman"/>
                <w:b/>
                <w:sz w:val="20"/>
                <w:vertAlign w:val="subscript"/>
              </w:rPr>
              <w:t>50</w:t>
            </w:r>
            <w:r w:rsidRPr="00F53776">
              <w:rPr>
                <w:rFonts w:ascii="Times New Roman" w:hAnsi="Times New Roman" w:cs="Times New Roman"/>
                <w:b/>
                <w:sz w:val="20"/>
              </w:rPr>
              <w:t>, nM (range)</w:t>
            </w:r>
          </w:p>
        </w:tc>
      </w:tr>
      <w:tr w:rsidR="00D57708" w:rsidRPr="00F53776" w:rsidTr="005C0C71">
        <w:trPr>
          <w:trHeight w:hRule="exact" w:val="727"/>
        </w:trPr>
        <w:tc>
          <w:tcPr>
            <w:tcW w:w="891" w:type="dxa"/>
            <w:tcBorders>
              <w:top w:val="single" w:sz="12"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1a</w:t>
            </w:r>
          </w:p>
        </w:tc>
        <w:tc>
          <w:tcPr>
            <w:tcW w:w="1134" w:type="dxa"/>
            <w:tcBorders>
              <w:top w:val="single" w:sz="12"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67</w:t>
            </w:r>
          </w:p>
        </w:tc>
        <w:tc>
          <w:tcPr>
            <w:tcW w:w="1417" w:type="dxa"/>
            <w:tcBorders>
              <w:top w:val="single" w:sz="12"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62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(29-128)</w:t>
            </w:r>
          </w:p>
        </w:tc>
        <w:tc>
          <w:tcPr>
            <w:tcW w:w="1134" w:type="dxa"/>
            <w:tcBorders>
              <w:top w:val="single" w:sz="12"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23</w:t>
            </w:r>
          </w:p>
        </w:tc>
        <w:tc>
          <w:tcPr>
            <w:tcW w:w="1559" w:type="dxa"/>
            <w:tcBorders>
              <w:top w:val="single" w:sz="12"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0.019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(0.011-0.078)</w:t>
            </w:r>
          </w:p>
        </w:tc>
        <w:tc>
          <w:tcPr>
            <w:tcW w:w="1418" w:type="dxa"/>
            <w:tcBorders>
              <w:top w:val="single" w:sz="12"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58</w:t>
            </w:r>
          </w:p>
        </w:tc>
        <w:tc>
          <w:tcPr>
            <w:tcW w:w="1417" w:type="dxa"/>
            <w:tcBorders>
              <w:top w:val="single" w:sz="12"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0.59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(0.14-19.16)</w:t>
            </w:r>
          </w:p>
        </w:tc>
      </w:tr>
      <w:tr w:rsidR="00D57708" w:rsidRPr="00F53776" w:rsidTr="005C0C71">
        <w:trPr>
          <w:trHeight w:hRule="exact" w:val="694"/>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1b</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29</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102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(45-170)</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34</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0.012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(0.005-0.500)</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29</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0.50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(0.19-2.87)</w:t>
            </w:r>
          </w:p>
        </w:tc>
      </w:tr>
      <w:tr w:rsidR="00D57708" w:rsidRPr="00F53776" w:rsidTr="005C0C71">
        <w:trPr>
          <w:trHeight w:hRule="exact" w:val="690"/>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28</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8</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0.011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(0.006-0.364)</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18</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2.8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(1.78-6.72)</w:t>
            </w:r>
          </w:p>
        </w:tc>
      </w:tr>
      <w:tr w:rsidR="00D57708" w:rsidRPr="00F53776" w:rsidTr="005C0C71">
        <w:trPr>
          <w:trHeight w:hRule="exact" w:val="714"/>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2b</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14</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30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(14-81)</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16</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0.002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(0.0003-0.007)</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43</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2.1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(0.92-8.3)</w:t>
            </w:r>
          </w:p>
        </w:tc>
      </w:tr>
      <w:tr w:rsidR="00D57708" w:rsidRPr="00F53776" w:rsidTr="005C0C71">
        <w:trPr>
          <w:trHeight w:hRule="exact" w:val="554"/>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3a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106</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81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(24-181)</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38</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0.005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(0.002-1.871)</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32</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6.3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(1.3-21.48)</w:t>
            </w:r>
          </w:p>
        </w:tc>
      </w:tr>
      <w:tr w:rsidR="00D57708" w:rsidRPr="00F53776" w:rsidTr="005C0C71">
        <w:trPr>
          <w:trHeight w:hRule="exact" w:val="562"/>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4a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5</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0.002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(0.001-0.004)</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58</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0.52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(0.12-1.7)</w:t>
            </w:r>
          </w:p>
        </w:tc>
      </w:tr>
      <w:tr w:rsidR="00D57708" w:rsidRPr="00F53776" w:rsidTr="005C0C71">
        <w:trPr>
          <w:trHeight w:hRule="exact" w:val="594"/>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4d</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10</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0.007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(0.004-0.011)</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11</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0.85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(0.41-1.1)</w:t>
            </w:r>
          </w:p>
        </w:tc>
      </w:tr>
      <w:tr w:rsidR="00D57708" w:rsidRPr="00F53776" w:rsidTr="005C0C71">
        <w:trPr>
          <w:trHeight w:hRule="exact" w:val="560"/>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4r</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7</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0.003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(0.002-0.006)</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1.15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r>
      <w:tr w:rsidR="00D57708" w:rsidRPr="00F53776" w:rsidTr="005C0C71">
        <w:trPr>
          <w:trHeight w:hRule="exact" w:val="568"/>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5a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42</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0.005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(0.001-0.019)</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16</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1.8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(0.87-5.63)</w:t>
            </w:r>
          </w:p>
        </w:tc>
      </w:tr>
      <w:tr w:rsidR="00D57708" w:rsidRPr="00F53776" w:rsidTr="005C0C71">
        <w:trPr>
          <w:trHeight w:hRule="exact" w:val="562"/>
        </w:trPr>
        <w:tc>
          <w:tcPr>
            <w:tcW w:w="891" w:type="dxa"/>
            <w:tcBorders>
              <w:top w:val="single" w:sz="6" w:space="0" w:color="000000"/>
              <w:left w:val="nil"/>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6a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417"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134" w:type="dxa"/>
            <w:tcBorders>
              <w:top w:val="single" w:sz="6" w:space="0" w:color="000000"/>
              <w:left w:val="single" w:sz="6" w:space="0" w:color="000000"/>
              <w:bottom w:val="single" w:sz="6"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26</w:t>
            </w:r>
          </w:p>
        </w:tc>
        <w:tc>
          <w:tcPr>
            <w:tcW w:w="1559"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0.007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(0.0005-0.113)</w:t>
            </w:r>
          </w:p>
        </w:tc>
        <w:tc>
          <w:tcPr>
            <w:tcW w:w="1418" w:type="dxa"/>
            <w:tcBorders>
              <w:top w:val="single" w:sz="6" w:space="0" w:color="000000"/>
              <w:left w:val="single" w:sz="6" w:space="0" w:color="000000"/>
              <w:bottom w:val="single" w:sz="6"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15</w:t>
            </w:r>
          </w:p>
        </w:tc>
        <w:tc>
          <w:tcPr>
            <w:tcW w:w="1417" w:type="dxa"/>
            <w:tcBorders>
              <w:top w:val="single" w:sz="6" w:space="0" w:color="000000"/>
              <w:left w:val="single" w:sz="6" w:space="0" w:color="000000"/>
              <w:bottom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2.7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(0.23-7.35)</w:t>
            </w:r>
          </w:p>
        </w:tc>
      </w:tr>
      <w:tr w:rsidR="00D57708" w:rsidRPr="00F53776" w:rsidTr="005C0C71">
        <w:trPr>
          <w:trHeight w:hRule="exact" w:val="584"/>
        </w:trPr>
        <w:tc>
          <w:tcPr>
            <w:tcW w:w="891" w:type="dxa"/>
            <w:tcBorders>
              <w:top w:val="single" w:sz="6" w:space="0" w:color="000000"/>
              <w:left w:val="nil"/>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6e</w:t>
            </w:r>
          </w:p>
        </w:tc>
        <w:tc>
          <w:tcPr>
            <w:tcW w:w="1134" w:type="dxa"/>
            <w:tcBorders>
              <w:top w:val="single" w:sz="6" w:space="0" w:color="000000"/>
              <w:left w:val="single" w:sz="6" w:space="0" w:color="000000"/>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417" w:type="dxa"/>
            <w:tcBorders>
              <w:top w:val="single" w:sz="6" w:space="0" w:color="000000"/>
              <w:left w:val="single" w:sz="6" w:space="0" w:color="000000"/>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NA</w:t>
            </w:r>
          </w:p>
        </w:tc>
        <w:tc>
          <w:tcPr>
            <w:tcW w:w="1134" w:type="dxa"/>
            <w:tcBorders>
              <w:top w:val="single" w:sz="6" w:space="0" w:color="000000"/>
              <w:left w:val="single" w:sz="6" w:space="0" w:color="000000"/>
              <w:bottom w:val="single" w:sz="12" w:space="0" w:color="000000"/>
              <w:right w:val="single" w:sz="6"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15</w:t>
            </w:r>
          </w:p>
        </w:tc>
        <w:tc>
          <w:tcPr>
            <w:tcW w:w="1559" w:type="dxa"/>
            <w:tcBorders>
              <w:top w:val="single" w:sz="6" w:space="0" w:color="000000"/>
              <w:left w:val="single" w:sz="6" w:space="0" w:color="000000"/>
              <w:bottom w:val="single" w:sz="12"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0.024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(0.005-0.433)</w:t>
            </w:r>
          </w:p>
        </w:tc>
        <w:tc>
          <w:tcPr>
            <w:tcW w:w="1418" w:type="dxa"/>
            <w:tcBorders>
              <w:top w:val="single" w:sz="6" w:space="0" w:color="000000"/>
              <w:left w:val="single" w:sz="6" w:space="0" w:color="000000"/>
              <w:bottom w:val="single" w:sz="12" w:space="0" w:color="000000"/>
              <w:right w:val="nil"/>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12</w:t>
            </w:r>
          </w:p>
        </w:tc>
        <w:tc>
          <w:tcPr>
            <w:tcW w:w="1417" w:type="dxa"/>
            <w:tcBorders>
              <w:top w:val="single" w:sz="6" w:space="0" w:color="000000"/>
              <w:left w:val="single" w:sz="6" w:space="0" w:color="000000"/>
              <w:bottom w:val="single" w:sz="12" w:space="0" w:color="000000"/>
            </w:tcBorders>
          </w:tcPr>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 xml:space="preserve">0.2 </w:t>
            </w:r>
          </w:p>
          <w:p w:rsidR="00D57708" w:rsidRPr="00F53776" w:rsidRDefault="00D57708" w:rsidP="005C0C71">
            <w:pPr>
              <w:spacing w:before="40" w:after="40"/>
              <w:jc w:val="center"/>
              <w:rPr>
                <w:rFonts w:ascii="Times New Roman" w:hAnsi="Times New Roman" w:cs="Times New Roman"/>
                <w:sz w:val="20"/>
              </w:rPr>
            </w:pPr>
            <w:r w:rsidRPr="00F53776">
              <w:rPr>
                <w:rFonts w:ascii="Times New Roman" w:hAnsi="Times New Roman" w:cs="Times New Roman"/>
                <w:sz w:val="20"/>
              </w:rPr>
              <w:t>(0.12-0.43)</w:t>
            </w:r>
          </w:p>
        </w:tc>
      </w:tr>
    </w:tbl>
    <w:p w:rsidR="00D57708" w:rsidRPr="00F53776" w:rsidRDefault="00D57708" w:rsidP="00D57708">
      <w:pPr>
        <w:spacing w:before="40" w:after="120"/>
        <w:ind w:left="238" w:right="-23"/>
        <w:rPr>
          <w:rFonts w:ascii="Times New Roman" w:hAnsi="Times New Roman" w:cs="Times New Roman"/>
          <w:sz w:val="16"/>
          <w:szCs w:val="16"/>
          <w:lang w:val="en-GB"/>
        </w:rPr>
      </w:pPr>
      <w:r w:rsidRPr="00F53776">
        <w:rPr>
          <w:rFonts w:ascii="Times New Roman" w:hAnsi="Times New Roman" w:cs="Times New Roman"/>
          <w:sz w:val="16"/>
          <w:szCs w:val="16"/>
          <w:lang w:val="en-GB"/>
        </w:rPr>
        <w:t>NA=Not Available</w:t>
      </w:r>
    </w:p>
    <w:p w:rsidR="00D57708" w:rsidRPr="006955C8" w:rsidRDefault="00D57708" w:rsidP="00F2155C">
      <w:pPr>
        <w:spacing w:before="120" w:after="240" w:line="240" w:lineRule="auto"/>
        <w:rPr>
          <w:rFonts w:ascii="Times New Roman" w:hAnsi="Times New Roman" w:cs="Times New Roman"/>
          <w:sz w:val="24"/>
          <w:szCs w:val="24"/>
        </w:rPr>
      </w:pPr>
      <w:r w:rsidRPr="006955C8">
        <w:rPr>
          <w:rFonts w:ascii="Times New Roman" w:hAnsi="Times New Roman" w:cs="Times New Roman"/>
          <w:sz w:val="24"/>
          <w:szCs w:val="24"/>
        </w:rPr>
        <w:t>The presence of 40% human serum had no effect on the anti-HCV activity of sofosbuvir, but reduced the anti-HCV activity of velpatasvir and voxilaprevir by 13- and 6.8-fold respectively, against genotype 1a HCV replicons.</w:t>
      </w:r>
    </w:p>
    <w:p w:rsidR="00D57708" w:rsidRPr="006955C8" w:rsidRDefault="00D57708" w:rsidP="00F2155C">
      <w:pPr>
        <w:spacing w:before="120" w:after="240" w:line="240" w:lineRule="auto"/>
        <w:rPr>
          <w:rFonts w:ascii="Times New Roman" w:hAnsi="Times New Roman" w:cs="Times New Roman"/>
          <w:sz w:val="24"/>
          <w:szCs w:val="24"/>
        </w:rPr>
      </w:pPr>
      <w:r w:rsidRPr="006955C8">
        <w:rPr>
          <w:rFonts w:ascii="Times New Roman" w:hAnsi="Times New Roman" w:cs="Times New Roman"/>
          <w:sz w:val="24"/>
          <w:szCs w:val="24"/>
        </w:rPr>
        <w:t>Evaluation of sofosbuvir in combination with velpatasvir or voxilaprevir, as well as the combination of velpatasvir and voxilaprevir, showed no antagonistic effect in reducing HCV RNA levels in replicon cells.</w:t>
      </w:r>
    </w:p>
    <w:p w:rsidR="00D57708" w:rsidRPr="004469C5" w:rsidRDefault="00D57708" w:rsidP="00F2155C">
      <w:pPr>
        <w:spacing w:before="120" w:after="240" w:line="240" w:lineRule="auto"/>
        <w:rPr>
          <w:rFonts w:ascii="Times New Roman" w:hAnsi="Times New Roman" w:cs="Times New Roman"/>
          <w:b/>
        </w:rPr>
      </w:pPr>
      <w:r w:rsidRPr="004469C5">
        <w:rPr>
          <w:rFonts w:ascii="Times New Roman" w:hAnsi="Times New Roman" w:cs="Times New Roman"/>
          <w:b/>
        </w:rPr>
        <w:t xml:space="preserve">Drug Resistance </w:t>
      </w:r>
    </w:p>
    <w:p w:rsidR="00D57708" w:rsidRPr="004469C5" w:rsidRDefault="00D57708" w:rsidP="00F2155C">
      <w:pPr>
        <w:spacing w:before="120" w:after="240" w:line="240" w:lineRule="auto"/>
        <w:rPr>
          <w:rFonts w:ascii="Times New Roman" w:hAnsi="Times New Roman" w:cs="Times New Roman"/>
          <w:u w:val="single"/>
        </w:rPr>
      </w:pPr>
      <w:r w:rsidRPr="004469C5">
        <w:rPr>
          <w:rFonts w:ascii="Times New Roman" w:hAnsi="Times New Roman" w:cs="Times New Roman"/>
          <w:u w:val="single"/>
        </w:rPr>
        <w:t>In Cell Culture:</w:t>
      </w:r>
    </w:p>
    <w:p w:rsidR="00D57708" w:rsidRPr="00676525" w:rsidRDefault="00D57708" w:rsidP="00F2155C">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 xml:space="preserve">HCV replicons with reduced susceptibility to sofosbuvir have been selected in cell culture for multiple genotypes including 1b, 2a, 2b, 3a, 4a, 5a, and 6a. Reduced susceptibility to </w:t>
      </w:r>
      <w:r w:rsidRPr="00676525">
        <w:rPr>
          <w:rFonts w:ascii="Times New Roman" w:hAnsi="Times New Roman" w:cs="Times New Roman"/>
          <w:sz w:val="24"/>
          <w:szCs w:val="24"/>
        </w:rPr>
        <w:lastRenderedPageBreak/>
        <w:t xml:space="preserve">sofosbuvir was associated with the primary NS5B substitution S282T in all replicon genotypes examined. Site-directed mutagenesis of the S282T substitution in replicons of genotype 1 to 6 conferred 2- to 18-fold reduced susceptibility to sofosbuvir and reduced the replication viral capacity by 89% to 99% compared to the corresponding wild-type. In biochemical assays, the ability of the active triphosphate of sofosbuvir (GS-461203) to inhibit recombinant NS5B polymerase from genotypes 1b, 2a, 3a, and 4a expressing the S282T substitution was reduced compared to its ability to inhibit wild-type recombinant NS5B polymerase, as indicated by a 8.5- to 24-fold increase in IC50. </w:t>
      </w:r>
    </w:p>
    <w:p w:rsidR="00D57708" w:rsidRPr="00676525" w:rsidRDefault="00D57708">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 xml:space="preserve">HCV genotype 1a, 1b, 2a, 3a, 4a, 5a and 6a replicon variants with reduced susceptibility to velpatasvir were selected in cell culture. Variants were selected at NS5A resistance associated positions 24, 28, 30, 31, 32, 58, 92 and 93. The resistance associated variants (RAVs) selected in 2 or more genotypes were F28S, L31I/V and Y93H. Site directed mutagenesis of known NS5A RAVs showed that substitutions conferring a &gt; 100-fold reduction in velpatasvir susceptibility are M28G, A92K and Y93H/N/R/W in genotype 1a, A92K in genotype 1b, C92T and Y93H/N in genotype 2b, Y93H in genotype 3, and L31V and P32A/L/Q/R in genotype 6. No individual substitutions tested in genotypes 2a, 4a, or 5a conferred a &gt; 100-fold reduction in velpatasvir susceptibility. Combinations of variants often showed greater reductions in susceptibility to velpatasvir than single RAVs alone. </w:t>
      </w:r>
    </w:p>
    <w:p w:rsidR="00D57708" w:rsidRPr="00676525" w:rsidRDefault="00D57708" w:rsidP="00F2155C">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HCV genotype 1a, 1b, 2a, 3a, 4a, 5a, and 6a replicon variants with reduced susceptibility to voxilaprevir were selected in cell culture. Variants were selected at NS3 resistance associated positions 41, 156, and 168. The RAVs selected in 2 or more genotypes were Q41H, A156V/T/L, and D168E/H/Y. Site directed mutagenesis of NS3 RAVs showed that substitutions conferring a &gt; 100-fold reduction in voxilaprevir susceptibility are A156L/T in genotype 1a, A156T/V in genotype 1b, A156L/V in genotype 2a, A156T/V in genotype 3a, and A156L/T/V in genotype 4. No individual substitutions tested in genotypes 2b, 5a, or 6a conferred a &gt; 100-fold reduction in voxilaprevir susceptibility. Combinations of variants often showed greater reductions in susceptibility to voxilaprevir than single RAVs alone.</w:t>
      </w:r>
    </w:p>
    <w:p w:rsidR="004952A5" w:rsidRPr="004469C5" w:rsidRDefault="004952A5" w:rsidP="00F2155C">
      <w:pPr>
        <w:spacing w:before="120" w:after="240" w:line="240" w:lineRule="auto"/>
        <w:rPr>
          <w:rFonts w:ascii="Times New Roman" w:hAnsi="Times New Roman" w:cs="Times New Roman"/>
          <w:u w:val="single"/>
        </w:rPr>
      </w:pPr>
      <w:r w:rsidRPr="004469C5">
        <w:rPr>
          <w:rFonts w:ascii="Times New Roman" w:hAnsi="Times New Roman" w:cs="Times New Roman"/>
          <w:u w:val="single"/>
        </w:rPr>
        <w:t xml:space="preserve">In Clinical Trials: </w:t>
      </w:r>
    </w:p>
    <w:p w:rsidR="004952A5" w:rsidRPr="00676525" w:rsidRDefault="004952A5" w:rsidP="00F2155C">
      <w:pPr>
        <w:spacing w:before="120" w:after="240" w:line="240" w:lineRule="auto"/>
        <w:rPr>
          <w:rFonts w:ascii="Times New Roman" w:hAnsi="Times New Roman" w:cs="Times New Roman"/>
          <w:i/>
          <w:sz w:val="24"/>
          <w:szCs w:val="24"/>
        </w:rPr>
      </w:pPr>
      <w:r w:rsidRPr="00676525">
        <w:rPr>
          <w:rFonts w:ascii="Times New Roman" w:hAnsi="Times New Roman" w:cs="Times New Roman"/>
          <w:i/>
          <w:sz w:val="24"/>
          <w:szCs w:val="24"/>
        </w:rPr>
        <w:t xml:space="preserve">Studies in DAA-Experienced Patients </w:t>
      </w:r>
    </w:p>
    <w:p w:rsidR="004952A5" w:rsidRPr="00676525" w:rsidRDefault="004952A5" w:rsidP="00F2155C">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 xml:space="preserve">Of the 263 NS5A inhibitor-experienced patients treated with VOSEVI for 12 weeks in POLARIS-1, 7 of 263 (3%) patients (2 with genotype 1, 4 with genotype 3, and 1 with genotype 4) did not achieve SVR12 and qualified for resistance analysis; 6 relapsed and 1 experienced virologic breakthrough with pharmacokinetic data consistent with nonadherence. The patient with genotype 1a and virologic breakthrough developed the NS5A RAVs L31M and Y93H. One subject with genotype 4d who relapsed developed the NS5A RAV Y93H. No NS3, NS5A, or NS5B nucleoside inhibitor (NI) RAVs emerged in the </w:t>
      </w:r>
      <w:r w:rsidR="00676525">
        <w:rPr>
          <w:rFonts w:ascii="Times New Roman" w:hAnsi="Times New Roman" w:cs="Times New Roman"/>
          <w:sz w:val="24"/>
          <w:szCs w:val="24"/>
        </w:rPr>
        <w:t xml:space="preserve">other 5 patients who relapsed. </w:t>
      </w:r>
    </w:p>
    <w:p w:rsidR="004952A5" w:rsidRPr="00676525" w:rsidRDefault="004952A5" w:rsidP="00F2155C">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 xml:space="preserve">Of the 182 DAA inhibitor-experienced patients treated with VOSEVI for 12 weeks in POLARIS-4, 1 of 182 (1%) patients relapsed and qualified for resistance analysis. No NS3, NS5A, or NS5B NI RAVs emerged in this patient </w:t>
      </w:r>
      <w:r w:rsidR="00676525">
        <w:rPr>
          <w:rFonts w:ascii="Times New Roman" w:hAnsi="Times New Roman" w:cs="Times New Roman"/>
          <w:sz w:val="24"/>
          <w:szCs w:val="24"/>
        </w:rPr>
        <w:t xml:space="preserve">infected with genotype 1a HCV. </w:t>
      </w:r>
    </w:p>
    <w:p w:rsidR="004952A5" w:rsidRPr="00676525" w:rsidRDefault="00676525" w:rsidP="00F2155C">
      <w:pPr>
        <w:spacing w:before="120" w:after="240" w:line="240" w:lineRule="auto"/>
        <w:rPr>
          <w:rFonts w:ascii="Times New Roman" w:hAnsi="Times New Roman" w:cs="Times New Roman"/>
          <w:i/>
          <w:sz w:val="24"/>
          <w:szCs w:val="24"/>
        </w:rPr>
      </w:pPr>
      <w:r>
        <w:rPr>
          <w:rFonts w:ascii="Times New Roman" w:hAnsi="Times New Roman" w:cs="Times New Roman"/>
          <w:i/>
          <w:sz w:val="24"/>
          <w:szCs w:val="24"/>
        </w:rPr>
        <w:t xml:space="preserve">Studies in DAA-Naïve Patients </w:t>
      </w:r>
    </w:p>
    <w:p w:rsidR="004952A5" w:rsidRPr="00676525" w:rsidRDefault="004952A5" w:rsidP="00F2155C">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 xml:space="preserve">In the POLARIS-2 VOSEVI 8-week treatment group, a total of 21 of 501 (4%) patients (16 with genotype 1, 2 with genotype 2, 2 with genotype 4, and 1 with genotype 5) qualified for </w:t>
      </w:r>
      <w:r w:rsidRPr="00676525">
        <w:rPr>
          <w:rFonts w:ascii="Times New Roman" w:hAnsi="Times New Roman" w:cs="Times New Roman"/>
          <w:sz w:val="24"/>
          <w:szCs w:val="24"/>
        </w:rPr>
        <w:lastRenderedPageBreak/>
        <w:t xml:space="preserve">resistance analysis due to relapse. Of these 21 patients, 1 patient had virus with emergent NS5A RAVs Q30R and L31M at failure. No NS3 and NS5B NI RAVs emerged in any of these 21 patients at failure. </w:t>
      </w:r>
    </w:p>
    <w:p w:rsidR="004952A5" w:rsidRPr="00676525" w:rsidRDefault="004952A5" w:rsidP="00F2155C">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In the POLARIS-3 VOSEVI 8-week treatment group, 2 of 110 (2%) patients (genotype 3) qualified for resistance analysis due to relapse. No NS3, NS5A, or NS5B NI RAVs emerged in either of these patients.</w:t>
      </w:r>
    </w:p>
    <w:p w:rsidR="004952A5" w:rsidRPr="004469C5" w:rsidRDefault="004952A5" w:rsidP="00F2155C">
      <w:pPr>
        <w:spacing w:before="120" w:after="240" w:line="240" w:lineRule="auto"/>
        <w:rPr>
          <w:rFonts w:ascii="Times New Roman" w:hAnsi="Times New Roman" w:cs="Times New Roman"/>
          <w:b/>
        </w:rPr>
      </w:pPr>
      <w:r w:rsidRPr="004469C5">
        <w:rPr>
          <w:rFonts w:ascii="Times New Roman" w:hAnsi="Times New Roman" w:cs="Times New Roman"/>
          <w:b/>
        </w:rPr>
        <w:t>Effect of Baseline HCV Resistance Associated Variants on Treatment Outcome</w:t>
      </w:r>
    </w:p>
    <w:p w:rsidR="004952A5" w:rsidRPr="00676525" w:rsidRDefault="004952A5" w:rsidP="00F2155C">
      <w:pPr>
        <w:spacing w:before="120" w:after="240" w:line="240" w:lineRule="auto"/>
        <w:rPr>
          <w:rFonts w:ascii="Times New Roman" w:hAnsi="Times New Roman" w:cs="Times New Roman"/>
          <w:i/>
          <w:sz w:val="24"/>
          <w:szCs w:val="24"/>
        </w:rPr>
      </w:pPr>
      <w:r w:rsidRPr="00676525">
        <w:rPr>
          <w:rFonts w:ascii="Times New Roman" w:hAnsi="Times New Roman" w:cs="Times New Roman"/>
          <w:i/>
          <w:sz w:val="24"/>
          <w:szCs w:val="24"/>
        </w:rPr>
        <w:t>Studies in DAA-Experienced Patients</w:t>
      </w:r>
    </w:p>
    <w:p w:rsidR="004952A5" w:rsidRDefault="004952A5" w:rsidP="00F2155C">
      <w:pPr>
        <w:spacing w:before="120" w:after="240" w:line="240" w:lineRule="auto"/>
      </w:pPr>
      <w:r w:rsidRPr="00676525">
        <w:rPr>
          <w:rFonts w:ascii="Times New Roman" w:hAnsi="Times New Roman" w:cs="Times New Roman"/>
          <w:sz w:val="24"/>
          <w:szCs w:val="24"/>
        </w:rPr>
        <w:t>Analyses were conducted to explore the association between pre-existing baseline NS3 and NS5A RAVs and treatment outcome for patients that had previously treated with DAA regimens in POLARIS-1 and POLARIS-4. Patients were included in the analysis if they had a known virologic outcome. Of the patients treated with VOSEVI for 12 weeks, 260 of 263 in POLARIS-1 and 179 of 182 in POLARIS-4 were included in the analysis of NS3 and NS5A RAVs. Overall, 205 of 260 (79%) patients from POLARIS-1 and 83 of 179 (46%) patients from POLARIS-4 had HCV with NS3 and/or NS5A RAV at baseline</w:t>
      </w:r>
      <w:r>
        <w:t>.</w:t>
      </w:r>
    </w:p>
    <w:p w:rsidR="004952A5" w:rsidRPr="00676525" w:rsidRDefault="004952A5" w:rsidP="00F2155C">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 xml:space="preserve">SVR12 rates in patients with or without baseline NS3 and/or NS5A RAVs in the POLARIS-1 and POLARIS-4 trials are shown in Table </w:t>
      </w:r>
      <w:r w:rsidR="00F2155C">
        <w:rPr>
          <w:rFonts w:ascii="Times New Roman" w:hAnsi="Times New Roman" w:cs="Times New Roman"/>
          <w:sz w:val="24"/>
          <w:szCs w:val="24"/>
        </w:rPr>
        <w:t>11</w:t>
      </w:r>
      <w:r w:rsidRPr="00676525">
        <w:rPr>
          <w:rFonts w:ascii="Times New Roman" w:hAnsi="Times New Roman" w:cs="Times New Roman"/>
          <w:sz w:val="24"/>
          <w:szCs w:val="24"/>
        </w:rPr>
        <w:t>.</w:t>
      </w:r>
    </w:p>
    <w:p w:rsidR="004952A5" w:rsidRPr="00525F08" w:rsidRDefault="004952A5" w:rsidP="004952A5">
      <w:pPr>
        <w:pStyle w:val="Caption"/>
        <w:rPr>
          <w:bCs/>
        </w:rPr>
      </w:pPr>
      <w:r w:rsidRPr="00525F08">
        <w:rPr>
          <w:spacing w:val="1"/>
        </w:rPr>
        <w:t>Tabl</w:t>
      </w:r>
      <w:r w:rsidRPr="00525F08">
        <w:t>e</w:t>
      </w:r>
      <w:r w:rsidRPr="00525F08">
        <w:rPr>
          <w:spacing w:val="-1"/>
        </w:rPr>
        <w:t xml:space="preserve"> </w:t>
      </w:r>
      <w:r w:rsidR="00F2155C">
        <w:t>11</w:t>
      </w:r>
      <w:r w:rsidRPr="00525F08">
        <w:tab/>
      </w:r>
      <w:r w:rsidRPr="00525F08">
        <w:rPr>
          <w:bCs/>
        </w:rPr>
        <w:t>SVR12 in DAA-Experienced Patients With or Without Baseline NS3 or NS5A RAVs by Study</w:t>
      </w:r>
    </w:p>
    <w:tbl>
      <w:tblPr>
        <w:tblStyle w:val="TableGrid"/>
        <w:tblW w:w="0" w:type="auto"/>
        <w:tblLook w:val="04A0" w:firstRow="1" w:lastRow="0" w:firstColumn="1" w:lastColumn="0" w:noHBand="0" w:noVBand="1"/>
      </w:tblPr>
      <w:tblGrid>
        <w:gridCol w:w="2376"/>
        <w:gridCol w:w="2417"/>
        <w:gridCol w:w="2413"/>
        <w:gridCol w:w="2036"/>
      </w:tblGrid>
      <w:tr w:rsidR="004952A5" w:rsidRPr="00525F08" w:rsidTr="005C0C71">
        <w:tc>
          <w:tcPr>
            <w:tcW w:w="2388" w:type="dxa"/>
            <w:vMerge w:val="restart"/>
            <w:tcBorders>
              <w:top w:val="single" w:sz="12" w:space="0" w:color="auto"/>
              <w:left w:val="nil"/>
            </w:tcBorders>
          </w:tcPr>
          <w:p w:rsidR="004952A5" w:rsidRPr="00525F08" w:rsidRDefault="004952A5" w:rsidP="005C0C71">
            <w:pPr>
              <w:pStyle w:val="TextTi11"/>
            </w:pPr>
          </w:p>
        </w:tc>
        <w:tc>
          <w:tcPr>
            <w:tcW w:w="2429" w:type="dxa"/>
            <w:tcBorders>
              <w:top w:val="single" w:sz="12" w:space="0" w:color="auto"/>
              <w:right w:val="nil"/>
            </w:tcBorders>
          </w:tcPr>
          <w:p w:rsidR="004952A5" w:rsidRPr="00525F08" w:rsidRDefault="004952A5" w:rsidP="005C0C71">
            <w:pPr>
              <w:pStyle w:val="TextTi11"/>
              <w:jc w:val="center"/>
              <w:rPr>
                <w:b/>
              </w:rPr>
            </w:pPr>
            <w:r w:rsidRPr="00525F08">
              <w:rPr>
                <w:b/>
              </w:rPr>
              <w:t xml:space="preserve">POLARIS-1 </w:t>
            </w:r>
          </w:p>
          <w:p w:rsidR="004952A5" w:rsidDel="00D76BF8" w:rsidRDefault="004952A5" w:rsidP="005C0C71">
            <w:pPr>
              <w:pStyle w:val="TextTi11"/>
              <w:jc w:val="center"/>
              <w:rPr>
                <w:b/>
              </w:rPr>
            </w:pPr>
          </w:p>
        </w:tc>
        <w:tc>
          <w:tcPr>
            <w:tcW w:w="4470" w:type="dxa"/>
            <w:gridSpan w:val="2"/>
            <w:tcBorders>
              <w:top w:val="single" w:sz="12" w:space="0" w:color="auto"/>
              <w:right w:val="nil"/>
            </w:tcBorders>
          </w:tcPr>
          <w:p w:rsidR="004952A5" w:rsidRPr="00525F08" w:rsidRDefault="004952A5" w:rsidP="005C0C71">
            <w:pPr>
              <w:pStyle w:val="TextTi11"/>
              <w:jc w:val="center"/>
              <w:rPr>
                <w:b/>
              </w:rPr>
            </w:pPr>
            <w:r w:rsidRPr="00525F08">
              <w:rPr>
                <w:b/>
              </w:rPr>
              <w:t xml:space="preserve"> POLARIS-4</w:t>
            </w:r>
          </w:p>
          <w:p w:rsidR="004952A5" w:rsidDel="00D76BF8" w:rsidRDefault="004952A5" w:rsidP="005C0C71">
            <w:pPr>
              <w:pStyle w:val="TextTi11"/>
              <w:jc w:val="center"/>
              <w:rPr>
                <w:b/>
              </w:rPr>
            </w:pPr>
          </w:p>
        </w:tc>
      </w:tr>
      <w:tr w:rsidR="004952A5" w:rsidRPr="00525F08" w:rsidTr="005C0C71">
        <w:tc>
          <w:tcPr>
            <w:tcW w:w="2388" w:type="dxa"/>
            <w:vMerge/>
            <w:tcBorders>
              <w:left w:val="nil"/>
              <w:bottom w:val="single" w:sz="12" w:space="0" w:color="auto"/>
            </w:tcBorders>
          </w:tcPr>
          <w:p w:rsidR="004952A5" w:rsidRPr="00525F08" w:rsidRDefault="004952A5" w:rsidP="005C0C71">
            <w:pPr>
              <w:pStyle w:val="TextTi11"/>
            </w:pPr>
          </w:p>
        </w:tc>
        <w:tc>
          <w:tcPr>
            <w:tcW w:w="2427" w:type="dxa"/>
            <w:tcBorders>
              <w:bottom w:val="single" w:sz="12" w:space="0" w:color="auto"/>
            </w:tcBorders>
          </w:tcPr>
          <w:p w:rsidR="004952A5" w:rsidRPr="00525F08" w:rsidRDefault="004952A5" w:rsidP="00BF439F">
            <w:pPr>
              <w:pStyle w:val="TextTi11"/>
              <w:jc w:val="center"/>
              <w:rPr>
                <w:b/>
              </w:rPr>
            </w:pPr>
            <w:r w:rsidRPr="00525F08" w:rsidDel="00F971DA">
              <w:rPr>
                <w:b/>
              </w:rPr>
              <w:t xml:space="preserve"> </w:t>
            </w:r>
            <w:r>
              <w:rPr>
                <w:b/>
              </w:rPr>
              <w:t xml:space="preserve">VOSEVI 12 </w:t>
            </w:r>
            <w:r w:rsidR="00BF439F">
              <w:rPr>
                <w:b/>
              </w:rPr>
              <w:t>W</w:t>
            </w:r>
            <w:r>
              <w:rPr>
                <w:b/>
              </w:rPr>
              <w:t>eeks</w:t>
            </w:r>
            <w:r w:rsidR="00BF439F">
              <w:rPr>
                <w:b/>
              </w:rPr>
              <w:t xml:space="preserve"> </w:t>
            </w:r>
            <w:r w:rsidRPr="00525F08">
              <w:rPr>
                <w:b/>
              </w:rPr>
              <w:t>(N=260)</w:t>
            </w:r>
          </w:p>
        </w:tc>
        <w:tc>
          <w:tcPr>
            <w:tcW w:w="2427" w:type="dxa"/>
            <w:tcBorders>
              <w:bottom w:val="single" w:sz="12" w:space="0" w:color="auto"/>
              <w:right w:val="nil"/>
            </w:tcBorders>
          </w:tcPr>
          <w:p w:rsidR="00BF439F" w:rsidRDefault="004952A5" w:rsidP="00BF439F">
            <w:pPr>
              <w:pStyle w:val="TextTi11"/>
              <w:spacing w:after="0"/>
              <w:jc w:val="center"/>
              <w:rPr>
                <w:b/>
              </w:rPr>
            </w:pPr>
            <w:r>
              <w:rPr>
                <w:b/>
              </w:rPr>
              <w:t>VOSEVI 12 Weeks</w:t>
            </w:r>
          </w:p>
          <w:p w:rsidR="004952A5" w:rsidRPr="00525F08" w:rsidRDefault="004952A5" w:rsidP="00BF439F">
            <w:pPr>
              <w:pStyle w:val="TextTi11"/>
              <w:spacing w:after="0"/>
              <w:jc w:val="center"/>
              <w:rPr>
                <w:b/>
              </w:rPr>
            </w:pPr>
            <w:r w:rsidRPr="00525F08">
              <w:rPr>
                <w:b/>
              </w:rPr>
              <w:t>(N=17</w:t>
            </w:r>
            <w:r>
              <w:rPr>
                <w:b/>
              </w:rPr>
              <w:t>9</w:t>
            </w:r>
            <w:r w:rsidRPr="00525F08">
              <w:rPr>
                <w:b/>
              </w:rPr>
              <w:t>)</w:t>
            </w:r>
          </w:p>
        </w:tc>
        <w:tc>
          <w:tcPr>
            <w:tcW w:w="2045" w:type="dxa"/>
            <w:tcBorders>
              <w:bottom w:val="single" w:sz="12" w:space="0" w:color="auto"/>
              <w:right w:val="nil"/>
            </w:tcBorders>
          </w:tcPr>
          <w:p w:rsidR="004952A5" w:rsidRDefault="004952A5" w:rsidP="005C0C71">
            <w:pPr>
              <w:pStyle w:val="TextTi11"/>
              <w:jc w:val="center"/>
              <w:rPr>
                <w:b/>
              </w:rPr>
            </w:pPr>
            <w:r>
              <w:rPr>
                <w:b/>
              </w:rPr>
              <w:t>SOF/VEL</w:t>
            </w:r>
            <w:r w:rsidR="00BF439F">
              <w:rPr>
                <w:b/>
              </w:rPr>
              <w:t xml:space="preserve"> </w:t>
            </w:r>
            <w:r>
              <w:rPr>
                <w:b/>
              </w:rPr>
              <w:t>12 Weeks</w:t>
            </w:r>
          </w:p>
          <w:p w:rsidR="004952A5" w:rsidRPr="00525F08" w:rsidRDefault="004952A5" w:rsidP="005C0C71">
            <w:pPr>
              <w:pStyle w:val="TextTi11"/>
              <w:jc w:val="center"/>
              <w:rPr>
                <w:b/>
              </w:rPr>
            </w:pPr>
            <w:r>
              <w:rPr>
                <w:b/>
              </w:rPr>
              <w:t>(N = 151)</w:t>
            </w:r>
          </w:p>
        </w:tc>
      </w:tr>
      <w:tr w:rsidR="004952A5" w:rsidRPr="00525F08" w:rsidTr="005C0C71">
        <w:tc>
          <w:tcPr>
            <w:tcW w:w="2388" w:type="dxa"/>
            <w:tcBorders>
              <w:top w:val="single" w:sz="12" w:space="0" w:color="auto"/>
              <w:left w:val="nil"/>
            </w:tcBorders>
            <w:vAlign w:val="center"/>
          </w:tcPr>
          <w:p w:rsidR="004952A5" w:rsidRPr="00525F08" w:rsidRDefault="004952A5" w:rsidP="005C0C71">
            <w:pPr>
              <w:spacing w:before="60" w:after="60"/>
              <w:rPr>
                <w:rFonts w:eastAsia="Arial Unicode MS" w:cs="Arial"/>
                <w:color w:val="000000"/>
              </w:rPr>
            </w:pPr>
            <w:r w:rsidRPr="00525F08">
              <w:rPr>
                <w:rFonts w:eastAsia="Arial Unicode MS" w:cs="Arial"/>
                <w:color w:val="000000"/>
              </w:rPr>
              <w:t>No NS3 or NS5A RAVs</w:t>
            </w:r>
          </w:p>
        </w:tc>
        <w:tc>
          <w:tcPr>
            <w:tcW w:w="2427" w:type="dxa"/>
            <w:tcBorders>
              <w:top w:val="single" w:sz="12" w:space="0" w:color="auto"/>
            </w:tcBorders>
            <w:vAlign w:val="center"/>
          </w:tcPr>
          <w:p w:rsidR="004952A5" w:rsidRPr="00525F08" w:rsidRDefault="004952A5" w:rsidP="005C0C71">
            <w:pPr>
              <w:spacing w:before="60" w:after="60"/>
              <w:jc w:val="center"/>
              <w:rPr>
                <w:rFonts w:eastAsia="Arial Unicode MS" w:cs="Arial"/>
                <w:color w:val="000000"/>
              </w:rPr>
            </w:pPr>
            <w:r w:rsidRPr="00525F08">
              <w:rPr>
                <w:rFonts w:cs="Arial"/>
              </w:rPr>
              <w:t>98% (42/43)</w:t>
            </w:r>
          </w:p>
        </w:tc>
        <w:tc>
          <w:tcPr>
            <w:tcW w:w="2427" w:type="dxa"/>
            <w:tcBorders>
              <w:top w:val="single" w:sz="12" w:space="0" w:color="auto"/>
              <w:right w:val="nil"/>
            </w:tcBorders>
            <w:vAlign w:val="center"/>
          </w:tcPr>
          <w:p w:rsidR="004952A5" w:rsidRPr="00525F08" w:rsidRDefault="004952A5" w:rsidP="005C0C71">
            <w:pPr>
              <w:spacing w:before="60" w:after="60"/>
              <w:jc w:val="center"/>
              <w:rPr>
                <w:rFonts w:eastAsia="Arial Unicode MS" w:cs="Arial"/>
                <w:color w:val="000000"/>
              </w:rPr>
            </w:pPr>
            <w:r w:rsidRPr="00525F08">
              <w:rPr>
                <w:rFonts w:cs="Arial"/>
              </w:rPr>
              <w:t>99% (8</w:t>
            </w:r>
            <w:r>
              <w:rPr>
                <w:rFonts w:cs="Arial"/>
              </w:rPr>
              <w:t>5</w:t>
            </w:r>
            <w:r w:rsidRPr="00525F08">
              <w:rPr>
                <w:rFonts w:cs="Arial"/>
              </w:rPr>
              <w:t>/8</w:t>
            </w:r>
            <w:r>
              <w:rPr>
                <w:rFonts w:cs="Arial"/>
              </w:rPr>
              <w:t>6</w:t>
            </w:r>
            <w:r w:rsidRPr="00525F08">
              <w:rPr>
                <w:rFonts w:cs="Arial"/>
              </w:rPr>
              <w:t>)</w:t>
            </w:r>
          </w:p>
        </w:tc>
        <w:tc>
          <w:tcPr>
            <w:tcW w:w="2045" w:type="dxa"/>
            <w:tcBorders>
              <w:top w:val="single" w:sz="12" w:space="0" w:color="auto"/>
              <w:right w:val="nil"/>
            </w:tcBorders>
          </w:tcPr>
          <w:p w:rsidR="004952A5" w:rsidRPr="00525F08" w:rsidRDefault="00944823" w:rsidP="005C0C71">
            <w:pPr>
              <w:spacing w:before="60" w:after="60"/>
              <w:jc w:val="center"/>
              <w:rPr>
                <w:rFonts w:cs="Arial"/>
              </w:rPr>
            </w:pPr>
            <w:r>
              <w:rPr>
                <w:color w:val="0D0D0D"/>
              </w:rPr>
              <w:t xml:space="preserve"> 89%  (67/75)</w:t>
            </w:r>
          </w:p>
        </w:tc>
      </w:tr>
      <w:tr w:rsidR="004952A5" w:rsidRPr="00525F08" w:rsidTr="005C0C71">
        <w:tc>
          <w:tcPr>
            <w:tcW w:w="2388" w:type="dxa"/>
            <w:tcBorders>
              <w:left w:val="nil"/>
            </w:tcBorders>
            <w:vAlign w:val="center"/>
          </w:tcPr>
          <w:p w:rsidR="004952A5" w:rsidRPr="00525F08" w:rsidRDefault="004952A5" w:rsidP="005C0C71">
            <w:pPr>
              <w:spacing w:before="60" w:after="60"/>
              <w:rPr>
                <w:rFonts w:eastAsia="Arial Unicode MS" w:cs="Arial"/>
                <w:color w:val="000000"/>
              </w:rPr>
            </w:pPr>
            <w:r w:rsidRPr="00525F08">
              <w:rPr>
                <w:rFonts w:eastAsia="Arial Unicode MS" w:cs="Arial"/>
                <w:color w:val="000000"/>
              </w:rPr>
              <w:t>Any NS3 or NS5A RAV</w:t>
            </w:r>
          </w:p>
        </w:tc>
        <w:tc>
          <w:tcPr>
            <w:tcW w:w="2427" w:type="dxa"/>
            <w:vAlign w:val="center"/>
          </w:tcPr>
          <w:p w:rsidR="004952A5" w:rsidRPr="00525F08" w:rsidRDefault="004952A5" w:rsidP="005C0C71">
            <w:pPr>
              <w:spacing w:before="60" w:after="60"/>
              <w:jc w:val="center"/>
              <w:rPr>
                <w:rFonts w:eastAsia="Arial Unicode MS" w:cs="Arial"/>
                <w:color w:val="000000"/>
              </w:rPr>
            </w:pPr>
            <w:r w:rsidRPr="00525F08">
              <w:rPr>
                <w:rFonts w:cs="Arial"/>
              </w:rPr>
              <w:t>97% (199/205)</w:t>
            </w:r>
          </w:p>
        </w:tc>
        <w:tc>
          <w:tcPr>
            <w:tcW w:w="2427" w:type="dxa"/>
            <w:tcBorders>
              <w:right w:val="nil"/>
            </w:tcBorders>
            <w:vAlign w:val="center"/>
          </w:tcPr>
          <w:p w:rsidR="004952A5" w:rsidRPr="00525F08" w:rsidRDefault="004952A5" w:rsidP="005C0C71">
            <w:pPr>
              <w:spacing w:before="60" w:after="60"/>
              <w:jc w:val="center"/>
              <w:rPr>
                <w:rFonts w:eastAsia="Arial Unicode MS" w:cs="Arial"/>
                <w:color w:val="000000"/>
              </w:rPr>
            </w:pPr>
            <w:r w:rsidRPr="00525F08">
              <w:rPr>
                <w:rFonts w:cs="Arial"/>
              </w:rPr>
              <w:t>100% (83/83)</w:t>
            </w:r>
          </w:p>
        </w:tc>
        <w:tc>
          <w:tcPr>
            <w:tcW w:w="2045" w:type="dxa"/>
            <w:tcBorders>
              <w:right w:val="nil"/>
            </w:tcBorders>
          </w:tcPr>
          <w:p w:rsidR="004952A5" w:rsidRPr="00525F08" w:rsidRDefault="00944823" w:rsidP="005C0C71">
            <w:pPr>
              <w:spacing w:before="60" w:after="60"/>
              <w:jc w:val="center"/>
              <w:rPr>
                <w:rFonts w:cs="Arial"/>
              </w:rPr>
            </w:pPr>
            <w:r>
              <w:rPr>
                <w:color w:val="0D0D0D"/>
              </w:rPr>
              <w:t xml:space="preserve"> 90% (63/70)</w:t>
            </w:r>
          </w:p>
        </w:tc>
      </w:tr>
      <w:tr w:rsidR="004952A5" w:rsidRPr="00525F08" w:rsidTr="005C0C71">
        <w:tc>
          <w:tcPr>
            <w:tcW w:w="2388" w:type="dxa"/>
            <w:tcBorders>
              <w:left w:val="nil"/>
            </w:tcBorders>
            <w:vAlign w:val="center"/>
          </w:tcPr>
          <w:p w:rsidR="004952A5" w:rsidRPr="00525F08" w:rsidRDefault="004952A5" w:rsidP="005C0C71">
            <w:pPr>
              <w:spacing w:before="60" w:after="60"/>
              <w:ind w:left="180" w:hanging="180"/>
              <w:rPr>
                <w:rFonts w:eastAsia="Arial Unicode MS" w:cs="Arial"/>
                <w:color w:val="000000"/>
              </w:rPr>
            </w:pPr>
            <w:r w:rsidRPr="00525F08">
              <w:rPr>
                <w:rFonts w:eastAsia="Arial Unicode MS" w:cs="Arial"/>
                <w:color w:val="000000"/>
              </w:rPr>
              <w:tab/>
              <w:t>NS3 Only</w:t>
            </w:r>
          </w:p>
        </w:tc>
        <w:tc>
          <w:tcPr>
            <w:tcW w:w="2427" w:type="dxa"/>
            <w:vAlign w:val="center"/>
          </w:tcPr>
          <w:p w:rsidR="004952A5" w:rsidRPr="00525F08" w:rsidRDefault="004952A5" w:rsidP="005C0C71">
            <w:pPr>
              <w:spacing w:before="60" w:after="60"/>
              <w:jc w:val="center"/>
              <w:rPr>
                <w:rFonts w:eastAsia="Arial Unicode MS" w:cs="Arial"/>
                <w:color w:val="000000"/>
              </w:rPr>
            </w:pPr>
            <w:r w:rsidRPr="00525F08">
              <w:rPr>
                <w:rFonts w:cs="Arial"/>
              </w:rPr>
              <w:t>100% (9/9)</w:t>
            </w:r>
          </w:p>
        </w:tc>
        <w:tc>
          <w:tcPr>
            <w:tcW w:w="2427" w:type="dxa"/>
            <w:tcBorders>
              <w:right w:val="nil"/>
            </w:tcBorders>
            <w:vAlign w:val="center"/>
          </w:tcPr>
          <w:p w:rsidR="004952A5" w:rsidRPr="00525F08" w:rsidRDefault="004952A5" w:rsidP="005C0C71">
            <w:pPr>
              <w:spacing w:before="60" w:after="60"/>
              <w:jc w:val="center"/>
              <w:rPr>
                <w:rFonts w:eastAsia="Arial Unicode MS" w:cs="Arial"/>
                <w:color w:val="000000"/>
              </w:rPr>
            </w:pPr>
            <w:r w:rsidRPr="00525F08">
              <w:rPr>
                <w:rFonts w:cs="Arial"/>
              </w:rPr>
              <w:t>100% (39/39)</w:t>
            </w:r>
          </w:p>
        </w:tc>
        <w:tc>
          <w:tcPr>
            <w:tcW w:w="2045" w:type="dxa"/>
            <w:tcBorders>
              <w:right w:val="nil"/>
            </w:tcBorders>
          </w:tcPr>
          <w:p w:rsidR="004952A5" w:rsidRPr="00525F08" w:rsidRDefault="004952A5" w:rsidP="00944823">
            <w:pPr>
              <w:spacing w:before="60" w:after="60"/>
              <w:jc w:val="center"/>
              <w:rPr>
                <w:rFonts w:cs="Arial"/>
              </w:rPr>
            </w:pPr>
            <w:r>
              <w:rPr>
                <w:color w:val="0D0D0D"/>
              </w:rPr>
              <w:t xml:space="preserve"> </w:t>
            </w:r>
            <w:r w:rsidR="00944823">
              <w:rPr>
                <w:color w:val="0D0D0D"/>
              </w:rPr>
              <w:t>91% (29/32)</w:t>
            </w:r>
          </w:p>
        </w:tc>
      </w:tr>
      <w:tr w:rsidR="004952A5" w:rsidRPr="00525F08" w:rsidTr="005C0C71">
        <w:tc>
          <w:tcPr>
            <w:tcW w:w="2388" w:type="dxa"/>
            <w:tcBorders>
              <w:left w:val="nil"/>
            </w:tcBorders>
            <w:vAlign w:val="center"/>
          </w:tcPr>
          <w:p w:rsidR="004952A5" w:rsidRPr="00525F08" w:rsidRDefault="004952A5" w:rsidP="005C0C71">
            <w:pPr>
              <w:spacing w:before="60" w:after="60"/>
              <w:ind w:left="180" w:hanging="180"/>
              <w:rPr>
                <w:rFonts w:eastAsia="Arial Unicode MS" w:cs="Arial"/>
                <w:color w:val="000000"/>
              </w:rPr>
            </w:pPr>
            <w:r w:rsidRPr="00525F08">
              <w:rPr>
                <w:rFonts w:eastAsia="Arial Unicode MS" w:cs="Arial"/>
                <w:color w:val="000000"/>
              </w:rPr>
              <w:tab/>
              <w:t>NS5A Only</w:t>
            </w:r>
          </w:p>
        </w:tc>
        <w:tc>
          <w:tcPr>
            <w:tcW w:w="2427" w:type="dxa"/>
            <w:vAlign w:val="center"/>
          </w:tcPr>
          <w:p w:rsidR="004952A5" w:rsidRPr="00525F08" w:rsidRDefault="004952A5" w:rsidP="005C0C71">
            <w:pPr>
              <w:spacing w:before="60" w:after="60"/>
              <w:jc w:val="center"/>
              <w:rPr>
                <w:rFonts w:eastAsia="Arial Unicode MS" w:cs="Arial"/>
                <w:color w:val="000000"/>
              </w:rPr>
            </w:pPr>
            <w:r w:rsidRPr="00525F08">
              <w:rPr>
                <w:rFonts w:cs="Arial"/>
              </w:rPr>
              <w:t>97% (120/124)</w:t>
            </w:r>
          </w:p>
        </w:tc>
        <w:tc>
          <w:tcPr>
            <w:tcW w:w="2427" w:type="dxa"/>
            <w:tcBorders>
              <w:right w:val="nil"/>
            </w:tcBorders>
            <w:vAlign w:val="center"/>
          </w:tcPr>
          <w:p w:rsidR="004952A5" w:rsidRPr="00525F08" w:rsidRDefault="004952A5" w:rsidP="005C0C71">
            <w:pPr>
              <w:spacing w:before="60" w:after="60"/>
              <w:jc w:val="center"/>
              <w:rPr>
                <w:rFonts w:eastAsia="Arial Unicode MS" w:cs="Arial"/>
                <w:color w:val="000000"/>
              </w:rPr>
            </w:pPr>
            <w:r w:rsidRPr="00525F08">
              <w:rPr>
                <w:rFonts w:cs="Arial"/>
              </w:rPr>
              <w:t>100% (40/40)</w:t>
            </w:r>
          </w:p>
        </w:tc>
        <w:tc>
          <w:tcPr>
            <w:tcW w:w="2045" w:type="dxa"/>
            <w:tcBorders>
              <w:right w:val="nil"/>
            </w:tcBorders>
          </w:tcPr>
          <w:p w:rsidR="004952A5" w:rsidRPr="00525F08" w:rsidRDefault="00944823" w:rsidP="005C0C71">
            <w:pPr>
              <w:spacing w:before="60" w:after="60"/>
              <w:jc w:val="center"/>
              <w:rPr>
                <w:rFonts w:cs="Arial"/>
              </w:rPr>
            </w:pPr>
            <w:r>
              <w:rPr>
                <w:color w:val="0D0D0D"/>
              </w:rPr>
              <w:t xml:space="preserve"> 94% (32/34)</w:t>
            </w:r>
          </w:p>
        </w:tc>
      </w:tr>
      <w:tr w:rsidR="004952A5" w:rsidRPr="00525F08" w:rsidTr="005C0C71">
        <w:tc>
          <w:tcPr>
            <w:tcW w:w="2388" w:type="dxa"/>
            <w:tcBorders>
              <w:left w:val="nil"/>
            </w:tcBorders>
            <w:vAlign w:val="center"/>
          </w:tcPr>
          <w:p w:rsidR="004952A5" w:rsidRPr="00525F08" w:rsidRDefault="004952A5" w:rsidP="005C0C71">
            <w:pPr>
              <w:spacing w:before="60" w:after="60"/>
              <w:ind w:left="180" w:hanging="180"/>
              <w:rPr>
                <w:rFonts w:eastAsia="Arial Unicode MS" w:cs="Arial"/>
                <w:color w:val="000000"/>
              </w:rPr>
            </w:pPr>
            <w:r w:rsidRPr="00525F08">
              <w:rPr>
                <w:rFonts w:eastAsia="Arial Unicode MS" w:cs="Arial"/>
                <w:color w:val="000000"/>
              </w:rPr>
              <w:tab/>
              <w:t>NS3 and NS5A</w:t>
            </w:r>
          </w:p>
        </w:tc>
        <w:tc>
          <w:tcPr>
            <w:tcW w:w="2427" w:type="dxa"/>
            <w:vAlign w:val="center"/>
          </w:tcPr>
          <w:p w:rsidR="004952A5" w:rsidRPr="00525F08" w:rsidRDefault="004952A5" w:rsidP="005C0C71">
            <w:pPr>
              <w:spacing w:before="60" w:after="60"/>
              <w:jc w:val="center"/>
              <w:rPr>
                <w:rFonts w:eastAsia="Arial Unicode MS" w:cs="Arial"/>
                <w:color w:val="000000"/>
              </w:rPr>
            </w:pPr>
            <w:r w:rsidRPr="00525F08">
              <w:rPr>
                <w:rFonts w:cs="Arial"/>
              </w:rPr>
              <w:t>97% (70/72)</w:t>
            </w:r>
          </w:p>
        </w:tc>
        <w:tc>
          <w:tcPr>
            <w:tcW w:w="2427" w:type="dxa"/>
            <w:tcBorders>
              <w:right w:val="nil"/>
            </w:tcBorders>
            <w:vAlign w:val="center"/>
          </w:tcPr>
          <w:p w:rsidR="004952A5" w:rsidRPr="00525F08" w:rsidRDefault="004952A5" w:rsidP="005C0C71">
            <w:pPr>
              <w:spacing w:before="60" w:after="60"/>
              <w:jc w:val="center"/>
              <w:rPr>
                <w:rFonts w:eastAsia="Arial Unicode MS" w:cs="Arial"/>
                <w:color w:val="000000"/>
              </w:rPr>
            </w:pPr>
            <w:r w:rsidRPr="00525F08">
              <w:rPr>
                <w:rFonts w:cs="Arial"/>
              </w:rPr>
              <w:t>100% (4/4)</w:t>
            </w:r>
          </w:p>
        </w:tc>
        <w:tc>
          <w:tcPr>
            <w:tcW w:w="2045" w:type="dxa"/>
            <w:tcBorders>
              <w:right w:val="nil"/>
            </w:tcBorders>
          </w:tcPr>
          <w:p w:rsidR="004952A5" w:rsidRPr="00525F08" w:rsidRDefault="00944823" w:rsidP="005C0C71">
            <w:pPr>
              <w:spacing w:before="60" w:after="60"/>
              <w:jc w:val="center"/>
              <w:rPr>
                <w:rFonts w:cs="Arial"/>
              </w:rPr>
            </w:pPr>
            <w:r>
              <w:rPr>
                <w:color w:val="0D0D0D"/>
              </w:rPr>
              <w:t xml:space="preserve"> 50% (2/4)</w:t>
            </w:r>
          </w:p>
        </w:tc>
      </w:tr>
      <w:tr w:rsidR="004952A5" w:rsidRPr="00525F08" w:rsidTr="005C0C71">
        <w:tc>
          <w:tcPr>
            <w:tcW w:w="2388" w:type="dxa"/>
            <w:tcBorders>
              <w:left w:val="nil"/>
              <w:bottom w:val="single" w:sz="12" w:space="0" w:color="auto"/>
            </w:tcBorders>
            <w:vAlign w:val="center"/>
          </w:tcPr>
          <w:p w:rsidR="004952A5" w:rsidRPr="00525F08" w:rsidRDefault="004952A5" w:rsidP="005C0C71">
            <w:pPr>
              <w:spacing w:before="60" w:after="60"/>
              <w:rPr>
                <w:rFonts w:eastAsia="Arial Unicode MS" w:cs="Arial"/>
                <w:color w:val="000000"/>
                <w:vertAlign w:val="superscript"/>
              </w:rPr>
            </w:pPr>
            <w:r w:rsidRPr="00525F08">
              <w:rPr>
                <w:rFonts w:eastAsia="Arial Unicode MS" w:cs="Arial"/>
                <w:color w:val="000000"/>
              </w:rPr>
              <w:t>RAVs Not Determined for Both NS3 and NS5A</w:t>
            </w:r>
            <w:r w:rsidRPr="00525F08">
              <w:rPr>
                <w:rFonts w:eastAsia="Arial Unicode MS" w:cs="Arial"/>
                <w:color w:val="000000"/>
                <w:vertAlign w:val="superscript"/>
              </w:rPr>
              <w:t>a</w:t>
            </w:r>
          </w:p>
        </w:tc>
        <w:tc>
          <w:tcPr>
            <w:tcW w:w="2427" w:type="dxa"/>
            <w:tcBorders>
              <w:bottom w:val="single" w:sz="12" w:space="0" w:color="auto"/>
            </w:tcBorders>
            <w:vAlign w:val="center"/>
          </w:tcPr>
          <w:p w:rsidR="004952A5" w:rsidRPr="00525F08" w:rsidRDefault="004952A5" w:rsidP="005C0C71">
            <w:pPr>
              <w:spacing w:before="60" w:after="60"/>
              <w:jc w:val="center"/>
              <w:rPr>
                <w:rFonts w:eastAsia="Arial Unicode MS" w:cs="Arial"/>
                <w:color w:val="000000"/>
              </w:rPr>
            </w:pPr>
            <w:r w:rsidRPr="00525F08">
              <w:rPr>
                <w:rFonts w:cs="Arial"/>
              </w:rPr>
              <w:t>100% (12/12)</w:t>
            </w:r>
          </w:p>
        </w:tc>
        <w:tc>
          <w:tcPr>
            <w:tcW w:w="2427" w:type="dxa"/>
            <w:tcBorders>
              <w:bottom w:val="single" w:sz="12" w:space="0" w:color="auto"/>
              <w:right w:val="nil"/>
            </w:tcBorders>
            <w:vAlign w:val="center"/>
          </w:tcPr>
          <w:p w:rsidR="004952A5" w:rsidRPr="00525F08" w:rsidRDefault="004952A5" w:rsidP="005C0C71">
            <w:pPr>
              <w:spacing w:before="60" w:after="60"/>
              <w:jc w:val="center"/>
              <w:rPr>
                <w:rFonts w:eastAsia="Arial Unicode MS" w:cs="Arial"/>
                <w:color w:val="000000"/>
              </w:rPr>
            </w:pPr>
            <w:r w:rsidRPr="00525F08">
              <w:rPr>
                <w:rFonts w:cs="Arial"/>
              </w:rPr>
              <w:t>100% (10/10)</w:t>
            </w:r>
          </w:p>
        </w:tc>
        <w:tc>
          <w:tcPr>
            <w:tcW w:w="2045" w:type="dxa"/>
            <w:tcBorders>
              <w:bottom w:val="single" w:sz="12" w:space="0" w:color="auto"/>
              <w:right w:val="nil"/>
            </w:tcBorders>
          </w:tcPr>
          <w:p w:rsidR="004952A5" w:rsidRPr="00525F08" w:rsidRDefault="00944823" w:rsidP="005C0C71">
            <w:pPr>
              <w:spacing w:before="60" w:after="60"/>
              <w:jc w:val="center"/>
              <w:rPr>
                <w:rFonts w:cs="Arial"/>
              </w:rPr>
            </w:pPr>
            <w:r>
              <w:t xml:space="preserve"> 100% (6/6)</w:t>
            </w:r>
          </w:p>
        </w:tc>
      </w:tr>
    </w:tbl>
    <w:p w:rsidR="004952A5" w:rsidRPr="00F2155C" w:rsidRDefault="004952A5" w:rsidP="004952A5">
      <w:pPr>
        <w:rPr>
          <w:rFonts w:ascii="Times New Roman" w:hAnsi="Times New Roman" w:cs="Times New Roman"/>
          <w:bCs/>
          <w:sz w:val="16"/>
          <w:szCs w:val="16"/>
        </w:rPr>
      </w:pPr>
      <w:r w:rsidRPr="00901760">
        <w:rPr>
          <w:rFonts w:cs="Arial"/>
          <w:bCs/>
          <w:sz w:val="16"/>
          <w:szCs w:val="16"/>
        </w:rPr>
        <w:t>a.</w:t>
      </w:r>
      <w:r w:rsidRPr="00901760">
        <w:rPr>
          <w:rFonts w:cs="Arial"/>
          <w:bCs/>
          <w:sz w:val="16"/>
          <w:szCs w:val="16"/>
        </w:rPr>
        <w:tab/>
      </w:r>
      <w:r w:rsidRPr="00F2155C">
        <w:rPr>
          <w:rFonts w:ascii="Times New Roman" w:hAnsi="Times New Roman" w:cs="Times New Roman"/>
          <w:bCs/>
          <w:sz w:val="16"/>
          <w:szCs w:val="16"/>
        </w:rPr>
        <w:t>Patients with NS3 and/or NS5A gene sequencing failure</w:t>
      </w:r>
    </w:p>
    <w:p w:rsidR="004952A5" w:rsidRPr="00525F08" w:rsidRDefault="004952A5" w:rsidP="00F2155C">
      <w:pPr>
        <w:shd w:val="clear" w:color="auto" w:fill="FFFFFF" w:themeFill="background1"/>
        <w:spacing w:before="120" w:after="240" w:line="240" w:lineRule="auto"/>
        <w:rPr>
          <w:rFonts w:cs="Arial"/>
          <w:szCs w:val="24"/>
        </w:rPr>
      </w:pPr>
      <w:r w:rsidRPr="00676525">
        <w:rPr>
          <w:rFonts w:ascii="Times New Roman" w:hAnsi="Times New Roman" w:cs="Times New Roman"/>
          <w:sz w:val="24"/>
          <w:szCs w:val="24"/>
        </w:rPr>
        <w:t xml:space="preserve">SVR12 was achieved in 18 of 19 (95%) </w:t>
      </w:r>
      <w:r w:rsidRPr="00676525">
        <w:rPr>
          <w:rFonts w:ascii="Times New Roman" w:hAnsi="Times New Roman" w:cs="Times New Roman"/>
          <w:bCs/>
          <w:sz w:val="24"/>
          <w:szCs w:val="24"/>
        </w:rPr>
        <w:t>patients</w:t>
      </w:r>
      <w:r w:rsidRPr="00676525">
        <w:rPr>
          <w:rFonts w:ascii="Times New Roman" w:hAnsi="Times New Roman" w:cs="Times New Roman"/>
          <w:sz w:val="24"/>
          <w:szCs w:val="24"/>
        </w:rPr>
        <w:t xml:space="preserve"> who had baseline NS5B NI RAVs in POLARIS-1, including 2 </w:t>
      </w:r>
      <w:r w:rsidRPr="00676525">
        <w:rPr>
          <w:rFonts w:ascii="Times New Roman" w:hAnsi="Times New Roman" w:cs="Times New Roman"/>
          <w:bCs/>
          <w:sz w:val="24"/>
          <w:szCs w:val="24"/>
        </w:rPr>
        <w:t>patients</w:t>
      </w:r>
      <w:r w:rsidRPr="00676525">
        <w:rPr>
          <w:rFonts w:ascii="Times New Roman" w:hAnsi="Times New Roman" w:cs="Times New Roman"/>
          <w:sz w:val="24"/>
          <w:szCs w:val="24"/>
        </w:rPr>
        <w:t xml:space="preserve"> that had virus with the S282T NS5B NI RAV in addition to NS5A RAVs at baseline. In POLARIS-4, a total of 14 </w:t>
      </w:r>
      <w:r w:rsidRPr="00676525">
        <w:rPr>
          <w:rFonts w:ascii="Times New Roman" w:hAnsi="Times New Roman" w:cs="Times New Roman"/>
          <w:bCs/>
          <w:sz w:val="24"/>
          <w:szCs w:val="24"/>
        </w:rPr>
        <w:t>patients</w:t>
      </w:r>
      <w:r w:rsidRPr="00676525">
        <w:rPr>
          <w:rFonts w:ascii="Times New Roman" w:hAnsi="Times New Roman" w:cs="Times New Roman"/>
          <w:sz w:val="24"/>
          <w:szCs w:val="24"/>
        </w:rPr>
        <w:t xml:space="preserve"> had virus with NS5B NI RAVs at baseline and all achieved SVR12</w:t>
      </w:r>
      <w:r w:rsidRPr="00525F08">
        <w:rPr>
          <w:rFonts w:cs="Arial"/>
          <w:szCs w:val="24"/>
        </w:rPr>
        <w:t>.</w:t>
      </w:r>
    </w:p>
    <w:p w:rsidR="006955C8" w:rsidRDefault="006955C8" w:rsidP="00F2155C">
      <w:pPr>
        <w:pStyle w:val="TextTi11"/>
        <w:spacing w:after="240" w:line="240" w:lineRule="auto"/>
        <w:rPr>
          <w:i/>
          <w:sz w:val="24"/>
          <w:szCs w:val="24"/>
        </w:rPr>
      </w:pPr>
    </w:p>
    <w:p w:rsidR="006955C8" w:rsidRDefault="006955C8" w:rsidP="00F2155C">
      <w:pPr>
        <w:pStyle w:val="TextTi11"/>
        <w:spacing w:after="240" w:line="240" w:lineRule="auto"/>
        <w:rPr>
          <w:i/>
          <w:sz w:val="24"/>
          <w:szCs w:val="24"/>
        </w:rPr>
      </w:pPr>
    </w:p>
    <w:p w:rsidR="004952A5" w:rsidRPr="004469C5" w:rsidRDefault="004952A5" w:rsidP="00F2155C">
      <w:pPr>
        <w:pStyle w:val="TextTi11"/>
        <w:spacing w:after="240" w:line="240" w:lineRule="auto"/>
        <w:rPr>
          <w:i/>
          <w:szCs w:val="22"/>
        </w:rPr>
      </w:pPr>
      <w:r w:rsidRPr="004469C5">
        <w:rPr>
          <w:i/>
          <w:szCs w:val="22"/>
        </w:rPr>
        <w:lastRenderedPageBreak/>
        <w:t>Studies in DAA-Naïve Patients</w:t>
      </w:r>
    </w:p>
    <w:p w:rsidR="004952A5" w:rsidRDefault="004952A5" w:rsidP="00F2155C">
      <w:pPr>
        <w:pStyle w:val="Default"/>
        <w:spacing w:before="120" w:after="240"/>
        <w:jc w:val="both"/>
      </w:pPr>
      <w:r w:rsidRPr="00525F08">
        <w:t xml:space="preserve">Analyses were conducted to explore the association between pre-existing baseline NS3 and NS5A RAVs and treatment outcome for </w:t>
      </w:r>
      <w:r w:rsidRPr="00525F08">
        <w:rPr>
          <w:rFonts w:cs="Arial"/>
          <w:bCs/>
        </w:rPr>
        <w:t>patients</w:t>
      </w:r>
      <w:r w:rsidRPr="00525F08">
        <w:t xml:space="preserve"> that had not previously been treated with DAA regimens in POLARIS-2 and POLARIS-3. P</w:t>
      </w:r>
      <w:r w:rsidRPr="00525F08">
        <w:rPr>
          <w:rFonts w:cs="Arial"/>
          <w:bCs/>
        </w:rPr>
        <w:t>atients</w:t>
      </w:r>
      <w:r w:rsidRPr="00525F08">
        <w:t xml:space="preserve"> were included in the analysis if they had a known virologic outcome. Of the </w:t>
      </w:r>
      <w:r w:rsidRPr="00525F08">
        <w:rPr>
          <w:rFonts w:cs="Arial"/>
          <w:bCs/>
        </w:rPr>
        <w:t>patients</w:t>
      </w:r>
      <w:r w:rsidRPr="00525F08">
        <w:t xml:space="preserve"> treated with </w:t>
      </w:r>
      <w:r>
        <w:t>VOSEVI</w:t>
      </w:r>
      <w:r w:rsidRPr="00525F08">
        <w:t xml:space="preserve"> for 8 weeks, 49</w:t>
      </w:r>
      <w:r>
        <w:t>8</w:t>
      </w:r>
      <w:r w:rsidRPr="00525F08">
        <w:t xml:space="preserve"> of 501 in POLARIS-2 and 108 of 110 in POLARIS-3 were included in the analysis of NS3 and NS5A RAVs. Overall, 250 of 49</w:t>
      </w:r>
      <w:r>
        <w:t>8</w:t>
      </w:r>
      <w:r w:rsidRPr="00525F08">
        <w:t xml:space="preserve"> (50%)</w:t>
      </w:r>
      <w:r w:rsidRPr="00525F08">
        <w:rPr>
          <w:rFonts w:cs="Arial"/>
          <w:bCs/>
        </w:rPr>
        <w:t xml:space="preserve"> patients</w:t>
      </w:r>
      <w:r w:rsidRPr="00525F08">
        <w:t xml:space="preserve"> from POLARIS-2 and 23 of 108 (21%) </w:t>
      </w:r>
      <w:r w:rsidRPr="00525F08">
        <w:rPr>
          <w:rFonts w:cs="Arial"/>
          <w:bCs/>
        </w:rPr>
        <w:t>patients</w:t>
      </w:r>
      <w:r w:rsidRPr="00525F08">
        <w:t xml:space="preserve"> from POLARIS-3 had HCV with NS3</w:t>
      </w:r>
      <w:r w:rsidR="00676525">
        <w:t xml:space="preserve"> and/or NS5A RAVs at baseline. </w:t>
      </w:r>
    </w:p>
    <w:p w:rsidR="004952A5" w:rsidRPr="00525F08" w:rsidRDefault="004952A5" w:rsidP="00F2155C">
      <w:pPr>
        <w:pStyle w:val="TextTi11"/>
        <w:spacing w:after="240" w:line="240" w:lineRule="auto"/>
        <w:rPr>
          <w:sz w:val="24"/>
          <w:szCs w:val="24"/>
        </w:rPr>
      </w:pPr>
      <w:r w:rsidRPr="00525F08">
        <w:rPr>
          <w:sz w:val="24"/>
          <w:szCs w:val="24"/>
        </w:rPr>
        <w:t xml:space="preserve">SVR12 rates in </w:t>
      </w:r>
      <w:r w:rsidRPr="00525F08">
        <w:rPr>
          <w:rFonts w:cs="Arial"/>
          <w:bCs/>
          <w:sz w:val="24"/>
          <w:szCs w:val="24"/>
        </w:rPr>
        <w:t>patients</w:t>
      </w:r>
      <w:r w:rsidRPr="00525F08">
        <w:rPr>
          <w:sz w:val="24"/>
          <w:szCs w:val="24"/>
        </w:rPr>
        <w:t xml:space="preserve"> with or without baseline NS3 and/or NS5A RAVs in the POLARIS-2 and POLARIS-3 trials are shown in Table </w:t>
      </w:r>
      <w:r w:rsidR="00F2155C">
        <w:rPr>
          <w:sz w:val="24"/>
          <w:szCs w:val="24"/>
        </w:rPr>
        <w:t>12</w:t>
      </w:r>
      <w:r w:rsidRPr="00525F08">
        <w:rPr>
          <w:sz w:val="24"/>
          <w:szCs w:val="24"/>
        </w:rPr>
        <w:t>.</w:t>
      </w:r>
    </w:p>
    <w:p w:rsidR="004952A5" w:rsidRPr="00525F08" w:rsidRDefault="004952A5" w:rsidP="004952A5">
      <w:pPr>
        <w:pStyle w:val="Caption"/>
        <w:rPr>
          <w:bCs/>
        </w:rPr>
      </w:pPr>
      <w:r w:rsidRPr="00525F08">
        <w:rPr>
          <w:spacing w:val="1"/>
        </w:rPr>
        <w:t>Tabl</w:t>
      </w:r>
      <w:r w:rsidRPr="00525F08">
        <w:t>e</w:t>
      </w:r>
      <w:r w:rsidRPr="00525F08">
        <w:rPr>
          <w:spacing w:val="-1"/>
        </w:rPr>
        <w:t xml:space="preserve"> </w:t>
      </w:r>
      <w:r w:rsidR="00F2155C">
        <w:t>12</w:t>
      </w:r>
      <w:r w:rsidRPr="00525F08">
        <w:tab/>
      </w:r>
      <w:r w:rsidRPr="00525F08">
        <w:rPr>
          <w:bCs/>
        </w:rPr>
        <w:t>SVR12 in DAA-Naive Patients With or Without Baseline NS3 or NS5A RAVs by Study</w:t>
      </w:r>
    </w:p>
    <w:tbl>
      <w:tblPr>
        <w:tblStyle w:val="TableGrid"/>
        <w:tblW w:w="0" w:type="auto"/>
        <w:tblLook w:val="04A0" w:firstRow="1" w:lastRow="0" w:firstColumn="1" w:lastColumn="0" w:noHBand="0" w:noVBand="1"/>
      </w:tblPr>
      <w:tblGrid>
        <w:gridCol w:w="1984"/>
        <w:gridCol w:w="1904"/>
        <w:gridCol w:w="1596"/>
        <w:gridCol w:w="2043"/>
        <w:gridCol w:w="1715"/>
      </w:tblGrid>
      <w:tr w:rsidR="004952A5" w:rsidRPr="00525F08" w:rsidTr="009D7130">
        <w:tc>
          <w:tcPr>
            <w:tcW w:w="1984" w:type="dxa"/>
            <w:vMerge w:val="restart"/>
            <w:tcBorders>
              <w:top w:val="single" w:sz="12" w:space="0" w:color="auto"/>
              <w:left w:val="nil"/>
            </w:tcBorders>
          </w:tcPr>
          <w:p w:rsidR="004952A5" w:rsidRPr="00525F08" w:rsidRDefault="004952A5" w:rsidP="005C0C71">
            <w:pPr>
              <w:pStyle w:val="TextTi11"/>
            </w:pPr>
          </w:p>
        </w:tc>
        <w:tc>
          <w:tcPr>
            <w:tcW w:w="3500" w:type="dxa"/>
            <w:gridSpan w:val="2"/>
            <w:tcBorders>
              <w:top w:val="single" w:sz="12" w:space="0" w:color="auto"/>
            </w:tcBorders>
          </w:tcPr>
          <w:p w:rsidR="004952A5" w:rsidRPr="00525F08" w:rsidRDefault="004952A5" w:rsidP="005C0C71">
            <w:pPr>
              <w:pStyle w:val="TextTi11"/>
              <w:jc w:val="center"/>
              <w:rPr>
                <w:b/>
              </w:rPr>
            </w:pPr>
            <w:r w:rsidRPr="00525F08">
              <w:rPr>
                <w:b/>
              </w:rPr>
              <w:t xml:space="preserve"> POLARIS-2</w:t>
            </w:r>
          </w:p>
          <w:p w:rsidR="004952A5" w:rsidRDefault="004952A5" w:rsidP="005C0C71">
            <w:pPr>
              <w:pStyle w:val="TextTi11"/>
              <w:jc w:val="center"/>
              <w:rPr>
                <w:b/>
              </w:rPr>
            </w:pPr>
          </w:p>
        </w:tc>
        <w:tc>
          <w:tcPr>
            <w:tcW w:w="3758" w:type="dxa"/>
            <w:gridSpan w:val="2"/>
            <w:tcBorders>
              <w:top w:val="single" w:sz="12" w:space="0" w:color="auto"/>
              <w:right w:val="nil"/>
            </w:tcBorders>
          </w:tcPr>
          <w:p w:rsidR="004952A5" w:rsidRDefault="004952A5" w:rsidP="005C0C71">
            <w:pPr>
              <w:pStyle w:val="TextTi11"/>
              <w:jc w:val="center"/>
              <w:rPr>
                <w:b/>
              </w:rPr>
            </w:pPr>
            <w:r>
              <w:rPr>
                <w:b/>
              </w:rPr>
              <w:t>POLARIS-3</w:t>
            </w:r>
          </w:p>
        </w:tc>
      </w:tr>
      <w:tr w:rsidR="004952A5" w:rsidRPr="00525F08" w:rsidTr="00A73E3C">
        <w:tc>
          <w:tcPr>
            <w:tcW w:w="1984" w:type="dxa"/>
            <w:vMerge/>
            <w:tcBorders>
              <w:left w:val="nil"/>
              <w:bottom w:val="single" w:sz="12" w:space="0" w:color="auto"/>
            </w:tcBorders>
          </w:tcPr>
          <w:p w:rsidR="004952A5" w:rsidRPr="00525F08" w:rsidRDefault="004952A5" w:rsidP="005C0C71">
            <w:pPr>
              <w:pStyle w:val="TextTi11"/>
            </w:pPr>
          </w:p>
        </w:tc>
        <w:tc>
          <w:tcPr>
            <w:tcW w:w="1904" w:type="dxa"/>
            <w:tcBorders>
              <w:bottom w:val="single" w:sz="12" w:space="0" w:color="auto"/>
            </w:tcBorders>
          </w:tcPr>
          <w:p w:rsidR="004952A5" w:rsidRPr="00525F08" w:rsidRDefault="004952A5" w:rsidP="005C0C71">
            <w:pPr>
              <w:pStyle w:val="TextTi11"/>
              <w:jc w:val="center"/>
              <w:rPr>
                <w:b/>
              </w:rPr>
            </w:pPr>
            <w:r w:rsidRPr="00525F08" w:rsidDel="00F17539">
              <w:rPr>
                <w:b/>
              </w:rPr>
              <w:t xml:space="preserve"> </w:t>
            </w:r>
            <w:r>
              <w:rPr>
                <w:b/>
              </w:rPr>
              <w:t>VOSEVI8 Weeks</w:t>
            </w:r>
          </w:p>
          <w:p w:rsidR="004952A5" w:rsidRPr="00525F08" w:rsidRDefault="004952A5" w:rsidP="005C0C71">
            <w:pPr>
              <w:pStyle w:val="TextTi11"/>
              <w:jc w:val="center"/>
              <w:rPr>
                <w:b/>
              </w:rPr>
            </w:pPr>
            <w:r w:rsidRPr="00525F08">
              <w:rPr>
                <w:b/>
              </w:rPr>
              <w:t>(N=49</w:t>
            </w:r>
            <w:r>
              <w:rPr>
                <w:b/>
              </w:rPr>
              <w:t>8</w:t>
            </w:r>
            <w:r w:rsidRPr="00525F08">
              <w:rPr>
                <w:b/>
              </w:rPr>
              <w:t>)</w:t>
            </w:r>
          </w:p>
        </w:tc>
        <w:tc>
          <w:tcPr>
            <w:tcW w:w="1596" w:type="dxa"/>
            <w:tcBorders>
              <w:bottom w:val="single" w:sz="12" w:space="0" w:color="auto"/>
            </w:tcBorders>
          </w:tcPr>
          <w:p w:rsidR="004952A5" w:rsidRDefault="004952A5" w:rsidP="005C0C71">
            <w:pPr>
              <w:pStyle w:val="TextTi11"/>
              <w:jc w:val="center"/>
              <w:rPr>
                <w:b/>
              </w:rPr>
            </w:pPr>
            <w:r>
              <w:rPr>
                <w:b/>
              </w:rPr>
              <w:t>SOF/VEL</w:t>
            </w:r>
          </w:p>
          <w:p w:rsidR="004952A5" w:rsidRDefault="004952A5" w:rsidP="005C0C71">
            <w:pPr>
              <w:pStyle w:val="TextTi11"/>
              <w:jc w:val="center"/>
              <w:rPr>
                <w:b/>
              </w:rPr>
            </w:pPr>
            <w:r>
              <w:rPr>
                <w:b/>
              </w:rPr>
              <w:t>12 Weeks</w:t>
            </w:r>
          </w:p>
          <w:p w:rsidR="004952A5" w:rsidRPr="00525F08" w:rsidRDefault="004952A5" w:rsidP="005C0C71">
            <w:pPr>
              <w:pStyle w:val="TextTi11"/>
              <w:jc w:val="center"/>
              <w:rPr>
                <w:b/>
              </w:rPr>
            </w:pPr>
            <w:r>
              <w:rPr>
                <w:b/>
              </w:rPr>
              <w:t>N=435</w:t>
            </w:r>
          </w:p>
        </w:tc>
        <w:tc>
          <w:tcPr>
            <w:tcW w:w="2043" w:type="dxa"/>
            <w:tcBorders>
              <w:bottom w:val="single" w:sz="12" w:space="0" w:color="auto"/>
              <w:right w:val="nil"/>
            </w:tcBorders>
          </w:tcPr>
          <w:p w:rsidR="004952A5" w:rsidRDefault="004952A5" w:rsidP="005C0C71">
            <w:pPr>
              <w:pStyle w:val="TextTi11"/>
              <w:jc w:val="center"/>
              <w:rPr>
                <w:b/>
              </w:rPr>
            </w:pPr>
            <w:r>
              <w:rPr>
                <w:b/>
              </w:rPr>
              <w:t>VOSEVI</w:t>
            </w:r>
          </w:p>
          <w:p w:rsidR="004952A5" w:rsidRPr="00525F08" w:rsidRDefault="004952A5" w:rsidP="005C0C71">
            <w:pPr>
              <w:pStyle w:val="TextTi11"/>
              <w:jc w:val="center"/>
              <w:rPr>
                <w:b/>
              </w:rPr>
            </w:pPr>
            <w:r>
              <w:rPr>
                <w:b/>
              </w:rPr>
              <w:t>8 Weeks</w:t>
            </w:r>
          </w:p>
          <w:p w:rsidR="004952A5" w:rsidRPr="00525F08" w:rsidRDefault="004952A5" w:rsidP="005C0C71">
            <w:pPr>
              <w:pStyle w:val="TextTi11"/>
              <w:jc w:val="center"/>
              <w:rPr>
                <w:b/>
              </w:rPr>
            </w:pPr>
            <w:r w:rsidRPr="00525F08">
              <w:rPr>
                <w:b/>
              </w:rPr>
              <w:t xml:space="preserve"> (N=108)</w:t>
            </w:r>
          </w:p>
        </w:tc>
        <w:tc>
          <w:tcPr>
            <w:tcW w:w="1715" w:type="dxa"/>
            <w:tcBorders>
              <w:bottom w:val="single" w:sz="12" w:space="0" w:color="auto"/>
              <w:right w:val="nil"/>
            </w:tcBorders>
          </w:tcPr>
          <w:p w:rsidR="004952A5" w:rsidRDefault="004952A5" w:rsidP="005C0C71">
            <w:pPr>
              <w:pStyle w:val="TextTi11"/>
              <w:jc w:val="center"/>
              <w:rPr>
                <w:b/>
              </w:rPr>
            </w:pPr>
            <w:r>
              <w:rPr>
                <w:b/>
              </w:rPr>
              <w:t>SOF/VEL</w:t>
            </w:r>
          </w:p>
          <w:p w:rsidR="004952A5" w:rsidRDefault="004952A5" w:rsidP="005C0C71">
            <w:pPr>
              <w:pStyle w:val="TextTi11"/>
              <w:jc w:val="center"/>
              <w:rPr>
                <w:b/>
              </w:rPr>
            </w:pPr>
            <w:r>
              <w:rPr>
                <w:b/>
              </w:rPr>
              <w:t>12 Weeks</w:t>
            </w:r>
          </w:p>
          <w:p w:rsidR="004952A5" w:rsidRPr="00525F08" w:rsidRDefault="004952A5" w:rsidP="005C0C71">
            <w:pPr>
              <w:pStyle w:val="TextTi11"/>
              <w:jc w:val="center"/>
              <w:rPr>
                <w:b/>
              </w:rPr>
            </w:pPr>
            <w:r>
              <w:rPr>
                <w:b/>
              </w:rPr>
              <w:t>(N= 107)</w:t>
            </w:r>
          </w:p>
        </w:tc>
      </w:tr>
      <w:tr w:rsidR="004952A5" w:rsidRPr="00525F08" w:rsidTr="00A73E3C">
        <w:tc>
          <w:tcPr>
            <w:tcW w:w="1984" w:type="dxa"/>
            <w:tcBorders>
              <w:top w:val="single" w:sz="12" w:space="0" w:color="auto"/>
              <w:left w:val="nil"/>
            </w:tcBorders>
            <w:vAlign w:val="center"/>
          </w:tcPr>
          <w:p w:rsidR="004952A5" w:rsidRPr="00525F08" w:rsidRDefault="004952A5" w:rsidP="005C0C71">
            <w:pPr>
              <w:spacing w:before="60" w:after="60"/>
              <w:rPr>
                <w:rFonts w:eastAsia="Arial Unicode MS" w:cs="Arial"/>
                <w:color w:val="000000"/>
              </w:rPr>
            </w:pPr>
            <w:r w:rsidRPr="00525F08">
              <w:rPr>
                <w:rFonts w:eastAsia="Arial Unicode MS" w:cs="Arial"/>
                <w:color w:val="000000"/>
              </w:rPr>
              <w:t>No NS3 or NS5A RAVs</w:t>
            </w:r>
          </w:p>
        </w:tc>
        <w:tc>
          <w:tcPr>
            <w:tcW w:w="1904" w:type="dxa"/>
            <w:tcBorders>
              <w:top w:val="single" w:sz="12" w:space="0" w:color="auto"/>
            </w:tcBorders>
          </w:tcPr>
          <w:p w:rsidR="004952A5" w:rsidRPr="00525F08" w:rsidRDefault="004952A5" w:rsidP="005C0C71">
            <w:pPr>
              <w:pStyle w:val="Default"/>
              <w:jc w:val="center"/>
              <w:rPr>
                <w:sz w:val="20"/>
                <w:szCs w:val="20"/>
              </w:rPr>
            </w:pPr>
            <w:r w:rsidRPr="00525F08">
              <w:rPr>
                <w:sz w:val="20"/>
                <w:szCs w:val="20"/>
              </w:rPr>
              <w:t>98% (22</w:t>
            </w:r>
            <w:r>
              <w:rPr>
                <w:sz w:val="20"/>
                <w:szCs w:val="20"/>
              </w:rPr>
              <w:t>4</w:t>
            </w:r>
            <w:r w:rsidRPr="00525F08">
              <w:rPr>
                <w:sz w:val="20"/>
                <w:szCs w:val="20"/>
              </w:rPr>
              <w:t>/22</w:t>
            </w:r>
            <w:r>
              <w:rPr>
                <w:sz w:val="20"/>
                <w:szCs w:val="20"/>
              </w:rPr>
              <w:t>9</w:t>
            </w:r>
            <w:r w:rsidRPr="00525F08">
              <w:rPr>
                <w:sz w:val="20"/>
                <w:szCs w:val="20"/>
              </w:rPr>
              <w:t>)</w:t>
            </w:r>
          </w:p>
        </w:tc>
        <w:tc>
          <w:tcPr>
            <w:tcW w:w="1596" w:type="dxa"/>
            <w:tcBorders>
              <w:top w:val="single" w:sz="12" w:space="0" w:color="auto"/>
            </w:tcBorders>
          </w:tcPr>
          <w:p w:rsidR="004952A5" w:rsidRPr="00525F08" w:rsidRDefault="00A73E3C" w:rsidP="005C0C71">
            <w:pPr>
              <w:pStyle w:val="Default"/>
              <w:jc w:val="center"/>
              <w:rPr>
                <w:sz w:val="20"/>
                <w:szCs w:val="20"/>
              </w:rPr>
            </w:pPr>
            <w:r>
              <w:rPr>
                <w:sz w:val="20"/>
              </w:rPr>
              <w:t xml:space="preserve"> 99% (206/208)</w:t>
            </w:r>
          </w:p>
        </w:tc>
        <w:tc>
          <w:tcPr>
            <w:tcW w:w="2043" w:type="dxa"/>
            <w:tcBorders>
              <w:top w:val="single" w:sz="12" w:space="0" w:color="auto"/>
              <w:right w:val="nil"/>
            </w:tcBorders>
          </w:tcPr>
          <w:p w:rsidR="004952A5" w:rsidRPr="00525F08" w:rsidRDefault="004952A5" w:rsidP="005C0C71">
            <w:pPr>
              <w:pStyle w:val="Default"/>
              <w:jc w:val="center"/>
              <w:rPr>
                <w:sz w:val="20"/>
                <w:szCs w:val="20"/>
              </w:rPr>
            </w:pPr>
            <w:r w:rsidRPr="00525F08">
              <w:rPr>
                <w:sz w:val="20"/>
                <w:szCs w:val="20"/>
              </w:rPr>
              <w:t>98% (80/82)</w:t>
            </w:r>
          </w:p>
        </w:tc>
        <w:tc>
          <w:tcPr>
            <w:tcW w:w="1715" w:type="dxa"/>
            <w:tcBorders>
              <w:top w:val="single" w:sz="12" w:space="0" w:color="auto"/>
              <w:right w:val="nil"/>
            </w:tcBorders>
          </w:tcPr>
          <w:p w:rsidR="004952A5" w:rsidRPr="00525F08" w:rsidRDefault="00A73E3C" w:rsidP="005C0C71">
            <w:pPr>
              <w:pStyle w:val="Default"/>
              <w:jc w:val="center"/>
              <w:rPr>
                <w:sz w:val="20"/>
                <w:szCs w:val="20"/>
              </w:rPr>
            </w:pPr>
            <w:r>
              <w:rPr>
                <w:sz w:val="20"/>
              </w:rPr>
              <w:t xml:space="preserve"> 97% (76/78)</w:t>
            </w:r>
          </w:p>
        </w:tc>
      </w:tr>
      <w:tr w:rsidR="004952A5" w:rsidRPr="00525F08" w:rsidTr="00A73E3C">
        <w:tc>
          <w:tcPr>
            <w:tcW w:w="1984" w:type="dxa"/>
            <w:tcBorders>
              <w:left w:val="nil"/>
            </w:tcBorders>
            <w:vAlign w:val="center"/>
          </w:tcPr>
          <w:p w:rsidR="004952A5" w:rsidRPr="00525F08" w:rsidRDefault="004952A5" w:rsidP="005C0C71">
            <w:pPr>
              <w:spacing w:before="60" w:after="60"/>
              <w:rPr>
                <w:rFonts w:eastAsia="Arial Unicode MS" w:cs="Arial"/>
                <w:color w:val="000000"/>
              </w:rPr>
            </w:pPr>
            <w:r w:rsidRPr="00525F08">
              <w:rPr>
                <w:rFonts w:eastAsia="Arial Unicode MS" w:cs="Arial"/>
                <w:color w:val="000000"/>
              </w:rPr>
              <w:t>Any NS3 or NS5A RAV</w:t>
            </w:r>
          </w:p>
        </w:tc>
        <w:tc>
          <w:tcPr>
            <w:tcW w:w="1904" w:type="dxa"/>
          </w:tcPr>
          <w:p w:rsidR="004952A5" w:rsidRPr="00525F08" w:rsidRDefault="004952A5" w:rsidP="005C0C71">
            <w:pPr>
              <w:pStyle w:val="Default"/>
              <w:jc w:val="center"/>
              <w:rPr>
                <w:sz w:val="20"/>
                <w:szCs w:val="20"/>
              </w:rPr>
            </w:pPr>
            <w:r w:rsidRPr="00525F08">
              <w:rPr>
                <w:sz w:val="20"/>
                <w:szCs w:val="20"/>
              </w:rPr>
              <w:t>94% (234/250)</w:t>
            </w:r>
          </w:p>
        </w:tc>
        <w:tc>
          <w:tcPr>
            <w:tcW w:w="1596" w:type="dxa"/>
          </w:tcPr>
          <w:p w:rsidR="004952A5" w:rsidRPr="00525F08" w:rsidRDefault="00A73E3C" w:rsidP="005C0C71">
            <w:pPr>
              <w:pStyle w:val="Default"/>
              <w:jc w:val="center"/>
              <w:rPr>
                <w:sz w:val="20"/>
                <w:szCs w:val="20"/>
              </w:rPr>
            </w:pPr>
            <w:r>
              <w:rPr>
                <w:sz w:val="20"/>
              </w:rPr>
              <w:t xml:space="preserve"> 99% (217/218)</w:t>
            </w:r>
          </w:p>
        </w:tc>
        <w:tc>
          <w:tcPr>
            <w:tcW w:w="2043" w:type="dxa"/>
            <w:tcBorders>
              <w:right w:val="nil"/>
            </w:tcBorders>
          </w:tcPr>
          <w:p w:rsidR="004952A5" w:rsidRPr="00525F08" w:rsidRDefault="004952A5" w:rsidP="005C0C71">
            <w:pPr>
              <w:pStyle w:val="Default"/>
              <w:jc w:val="center"/>
              <w:rPr>
                <w:sz w:val="20"/>
                <w:szCs w:val="20"/>
              </w:rPr>
            </w:pPr>
            <w:r w:rsidRPr="00525F08">
              <w:rPr>
                <w:sz w:val="20"/>
                <w:szCs w:val="20"/>
              </w:rPr>
              <w:t>100% (23/23)</w:t>
            </w:r>
          </w:p>
        </w:tc>
        <w:tc>
          <w:tcPr>
            <w:tcW w:w="1715" w:type="dxa"/>
            <w:tcBorders>
              <w:right w:val="nil"/>
            </w:tcBorders>
          </w:tcPr>
          <w:p w:rsidR="004952A5" w:rsidRPr="00525F08" w:rsidRDefault="00A73E3C" w:rsidP="005C0C71">
            <w:pPr>
              <w:pStyle w:val="Default"/>
              <w:jc w:val="center"/>
              <w:rPr>
                <w:sz w:val="20"/>
                <w:szCs w:val="20"/>
              </w:rPr>
            </w:pPr>
            <w:r>
              <w:rPr>
                <w:sz w:val="20"/>
              </w:rPr>
              <w:t xml:space="preserve"> 100% (23/23)</w:t>
            </w:r>
          </w:p>
        </w:tc>
      </w:tr>
      <w:tr w:rsidR="004952A5" w:rsidRPr="00525F08" w:rsidTr="00A73E3C">
        <w:tc>
          <w:tcPr>
            <w:tcW w:w="1984" w:type="dxa"/>
            <w:tcBorders>
              <w:left w:val="nil"/>
            </w:tcBorders>
            <w:vAlign w:val="center"/>
          </w:tcPr>
          <w:p w:rsidR="004952A5" w:rsidRPr="00525F08" w:rsidRDefault="004952A5" w:rsidP="005C0C71">
            <w:pPr>
              <w:spacing w:before="60" w:after="60"/>
              <w:ind w:left="180" w:hanging="180"/>
              <w:rPr>
                <w:rFonts w:eastAsia="Arial Unicode MS" w:cs="Arial"/>
                <w:color w:val="000000"/>
              </w:rPr>
            </w:pPr>
            <w:r w:rsidRPr="00525F08">
              <w:rPr>
                <w:rFonts w:eastAsia="Arial Unicode MS" w:cs="Arial"/>
                <w:color w:val="000000"/>
              </w:rPr>
              <w:tab/>
              <w:t>NS3 Only</w:t>
            </w:r>
          </w:p>
        </w:tc>
        <w:tc>
          <w:tcPr>
            <w:tcW w:w="1904" w:type="dxa"/>
          </w:tcPr>
          <w:p w:rsidR="004952A5" w:rsidRPr="00525F08" w:rsidRDefault="004952A5" w:rsidP="005C0C71">
            <w:pPr>
              <w:pStyle w:val="Default"/>
              <w:jc w:val="center"/>
              <w:rPr>
                <w:sz w:val="20"/>
                <w:szCs w:val="20"/>
              </w:rPr>
            </w:pPr>
            <w:r w:rsidRPr="00525F08">
              <w:rPr>
                <w:sz w:val="20"/>
                <w:szCs w:val="20"/>
              </w:rPr>
              <w:t>91% (100/110)</w:t>
            </w:r>
          </w:p>
        </w:tc>
        <w:tc>
          <w:tcPr>
            <w:tcW w:w="1596" w:type="dxa"/>
          </w:tcPr>
          <w:p w:rsidR="004952A5" w:rsidRPr="00525F08" w:rsidRDefault="00A73E3C" w:rsidP="005C0C71">
            <w:pPr>
              <w:pStyle w:val="Default"/>
              <w:jc w:val="center"/>
              <w:rPr>
                <w:sz w:val="20"/>
                <w:szCs w:val="20"/>
              </w:rPr>
            </w:pPr>
            <w:r>
              <w:rPr>
                <w:sz w:val="20"/>
              </w:rPr>
              <w:t xml:space="preserve"> </w:t>
            </w:r>
            <w:r w:rsidR="004952A5">
              <w:rPr>
                <w:sz w:val="20"/>
              </w:rPr>
              <w:t>100</w:t>
            </w:r>
            <w:r>
              <w:rPr>
                <w:sz w:val="20"/>
              </w:rPr>
              <w:t>%  (97/97)</w:t>
            </w:r>
          </w:p>
        </w:tc>
        <w:tc>
          <w:tcPr>
            <w:tcW w:w="2043" w:type="dxa"/>
            <w:tcBorders>
              <w:right w:val="nil"/>
            </w:tcBorders>
          </w:tcPr>
          <w:p w:rsidR="004952A5" w:rsidRPr="00525F08" w:rsidRDefault="004952A5" w:rsidP="005C0C71">
            <w:pPr>
              <w:pStyle w:val="Default"/>
              <w:jc w:val="center"/>
              <w:rPr>
                <w:sz w:val="20"/>
                <w:szCs w:val="20"/>
              </w:rPr>
            </w:pPr>
            <w:r w:rsidRPr="00525F08">
              <w:rPr>
                <w:sz w:val="20"/>
                <w:szCs w:val="20"/>
              </w:rPr>
              <w:t>100% (2/2)</w:t>
            </w:r>
          </w:p>
        </w:tc>
        <w:tc>
          <w:tcPr>
            <w:tcW w:w="1715" w:type="dxa"/>
            <w:tcBorders>
              <w:right w:val="nil"/>
            </w:tcBorders>
          </w:tcPr>
          <w:p w:rsidR="004952A5" w:rsidRPr="00525F08" w:rsidRDefault="00A73E3C" w:rsidP="005C0C71">
            <w:pPr>
              <w:pStyle w:val="Default"/>
              <w:jc w:val="center"/>
              <w:rPr>
                <w:sz w:val="20"/>
                <w:szCs w:val="20"/>
              </w:rPr>
            </w:pPr>
            <w:r>
              <w:rPr>
                <w:sz w:val="20"/>
              </w:rPr>
              <w:t xml:space="preserve"> 100% (4/4)</w:t>
            </w:r>
          </w:p>
        </w:tc>
      </w:tr>
      <w:tr w:rsidR="004952A5" w:rsidRPr="00525F08" w:rsidTr="00A73E3C">
        <w:tc>
          <w:tcPr>
            <w:tcW w:w="1984" w:type="dxa"/>
            <w:tcBorders>
              <w:left w:val="nil"/>
            </w:tcBorders>
            <w:vAlign w:val="center"/>
          </w:tcPr>
          <w:p w:rsidR="004952A5" w:rsidRPr="00525F08" w:rsidRDefault="004952A5" w:rsidP="005C0C71">
            <w:pPr>
              <w:spacing w:before="60" w:after="60"/>
              <w:ind w:left="180" w:hanging="180"/>
              <w:rPr>
                <w:rFonts w:eastAsia="Arial Unicode MS" w:cs="Arial"/>
                <w:color w:val="000000"/>
              </w:rPr>
            </w:pPr>
            <w:r w:rsidRPr="00525F08">
              <w:rPr>
                <w:rFonts w:eastAsia="Arial Unicode MS" w:cs="Arial"/>
                <w:color w:val="000000"/>
              </w:rPr>
              <w:tab/>
              <w:t>NS5A Only</w:t>
            </w:r>
          </w:p>
        </w:tc>
        <w:tc>
          <w:tcPr>
            <w:tcW w:w="1904" w:type="dxa"/>
          </w:tcPr>
          <w:p w:rsidR="004952A5" w:rsidRPr="00525F08" w:rsidRDefault="004952A5" w:rsidP="005C0C71">
            <w:pPr>
              <w:pStyle w:val="Default"/>
              <w:jc w:val="center"/>
              <w:rPr>
                <w:sz w:val="20"/>
                <w:szCs w:val="20"/>
              </w:rPr>
            </w:pPr>
            <w:r w:rsidRPr="00525F08">
              <w:rPr>
                <w:sz w:val="20"/>
                <w:szCs w:val="20"/>
              </w:rPr>
              <w:t>95% (114/120)</w:t>
            </w:r>
          </w:p>
        </w:tc>
        <w:tc>
          <w:tcPr>
            <w:tcW w:w="1596" w:type="dxa"/>
          </w:tcPr>
          <w:p w:rsidR="004952A5" w:rsidRPr="00525F08" w:rsidRDefault="00A73E3C" w:rsidP="005C0C71">
            <w:pPr>
              <w:pStyle w:val="Default"/>
              <w:jc w:val="center"/>
              <w:rPr>
                <w:sz w:val="20"/>
                <w:szCs w:val="20"/>
              </w:rPr>
            </w:pPr>
            <w:r>
              <w:rPr>
                <w:sz w:val="20"/>
              </w:rPr>
              <w:t xml:space="preserve"> 99% (90/91)</w:t>
            </w:r>
          </w:p>
        </w:tc>
        <w:tc>
          <w:tcPr>
            <w:tcW w:w="2043" w:type="dxa"/>
            <w:tcBorders>
              <w:right w:val="nil"/>
            </w:tcBorders>
          </w:tcPr>
          <w:p w:rsidR="004952A5" w:rsidRPr="00525F08" w:rsidRDefault="004952A5" w:rsidP="005C0C71">
            <w:pPr>
              <w:pStyle w:val="Default"/>
              <w:jc w:val="center"/>
              <w:rPr>
                <w:sz w:val="20"/>
                <w:szCs w:val="20"/>
              </w:rPr>
            </w:pPr>
            <w:r w:rsidRPr="00525F08">
              <w:rPr>
                <w:sz w:val="20"/>
                <w:szCs w:val="20"/>
              </w:rPr>
              <w:t>100% (20/20)</w:t>
            </w:r>
          </w:p>
        </w:tc>
        <w:tc>
          <w:tcPr>
            <w:tcW w:w="1715" w:type="dxa"/>
            <w:tcBorders>
              <w:right w:val="nil"/>
            </w:tcBorders>
          </w:tcPr>
          <w:p w:rsidR="004952A5" w:rsidRPr="00525F08" w:rsidRDefault="00A73E3C" w:rsidP="005C0C71">
            <w:pPr>
              <w:pStyle w:val="Default"/>
              <w:jc w:val="center"/>
              <w:rPr>
                <w:sz w:val="20"/>
                <w:szCs w:val="20"/>
              </w:rPr>
            </w:pPr>
            <w:r>
              <w:rPr>
                <w:sz w:val="20"/>
              </w:rPr>
              <w:t xml:space="preserve"> 100% (19/19)</w:t>
            </w:r>
          </w:p>
        </w:tc>
      </w:tr>
      <w:tr w:rsidR="004952A5" w:rsidRPr="00525F08" w:rsidTr="00A73E3C">
        <w:tc>
          <w:tcPr>
            <w:tcW w:w="1984" w:type="dxa"/>
            <w:tcBorders>
              <w:left w:val="nil"/>
            </w:tcBorders>
            <w:vAlign w:val="center"/>
          </w:tcPr>
          <w:p w:rsidR="004952A5" w:rsidRPr="00525F08" w:rsidRDefault="004952A5" w:rsidP="005C0C71">
            <w:pPr>
              <w:spacing w:before="60" w:after="60"/>
              <w:ind w:left="180" w:hanging="180"/>
              <w:rPr>
                <w:rFonts w:eastAsia="Arial Unicode MS" w:cs="Arial"/>
                <w:color w:val="000000"/>
              </w:rPr>
            </w:pPr>
            <w:r w:rsidRPr="00525F08">
              <w:rPr>
                <w:rFonts w:eastAsia="Arial Unicode MS" w:cs="Arial"/>
                <w:color w:val="000000"/>
              </w:rPr>
              <w:tab/>
              <w:t>NS3 and NS5A</w:t>
            </w:r>
          </w:p>
        </w:tc>
        <w:tc>
          <w:tcPr>
            <w:tcW w:w="1904" w:type="dxa"/>
          </w:tcPr>
          <w:p w:rsidR="004952A5" w:rsidRPr="00525F08" w:rsidRDefault="004952A5" w:rsidP="005C0C71">
            <w:pPr>
              <w:pStyle w:val="Default"/>
              <w:jc w:val="center"/>
              <w:rPr>
                <w:sz w:val="20"/>
                <w:szCs w:val="20"/>
              </w:rPr>
            </w:pPr>
            <w:r w:rsidRPr="00525F08">
              <w:rPr>
                <w:sz w:val="20"/>
                <w:szCs w:val="20"/>
              </w:rPr>
              <w:t>100% (20/20)</w:t>
            </w:r>
          </w:p>
        </w:tc>
        <w:tc>
          <w:tcPr>
            <w:tcW w:w="1596" w:type="dxa"/>
          </w:tcPr>
          <w:p w:rsidR="004952A5" w:rsidRPr="00525F08" w:rsidRDefault="00A73E3C" w:rsidP="005C0C71">
            <w:pPr>
              <w:pStyle w:val="Default"/>
              <w:jc w:val="center"/>
              <w:rPr>
                <w:sz w:val="20"/>
                <w:szCs w:val="20"/>
              </w:rPr>
            </w:pPr>
            <w:r>
              <w:rPr>
                <w:sz w:val="20"/>
              </w:rPr>
              <w:t xml:space="preserve"> 100% (30/30)</w:t>
            </w:r>
          </w:p>
        </w:tc>
        <w:tc>
          <w:tcPr>
            <w:tcW w:w="2043" w:type="dxa"/>
            <w:tcBorders>
              <w:right w:val="nil"/>
            </w:tcBorders>
          </w:tcPr>
          <w:p w:rsidR="004952A5" w:rsidRPr="00525F08" w:rsidRDefault="004952A5" w:rsidP="005C0C71">
            <w:pPr>
              <w:pStyle w:val="Default"/>
              <w:jc w:val="center"/>
              <w:rPr>
                <w:sz w:val="20"/>
                <w:szCs w:val="20"/>
              </w:rPr>
            </w:pPr>
            <w:r w:rsidRPr="00525F08">
              <w:rPr>
                <w:sz w:val="20"/>
                <w:szCs w:val="20"/>
              </w:rPr>
              <w:t>100% (1/1)</w:t>
            </w:r>
          </w:p>
        </w:tc>
        <w:tc>
          <w:tcPr>
            <w:tcW w:w="1715" w:type="dxa"/>
            <w:tcBorders>
              <w:right w:val="nil"/>
            </w:tcBorders>
          </w:tcPr>
          <w:p w:rsidR="004952A5" w:rsidRPr="00525F08" w:rsidRDefault="004952A5" w:rsidP="005C0C71">
            <w:pPr>
              <w:pStyle w:val="Default"/>
              <w:jc w:val="center"/>
              <w:rPr>
                <w:sz w:val="20"/>
                <w:szCs w:val="20"/>
              </w:rPr>
            </w:pPr>
            <w:r>
              <w:rPr>
                <w:sz w:val="20"/>
              </w:rPr>
              <w:t>0</w:t>
            </w:r>
          </w:p>
        </w:tc>
      </w:tr>
      <w:tr w:rsidR="004952A5" w:rsidRPr="00525F08" w:rsidTr="00A73E3C">
        <w:tc>
          <w:tcPr>
            <w:tcW w:w="1984" w:type="dxa"/>
            <w:tcBorders>
              <w:left w:val="nil"/>
              <w:bottom w:val="single" w:sz="12" w:space="0" w:color="auto"/>
            </w:tcBorders>
            <w:vAlign w:val="center"/>
          </w:tcPr>
          <w:p w:rsidR="004952A5" w:rsidRPr="00525F08" w:rsidRDefault="004952A5" w:rsidP="005C0C71">
            <w:pPr>
              <w:spacing w:before="60" w:after="60"/>
              <w:rPr>
                <w:rFonts w:eastAsia="Arial Unicode MS" w:cs="Arial"/>
                <w:color w:val="000000"/>
                <w:vertAlign w:val="superscript"/>
              </w:rPr>
            </w:pPr>
            <w:r w:rsidRPr="00525F08">
              <w:rPr>
                <w:rFonts w:eastAsia="Arial Unicode MS" w:cs="Arial"/>
                <w:color w:val="000000"/>
              </w:rPr>
              <w:t>RAVs Not Determined for Both NS3 and NS5A</w:t>
            </w:r>
            <w:r w:rsidRPr="00525F08">
              <w:rPr>
                <w:rFonts w:eastAsia="Arial Unicode MS" w:cs="Arial"/>
                <w:color w:val="000000"/>
                <w:vertAlign w:val="superscript"/>
              </w:rPr>
              <w:t>a</w:t>
            </w:r>
          </w:p>
        </w:tc>
        <w:tc>
          <w:tcPr>
            <w:tcW w:w="1904" w:type="dxa"/>
            <w:tcBorders>
              <w:bottom w:val="single" w:sz="12" w:space="0" w:color="auto"/>
            </w:tcBorders>
          </w:tcPr>
          <w:p w:rsidR="004952A5" w:rsidRPr="00525F08" w:rsidRDefault="004952A5" w:rsidP="005C0C71">
            <w:pPr>
              <w:pStyle w:val="Default"/>
              <w:jc w:val="center"/>
              <w:rPr>
                <w:sz w:val="20"/>
                <w:szCs w:val="20"/>
              </w:rPr>
            </w:pPr>
            <w:r w:rsidRPr="00525F08">
              <w:rPr>
                <w:sz w:val="20"/>
                <w:szCs w:val="20"/>
              </w:rPr>
              <w:t>100% (19/19)</w:t>
            </w:r>
          </w:p>
        </w:tc>
        <w:tc>
          <w:tcPr>
            <w:tcW w:w="1596" w:type="dxa"/>
            <w:tcBorders>
              <w:bottom w:val="single" w:sz="12" w:space="0" w:color="auto"/>
            </w:tcBorders>
          </w:tcPr>
          <w:p w:rsidR="004952A5" w:rsidRPr="00525F08" w:rsidRDefault="00A73E3C" w:rsidP="005C0C71">
            <w:pPr>
              <w:pStyle w:val="Default"/>
              <w:jc w:val="center"/>
              <w:rPr>
                <w:sz w:val="20"/>
                <w:szCs w:val="20"/>
              </w:rPr>
            </w:pPr>
            <w:r>
              <w:rPr>
                <w:sz w:val="20"/>
              </w:rPr>
              <w:t xml:space="preserve"> 100% (9/9)</w:t>
            </w:r>
          </w:p>
        </w:tc>
        <w:tc>
          <w:tcPr>
            <w:tcW w:w="2043" w:type="dxa"/>
            <w:tcBorders>
              <w:bottom w:val="single" w:sz="12" w:space="0" w:color="auto"/>
              <w:right w:val="nil"/>
            </w:tcBorders>
          </w:tcPr>
          <w:p w:rsidR="004952A5" w:rsidRPr="00525F08" w:rsidRDefault="004952A5" w:rsidP="005C0C71">
            <w:pPr>
              <w:pStyle w:val="Default"/>
              <w:jc w:val="center"/>
              <w:rPr>
                <w:sz w:val="20"/>
                <w:szCs w:val="20"/>
              </w:rPr>
            </w:pPr>
            <w:r w:rsidRPr="00525F08">
              <w:rPr>
                <w:sz w:val="20"/>
                <w:szCs w:val="20"/>
              </w:rPr>
              <w:t>100% (3/3)</w:t>
            </w:r>
          </w:p>
        </w:tc>
        <w:tc>
          <w:tcPr>
            <w:tcW w:w="1715" w:type="dxa"/>
            <w:tcBorders>
              <w:bottom w:val="single" w:sz="12" w:space="0" w:color="auto"/>
              <w:right w:val="nil"/>
            </w:tcBorders>
          </w:tcPr>
          <w:p w:rsidR="004952A5" w:rsidRPr="00525F08" w:rsidRDefault="004952A5" w:rsidP="00A73E3C">
            <w:pPr>
              <w:pStyle w:val="Default"/>
              <w:jc w:val="center"/>
              <w:rPr>
                <w:sz w:val="20"/>
                <w:szCs w:val="20"/>
              </w:rPr>
            </w:pPr>
            <w:r>
              <w:rPr>
                <w:sz w:val="20"/>
              </w:rPr>
              <w:t>100%</w:t>
            </w:r>
            <w:r w:rsidR="00A73E3C">
              <w:rPr>
                <w:sz w:val="20"/>
              </w:rPr>
              <w:t xml:space="preserve"> (6/6)</w:t>
            </w:r>
          </w:p>
        </w:tc>
      </w:tr>
    </w:tbl>
    <w:p w:rsidR="004952A5" w:rsidRPr="00525F08" w:rsidRDefault="004952A5" w:rsidP="004952A5">
      <w:pPr>
        <w:shd w:val="clear" w:color="auto" w:fill="FFFFFF" w:themeFill="background1"/>
        <w:ind w:left="270" w:hanging="270"/>
        <w:rPr>
          <w:rFonts w:cs="Arial"/>
          <w:bCs/>
          <w:szCs w:val="24"/>
        </w:rPr>
      </w:pPr>
      <w:r w:rsidRPr="00525F08">
        <w:rPr>
          <w:rFonts w:cs="Arial"/>
          <w:bCs/>
          <w:sz w:val="16"/>
          <w:szCs w:val="16"/>
        </w:rPr>
        <w:t>a.</w:t>
      </w:r>
      <w:r w:rsidRPr="00525F08">
        <w:rPr>
          <w:rFonts w:cs="Arial"/>
          <w:bCs/>
          <w:sz w:val="16"/>
          <w:szCs w:val="16"/>
        </w:rPr>
        <w:tab/>
      </w:r>
      <w:r w:rsidRPr="00F2155C">
        <w:rPr>
          <w:rFonts w:ascii="Times New Roman" w:hAnsi="Times New Roman" w:cs="Times New Roman"/>
          <w:bCs/>
          <w:sz w:val="16"/>
          <w:szCs w:val="16"/>
        </w:rPr>
        <w:t>Patients with NS3 and/or NS5A gene sequencing failure</w:t>
      </w:r>
      <w:r w:rsidRPr="00DB59E4">
        <w:rPr>
          <w:rFonts w:cs="Arial"/>
          <w:bCs/>
          <w:sz w:val="16"/>
          <w:szCs w:val="16"/>
        </w:rPr>
        <w:t>.</w:t>
      </w:r>
    </w:p>
    <w:p w:rsidR="004952A5" w:rsidRPr="00525F08" w:rsidRDefault="004952A5" w:rsidP="00F2155C">
      <w:pPr>
        <w:pStyle w:val="TextTi11"/>
        <w:spacing w:after="240" w:line="240" w:lineRule="auto"/>
        <w:rPr>
          <w:i/>
          <w:sz w:val="24"/>
          <w:szCs w:val="24"/>
        </w:rPr>
      </w:pPr>
      <w:r w:rsidRPr="00525F08">
        <w:rPr>
          <w:sz w:val="24"/>
          <w:szCs w:val="24"/>
        </w:rPr>
        <w:t xml:space="preserve">SVR12 was achieved in all 39 </w:t>
      </w:r>
      <w:r w:rsidRPr="00525F08">
        <w:rPr>
          <w:rFonts w:cs="Arial"/>
          <w:bCs/>
          <w:sz w:val="24"/>
          <w:szCs w:val="24"/>
        </w:rPr>
        <w:t>patients</w:t>
      </w:r>
      <w:r w:rsidRPr="00525F08">
        <w:rPr>
          <w:sz w:val="24"/>
          <w:szCs w:val="24"/>
        </w:rPr>
        <w:t xml:space="preserve"> who had baseline NS5B NI RAVs in POLARIS-2 and 2 of 3 (67%) </w:t>
      </w:r>
      <w:r w:rsidRPr="00525F08">
        <w:rPr>
          <w:rFonts w:cs="Arial"/>
          <w:bCs/>
          <w:sz w:val="24"/>
          <w:szCs w:val="24"/>
        </w:rPr>
        <w:t>patients</w:t>
      </w:r>
      <w:r w:rsidRPr="00525F08">
        <w:rPr>
          <w:sz w:val="24"/>
          <w:szCs w:val="24"/>
        </w:rPr>
        <w:t xml:space="preserve"> in POLARIS-3. The NS5B NI RAV S282T was not detected in any </w:t>
      </w:r>
      <w:r w:rsidRPr="00525F08">
        <w:rPr>
          <w:rFonts w:cs="Arial"/>
          <w:bCs/>
          <w:sz w:val="24"/>
          <w:szCs w:val="24"/>
        </w:rPr>
        <w:t>patient</w:t>
      </w:r>
      <w:r w:rsidRPr="00525F08">
        <w:rPr>
          <w:sz w:val="24"/>
          <w:szCs w:val="24"/>
        </w:rPr>
        <w:t xml:space="preserve"> in POLARIS-2 and POLARIS-3 trials.</w:t>
      </w:r>
    </w:p>
    <w:p w:rsidR="004952A5" w:rsidRPr="004469C5" w:rsidRDefault="004952A5" w:rsidP="00F2155C">
      <w:pPr>
        <w:pStyle w:val="Heading3"/>
        <w:spacing w:before="120" w:after="240" w:line="240" w:lineRule="auto"/>
        <w:ind w:left="0"/>
        <w:rPr>
          <w:rFonts w:ascii="Times New Roman" w:hAnsi="Times New Roman" w:cs="Times New Roman"/>
        </w:rPr>
      </w:pPr>
      <w:r w:rsidRPr="004469C5">
        <w:rPr>
          <w:rFonts w:ascii="Times New Roman" w:hAnsi="Times New Roman" w:cs="Times New Roman"/>
        </w:rPr>
        <w:lastRenderedPageBreak/>
        <w:t>Cross Resistance</w:t>
      </w:r>
    </w:p>
    <w:p w:rsidR="00676525" w:rsidRPr="00F2155C" w:rsidRDefault="004952A5" w:rsidP="00F2155C">
      <w:pPr>
        <w:pStyle w:val="Heading3"/>
        <w:spacing w:before="120" w:after="240" w:line="240" w:lineRule="auto"/>
        <w:ind w:left="0"/>
        <w:rPr>
          <w:szCs w:val="24"/>
        </w:rPr>
      </w:pPr>
      <w:r w:rsidRPr="00676525">
        <w:rPr>
          <w:rFonts w:ascii="Times New Roman" w:hAnsi="Times New Roman" w:cs="Times New Roman"/>
          <w:b w:val="0"/>
          <w:sz w:val="24"/>
          <w:szCs w:val="24"/>
        </w:rPr>
        <w:t>Voxilaprevir is active in vitro against most of the NS3 RAVs that confer resistance to first generation NS3/4A protease inhibitors. Additionally, velpatasvir is active in vitro against most of the NS5A RAVs that confer resistance to ledipasvir and daclatasvir. Sofosbuvir, velpatasvir, and voxilaprevir were fully active against substitutions associated with resistance to other classes of DAAs with different mechanisms of actions; e.g., voxilaprevir was fully active against NS5A and NS5B NI RAVs</w:t>
      </w:r>
      <w:r w:rsidRPr="00525F08">
        <w:rPr>
          <w:b w:val="0"/>
          <w:szCs w:val="24"/>
        </w:rPr>
        <w:t>.</w:t>
      </w:r>
      <w:r w:rsidRPr="00525F08">
        <w:rPr>
          <w:szCs w:val="24"/>
        </w:rPr>
        <w:t xml:space="preserve"> </w:t>
      </w:r>
    </w:p>
    <w:p w:rsidR="001A3992" w:rsidRPr="004469C5" w:rsidRDefault="001A3992" w:rsidP="00F2155C">
      <w:pPr>
        <w:pStyle w:val="Heading3"/>
        <w:spacing w:before="120" w:after="240" w:line="240" w:lineRule="auto"/>
        <w:ind w:left="0"/>
        <w:rPr>
          <w:rFonts w:ascii="Times New Roman" w:hAnsi="Times New Roman" w:cs="Times New Roman"/>
          <w:sz w:val="24"/>
          <w:szCs w:val="24"/>
          <w:lang w:val="en-US"/>
        </w:rPr>
      </w:pPr>
      <w:r w:rsidRPr="004469C5">
        <w:rPr>
          <w:rFonts w:ascii="Times New Roman" w:hAnsi="Times New Roman" w:cs="Times New Roman"/>
          <w:sz w:val="24"/>
          <w:szCs w:val="24"/>
        </w:rPr>
        <w:t>Clinical</w:t>
      </w:r>
      <w:r w:rsidRPr="004469C5">
        <w:rPr>
          <w:rFonts w:ascii="Times New Roman" w:hAnsi="Times New Roman" w:cs="Times New Roman"/>
          <w:sz w:val="24"/>
          <w:szCs w:val="24"/>
          <w:lang w:val="en-US"/>
        </w:rPr>
        <w:t xml:space="preserve"> trials</w:t>
      </w:r>
    </w:p>
    <w:p w:rsidR="004952A5" w:rsidRPr="00676525" w:rsidRDefault="004952A5" w:rsidP="00F2155C">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 xml:space="preserve">The efficacy of VOSEVI was evaluated in two Phase 3 trials in DAA-experienced patients and two Phase 3 trials in DAA-naïve </w:t>
      </w:r>
      <w:r w:rsidRPr="00676525">
        <w:rPr>
          <w:rFonts w:ascii="Times New Roman" w:hAnsi="Times New Roman" w:cs="Times New Roman"/>
          <w:bCs/>
          <w:sz w:val="24"/>
          <w:szCs w:val="24"/>
        </w:rPr>
        <w:t>patients</w:t>
      </w:r>
      <w:r w:rsidRPr="00676525">
        <w:rPr>
          <w:rFonts w:ascii="Times New Roman" w:hAnsi="Times New Roman" w:cs="Times New Roman"/>
          <w:sz w:val="24"/>
          <w:szCs w:val="24"/>
        </w:rPr>
        <w:t xml:space="preserve"> with genotype 1 to 6 HCV infection without cirrhosis or with compensated cirrhosis, as summarized in Table </w:t>
      </w:r>
      <w:r w:rsidR="00DB4227">
        <w:rPr>
          <w:rFonts w:ascii="Times New Roman" w:hAnsi="Times New Roman" w:cs="Times New Roman"/>
          <w:sz w:val="24"/>
          <w:szCs w:val="24"/>
        </w:rPr>
        <w:t>13</w:t>
      </w:r>
      <w:r w:rsidRPr="00676525">
        <w:rPr>
          <w:rFonts w:ascii="Times New Roman" w:hAnsi="Times New Roman" w:cs="Times New Roman"/>
          <w:sz w:val="24"/>
          <w:szCs w:val="24"/>
        </w:rPr>
        <w:t>.</w:t>
      </w:r>
    </w:p>
    <w:p w:rsidR="004952A5" w:rsidRPr="00525F08" w:rsidRDefault="004952A5" w:rsidP="004952A5">
      <w:pPr>
        <w:pStyle w:val="Caption"/>
      </w:pPr>
      <w:r w:rsidRPr="00525F08">
        <w:rPr>
          <w:spacing w:val="1"/>
        </w:rPr>
        <w:t>Tabl</w:t>
      </w:r>
      <w:r w:rsidRPr="00525F08">
        <w:t>e</w:t>
      </w:r>
      <w:r w:rsidRPr="00525F08">
        <w:rPr>
          <w:spacing w:val="-1"/>
        </w:rPr>
        <w:t xml:space="preserve"> </w:t>
      </w:r>
      <w:r w:rsidR="00DB4227">
        <w:t>13</w:t>
      </w:r>
      <w:r w:rsidRPr="00525F08">
        <w:tab/>
      </w:r>
      <w:r w:rsidRPr="00525F08">
        <w:rPr>
          <w:bCs/>
          <w:sz w:val="23"/>
          <w:szCs w:val="23"/>
        </w:rPr>
        <w:t xml:space="preserve">Trials Conducted with </w:t>
      </w:r>
      <w:r>
        <w:rPr>
          <w:bCs/>
          <w:sz w:val="23"/>
          <w:szCs w:val="23"/>
        </w:rPr>
        <w:t>VOSEVI</w:t>
      </w:r>
      <w:r w:rsidRPr="00525F08">
        <w:rPr>
          <w:bCs/>
          <w:sz w:val="23"/>
          <w:szCs w:val="23"/>
        </w:rPr>
        <w:t xml:space="preserve"> in DAA-Experienced and DAA-Naïve </w:t>
      </w:r>
      <w:r w:rsidRPr="00525F08">
        <w:rPr>
          <w:rFonts w:cs="Arial"/>
          <w:bCs/>
          <w:szCs w:val="24"/>
        </w:rPr>
        <w:t>Patients</w:t>
      </w:r>
      <w:r w:rsidRPr="00525F08">
        <w:rPr>
          <w:bCs/>
          <w:sz w:val="23"/>
          <w:szCs w:val="23"/>
        </w:rPr>
        <w:t xml:space="preserve"> with Genotype 1, 2, 3, 4, 5 or 6 HCV Infection</w:t>
      </w:r>
    </w:p>
    <w:tbl>
      <w:tblPr>
        <w:tblW w:w="9498" w:type="dxa"/>
        <w:tblLayout w:type="fixed"/>
        <w:tblCellMar>
          <w:left w:w="0" w:type="dxa"/>
          <w:right w:w="0" w:type="dxa"/>
        </w:tblCellMar>
        <w:tblLook w:val="01E0" w:firstRow="1" w:lastRow="1" w:firstColumn="1" w:lastColumn="1" w:noHBand="0" w:noVBand="0"/>
      </w:tblPr>
      <w:tblGrid>
        <w:gridCol w:w="1843"/>
        <w:gridCol w:w="3776"/>
        <w:gridCol w:w="3879"/>
      </w:tblGrid>
      <w:tr w:rsidR="004952A5" w:rsidRPr="00525F08" w:rsidTr="005C0C71">
        <w:trPr>
          <w:trHeight w:hRule="exact" w:val="700"/>
        </w:trPr>
        <w:tc>
          <w:tcPr>
            <w:tcW w:w="1843" w:type="dxa"/>
            <w:tcBorders>
              <w:top w:val="single" w:sz="12" w:space="0" w:color="000000"/>
              <w:left w:val="nil"/>
              <w:bottom w:val="single" w:sz="12" w:space="0" w:color="000000"/>
              <w:right w:val="single" w:sz="6" w:space="0" w:color="000000"/>
            </w:tcBorders>
          </w:tcPr>
          <w:p w:rsidR="004952A5" w:rsidRPr="006E68ED" w:rsidRDefault="004952A5" w:rsidP="005C0C71">
            <w:pPr>
              <w:spacing w:before="20" w:after="20"/>
              <w:rPr>
                <w:rFonts w:ascii="Times New Roman" w:hAnsi="Times New Roman" w:cs="Times New Roman"/>
                <w:b/>
                <w:szCs w:val="24"/>
              </w:rPr>
            </w:pPr>
            <w:r w:rsidRPr="006E68ED">
              <w:rPr>
                <w:rFonts w:ascii="Times New Roman" w:hAnsi="Times New Roman" w:cs="Times New Roman"/>
                <w:b/>
                <w:szCs w:val="24"/>
              </w:rPr>
              <w:t>Trial</w:t>
            </w:r>
          </w:p>
        </w:tc>
        <w:tc>
          <w:tcPr>
            <w:tcW w:w="3776" w:type="dxa"/>
            <w:tcBorders>
              <w:top w:val="single" w:sz="12" w:space="0" w:color="000000"/>
              <w:left w:val="single" w:sz="6" w:space="0" w:color="000000"/>
              <w:bottom w:val="single" w:sz="12" w:space="0" w:color="000000"/>
              <w:right w:val="single" w:sz="6" w:space="0" w:color="000000"/>
            </w:tcBorders>
          </w:tcPr>
          <w:p w:rsidR="004952A5" w:rsidRPr="006E68ED" w:rsidRDefault="004952A5" w:rsidP="005C0C71">
            <w:pPr>
              <w:spacing w:before="20" w:after="20"/>
              <w:jc w:val="center"/>
              <w:rPr>
                <w:rFonts w:ascii="Times New Roman" w:hAnsi="Times New Roman" w:cs="Times New Roman"/>
                <w:b/>
                <w:szCs w:val="24"/>
              </w:rPr>
            </w:pPr>
            <w:r w:rsidRPr="006E68ED">
              <w:rPr>
                <w:rFonts w:ascii="Times New Roman" w:hAnsi="Times New Roman" w:cs="Times New Roman"/>
                <w:b/>
                <w:szCs w:val="24"/>
              </w:rPr>
              <w:t>Population</w:t>
            </w:r>
          </w:p>
        </w:tc>
        <w:tc>
          <w:tcPr>
            <w:tcW w:w="3879" w:type="dxa"/>
            <w:tcBorders>
              <w:top w:val="single" w:sz="12" w:space="0" w:color="000000"/>
              <w:left w:val="single" w:sz="6" w:space="0" w:color="000000"/>
              <w:bottom w:val="single" w:sz="12" w:space="0" w:color="000000"/>
              <w:right w:val="nil"/>
            </w:tcBorders>
          </w:tcPr>
          <w:p w:rsidR="004952A5" w:rsidRPr="006E68ED" w:rsidRDefault="004952A5" w:rsidP="005C0C71">
            <w:pPr>
              <w:spacing w:before="20" w:after="20"/>
              <w:jc w:val="center"/>
              <w:rPr>
                <w:rFonts w:ascii="Times New Roman" w:hAnsi="Times New Roman" w:cs="Times New Roman"/>
                <w:b/>
                <w:szCs w:val="24"/>
              </w:rPr>
            </w:pPr>
            <w:r w:rsidRPr="006E68ED">
              <w:rPr>
                <w:rFonts w:ascii="Times New Roman" w:hAnsi="Times New Roman" w:cs="Times New Roman"/>
                <w:b/>
                <w:szCs w:val="24"/>
              </w:rPr>
              <w:t>Study Arms</w:t>
            </w:r>
            <w:r w:rsidRPr="006E68ED">
              <w:rPr>
                <w:rFonts w:ascii="Times New Roman" w:hAnsi="Times New Roman" w:cs="Times New Roman"/>
                <w:b/>
                <w:szCs w:val="24"/>
              </w:rPr>
              <w:br/>
              <w:t>(Number of Patients Treated)</w:t>
            </w:r>
          </w:p>
        </w:tc>
      </w:tr>
      <w:tr w:rsidR="004952A5" w:rsidRPr="00525F08" w:rsidTr="005C0C71">
        <w:trPr>
          <w:trHeight w:hRule="exact" w:val="986"/>
        </w:trPr>
        <w:tc>
          <w:tcPr>
            <w:tcW w:w="1843" w:type="dxa"/>
            <w:tcBorders>
              <w:top w:val="single" w:sz="12" w:space="0" w:color="000000"/>
              <w:left w:val="nil"/>
              <w:bottom w:val="single" w:sz="6" w:space="0" w:color="000000"/>
              <w:right w:val="single" w:sz="6" w:space="0" w:color="000000"/>
            </w:tcBorders>
          </w:tcPr>
          <w:p w:rsidR="004952A5" w:rsidRPr="00525F08" w:rsidRDefault="004952A5" w:rsidP="005C0C71">
            <w:pPr>
              <w:pStyle w:val="Default"/>
              <w:rPr>
                <w:sz w:val="22"/>
                <w:szCs w:val="22"/>
              </w:rPr>
            </w:pPr>
            <w:r w:rsidRPr="00525F08">
              <w:rPr>
                <w:sz w:val="22"/>
                <w:szCs w:val="22"/>
              </w:rPr>
              <w:t xml:space="preserve">POLARIS-1 </w:t>
            </w:r>
          </w:p>
        </w:tc>
        <w:tc>
          <w:tcPr>
            <w:tcW w:w="3776" w:type="dxa"/>
            <w:tcBorders>
              <w:top w:val="single" w:sz="12" w:space="0" w:color="000000"/>
              <w:left w:val="single" w:sz="6" w:space="0" w:color="000000"/>
              <w:bottom w:val="single" w:sz="6" w:space="0" w:color="000000"/>
              <w:right w:val="single" w:sz="6" w:space="0" w:color="000000"/>
            </w:tcBorders>
          </w:tcPr>
          <w:p w:rsidR="004952A5" w:rsidRPr="00525F08" w:rsidRDefault="004952A5" w:rsidP="005C0C71">
            <w:pPr>
              <w:pStyle w:val="Default"/>
              <w:jc w:val="center"/>
              <w:rPr>
                <w:sz w:val="22"/>
                <w:szCs w:val="22"/>
              </w:rPr>
            </w:pPr>
            <w:r w:rsidRPr="00525F08">
              <w:rPr>
                <w:sz w:val="22"/>
                <w:szCs w:val="22"/>
              </w:rPr>
              <w:t xml:space="preserve">NS5A inhibitor-experienced </w:t>
            </w:r>
            <w:r w:rsidRPr="00525F08">
              <w:rPr>
                <w:rFonts w:cs="Arial"/>
                <w:bCs/>
                <w:sz w:val="22"/>
                <w:szCs w:val="22"/>
              </w:rPr>
              <w:t>patients</w:t>
            </w:r>
            <w:r w:rsidRPr="00525F08">
              <w:rPr>
                <w:sz w:val="22"/>
                <w:szCs w:val="22"/>
              </w:rPr>
              <w:t>, without cirrhosis or with compensated cirrhosis</w:t>
            </w:r>
          </w:p>
        </w:tc>
        <w:tc>
          <w:tcPr>
            <w:tcW w:w="3879" w:type="dxa"/>
            <w:tcBorders>
              <w:top w:val="single" w:sz="12" w:space="0" w:color="000000"/>
              <w:left w:val="single" w:sz="6" w:space="0" w:color="000000"/>
              <w:bottom w:val="single" w:sz="6" w:space="0" w:color="000000"/>
              <w:right w:val="nil"/>
            </w:tcBorders>
          </w:tcPr>
          <w:p w:rsidR="004952A5" w:rsidRDefault="004952A5" w:rsidP="005C0C71">
            <w:pPr>
              <w:pStyle w:val="Default"/>
              <w:jc w:val="center"/>
              <w:rPr>
                <w:sz w:val="22"/>
                <w:szCs w:val="22"/>
              </w:rPr>
            </w:pPr>
            <w:r>
              <w:rPr>
                <w:sz w:val="22"/>
                <w:szCs w:val="22"/>
              </w:rPr>
              <w:t>VOSEVI</w:t>
            </w:r>
            <w:r w:rsidRPr="00525F08">
              <w:rPr>
                <w:sz w:val="22"/>
                <w:szCs w:val="22"/>
              </w:rPr>
              <w:t xml:space="preserve"> 12 weeks (263) </w:t>
            </w:r>
          </w:p>
          <w:p w:rsidR="004952A5" w:rsidRPr="00525F08" w:rsidRDefault="004952A5" w:rsidP="005C0C71">
            <w:pPr>
              <w:pStyle w:val="Default"/>
              <w:jc w:val="center"/>
              <w:rPr>
                <w:sz w:val="22"/>
                <w:szCs w:val="22"/>
              </w:rPr>
            </w:pPr>
            <w:r w:rsidRPr="00525F08">
              <w:rPr>
                <w:sz w:val="22"/>
                <w:szCs w:val="22"/>
              </w:rPr>
              <w:t>Placebo 12 weeks (152)</w:t>
            </w:r>
          </w:p>
        </w:tc>
      </w:tr>
      <w:tr w:rsidR="004952A5" w:rsidRPr="00525F08" w:rsidTr="005C0C71">
        <w:trPr>
          <w:trHeight w:hRule="exact" w:val="886"/>
        </w:trPr>
        <w:tc>
          <w:tcPr>
            <w:tcW w:w="1843" w:type="dxa"/>
            <w:tcBorders>
              <w:top w:val="single" w:sz="6" w:space="0" w:color="000000"/>
              <w:left w:val="nil"/>
              <w:bottom w:val="single" w:sz="6" w:space="0" w:color="000000"/>
              <w:right w:val="single" w:sz="6" w:space="0" w:color="000000"/>
            </w:tcBorders>
          </w:tcPr>
          <w:p w:rsidR="004952A5" w:rsidRPr="00525F08" w:rsidRDefault="004952A5" w:rsidP="005C0C71">
            <w:pPr>
              <w:pStyle w:val="Default"/>
              <w:rPr>
                <w:sz w:val="22"/>
                <w:szCs w:val="22"/>
              </w:rPr>
            </w:pPr>
            <w:r w:rsidRPr="00525F08">
              <w:rPr>
                <w:sz w:val="22"/>
                <w:szCs w:val="22"/>
              </w:rPr>
              <w:t xml:space="preserve">POLARIS-4 </w:t>
            </w:r>
          </w:p>
        </w:tc>
        <w:tc>
          <w:tcPr>
            <w:tcW w:w="3776" w:type="dxa"/>
            <w:tcBorders>
              <w:top w:val="single" w:sz="6" w:space="0" w:color="000000"/>
              <w:left w:val="single" w:sz="6" w:space="0" w:color="000000"/>
              <w:bottom w:val="single" w:sz="6" w:space="0" w:color="000000"/>
              <w:right w:val="single" w:sz="6" w:space="0" w:color="000000"/>
            </w:tcBorders>
          </w:tcPr>
          <w:p w:rsidR="004952A5" w:rsidRPr="00525F08" w:rsidRDefault="004952A5" w:rsidP="005C0C71">
            <w:pPr>
              <w:pStyle w:val="Default"/>
              <w:jc w:val="center"/>
              <w:rPr>
                <w:sz w:val="22"/>
                <w:szCs w:val="22"/>
              </w:rPr>
            </w:pPr>
            <w:r w:rsidRPr="00525F08">
              <w:rPr>
                <w:sz w:val="22"/>
                <w:szCs w:val="22"/>
              </w:rPr>
              <w:t xml:space="preserve">DAA-experienced </w:t>
            </w:r>
            <w:r w:rsidRPr="00525F08">
              <w:rPr>
                <w:rFonts w:cs="Arial"/>
                <w:bCs/>
                <w:sz w:val="22"/>
                <w:szCs w:val="22"/>
              </w:rPr>
              <w:t>patients</w:t>
            </w:r>
            <w:r w:rsidRPr="00525F08">
              <w:rPr>
                <w:sz w:val="22"/>
                <w:szCs w:val="22"/>
              </w:rPr>
              <w:t xml:space="preserve"> who have not received an NS5A inhibitor, without cirrhosis or with compensated cirrhosis</w:t>
            </w:r>
          </w:p>
        </w:tc>
        <w:tc>
          <w:tcPr>
            <w:tcW w:w="3879" w:type="dxa"/>
            <w:tcBorders>
              <w:top w:val="single" w:sz="6" w:space="0" w:color="000000"/>
              <w:left w:val="single" w:sz="6" w:space="0" w:color="000000"/>
              <w:bottom w:val="single" w:sz="6" w:space="0" w:color="000000"/>
              <w:right w:val="nil"/>
            </w:tcBorders>
          </w:tcPr>
          <w:p w:rsidR="004952A5" w:rsidRDefault="004952A5" w:rsidP="005C0C71">
            <w:pPr>
              <w:pStyle w:val="Default"/>
              <w:jc w:val="center"/>
              <w:rPr>
                <w:sz w:val="22"/>
                <w:szCs w:val="22"/>
              </w:rPr>
            </w:pPr>
            <w:r>
              <w:rPr>
                <w:sz w:val="22"/>
                <w:szCs w:val="22"/>
              </w:rPr>
              <w:t>VOSEVI</w:t>
            </w:r>
            <w:r w:rsidRPr="00525F08">
              <w:rPr>
                <w:sz w:val="22"/>
                <w:szCs w:val="22"/>
              </w:rPr>
              <w:t xml:space="preserve"> 12 weeks (182) </w:t>
            </w:r>
          </w:p>
          <w:p w:rsidR="004952A5" w:rsidRPr="00525F08" w:rsidRDefault="004952A5" w:rsidP="005C0C71">
            <w:pPr>
              <w:pStyle w:val="Default"/>
              <w:jc w:val="center"/>
              <w:rPr>
                <w:sz w:val="22"/>
                <w:szCs w:val="22"/>
              </w:rPr>
            </w:pPr>
            <w:r w:rsidRPr="00525F08">
              <w:rPr>
                <w:sz w:val="22"/>
                <w:szCs w:val="22"/>
              </w:rPr>
              <w:t>SOF/VEL 12 weeks (151)</w:t>
            </w:r>
          </w:p>
        </w:tc>
      </w:tr>
      <w:tr w:rsidR="004952A5" w:rsidRPr="00525F08" w:rsidTr="005C0C71">
        <w:trPr>
          <w:trHeight w:hRule="exact" w:val="927"/>
        </w:trPr>
        <w:tc>
          <w:tcPr>
            <w:tcW w:w="1843" w:type="dxa"/>
            <w:tcBorders>
              <w:top w:val="single" w:sz="6" w:space="0" w:color="000000"/>
              <w:left w:val="nil"/>
              <w:bottom w:val="single" w:sz="6" w:space="0" w:color="000000"/>
              <w:right w:val="single" w:sz="6" w:space="0" w:color="000000"/>
            </w:tcBorders>
          </w:tcPr>
          <w:p w:rsidR="004952A5" w:rsidRPr="00525F08" w:rsidRDefault="004952A5" w:rsidP="005C0C71">
            <w:pPr>
              <w:pStyle w:val="Default"/>
              <w:rPr>
                <w:sz w:val="22"/>
                <w:szCs w:val="22"/>
              </w:rPr>
            </w:pPr>
            <w:r w:rsidRPr="00525F08">
              <w:rPr>
                <w:sz w:val="22"/>
                <w:szCs w:val="22"/>
              </w:rPr>
              <w:t xml:space="preserve">POLARIS-2 </w:t>
            </w:r>
          </w:p>
        </w:tc>
        <w:tc>
          <w:tcPr>
            <w:tcW w:w="3776" w:type="dxa"/>
            <w:tcBorders>
              <w:top w:val="single" w:sz="6" w:space="0" w:color="000000"/>
              <w:left w:val="single" w:sz="6" w:space="0" w:color="000000"/>
              <w:bottom w:val="single" w:sz="6" w:space="0" w:color="000000"/>
              <w:right w:val="single" w:sz="6" w:space="0" w:color="000000"/>
            </w:tcBorders>
          </w:tcPr>
          <w:p w:rsidR="004952A5" w:rsidRPr="00525F08" w:rsidRDefault="004952A5" w:rsidP="005C0C71">
            <w:pPr>
              <w:pStyle w:val="Default"/>
              <w:jc w:val="center"/>
              <w:rPr>
                <w:sz w:val="22"/>
                <w:szCs w:val="22"/>
              </w:rPr>
            </w:pPr>
            <w:r w:rsidRPr="00525F08">
              <w:rPr>
                <w:sz w:val="22"/>
                <w:szCs w:val="22"/>
              </w:rPr>
              <w:t xml:space="preserve">DAA-naïve </w:t>
            </w:r>
            <w:r w:rsidRPr="00525F08">
              <w:rPr>
                <w:rFonts w:cs="Arial"/>
                <w:bCs/>
                <w:sz w:val="22"/>
                <w:szCs w:val="22"/>
              </w:rPr>
              <w:t>patients</w:t>
            </w:r>
            <w:r w:rsidRPr="00525F08">
              <w:rPr>
                <w:sz w:val="22"/>
                <w:szCs w:val="22"/>
              </w:rPr>
              <w:t>, genotype 1, 2, 3, 4, 5, or 6 HCV infection, without cirrhosis or with compensated cirrhosis</w:t>
            </w:r>
          </w:p>
        </w:tc>
        <w:tc>
          <w:tcPr>
            <w:tcW w:w="3879" w:type="dxa"/>
            <w:tcBorders>
              <w:top w:val="single" w:sz="6" w:space="0" w:color="000000"/>
              <w:left w:val="single" w:sz="6" w:space="0" w:color="000000"/>
              <w:bottom w:val="single" w:sz="6" w:space="0" w:color="000000"/>
              <w:right w:val="nil"/>
            </w:tcBorders>
          </w:tcPr>
          <w:p w:rsidR="004952A5" w:rsidRDefault="004952A5" w:rsidP="005C0C71">
            <w:pPr>
              <w:pStyle w:val="Default"/>
              <w:jc w:val="center"/>
              <w:rPr>
                <w:sz w:val="22"/>
                <w:szCs w:val="22"/>
              </w:rPr>
            </w:pPr>
            <w:r>
              <w:rPr>
                <w:sz w:val="22"/>
                <w:szCs w:val="22"/>
              </w:rPr>
              <w:t>VOSEVI</w:t>
            </w:r>
            <w:r w:rsidRPr="00525F08">
              <w:rPr>
                <w:sz w:val="22"/>
                <w:szCs w:val="22"/>
              </w:rPr>
              <w:t xml:space="preserve"> 8 weeks (501) </w:t>
            </w:r>
          </w:p>
          <w:p w:rsidR="004952A5" w:rsidRPr="00525F08" w:rsidRDefault="004952A5" w:rsidP="005C0C71">
            <w:pPr>
              <w:pStyle w:val="Default"/>
              <w:jc w:val="center"/>
              <w:rPr>
                <w:sz w:val="22"/>
                <w:szCs w:val="22"/>
              </w:rPr>
            </w:pPr>
            <w:r w:rsidRPr="00525F08">
              <w:rPr>
                <w:sz w:val="22"/>
                <w:szCs w:val="22"/>
              </w:rPr>
              <w:t>SOF/VEL 12 weeks (440)</w:t>
            </w:r>
          </w:p>
        </w:tc>
      </w:tr>
      <w:tr w:rsidR="004952A5" w:rsidRPr="00525F08" w:rsidTr="005C0C71">
        <w:trPr>
          <w:trHeight w:hRule="exact" w:val="818"/>
        </w:trPr>
        <w:tc>
          <w:tcPr>
            <w:tcW w:w="1843" w:type="dxa"/>
            <w:tcBorders>
              <w:top w:val="single" w:sz="6" w:space="0" w:color="000000"/>
              <w:left w:val="nil"/>
              <w:bottom w:val="single" w:sz="12" w:space="0" w:color="000000"/>
              <w:right w:val="single" w:sz="6" w:space="0" w:color="000000"/>
            </w:tcBorders>
          </w:tcPr>
          <w:p w:rsidR="004952A5" w:rsidRPr="00525F08" w:rsidRDefault="004952A5" w:rsidP="005C0C71">
            <w:pPr>
              <w:pStyle w:val="Default"/>
              <w:rPr>
                <w:sz w:val="22"/>
                <w:szCs w:val="22"/>
              </w:rPr>
            </w:pPr>
            <w:r w:rsidRPr="00525F08">
              <w:rPr>
                <w:sz w:val="22"/>
                <w:szCs w:val="22"/>
              </w:rPr>
              <w:t xml:space="preserve">POLARIS-3 </w:t>
            </w:r>
          </w:p>
        </w:tc>
        <w:tc>
          <w:tcPr>
            <w:tcW w:w="3776" w:type="dxa"/>
            <w:tcBorders>
              <w:top w:val="single" w:sz="6" w:space="0" w:color="000000"/>
              <w:left w:val="single" w:sz="6" w:space="0" w:color="000000"/>
              <w:bottom w:val="single" w:sz="12" w:space="0" w:color="000000"/>
              <w:right w:val="single" w:sz="6" w:space="0" w:color="000000"/>
            </w:tcBorders>
          </w:tcPr>
          <w:p w:rsidR="004952A5" w:rsidRPr="00525F08" w:rsidRDefault="004952A5" w:rsidP="005C0C71">
            <w:pPr>
              <w:pStyle w:val="Default"/>
              <w:jc w:val="center"/>
              <w:rPr>
                <w:sz w:val="22"/>
                <w:szCs w:val="22"/>
              </w:rPr>
            </w:pPr>
            <w:r w:rsidRPr="00525F08">
              <w:rPr>
                <w:sz w:val="22"/>
                <w:szCs w:val="22"/>
              </w:rPr>
              <w:t xml:space="preserve">DAA-naïve </w:t>
            </w:r>
            <w:r w:rsidRPr="00525F08">
              <w:rPr>
                <w:rFonts w:cs="Arial"/>
                <w:bCs/>
                <w:sz w:val="22"/>
                <w:szCs w:val="22"/>
              </w:rPr>
              <w:t>patients</w:t>
            </w:r>
            <w:r w:rsidRPr="00525F08">
              <w:rPr>
                <w:sz w:val="22"/>
                <w:szCs w:val="22"/>
              </w:rPr>
              <w:t xml:space="preserve"> with genotype 3 HCV infection and compensated cirrhosis</w:t>
            </w:r>
          </w:p>
        </w:tc>
        <w:tc>
          <w:tcPr>
            <w:tcW w:w="3879" w:type="dxa"/>
            <w:tcBorders>
              <w:top w:val="single" w:sz="6" w:space="0" w:color="000000"/>
              <w:left w:val="single" w:sz="6" w:space="0" w:color="000000"/>
              <w:bottom w:val="single" w:sz="12" w:space="0" w:color="000000"/>
              <w:right w:val="nil"/>
            </w:tcBorders>
          </w:tcPr>
          <w:p w:rsidR="004952A5" w:rsidRDefault="004952A5" w:rsidP="005C0C71">
            <w:pPr>
              <w:pStyle w:val="Default"/>
              <w:jc w:val="center"/>
              <w:rPr>
                <w:sz w:val="22"/>
                <w:szCs w:val="22"/>
              </w:rPr>
            </w:pPr>
            <w:r>
              <w:rPr>
                <w:sz w:val="22"/>
                <w:szCs w:val="22"/>
              </w:rPr>
              <w:t>VOSEVI</w:t>
            </w:r>
            <w:r w:rsidRPr="00525F08">
              <w:rPr>
                <w:sz w:val="22"/>
                <w:szCs w:val="22"/>
              </w:rPr>
              <w:t xml:space="preserve"> 8 weeks (110) </w:t>
            </w:r>
          </w:p>
          <w:p w:rsidR="004952A5" w:rsidRPr="00525F08" w:rsidRDefault="004952A5" w:rsidP="005C0C71">
            <w:pPr>
              <w:pStyle w:val="Default"/>
              <w:jc w:val="center"/>
              <w:rPr>
                <w:sz w:val="22"/>
                <w:szCs w:val="22"/>
              </w:rPr>
            </w:pPr>
            <w:r w:rsidRPr="00525F08">
              <w:rPr>
                <w:sz w:val="22"/>
                <w:szCs w:val="22"/>
              </w:rPr>
              <w:t>SOF/VEL 12 weeks (109)</w:t>
            </w:r>
          </w:p>
        </w:tc>
      </w:tr>
    </w:tbl>
    <w:p w:rsidR="004952A5" w:rsidRPr="00676525" w:rsidRDefault="004952A5" w:rsidP="004952A5">
      <w:pPr>
        <w:rPr>
          <w:rFonts w:ascii="Times New Roman" w:hAnsi="Times New Roman" w:cs="Times New Roman"/>
          <w:sz w:val="16"/>
          <w:szCs w:val="16"/>
        </w:rPr>
      </w:pPr>
      <w:r w:rsidRPr="00676525">
        <w:rPr>
          <w:rFonts w:ascii="Times New Roman" w:hAnsi="Times New Roman" w:cs="Times New Roman"/>
          <w:sz w:val="16"/>
          <w:szCs w:val="16"/>
        </w:rPr>
        <w:t>DAA: direct acting-antiviral; SOF: sofosbuvir; VEL: velpatasvir</w:t>
      </w:r>
    </w:p>
    <w:p w:rsidR="004952A5" w:rsidRPr="00676525" w:rsidRDefault="004952A5" w:rsidP="007F51FE">
      <w:pPr>
        <w:spacing w:before="120" w:after="240" w:line="240" w:lineRule="auto"/>
        <w:rPr>
          <w:rFonts w:ascii="Times New Roman" w:hAnsi="Times New Roman" w:cs="Times New Roman"/>
          <w:sz w:val="24"/>
          <w:szCs w:val="24"/>
        </w:rPr>
      </w:pPr>
      <w:r w:rsidRPr="00676525">
        <w:rPr>
          <w:rFonts w:ascii="Times New Roman" w:hAnsi="Times New Roman" w:cs="Times New Roman"/>
          <w:sz w:val="24"/>
          <w:szCs w:val="24"/>
        </w:rPr>
        <w:t>Serum HCV RNA values were measured during the clinical trials using the COBAS AmpliPrep/COBAS Taqman HCV test (version 2.0) with a lower limit of quantification (LLOQ) of 15 IU per m</w:t>
      </w:r>
      <w:r w:rsidRPr="00676525">
        <w:rPr>
          <w:rFonts w:ascii="Times New Roman" w:hAnsi="Times New Roman" w:cs="Times New Roman"/>
          <w:spacing w:val="-5"/>
          <w:sz w:val="24"/>
          <w:szCs w:val="24"/>
        </w:rPr>
        <w:t>L</w:t>
      </w:r>
      <w:r w:rsidRPr="00676525">
        <w:rPr>
          <w:rFonts w:ascii="Times New Roman" w:hAnsi="Times New Roman" w:cs="Times New Roman"/>
          <w:sz w:val="24"/>
          <w:szCs w:val="24"/>
        </w:rPr>
        <w:t>. Sustained virologic response (SVR12), defined as HCV RNA less than LLOQ at 12 weeks after the cessation of treatment, was the primary endpoint to determine the HCV cure r</w:t>
      </w:r>
      <w:r w:rsidRPr="00676525">
        <w:rPr>
          <w:rFonts w:ascii="Times New Roman" w:hAnsi="Times New Roman" w:cs="Times New Roman"/>
          <w:spacing w:val="-1"/>
          <w:sz w:val="24"/>
          <w:szCs w:val="24"/>
        </w:rPr>
        <w:t>a</w:t>
      </w:r>
      <w:r w:rsidRPr="00676525">
        <w:rPr>
          <w:rFonts w:ascii="Times New Roman" w:hAnsi="Times New Roman" w:cs="Times New Roman"/>
          <w:sz w:val="24"/>
          <w:szCs w:val="24"/>
        </w:rPr>
        <w:t xml:space="preserve">te. </w:t>
      </w:r>
      <w:bookmarkStart w:id="6" w:name="_Toc434324402"/>
    </w:p>
    <w:p w:rsidR="004952A5" w:rsidRPr="00705DA3" w:rsidRDefault="004952A5" w:rsidP="00705DA3">
      <w:pPr>
        <w:pStyle w:val="Heading3"/>
        <w:ind w:left="0"/>
        <w:rPr>
          <w:rFonts w:ascii="Times New Roman" w:hAnsi="Times New Roman" w:cs="Times New Roman"/>
          <w:sz w:val="24"/>
          <w:szCs w:val="24"/>
        </w:rPr>
      </w:pPr>
      <w:r w:rsidRPr="00705DA3">
        <w:rPr>
          <w:rFonts w:ascii="Times New Roman" w:hAnsi="Times New Roman" w:cs="Times New Roman"/>
          <w:sz w:val="24"/>
          <w:szCs w:val="24"/>
        </w:rPr>
        <w:t xml:space="preserve">Clinical Studies in </w:t>
      </w:r>
      <w:bookmarkEnd w:id="6"/>
      <w:r w:rsidRPr="00705DA3">
        <w:rPr>
          <w:rFonts w:ascii="Times New Roman" w:hAnsi="Times New Roman" w:cs="Times New Roman"/>
          <w:sz w:val="24"/>
          <w:szCs w:val="24"/>
        </w:rPr>
        <w:t>DAA-Experienced Patients</w:t>
      </w:r>
    </w:p>
    <w:p w:rsidR="004952A5" w:rsidRPr="00705DA3" w:rsidRDefault="004952A5" w:rsidP="007F51FE">
      <w:pPr>
        <w:pStyle w:val="Heading4"/>
        <w:numPr>
          <w:ilvl w:val="0"/>
          <w:numId w:val="0"/>
        </w:numPr>
        <w:spacing w:before="120" w:after="240" w:line="240" w:lineRule="auto"/>
        <w:ind w:left="864" w:hanging="864"/>
        <w:rPr>
          <w:rFonts w:ascii="Times New Roman" w:hAnsi="Times New Roman" w:cs="Times New Roman"/>
          <w:b w:val="0"/>
          <w:i w:val="0"/>
          <w:sz w:val="24"/>
          <w:szCs w:val="24"/>
          <w:u w:val="single"/>
        </w:rPr>
      </w:pPr>
      <w:r w:rsidRPr="00705DA3">
        <w:rPr>
          <w:rFonts w:ascii="Times New Roman" w:hAnsi="Times New Roman" w:cs="Times New Roman"/>
          <w:b w:val="0"/>
          <w:i w:val="0"/>
          <w:color w:val="auto"/>
          <w:sz w:val="24"/>
          <w:szCs w:val="24"/>
          <w:u w:val="single"/>
        </w:rPr>
        <w:t xml:space="preserve">NS5A Inhibitor-Experienced Adults (POLARIS-1) </w:t>
      </w:r>
    </w:p>
    <w:p w:rsidR="004952A5" w:rsidRPr="00525F08" w:rsidRDefault="004952A5" w:rsidP="007F51FE">
      <w:pPr>
        <w:pStyle w:val="Default"/>
        <w:spacing w:before="120" w:after="240"/>
        <w:jc w:val="both"/>
      </w:pPr>
      <w:r w:rsidRPr="00525F08">
        <w:t xml:space="preserve">POLARIS-1 was a </w:t>
      </w:r>
      <w:r w:rsidRPr="00BE58C0">
        <w:t>randomi</w:t>
      </w:r>
      <w:r>
        <w:t>s</w:t>
      </w:r>
      <w:r w:rsidRPr="00BE58C0">
        <w:t>ed,</w:t>
      </w:r>
      <w:r w:rsidRPr="00525F08">
        <w:t xml:space="preserve"> double-blind, placebo-controlled trial that evaluated 12 weeks of treatment with </w:t>
      </w:r>
      <w:r>
        <w:t>VOSEVI</w:t>
      </w:r>
      <w:r w:rsidRPr="00525F08">
        <w:t xml:space="preserve"> compared with 12 weeks of placebo in DAA-experienced </w:t>
      </w:r>
      <w:r w:rsidRPr="00525F08">
        <w:rPr>
          <w:rFonts w:cs="Arial"/>
          <w:bCs/>
        </w:rPr>
        <w:t>patients</w:t>
      </w:r>
      <w:r w:rsidRPr="00525F08">
        <w:t xml:space="preserve"> with genotype 1, 2, 3, 4, 5, or 6 HCV infection without cirrhosis or with compensated cirrhosis who previously failed a regimen containing an NS5A inhibitor. </w:t>
      </w:r>
      <w:r w:rsidRPr="00525F08">
        <w:rPr>
          <w:rFonts w:cs="Arial"/>
          <w:bCs/>
        </w:rPr>
        <w:t>Patients</w:t>
      </w:r>
      <w:r w:rsidRPr="00525F08">
        <w:t xml:space="preserve"> with genotype 1 HCV infection were </w:t>
      </w:r>
      <w:r w:rsidRPr="00BE58C0">
        <w:t>randomi</w:t>
      </w:r>
      <w:r>
        <w:t>s</w:t>
      </w:r>
      <w:r w:rsidRPr="00BE58C0">
        <w:t>ed</w:t>
      </w:r>
      <w:r w:rsidRPr="00525F08">
        <w:t xml:space="preserve"> 1:1 to each group. </w:t>
      </w:r>
      <w:r w:rsidRPr="009279E8">
        <w:t>Randomisation</w:t>
      </w:r>
      <w:r w:rsidRPr="00525F08">
        <w:t xml:space="preserve"> was stratified by the presence or absence of cirrhosis. </w:t>
      </w:r>
    </w:p>
    <w:p w:rsidR="004952A5" w:rsidRPr="00525F08" w:rsidRDefault="004952A5" w:rsidP="007F51FE">
      <w:pPr>
        <w:pStyle w:val="Text1"/>
        <w:rPr>
          <w:szCs w:val="24"/>
        </w:rPr>
      </w:pPr>
      <w:r w:rsidRPr="00525F08">
        <w:rPr>
          <w:szCs w:val="24"/>
        </w:rPr>
        <w:lastRenderedPageBreak/>
        <w:t xml:space="preserve">Demographics and baseline characteristics were generally balanced across treatment groups. Of the 415 treated </w:t>
      </w:r>
      <w:r w:rsidRPr="00525F08">
        <w:rPr>
          <w:rFonts w:cs="Arial"/>
          <w:bCs/>
          <w:szCs w:val="24"/>
        </w:rPr>
        <w:t>patients</w:t>
      </w:r>
      <w:r w:rsidRPr="00525F08">
        <w:rPr>
          <w:szCs w:val="24"/>
        </w:rPr>
        <w:t xml:space="preserve">, the median age was 59 years (range: 27 to 84); 77% of the </w:t>
      </w:r>
      <w:r w:rsidRPr="00525F08">
        <w:rPr>
          <w:rFonts w:cs="Arial"/>
          <w:bCs/>
          <w:szCs w:val="24"/>
        </w:rPr>
        <w:t>patients</w:t>
      </w:r>
      <w:r w:rsidRPr="00525F08">
        <w:rPr>
          <w:szCs w:val="24"/>
        </w:rPr>
        <w:t xml:space="preserve"> were male; 81% were White; 14% were Black; 6% were Hispanic or Latino; 33% had a baseline body mass index at least 30 kg/m</w:t>
      </w:r>
      <w:r w:rsidRPr="00525F08">
        <w:rPr>
          <w:szCs w:val="24"/>
          <w:vertAlign w:val="superscript"/>
        </w:rPr>
        <w:t>2</w:t>
      </w:r>
      <w:r w:rsidRPr="00525F08">
        <w:rPr>
          <w:szCs w:val="24"/>
        </w:rPr>
        <w:t xml:space="preserve">; the majority of </w:t>
      </w:r>
      <w:r w:rsidRPr="00525F08">
        <w:rPr>
          <w:rFonts w:cs="Arial"/>
          <w:bCs/>
          <w:szCs w:val="24"/>
        </w:rPr>
        <w:t>patients</w:t>
      </w:r>
      <w:r w:rsidRPr="00525F08">
        <w:rPr>
          <w:szCs w:val="24"/>
        </w:rPr>
        <w:t xml:space="preserve"> had genotype 1 (72%) or genotype 3 (19%) HCV infection; 82% had a non-CC IL28B genotype (CT or TT); 74% had baseline HCV RNA levels at least 800,000 IU/mL; and 41% had compensated cirrhosis. Of the 263 </w:t>
      </w:r>
      <w:r w:rsidRPr="00525F08">
        <w:rPr>
          <w:rFonts w:cs="Arial"/>
          <w:bCs/>
          <w:szCs w:val="24"/>
        </w:rPr>
        <w:t>patients</w:t>
      </w:r>
      <w:r w:rsidRPr="00525F08">
        <w:rPr>
          <w:szCs w:val="24"/>
        </w:rPr>
        <w:t xml:space="preserve"> treated with </w:t>
      </w:r>
      <w:r>
        <w:rPr>
          <w:szCs w:val="24"/>
        </w:rPr>
        <w:t>VOSEVI</w:t>
      </w:r>
      <w:r w:rsidRPr="00525F08">
        <w:rPr>
          <w:szCs w:val="24"/>
        </w:rPr>
        <w:t xml:space="preserve"> in POLARIS-1, the most common prior NS5A inhibitors were ledipasvir (LDV) (51%), daclatasvir (27%), and ombitasvir (11%).</w:t>
      </w:r>
    </w:p>
    <w:p w:rsidR="004952A5" w:rsidRPr="00705DA3" w:rsidRDefault="004952A5" w:rsidP="007F51FE">
      <w:pPr>
        <w:spacing w:before="120" w:after="240" w:line="240" w:lineRule="auto"/>
        <w:rPr>
          <w:rFonts w:ascii="Times New Roman" w:hAnsi="Times New Roman" w:cs="Times New Roman"/>
          <w:sz w:val="24"/>
          <w:szCs w:val="24"/>
        </w:rPr>
      </w:pPr>
      <w:r w:rsidRPr="00705DA3">
        <w:rPr>
          <w:rFonts w:ascii="Times New Roman" w:hAnsi="Times New Roman" w:cs="Times New Roman"/>
          <w:sz w:val="24"/>
          <w:szCs w:val="24"/>
        </w:rPr>
        <w:t xml:space="preserve">Table </w:t>
      </w:r>
      <w:r w:rsidR="00C055E8">
        <w:rPr>
          <w:rFonts w:ascii="Times New Roman" w:hAnsi="Times New Roman" w:cs="Times New Roman"/>
          <w:sz w:val="24"/>
          <w:szCs w:val="24"/>
        </w:rPr>
        <w:t>14</w:t>
      </w:r>
      <w:r w:rsidRPr="00705DA3">
        <w:rPr>
          <w:rFonts w:ascii="Times New Roman" w:hAnsi="Times New Roman" w:cs="Times New Roman"/>
          <w:sz w:val="24"/>
          <w:szCs w:val="24"/>
        </w:rPr>
        <w:t xml:space="preserve"> presents the SVR12 by HCV genotype for the POLARIS-1 trial. No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in the placebo group achieved SVR4.</w:t>
      </w:r>
    </w:p>
    <w:p w:rsidR="004952A5" w:rsidRPr="00525F08" w:rsidRDefault="004952A5" w:rsidP="004952A5">
      <w:pPr>
        <w:pStyle w:val="Caption"/>
        <w:rPr>
          <w:szCs w:val="24"/>
        </w:rPr>
      </w:pPr>
      <w:bookmarkStart w:id="7" w:name="_Ref434241969"/>
      <w:bookmarkStart w:id="8" w:name="_Toc426372112"/>
      <w:bookmarkStart w:id="9" w:name="_Toc434324431"/>
      <w:r w:rsidRPr="00525F08">
        <w:rPr>
          <w:szCs w:val="24"/>
        </w:rPr>
        <w:t>Table </w:t>
      </w:r>
      <w:bookmarkEnd w:id="7"/>
      <w:r w:rsidR="00C055E8">
        <w:rPr>
          <w:szCs w:val="24"/>
        </w:rPr>
        <w:t>14</w:t>
      </w:r>
      <w:r w:rsidRPr="00525F08">
        <w:rPr>
          <w:szCs w:val="24"/>
        </w:rPr>
        <w:tab/>
      </w:r>
      <w:bookmarkEnd w:id="8"/>
      <w:bookmarkEnd w:id="9"/>
      <w:r w:rsidRPr="00525F08">
        <w:rPr>
          <w:bCs/>
          <w:szCs w:val="24"/>
        </w:rPr>
        <w:t>SVR12 by HCV Genotype in Study POLARIS-1</w:t>
      </w:r>
    </w:p>
    <w:tbl>
      <w:tblPr>
        <w:tblW w:w="5000" w:type="pct"/>
        <w:tblCellMar>
          <w:left w:w="60" w:type="dxa"/>
          <w:right w:w="60" w:type="dxa"/>
        </w:tblCellMar>
        <w:tblLook w:val="0000" w:firstRow="0" w:lastRow="0" w:firstColumn="0" w:lastColumn="0" w:noHBand="0" w:noVBand="0"/>
      </w:tblPr>
      <w:tblGrid>
        <w:gridCol w:w="1435"/>
        <w:gridCol w:w="1001"/>
        <w:gridCol w:w="863"/>
        <w:gridCol w:w="863"/>
        <w:gridCol w:w="944"/>
        <w:gridCol w:w="798"/>
        <w:gridCol w:w="798"/>
        <w:gridCol w:w="832"/>
        <w:gridCol w:w="807"/>
        <w:gridCol w:w="805"/>
      </w:tblGrid>
      <w:tr w:rsidR="004952A5" w:rsidRPr="00525F08" w:rsidTr="005C0C71">
        <w:trPr>
          <w:cantSplit/>
          <w:trHeight w:val="307"/>
        </w:trPr>
        <w:tc>
          <w:tcPr>
            <w:tcW w:w="785" w:type="pct"/>
            <w:vMerge w:val="restart"/>
            <w:tcBorders>
              <w:top w:val="single" w:sz="12"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c>
          <w:tcPr>
            <w:tcW w:w="4215" w:type="pct"/>
            <w:gridSpan w:val="9"/>
            <w:tcBorders>
              <w:top w:val="single" w:sz="12" w:space="0" w:color="auto"/>
            </w:tcBorders>
            <w:vAlign w:val="center"/>
          </w:tcPr>
          <w:p w:rsidR="004952A5" w:rsidRPr="00705DA3" w:rsidRDefault="004952A5" w:rsidP="005C0C71">
            <w:pPr>
              <w:jc w:val="center"/>
              <w:rPr>
                <w:rFonts w:ascii="Times New Roman" w:hAnsi="Times New Roman" w:cs="Times New Roman"/>
                <w:b/>
                <w:sz w:val="20"/>
              </w:rPr>
            </w:pPr>
            <w:r w:rsidRPr="00705DA3">
              <w:rPr>
                <w:rFonts w:ascii="Times New Roman" w:hAnsi="Times New Roman" w:cs="Times New Roman"/>
                <w:b/>
                <w:sz w:val="20"/>
              </w:rPr>
              <w:t>VOSEVI 12 Weeks</w:t>
            </w:r>
          </w:p>
          <w:p w:rsidR="004952A5" w:rsidRPr="00705DA3" w:rsidRDefault="004952A5" w:rsidP="005C0C71">
            <w:pPr>
              <w:jc w:val="center"/>
              <w:rPr>
                <w:rFonts w:ascii="Times New Roman" w:hAnsi="Times New Roman" w:cs="Times New Roman"/>
                <w:b/>
                <w:sz w:val="20"/>
              </w:rPr>
            </w:pPr>
            <w:r w:rsidRPr="00705DA3">
              <w:rPr>
                <w:rFonts w:ascii="Times New Roman" w:hAnsi="Times New Roman" w:cs="Times New Roman"/>
                <w:b/>
                <w:sz w:val="20"/>
              </w:rPr>
              <w:t>(N=263)</w:t>
            </w:r>
          </w:p>
        </w:tc>
      </w:tr>
      <w:tr w:rsidR="004952A5" w:rsidRPr="00525F08" w:rsidTr="005C0C71">
        <w:trPr>
          <w:cantSplit/>
          <w:trHeight w:val="20"/>
        </w:trPr>
        <w:tc>
          <w:tcPr>
            <w:tcW w:w="785" w:type="pct"/>
            <w:vMerge/>
            <w:tcBorders>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c>
          <w:tcPr>
            <w:tcW w:w="547" w:type="pct"/>
            <w:vMerge w:val="restart"/>
            <w:tcBorders>
              <w:top w:val="single" w:sz="4"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Total</w:t>
            </w:r>
            <w:r w:rsidRPr="00705DA3">
              <w:rPr>
                <w:rFonts w:ascii="Times New Roman" w:eastAsia="Arial Unicode MS" w:hAnsi="Times New Roman" w:cs="Times New Roman"/>
                <w:b/>
                <w:color w:val="000000" w:themeColor="text1"/>
                <w:sz w:val="20"/>
              </w:rPr>
              <w:br/>
              <w:t>(all GTs)</w:t>
            </w:r>
            <w:r w:rsidRPr="00705DA3">
              <w:rPr>
                <w:rFonts w:ascii="Times New Roman" w:eastAsia="Arial Unicode MS" w:hAnsi="Times New Roman" w:cs="Times New Roman"/>
                <w:b/>
                <w:color w:val="000000" w:themeColor="text1"/>
                <w:sz w:val="20"/>
                <w:vertAlign w:val="superscript"/>
              </w:rPr>
              <w:t>a</w:t>
            </w:r>
            <w:r w:rsidRPr="00705DA3">
              <w:rPr>
                <w:rFonts w:ascii="Times New Roman" w:eastAsia="Arial Unicode MS" w:hAnsi="Times New Roman" w:cs="Times New Roman"/>
                <w:b/>
                <w:color w:val="000000" w:themeColor="text1"/>
                <w:sz w:val="20"/>
              </w:rPr>
              <w:t xml:space="preserve"> (N=263)</w:t>
            </w:r>
          </w:p>
        </w:tc>
        <w:tc>
          <w:tcPr>
            <w:tcW w:w="1460" w:type="pct"/>
            <w:gridSpan w:val="3"/>
            <w:tcBorders>
              <w:top w:val="single" w:sz="4" w:space="0" w:color="auto"/>
              <w:bottom w:val="single" w:sz="4"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vertAlign w:val="superscript"/>
              </w:rPr>
            </w:pPr>
            <w:r w:rsidRPr="00705DA3">
              <w:rPr>
                <w:rFonts w:ascii="Times New Roman" w:eastAsia="Arial Unicode MS" w:hAnsi="Times New Roman" w:cs="Times New Roman"/>
                <w:b/>
                <w:color w:val="000000" w:themeColor="text1"/>
                <w:sz w:val="20"/>
              </w:rPr>
              <w:t>GT-1</w:t>
            </w:r>
          </w:p>
        </w:tc>
        <w:tc>
          <w:tcPr>
            <w:tcW w:w="436" w:type="pct"/>
            <w:vMerge w:val="restart"/>
            <w:tcBorders>
              <w:top w:val="single" w:sz="4" w:space="0" w:color="auto"/>
              <w:left w:val="single" w:sz="4"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GT-2 (N=5)</w:t>
            </w:r>
          </w:p>
        </w:tc>
        <w:tc>
          <w:tcPr>
            <w:tcW w:w="436" w:type="pct"/>
            <w:vMerge w:val="restart"/>
            <w:tcBorders>
              <w:top w:val="single" w:sz="4" w:space="0" w:color="auto"/>
              <w:lef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GT-3 (N=78)</w:t>
            </w:r>
          </w:p>
        </w:tc>
        <w:tc>
          <w:tcPr>
            <w:tcW w:w="455" w:type="pct"/>
            <w:vMerge w:val="restart"/>
            <w:tcBorders>
              <w:top w:val="single" w:sz="4" w:space="0" w:color="auto"/>
              <w:lef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GT-4 (N=22)</w:t>
            </w:r>
          </w:p>
        </w:tc>
        <w:tc>
          <w:tcPr>
            <w:tcW w:w="441" w:type="pct"/>
            <w:vMerge w:val="restart"/>
            <w:tcBorders>
              <w:top w:val="single" w:sz="4" w:space="0" w:color="auto"/>
              <w:lef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GT-5 (N=1)</w:t>
            </w:r>
          </w:p>
        </w:tc>
        <w:tc>
          <w:tcPr>
            <w:tcW w:w="441" w:type="pct"/>
            <w:vMerge w:val="restart"/>
            <w:tcBorders>
              <w:top w:val="single" w:sz="4" w:space="0" w:color="auto"/>
              <w:lef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 xml:space="preserve">GT-6 </w:t>
            </w:r>
            <w:r w:rsidRPr="00705DA3">
              <w:rPr>
                <w:rFonts w:ascii="Times New Roman" w:eastAsia="Arial Unicode MS" w:hAnsi="Times New Roman" w:cs="Times New Roman"/>
                <w:b/>
                <w:color w:val="000000" w:themeColor="text1"/>
                <w:sz w:val="20"/>
              </w:rPr>
              <w:br/>
              <w:t>(N=6)</w:t>
            </w:r>
          </w:p>
        </w:tc>
      </w:tr>
      <w:tr w:rsidR="004952A5" w:rsidRPr="00525F08" w:rsidTr="005C0C71">
        <w:trPr>
          <w:cantSplit/>
          <w:trHeight w:val="20"/>
        </w:trPr>
        <w:tc>
          <w:tcPr>
            <w:tcW w:w="785" w:type="pct"/>
            <w:vMerge/>
            <w:tcBorders>
              <w:bottom w:val="single" w:sz="12"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c>
          <w:tcPr>
            <w:tcW w:w="547" w:type="pct"/>
            <w:vMerge/>
            <w:tcBorders>
              <w:bottom w:val="single" w:sz="12" w:space="0" w:color="auto"/>
              <w:right w:val="single" w:sz="4" w:space="0" w:color="auto"/>
            </w:tcBorders>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c>
          <w:tcPr>
            <w:tcW w:w="472" w:type="pct"/>
            <w:tcBorders>
              <w:top w:val="single" w:sz="4" w:space="0" w:color="auto"/>
              <w:bottom w:val="single" w:sz="12"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GT-1a (N=101)</w:t>
            </w:r>
          </w:p>
        </w:tc>
        <w:tc>
          <w:tcPr>
            <w:tcW w:w="472" w:type="pct"/>
            <w:tcBorders>
              <w:top w:val="single" w:sz="4" w:space="0" w:color="auto"/>
              <w:bottom w:val="single" w:sz="12"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GT-1b (N=45)</w:t>
            </w:r>
          </w:p>
        </w:tc>
        <w:tc>
          <w:tcPr>
            <w:tcW w:w="515" w:type="pct"/>
            <w:tcBorders>
              <w:top w:val="single" w:sz="4" w:space="0" w:color="auto"/>
              <w:left w:val="single" w:sz="4" w:space="0" w:color="auto"/>
              <w:bottom w:val="single" w:sz="12"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r w:rsidRPr="00705DA3">
              <w:rPr>
                <w:rFonts w:ascii="Times New Roman" w:eastAsia="Arial Unicode MS" w:hAnsi="Times New Roman" w:cs="Times New Roman"/>
                <w:b/>
                <w:color w:val="000000" w:themeColor="text1"/>
                <w:sz w:val="20"/>
              </w:rPr>
              <w:t>Total</w:t>
            </w:r>
            <w:r w:rsidRPr="00705DA3">
              <w:rPr>
                <w:rFonts w:ascii="Times New Roman" w:eastAsia="Arial Unicode MS" w:hAnsi="Times New Roman" w:cs="Times New Roman"/>
                <w:b/>
                <w:color w:val="000000" w:themeColor="text1"/>
                <w:sz w:val="20"/>
                <w:vertAlign w:val="superscript"/>
              </w:rPr>
              <w:t>b</w:t>
            </w:r>
            <w:r w:rsidRPr="00705DA3">
              <w:rPr>
                <w:rFonts w:ascii="Times New Roman" w:eastAsia="Arial Unicode MS" w:hAnsi="Times New Roman" w:cs="Times New Roman"/>
                <w:b/>
                <w:color w:val="000000" w:themeColor="text1"/>
                <w:sz w:val="20"/>
              </w:rPr>
              <w:t xml:space="preserve"> (N=150)</w:t>
            </w:r>
          </w:p>
        </w:tc>
        <w:tc>
          <w:tcPr>
            <w:tcW w:w="436" w:type="pct"/>
            <w:vMerge/>
            <w:tcBorders>
              <w:left w:val="single" w:sz="4" w:space="0" w:color="auto"/>
              <w:bottom w:val="single" w:sz="12" w:space="0" w:color="auto"/>
              <w:right w:val="single" w:sz="4"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c>
          <w:tcPr>
            <w:tcW w:w="436" w:type="pct"/>
            <w:vMerge/>
            <w:tcBorders>
              <w:left w:val="single" w:sz="4" w:space="0" w:color="auto"/>
              <w:bottom w:val="single" w:sz="12"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c>
          <w:tcPr>
            <w:tcW w:w="455" w:type="pct"/>
            <w:vMerge/>
            <w:tcBorders>
              <w:left w:val="single" w:sz="4" w:space="0" w:color="auto"/>
              <w:bottom w:val="single" w:sz="12"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c>
          <w:tcPr>
            <w:tcW w:w="441" w:type="pct"/>
            <w:vMerge/>
            <w:tcBorders>
              <w:left w:val="single" w:sz="4" w:space="0" w:color="auto"/>
              <w:bottom w:val="single" w:sz="12"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c>
          <w:tcPr>
            <w:tcW w:w="441" w:type="pct"/>
            <w:vMerge/>
            <w:tcBorders>
              <w:left w:val="single" w:sz="4" w:space="0" w:color="auto"/>
              <w:bottom w:val="single" w:sz="12" w:space="0" w:color="auto"/>
            </w:tcBorders>
            <w:vAlign w:val="bottom"/>
          </w:tcPr>
          <w:p w:rsidR="004952A5" w:rsidRPr="00705DA3" w:rsidRDefault="004952A5" w:rsidP="005C0C71">
            <w:pPr>
              <w:spacing w:before="50" w:after="50"/>
              <w:jc w:val="center"/>
              <w:rPr>
                <w:rFonts w:ascii="Times New Roman" w:eastAsia="Arial Unicode MS" w:hAnsi="Times New Roman" w:cs="Times New Roman"/>
                <w:b/>
                <w:color w:val="000000" w:themeColor="text1"/>
                <w:sz w:val="20"/>
              </w:rPr>
            </w:pPr>
          </w:p>
        </w:tc>
      </w:tr>
      <w:tr w:rsidR="004952A5" w:rsidRPr="00525F08" w:rsidTr="005C0C71">
        <w:trPr>
          <w:cantSplit/>
          <w:trHeight w:val="20"/>
        </w:trPr>
        <w:tc>
          <w:tcPr>
            <w:tcW w:w="785" w:type="pct"/>
            <w:tcBorders>
              <w:top w:val="single" w:sz="12" w:space="0" w:color="auto"/>
              <w:bottom w:val="single" w:sz="12" w:space="0" w:color="auto"/>
              <w:right w:val="single" w:sz="4" w:space="0" w:color="auto"/>
            </w:tcBorders>
            <w:vAlign w:val="center"/>
          </w:tcPr>
          <w:p w:rsidR="004952A5" w:rsidRPr="00705DA3" w:rsidRDefault="004952A5" w:rsidP="005C0C71">
            <w:pPr>
              <w:spacing w:before="50" w:after="50"/>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SVR12</w:t>
            </w:r>
          </w:p>
        </w:tc>
        <w:tc>
          <w:tcPr>
            <w:tcW w:w="547" w:type="pct"/>
            <w:tcBorders>
              <w:top w:val="single" w:sz="12"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96% (253/263)</w:t>
            </w:r>
          </w:p>
        </w:tc>
        <w:tc>
          <w:tcPr>
            <w:tcW w:w="472" w:type="pct"/>
            <w:tcBorders>
              <w:top w:val="single" w:sz="12"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96% (97/101)</w:t>
            </w:r>
          </w:p>
        </w:tc>
        <w:tc>
          <w:tcPr>
            <w:tcW w:w="472" w:type="pct"/>
            <w:tcBorders>
              <w:top w:val="single" w:sz="12"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100% (45/45)</w:t>
            </w:r>
          </w:p>
        </w:tc>
        <w:tc>
          <w:tcPr>
            <w:tcW w:w="515" w:type="pct"/>
            <w:tcBorders>
              <w:top w:val="single" w:sz="12" w:space="0" w:color="auto"/>
              <w:left w:val="single" w:sz="4"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97% (146/150)</w:t>
            </w:r>
          </w:p>
        </w:tc>
        <w:tc>
          <w:tcPr>
            <w:tcW w:w="436" w:type="pct"/>
            <w:tcBorders>
              <w:top w:val="single" w:sz="12" w:space="0" w:color="auto"/>
              <w:left w:val="single" w:sz="4"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100% (5/5)</w:t>
            </w:r>
          </w:p>
        </w:tc>
        <w:tc>
          <w:tcPr>
            <w:tcW w:w="436" w:type="pct"/>
            <w:tcBorders>
              <w:top w:val="single" w:sz="12" w:space="0" w:color="auto"/>
              <w:left w:val="single" w:sz="4" w:space="0" w:color="auto"/>
              <w:bottom w:val="single" w:sz="12"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95% (74/78)</w:t>
            </w:r>
          </w:p>
        </w:tc>
        <w:tc>
          <w:tcPr>
            <w:tcW w:w="455" w:type="pct"/>
            <w:tcBorders>
              <w:top w:val="single" w:sz="12" w:space="0" w:color="auto"/>
              <w:left w:val="single" w:sz="4" w:space="0" w:color="auto"/>
              <w:bottom w:val="single" w:sz="12"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91% (20/22)</w:t>
            </w:r>
          </w:p>
        </w:tc>
        <w:tc>
          <w:tcPr>
            <w:tcW w:w="441" w:type="pct"/>
            <w:tcBorders>
              <w:top w:val="single" w:sz="12" w:space="0" w:color="auto"/>
              <w:left w:val="single" w:sz="4" w:space="0" w:color="auto"/>
              <w:bottom w:val="single" w:sz="12"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100% (1/1)</w:t>
            </w:r>
          </w:p>
        </w:tc>
        <w:tc>
          <w:tcPr>
            <w:tcW w:w="441" w:type="pct"/>
            <w:tcBorders>
              <w:top w:val="single" w:sz="12" w:space="0" w:color="auto"/>
              <w:left w:val="single" w:sz="4" w:space="0" w:color="auto"/>
              <w:bottom w:val="single" w:sz="12"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100%</w:t>
            </w:r>
            <w:r w:rsidRPr="00705DA3">
              <w:rPr>
                <w:rFonts w:ascii="Times New Roman" w:eastAsia="Arial Unicode MS" w:hAnsi="Times New Roman" w:cs="Times New Roman"/>
                <w:color w:val="000000" w:themeColor="text1"/>
                <w:sz w:val="20"/>
              </w:rPr>
              <w:br/>
              <w:t>(6/6)</w:t>
            </w:r>
          </w:p>
        </w:tc>
      </w:tr>
      <w:tr w:rsidR="004952A5" w:rsidRPr="00525F08" w:rsidTr="005C0C71">
        <w:trPr>
          <w:cantSplit/>
          <w:trHeight w:val="20"/>
        </w:trPr>
        <w:tc>
          <w:tcPr>
            <w:tcW w:w="5000" w:type="pct"/>
            <w:gridSpan w:val="10"/>
            <w:tcBorders>
              <w:top w:val="single" w:sz="12" w:space="0" w:color="auto"/>
              <w:bottom w:val="single" w:sz="12" w:space="0" w:color="auto"/>
            </w:tcBorders>
            <w:vAlign w:val="center"/>
          </w:tcPr>
          <w:p w:rsidR="004952A5" w:rsidRPr="00705DA3" w:rsidRDefault="004952A5" w:rsidP="005C0C71">
            <w:pPr>
              <w:spacing w:before="50" w:after="50"/>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 xml:space="preserve">Outcome for </w:t>
            </w:r>
            <w:r w:rsidRPr="00705DA3">
              <w:rPr>
                <w:rFonts w:ascii="Times New Roman" w:hAnsi="Times New Roman" w:cs="Times New Roman"/>
                <w:bCs/>
                <w:sz w:val="20"/>
              </w:rPr>
              <w:t>patients</w:t>
            </w:r>
            <w:r w:rsidRPr="00705DA3">
              <w:rPr>
                <w:rFonts w:ascii="Times New Roman" w:eastAsia="Arial Unicode MS" w:hAnsi="Times New Roman" w:cs="Times New Roman"/>
                <w:color w:val="000000" w:themeColor="text1"/>
                <w:sz w:val="20"/>
              </w:rPr>
              <w:t xml:space="preserve"> without SVR</w:t>
            </w:r>
          </w:p>
        </w:tc>
      </w:tr>
      <w:tr w:rsidR="004952A5" w:rsidRPr="00525F08" w:rsidTr="005C0C71">
        <w:trPr>
          <w:cantSplit/>
          <w:trHeight w:val="20"/>
        </w:trPr>
        <w:tc>
          <w:tcPr>
            <w:tcW w:w="785" w:type="pct"/>
            <w:tcBorders>
              <w:top w:val="single" w:sz="12" w:space="0" w:color="auto"/>
              <w:bottom w:val="single" w:sz="4" w:space="0" w:color="auto"/>
              <w:right w:val="single" w:sz="4" w:space="0" w:color="auto"/>
            </w:tcBorders>
            <w:vAlign w:val="center"/>
          </w:tcPr>
          <w:p w:rsidR="004952A5" w:rsidRPr="00705DA3" w:rsidRDefault="004952A5" w:rsidP="005C0C71">
            <w:pPr>
              <w:spacing w:before="50" w:after="50"/>
              <w:ind w:left="180"/>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 xml:space="preserve">On-Treatment Virologic Failure </w:t>
            </w:r>
          </w:p>
        </w:tc>
        <w:tc>
          <w:tcPr>
            <w:tcW w:w="547" w:type="pct"/>
            <w:tcBorders>
              <w:top w:val="single" w:sz="12"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&lt;1%</w:t>
            </w:r>
            <w:r w:rsidRPr="00705DA3">
              <w:rPr>
                <w:rFonts w:ascii="Times New Roman" w:eastAsia="Arial Unicode MS" w:hAnsi="Times New Roman" w:cs="Times New Roman"/>
                <w:color w:val="000000" w:themeColor="text1"/>
                <w:sz w:val="20"/>
              </w:rPr>
              <w:br/>
              <w:t>(1/263)</w:t>
            </w:r>
          </w:p>
        </w:tc>
        <w:tc>
          <w:tcPr>
            <w:tcW w:w="472" w:type="pct"/>
            <w:tcBorders>
              <w:top w:val="single" w:sz="12"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w:t>
            </w:r>
            <w:r w:rsidRPr="00705DA3">
              <w:rPr>
                <w:rFonts w:ascii="Times New Roman" w:eastAsia="Arial Unicode MS" w:hAnsi="Times New Roman" w:cs="Times New Roman"/>
                <w:color w:val="000000" w:themeColor="text1"/>
                <w:sz w:val="20"/>
              </w:rPr>
              <w:br/>
              <w:t>(1/101)</w:t>
            </w:r>
          </w:p>
        </w:tc>
        <w:tc>
          <w:tcPr>
            <w:tcW w:w="472" w:type="pct"/>
            <w:tcBorders>
              <w:top w:val="single" w:sz="12"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0/45</w:t>
            </w:r>
          </w:p>
        </w:tc>
        <w:tc>
          <w:tcPr>
            <w:tcW w:w="515" w:type="pct"/>
            <w:tcBorders>
              <w:top w:val="single" w:sz="12" w:space="0" w:color="auto"/>
              <w:left w:val="single" w:sz="4"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w:t>
            </w:r>
            <w:r w:rsidRPr="00705DA3">
              <w:rPr>
                <w:rFonts w:ascii="Times New Roman" w:eastAsia="Arial Unicode MS" w:hAnsi="Times New Roman" w:cs="Times New Roman"/>
                <w:color w:val="000000" w:themeColor="text1"/>
                <w:sz w:val="20"/>
              </w:rPr>
              <w:br/>
              <w:t>(1/150)</w:t>
            </w:r>
          </w:p>
        </w:tc>
        <w:tc>
          <w:tcPr>
            <w:tcW w:w="436" w:type="pct"/>
            <w:tcBorders>
              <w:top w:val="single" w:sz="12" w:space="0" w:color="auto"/>
              <w:left w:val="single" w:sz="4"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0/5</w:t>
            </w:r>
          </w:p>
        </w:tc>
        <w:tc>
          <w:tcPr>
            <w:tcW w:w="436" w:type="pct"/>
            <w:tcBorders>
              <w:top w:val="single" w:sz="12" w:space="0" w:color="auto"/>
              <w:left w:val="single" w:sz="4" w:space="0" w:color="auto"/>
              <w:bottom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0/78</w:t>
            </w:r>
          </w:p>
        </w:tc>
        <w:tc>
          <w:tcPr>
            <w:tcW w:w="455" w:type="pct"/>
            <w:tcBorders>
              <w:top w:val="single" w:sz="12" w:space="0" w:color="auto"/>
              <w:left w:val="single" w:sz="4" w:space="0" w:color="auto"/>
              <w:bottom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0/22</w:t>
            </w:r>
          </w:p>
        </w:tc>
        <w:tc>
          <w:tcPr>
            <w:tcW w:w="441" w:type="pct"/>
            <w:tcBorders>
              <w:top w:val="single" w:sz="12" w:space="0" w:color="auto"/>
              <w:left w:val="single" w:sz="4" w:space="0" w:color="auto"/>
              <w:bottom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0/1</w:t>
            </w:r>
          </w:p>
        </w:tc>
        <w:tc>
          <w:tcPr>
            <w:tcW w:w="441" w:type="pct"/>
            <w:tcBorders>
              <w:top w:val="single" w:sz="12" w:space="0" w:color="auto"/>
              <w:left w:val="single" w:sz="4" w:space="0" w:color="auto"/>
              <w:bottom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0/6</w:t>
            </w:r>
          </w:p>
        </w:tc>
      </w:tr>
      <w:tr w:rsidR="004952A5" w:rsidRPr="00525F08" w:rsidTr="005C0C71">
        <w:trPr>
          <w:cantSplit/>
          <w:trHeight w:val="20"/>
        </w:trPr>
        <w:tc>
          <w:tcPr>
            <w:tcW w:w="785" w:type="pct"/>
            <w:tcBorders>
              <w:top w:val="single" w:sz="4" w:space="0" w:color="auto"/>
              <w:bottom w:val="single" w:sz="4" w:space="0" w:color="auto"/>
              <w:right w:val="single" w:sz="4" w:space="0" w:color="auto"/>
            </w:tcBorders>
            <w:vAlign w:val="center"/>
          </w:tcPr>
          <w:p w:rsidR="004952A5" w:rsidRPr="00705DA3" w:rsidRDefault="004952A5" w:rsidP="005C0C71">
            <w:pPr>
              <w:spacing w:before="50" w:after="50"/>
              <w:ind w:left="180"/>
              <w:rPr>
                <w:rFonts w:ascii="Times New Roman" w:eastAsia="Arial Unicode MS" w:hAnsi="Times New Roman" w:cs="Times New Roman"/>
                <w:color w:val="000000" w:themeColor="text1"/>
                <w:sz w:val="20"/>
                <w:vertAlign w:val="superscript"/>
              </w:rPr>
            </w:pPr>
            <w:r w:rsidRPr="00705DA3">
              <w:rPr>
                <w:rFonts w:ascii="Times New Roman" w:eastAsia="Arial Unicode MS" w:hAnsi="Times New Roman" w:cs="Times New Roman"/>
                <w:color w:val="000000" w:themeColor="text1"/>
                <w:sz w:val="20"/>
              </w:rPr>
              <w:t>Relapse</w:t>
            </w:r>
            <w:r w:rsidRPr="00705DA3">
              <w:rPr>
                <w:rFonts w:ascii="Times New Roman" w:eastAsia="Arial Unicode MS" w:hAnsi="Times New Roman" w:cs="Times New Roman"/>
                <w:color w:val="000000" w:themeColor="text1"/>
                <w:sz w:val="20"/>
                <w:vertAlign w:val="superscript"/>
              </w:rPr>
              <w:t>c</w:t>
            </w:r>
          </w:p>
        </w:tc>
        <w:tc>
          <w:tcPr>
            <w:tcW w:w="547" w:type="pct"/>
            <w:tcBorders>
              <w:top w:val="single" w:sz="4"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2%</w:t>
            </w:r>
            <w:r w:rsidRPr="00705DA3">
              <w:rPr>
                <w:rFonts w:ascii="Times New Roman" w:eastAsia="Arial Unicode MS" w:hAnsi="Times New Roman" w:cs="Times New Roman"/>
                <w:color w:val="000000" w:themeColor="text1"/>
                <w:sz w:val="20"/>
              </w:rPr>
              <w:br/>
              <w:t>(6/261)</w:t>
            </w:r>
          </w:p>
        </w:tc>
        <w:tc>
          <w:tcPr>
            <w:tcW w:w="472" w:type="pct"/>
            <w:tcBorders>
              <w:top w:val="single" w:sz="4"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w:t>
            </w:r>
            <w:r w:rsidRPr="00705DA3">
              <w:rPr>
                <w:rFonts w:ascii="Times New Roman" w:eastAsia="Arial Unicode MS" w:hAnsi="Times New Roman" w:cs="Times New Roman"/>
                <w:color w:val="000000" w:themeColor="text1"/>
                <w:sz w:val="20"/>
              </w:rPr>
              <w:br/>
              <w:t>(1/100)</w:t>
            </w:r>
          </w:p>
        </w:tc>
        <w:tc>
          <w:tcPr>
            <w:tcW w:w="472" w:type="pct"/>
            <w:tcBorders>
              <w:top w:val="single" w:sz="4"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0/45</w:t>
            </w:r>
          </w:p>
        </w:tc>
        <w:tc>
          <w:tcPr>
            <w:tcW w:w="515" w:type="pct"/>
            <w:tcBorders>
              <w:top w:val="single" w:sz="4" w:space="0" w:color="auto"/>
              <w:left w:val="single" w:sz="4"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w:t>
            </w:r>
            <w:r w:rsidRPr="00705DA3">
              <w:rPr>
                <w:rFonts w:ascii="Times New Roman" w:eastAsia="Arial Unicode MS" w:hAnsi="Times New Roman" w:cs="Times New Roman"/>
                <w:color w:val="000000" w:themeColor="text1"/>
                <w:sz w:val="20"/>
              </w:rPr>
              <w:br/>
              <w:t>(1/149)</w:t>
            </w:r>
          </w:p>
        </w:tc>
        <w:tc>
          <w:tcPr>
            <w:tcW w:w="436" w:type="pct"/>
            <w:tcBorders>
              <w:top w:val="single" w:sz="4" w:space="0" w:color="auto"/>
              <w:left w:val="single" w:sz="4" w:space="0" w:color="auto"/>
              <w:bottom w:val="single" w:sz="4"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0/5</w:t>
            </w:r>
          </w:p>
        </w:tc>
        <w:tc>
          <w:tcPr>
            <w:tcW w:w="436" w:type="pct"/>
            <w:tcBorders>
              <w:top w:val="single" w:sz="4" w:space="0" w:color="auto"/>
              <w:left w:val="single" w:sz="4" w:space="0" w:color="auto"/>
              <w:bottom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5%</w:t>
            </w:r>
            <w:r w:rsidRPr="00705DA3">
              <w:rPr>
                <w:rFonts w:ascii="Times New Roman" w:eastAsia="Arial Unicode MS" w:hAnsi="Times New Roman" w:cs="Times New Roman"/>
                <w:color w:val="000000" w:themeColor="text1"/>
                <w:sz w:val="20"/>
              </w:rPr>
              <w:br/>
              <w:t>(4/78)</w:t>
            </w:r>
          </w:p>
        </w:tc>
        <w:tc>
          <w:tcPr>
            <w:tcW w:w="455" w:type="pct"/>
            <w:tcBorders>
              <w:top w:val="single" w:sz="4" w:space="0" w:color="auto"/>
              <w:left w:val="single" w:sz="4" w:space="0" w:color="auto"/>
              <w:bottom w:val="single" w:sz="4" w:space="0" w:color="auto"/>
            </w:tcBorders>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5%</w:t>
            </w:r>
            <w:r w:rsidRPr="00705DA3">
              <w:rPr>
                <w:rFonts w:ascii="Times New Roman" w:eastAsia="Arial Unicode MS" w:hAnsi="Times New Roman" w:cs="Times New Roman"/>
                <w:color w:val="000000" w:themeColor="text1"/>
                <w:sz w:val="20"/>
              </w:rPr>
              <w:br/>
              <w:t>(1/21)</w:t>
            </w:r>
          </w:p>
        </w:tc>
        <w:tc>
          <w:tcPr>
            <w:tcW w:w="441" w:type="pct"/>
            <w:tcBorders>
              <w:top w:val="single" w:sz="4" w:space="0" w:color="auto"/>
              <w:left w:val="single" w:sz="4" w:space="0" w:color="auto"/>
              <w:bottom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0/1</w:t>
            </w:r>
          </w:p>
        </w:tc>
        <w:tc>
          <w:tcPr>
            <w:tcW w:w="441" w:type="pct"/>
            <w:tcBorders>
              <w:top w:val="single" w:sz="4" w:space="0" w:color="auto"/>
              <w:left w:val="single" w:sz="4" w:space="0" w:color="auto"/>
              <w:bottom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0/6</w:t>
            </w:r>
          </w:p>
        </w:tc>
      </w:tr>
      <w:tr w:rsidR="004952A5" w:rsidRPr="00525F08" w:rsidTr="005C0C71">
        <w:trPr>
          <w:cantSplit/>
          <w:trHeight w:val="20"/>
        </w:trPr>
        <w:tc>
          <w:tcPr>
            <w:tcW w:w="785" w:type="pct"/>
            <w:tcBorders>
              <w:top w:val="single" w:sz="4" w:space="0" w:color="auto"/>
              <w:bottom w:val="single" w:sz="12" w:space="0" w:color="auto"/>
              <w:right w:val="single" w:sz="4" w:space="0" w:color="auto"/>
            </w:tcBorders>
            <w:vAlign w:val="center"/>
          </w:tcPr>
          <w:p w:rsidR="004952A5" w:rsidRPr="00705DA3" w:rsidRDefault="004952A5" w:rsidP="005C0C71">
            <w:pPr>
              <w:spacing w:before="50" w:after="50"/>
              <w:ind w:left="180"/>
              <w:rPr>
                <w:rFonts w:ascii="Times New Roman" w:eastAsia="Arial Unicode MS" w:hAnsi="Times New Roman" w:cs="Times New Roman"/>
                <w:color w:val="000000" w:themeColor="text1"/>
                <w:sz w:val="20"/>
                <w:vertAlign w:val="superscript"/>
              </w:rPr>
            </w:pPr>
            <w:r w:rsidRPr="00705DA3">
              <w:rPr>
                <w:rFonts w:ascii="Times New Roman" w:eastAsia="Arial Unicode MS" w:hAnsi="Times New Roman" w:cs="Times New Roman"/>
                <w:color w:val="000000" w:themeColor="text1"/>
                <w:sz w:val="20"/>
              </w:rPr>
              <w:t>Other</w:t>
            </w:r>
            <w:r w:rsidRPr="00705DA3">
              <w:rPr>
                <w:rFonts w:ascii="Times New Roman" w:eastAsia="Arial Unicode MS" w:hAnsi="Times New Roman" w:cs="Times New Roman"/>
                <w:color w:val="000000" w:themeColor="text1"/>
                <w:sz w:val="20"/>
                <w:vertAlign w:val="superscript"/>
              </w:rPr>
              <w:t>d</w:t>
            </w:r>
          </w:p>
        </w:tc>
        <w:tc>
          <w:tcPr>
            <w:tcW w:w="547" w:type="pct"/>
            <w:tcBorders>
              <w:top w:val="single" w:sz="4"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w:t>
            </w:r>
            <w:r w:rsidRPr="00705DA3">
              <w:rPr>
                <w:rFonts w:ascii="Times New Roman" w:eastAsia="Arial Unicode MS" w:hAnsi="Times New Roman" w:cs="Times New Roman"/>
                <w:color w:val="000000" w:themeColor="text1"/>
                <w:sz w:val="20"/>
              </w:rPr>
              <w:br/>
              <w:t>(3/263)</w:t>
            </w:r>
          </w:p>
        </w:tc>
        <w:tc>
          <w:tcPr>
            <w:tcW w:w="472" w:type="pct"/>
            <w:tcBorders>
              <w:top w:val="single" w:sz="4"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2%</w:t>
            </w:r>
            <w:r w:rsidRPr="00705DA3">
              <w:rPr>
                <w:rFonts w:ascii="Times New Roman" w:eastAsia="Arial Unicode MS" w:hAnsi="Times New Roman" w:cs="Times New Roman"/>
                <w:color w:val="000000" w:themeColor="text1"/>
                <w:sz w:val="20"/>
              </w:rPr>
              <w:br/>
              <w:t>(2/101)</w:t>
            </w:r>
          </w:p>
        </w:tc>
        <w:tc>
          <w:tcPr>
            <w:tcW w:w="472" w:type="pct"/>
            <w:tcBorders>
              <w:top w:val="single" w:sz="4"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0/45</w:t>
            </w:r>
          </w:p>
        </w:tc>
        <w:tc>
          <w:tcPr>
            <w:tcW w:w="515" w:type="pct"/>
            <w:tcBorders>
              <w:top w:val="single" w:sz="4" w:space="0" w:color="auto"/>
              <w:left w:val="single" w:sz="4"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1%</w:t>
            </w:r>
            <w:r w:rsidRPr="00705DA3">
              <w:rPr>
                <w:rFonts w:ascii="Times New Roman" w:eastAsia="Arial Unicode MS" w:hAnsi="Times New Roman" w:cs="Times New Roman"/>
                <w:color w:val="000000" w:themeColor="text1"/>
                <w:sz w:val="20"/>
              </w:rPr>
              <w:br/>
              <w:t>(2/150)</w:t>
            </w:r>
          </w:p>
        </w:tc>
        <w:tc>
          <w:tcPr>
            <w:tcW w:w="436" w:type="pct"/>
            <w:tcBorders>
              <w:top w:val="single" w:sz="4" w:space="0" w:color="auto"/>
              <w:left w:val="single" w:sz="4" w:space="0" w:color="auto"/>
              <w:bottom w:val="single" w:sz="12" w:space="0" w:color="auto"/>
              <w:right w:val="single" w:sz="4"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0/5</w:t>
            </w:r>
          </w:p>
        </w:tc>
        <w:tc>
          <w:tcPr>
            <w:tcW w:w="436" w:type="pct"/>
            <w:tcBorders>
              <w:top w:val="single" w:sz="4" w:space="0" w:color="auto"/>
              <w:left w:val="single" w:sz="4" w:space="0" w:color="auto"/>
              <w:bottom w:val="single" w:sz="12"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0/78</w:t>
            </w:r>
          </w:p>
        </w:tc>
        <w:tc>
          <w:tcPr>
            <w:tcW w:w="455" w:type="pct"/>
            <w:tcBorders>
              <w:top w:val="single" w:sz="4" w:space="0" w:color="auto"/>
              <w:left w:val="single" w:sz="4" w:space="0" w:color="auto"/>
              <w:bottom w:val="single" w:sz="12" w:space="0" w:color="auto"/>
            </w:tcBorders>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5%</w:t>
            </w:r>
            <w:r w:rsidRPr="00705DA3">
              <w:rPr>
                <w:rFonts w:ascii="Times New Roman" w:eastAsia="Arial Unicode MS" w:hAnsi="Times New Roman" w:cs="Times New Roman"/>
                <w:color w:val="000000" w:themeColor="text1"/>
                <w:sz w:val="20"/>
              </w:rPr>
              <w:br/>
              <w:t>(1/22)</w:t>
            </w:r>
          </w:p>
        </w:tc>
        <w:tc>
          <w:tcPr>
            <w:tcW w:w="441" w:type="pct"/>
            <w:tcBorders>
              <w:top w:val="single" w:sz="4" w:space="0" w:color="auto"/>
              <w:left w:val="single" w:sz="4" w:space="0" w:color="auto"/>
              <w:bottom w:val="single" w:sz="12"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0/1</w:t>
            </w:r>
          </w:p>
        </w:tc>
        <w:tc>
          <w:tcPr>
            <w:tcW w:w="441" w:type="pct"/>
            <w:tcBorders>
              <w:top w:val="single" w:sz="4" w:space="0" w:color="auto"/>
              <w:left w:val="single" w:sz="4" w:space="0" w:color="auto"/>
              <w:bottom w:val="single" w:sz="12" w:space="0" w:color="auto"/>
            </w:tcBorders>
            <w:vAlign w:val="center"/>
          </w:tcPr>
          <w:p w:rsidR="004952A5" w:rsidRPr="00705DA3" w:rsidRDefault="004952A5" w:rsidP="005C0C71">
            <w:pPr>
              <w:spacing w:before="50" w:after="50"/>
              <w:jc w:val="center"/>
              <w:rPr>
                <w:rFonts w:ascii="Times New Roman" w:eastAsia="Arial Unicode MS" w:hAnsi="Times New Roman" w:cs="Times New Roman"/>
                <w:color w:val="000000" w:themeColor="text1"/>
                <w:sz w:val="20"/>
              </w:rPr>
            </w:pPr>
            <w:r w:rsidRPr="00705DA3">
              <w:rPr>
                <w:rFonts w:ascii="Times New Roman" w:eastAsia="Arial Unicode MS" w:hAnsi="Times New Roman" w:cs="Times New Roman"/>
                <w:color w:val="000000" w:themeColor="text1"/>
                <w:sz w:val="20"/>
              </w:rPr>
              <w:t>0/6</w:t>
            </w:r>
          </w:p>
        </w:tc>
      </w:tr>
    </w:tbl>
    <w:p w:rsidR="004952A5" w:rsidRPr="00705DA3" w:rsidRDefault="004952A5" w:rsidP="004952A5">
      <w:pPr>
        <w:tabs>
          <w:tab w:val="left" w:pos="270"/>
        </w:tabs>
        <w:ind w:left="270" w:hanging="270"/>
        <w:contextualSpacing/>
        <w:rPr>
          <w:rFonts w:ascii="Times New Roman" w:hAnsi="Times New Roman" w:cs="Times New Roman"/>
          <w:color w:val="000000" w:themeColor="text1"/>
          <w:sz w:val="16"/>
          <w:szCs w:val="16"/>
        </w:rPr>
      </w:pPr>
      <w:r w:rsidRPr="00705DA3">
        <w:rPr>
          <w:rFonts w:ascii="Times New Roman" w:hAnsi="Times New Roman" w:cs="Times New Roman"/>
          <w:color w:val="000000" w:themeColor="text1"/>
          <w:sz w:val="16"/>
          <w:szCs w:val="16"/>
        </w:rPr>
        <w:t>GT: genotype</w:t>
      </w:r>
    </w:p>
    <w:p w:rsidR="004952A5" w:rsidRPr="00705DA3" w:rsidRDefault="004952A5" w:rsidP="004952A5">
      <w:pPr>
        <w:tabs>
          <w:tab w:val="left" w:pos="270"/>
        </w:tabs>
        <w:ind w:left="270" w:hanging="270"/>
        <w:contextualSpacing/>
        <w:rPr>
          <w:rFonts w:ascii="Times New Roman" w:hAnsi="Times New Roman" w:cs="Times New Roman"/>
          <w:color w:val="000000" w:themeColor="text1"/>
          <w:sz w:val="16"/>
          <w:szCs w:val="16"/>
        </w:rPr>
      </w:pPr>
      <w:r w:rsidRPr="00705DA3">
        <w:rPr>
          <w:rFonts w:ascii="Times New Roman" w:hAnsi="Times New Roman" w:cs="Times New Roman"/>
          <w:color w:val="000000" w:themeColor="text1"/>
          <w:sz w:val="16"/>
          <w:szCs w:val="16"/>
        </w:rPr>
        <w:t>a.</w:t>
      </w:r>
      <w:r w:rsidRPr="00705DA3">
        <w:rPr>
          <w:rFonts w:ascii="Times New Roman" w:hAnsi="Times New Roman" w:cs="Times New Roman"/>
          <w:color w:val="000000" w:themeColor="text1"/>
          <w:sz w:val="16"/>
          <w:szCs w:val="16"/>
        </w:rPr>
        <w:tab/>
        <w:t xml:space="preserve">One </w:t>
      </w:r>
      <w:r w:rsidRPr="00705DA3">
        <w:rPr>
          <w:rFonts w:ascii="Times New Roman" w:hAnsi="Times New Roman" w:cs="Times New Roman"/>
          <w:bCs/>
          <w:sz w:val="16"/>
          <w:szCs w:val="16"/>
        </w:rPr>
        <w:t>patient</w:t>
      </w:r>
      <w:r w:rsidRPr="00705DA3">
        <w:rPr>
          <w:rFonts w:ascii="Times New Roman" w:hAnsi="Times New Roman" w:cs="Times New Roman"/>
          <w:color w:val="000000" w:themeColor="text1"/>
          <w:sz w:val="16"/>
          <w:szCs w:val="16"/>
        </w:rPr>
        <w:t xml:space="preserve"> with undetermined genotype achieved SVR12.</w:t>
      </w:r>
    </w:p>
    <w:p w:rsidR="004952A5" w:rsidRPr="00705DA3" w:rsidRDefault="004952A5" w:rsidP="004952A5">
      <w:pPr>
        <w:tabs>
          <w:tab w:val="left" w:pos="270"/>
        </w:tabs>
        <w:ind w:left="270" w:hanging="270"/>
        <w:contextualSpacing/>
        <w:rPr>
          <w:rFonts w:ascii="Times New Roman" w:hAnsi="Times New Roman" w:cs="Times New Roman"/>
          <w:color w:val="000000" w:themeColor="text1"/>
          <w:sz w:val="16"/>
          <w:szCs w:val="16"/>
        </w:rPr>
      </w:pPr>
      <w:r w:rsidRPr="00705DA3">
        <w:rPr>
          <w:rFonts w:ascii="Times New Roman" w:hAnsi="Times New Roman" w:cs="Times New Roman"/>
          <w:color w:val="000000" w:themeColor="text1"/>
          <w:sz w:val="16"/>
          <w:szCs w:val="16"/>
        </w:rPr>
        <w:t>b.</w:t>
      </w:r>
      <w:r w:rsidRPr="00705DA3">
        <w:rPr>
          <w:rFonts w:ascii="Times New Roman" w:hAnsi="Times New Roman" w:cs="Times New Roman"/>
          <w:color w:val="000000" w:themeColor="text1"/>
          <w:sz w:val="16"/>
          <w:szCs w:val="16"/>
        </w:rPr>
        <w:tab/>
        <w:t xml:space="preserve">Four </w:t>
      </w:r>
      <w:r w:rsidRPr="00705DA3">
        <w:rPr>
          <w:rFonts w:ascii="Times New Roman" w:hAnsi="Times New Roman" w:cs="Times New Roman"/>
          <w:bCs/>
          <w:sz w:val="16"/>
          <w:szCs w:val="16"/>
        </w:rPr>
        <w:t>patients</w:t>
      </w:r>
      <w:r w:rsidRPr="00705DA3">
        <w:rPr>
          <w:rFonts w:ascii="Times New Roman" w:hAnsi="Times New Roman" w:cs="Times New Roman"/>
          <w:color w:val="000000" w:themeColor="text1"/>
          <w:sz w:val="16"/>
          <w:szCs w:val="16"/>
        </w:rPr>
        <w:t xml:space="preserve"> had GT-1 subtypes other than GT-1a or GT-1b; all 4 patients achieved SVR12.</w:t>
      </w:r>
    </w:p>
    <w:p w:rsidR="004952A5" w:rsidRPr="00705DA3" w:rsidRDefault="004952A5" w:rsidP="004952A5">
      <w:pPr>
        <w:tabs>
          <w:tab w:val="left" w:pos="270"/>
        </w:tabs>
        <w:ind w:left="270" w:hanging="270"/>
        <w:contextualSpacing/>
        <w:rPr>
          <w:rFonts w:ascii="Times New Roman" w:hAnsi="Times New Roman" w:cs="Times New Roman"/>
          <w:color w:val="000000" w:themeColor="text1"/>
          <w:sz w:val="16"/>
          <w:szCs w:val="16"/>
        </w:rPr>
      </w:pPr>
      <w:r w:rsidRPr="00705DA3">
        <w:rPr>
          <w:rFonts w:ascii="Times New Roman" w:hAnsi="Times New Roman" w:cs="Times New Roman"/>
          <w:color w:val="000000" w:themeColor="text1"/>
          <w:sz w:val="16"/>
          <w:szCs w:val="16"/>
        </w:rPr>
        <w:t>c.</w:t>
      </w:r>
      <w:r w:rsidRPr="00705DA3">
        <w:rPr>
          <w:rFonts w:ascii="Times New Roman" w:hAnsi="Times New Roman" w:cs="Times New Roman"/>
          <w:color w:val="000000" w:themeColor="text1"/>
          <w:sz w:val="16"/>
          <w:szCs w:val="16"/>
        </w:rPr>
        <w:tab/>
        <w:t xml:space="preserve">The denominator for relapse is the number of </w:t>
      </w:r>
      <w:r w:rsidRPr="00705DA3">
        <w:rPr>
          <w:rFonts w:ascii="Times New Roman" w:hAnsi="Times New Roman" w:cs="Times New Roman"/>
          <w:bCs/>
          <w:sz w:val="16"/>
          <w:szCs w:val="16"/>
        </w:rPr>
        <w:t>patients</w:t>
      </w:r>
      <w:r w:rsidRPr="00705DA3">
        <w:rPr>
          <w:rFonts w:ascii="Times New Roman" w:hAnsi="Times New Roman" w:cs="Times New Roman"/>
          <w:color w:val="000000" w:themeColor="text1"/>
          <w:sz w:val="16"/>
          <w:szCs w:val="16"/>
        </w:rPr>
        <w:t xml:space="preserve"> with HCV RNA &lt;LLOQ at their last on-treatment assessment.</w:t>
      </w:r>
    </w:p>
    <w:p w:rsidR="004952A5" w:rsidRDefault="004952A5" w:rsidP="004952A5">
      <w:pPr>
        <w:tabs>
          <w:tab w:val="left" w:pos="270"/>
        </w:tabs>
        <w:ind w:left="270" w:hanging="270"/>
        <w:contextualSpacing/>
        <w:rPr>
          <w:rFonts w:ascii="Times New Roman" w:hAnsi="Times New Roman" w:cs="Times New Roman"/>
          <w:color w:val="000000" w:themeColor="text1"/>
          <w:sz w:val="16"/>
          <w:szCs w:val="16"/>
        </w:rPr>
      </w:pPr>
      <w:r w:rsidRPr="00705DA3">
        <w:rPr>
          <w:rFonts w:ascii="Times New Roman" w:hAnsi="Times New Roman" w:cs="Times New Roman"/>
          <w:color w:val="000000" w:themeColor="text1"/>
          <w:sz w:val="16"/>
          <w:szCs w:val="16"/>
        </w:rPr>
        <w:t>d.</w:t>
      </w:r>
      <w:r w:rsidRPr="00705DA3">
        <w:rPr>
          <w:rFonts w:ascii="Times New Roman" w:hAnsi="Times New Roman" w:cs="Times New Roman"/>
          <w:color w:val="000000" w:themeColor="text1"/>
          <w:sz w:val="16"/>
          <w:szCs w:val="16"/>
        </w:rPr>
        <w:tab/>
        <w:t xml:space="preserve">Other includes </w:t>
      </w:r>
      <w:r w:rsidRPr="00705DA3">
        <w:rPr>
          <w:rFonts w:ascii="Times New Roman" w:hAnsi="Times New Roman" w:cs="Times New Roman"/>
          <w:bCs/>
          <w:sz w:val="16"/>
          <w:szCs w:val="16"/>
        </w:rPr>
        <w:t>patients</w:t>
      </w:r>
      <w:r w:rsidRPr="00705DA3">
        <w:rPr>
          <w:rFonts w:ascii="Times New Roman" w:hAnsi="Times New Roman" w:cs="Times New Roman"/>
          <w:color w:val="000000" w:themeColor="text1"/>
          <w:sz w:val="16"/>
          <w:szCs w:val="16"/>
        </w:rPr>
        <w:t xml:space="preserve"> with missing data and those who discontinued treatment prior to virologic suppression.</w:t>
      </w:r>
    </w:p>
    <w:p w:rsidR="00040F26" w:rsidRPr="00705DA3" w:rsidRDefault="00040F26" w:rsidP="004952A5">
      <w:pPr>
        <w:tabs>
          <w:tab w:val="left" w:pos="270"/>
        </w:tabs>
        <w:ind w:left="270" w:hanging="270"/>
        <w:contextualSpacing/>
        <w:rPr>
          <w:rFonts w:ascii="Times New Roman" w:hAnsi="Times New Roman" w:cs="Times New Roman"/>
          <w:color w:val="000000" w:themeColor="text1"/>
          <w:sz w:val="16"/>
          <w:szCs w:val="16"/>
        </w:rPr>
      </w:pPr>
    </w:p>
    <w:p w:rsidR="004952A5" w:rsidRPr="00705DA3" w:rsidRDefault="004952A5" w:rsidP="00040F26">
      <w:pPr>
        <w:spacing w:before="120" w:after="240" w:line="240" w:lineRule="auto"/>
        <w:rPr>
          <w:rFonts w:ascii="Times New Roman" w:hAnsi="Times New Roman" w:cs="Times New Roman"/>
          <w:b/>
          <w:sz w:val="24"/>
          <w:szCs w:val="24"/>
        </w:rPr>
      </w:pPr>
      <w:r w:rsidRPr="00705DA3">
        <w:rPr>
          <w:rFonts w:ascii="Times New Roman" w:hAnsi="Times New Roman" w:cs="Times New Roman"/>
          <w:sz w:val="24"/>
          <w:szCs w:val="24"/>
        </w:rPr>
        <w:t>Treatment with VOSEVI for 12 weeks in POLARIS-1 was statistically superior relative to the prespecified performance goal of 85% (p &lt; 0.001).</w:t>
      </w:r>
    </w:p>
    <w:p w:rsidR="004952A5" w:rsidRPr="00705DA3" w:rsidRDefault="004952A5" w:rsidP="00040F26">
      <w:pPr>
        <w:spacing w:before="120" w:after="240" w:line="240" w:lineRule="auto"/>
        <w:rPr>
          <w:rFonts w:ascii="Times New Roman" w:hAnsi="Times New Roman" w:cs="Times New Roman"/>
          <w:b/>
          <w:sz w:val="24"/>
          <w:szCs w:val="24"/>
          <w:u w:val="single"/>
        </w:rPr>
      </w:pPr>
      <w:r w:rsidRPr="00705DA3">
        <w:rPr>
          <w:rFonts w:ascii="Times New Roman" w:hAnsi="Times New Roman" w:cs="Times New Roman"/>
          <w:sz w:val="24"/>
          <w:szCs w:val="24"/>
          <w:u w:val="single"/>
        </w:rPr>
        <w:t>DAA-Experienced Adults Who Had Not Received An NS5A Inhibitor (POLARIS-4)</w:t>
      </w:r>
    </w:p>
    <w:p w:rsidR="004952A5" w:rsidRPr="00705DA3" w:rsidRDefault="004952A5" w:rsidP="00040F26">
      <w:pPr>
        <w:spacing w:before="120" w:after="240" w:line="240" w:lineRule="auto"/>
        <w:rPr>
          <w:rFonts w:ascii="Times New Roman" w:hAnsi="Times New Roman" w:cs="Times New Roman"/>
          <w:b/>
          <w:sz w:val="24"/>
          <w:szCs w:val="24"/>
        </w:rPr>
      </w:pPr>
      <w:r w:rsidRPr="00705DA3">
        <w:rPr>
          <w:rFonts w:ascii="Times New Roman" w:hAnsi="Times New Roman" w:cs="Times New Roman"/>
          <w:sz w:val="24"/>
          <w:szCs w:val="24"/>
        </w:rPr>
        <w:t xml:space="preserve">POLARIS-4 was a randomised, open-label trial that evaluated 12 weeks of treatment with VOSEVI and 12 weeks of treatment with SOF/VEL in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with genotype 1, 2, 3, or 4 HCV infection without cirrhosis or with compensated cirrhosis who had previously failed a DAA-containing regimen that did not include an NS5A inhibitor.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whose only DAA exposure was an NS3/4A protease inhibitor were excluded, given the availability of approved regimens to treat these individuals.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with genotype 1, 2, or 3 HCV infection were randomised 1:1 to each group. Randomisation was stratified by HCV genotype and by the presence or absence of cirrhosis.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with genotype 4 HCV infection were enrolled to the VOSEVI 12-week group.</w:t>
      </w:r>
    </w:p>
    <w:p w:rsidR="004952A5" w:rsidRPr="00705DA3" w:rsidRDefault="004952A5" w:rsidP="00040F26">
      <w:pPr>
        <w:spacing w:before="120" w:after="240" w:line="240" w:lineRule="auto"/>
        <w:rPr>
          <w:rFonts w:ascii="Times New Roman" w:hAnsi="Times New Roman" w:cs="Times New Roman"/>
          <w:b/>
          <w:sz w:val="24"/>
          <w:szCs w:val="24"/>
        </w:rPr>
      </w:pPr>
      <w:r w:rsidRPr="00705DA3">
        <w:rPr>
          <w:rFonts w:ascii="Times New Roman" w:hAnsi="Times New Roman" w:cs="Times New Roman"/>
          <w:sz w:val="24"/>
          <w:szCs w:val="24"/>
        </w:rPr>
        <w:lastRenderedPageBreak/>
        <w:t xml:space="preserve">Demographics and baseline characteristics were generally balanced across treatment groups. Of the 333 treated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the median age was 58 years (range: 24 to 85); 77% of the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were male; 87% were White, 9% were Black; 8% were Hispanic or Latino; 35% had a baseline body mass index at least 30 kg/m</w:t>
      </w:r>
      <w:r w:rsidRPr="00705DA3">
        <w:rPr>
          <w:rFonts w:ascii="Times New Roman" w:hAnsi="Times New Roman" w:cs="Times New Roman"/>
          <w:sz w:val="24"/>
          <w:szCs w:val="24"/>
          <w:vertAlign w:val="superscript"/>
        </w:rPr>
        <w:t>2</w:t>
      </w:r>
      <w:r w:rsidRPr="00705DA3">
        <w:rPr>
          <w:rFonts w:ascii="Times New Roman" w:hAnsi="Times New Roman" w:cs="Times New Roman"/>
          <w:sz w:val="24"/>
          <w:szCs w:val="24"/>
        </w:rPr>
        <w:t xml:space="preserve">; the majority of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had genotype 1 (43%) or genotype 3 (32%) HCV infection; 81% had non-CC IL28B genotypes (CT or TT); 75% had baseline HCV RNA levels at least 800,000 IU/mL; and 46% had compensated cirrhosis. The majority (85%) of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previously failed a regimen containing sofosbuvir.</w:t>
      </w:r>
    </w:p>
    <w:p w:rsidR="004952A5" w:rsidRPr="00705DA3" w:rsidRDefault="004952A5" w:rsidP="00040F26">
      <w:pPr>
        <w:spacing w:before="120" w:after="240" w:line="240" w:lineRule="auto"/>
        <w:rPr>
          <w:rFonts w:ascii="Times New Roman" w:hAnsi="Times New Roman" w:cs="Times New Roman"/>
          <w:sz w:val="24"/>
          <w:szCs w:val="24"/>
        </w:rPr>
      </w:pPr>
      <w:r w:rsidRPr="00705DA3">
        <w:rPr>
          <w:rFonts w:ascii="Times New Roman" w:hAnsi="Times New Roman" w:cs="Times New Roman"/>
          <w:sz w:val="24"/>
          <w:szCs w:val="24"/>
        </w:rPr>
        <w:t xml:space="preserve">Table </w:t>
      </w:r>
      <w:r w:rsidR="00040F26">
        <w:rPr>
          <w:rFonts w:ascii="Times New Roman" w:hAnsi="Times New Roman" w:cs="Times New Roman"/>
          <w:sz w:val="24"/>
          <w:szCs w:val="24"/>
        </w:rPr>
        <w:t>15</w:t>
      </w:r>
      <w:r w:rsidRPr="00705DA3">
        <w:rPr>
          <w:rFonts w:ascii="Times New Roman" w:hAnsi="Times New Roman" w:cs="Times New Roman"/>
          <w:sz w:val="24"/>
          <w:szCs w:val="24"/>
        </w:rPr>
        <w:t xml:space="preserve"> presents the SVR12 by HCV genotype and virologic outcome for the POLARIS-4 trial.</w:t>
      </w:r>
    </w:p>
    <w:p w:rsidR="004952A5" w:rsidRPr="00525F08" w:rsidRDefault="004952A5" w:rsidP="004952A5">
      <w:pPr>
        <w:pStyle w:val="Caption"/>
        <w:spacing w:before="240"/>
        <w:rPr>
          <w:b w:val="0"/>
        </w:rPr>
      </w:pPr>
      <w:bookmarkStart w:id="10" w:name="_Ref466633859"/>
      <w:r w:rsidRPr="00525F08">
        <w:t xml:space="preserve">Table </w:t>
      </w:r>
      <w:bookmarkEnd w:id="10"/>
      <w:r w:rsidR="00040F26">
        <w:t>15</w:t>
      </w:r>
      <w:r w:rsidRPr="00525F08">
        <w:tab/>
      </w:r>
      <w:r w:rsidRPr="00525F08">
        <w:rPr>
          <w:bCs/>
          <w:sz w:val="23"/>
          <w:szCs w:val="23"/>
        </w:rPr>
        <w:t>SVR12 by HCV Genotype and Virologic Outcome in Study POLARIS-4</w:t>
      </w:r>
    </w:p>
    <w:tbl>
      <w:tblPr>
        <w:tblStyle w:val="TableGrid1"/>
        <w:tblW w:w="0" w:type="auto"/>
        <w:tblLook w:val="04A0" w:firstRow="1" w:lastRow="0" w:firstColumn="1" w:lastColumn="0" w:noHBand="0" w:noVBand="1"/>
      </w:tblPr>
      <w:tblGrid>
        <w:gridCol w:w="2945"/>
        <w:gridCol w:w="2880"/>
        <w:gridCol w:w="2880"/>
      </w:tblGrid>
      <w:tr w:rsidR="004952A5" w:rsidRPr="00525F08" w:rsidTr="005C0C71">
        <w:tc>
          <w:tcPr>
            <w:tcW w:w="0" w:type="auto"/>
            <w:tcBorders>
              <w:top w:val="single" w:sz="12" w:space="0" w:color="auto"/>
              <w:left w:val="nil"/>
              <w:bottom w:val="single" w:sz="12" w:space="0" w:color="auto"/>
            </w:tcBorders>
          </w:tcPr>
          <w:p w:rsidR="004952A5" w:rsidRPr="00525F08" w:rsidRDefault="004952A5" w:rsidP="005C0C71">
            <w:pPr>
              <w:keepLines/>
              <w:widowControl w:val="0"/>
              <w:spacing w:before="40" w:after="40"/>
              <w:jc w:val="center"/>
              <w:rPr>
                <w:rFonts w:cs="Arial"/>
                <w:color w:val="000000" w:themeColor="text1"/>
              </w:rPr>
            </w:pPr>
          </w:p>
        </w:tc>
        <w:tc>
          <w:tcPr>
            <w:tcW w:w="2880" w:type="dxa"/>
            <w:tcBorders>
              <w:top w:val="single" w:sz="12" w:space="0" w:color="auto"/>
              <w:bottom w:val="single" w:sz="12" w:space="0" w:color="auto"/>
            </w:tcBorders>
          </w:tcPr>
          <w:p w:rsidR="004952A5" w:rsidRPr="00525F08" w:rsidRDefault="004952A5" w:rsidP="005C0C71">
            <w:pPr>
              <w:keepLines/>
              <w:widowControl w:val="0"/>
              <w:spacing w:before="40" w:after="40"/>
              <w:jc w:val="center"/>
              <w:rPr>
                <w:rFonts w:cs="Arial"/>
                <w:b/>
                <w:color w:val="000000" w:themeColor="text1"/>
              </w:rPr>
            </w:pPr>
            <w:r>
              <w:rPr>
                <w:rFonts w:cs="Arial"/>
                <w:b/>
                <w:color w:val="000000" w:themeColor="text1"/>
              </w:rPr>
              <w:t>VOSEVI</w:t>
            </w:r>
            <w:r w:rsidRPr="00525F08">
              <w:rPr>
                <w:rFonts w:cs="Arial"/>
                <w:b/>
                <w:color w:val="000000" w:themeColor="text1"/>
              </w:rPr>
              <w:br/>
              <w:t>12 Weeks</w:t>
            </w:r>
            <w:r w:rsidRPr="00525F08">
              <w:rPr>
                <w:rFonts w:cs="Arial"/>
                <w:b/>
                <w:color w:val="000000" w:themeColor="text1"/>
              </w:rPr>
              <w:br/>
              <w:t>(N=182)</w:t>
            </w:r>
          </w:p>
        </w:tc>
        <w:tc>
          <w:tcPr>
            <w:tcW w:w="2880" w:type="dxa"/>
            <w:tcBorders>
              <w:top w:val="single" w:sz="12" w:space="0" w:color="auto"/>
              <w:bottom w:val="single" w:sz="12" w:space="0" w:color="auto"/>
              <w:right w:val="nil"/>
            </w:tcBorders>
          </w:tcPr>
          <w:p w:rsidR="004952A5" w:rsidRPr="00525F08" w:rsidRDefault="004952A5" w:rsidP="005C0C71">
            <w:pPr>
              <w:keepLines/>
              <w:widowControl w:val="0"/>
              <w:spacing w:before="40" w:after="40"/>
              <w:jc w:val="center"/>
              <w:rPr>
                <w:rFonts w:cs="Arial"/>
                <w:b/>
                <w:color w:val="000000" w:themeColor="text1"/>
              </w:rPr>
            </w:pPr>
            <w:r w:rsidRPr="00525F08">
              <w:rPr>
                <w:rFonts w:cs="Arial"/>
                <w:b/>
                <w:color w:val="000000" w:themeColor="text1"/>
              </w:rPr>
              <w:t>SOF/VEL</w:t>
            </w:r>
            <w:r w:rsidRPr="00525F08">
              <w:rPr>
                <w:rFonts w:cs="Arial"/>
                <w:b/>
                <w:color w:val="000000" w:themeColor="text1"/>
              </w:rPr>
              <w:br/>
              <w:t>12 Weeks</w:t>
            </w:r>
            <w:r w:rsidRPr="00525F08">
              <w:rPr>
                <w:rFonts w:cs="Arial"/>
                <w:b/>
                <w:color w:val="000000" w:themeColor="text1"/>
              </w:rPr>
              <w:br/>
              <w:t>(N=151)</w:t>
            </w:r>
          </w:p>
        </w:tc>
      </w:tr>
      <w:tr w:rsidR="004952A5" w:rsidRPr="00525F08" w:rsidTr="005C0C71">
        <w:tc>
          <w:tcPr>
            <w:tcW w:w="0" w:type="auto"/>
            <w:tcBorders>
              <w:top w:val="single" w:sz="12" w:space="0" w:color="auto"/>
              <w:left w:val="nil"/>
              <w:bottom w:val="single" w:sz="6" w:space="0" w:color="auto"/>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rPr>
            </w:pPr>
            <w:r w:rsidRPr="00525F08">
              <w:rPr>
                <w:rFonts w:cs="Arial"/>
              </w:rPr>
              <w:t>Overall SVR12</w:t>
            </w:r>
          </w:p>
        </w:tc>
        <w:tc>
          <w:tcPr>
            <w:tcW w:w="2880" w:type="dxa"/>
            <w:tcBorders>
              <w:top w:val="single" w:sz="12" w:space="0" w:color="auto"/>
              <w:bottom w:val="single" w:sz="6" w:space="0" w:color="auto"/>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4D72D3">
              <w:rPr>
                <w:rFonts w:cs="Arial"/>
              </w:rPr>
              <w:t>9</w:t>
            </w:r>
            <w:r>
              <w:rPr>
                <w:rFonts w:cs="Arial"/>
              </w:rPr>
              <w:t>8</w:t>
            </w:r>
            <w:r w:rsidRPr="004D72D3">
              <w:rPr>
                <w:rFonts w:cs="Arial"/>
              </w:rPr>
              <w:t>% (17</w:t>
            </w:r>
            <w:r>
              <w:rPr>
                <w:rFonts w:cs="Arial"/>
              </w:rPr>
              <w:t>8</w:t>
            </w:r>
            <w:r w:rsidRPr="004D72D3">
              <w:rPr>
                <w:rFonts w:cs="Arial"/>
              </w:rPr>
              <w:t>/182)</w:t>
            </w:r>
          </w:p>
        </w:tc>
        <w:tc>
          <w:tcPr>
            <w:tcW w:w="2880" w:type="dxa"/>
            <w:tcBorders>
              <w:top w:val="single" w:sz="12" w:space="0" w:color="auto"/>
              <w:bottom w:val="single" w:sz="6" w:space="0" w:color="auto"/>
              <w:right w:val="nil"/>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90% (136/151)</w:t>
            </w:r>
          </w:p>
        </w:tc>
      </w:tr>
      <w:tr w:rsidR="004952A5" w:rsidRPr="00525F08" w:rsidTr="005C0C71">
        <w:tc>
          <w:tcPr>
            <w:tcW w:w="0" w:type="auto"/>
            <w:tcBorders>
              <w:top w:val="single" w:sz="6" w:space="0" w:color="auto"/>
              <w:left w:val="nil"/>
            </w:tcBorders>
          </w:tcPr>
          <w:p w:rsidR="004952A5" w:rsidRPr="00525F08" w:rsidRDefault="004952A5" w:rsidP="005C0C71">
            <w:pPr>
              <w:keepLines/>
              <w:tabs>
                <w:tab w:val="left" w:pos="0"/>
                <w:tab w:val="left" w:pos="186"/>
                <w:tab w:val="left" w:pos="362"/>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rPr>
            </w:pPr>
            <w:r w:rsidRPr="00525F08">
              <w:rPr>
                <w:rFonts w:cs="Arial"/>
              </w:rPr>
              <w:tab/>
              <w:t>Genotype 1</w:t>
            </w:r>
          </w:p>
        </w:tc>
        <w:tc>
          <w:tcPr>
            <w:tcW w:w="2880" w:type="dxa"/>
            <w:tcBorders>
              <w:top w:val="single" w:sz="6" w:space="0" w:color="auto"/>
            </w:tcBorders>
          </w:tcPr>
          <w:p w:rsidR="004952A5" w:rsidRPr="00525F08" w:rsidRDefault="004952A5" w:rsidP="005C0C71">
            <w:pPr>
              <w:keepLines/>
              <w:tabs>
                <w:tab w:val="left" w:pos="360"/>
                <w:tab w:val="left" w:pos="495"/>
                <w:tab w:val="left" w:pos="720"/>
                <w:tab w:val="center" w:pos="1065"/>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97% (76/78)</w:t>
            </w:r>
          </w:p>
        </w:tc>
        <w:tc>
          <w:tcPr>
            <w:tcW w:w="2880" w:type="dxa"/>
            <w:tcBorders>
              <w:top w:val="single" w:sz="6" w:space="0" w:color="auto"/>
              <w:right w:val="nil"/>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91% (60/66)</w:t>
            </w:r>
          </w:p>
        </w:tc>
      </w:tr>
      <w:tr w:rsidR="004952A5" w:rsidRPr="00525F08" w:rsidTr="005C0C71">
        <w:tc>
          <w:tcPr>
            <w:tcW w:w="0" w:type="auto"/>
            <w:tcBorders>
              <w:left w:val="nil"/>
            </w:tcBorders>
          </w:tcPr>
          <w:p w:rsidR="004952A5" w:rsidRPr="00525F08" w:rsidRDefault="004952A5" w:rsidP="005C0C71">
            <w:pPr>
              <w:keepLines/>
              <w:tabs>
                <w:tab w:val="left" w:pos="186"/>
                <w:tab w:val="left" w:pos="362"/>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rPr>
            </w:pPr>
            <w:r w:rsidRPr="00525F08">
              <w:rPr>
                <w:rFonts w:cs="Arial"/>
              </w:rPr>
              <w:tab/>
            </w:r>
            <w:r w:rsidRPr="00525F08">
              <w:rPr>
                <w:rFonts w:cs="Arial"/>
              </w:rPr>
              <w:tab/>
              <w:t>Genotype 1a</w:t>
            </w:r>
          </w:p>
        </w:tc>
        <w:tc>
          <w:tcPr>
            <w:tcW w:w="2880" w:type="dxa"/>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98% (53/54)</w:t>
            </w:r>
          </w:p>
        </w:tc>
        <w:tc>
          <w:tcPr>
            <w:tcW w:w="2880" w:type="dxa"/>
            <w:tcBorders>
              <w:right w:val="nil"/>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89% (39/44)</w:t>
            </w:r>
          </w:p>
        </w:tc>
      </w:tr>
      <w:tr w:rsidR="004952A5" w:rsidRPr="00525F08" w:rsidTr="005C0C71">
        <w:tc>
          <w:tcPr>
            <w:tcW w:w="0" w:type="auto"/>
            <w:tcBorders>
              <w:left w:val="nil"/>
            </w:tcBorders>
          </w:tcPr>
          <w:p w:rsidR="004952A5" w:rsidRPr="00525F08" w:rsidRDefault="004952A5" w:rsidP="005C0C71">
            <w:pPr>
              <w:keepLines/>
              <w:tabs>
                <w:tab w:val="left" w:pos="186"/>
                <w:tab w:val="left" w:pos="362"/>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rPr>
            </w:pPr>
            <w:r w:rsidRPr="00525F08">
              <w:rPr>
                <w:rFonts w:cs="Arial"/>
              </w:rPr>
              <w:tab/>
            </w:r>
            <w:r w:rsidRPr="00525F08">
              <w:rPr>
                <w:rFonts w:cs="Arial"/>
              </w:rPr>
              <w:tab/>
              <w:t>Genotype 1b</w:t>
            </w:r>
          </w:p>
        </w:tc>
        <w:tc>
          <w:tcPr>
            <w:tcW w:w="2880" w:type="dxa"/>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96% (23/24)</w:t>
            </w:r>
          </w:p>
        </w:tc>
        <w:tc>
          <w:tcPr>
            <w:tcW w:w="2880" w:type="dxa"/>
            <w:tcBorders>
              <w:right w:val="nil"/>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95% (21/22)</w:t>
            </w:r>
          </w:p>
        </w:tc>
      </w:tr>
      <w:tr w:rsidR="004952A5" w:rsidRPr="00525F08" w:rsidTr="005C0C71">
        <w:tc>
          <w:tcPr>
            <w:tcW w:w="0" w:type="auto"/>
            <w:tcBorders>
              <w:left w:val="nil"/>
              <w:bottom w:val="single" w:sz="4" w:space="0" w:color="auto"/>
            </w:tcBorders>
          </w:tcPr>
          <w:p w:rsidR="004952A5" w:rsidRPr="00525F08" w:rsidRDefault="004952A5" w:rsidP="005C0C71">
            <w:pPr>
              <w:keepLines/>
              <w:tabs>
                <w:tab w:val="left" w:pos="186"/>
                <w:tab w:val="left" w:pos="362"/>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rPr>
            </w:pPr>
            <w:r w:rsidRPr="00525F08">
              <w:rPr>
                <w:rFonts w:cs="Arial"/>
              </w:rPr>
              <w:tab/>
              <w:t>Genotype 2</w:t>
            </w:r>
          </w:p>
        </w:tc>
        <w:tc>
          <w:tcPr>
            <w:tcW w:w="2880" w:type="dxa"/>
            <w:tcBorders>
              <w:bottom w:val="single" w:sz="4" w:space="0" w:color="auto"/>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100% (31/31)</w:t>
            </w:r>
          </w:p>
        </w:tc>
        <w:tc>
          <w:tcPr>
            <w:tcW w:w="2880" w:type="dxa"/>
            <w:tcBorders>
              <w:bottom w:val="single" w:sz="4" w:space="0" w:color="auto"/>
              <w:right w:val="nil"/>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97% (32/33)</w:t>
            </w:r>
          </w:p>
        </w:tc>
      </w:tr>
      <w:tr w:rsidR="004952A5" w:rsidRPr="00525F08" w:rsidTr="005C0C71">
        <w:tc>
          <w:tcPr>
            <w:tcW w:w="0" w:type="auto"/>
            <w:tcBorders>
              <w:left w:val="nil"/>
              <w:bottom w:val="single" w:sz="4" w:space="0" w:color="auto"/>
            </w:tcBorders>
          </w:tcPr>
          <w:p w:rsidR="004952A5" w:rsidRPr="00525F08" w:rsidRDefault="004952A5" w:rsidP="005C0C71">
            <w:pPr>
              <w:keepLines/>
              <w:tabs>
                <w:tab w:val="left" w:pos="186"/>
                <w:tab w:val="left" w:pos="362"/>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rPr>
            </w:pPr>
            <w:r w:rsidRPr="00525F08">
              <w:rPr>
                <w:rFonts w:cs="Arial"/>
              </w:rPr>
              <w:tab/>
              <w:t>Genotype 3</w:t>
            </w:r>
          </w:p>
        </w:tc>
        <w:tc>
          <w:tcPr>
            <w:tcW w:w="2880" w:type="dxa"/>
            <w:tcBorders>
              <w:bottom w:val="single" w:sz="4" w:space="0" w:color="auto"/>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4D72D3">
              <w:rPr>
                <w:rFonts w:cs="Arial"/>
              </w:rPr>
              <w:t>96% (5</w:t>
            </w:r>
            <w:r>
              <w:rPr>
                <w:rFonts w:cs="Arial"/>
              </w:rPr>
              <w:t>2</w:t>
            </w:r>
            <w:r w:rsidRPr="004D72D3">
              <w:rPr>
                <w:rFonts w:cs="Arial"/>
              </w:rPr>
              <w:t>/54)</w:t>
            </w:r>
          </w:p>
        </w:tc>
        <w:tc>
          <w:tcPr>
            <w:tcW w:w="2880" w:type="dxa"/>
            <w:tcBorders>
              <w:bottom w:val="single" w:sz="4" w:space="0" w:color="auto"/>
              <w:right w:val="nil"/>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85% (44/52)</w:t>
            </w:r>
          </w:p>
        </w:tc>
      </w:tr>
      <w:tr w:rsidR="004952A5" w:rsidRPr="00525F08" w:rsidTr="005C0C71">
        <w:tc>
          <w:tcPr>
            <w:tcW w:w="0" w:type="auto"/>
            <w:tcBorders>
              <w:left w:val="nil"/>
              <w:bottom w:val="single" w:sz="12" w:space="0" w:color="auto"/>
            </w:tcBorders>
          </w:tcPr>
          <w:p w:rsidR="004952A5" w:rsidRPr="00525F08" w:rsidRDefault="004952A5" w:rsidP="005C0C71">
            <w:pPr>
              <w:keepLines/>
              <w:tabs>
                <w:tab w:val="left" w:pos="186"/>
                <w:tab w:val="left" w:pos="362"/>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vertAlign w:val="superscript"/>
              </w:rPr>
            </w:pPr>
            <w:r w:rsidRPr="00525F08">
              <w:rPr>
                <w:rFonts w:cs="Arial"/>
              </w:rPr>
              <w:tab/>
              <w:t>Genotype 4</w:t>
            </w:r>
          </w:p>
        </w:tc>
        <w:tc>
          <w:tcPr>
            <w:tcW w:w="2880" w:type="dxa"/>
            <w:tcBorders>
              <w:bottom w:val="single" w:sz="12" w:space="0" w:color="auto"/>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100% (19/19)</w:t>
            </w:r>
          </w:p>
        </w:tc>
        <w:tc>
          <w:tcPr>
            <w:tcW w:w="2880" w:type="dxa"/>
            <w:tcBorders>
              <w:bottom w:val="single" w:sz="12" w:space="0" w:color="auto"/>
              <w:right w:val="nil"/>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0/0</w:t>
            </w:r>
          </w:p>
        </w:tc>
      </w:tr>
      <w:tr w:rsidR="004952A5" w:rsidRPr="00525F08" w:rsidTr="005C0C71">
        <w:tc>
          <w:tcPr>
            <w:tcW w:w="0" w:type="auto"/>
            <w:gridSpan w:val="3"/>
            <w:tcBorders>
              <w:top w:val="single" w:sz="12" w:space="0" w:color="auto"/>
              <w:left w:val="nil"/>
              <w:bottom w:val="single" w:sz="12" w:space="0" w:color="auto"/>
              <w:right w:val="nil"/>
            </w:tcBorders>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cs="Arial"/>
              </w:rPr>
            </w:pPr>
            <w:r w:rsidRPr="00525F08">
              <w:rPr>
                <w:rFonts w:cs="Arial"/>
              </w:rPr>
              <w:t>Outcome for Patients without SVR</w:t>
            </w:r>
          </w:p>
        </w:tc>
      </w:tr>
      <w:tr w:rsidR="004952A5" w:rsidRPr="00525F08" w:rsidTr="005C0C71">
        <w:tc>
          <w:tcPr>
            <w:tcW w:w="0" w:type="auto"/>
            <w:tcBorders>
              <w:top w:val="single" w:sz="12" w:space="0" w:color="auto"/>
              <w:left w:val="nil"/>
            </w:tcBorders>
            <w:vAlign w:val="center"/>
          </w:tcPr>
          <w:p w:rsidR="004952A5" w:rsidRPr="00525F08" w:rsidRDefault="004952A5" w:rsidP="005C0C71">
            <w:pPr>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163"/>
              <w:rPr>
                <w:rFonts w:cs="Arial"/>
              </w:rPr>
            </w:pPr>
            <w:r w:rsidRPr="00525F08">
              <w:rPr>
                <w:rFonts w:eastAsia="Arial Unicode MS" w:cs="Arial"/>
                <w:color w:val="000000" w:themeColor="text1"/>
              </w:rPr>
              <w:t>On-Treatment Virologic Failure</w:t>
            </w:r>
          </w:p>
        </w:tc>
        <w:tc>
          <w:tcPr>
            <w:tcW w:w="0" w:type="auto"/>
            <w:tcBorders>
              <w:top w:val="single" w:sz="12" w:space="0" w:color="auto"/>
            </w:tcBorders>
            <w:vAlign w:val="center"/>
          </w:tcPr>
          <w:p w:rsidR="004952A5" w:rsidRPr="00525F08" w:rsidRDefault="004952A5" w:rsidP="005C0C71">
            <w:pPr>
              <w:keepLines/>
              <w:tabs>
                <w:tab w:val="left" w:pos="360"/>
                <w:tab w:val="left" w:pos="495"/>
                <w:tab w:val="left" w:pos="720"/>
                <w:tab w:val="center" w:pos="1065"/>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0/182</w:t>
            </w:r>
          </w:p>
        </w:tc>
        <w:tc>
          <w:tcPr>
            <w:tcW w:w="0" w:type="auto"/>
            <w:tcBorders>
              <w:top w:val="single" w:sz="12" w:space="0" w:color="auto"/>
              <w:right w:val="nil"/>
            </w:tcBorders>
            <w:vAlign w:val="center"/>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1% (1/151)</w:t>
            </w:r>
          </w:p>
        </w:tc>
      </w:tr>
      <w:tr w:rsidR="004952A5" w:rsidRPr="00525F08" w:rsidTr="005C0C71">
        <w:tc>
          <w:tcPr>
            <w:tcW w:w="0" w:type="auto"/>
            <w:tcBorders>
              <w:left w:val="nil"/>
              <w:bottom w:val="single" w:sz="4" w:space="0" w:color="auto"/>
            </w:tcBorders>
            <w:vAlign w:val="center"/>
          </w:tcPr>
          <w:p w:rsidR="004952A5" w:rsidRPr="00525F08" w:rsidRDefault="004952A5" w:rsidP="005C0C71">
            <w:pPr>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163"/>
              <w:rPr>
                <w:rFonts w:cs="Arial"/>
              </w:rPr>
            </w:pPr>
            <w:r w:rsidRPr="00525F08">
              <w:rPr>
                <w:rFonts w:eastAsia="Arial Unicode MS" w:cs="Arial"/>
                <w:color w:val="000000" w:themeColor="text1"/>
              </w:rPr>
              <w:t>Relapse</w:t>
            </w:r>
            <w:r w:rsidRPr="00525F08">
              <w:rPr>
                <w:rFonts w:eastAsia="Arial Unicode MS" w:cs="Arial"/>
                <w:color w:val="000000" w:themeColor="text1"/>
                <w:vertAlign w:val="superscript"/>
              </w:rPr>
              <w:t>a</w:t>
            </w:r>
          </w:p>
        </w:tc>
        <w:tc>
          <w:tcPr>
            <w:tcW w:w="0" w:type="auto"/>
            <w:tcBorders>
              <w:bottom w:val="single" w:sz="4" w:space="0" w:color="auto"/>
            </w:tcBorders>
            <w:vAlign w:val="center"/>
          </w:tcPr>
          <w:p w:rsidR="004952A5" w:rsidRPr="00525F08" w:rsidRDefault="004952A5" w:rsidP="005C0C71">
            <w:pPr>
              <w:keepLines/>
              <w:tabs>
                <w:tab w:val="left" w:pos="360"/>
                <w:tab w:val="left" w:pos="495"/>
                <w:tab w:val="left" w:pos="720"/>
                <w:tab w:val="center" w:pos="1065"/>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1% (1/182)</w:t>
            </w:r>
          </w:p>
        </w:tc>
        <w:tc>
          <w:tcPr>
            <w:tcW w:w="0" w:type="auto"/>
            <w:tcBorders>
              <w:bottom w:val="single" w:sz="4" w:space="0" w:color="auto"/>
              <w:right w:val="nil"/>
            </w:tcBorders>
            <w:vAlign w:val="center"/>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9% (14/150)</w:t>
            </w:r>
          </w:p>
        </w:tc>
      </w:tr>
      <w:tr w:rsidR="004952A5" w:rsidRPr="00525F08" w:rsidTr="005C0C71">
        <w:tc>
          <w:tcPr>
            <w:tcW w:w="0" w:type="auto"/>
            <w:tcBorders>
              <w:left w:val="nil"/>
              <w:bottom w:val="single" w:sz="12" w:space="0" w:color="auto"/>
            </w:tcBorders>
            <w:vAlign w:val="center"/>
          </w:tcPr>
          <w:p w:rsidR="004952A5" w:rsidRPr="00525F08" w:rsidRDefault="004952A5" w:rsidP="005C0C71">
            <w:pPr>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163"/>
              <w:rPr>
                <w:rFonts w:cs="Arial"/>
              </w:rPr>
            </w:pPr>
            <w:r w:rsidRPr="00525F08">
              <w:rPr>
                <w:rFonts w:eastAsia="Arial Unicode MS" w:cs="Arial"/>
                <w:color w:val="000000" w:themeColor="text1"/>
              </w:rPr>
              <w:t>Other</w:t>
            </w:r>
            <w:r w:rsidRPr="00525F08">
              <w:rPr>
                <w:rFonts w:eastAsia="Arial Unicode MS" w:cs="Arial"/>
                <w:color w:val="000000" w:themeColor="text1"/>
                <w:vertAlign w:val="superscript"/>
              </w:rPr>
              <w:t>b</w:t>
            </w:r>
          </w:p>
        </w:tc>
        <w:tc>
          <w:tcPr>
            <w:tcW w:w="0" w:type="auto"/>
            <w:tcBorders>
              <w:bottom w:val="single" w:sz="12" w:space="0" w:color="auto"/>
            </w:tcBorders>
            <w:vAlign w:val="center"/>
          </w:tcPr>
          <w:p w:rsidR="004952A5" w:rsidRPr="00525F08" w:rsidRDefault="004952A5" w:rsidP="005C0C71">
            <w:pPr>
              <w:keepLines/>
              <w:tabs>
                <w:tab w:val="left" w:pos="360"/>
                <w:tab w:val="left" w:pos="495"/>
                <w:tab w:val="left" w:pos="720"/>
                <w:tab w:val="center" w:pos="1065"/>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4D72D3">
              <w:rPr>
                <w:rFonts w:cs="Arial"/>
              </w:rPr>
              <w:t>2% (</w:t>
            </w:r>
            <w:r>
              <w:rPr>
                <w:rFonts w:cs="Arial"/>
              </w:rPr>
              <w:t>3</w:t>
            </w:r>
            <w:r w:rsidRPr="004D72D3">
              <w:rPr>
                <w:rFonts w:cs="Arial"/>
              </w:rPr>
              <w:t>/182)</w:t>
            </w:r>
          </w:p>
        </w:tc>
        <w:tc>
          <w:tcPr>
            <w:tcW w:w="0" w:type="auto"/>
            <w:tcBorders>
              <w:bottom w:val="single" w:sz="12" w:space="0" w:color="auto"/>
              <w:right w:val="nil"/>
            </w:tcBorders>
            <w:vAlign w:val="center"/>
          </w:tcPr>
          <w:p w:rsidR="004952A5" w:rsidRPr="00525F08" w:rsidRDefault="004952A5" w:rsidP="005C0C71">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cs="Arial"/>
              </w:rPr>
            </w:pPr>
            <w:r w:rsidRPr="00525F08">
              <w:rPr>
                <w:rFonts w:cs="Arial"/>
              </w:rPr>
              <w:t>0/151</w:t>
            </w:r>
          </w:p>
        </w:tc>
      </w:tr>
    </w:tbl>
    <w:p w:rsidR="004952A5" w:rsidRPr="00705DA3" w:rsidRDefault="004952A5" w:rsidP="004952A5">
      <w:pPr>
        <w:tabs>
          <w:tab w:val="left" w:pos="270"/>
        </w:tabs>
        <w:ind w:left="270" w:hanging="270"/>
        <w:contextualSpacing/>
        <w:rPr>
          <w:rFonts w:ascii="Times New Roman" w:hAnsi="Times New Roman" w:cs="Times New Roman"/>
          <w:color w:val="000000" w:themeColor="text1"/>
          <w:sz w:val="16"/>
          <w:szCs w:val="16"/>
        </w:rPr>
      </w:pPr>
      <w:r w:rsidRPr="00705DA3">
        <w:rPr>
          <w:rFonts w:ascii="Times New Roman" w:hAnsi="Times New Roman" w:cs="Times New Roman"/>
          <w:color w:val="000000" w:themeColor="text1"/>
          <w:sz w:val="16"/>
          <w:szCs w:val="16"/>
        </w:rPr>
        <w:t>a.</w:t>
      </w:r>
      <w:r w:rsidRPr="00705DA3">
        <w:rPr>
          <w:rFonts w:ascii="Times New Roman" w:hAnsi="Times New Roman" w:cs="Times New Roman"/>
          <w:color w:val="000000" w:themeColor="text1"/>
          <w:sz w:val="16"/>
          <w:szCs w:val="16"/>
        </w:rPr>
        <w:tab/>
        <w:t>The denominator for relapse is the number of patients with HCV RNA &lt;LLOQ at their last on-treatment assessment.</w:t>
      </w:r>
    </w:p>
    <w:p w:rsidR="00705DA3" w:rsidRDefault="004952A5" w:rsidP="00705DA3">
      <w:pPr>
        <w:tabs>
          <w:tab w:val="left" w:pos="270"/>
        </w:tabs>
        <w:ind w:left="270" w:hanging="270"/>
        <w:contextualSpacing/>
        <w:rPr>
          <w:rFonts w:ascii="Times New Roman" w:hAnsi="Times New Roman" w:cs="Times New Roman"/>
          <w:color w:val="000000" w:themeColor="text1"/>
          <w:sz w:val="16"/>
          <w:szCs w:val="16"/>
        </w:rPr>
      </w:pPr>
      <w:r w:rsidRPr="00705DA3">
        <w:rPr>
          <w:rFonts w:ascii="Times New Roman" w:hAnsi="Times New Roman" w:cs="Times New Roman"/>
          <w:color w:val="000000" w:themeColor="text1"/>
          <w:sz w:val="16"/>
          <w:szCs w:val="16"/>
        </w:rPr>
        <w:t>b.</w:t>
      </w:r>
      <w:r w:rsidRPr="00705DA3">
        <w:rPr>
          <w:rFonts w:ascii="Times New Roman" w:hAnsi="Times New Roman" w:cs="Times New Roman"/>
          <w:color w:val="000000" w:themeColor="text1"/>
          <w:sz w:val="16"/>
          <w:szCs w:val="16"/>
        </w:rPr>
        <w:tab/>
        <w:t>Other includes patients with missing data and those who discontinued treatment prior to virologic suppression.</w:t>
      </w:r>
    </w:p>
    <w:p w:rsidR="00705DA3" w:rsidRDefault="00705DA3" w:rsidP="00705DA3">
      <w:pPr>
        <w:tabs>
          <w:tab w:val="left" w:pos="270"/>
        </w:tabs>
        <w:ind w:left="270" w:hanging="270"/>
        <w:contextualSpacing/>
        <w:rPr>
          <w:rFonts w:ascii="Times New Roman" w:hAnsi="Times New Roman" w:cs="Times New Roman"/>
          <w:color w:val="000000" w:themeColor="text1"/>
          <w:sz w:val="16"/>
          <w:szCs w:val="16"/>
        </w:rPr>
      </w:pPr>
    </w:p>
    <w:p w:rsidR="00EA6510" w:rsidRDefault="00EA6510" w:rsidP="00EA6510">
      <w:pPr>
        <w:tabs>
          <w:tab w:val="left" w:pos="270"/>
        </w:tabs>
        <w:spacing w:before="120" w:after="240" w:line="240" w:lineRule="auto"/>
        <w:contextualSpacing/>
        <w:rPr>
          <w:rFonts w:ascii="Times New Roman" w:hAnsi="Times New Roman" w:cs="Times New Roman"/>
          <w:sz w:val="24"/>
          <w:szCs w:val="24"/>
        </w:rPr>
      </w:pPr>
      <w:r w:rsidRPr="00282AB7">
        <w:rPr>
          <w:rFonts w:ascii="Times New Roman" w:hAnsi="Times New Roman" w:cs="Times New Roman"/>
          <w:sz w:val="24"/>
          <w:szCs w:val="24"/>
        </w:rPr>
        <w:t xml:space="preserve">Treatment with VOSEVI for 12 weeks resulted in numerically higher SVR12 rates than treatment with sofosbuvir/velpatasvir for 12 weeks in </w:t>
      </w:r>
      <w:r>
        <w:rPr>
          <w:rFonts w:ascii="Times New Roman" w:hAnsi="Times New Roman" w:cs="Times New Roman"/>
          <w:sz w:val="24"/>
          <w:szCs w:val="24"/>
        </w:rPr>
        <w:t xml:space="preserve">patients </w:t>
      </w:r>
      <w:r w:rsidRPr="00282AB7">
        <w:rPr>
          <w:rFonts w:ascii="Times New Roman" w:hAnsi="Times New Roman" w:cs="Times New Roman"/>
          <w:sz w:val="24"/>
          <w:szCs w:val="24"/>
        </w:rPr>
        <w:t xml:space="preserve">with HCV genotype 1a and 3 infection. Comparable SVR12 rates were observed in </w:t>
      </w:r>
      <w:r>
        <w:rPr>
          <w:rFonts w:ascii="Times New Roman" w:hAnsi="Times New Roman" w:cs="Times New Roman"/>
          <w:sz w:val="24"/>
          <w:szCs w:val="24"/>
        </w:rPr>
        <w:t xml:space="preserve">patients </w:t>
      </w:r>
      <w:r w:rsidRPr="00282AB7">
        <w:rPr>
          <w:rFonts w:ascii="Times New Roman" w:hAnsi="Times New Roman" w:cs="Times New Roman"/>
          <w:sz w:val="24"/>
          <w:szCs w:val="24"/>
        </w:rPr>
        <w:t xml:space="preserve">with HCV genotype 1b and 2 infection treated with VOSEVI for 12 weeks or with sofosbuvir/velpatasvir for 12 weeks. No comparison data are available for HCV genotypes 4, 5, and 6. Given these data, the additional benefit of VOSEVI has not been shown over sofosbuvir/velpatasvir </w:t>
      </w:r>
      <w:r>
        <w:rPr>
          <w:rFonts w:ascii="Times New Roman" w:hAnsi="Times New Roman" w:cs="Times New Roman"/>
          <w:sz w:val="24"/>
          <w:szCs w:val="24"/>
        </w:rPr>
        <w:t xml:space="preserve">in adults with genotype 1b, 2, 4, 5 or 6 infection previously treated with sofosbuvir without an NS5A inhibitor </w:t>
      </w:r>
      <w:r w:rsidRPr="00282AB7">
        <w:rPr>
          <w:rFonts w:ascii="Times New Roman" w:hAnsi="Times New Roman" w:cs="Times New Roman"/>
          <w:sz w:val="24"/>
          <w:szCs w:val="24"/>
        </w:rPr>
        <w:t>and VOSEVI is only indicated for the treatment of HCV genotypes 1a or 3 infection in adults who previously received sofosbuvir without an NS5A inhibitor.</w:t>
      </w:r>
    </w:p>
    <w:p w:rsidR="002E52D4" w:rsidRDefault="002E52D4" w:rsidP="007377AB">
      <w:pPr>
        <w:tabs>
          <w:tab w:val="left" w:pos="270"/>
        </w:tabs>
        <w:spacing w:before="120" w:after="240" w:line="240" w:lineRule="auto"/>
        <w:contextualSpacing/>
        <w:rPr>
          <w:rFonts w:ascii="Times New Roman" w:hAnsi="Times New Roman" w:cs="Times New Roman"/>
          <w:sz w:val="24"/>
          <w:szCs w:val="24"/>
        </w:rPr>
      </w:pPr>
    </w:p>
    <w:p w:rsidR="008D39A7" w:rsidRDefault="008D39A7" w:rsidP="002E52D4">
      <w:pPr>
        <w:tabs>
          <w:tab w:val="left" w:pos="270"/>
        </w:tabs>
        <w:spacing w:before="120" w:after="240" w:line="240" w:lineRule="auto"/>
        <w:contextualSpacing/>
        <w:rPr>
          <w:rFonts w:ascii="Times New Roman" w:hAnsi="Times New Roman" w:cs="Times New Roman"/>
          <w:sz w:val="24"/>
          <w:szCs w:val="24"/>
        </w:rPr>
      </w:pPr>
    </w:p>
    <w:p w:rsidR="004952A5" w:rsidRPr="006955C8" w:rsidRDefault="004952A5" w:rsidP="004469C5">
      <w:pPr>
        <w:pStyle w:val="Heading3"/>
        <w:pageBreakBefore/>
        <w:spacing w:before="120" w:after="240" w:line="240" w:lineRule="auto"/>
        <w:ind w:left="0"/>
        <w:rPr>
          <w:rFonts w:ascii="Times New Roman" w:hAnsi="Times New Roman" w:cs="Times New Roman"/>
          <w:sz w:val="24"/>
          <w:szCs w:val="24"/>
        </w:rPr>
      </w:pPr>
      <w:r w:rsidRPr="006955C8">
        <w:rPr>
          <w:rFonts w:ascii="Times New Roman" w:hAnsi="Times New Roman" w:cs="Times New Roman"/>
          <w:sz w:val="24"/>
          <w:szCs w:val="24"/>
        </w:rPr>
        <w:lastRenderedPageBreak/>
        <w:t>Clinical Studies in DAA-Naive Patients</w:t>
      </w:r>
    </w:p>
    <w:p w:rsidR="004952A5" w:rsidRPr="006955C8" w:rsidRDefault="004952A5" w:rsidP="007377AB">
      <w:pPr>
        <w:pStyle w:val="Text1"/>
        <w:rPr>
          <w:bCs/>
          <w:szCs w:val="24"/>
          <w:u w:val="single"/>
        </w:rPr>
      </w:pPr>
      <w:r w:rsidRPr="006955C8">
        <w:rPr>
          <w:bCs/>
          <w:szCs w:val="24"/>
          <w:u w:val="single"/>
        </w:rPr>
        <w:t xml:space="preserve">DAA-Naïve Adults with Genotype 1, 2, 3, 4, 5, or 6 HCV Infection (POLARIS-2) </w:t>
      </w:r>
    </w:p>
    <w:p w:rsidR="00705DA3" w:rsidRPr="006955C8" w:rsidRDefault="004952A5" w:rsidP="007377AB">
      <w:pPr>
        <w:pStyle w:val="Default"/>
        <w:spacing w:before="120" w:after="240"/>
        <w:jc w:val="both"/>
      </w:pPr>
      <w:r w:rsidRPr="006955C8">
        <w:t xml:space="preserve">POLARIS-2 was a randomised, open-label trial that evaluated 8 weeks of treatment with VOSEVI and 12 weeks of treatment with SOF/VEL in DAA-naïve </w:t>
      </w:r>
      <w:r w:rsidRPr="006955C8">
        <w:rPr>
          <w:bCs/>
        </w:rPr>
        <w:t>patients</w:t>
      </w:r>
      <w:r w:rsidRPr="006955C8">
        <w:t xml:space="preserve"> with genotype 1, 2, 4, 5, or 6 HCV infection without cirrhosis or with compensated cirrhosis or genotype 3 HCV infection without cirrhosis. P</w:t>
      </w:r>
      <w:r w:rsidRPr="006955C8">
        <w:rPr>
          <w:bCs/>
        </w:rPr>
        <w:t>atients</w:t>
      </w:r>
      <w:r w:rsidRPr="006955C8">
        <w:t xml:space="preserve"> with genotype 3 HCV infection and cirrhosis were excluded from enrollment in this trial; they were enrolled in the POLARIS-3 trial (see below)</w:t>
      </w:r>
      <w:r w:rsidRPr="006955C8">
        <w:rPr>
          <w:i/>
          <w:iCs/>
        </w:rPr>
        <w:t xml:space="preserve">. </w:t>
      </w:r>
      <w:r w:rsidRPr="006955C8">
        <w:rPr>
          <w:bCs/>
        </w:rPr>
        <w:t>Patients</w:t>
      </w:r>
      <w:r w:rsidRPr="006955C8">
        <w:t xml:space="preserve"> with genotype 1, 2, 3, or 4 HCV infection were randomised 1:1 to each group. Randomisation was stratified by HCV genotype, by treatment history (treatment naïve or treatment experienced with an interferon-based regimen), and by the presence or absence of cirrhosis. Patients with other HCV genotypes were enrolled in the VOSEVI 8-week group. </w:t>
      </w:r>
    </w:p>
    <w:p w:rsidR="004952A5" w:rsidRPr="00705DA3" w:rsidRDefault="004952A5" w:rsidP="007377AB">
      <w:pPr>
        <w:spacing w:before="120" w:after="240" w:line="240" w:lineRule="auto"/>
        <w:rPr>
          <w:rFonts w:ascii="Times New Roman" w:hAnsi="Times New Roman" w:cs="Times New Roman"/>
          <w:sz w:val="24"/>
          <w:szCs w:val="24"/>
        </w:rPr>
      </w:pPr>
      <w:r w:rsidRPr="00705DA3">
        <w:rPr>
          <w:rFonts w:ascii="Times New Roman" w:hAnsi="Times New Roman" w:cs="Times New Roman"/>
          <w:sz w:val="24"/>
          <w:szCs w:val="24"/>
        </w:rPr>
        <w:t xml:space="preserve">Demographics and baseline characteristics were generally balanced across treatment groups. Of the 941 treated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the median age was 55 years (range: 18 to 82); 52% of the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were male; 80% were White, 10% were Black; 9% were Hispanic or Latino; 24% had a baseline body mass index at least 30 kg/m</w:t>
      </w:r>
      <w:r w:rsidRPr="00705DA3">
        <w:rPr>
          <w:rFonts w:ascii="Times New Roman" w:hAnsi="Times New Roman" w:cs="Times New Roman"/>
          <w:sz w:val="24"/>
          <w:szCs w:val="24"/>
          <w:vertAlign w:val="superscript"/>
        </w:rPr>
        <w:t>2</w:t>
      </w:r>
      <w:r w:rsidRPr="00705DA3">
        <w:rPr>
          <w:rFonts w:ascii="Times New Roman" w:hAnsi="Times New Roman" w:cs="Times New Roman"/>
          <w:sz w:val="24"/>
          <w:szCs w:val="24"/>
        </w:rPr>
        <w:t xml:space="preserve">; the majority of </w:t>
      </w:r>
      <w:r w:rsidRPr="00705DA3">
        <w:rPr>
          <w:rFonts w:ascii="Times New Roman" w:hAnsi="Times New Roman" w:cs="Times New Roman"/>
          <w:bCs/>
          <w:sz w:val="24"/>
          <w:szCs w:val="24"/>
        </w:rPr>
        <w:t>patients</w:t>
      </w:r>
      <w:r w:rsidRPr="00705DA3">
        <w:rPr>
          <w:rFonts w:ascii="Times New Roman" w:hAnsi="Times New Roman" w:cs="Times New Roman"/>
          <w:sz w:val="24"/>
          <w:szCs w:val="24"/>
        </w:rPr>
        <w:t xml:space="preserve"> had genotype 1 (49%) or genotype 3 (19%) HCV infection; 68% had non-CC IL28B genotypes (CT or TT); 69% had baseline HCV RNA levels at least 800,000 IU/mL; 18% had compensated cirrhosis; and 23% were treatment experienced with an interferon-based regimen.</w:t>
      </w:r>
    </w:p>
    <w:p w:rsidR="004952A5" w:rsidRPr="00250FF4" w:rsidRDefault="004952A5" w:rsidP="007377AB">
      <w:pPr>
        <w:pStyle w:val="Caption"/>
        <w:spacing w:before="120" w:after="240"/>
        <w:ind w:left="0" w:firstLine="0"/>
        <w:jc w:val="both"/>
        <w:rPr>
          <w:b w:val="0"/>
          <w:bCs/>
          <w:szCs w:val="24"/>
        </w:rPr>
      </w:pPr>
      <w:r w:rsidRPr="00250FF4">
        <w:rPr>
          <w:b w:val="0"/>
          <w:bCs/>
          <w:szCs w:val="24"/>
        </w:rPr>
        <w:t>Table 1</w:t>
      </w:r>
      <w:r w:rsidR="007377AB">
        <w:rPr>
          <w:b w:val="0"/>
          <w:bCs/>
          <w:szCs w:val="24"/>
        </w:rPr>
        <w:t>6</w:t>
      </w:r>
      <w:r w:rsidRPr="00250FF4">
        <w:rPr>
          <w:b w:val="0"/>
          <w:bCs/>
          <w:szCs w:val="24"/>
        </w:rPr>
        <w:t xml:space="preserve"> presents the SVR12 by HCV genotype and virologic outcome for the </w:t>
      </w:r>
      <w:r>
        <w:rPr>
          <w:b w:val="0"/>
          <w:bCs/>
          <w:szCs w:val="24"/>
        </w:rPr>
        <w:t xml:space="preserve">POLARIS </w:t>
      </w:r>
      <w:r w:rsidRPr="00250FF4">
        <w:rPr>
          <w:b w:val="0"/>
          <w:bCs/>
          <w:szCs w:val="24"/>
        </w:rPr>
        <w:t xml:space="preserve">trial. </w:t>
      </w:r>
    </w:p>
    <w:p w:rsidR="004952A5" w:rsidRPr="00525F08" w:rsidRDefault="004952A5" w:rsidP="004952A5">
      <w:pPr>
        <w:pStyle w:val="Caption"/>
      </w:pPr>
      <w:r w:rsidRPr="00525F08">
        <w:t>Table 1</w:t>
      </w:r>
      <w:r w:rsidR="007377AB">
        <w:t>6</w:t>
      </w:r>
      <w:r w:rsidRPr="00525F08">
        <w:tab/>
      </w:r>
      <w:r w:rsidRPr="00525F08">
        <w:rPr>
          <w:szCs w:val="24"/>
        </w:rPr>
        <w:t>SVR12 by HCV gen</w:t>
      </w:r>
      <w:r w:rsidR="008868C1">
        <w:rPr>
          <w:szCs w:val="24"/>
        </w:rPr>
        <w:t>otype and virologic outcome in S</w:t>
      </w:r>
      <w:r w:rsidRPr="00525F08">
        <w:rPr>
          <w:szCs w:val="24"/>
        </w:rPr>
        <w:t>tudy POLARIS-2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4584"/>
        <w:gridCol w:w="2461"/>
      </w:tblGrid>
      <w:tr w:rsidR="004952A5" w:rsidRPr="00525F08" w:rsidTr="005C0C71">
        <w:trPr>
          <w:cantSplit/>
          <w:tblHeader/>
        </w:trPr>
        <w:tc>
          <w:tcPr>
            <w:tcW w:w="2204" w:type="dxa"/>
            <w:tcBorders>
              <w:top w:val="single" w:sz="12" w:space="0" w:color="auto"/>
              <w:left w:val="nil"/>
              <w:bottom w:val="single" w:sz="12" w:space="0" w:color="auto"/>
            </w:tcBorders>
            <w:shd w:val="clear" w:color="auto" w:fill="auto"/>
          </w:tcPr>
          <w:p w:rsidR="004952A5" w:rsidRPr="004E338F" w:rsidRDefault="004952A5" w:rsidP="005C0C71">
            <w:pPr>
              <w:keepNext/>
              <w:keepLines/>
              <w:spacing w:after="0"/>
              <w:rPr>
                <w:rFonts w:ascii="Times New Roman" w:hAnsi="Times New Roman" w:cs="Times New Roman"/>
                <w:sz w:val="24"/>
                <w:szCs w:val="24"/>
                <w:lang w:val="en-GB"/>
              </w:rPr>
            </w:pPr>
          </w:p>
        </w:tc>
        <w:tc>
          <w:tcPr>
            <w:tcW w:w="4611" w:type="dxa"/>
            <w:tcBorders>
              <w:top w:val="single" w:sz="12" w:space="0" w:color="auto"/>
              <w:bottom w:val="single" w:sz="12" w:space="0" w:color="auto"/>
            </w:tcBorders>
            <w:shd w:val="clear" w:color="auto" w:fill="auto"/>
          </w:tcPr>
          <w:p w:rsidR="004952A5" w:rsidRPr="008868C1" w:rsidRDefault="004952A5" w:rsidP="005C0C71">
            <w:pPr>
              <w:keepNext/>
              <w:keepLines/>
              <w:spacing w:after="0"/>
              <w:jc w:val="center"/>
              <w:rPr>
                <w:rFonts w:ascii="Times New Roman" w:hAnsi="Times New Roman" w:cs="Times New Roman"/>
                <w:b/>
                <w:sz w:val="20"/>
                <w:szCs w:val="20"/>
                <w:lang w:val="en-GB"/>
              </w:rPr>
            </w:pPr>
            <w:r w:rsidRPr="008868C1">
              <w:rPr>
                <w:rFonts w:ascii="Times New Roman" w:hAnsi="Times New Roman" w:cs="Times New Roman"/>
                <w:b/>
                <w:sz w:val="20"/>
                <w:szCs w:val="20"/>
                <w:lang w:val="en-GB"/>
              </w:rPr>
              <w:t>VOSEVI</w:t>
            </w:r>
          </w:p>
          <w:p w:rsidR="004952A5" w:rsidRPr="008868C1" w:rsidRDefault="004952A5" w:rsidP="005C0C71">
            <w:pPr>
              <w:keepNext/>
              <w:keepLines/>
              <w:spacing w:after="0"/>
              <w:jc w:val="center"/>
              <w:rPr>
                <w:rFonts w:ascii="Times New Roman" w:hAnsi="Times New Roman" w:cs="Times New Roman"/>
                <w:b/>
                <w:sz w:val="20"/>
                <w:szCs w:val="20"/>
                <w:lang w:val="en-GB"/>
              </w:rPr>
            </w:pPr>
            <w:r w:rsidRPr="008868C1">
              <w:rPr>
                <w:rFonts w:ascii="Times New Roman" w:hAnsi="Times New Roman" w:cs="Times New Roman"/>
                <w:b/>
                <w:sz w:val="20"/>
                <w:szCs w:val="20"/>
                <w:lang w:val="en-GB"/>
              </w:rPr>
              <w:t>8 weeks</w:t>
            </w:r>
          </w:p>
          <w:p w:rsidR="004952A5" w:rsidRPr="008868C1" w:rsidRDefault="008868C1" w:rsidP="005C0C71">
            <w:pPr>
              <w:keepNext/>
              <w:keepLines/>
              <w:spacing w:after="0"/>
              <w:jc w:val="center"/>
              <w:rPr>
                <w:rFonts w:ascii="Times New Roman" w:hAnsi="Times New Roman" w:cs="Times New Roman"/>
                <w:b/>
                <w:sz w:val="20"/>
                <w:szCs w:val="20"/>
                <w:lang w:val="en-GB"/>
              </w:rPr>
            </w:pPr>
            <w:r w:rsidRPr="008868C1">
              <w:rPr>
                <w:rFonts w:ascii="Times New Roman" w:hAnsi="Times New Roman" w:cs="Times New Roman"/>
                <w:b/>
                <w:sz w:val="20"/>
                <w:szCs w:val="20"/>
                <w:lang w:val="en-GB"/>
              </w:rPr>
              <w:t>(N</w:t>
            </w:r>
            <w:r w:rsidR="004952A5" w:rsidRPr="008868C1">
              <w:rPr>
                <w:rFonts w:ascii="Times New Roman" w:hAnsi="Times New Roman" w:cs="Times New Roman"/>
                <w:b/>
                <w:sz w:val="20"/>
                <w:szCs w:val="20"/>
                <w:lang w:val="en-GB"/>
              </w:rPr>
              <w:t> = 501)</w:t>
            </w:r>
          </w:p>
        </w:tc>
        <w:tc>
          <w:tcPr>
            <w:tcW w:w="2472" w:type="dxa"/>
            <w:tcBorders>
              <w:top w:val="single" w:sz="12" w:space="0" w:color="auto"/>
              <w:bottom w:val="single" w:sz="12" w:space="0" w:color="auto"/>
              <w:right w:val="nil"/>
            </w:tcBorders>
            <w:shd w:val="clear" w:color="auto" w:fill="auto"/>
          </w:tcPr>
          <w:p w:rsidR="004952A5" w:rsidRPr="008868C1" w:rsidRDefault="004952A5" w:rsidP="005C0C71">
            <w:pPr>
              <w:keepNext/>
              <w:keepLines/>
              <w:spacing w:after="0"/>
              <w:jc w:val="center"/>
              <w:rPr>
                <w:rFonts w:ascii="Times New Roman" w:hAnsi="Times New Roman" w:cs="Times New Roman"/>
                <w:b/>
                <w:sz w:val="20"/>
                <w:szCs w:val="20"/>
                <w:lang w:val="en-GB"/>
              </w:rPr>
            </w:pPr>
            <w:r w:rsidRPr="008868C1">
              <w:rPr>
                <w:rFonts w:ascii="Times New Roman" w:hAnsi="Times New Roman" w:cs="Times New Roman"/>
                <w:b/>
                <w:sz w:val="20"/>
                <w:szCs w:val="20"/>
                <w:lang w:val="en-GB"/>
              </w:rPr>
              <w:t>SOF/VEL</w:t>
            </w:r>
          </w:p>
          <w:p w:rsidR="004952A5" w:rsidRPr="008868C1" w:rsidRDefault="004952A5" w:rsidP="005C0C71">
            <w:pPr>
              <w:keepNext/>
              <w:keepLines/>
              <w:spacing w:after="0"/>
              <w:jc w:val="center"/>
              <w:rPr>
                <w:rFonts w:ascii="Times New Roman" w:hAnsi="Times New Roman" w:cs="Times New Roman"/>
                <w:b/>
                <w:sz w:val="20"/>
                <w:szCs w:val="20"/>
                <w:lang w:val="en-GB"/>
              </w:rPr>
            </w:pPr>
            <w:r w:rsidRPr="008868C1">
              <w:rPr>
                <w:rFonts w:ascii="Times New Roman" w:hAnsi="Times New Roman" w:cs="Times New Roman"/>
                <w:b/>
                <w:sz w:val="20"/>
                <w:szCs w:val="20"/>
                <w:lang w:val="en-GB"/>
              </w:rPr>
              <w:t>12 weeks</w:t>
            </w:r>
          </w:p>
          <w:p w:rsidR="004952A5" w:rsidRPr="008868C1" w:rsidRDefault="008868C1" w:rsidP="005C0C71">
            <w:pPr>
              <w:keepNext/>
              <w:keepLines/>
              <w:spacing w:after="0"/>
              <w:jc w:val="center"/>
              <w:rPr>
                <w:rFonts w:ascii="Times New Roman" w:hAnsi="Times New Roman" w:cs="Times New Roman"/>
                <w:b/>
                <w:sz w:val="20"/>
                <w:szCs w:val="20"/>
                <w:lang w:val="en-GB"/>
              </w:rPr>
            </w:pPr>
            <w:r w:rsidRPr="008868C1">
              <w:rPr>
                <w:rFonts w:ascii="Times New Roman" w:hAnsi="Times New Roman" w:cs="Times New Roman"/>
                <w:b/>
                <w:sz w:val="20"/>
                <w:szCs w:val="20"/>
                <w:lang w:val="en-GB"/>
              </w:rPr>
              <w:t>(N</w:t>
            </w:r>
            <w:r w:rsidR="004952A5" w:rsidRPr="008868C1">
              <w:rPr>
                <w:rFonts w:ascii="Times New Roman" w:hAnsi="Times New Roman" w:cs="Times New Roman"/>
                <w:b/>
                <w:sz w:val="20"/>
                <w:szCs w:val="20"/>
                <w:lang w:val="en-GB"/>
              </w:rPr>
              <w:t> = 440)</w:t>
            </w:r>
          </w:p>
        </w:tc>
      </w:tr>
      <w:tr w:rsidR="004952A5" w:rsidRPr="00525F08" w:rsidTr="005C0C71">
        <w:trPr>
          <w:cantSplit/>
        </w:trPr>
        <w:tc>
          <w:tcPr>
            <w:tcW w:w="2204" w:type="dxa"/>
            <w:tcBorders>
              <w:top w:val="single" w:sz="12" w:space="0" w:color="auto"/>
              <w:left w:val="nil"/>
            </w:tcBorders>
            <w:shd w:val="clear" w:color="auto" w:fill="auto"/>
          </w:tcPr>
          <w:p w:rsidR="004952A5" w:rsidRPr="008868C1" w:rsidRDefault="004952A5" w:rsidP="005C0C71">
            <w:pPr>
              <w:keepNext/>
              <w:keepLines/>
              <w:spacing w:after="0"/>
              <w:rPr>
                <w:rFonts w:ascii="Times New Roman" w:hAnsi="Times New Roman" w:cs="Times New Roman"/>
                <w:b/>
                <w:sz w:val="20"/>
                <w:szCs w:val="20"/>
                <w:vertAlign w:val="superscript"/>
                <w:lang w:val="en-GB"/>
              </w:rPr>
            </w:pPr>
            <w:r w:rsidRPr="008868C1">
              <w:rPr>
                <w:rFonts w:ascii="Times New Roman" w:hAnsi="Times New Roman" w:cs="Times New Roman"/>
                <w:b/>
                <w:sz w:val="20"/>
                <w:szCs w:val="20"/>
                <w:lang w:val="en-GB"/>
              </w:rPr>
              <w:t>Overall SVR12</w:t>
            </w:r>
            <w:r w:rsidRPr="008868C1">
              <w:rPr>
                <w:rFonts w:ascii="Times New Roman" w:hAnsi="Times New Roman" w:cs="Times New Roman"/>
                <w:b/>
                <w:sz w:val="20"/>
                <w:szCs w:val="20"/>
                <w:vertAlign w:val="superscript"/>
                <w:lang w:val="en-GB"/>
              </w:rPr>
              <w:t>a</w:t>
            </w:r>
          </w:p>
        </w:tc>
        <w:tc>
          <w:tcPr>
            <w:tcW w:w="4611" w:type="dxa"/>
            <w:tcBorders>
              <w:top w:val="single" w:sz="12" w:space="0" w:color="auto"/>
            </w:tcBorders>
            <w:shd w:val="clear" w:color="auto" w:fill="auto"/>
          </w:tcPr>
          <w:p w:rsidR="004952A5" w:rsidRPr="008868C1" w:rsidRDefault="004952A5" w:rsidP="005C0C71">
            <w:pPr>
              <w:keepNext/>
              <w:keepLines/>
              <w:spacing w:after="0"/>
              <w:jc w:val="center"/>
              <w:rPr>
                <w:rFonts w:ascii="Times New Roman" w:hAnsi="Times New Roman" w:cs="Times New Roman"/>
                <w:b/>
                <w:sz w:val="20"/>
                <w:szCs w:val="20"/>
                <w:lang w:val="en-GB"/>
              </w:rPr>
            </w:pPr>
            <w:r w:rsidRPr="008868C1">
              <w:rPr>
                <w:rFonts w:ascii="Times New Roman" w:hAnsi="Times New Roman" w:cs="Times New Roman"/>
                <w:b/>
                <w:sz w:val="20"/>
                <w:szCs w:val="20"/>
                <w:lang w:val="en-GB"/>
              </w:rPr>
              <w:t>95% (477/501)</w:t>
            </w:r>
          </w:p>
        </w:tc>
        <w:tc>
          <w:tcPr>
            <w:tcW w:w="2472" w:type="dxa"/>
            <w:tcBorders>
              <w:top w:val="single" w:sz="12" w:space="0" w:color="auto"/>
              <w:right w:val="nil"/>
            </w:tcBorders>
            <w:shd w:val="clear" w:color="auto" w:fill="auto"/>
          </w:tcPr>
          <w:p w:rsidR="004952A5" w:rsidRPr="008868C1" w:rsidRDefault="004952A5" w:rsidP="005C0C71">
            <w:pPr>
              <w:keepNext/>
              <w:keepLines/>
              <w:spacing w:after="0"/>
              <w:jc w:val="center"/>
              <w:rPr>
                <w:rFonts w:ascii="Times New Roman" w:hAnsi="Times New Roman" w:cs="Times New Roman"/>
                <w:b/>
                <w:sz w:val="20"/>
                <w:szCs w:val="20"/>
                <w:lang w:val="en-GB"/>
              </w:rPr>
            </w:pPr>
            <w:r w:rsidRPr="008868C1">
              <w:rPr>
                <w:rFonts w:ascii="Times New Roman" w:hAnsi="Times New Roman" w:cs="Times New Roman"/>
                <w:b/>
                <w:sz w:val="20"/>
                <w:szCs w:val="20"/>
                <w:lang w:val="en-GB"/>
              </w:rPr>
              <w:t>98% (432/440)</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Genotype 1</w:t>
            </w:r>
            <w:r w:rsidRPr="008868C1">
              <w:rPr>
                <w:rFonts w:ascii="Times New Roman" w:hAnsi="Times New Roman" w:cs="Times New Roman"/>
                <w:sz w:val="20"/>
                <w:szCs w:val="20"/>
                <w:vertAlign w:val="superscript"/>
                <w:lang w:val="en-GB"/>
              </w:rPr>
              <w:t>b</w:t>
            </w:r>
          </w:p>
        </w:tc>
        <w:tc>
          <w:tcPr>
            <w:tcW w:w="4611" w:type="dxa"/>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93% (217/233)</w:t>
            </w:r>
          </w:p>
        </w:tc>
        <w:tc>
          <w:tcPr>
            <w:tcW w:w="2472" w:type="dxa"/>
            <w:tcBorders>
              <w:right w:val="nil"/>
            </w:tcBorders>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98% (228/232)</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ind w:left="720" w:hanging="436"/>
              <w:rPr>
                <w:rFonts w:ascii="Times New Roman" w:hAnsi="Times New Roman" w:cs="Times New Roman"/>
                <w:sz w:val="20"/>
                <w:szCs w:val="20"/>
                <w:lang w:val="en-GB"/>
              </w:rPr>
            </w:pPr>
            <w:r w:rsidRPr="008868C1">
              <w:rPr>
                <w:rFonts w:ascii="Times New Roman" w:hAnsi="Times New Roman" w:cs="Times New Roman"/>
                <w:sz w:val="20"/>
                <w:szCs w:val="20"/>
                <w:lang w:val="en-GB"/>
              </w:rPr>
              <w:t>Genotype 1a</w:t>
            </w:r>
          </w:p>
        </w:tc>
        <w:tc>
          <w:tcPr>
            <w:tcW w:w="4611" w:type="dxa"/>
            <w:shd w:val="clear" w:color="auto" w:fill="auto"/>
          </w:tcPr>
          <w:p w:rsidR="004952A5" w:rsidRPr="008868C1" w:rsidRDefault="004952A5" w:rsidP="005C0C71">
            <w:pPr>
              <w:keepNext/>
              <w:keepLines/>
              <w:spacing w:after="0"/>
              <w:ind w:firstLine="206"/>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92% (155/169)</w:t>
            </w:r>
          </w:p>
        </w:tc>
        <w:tc>
          <w:tcPr>
            <w:tcW w:w="2472" w:type="dxa"/>
            <w:tcBorders>
              <w:right w:val="nil"/>
            </w:tcBorders>
            <w:shd w:val="clear" w:color="auto" w:fill="auto"/>
          </w:tcPr>
          <w:p w:rsidR="004952A5" w:rsidRPr="008868C1" w:rsidRDefault="004952A5" w:rsidP="005C0C71">
            <w:pPr>
              <w:keepNext/>
              <w:keepLines/>
              <w:spacing w:after="0"/>
              <w:ind w:firstLine="273"/>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99% (170/172)</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ind w:left="720" w:hanging="436"/>
              <w:rPr>
                <w:rFonts w:ascii="Times New Roman" w:hAnsi="Times New Roman" w:cs="Times New Roman"/>
                <w:sz w:val="20"/>
                <w:szCs w:val="20"/>
                <w:lang w:val="en-GB"/>
              </w:rPr>
            </w:pPr>
            <w:r w:rsidRPr="008868C1">
              <w:rPr>
                <w:rFonts w:ascii="Times New Roman" w:hAnsi="Times New Roman" w:cs="Times New Roman"/>
                <w:sz w:val="20"/>
                <w:szCs w:val="20"/>
                <w:lang w:val="en-GB"/>
              </w:rPr>
              <w:t>Genotype 1b</w:t>
            </w:r>
          </w:p>
        </w:tc>
        <w:tc>
          <w:tcPr>
            <w:tcW w:w="4611" w:type="dxa"/>
            <w:shd w:val="clear" w:color="auto" w:fill="auto"/>
          </w:tcPr>
          <w:p w:rsidR="004952A5" w:rsidRPr="008868C1" w:rsidRDefault="004952A5" w:rsidP="005C0C71">
            <w:pPr>
              <w:keepNext/>
              <w:keepLines/>
              <w:spacing w:after="0"/>
              <w:ind w:firstLine="206"/>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97% (61/63)</w:t>
            </w:r>
          </w:p>
        </w:tc>
        <w:tc>
          <w:tcPr>
            <w:tcW w:w="2472" w:type="dxa"/>
            <w:tcBorders>
              <w:right w:val="nil"/>
            </w:tcBorders>
            <w:shd w:val="clear" w:color="auto" w:fill="auto"/>
          </w:tcPr>
          <w:p w:rsidR="004952A5" w:rsidRPr="008868C1" w:rsidRDefault="004952A5" w:rsidP="005C0C71">
            <w:pPr>
              <w:keepNext/>
              <w:keepLines/>
              <w:spacing w:after="0"/>
              <w:ind w:firstLine="273"/>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97% (57/59)</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Genotype 2</w:t>
            </w:r>
          </w:p>
        </w:tc>
        <w:tc>
          <w:tcPr>
            <w:tcW w:w="4611" w:type="dxa"/>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97% (61/63)</w:t>
            </w:r>
          </w:p>
        </w:tc>
        <w:tc>
          <w:tcPr>
            <w:tcW w:w="2472" w:type="dxa"/>
            <w:tcBorders>
              <w:right w:val="nil"/>
            </w:tcBorders>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100% (53/53)</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Genotype 3</w:t>
            </w:r>
          </w:p>
        </w:tc>
        <w:tc>
          <w:tcPr>
            <w:tcW w:w="4611" w:type="dxa"/>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99% (91/92)</w:t>
            </w:r>
          </w:p>
        </w:tc>
        <w:tc>
          <w:tcPr>
            <w:tcW w:w="2472" w:type="dxa"/>
            <w:tcBorders>
              <w:right w:val="nil"/>
            </w:tcBorders>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97% (86/89)</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Genotype 4</w:t>
            </w:r>
          </w:p>
        </w:tc>
        <w:tc>
          <w:tcPr>
            <w:tcW w:w="4611" w:type="dxa"/>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94% (59/63)</w:t>
            </w:r>
          </w:p>
        </w:tc>
        <w:tc>
          <w:tcPr>
            <w:tcW w:w="2472" w:type="dxa"/>
            <w:tcBorders>
              <w:right w:val="nil"/>
            </w:tcBorders>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98% (56/57)</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Genotype 5</w:t>
            </w:r>
          </w:p>
        </w:tc>
        <w:tc>
          <w:tcPr>
            <w:tcW w:w="4611" w:type="dxa"/>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94% (17/18)</w:t>
            </w:r>
          </w:p>
        </w:tc>
        <w:tc>
          <w:tcPr>
            <w:tcW w:w="2472" w:type="dxa"/>
            <w:tcBorders>
              <w:right w:val="nil"/>
            </w:tcBorders>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0/0</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Genotype 6</w:t>
            </w:r>
          </w:p>
        </w:tc>
        <w:tc>
          <w:tcPr>
            <w:tcW w:w="4611" w:type="dxa"/>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100% (30/30)</w:t>
            </w:r>
          </w:p>
        </w:tc>
        <w:tc>
          <w:tcPr>
            <w:tcW w:w="2472" w:type="dxa"/>
            <w:tcBorders>
              <w:right w:val="nil"/>
            </w:tcBorders>
            <w:shd w:val="clear" w:color="auto" w:fill="auto"/>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100% (9/9)</w:t>
            </w:r>
          </w:p>
        </w:tc>
      </w:tr>
      <w:tr w:rsidR="004952A5" w:rsidRPr="00525F08" w:rsidTr="005C0C71">
        <w:trPr>
          <w:cantSplit/>
        </w:trPr>
        <w:tc>
          <w:tcPr>
            <w:tcW w:w="9287" w:type="dxa"/>
            <w:gridSpan w:val="3"/>
            <w:tcBorders>
              <w:left w:val="nil"/>
              <w:right w:val="nil"/>
            </w:tcBorders>
            <w:shd w:val="clear" w:color="auto" w:fill="auto"/>
          </w:tcPr>
          <w:p w:rsidR="004952A5" w:rsidRPr="008868C1" w:rsidRDefault="004952A5" w:rsidP="005C0C71">
            <w:pPr>
              <w:keepNext/>
              <w:keepLines/>
              <w:spacing w:after="0"/>
              <w:rPr>
                <w:rFonts w:ascii="Times New Roman" w:hAnsi="Times New Roman" w:cs="Times New Roman"/>
                <w:i/>
                <w:sz w:val="20"/>
                <w:szCs w:val="20"/>
                <w:lang w:val="en-GB"/>
              </w:rPr>
            </w:pPr>
            <w:r w:rsidRPr="008868C1">
              <w:rPr>
                <w:rFonts w:ascii="Times New Roman" w:hAnsi="Times New Roman" w:cs="Times New Roman"/>
                <w:i/>
                <w:sz w:val="20"/>
                <w:szCs w:val="20"/>
                <w:lang w:val="en-GB"/>
              </w:rPr>
              <w:t>Outcome for patients without SVR</w:t>
            </w:r>
          </w:p>
        </w:tc>
      </w:tr>
      <w:tr w:rsidR="004952A5" w:rsidRPr="00525F08" w:rsidTr="005C0C71">
        <w:trPr>
          <w:cantSplit/>
        </w:trPr>
        <w:tc>
          <w:tcPr>
            <w:tcW w:w="2204" w:type="dxa"/>
            <w:tcBorders>
              <w:left w:val="nil"/>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On-treatment virologic failure</w:t>
            </w:r>
          </w:p>
        </w:tc>
        <w:tc>
          <w:tcPr>
            <w:tcW w:w="4611" w:type="dxa"/>
            <w:shd w:val="clear" w:color="auto" w:fill="auto"/>
            <w:vAlign w:val="center"/>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0/501</w:t>
            </w:r>
          </w:p>
        </w:tc>
        <w:tc>
          <w:tcPr>
            <w:tcW w:w="2472" w:type="dxa"/>
            <w:tcBorders>
              <w:right w:val="nil"/>
            </w:tcBorders>
            <w:shd w:val="clear" w:color="auto" w:fill="auto"/>
            <w:vAlign w:val="center"/>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0/440</w:t>
            </w:r>
          </w:p>
        </w:tc>
      </w:tr>
      <w:tr w:rsidR="004952A5" w:rsidRPr="00525F08" w:rsidTr="005C0C71">
        <w:trPr>
          <w:cantSplit/>
          <w:trHeight w:val="64"/>
        </w:trPr>
        <w:tc>
          <w:tcPr>
            <w:tcW w:w="2204" w:type="dxa"/>
            <w:tcBorders>
              <w:left w:val="nil"/>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Relapse</w:t>
            </w:r>
            <w:r w:rsidRPr="008868C1">
              <w:rPr>
                <w:rFonts w:ascii="Times New Roman" w:hAnsi="Times New Roman" w:cs="Times New Roman"/>
                <w:sz w:val="20"/>
                <w:szCs w:val="20"/>
                <w:vertAlign w:val="superscript"/>
                <w:lang w:val="en-GB"/>
              </w:rPr>
              <w:t>c</w:t>
            </w:r>
          </w:p>
        </w:tc>
        <w:tc>
          <w:tcPr>
            <w:tcW w:w="4611" w:type="dxa"/>
            <w:shd w:val="clear" w:color="auto" w:fill="auto"/>
            <w:vAlign w:val="center"/>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4% (21/498)</w:t>
            </w:r>
          </w:p>
        </w:tc>
        <w:tc>
          <w:tcPr>
            <w:tcW w:w="2472" w:type="dxa"/>
            <w:tcBorders>
              <w:right w:val="nil"/>
            </w:tcBorders>
            <w:shd w:val="clear" w:color="auto" w:fill="auto"/>
            <w:vAlign w:val="center"/>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1% (3/439)</w:t>
            </w:r>
          </w:p>
        </w:tc>
      </w:tr>
      <w:tr w:rsidR="004952A5" w:rsidRPr="00525F08" w:rsidTr="005C0C71">
        <w:trPr>
          <w:cantSplit/>
        </w:trPr>
        <w:tc>
          <w:tcPr>
            <w:tcW w:w="2204" w:type="dxa"/>
            <w:tcBorders>
              <w:left w:val="nil"/>
              <w:bottom w:val="single" w:sz="12" w:space="0" w:color="auto"/>
            </w:tcBorders>
            <w:shd w:val="clear" w:color="auto" w:fill="auto"/>
          </w:tcPr>
          <w:p w:rsidR="004952A5" w:rsidRPr="008868C1" w:rsidRDefault="004952A5" w:rsidP="005C0C71">
            <w:pPr>
              <w:keepNext/>
              <w:keepLines/>
              <w:spacing w:after="0"/>
              <w:rPr>
                <w:rFonts w:ascii="Times New Roman" w:hAnsi="Times New Roman" w:cs="Times New Roman"/>
                <w:sz w:val="20"/>
                <w:szCs w:val="20"/>
                <w:lang w:val="en-GB"/>
              </w:rPr>
            </w:pPr>
            <w:r w:rsidRPr="008868C1">
              <w:rPr>
                <w:rFonts w:ascii="Times New Roman" w:hAnsi="Times New Roman" w:cs="Times New Roman"/>
                <w:sz w:val="20"/>
                <w:szCs w:val="20"/>
                <w:lang w:val="en-GB"/>
              </w:rPr>
              <w:t>Other</w:t>
            </w:r>
            <w:r w:rsidRPr="008868C1">
              <w:rPr>
                <w:rFonts w:ascii="Times New Roman" w:hAnsi="Times New Roman" w:cs="Times New Roman"/>
                <w:sz w:val="20"/>
                <w:szCs w:val="20"/>
                <w:vertAlign w:val="superscript"/>
                <w:lang w:val="en-GB"/>
              </w:rPr>
              <w:t>d</w:t>
            </w:r>
          </w:p>
        </w:tc>
        <w:tc>
          <w:tcPr>
            <w:tcW w:w="4611" w:type="dxa"/>
            <w:tcBorders>
              <w:bottom w:val="single" w:sz="12" w:space="0" w:color="auto"/>
            </w:tcBorders>
            <w:shd w:val="clear" w:color="auto" w:fill="auto"/>
            <w:vAlign w:val="center"/>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1% (3/501)</w:t>
            </w:r>
          </w:p>
        </w:tc>
        <w:tc>
          <w:tcPr>
            <w:tcW w:w="2472" w:type="dxa"/>
            <w:tcBorders>
              <w:bottom w:val="single" w:sz="12" w:space="0" w:color="auto"/>
              <w:right w:val="nil"/>
            </w:tcBorders>
            <w:shd w:val="clear" w:color="auto" w:fill="auto"/>
            <w:vAlign w:val="center"/>
          </w:tcPr>
          <w:p w:rsidR="004952A5" w:rsidRPr="008868C1" w:rsidRDefault="004952A5" w:rsidP="005C0C71">
            <w:pPr>
              <w:keepNext/>
              <w:keepLines/>
              <w:spacing w:after="0"/>
              <w:jc w:val="center"/>
              <w:rPr>
                <w:rFonts w:ascii="Times New Roman" w:hAnsi="Times New Roman" w:cs="Times New Roman"/>
                <w:sz w:val="20"/>
                <w:szCs w:val="20"/>
                <w:lang w:val="en-GB"/>
              </w:rPr>
            </w:pPr>
            <w:r w:rsidRPr="008868C1">
              <w:rPr>
                <w:rFonts w:ascii="Times New Roman" w:hAnsi="Times New Roman" w:cs="Times New Roman"/>
                <w:sz w:val="20"/>
                <w:szCs w:val="20"/>
                <w:lang w:val="en-GB"/>
              </w:rPr>
              <w:t>1% (5/440)</w:t>
            </w:r>
          </w:p>
        </w:tc>
      </w:tr>
    </w:tbl>
    <w:p w:rsidR="004952A5" w:rsidRPr="004E338F" w:rsidRDefault="004952A5" w:rsidP="004952A5">
      <w:pPr>
        <w:tabs>
          <w:tab w:val="left" w:pos="180"/>
        </w:tabs>
        <w:spacing w:before="60"/>
        <w:ind w:left="180" w:hanging="180"/>
        <w:contextualSpacing/>
        <w:rPr>
          <w:rFonts w:ascii="Times New Roman" w:hAnsi="Times New Roman" w:cs="Times New Roman"/>
          <w:color w:val="000000"/>
          <w:sz w:val="16"/>
        </w:rPr>
      </w:pPr>
      <w:r w:rsidRPr="004E338F">
        <w:rPr>
          <w:rFonts w:ascii="Times New Roman" w:hAnsi="Times New Roman" w:cs="Times New Roman"/>
          <w:color w:val="000000"/>
          <w:sz w:val="16"/>
        </w:rPr>
        <w:t>a</w:t>
      </w:r>
      <w:r w:rsidRPr="004E338F">
        <w:rPr>
          <w:rFonts w:ascii="Times New Roman" w:hAnsi="Times New Roman" w:cs="Times New Roman"/>
          <w:color w:val="000000"/>
          <w:sz w:val="16"/>
        </w:rPr>
        <w:tab/>
        <w:t>Two patients with undetermined genotype in the VOSEVI group achieved SVR12.</w:t>
      </w:r>
    </w:p>
    <w:p w:rsidR="004952A5" w:rsidRPr="004E338F" w:rsidRDefault="004952A5" w:rsidP="004952A5">
      <w:pPr>
        <w:tabs>
          <w:tab w:val="left" w:pos="180"/>
        </w:tabs>
        <w:spacing w:before="60"/>
        <w:ind w:left="180" w:hanging="180"/>
        <w:contextualSpacing/>
        <w:rPr>
          <w:rFonts w:ascii="Times New Roman" w:hAnsi="Times New Roman" w:cs="Times New Roman"/>
          <w:color w:val="000000"/>
          <w:sz w:val="16"/>
        </w:rPr>
      </w:pPr>
      <w:r w:rsidRPr="004E338F">
        <w:rPr>
          <w:rFonts w:ascii="Times New Roman" w:hAnsi="Times New Roman" w:cs="Times New Roman"/>
          <w:color w:val="000000"/>
          <w:sz w:val="16"/>
        </w:rPr>
        <w:t>b</w:t>
      </w:r>
      <w:r w:rsidRPr="004E338F">
        <w:rPr>
          <w:rFonts w:ascii="Times New Roman" w:hAnsi="Times New Roman" w:cs="Times New Roman"/>
          <w:color w:val="000000"/>
          <w:sz w:val="16"/>
        </w:rPr>
        <w:tab/>
        <w:t>Two patients had genotype 1 subtypes other than genotype 1a or genotype 1b; both patients achieved SVR12.</w:t>
      </w:r>
    </w:p>
    <w:p w:rsidR="004952A5" w:rsidRPr="004E338F" w:rsidRDefault="004952A5" w:rsidP="004952A5">
      <w:pPr>
        <w:tabs>
          <w:tab w:val="left" w:pos="180"/>
        </w:tabs>
        <w:spacing w:before="60"/>
        <w:ind w:left="180" w:hanging="180"/>
        <w:contextualSpacing/>
        <w:rPr>
          <w:rFonts w:ascii="Times New Roman" w:hAnsi="Times New Roman" w:cs="Times New Roman"/>
          <w:color w:val="000000"/>
          <w:sz w:val="16"/>
        </w:rPr>
      </w:pPr>
      <w:r w:rsidRPr="004E338F">
        <w:rPr>
          <w:rFonts w:ascii="Times New Roman" w:hAnsi="Times New Roman" w:cs="Times New Roman"/>
          <w:color w:val="000000"/>
          <w:sz w:val="16"/>
        </w:rPr>
        <w:t>c</w:t>
      </w:r>
      <w:r w:rsidRPr="004E338F">
        <w:rPr>
          <w:rFonts w:ascii="Times New Roman" w:hAnsi="Times New Roman" w:cs="Times New Roman"/>
          <w:color w:val="000000"/>
          <w:sz w:val="16"/>
        </w:rPr>
        <w:tab/>
        <w:t>The denominator for relapse is the number of patients with HCV RNA &lt;LLOQ at their last on-treatment assessment.</w:t>
      </w:r>
    </w:p>
    <w:p w:rsidR="004952A5" w:rsidRPr="004E338F" w:rsidRDefault="004952A5" w:rsidP="004952A5">
      <w:pPr>
        <w:tabs>
          <w:tab w:val="left" w:pos="180"/>
        </w:tabs>
        <w:spacing w:before="60" w:after="0"/>
        <w:ind w:left="181" w:hanging="181"/>
        <w:contextualSpacing/>
        <w:rPr>
          <w:rFonts w:ascii="Times New Roman" w:hAnsi="Times New Roman" w:cs="Times New Roman"/>
          <w:color w:val="000000"/>
          <w:sz w:val="18"/>
        </w:rPr>
      </w:pPr>
      <w:r w:rsidRPr="004E338F">
        <w:rPr>
          <w:rFonts w:ascii="Times New Roman" w:hAnsi="Times New Roman" w:cs="Times New Roman"/>
          <w:color w:val="000000"/>
          <w:sz w:val="16"/>
        </w:rPr>
        <w:t>d</w:t>
      </w:r>
      <w:r w:rsidRPr="004E338F">
        <w:rPr>
          <w:rFonts w:ascii="Times New Roman" w:hAnsi="Times New Roman" w:cs="Times New Roman"/>
          <w:color w:val="000000"/>
          <w:sz w:val="16"/>
        </w:rPr>
        <w:tab/>
        <w:t>Other includes patients with missing data and those who discontinued treatment prior to virologic suppression.</w:t>
      </w:r>
    </w:p>
    <w:p w:rsidR="004952A5" w:rsidRDefault="004952A5" w:rsidP="006306D0">
      <w:pPr>
        <w:spacing w:before="120" w:after="240" w:line="240" w:lineRule="auto"/>
        <w:rPr>
          <w:lang w:val="en-US"/>
        </w:rPr>
      </w:pPr>
    </w:p>
    <w:p w:rsidR="004952A5" w:rsidRPr="002D619B" w:rsidRDefault="004952A5" w:rsidP="006306D0">
      <w:pPr>
        <w:pStyle w:val="Text1"/>
        <w:widowControl w:val="0"/>
        <w:rPr>
          <w:szCs w:val="24"/>
        </w:rPr>
      </w:pPr>
      <w:r w:rsidRPr="002D619B">
        <w:rPr>
          <w:szCs w:val="24"/>
        </w:rPr>
        <w:t xml:space="preserve">Treatment with </w:t>
      </w:r>
      <w:r>
        <w:rPr>
          <w:szCs w:val="24"/>
        </w:rPr>
        <w:t>VOSEVI</w:t>
      </w:r>
      <w:r w:rsidRPr="002D619B">
        <w:rPr>
          <w:szCs w:val="24"/>
        </w:rPr>
        <w:t xml:space="preserve"> for 8 weeks in POLARIS-2 did not demonstrate noninferiority to treatment with SOF/VEL for 12 weeks with a prespecified margin of -5%.</w:t>
      </w:r>
    </w:p>
    <w:p w:rsidR="004952A5" w:rsidRPr="00525F08" w:rsidRDefault="004952A5" w:rsidP="006306D0">
      <w:pPr>
        <w:pStyle w:val="Text1"/>
        <w:rPr>
          <w:bCs/>
          <w:szCs w:val="24"/>
          <w:u w:val="single"/>
        </w:rPr>
      </w:pPr>
      <w:r w:rsidRPr="00525F08">
        <w:rPr>
          <w:bCs/>
          <w:szCs w:val="24"/>
          <w:u w:val="single"/>
        </w:rPr>
        <w:lastRenderedPageBreak/>
        <w:t xml:space="preserve">DAA-Naïve Adults with Genotype 3 HCV Infection and Compensated Cirrhosis (POLARIS-3) </w:t>
      </w:r>
    </w:p>
    <w:p w:rsidR="004952A5" w:rsidRPr="00525F08" w:rsidRDefault="004952A5" w:rsidP="006306D0">
      <w:pPr>
        <w:pStyle w:val="Default"/>
        <w:spacing w:before="120" w:after="240"/>
        <w:jc w:val="both"/>
      </w:pPr>
      <w:r w:rsidRPr="00525F08">
        <w:t xml:space="preserve">POLARIS-3 was a </w:t>
      </w:r>
      <w:r w:rsidRPr="00DE216F">
        <w:t>randomi</w:t>
      </w:r>
      <w:r>
        <w:t>s</w:t>
      </w:r>
      <w:r w:rsidRPr="00DE216F">
        <w:t>ed,</w:t>
      </w:r>
      <w:r w:rsidRPr="00525F08">
        <w:t xml:space="preserve"> open-label trial that evaluated 8 weeks of treatment with </w:t>
      </w:r>
      <w:r>
        <w:t>VOSEVI</w:t>
      </w:r>
      <w:r w:rsidRPr="00525F08">
        <w:t xml:space="preserve"> and 12 weeks of treatment with SOF/VEL in DAA-naïve </w:t>
      </w:r>
      <w:r w:rsidRPr="00525F08">
        <w:rPr>
          <w:rFonts w:cs="Arial"/>
          <w:bCs/>
        </w:rPr>
        <w:t>patients</w:t>
      </w:r>
      <w:r w:rsidRPr="00525F08">
        <w:t xml:space="preserve"> with genotype 3 HCV infection with compensated cirrhosis. P</w:t>
      </w:r>
      <w:r w:rsidRPr="00525F08">
        <w:rPr>
          <w:rFonts w:cs="Arial"/>
          <w:bCs/>
        </w:rPr>
        <w:t>atients</w:t>
      </w:r>
      <w:r w:rsidRPr="00525F08">
        <w:t xml:space="preserve"> were </w:t>
      </w:r>
      <w:r w:rsidRPr="00DE216F">
        <w:t>randomi</w:t>
      </w:r>
      <w:r>
        <w:t>s</w:t>
      </w:r>
      <w:r w:rsidRPr="00DE216F">
        <w:t>ed</w:t>
      </w:r>
      <w:r w:rsidRPr="00525F08">
        <w:t xml:space="preserve"> 1:1 to each group. </w:t>
      </w:r>
      <w:r>
        <w:t>R</w:t>
      </w:r>
      <w:r w:rsidRPr="00C37606">
        <w:t>andomi</w:t>
      </w:r>
      <w:r>
        <w:t>s</w:t>
      </w:r>
      <w:r w:rsidRPr="00C37606">
        <w:t>ation</w:t>
      </w:r>
      <w:r w:rsidRPr="00525F08">
        <w:t xml:space="preserve"> was stratified by treatment history (treatment naïve or treatment experienced with an interferon-based regimen). </w:t>
      </w:r>
    </w:p>
    <w:p w:rsidR="004952A5" w:rsidRPr="00525F08" w:rsidRDefault="004952A5" w:rsidP="006306D0">
      <w:pPr>
        <w:pStyle w:val="Text1"/>
        <w:widowControl w:val="0"/>
        <w:rPr>
          <w:szCs w:val="24"/>
        </w:rPr>
      </w:pPr>
      <w:r w:rsidRPr="00525F08">
        <w:rPr>
          <w:szCs w:val="24"/>
        </w:rPr>
        <w:t xml:space="preserve">Demographics and baseline characteristics were generally balanced across treatment groups. Of the 219 treated </w:t>
      </w:r>
      <w:r w:rsidRPr="00525F08">
        <w:rPr>
          <w:rFonts w:cs="Arial"/>
          <w:bCs/>
          <w:szCs w:val="24"/>
        </w:rPr>
        <w:t>patients</w:t>
      </w:r>
      <w:r w:rsidRPr="00525F08">
        <w:rPr>
          <w:szCs w:val="24"/>
        </w:rPr>
        <w:t xml:space="preserve">, all </w:t>
      </w:r>
      <w:r w:rsidRPr="00525F08">
        <w:rPr>
          <w:rFonts w:cs="Arial"/>
          <w:bCs/>
          <w:szCs w:val="24"/>
        </w:rPr>
        <w:t>patients</w:t>
      </w:r>
      <w:r w:rsidRPr="00525F08">
        <w:rPr>
          <w:szCs w:val="24"/>
        </w:rPr>
        <w:t xml:space="preserve"> had genotype 3 HCV infection and compensated cirrhosis; the median age was 56 years (range: 25 to 75); 72% of the </w:t>
      </w:r>
      <w:r w:rsidRPr="00525F08">
        <w:rPr>
          <w:rFonts w:cs="Arial"/>
          <w:bCs/>
          <w:szCs w:val="24"/>
        </w:rPr>
        <w:t>patients</w:t>
      </w:r>
      <w:r w:rsidRPr="00525F08">
        <w:rPr>
          <w:szCs w:val="24"/>
        </w:rPr>
        <w:t xml:space="preserve"> were male; 90% were White, 8% were Asian, 8% were Hispanic or Latino; 26% had a baseline body mass index at least 30 kg/m</w:t>
      </w:r>
      <w:r w:rsidRPr="00525F08">
        <w:rPr>
          <w:szCs w:val="24"/>
          <w:vertAlign w:val="superscript"/>
        </w:rPr>
        <w:t>2</w:t>
      </w:r>
      <w:r w:rsidRPr="00525F08">
        <w:rPr>
          <w:szCs w:val="24"/>
        </w:rPr>
        <w:t>; 58% had non-CC IL28B genotypes (CT or TT); 69% had baseline HCV RNA levels at least 800,000 IU/mL; and 31% were treatment experienced with an interferon-based regimen.</w:t>
      </w:r>
    </w:p>
    <w:p w:rsidR="004952A5" w:rsidRPr="00525F08" w:rsidRDefault="004952A5" w:rsidP="006306D0">
      <w:pPr>
        <w:pStyle w:val="Text1"/>
        <w:widowControl w:val="0"/>
        <w:rPr>
          <w:szCs w:val="24"/>
        </w:rPr>
      </w:pPr>
      <w:r w:rsidRPr="00525F08">
        <w:rPr>
          <w:szCs w:val="24"/>
        </w:rPr>
        <w:t>Table 1</w:t>
      </w:r>
      <w:r w:rsidR="006306D0">
        <w:rPr>
          <w:szCs w:val="24"/>
        </w:rPr>
        <w:t>7</w:t>
      </w:r>
      <w:r w:rsidRPr="00525F08">
        <w:rPr>
          <w:szCs w:val="24"/>
        </w:rPr>
        <w:t xml:space="preserve"> presents the SVR12 and virologic outcome for the POLARIS-3 trial.</w:t>
      </w:r>
    </w:p>
    <w:p w:rsidR="004952A5" w:rsidRPr="004E338F" w:rsidRDefault="004952A5" w:rsidP="004952A5">
      <w:pPr>
        <w:keepNext/>
        <w:keepLines/>
        <w:spacing w:after="120"/>
        <w:outlineLvl w:val="0"/>
        <w:rPr>
          <w:rFonts w:ascii="Times New Roman" w:hAnsi="Times New Roman" w:cs="Times New Roman"/>
          <w:b/>
          <w:szCs w:val="24"/>
          <w:lang w:val="en-GB"/>
        </w:rPr>
      </w:pPr>
      <w:r w:rsidRPr="004E338F">
        <w:rPr>
          <w:rFonts w:ascii="Times New Roman" w:hAnsi="Times New Roman" w:cs="Times New Roman"/>
          <w:b/>
          <w:szCs w:val="24"/>
          <w:lang w:val="en-GB"/>
        </w:rPr>
        <w:t>Table 1</w:t>
      </w:r>
      <w:r w:rsidR="006306D0">
        <w:rPr>
          <w:rFonts w:ascii="Times New Roman" w:hAnsi="Times New Roman" w:cs="Times New Roman"/>
          <w:b/>
          <w:szCs w:val="24"/>
          <w:lang w:val="en-GB"/>
        </w:rPr>
        <w:t>7</w:t>
      </w:r>
      <w:r w:rsidRPr="004E338F">
        <w:rPr>
          <w:rFonts w:ascii="Times New Roman" w:hAnsi="Times New Roman" w:cs="Times New Roman"/>
          <w:b/>
          <w:szCs w:val="24"/>
          <w:lang w:val="en-GB"/>
        </w:rPr>
        <w:t xml:space="preserve"> SVR12 and virologic outcome</w:t>
      </w:r>
      <w:r w:rsidR="005E1D85">
        <w:rPr>
          <w:rFonts w:ascii="Times New Roman" w:hAnsi="Times New Roman" w:cs="Times New Roman"/>
          <w:b/>
          <w:szCs w:val="24"/>
          <w:lang w:val="en-GB"/>
        </w:rPr>
        <w:t xml:space="preserve"> in S</w:t>
      </w:r>
      <w:r w:rsidRPr="004E338F">
        <w:rPr>
          <w:rFonts w:ascii="Times New Roman" w:hAnsi="Times New Roman" w:cs="Times New Roman"/>
          <w:b/>
          <w:szCs w:val="24"/>
          <w:lang w:val="en-GB"/>
        </w:rPr>
        <w:t>tudy POLARIS-3 (HCV genotype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42"/>
        <w:gridCol w:w="1542"/>
      </w:tblGrid>
      <w:tr w:rsidR="004952A5" w:rsidRPr="004E338F" w:rsidTr="005C0C71">
        <w:trPr>
          <w:cantSplit/>
          <w:tblHeader/>
        </w:trPr>
        <w:tc>
          <w:tcPr>
            <w:tcW w:w="0" w:type="auto"/>
            <w:tcBorders>
              <w:top w:val="single" w:sz="12" w:space="0" w:color="auto"/>
              <w:left w:val="nil"/>
              <w:bottom w:val="single" w:sz="12" w:space="0" w:color="auto"/>
            </w:tcBorders>
            <w:shd w:val="clear" w:color="auto" w:fill="auto"/>
          </w:tcPr>
          <w:p w:rsidR="004952A5" w:rsidRPr="004E338F" w:rsidRDefault="004952A5" w:rsidP="005C0C71">
            <w:pPr>
              <w:keepNext/>
              <w:keepLines/>
              <w:spacing w:after="0"/>
              <w:rPr>
                <w:rFonts w:ascii="Times New Roman" w:hAnsi="Times New Roman" w:cs="Times New Roman"/>
                <w:szCs w:val="24"/>
                <w:lang w:val="en-GB"/>
              </w:rPr>
            </w:pPr>
          </w:p>
        </w:tc>
        <w:tc>
          <w:tcPr>
            <w:tcW w:w="0" w:type="auto"/>
            <w:tcBorders>
              <w:top w:val="single" w:sz="12" w:space="0" w:color="auto"/>
              <w:bottom w:val="single" w:sz="12" w:space="0" w:color="auto"/>
            </w:tcBorders>
            <w:shd w:val="clear" w:color="auto" w:fill="auto"/>
          </w:tcPr>
          <w:p w:rsidR="004952A5" w:rsidRPr="004E338F" w:rsidRDefault="004952A5" w:rsidP="005C0C71">
            <w:pPr>
              <w:keepNext/>
              <w:keepLines/>
              <w:spacing w:after="0"/>
              <w:jc w:val="center"/>
              <w:rPr>
                <w:rFonts w:ascii="Times New Roman" w:hAnsi="Times New Roman" w:cs="Times New Roman"/>
                <w:b/>
                <w:szCs w:val="24"/>
                <w:lang w:val="en-GB"/>
              </w:rPr>
            </w:pPr>
            <w:r w:rsidRPr="004E338F">
              <w:rPr>
                <w:rFonts w:ascii="Times New Roman" w:hAnsi="Times New Roman" w:cs="Times New Roman"/>
                <w:b/>
                <w:szCs w:val="24"/>
                <w:lang w:val="en-GB"/>
              </w:rPr>
              <w:t>VOSEVI</w:t>
            </w:r>
          </w:p>
          <w:p w:rsidR="004952A5" w:rsidRPr="004E338F" w:rsidRDefault="004952A5" w:rsidP="005C0C71">
            <w:pPr>
              <w:keepNext/>
              <w:keepLines/>
              <w:spacing w:after="0"/>
              <w:jc w:val="center"/>
              <w:rPr>
                <w:rFonts w:ascii="Times New Roman" w:hAnsi="Times New Roman" w:cs="Times New Roman"/>
                <w:b/>
                <w:szCs w:val="24"/>
                <w:lang w:val="en-GB"/>
              </w:rPr>
            </w:pPr>
            <w:r w:rsidRPr="004E338F">
              <w:rPr>
                <w:rFonts w:ascii="Times New Roman" w:hAnsi="Times New Roman" w:cs="Times New Roman"/>
                <w:b/>
                <w:szCs w:val="24"/>
                <w:lang w:val="en-GB"/>
              </w:rPr>
              <w:t>8 weeks</w:t>
            </w:r>
          </w:p>
          <w:p w:rsidR="004952A5" w:rsidRPr="004E338F" w:rsidRDefault="005E1D85" w:rsidP="005C0C71">
            <w:pPr>
              <w:keepNext/>
              <w:keepLines/>
              <w:spacing w:after="0"/>
              <w:jc w:val="center"/>
              <w:rPr>
                <w:rFonts w:ascii="Times New Roman" w:hAnsi="Times New Roman" w:cs="Times New Roman"/>
                <w:b/>
                <w:szCs w:val="24"/>
                <w:lang w:val="en-GB"/>
              </w:rPr>
            </w:pPr>
            <w:r>
              <w:rPr>
                <w:rFonts w:ascii="Times New Roman" w:hAnsi="Times New Roman" w:cs="Times New Roman"/>
                <w:b/>
                <w:szCs w:val="24"/>
                <w:lang w:val="en-GB"/>
              </w:rPr>
              <w:t>(N</w:t>
            </w:r>
            <w:r w:rsidR="004952A5" w:rsidRPr="004E338F">
              <w:rPr>
                <w:rFonts w:ascii="Times New Roman" w:hAnsi="Times New Roman" w:cs="Times New Roman"/>
                <w:b/>
                <w:szCs w:val="24"/>
                <w:lang w:val="en-GB"/>
              </w:rPr>
              <w:t> = 110)</w:t>
            </w:r>
          </w:p>
        </w:tc>
        <w:tc>
          <w:tcPr>
            <w:tcW w:w="0" w:type="auto"/>
            <w:tcBorders>
              <w:top w:val="single" w:sz="12" w:space="0" w:color="auto"/>
              <w:bottom w:val="single" w:sz="12" w:space="0" w:color="auto"/>
              <w:right w:val="nil"/>
            </w:tcBorders>
            <w:shd w:val="clear" w:color="auto" w:fill="auto"/>
          </w:tcPr>
          <w:p w:rsidR="004952A5" w:rsidRPr="004E338F" w:rsidRDefault="004952A5" w:rsidP="005C0C71">
            <w:pPr>
              <w:keepNext/>
              <w:keepLines/>
              <w:spacing w:after="0"/>
              <w:jc w:val="center"/>
              <w:rPr>
                <w:rFonts w:ascii="Times New Roman" w:hAnsi="Times New Roman" w:cs="Times New Roman"/>
                <w:b/>
                <w:szCs w:val="24"/>
                <w:lang w:val="en-GB"/>
              </w:rPr>
            </w:pPr>
            <w:r w:rsidRPr="004E338F">
              <w:rPr>
                <w:rFonts w:ascii="Times New Roman" w:hAnsi="Times New Roman" w:cs="Times New Roman"/>
                <w:b/>
                <w:szCs w:val="24"/>
                <w:lang w:val="en-GB"/>
              </w:rPr>
              <w:t>SOF/VEL</w:t>
            </w:r>
          </w:p>
          <w:p w:rsidR="004952A5" w:rsidRPr="004E338F" w:rsidRDefault="004952A5" w:rsidP="005C0C71">
            <w:pPr>
              <w:keepNext/>
              <w:keepLines/>
              <w:spacing w:after="0"/>
              <w:jc w:val="center"/>
              <w:rPr>
                <w:rFonts w:ascii="Times New Roman" w:hAnsi="Times New Roman" w:cs="Times New Roman"/>
                <w:b/>
                <w:szCs w:val="24"/>
                <w:vertAlign w:val="superscript"/>
                <w:lang w:val="en-GB"/>
              </w:rPr>
            </w:pPr>
            <w:r w:rsidRPr="004E338F">
              <w:rPr>
                <w:rFonts w:ascii="Times New Roman" w:hAnsi="Times New Roman" w:cs="Times New Roman"/>
                <w:b/>
                <w:szCs w:val="24"/>
                <w:lang w:val="en-GB"/>
              </w:rPr>
              <w:t>12 weeks</w:t>
            </w:r>
            <w:r w:rsidRPr="004E338F">
              <w:rPr>
                <w:rFonts w:ascii="Times New Roman" w:hAnsi="Times New Roman" w:cs="Times New Roman"/>
                <w:b/>
                <w:szCs w:val="24"/>
                <w:vertAlign w:val="superscript"/>
                <w:lang w:val="en-GB"/>
              </w:rPr>
              <w:t>a</w:t>
            </w:r>
          </w:p>
          <w:p w:rsidR="004952A5" w:rsidRPr="004E338F" w:rsidRDefault="004952A5" w:rsidP="005E1D85">
            <w:pPr>
              <w:keepNext/>
              <w:keepLines/>
              <w:spacing w:after="0"/>
              <w:jc w:val="center"/>
              <w:rPr>
                <w:rFonts w:ascii="Times New Roman" w:hAnsi="Times New Roman" w:cs="Times New Roman"/>
                <w:b/>
                <w:szCs w:val="24"/>
                <w:vertAlign w:val="superscript"/>
                <w:lang w:val="en-GB"/>
              </w:rPr>
            </w:pPr>
            <w:r w:rsidRPr="004E338F">
              <w:rPr>
                <w:rFonts w:ascii="Times New Roman" w:hAnsi="Times New Roman" w:cs="Times New Roman"/>
                <w:b/>
                <w:szCs w:val="24"/>
                <w:lang w:val="en-GB"/>
              </w:rPr>
              <w:t>(</w:t>
            </w:r>
            <w:r w:rsidR="005E1D85">
              <w:rPr>
                <w:rFonts w:ascii="Times New Roman" w:hAnsi="Times New Roman" w:cs="Times New Roman"/>
                <w:b/>
                <w:szCs w:val="24"/>
                <w:lang w:val="en-GB"/>
              </w:rPr>
              <w:t>N</w:t>
            </w:r>
            <w:r w:rsidRPr="004E338F">
              <w:rPr>
                <w:rFonts w:ascii="Times New Roman" w:hAnsi="Times New Roman" w:cs="Times New Roman"/>
                <w:b/>
                <w:szCs w:val="24"/>
                <w:lang w:val="en-GB"/>
              </w:rPr>
              <w:t> = 109)</w:t>
            </w:r>
          </w:p>
        </w:tc>
      </w:tr>
      <w:tr w:rsidR="004952A5" w:rsidRPr="004E338F" w:rsidTr="005C0C71">
        <w:trPr>
          <w:cantSplit/>
        </w:trPr>
        <w:tc>
          <w:tcPr>
            <w:tcW w:w="0" w:type="auto"/>
            <w:tcBorders>
              <w:top w:val="single" w:sz="12" w:space="0" w:color="auto"/>
              <w:left w:val="nil"/>
            </w:tcBorders>
            <w:shd w:val="clear" w:color="auto" w:fill="auto"/>
          </w:tcPr>
          <w:p w:rsidR="004952A5" w:rsidRPr="004E338F" w:rsidRDefault="004952A5" w:rsidP="005C0C71">
            <w:pPr>
              <w:keepNext/>
              <w:keepLines/>
              <w:spacing w:after="0"/>
              <w:rPr>
                <w:rFonts w:ascii="Times New Roman" w:hAnsi="Times New Roman" w:cs="Times New Roman"/>
                <w:szCs w:val="24"/>
                <w:lang w:val="en-GB"/>
              </w:rPr>
            </w:pPr>
            <w:r w:rsidRPr="004E338F">
              <w:rPr>
                <w:rFonts w:ascii="Times New Roman" w:hAnsi="Times New Roman" w:cs="Times New Roman"/>
                <w:szCs w:val="24"/>
                <w:lang w:val="en-GB"/>
              </w:rPr>
              <w:t>SVR12</w:t>
            </w:r>
          </w:p>
        </w:tc>
        <w:tc>
          <w:tcPr>
            <w:tcW w:w="0" w:type="auto"/>
            <w:tcBorders>
              <w:top w:val="single" w:sz="12" w:space="0" w:color="auto"/>
            </w:tcBorders>
            <w:shd w:val="clear" w:color="auto" w:fill="auto"/>
          </w:tcPr>
          <w:p w:rsidR="004952A5" w:rsidRPr="004E338F" w:rsidRDefault="004952A5" w:rsidP="005C0C71">
            <w:pPr>
              <w:keepNext/>
              <w:keepLines/>
              <w:spacing w:after="0"/>
              <w:jc w:val="center"/>
              <w:rPr>
                <w:rFonts w:ascii="Times New Roman" w:hAnsi="Times New Roman" w:cs="Times New Roman"/>
                <w:szCs w:val="24"/>
                <w:lang w:val="en-GB"/>
              </w:rPr>
            </w:pPr>
            <w:r w:rsidRPr="004E338F">
              <w:rPr>
                <w:rFonts w:ascii="Times New Roman" w:hAnsi="Times New Roman" w:cs="Times New Roman"/>
                <w:szCs w:val="24"/>
                <w:lang w:val="en-GB"/>
              </w:rPr>
              <w:t>96% (106/110)</w:t>
            </w:r>
          </w:p>
        </w:tc>
        <w:tc>
          <w:tcPr>
            <w:tcW w:w="0" w:type="auto"/>
            <w:tcBorders>
              <w:top w:val="single" w:sz="12" w:space="0" w:color="auto"/>
              <w:right w:val="nil"/>
            </w:tcBorders>
            <w:shd w:val="clear" w:color="auto" w:fill="auto"/>
          </w:tcPr>
          <w:p w:rsidR="004952A5" w:rsidRPr="004E338F" w:rsidRDefault="004952A5" w:rsidP="005C0C71">
            <w:pPr>
              <w:keepNext/>
              <w:keepLines/>
              <w:spacing w:after="0"/>
              <w:jc w:val="center"/>
              <w:rPr>
                <w:rFonts w:ascii="Times New Roman" w:hAnsi="Times New Roman" w:cs="Times New Roman"/>
                <w:szCs w:val="24"/>
                <w:lang w:val="en-GB"/>
              </w:rPr>
            </w:pPr>
            <w:r w:rsidRPr="004E338F">
              <w:rPr>
                <w:rFonts w:ascii="Times New Roman" w:hAnsi="Times New Roman" w:cs="Times New Roman"/>
                <w:szCs w:val="24"/>
                <w:lang w:val="en-GB"/>
              </w:rPr>
              <w:t>96% (105/109)</w:t>
            </w:r>
          </w:p>
        </w:tc>
      </w:tr>
      <w:tr w:rsidR="004952A5" w:rsidRPr="004E338F" w:rsidTr="005C0C71">
        <w:trPr>
          <w:cantSplit/>
        </w:trPr>
        <w:tc>
          <w:tcPr>
            <w:tcW w:w="0" w:type="auto"/>
            <w:gridSpan w:val="3"/>
            <w:tcBorders>
              <w:left w:val="nil"/>
              <w:right w:val="nil"/>
            </w:tcBorders>
            <w:shd w:val="clear" w:color="auto" w:fill="auto"/>
          </w:tcPr>
          <w:p w:rsidR="004952A5" w:rsidRPr="004E338F" w:rsidRDefault="004952A5" w:rsidP="005C0C71">
            <w:pPr>
              <w:keepNext/>
              <w:keepLines/>
              <w:spacing w:after="0"/>
              <w:rPr>
                <w:rFonts w:ascii="Times New Roman" w:hAnsi="Times New Roman" w:cs="Times New Roman"/>
                <w:i/>
                <w:szCs w:val="24"/>
                <w:lang w:val="en-GB"/>
              </w:rPr>
            </w:pPr>
            <w:r w:rsidRPr="004E338F">
              <w:rPr>
                <w:rFonts w:ascii="Times New Roman" w:hAnsi="Times New Roman" w:cs="Times New Roman"/>
                <w:i/>
                <w:szCs w:val="24"/>
                <w:lang w:val="en-GB"/>
              </w:rPr>
              <w:t>Outcome for patients without SVR</w:t>
            </w:r>
          </w:p>
        </w:tc>
      </w:tr>
      <w:tr w:rsidR="004952A5" w:rsidRPr="004E338F" w:rsidTr="005C0C71">
        <w:trPr>
          <w:cantSplit/>
        </w:trPr>
        <w:tc>
          <w:tcPr>
            <w:tcW w:w="0" w:type="auto"/>
            <w:tcBorders>
              <w:left w:val="nil"/>
            </w:tcBorders>
            <w:shd w:val="clear" w:color="auto" w:fill="auto"/>
          </w:tcPr>
          <w:p w:rsidR="004952A5" w:rsidRPr="004E338F" w:rsidRDefault="004952A5" w:rsidP="005C0C71">
            <w:pPr>
              <w:keepNext/>
              <w:keepLines/>
              <w:spacing w:after="0"/>
              <w:rPr>
                <w:rFonts w:ascii="Times New Roman" w:hAnsi="Times New Roman" w:cs="Times New Roman"/>
                <w:szCs w:val="24"/>
                <w:lang w:val="en-GB"/>
              </w:rPr>
            </w:pPr>
            <w:r w:rsidRPr="004E338F">
              <w:rPr>
                <w:rFonts w:ascii="Times New Roman" w:hAnsi="Times New Roman" w:cs="Times New Roman"/>
                <w:szCs w:val="24"/>
                <w:lang w:val="en-GB"/>
              </w:rPr>
              <w:t xml:space="preserve">On-treatment virologic failure </w:t>
            </w:r>
          </w:p>
        </w:tc>
        <w:tc>
          <w:tcPr>
            <w:tcW w:w="0" w:type="auto"/>
            <w:shd w:val="clear" w:color="auto" w:fill="auto"/>
          </w:tcPr>
          <w:p w:rsidR="004952A5" w:rsidRPr="004E338F" w:rsidRDefault="004952A5" w:rsidP="005C0C71">
            <w:pPr>
              <w:keepNext/>
              <w:keepLines/>
              <w:spacing w:after="0"/>
              <w:jc w:val="center"/>
              <w:rPr>
                <w:rFonts w:ascii="Times New Roman" w:hAnsi="Times New Roman" w:cs="Times New Roman"/>
                <w:szCs w:val="24"/>
                <w:lang w:val="en-GB"/>
              </w:rPr>
            </w:pPr>
            <w:r w:rsidRPr="004E338F">
              <w:rPr>
                <w:rFonts w:ascii="Times New Roman" w:hAnsi="Times New Roman" w:cs="Times New Roman"/>
                <w:szCs w:val="24"/>
                <w:lang w:val="en-GB"/>
              </w:rPr>
              <w:t>0/110</w:t>
            </w:r>
          </w:p>
        </w:tc>
        <w:tc>
          <w:tcPr>
            <w:tcW w:w="0" w:type="auto"/>
            <w:tcBorders>
              <w:right w:val="nil"/>
            </w:tcBorders>
            <w:shd w:val="clear" w:color="auto" w:fill="auto"/>
          </w:tcPr>
          <w:p w:rsidR="004952A5" w:rsidRPr="004E338F" w:rsidRDefault="004952A5" w:rsidP="005C0C71">
            <w:pPr>
              <w:keepNext/>
              <w:keepLines/>
              <w:spacing w:after="0"/>
              <w:jc w:val="center"/>
              <w:rPr>
                <w:rFonts w:ascii="Times New Roman" w:hAnsi="Times New Roman" w:cs="Times New Roman"/>
                <w:szCs w:val="24"/>
                <w:lang w:val="en-GB"/>
              </w:rPr>
            </w:pPr>
            <w:r w:rsidRPr="004E338F">
              <w:rPr>
                <w:rFonts w:ascii="Times New Roman" w:hAnsi="Times New Roman" w:cs="Times New Roman"/>
                <w:szCs w:val="24"/>
                <w:lang w:val="en-GB"/>
              </w:rPr>
              <w:t>1% (1/109)</w:t>
            </w:r>
          </w:p>
        </w:tc>
      </w:tr>
      <w:tr w:rsidR="004952A5" w:rsidRPr="004E338F" w:rsidTr="005C0C71">
        <w:trPr>
          <w:cantSplit/>
        </w:trPr>
        <w:tc>
          <w:tcPr>
            <w:tcW w:w="0" w:type="auto"/>
            <w:tcBorders>
              <w:left w:val="nil"/>
            </w:tcBorders>
            <w:shd w:val="clear" w:color="auto" w:fill="auto"/>
          </w:tcPr>
          <w:p w:rsidR="004952A5" w:rsidRPr="004E338F" w:rsidRDefault="004952A5" w:rsidP="005C0C71">
            <w:pPr>
              <w:keepNext/>
              <w:keepLines/>
              <w:spacing w:after="0"/>
              <w:rPr>
                <w:rFonts w:ascii="Times New Roman" w:hAnsi="Times New Roman" w:cs="Times New Roman"/>
                <w:szCs w:val="24"/>
                <w:vertAlign w:val="superscript"/>
                <w:lang w:val="en-GB"/>
              </w:rPr>
            </w:pPr>
            <w:r w:rsidRPr="004E338F">
              <w:rPr>
                <w:rFonts w:ascii="Times New Roman" w:hAnsi="Times New Roman" w:cs="Times New Roman"/>
                <w:szCs w:val="24"/>
                <w:lang w:val="en-GB"/>
              </w:rPr>
              <w:t>Relapse</w:t>
            </w:r>
            <w:r w:rsidRPr="004E338F">
              <w:rPr>
                <w:rFonts w:ascii="Times New Roman" w:hAnsi="Times New Roman" w:cs="Times New Roman"/>
                <w:szCs w:val="24"/>
                <w:vertAlign w:val="superscript"/>
                <w:lang w:val="en-GB"/>
              </w:rPr>
              <w:t>a</w:t>
            </w:r>
          </w:p>
        </w:tc>
        <w:tc>
          <w:tcPr>
            <w:tcW w:w="0" w:type="auto"/>
            <w:shd w:val="clear" w:color="auto" w:fill="auto"/>
          </w:tcPr>
          <w:p w:rsidR="004952A5" w:rsidRPr="004E338F" w:rsidRDefault="004952A5" w:rsidP="005C0C71">
            <w:pPr>
              <w:keepNext/>
              <w:keepLines/>
              <w:spacing w:after="0"/>
              <w:jc w:val="center"/>
              <w:rPr>
                <w:rFonts w:ascii="Times New Roman" w:hAnsi="Times New Roman" w:cs="Times New Roman"/>
                <w:szCs w:val="24"/>
                <w:lang w:val="en-GB"/>
              </w:rPr>
            </w:pPr>
            <w:r w:rsidRPr="004E338F">
              <w:rPr>
                <w:rFonts w:ascii="Times New Roman" w:hAnsi="Times New Roman" w:cs="Times New Roman"/>
                <w:szCs w:val="24"/>
                <w:lang w:val="en-GB"/>
              </w:rPr>
              <w:t>2% (2/108)</w:t>
            </w:r>
          </w:p>
        </w:tc>
        <w:tc>
          <w:tcPr>
            <w:tcW w:w="0" w:type="auto"/>
            <w:tcBorders>
              <w:right w:val="nil"/>
            </w:tcBorders>
            <w:shd w:val="clear" w:color="auto" w:fill="auto"/>
          </w:tcPr>
          <w:p w:rsidR="004952A5" w:rsidRPr="004E338F" w:rsidRDefault="004952A5" w:rsidP="005C0C71">
            <w:pPr>
              <w:keepNext/>
              <w:keepLines/>
              <w:spacing w:after="0"/>
              <w:jc w:val="center"/>
              <w:rPr>
                <w:rFonts w:ascii="Times New Roman" w:hAnsi="Times New Roman" w:cs="Times New Roman"/>
                <w:szCs w:val="24"/>
                <w:lang w:val="en-GB"/>
              </w:rPr>
            </w:pPr>
            <w:r w:rsidRPr="004E338F">
              <w:rPr>
                <w:rFonts w:ascii="Times New Roman" w:hAnsi="Times New Roman" w:cs="Times New Roman"/>
                <w:szCs w:val="24"/>
                <w:lang w:val="en-GB"/>
              </w:rPr>
              <w:t>1% (1/107)</w:t>
            </w:r>
          </w:p>
        </w:tc>
      </w:tr>
      <w:tr w:rsidR="004952A5" w:rsidRPr="004E338F" w:rsidTr="005C0C71">
        <w:trPr>
          <w:cantSplit/>
        </w:trPr>
        <w:tc>
          <w:tcPr>
            <w:tcW w:w="0" w:type="auto"/>
            <w:tcBorders>
              <w:left w:val="nil"/>
              <w:bottom w:val="single" w:sz="12" w:space="0" w:color="auto"/>
            </w:tcBorders>
            <w:shd w:val="clear" w:color="auto" w:fill="auto"/>
          </w:tcPr>
          <w:p w:rsidR="004952A5" w:rsidRPr="004E338F" w:rsidRDefault="004952A5" w:rsidP="005C0C71">
            <w:pPr>
              <w:keepNext/>
              <w:keepLines/>
              <w:spacing w:after="0"/>
              <w:rPr>
                <w:rFonts w:ascii="Times New Roman" w:hAnsi="Times New Roman" w:cs="Times New Roman"/>
                <w:szCs w:val="24"/>
                <w:vertAlign w:val="superscript"/>
                <w:lang w:val="en-GB"/>
              </w:rPr>
            </w:pPr>
            <w:r w:rsidRPr="004E338F">
              <w:rPr>
                <w:rFonts w:ascii="Times New Roman" w:hAnsi="Times New Roman" w:cs="Times New Roman"/>
                <w:szCs w:val="24"/>
                <w:lang w:val="en-GB"/>
              </w:rPr>
              <w:t>Other</w:t>
            </w:r>
            <w:r w:rsidRPr="004E338F">
              <w:rPr>
                <w:rFonts w:ascii="Times New Roman" w:hAnsi="Times New Roman" w:cs="Times New Roman"/>
                <w:szCs w:val="24"/>
                <w:vertAlign w:val="superscript"/>
                <w:lang w:val="en-GB"/>
              </w:rPr>
              <w:t>b</w:t>
            </w:r>
          </w:p>
        </w:tc>
        <w:tc>
          <w:tcPr>
            <w:tcW w:w="0" w:type="auto"/>
            <w:tcBorders>
              <w:bottom w:val="single" w:sz="12" w:space="0" w:color="auto"/>
            </w:tcBorders>
            <w:shd w:val="clear" w:color="auto" w:fill="auto"/>
          </w:tcPr>
          <w:p w:rsidR="004952A5" w:rsidRPr="004E338F" w:rsidRDefault="004952A5" w:rsidP="005C0C71">
            <w:pPr>
              <w:keepNext/>
              <w:keepLines/>
              <w:spacing w:after="0"/>
              <w:jc w:val="center"/>
              <w:rPr>
                <w:rFonts w:ascii="Times New Roman" w:hAnsi="Times New Roman" w:cs="Times New Roman"/>
                <w:szCs w:val="24"/>
                <w:lang w:val="en-GB"/>
              </w:rPr>
            </w:pPr>
            <w:r w:rsidRPr="004E338F">
              <w:rPr>
                <w:rFonts w:ascii="Times New Roman" w:hAnsi="Times New Roman" w:cs="Times New Roman"/>
                <w:szCs w:val="24"/>
                <w:lang w:val="en-GB"/>
              </w:rPr>
              <w:t>2% (2/110)</w:t>
            </w:r>
          </w:p>
        </w:tc>
        <w:tc>
          <w:tcPr>
            <w:tcW w:w="0" w:type="auto"/>
            <w:tcBorders>
              <w:bottom w:val="single" w:sz="12" w:space="0" w:color="auto"/>
              <w:right w:val="nil"/>
            </w:tcBorders>
            <w:shd w:val="clear" w:color="auto" w:fill="auto"/>
          </w:tcPr>
          <w:p w:rsidR="004952A5" w:rsidRPr="004E338F" w:rsidRDefault="004952A5" w:rsidP="005C0C71">
            <w:pPr>
              <w:keepNext/>
              <w:keepLines/>
              <w:spacing w:after="0"/>
              <w:jc w:val="center"/>
              <w:rPr>
                <w:rFonts w:ascii="Times New Roman" w:hAnsi="Times New Roman" w:cs="Times New Roman"/>
                <w:szCs w:val="24"/>
                <w:lang w:val="en-GB"/>
              </w:rPr>
            </w:pPr>
            <w:r w:rsidRPr="004E338F">
              <w:rPr>
                <w:rFonts w:ascii="Times New Roman" w:hAnsi="Times New Roman" w:cs="Times New Roman"/>
                <w:szCs w:val="24"/>
                <w:lang w:val="en-GB"/>
              </w:rPr>
              <w:t>2% (2/109)</w:t>
            </w:r>
          </w:p>
        </w:tc>
      </w:tr>
    </w:tbl>
    <w:p w:rsidR="004952A5" w:rsidRPr="004E338F" w:rsidRDefault="004952A5" w:rsidP="004952A5">
      <w:pPr>
        <w:autoSpaceDE w:val="0"/>
        <w:autoSpaceDN w:val="0"/>
        <w:adjustRightInd w:val="0"/>
        <w:spacing w:after="0"/>
        <w:rPr>
          <w:rFonts w:ascii="Times New Roman" w:eastAsia="SimSun" w:hAnsi="Times New Roman" w:cs="Times New Roman"/>
          <w:sz w:val="16"/>
          <w:szCs w:val="16"/>
          <w:lang w:val="en-GB" w:eastAsia="en-GB"/>
        </w:rPr>
      </w:pPr>
      <w:r w:rsidRPr="004E338F">
        <w:rPr>
          <w:rFonts w:ascii="Times New Roman" w:eastAsia="SimSun" w:hAnsi="Times New Roman" w:cs="Times New Roman"/>
          <w:sz w:val="16"/>
          <w:szCs w:val="16"/>
          <w:lang w:val="en-GB" w:eastAsia="en-GB"/>
        </w:rPr>
        <w:t>a The denominator for relapse is the number of patients with HCV RNA &lt; LLOQ at their last on-treatment assessment.</w:t>
      </w:r>
    </w:p>
    <w:p w:rsidR="004952A5" w:rsidRPr="004E338F" w:rsidRDefault="004952A5" w:rsidP="004952A5">
      <w:pPr>
        <w:spacing w:after="0"/>
        <w:rPr>
          <w:rFonts w:ascii="Times New Roman" w:hAnsi="Times New Roman" w:cs="Times New Roman"/>
          <w:sz w:val="16"/>
          <w:szCs w:val="16"/>
          <w:lang w:val="en-GB"/>
        </w:rPr>
      </w:pPr>
      <w:r w:rsidRPr="004E338F">
        <w:rPr>
          <w:rFonts w:ascii="Times New Roman" w:hAnsi="Times New Roman" w:cs="Times New Roman"/>
          <w:sz w:val="16"/>
          <w:szCs w:val="16"/>
          <w:lang w:val="en-GB"/>
        </w:rPr>
        <w:t>b Other includes patients with missing data and those who discontinued treatment prior to virologic suppression.</w:t>
      </w:r>
    </w:p>
    <w:p w:rsidR="004952A5" w:rsidRDefault="004952A5" w:rsidP="004952A5">
      <w:pPr>
        <w:rPr>
          <w:lang w:val="en-US"/>
        </w:rPr>
      </w:pPr>
    </w:p>
    <w:p w:rsidR="004952A5" w:rsidRDefault="004952A5" w:rsidP="00AC2129">
      <w:pPr>
        <w:spacing w:before="120" w:after="240" w:line="240" w:lineRule="auto"/>
        <w:rPr>
          <w:rFonts w:ascii="Times New Roman" w:hAnsi="Times New Roman" w:cs="Times New Roman"/>
          <w:sz w:val="24"/>
          <w:szCs w:val="24"/>
          <w:lang w:val="en-GB"/>
        </w:rPr>
      </w:pPr>
      <w:r w:rsidRPr="004E338F">
        <w:rPr>
          <w:rFonts w:ascii="Times New Roman" w:hAnsi="Times New Roman" w:cs="Times New Roman"/>
          <w:sz w:val="24"/>
          <w:szCs w:val="24"/>
          <w:lang w:val="en-GB"/>
        </w:rPr>
        <w:t>The SVR12 rate for each treatment group was statistically superior relative to the prespecified SVR12 performance goal of 83% (p &lt; 0.001 for both groups).</w:t>
      </w:r>
    </w:p>
    <w:p w:rsidR="00AC2129" w:rsidRPr="004469C5" w:rsidRDefault="00AC2129" w:rsidP="004469C5">
      <w:pPr>
        <w:pStyle w:val="Heading2"/>
        <w:rPr>
          <w:rFonts w:ascii="Times New Roman" w:hAnsi="Times New Roman" w:cs="Times New Roman"/>
          <w:lang w:val="en-GB"/>
        </w:rPr>
      </w:pPr>
      <w:r w:rsidRPr="004469C5">
        <w:rPr>
          <w:rFonts w:ascii="Times New Roman" w:hAnsi="Times New Roman" w:cs="Times New Roman"/>
          <w:lang w:val="en-GB"/>
        </w:rPr>
        <w:t>PHARMACOKINETIC PROPERTIES</w:t>
      </w:r>
    </w:p>
    <w:p w:rsidR="001A3992" w:rsidRPr="004E338F" w:rsidRDefault="001A3992" w:rsidP="00AC2129">
      <w:pPr>
        <w:pStyle w:val="Heading3"/>
        <w:spacing w:before="120" w:after="240" w:line="240" w:lineRule="auto"/>
        <w:ind w:left="0"/>
        <w:rPr>
          <w:rFonts w:ascii="Times New Roman" w:hAnsi="Times New Roman" w:cs="Times New Roman"/>
        </w:rPr>
      </w:pPr>
      <w:r w:rsidRPr="004E338F">
        <w:rPr>
          <w:rFonts w:ascii="Times New Roman" w:hAnsi="Times New Roman" w:cs="Times New Roman"/>
        </w:rPr>
        <w:t>Absorption</w:t>
      </w:r>
    </w:p>
    <w:p w:rsidR="004952A5" w:rsidRPr="004E338F" w:rsidRDefault="004952A5"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The pharmacokinetic properties of sofosbuvir, GS</w:t>
      </w:r>
      <w:r w:rsidRPr="004E338F">
        <w:rPr>
          <w:rFonts w:ascii="Times New Roman" w:hAnsi="Times New Roman" w:cs="Times New Roman"/>
          <w:sz w:val="24"/>
          <w:szCs w:val="24"/>
        </w:rPr>
        <w:noBreakHyphen/>
        <w:t>331007, velpatasvir and voxilaprevir have been evaluated in healthy adult patients and in patients with chronic hepatitis C.  Following oral administration of VOSEVI, sofosbuvir was absorbed quickly and the peak median plasma concentration was observed 2 hours post</w:t>
      </w:r>
      <w:r w:rsidRPr="004E338F">
        <w:rPr>
          <w:rFonts w:ascii="Times New Roman" w:hAnsi="Times New Roman" w:cs="Times New Roman"/>
          <w:sz w:val="24"/>
          <w:szCs w:val="24"/>
        </w:rPr>
        <w:noBreakHyphen/>
        <w:t>dose.  Median peak plasma concentration of GS</w:t>
      </w:r>
      <w:r w:rsidRPr="004E338F">
        <w:rPr>
          <w:rFonts w:ascii="Times New Roman" w:hAnsi="Times New Roman" w:cs="Times New Roman"/>
          <w:sz w:val="24"/>
          <w:szCs w:val="24"/>
        </w:rPr>
        <w:noBreakHyphen/>
        <w:t>331007 was observed 4 hours post</w:t>
      </w:r>
      <w:r w:rsidRPr="004E338F">
        <w:rPr>
          <w:rFonts w:ascii="Times New Roman" w:hAnsi="Times New Roman" w:cs="Times New Roman"/>
          <w:sz w:val="24"/>
          <w:szCs w:val="24"/>
        </w:rPr>
        <w:noBreakHyphen/>
        <w:t>dose.  Velpatasvir median peak concentrations were observed at 4 hours post</w:t>
      </w:r>
      <w:r w:rsidRPr="004E338F">
        <w:rPr>
          <w:rFonts w:ascii="Times New Roman" w:hAnsi="Times New Roman" w:cs="Times New Roman"/>
          <w:sz w:val="24"/>
          <w:szCs w:val="24"/>
        </w:rPr>
        <w:noBreakHyphen/>
        <w:t>dose.  Voxilaprevir median peak concentrations were observed 4 hours post-dose.</w:t>
      </w:r>
    </w:p>
    <w:p w:rsidR="004952A5" w:rsidRPr="004E338F" w:rsidRDefault="004952A5"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Based on the population pharmacokinetic analysis in HCV-infected patients, mean steady-state AUC</w:t>
      </w:r>
      <w:r w:rsidRPr="004E338F">
        <w:rPr>
          <w:rFonts w:ascii="Times New Roman" w:hAnsi="Times New Roman" w:cs="Times New Roman"/>
          <w:sz w:val="24"/>
          <w:szCs w:val="24"/>
          <w:vertAlign w:val="subscript"/>
        </w:rPr>
        <w:t>0</w:t>
      </w:r>
      <w:r w:rsidRPr="004E338F">
        <w:rPr>
          <w:rFonts w:ascii="Times New Roman" w:hAnsi="Times New Roman" w:cs="Times New Roman"/>
          <w:sz w:val="24"/>
          <w:szCs w:val="24"/>
          <w:vertAlign w:val="subscript"/>
        </w:rPr>
        <w:noBreakHyphen/>
        <w:t xml:space="preserve">24 </w:t>
      </w:r>
      <w:r w:rsidRPr="004E338F">
        <w:rPr>
          <w:rFonts w:ascii="Times New Roman" w:hAnsi="Times New Roman" w:cs="Times New Roman"/>
          <w:sz w:val="24"/>
          <w:szCs w:val="24"/>
        </w:rPr>
        <w:t>and C</w:t>
      </w:r>
      <w:r w:rsidRPr="004E338F">
        <w:rPr>
          <w:rFonts w:ascii="Times New Roman" w:hAnsi="Times New Roman" w:cs="Times New Roman"/>
          <w:sz w:val="24"/>
          <w:szCs w:val="24"/>
          <w:vertAlign w:val="subscript"/>
        </w:rPr>
        <w:t>max</w:t>
      </w:r>
      <w:r w:rsidRPr="004E338F">
        <w:rPr>
          <w:rFonts w:ascii="Times New Roman" w:hAnsi="Times New Roman" w:cs="Times New Roman"/>
          <w:sz w:val="24"/>
          <w:szCs w:val="24"/>
        </w:rPr>
        <w:t xml:space="preserve"> for sofosbuvir (n = 1038) were 1665 ng•hr/mL and 678 ng/mL, respectively; mean steady-state AUC</w:t>
      </w:r>
      <w:r w:rsidRPr="004E338F">
        <w:rPr>
          <w:rFonts w:ascii="Times New Roman" w:hAnsi="Times New Roman" w:cs="Times New Roman"/>
          <w:sz w:val="24"/>
          <w:szCs w:val="24"/>
          <w:vertAlign w:val="subscript"/>
        </w:rPr>
        <w:t xml:space="preserve">0-24 </w:t>
      </w:r>
      <w:r w:rsidRPr="004E338F">
        <w:rPr>
          <w:rFonts w:ascii="Times New Roman" w:hAnsi="Times New Roman" w:cs="Times New Roman"/>
          <w:sz w:val="24"/>
          <w:szCs w:val="24"/>
        </w:rPr>
        <w:t>and C</w:t>
      </w:r>
      <w:r w:rsidRPr="004E338F">
        <w:rPr>
          <w:rFonts w:ascii="Times New Roman" w:hAnsi="Times New Roman" w:cs="Times New Roman"/>
          <w:sz w:val="24"/>
          <w:szCs w:val="24"/>
          <w:vertAlign w:val="subscript"/>
        </w:rPr>
        <w:t>max</w:t>
      </w:r>
      <w:r w:rsidRPr="004E338F">
        <w:rPr>
          <w:rFonts w:ascii="Times New Roman" w:hAnsi="Times New Roman" w:cs="Times New Roman"/>
          <w:sz w:val="24"/>
          <w:szCs w:val="24"/>
        </w:rPr>
        <w:t xml:space="preserve"> for GS-331007 (n = 1593) were </w:t>
      </w:r>
      <w:r w:rsidRPr="004E338F">
        <w:rPr>
          <w:rFonts w:ascii="Times New Roman" w:hAnsi="Times New Roman" w:cs="Times New Roman"/>
          <w:sz w:val="24"/>
          <w:szCs w:val="24"/>
        </w:rPr>
        <w:lastRenderedPageBreak/>
        <w:t>12834 ng•hr/mL and 744 ng/mL, respectively; mean steady-state AUC</w:t>
      </w:r>
      <w:r w:rsidRPr="004E338F">
        <w:rPr>
          <w:rFonts w:ascii="Times New Roman" w:hAnsi="Times New Roman" w:cs="Times New Roman"/>
          <w:sz w:val="24"/>
          <w:szCs w:val="24"/>
          <w:vertAlign w:val="subscript"/>
        </w:rPr>
        <w:t xml:space="preserve">0-24 </w:t>
      </w:r>
      <w:r w:rsidRPr="004E338F">
        <w:rPr>
          <w:rFonts w:ascii="Times New Roman" w:hAnsi="Times New Roman" w:cs="Times New Roman"/>
          <w:sz w:val="24"/>
          <w:szCs w:val="24"/>
        </w:rPr>
        <w:t>and C</w:t>
      </w:r>
      <w:r w:rsidRPr="004E338F">
        <w:rPr>
          <w:rFonts w:ascii="Times New Roman" w:hAnsi="Times New Roman" w:cs="Times New Roman"/>
          <w:sz w:val="24"/>
          <w:szCs w:val="24"/>
          <w:vertAlign w:val="subscript"/>
        </w:rPr>
        <w:t>max</w:t>
      </w:r>
      <w:r w:rsidRPr="004E338F">
        <w:rPr>
          <w:rFonts w:ascii="Times New Roman" w:hAnsi="Times New Roman" w:cs="Times New Roman"/>
          <w:sz w:val="24"/>
          <w:szCs w:val="24"/>
        </w:rPr>
        <w:t xml:space="preserve"> for velpatasvir (n = 1595) were 4041 ng•hr/mL and 311 ng/mL, respectively; mean steady-state AUC</w:t>
      </w:r>
      <w:r w:rsidRPr="004E338F">
        <w:rPr>
          <w:rFonts w:ascii="Times New Roman" w:hAnsi="Times New Roman" w:cs="Times New Roman"/>
          <w:sz w:val="24"/>
          <w:szCs w:val="24"/>
          <w:vertAlign w:val="subscript"/>
        </w:rPr>
        <w:t xml:space="preserve">0-24 </w:t>
      </w:r>
      <w:r w:rsidRPr="004E338F">
        <w:rPr>
          <w:rFonts w:ascii="Times New Roman" w:hAnsi="Times New Roman" w:cs="Times New Roman"/>
          <w:sz w:val="24"/>
          <w:szCs w:val="24"/>
        </w:rPr>
        <w:t>and C</w:t>
      </w:r>
      <w:r w:rsidRPr="004E338F">
        <w:rPr>
          <w:rFonts w:ascii="Times New Roman" w:hAnsi="Times New Roman" w:cs="Times New Roman"/>
          <w:sz w:val="24"/>
          <w:szCs w:val="24"/>
          <w:vertAlign w:val="subscript"/>
        </w:rPr>
        <w:t>max</w:t>
      </w:r>
      <w:r w:rsidRPr="004E338F">
        <w:rPr>
          <w:rFonts w:ascii="Times New Roman" w:hAnsi="Times New Roman" w:cs="Times New Roman"/>
          <w:sz w:val="24"/>
          <w:szCs w:val="24"/>
        </w:rPr>
        <w:t xml:space="preserve"> for voxilaprevir (n = 1591) were 2577 ng•hr/mL and 192 ng/mL, respectively.  Sofosbuvir and GS-331007 AUC</w:t>
      </w:r>
      <w:r w:rsidRPr="004E338F">
        <w:rPr>
          <w:rFonts w:ascii="Times New Roman" w:hAnsi="Times New Roman" w:cs="Times New Roman"/>
          <w:sz w:val="24"/>
          <w:szCs w:val="24"/>
          <w:vertAlign w:val="subscript"/>
        </w:rPr>
        <w:t xml:space="preserve">0-24 </w:t>
      </w:r>
      <w:r w:rsidRPr="004E338F">
        <w:rPr>
          <w:rFonts w:ascii="Times New Roman" w:hAnsi="Times New Roman" w:cs="Times New Roman"/>
          <w:sz w:val="24"/>
          <w:szCs w:val="24"/>
        </w:rPr>
        <w:t>and C</w:t>
      </w:r>
      <w:r w:rsidRPr="004E338F">
        <w:rPr>
          <w:rFonts w:ascii="Times New Roman" w:hAnsi="Times New Roman" w:cs="Times New Roman"/>
          <w:sz w:val="24"/>
          <w:szCs w:val="24"/>
          <w:vertAlign w:val="subscript"/>
        </w:rPr>
        <w:t>max</w:t>
      </w:r>
      <w:r w:rsidRPr="004E338F">
        <w:rPr>
          <w:rFonts w:ascii="Times New Roman" w:hAnsi="Times New Roman" w:cs="Times New Roman"/>
          <w:sz w:val="24"/>
          <w:szCs w:val="24"/>
        </w:rPr>
        <w:t xml:space="preserve"> were similar in healthy adult patients and in patients with HCV infection.  Relative to healthy patients (n = 137), velpatasvir AUC</w:t>
      </w:r>
      <w:r w:rsidRPr="004E338F">
        <w:rPr>
          <w:rFonts w:ascii="Times New Roman" w:hAnsi="Times New Roman" w:cs="Times New Roman"/>
          <w:sz w:val="24"/>
          <w:szCs w:val="24"/>
          <w:vertAlign w:val="subscript"/>
        </w:rPr>
        <w:t xml:space="preserve">0-24 </w:t>
      </w:r>
      <w:r w:rsidRPr="004E338F">
        <w:rPr>
          <w:rFonts w:ascii="Times New Roman" w:hAnsi="Times New Roman" w:cs="Times New Roman"/>
          <w:sz w:val="24"/>
          <w:szCs w:val="24"/>
        </w:rPr>
        <w:t>and C</w:t>
      </w:r>
      <w:r w:rsidRPr="004E338F">
        <w:rPr>
          <w:rFonts w:ascii="Times New Roman" w:hAnsi="Times New Roman" w:cs="Times New Roman"/>
          <w:sz w:val="24"/>
          <w:szCs w:val="24"/>
          <w:vertAlign w:val="subscript"/>
        </w:rPr>
        <w:t>max</w:t>
      </w:r>
      <w:r w:rsidRPr="004E338F">
        <w:rPr>
          <w:rFonts w:ascii="Times New Roman" w:hAnsi="Times New Roman" w:cs="Times New Roman"/>
          <w:sz w:val="24"/>
          <w:szCs w:val="24"/>
        </w:rPr>
        <w:t xml:space="preserve"> were 41% lower and 39% lower, respectively, in HCV-infected patients.  Relative to healthy patients (n = 63), voxilaprevir AUC</w:t>
      </w:r>
      <w:r w:rsidRPr="004E338F">
        <w:rPr>
          <w:rFonts w:ascii="Times New Roman" w:hAnsi="Times New Roman" w:cs="Times New Roman"/>
          <w:sz w:val="24"/>
          <w:szCs w:val="24"/>
          <w:vertAlign w:val="subscript"/>
        </w:rPr>
        <w:t xml:space="preserve">0-24 </w:t>
      </w:r>
      <w:r w:rsidRPr="004E338F">
        <w:rPr>
          <w:rFonts w:ascii="Times New Roman" w:hAnsi="Times New Roman" w:cs="Times New Roman"/>
          <w:sz w:val="24"/>
          <w:szCs w:val="24"/>
        </w:rPr>
        <w:t>and C</w:t>
      </w:r>
      <w:r w:rsidRPr="004E338F">
        <w:rPr>
          <w:rFonts w:ascii="Times New Roman" w:hAnsi="Times New Roman" w:cs="Times New Roman"/>
          <w:sz w:val="24"/>
          <w:szCs w:val="24"/>
          <w:vertAlign w:val="subscript"/>
        </w:rPr>
        <w:t>max</w:t>
      </w:r>
      <w:r w:rsidRPr="004E338F">
        <w:rPr>
          <w:rFonts w:ascii="Times New Roman" w:hAnsi="Times New Roman" w:cs="Times New Roman"/>
          <w:sz w:val="24"/>
          <w:szCs w:val="24"/>
        </w:rPr>
        <w:t xml:space="preserve"> were both 260% higher in HCV-infected patients</w:t>
      </w:r>
      <w:r w:rsidR="004E338F" w:rsidRPr="004E338F">
        <w:rPr>
          <w:rFonts w:ascii="Times New Roman" w:hAnsi="Times New Roman" w:cs="Times New Roman"/>
          <w:sz w:val="24"/>
          <w:szCs w:val="24"/>
        </w:rPr>
        <w:t>.</w:t>
      </w:r>
    </w:p>
    <w:p w:rsidR="001A3992" w:rsidRPr="004469C5" w:rsidRDefault="001A3992" w:rsidP="00AC2129">
      <w:pPr>
        <w:pStyle w:val="Heading3"/>
        <w:spacing w:before="120" w:after="240" w:line="240" w:lineRule="auto"/>
        <w:ind w:left="0"/>
        <w:rPr>
          <w:rFonts w:ascii="Times New Roman" w:hAnsi="Times New Roman" w:cs="Times New Roman"/>
        </w:rPr>
      </w:pPr>
      <w:r w:rsidRPr="004469C5">
        <w:rPr>
          <w:rFonts w:ascii="Times New Roman" w:hAnsi="Times New Roman" w:cs="Times New Roman"/>
        </w:rPr>
        <w:t>Distribution</w:t>
      </w:r>
    </w:p>
    <w:p w:rsidR="004952A5" w:rsidRPr="004E338F" w:rsidRDefault="004952A5"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Sofosbuvir is approximately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61</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 xml:space="preserve">65% bound to human plasma proteins and the binding is independent of drug concentration over the range </w:t>
      </w:r>
      <w:r w:rsidRPr="006E68ED">
        <w:rPr>
          <w:rFonts w:ascii="Times New Roman" w:hAnsi="Times New Roman" w:cs="Times New Roman"/>
          <w:sz w:val="24"/>
          <w:szCs w:val="24"/>
        </w:rPr>
        <w:t>of 1</w:t>
      </w:r>
      <w:r w:rsidRPr="006E68ED">
        <w:rPr>
          <w:rFonts w:ascii="Times New Roman" w:hAnsi="Times New Roman" w:cs="Times New Roman"/>
          <w:spacing w:val="1"/>
          <w:sz w:val="24"/>
          <w:szCs w:val="24"/>
        </w:rPr>
        <w:t xml:space="preserve"> </w:t>
      </w:r>
      <w:r w:rsidR="006E68ED" w:rsidRPr="006E68ED">
        <w:rPr>
          <w:rFonts w:ascii="Symbol" w:eastAsia="Symbol" w:hAnsi="Symbol" w:cs="Symbol"/>
          <w:spacing w:val="-1"/>
        </w:rPr>
        <w:t></w:t>
      </w:r>
      <w:r w:rsidR="006E68ED" w:rsidRPr="00CE59A7">
        <w:rPr>
          <w:rFonts w:ascii="Times New Roman" w:hAnsi="Times New Roman" w:cs="Times New Roman"/>
          <w:sz w:val="24"/>
          <w:szCs w:val="24"/>
        </w:rPr>
        <w:t>g</w:t>
      </w:r>
      <w:r w:rsidRPr="00CE59A7">
        <w:rPr>
          <w:rFonts w:ascii="Times New Roman" w:hAnsi="Times New Roman" w:cs="Times New Roman"/>
          <w:sz w:val="24"/>
          <w:szCs w:val="24"/>
        </w:rPr>
        <w:t>/mL</w:t>
      </w:r>
      <w:r w:rsidRPr="006E68ED">
        <w:rPr>
          <w:rFonts w:ascii="Times New Roman" w:hAnsi="Times New Roman" w:cs="Times New Roman"/>
          <w:sz w:val="24"/>
          <w:szCs w:val="24"/>
        </w:rPr>
        <w:t xml:space="preserve"> to 20</w:t>
      </w:r>
      <w:r w:rsidRPr="006E68ED">
        <w:rPr>
          <w:rFonts w:ascii="Times New Roman" w:hAnsi="Times New Roman" w:cs="Times New Roman"/>
          <w:spacing w:val="2"/>
          <w:sz w:val="24"/>
          <w:szCs w:val="24"/>
        </w:rPr>
        <w:t xml:space="preserve"> </w:t>
      </w:r>
      <w:r w:rsidR="006E68ED" w:rsidRPr="006E68ED">
        <w:rPr>
          <w:rFonts w:ascii="Symbol" w:eastAsia="Symbol" w:hAnsi="Symbol" w:cs="Symbol"/>
          <w:spacing w:val="-1"/>
        </w:rPr>
        <w:t></w:t>
      </w:r>
      <w:r w:rsidR="006E68ED" w:rsidRPr="00CE59A7">
        <w:rPr>
          <w:rFonts w:ascii="Times New Roman" w:hAnsi="Times New Roman" w:cs="Times New Roman"/>
          <w:sz w:val="24"/>
          <w:szCs w:val="24"/>
        </w:rPr>
        <w:t>g</w:t>
      </w:r>
      <w:r w:rsidRPr="00CE59A7">
        <w:rPr>
          <w:rFonts w:ascii="Times New Roman" w:hAnsi="Times New Roman" w:cs="Times New Roman"/>
          <w:sz w:val="24"/>
          <w:szCs w:val="24"/>
        </w:rPr>
        <w:t>/mL</w:t>
      </w:r>
      <w:r w:rsidRPr="004E338F">
        <w:rPr>
          <w:rFonts w:ascii="Times New Roman" w:hAnsi="Times New Roman" w:cs="Times New Roman"/>
          <w:sz w:val="24"/>
          <w:szCs w:val="24"/>
        </w:rPr>
        <w:t xml:space="preserve">. Protein binding of </w:t>
      </w:r>
      <w:r w:rsidRPr="004E338F">
        <w:rPr>
          <w:rFonts w:ascii="Times New Roman" w:hAnsi="Times New Roman" w:cs="Times New Roman"/>
          <w:spacing w:val="-1"/>
          <w:sz w:val="24"/>
          <w:szCs w:val="24"/>
        </w:rPr>
        <w:t>G</w:t>
      </w:r>
      <w:r w:rsidRPr="004E338F">
        <w:rPr>
          <w:rFonts w:ascii="Times New Roman" w:hAnsi="Times New Roman" w:cs="Times New Roman"/>
          <w:spacing w:val="1"/>
          <w:sz w:val="24"/>
          <w:szCs w:val="24"/>
        </w:rPr>
        <w:t>S</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331007 was minimal in human plasma. After a single 400 mg dose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2"/>
          <w:sz w:val="24"/>
          <w:szCs w:val="24"/>
        </w:rPr>
        <w:t>]</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sofosbuvir in healthy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 xml:space="preserve">patients, the blood to plasma ratio of </w:t>
      </w:r>
      <w:r w:rsidRPr="004E338F">
        <w:rPr>
          <w:rFonts w:ascii="Times New Roman" w:hAnsi="Times New Roman" w:cs="Times New Roman"/>
          <w:sz w:val="24"/>
          <w:szCs w:val="24"/>
          <w:vertAlign w:val="superscript"/>
        </w:rPr>
        <w:t>14</w:t>
      </w:r>
      <w:r w:rsidRPr="004E338F">
        <w:rPr>
          <w:rFonts w:ascii="Times New Roman" w:hAnsi="Times New Roman" w:cs="Times New Roman"/>
          <w:spacing w:val="1"/>
          <w:sz w:val="24"/>
          <w:szCs w:val="24"/>
        </w:rPr>
        <w:t>C</w:t>
      </w:r>
      <w:r w:rsidRPr="004E338F">
        <w:rPr>
          <w:rFonts w:ascii="Times New Roman" w:hAnsi="Times New Roman" w:cs="Times New Roman"/>
          <w:spacing w:val="2"/>
          <w:sz w:val="24"/>
          <w:szCs w:val="24"/>
        </w:rPr>
        <w:t>-</w:t>
      </w:r>
      <w:r w:rsidRPr="004E338F">
        <w:rPr>
          <w:rFonts w:ascii="Times New Roman" w:hAnsi="Times New Roman" w:cs="Times New Roman"/>
          <w:sz w:val="24"/>
          <w:szCs w:val="24"/>
        </w:rPr>
        <w:t>radioactivity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was approximately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0.7.</w:t>
      </w:r>
    </w:p>
    <w:p w:rsidR="004952A5" w:rsidRPr="004E338F" w:rsidRDefault="004952A5"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Velpatasvir is &gt;99% bound to human plasma proteins and binding is independent of drug concentration over the range of 0.</w:t>
      </w:r>
      <w:r w:rsidRPr="006E68ED">
        <w:rPr>
          <w:rFonts w:ascii="Times New Roman" w:hAnsi="Times New Roman" w:cs="Times New Roman"/>
          <w:sz w:val="24"/>
          <w:szCs w:val="24"/>
        </w:rPr>
        <w:t>09</w:t>
      </w:r>
      <w:r w:rsidRPr="006E68ED">
        <w:rPr>
          <w:rFonts w:ascii="Times New Roman" w:hAnsi="Times New Roman" w:cs="Times New Roman"/>
          <w:spacing w:val="2"/>
          <w:sz w:val="24"/>
          <w:szCs w:val="24"/>
        </w:rPr>
        <w:t xml:space="preserve"> </w:t>
      </w:r>
      <w:r w:rsidR="006E68ED" w:rsidRPr="006E68ED">
        <w:rPr>
          <w:rFonts w:ascii="Symbol" w:eastAsia="Symbol" w:hAnsi="Symbol" w:cs="Symbol"/>
          <w:spacing w:val="-1"/>
        </w:rPr>
        <w:t></w:t>
      </w:r>
      <w:r w:rsidR="006E68ED" w:rsidRPr="00CE59A7">
        <w:rPr>
          <w:rFonts w:ascii="Times New Roman" w:hAnsi="Times New Roman" w:cs="Times New Roman"/>
          <w:sz w:val="24"/>
          <w:szCs w:val="24"/>
        </w:rPr>
        <w:t>g</w:t>
      </w:r>
      <w:r w:rsidRPr="00CE59A7">
        <w:rPr>
          <w:rFonts w:ascii="Times New Roman" w:hAnsi="Times New Roman" w:cs="Times New Roman"/>
          <w:sz w:val="24"/>
          <w:szCs w:val="24"/>
        </w:rPr>
        <w:t>/mL</w:t>
      </w:r>
      <w:r w:rsidRPr="006E68ED">
        <w:rPr>
          <w:rFonts w:ascii="Times New Roman" w:hAnsi="Times New Roman" w:cs="Times New Roman"/>
          <w:sz w:val="24"/>
          <w:szCs w:val="24"/>
        </w:rPr>
        <w:t xml:space="preserve"> to 1.8</w:t>
      </w:r>
      <w:r w:rsidRPr="006E68ED">
        <w:rPr>
          <w:rFonts w:ascii="Times New Roman" w:hAnsi="Times New Roman" w:cs="Times New Roman"/>
          <w:spacing w:val="2"/>
          <w:sz w:val="24"/>
          <w:szCs w:val="24"/>
        </w:rPr>
        <w:t xml:space="preserve"> </w:t>
      </w:r>
      <w:r w:rsidR="006E68ED" w:rsidRPr="006E68ED">
        <w:rPr>
          <w:rFonts w:ascii="Symbol" w:eastAsia="Symbol" w:hAnsi="Symbol" w:cs="Symbol"/>
          <w:spacing w:val="-1"/>
        </w:rPr>
        <w:t></w:t>
      </w:r>
      <w:r w:rsidR="006E68ED" w:rsidRPr="00CE59A7">
        <w:rPr>
          <w:rFonts w:ascii="Times New Roman" w:hAnsi="Times New Roman" w:cs="Times New Roman"/>
          <w:sz w:val="24"/>
          <w:szCs w:val="24"/>
        </w:rPr>
        <w:t>g</w:t>
      </w:r>
      <w:r w:rsidRPr="00CE59A7">
        <w:rPr>
          <w:rFonts w:ascii="Times New Roman" w:hAnsi="Times New Roman" w:cs="Times New Roman"/>
          <w:sz w:val="24"/>
          <w:szCs w:val="24"/>
        </w:rPr>
        <w:t>/m</w:t>
      </w:r>
      <w:r w:rsidRPr="00CE59A7">
        <w:rPr>
          <w:rFonts w:ascii="Times New Roman" w:hAnsi="Times New Roman" w:cs="Times New Roman"/>
          <w:spacing w:val="-5"/>
          <w:sz w:val="24"/>
          <w:szCs w:val="24"/>
        </w:rPr>
        <w:t>L</w:t>
      </w:r>
      <w:r w:rsidRPr="00CE59A7">
        <w:rPr>
          <w:rFonts w:ascii="Times New Roman" w:hAnsi="Times New Roman" w:cs="Times New Roman"/>
          <w:sz w:val="24"/>
          <w:szCs w:val="24"/>
        </w:rPr>
        <w:t xml:space="preserve">. </w:t>
      </w:r>
      <w:r w:rsidRPr="006E68ED">
        <w:rPr>
          <w:rFonts w:ascii="Times New Roman" w:hAnsi="Times New Roman" w:cs="Times New Roman"/>
          <w:sz w:val="24"/>
          <w:szCs w:val="24"/>
        </w:rPr>
        <w:t>After</w:t>
      </w:r>
      <w:r w:rsidRPr="004E338F">
        <w:rPr>
          <w:rFonts w:ascii="Times New Roman" w:hAnsi="Times New Roman" w:cs="Times New Roman"/>
          <w:sz w:val="24"/>
          <w:szCs w:val="24"/>
        </w:rPr>
        <w:t xml:space="preserve"> a sing</w:t>
      </w:r>
      <w:r w:rsidRPr="004E338F">
        <w:rPr>
          <w:rFonts w:ascii="Times New Roman" w:hAnsi="Times New Roman" w:cs="Times New Roman"/>
          <w:spacing w:val="3"/>
          <w:sz w:val="24"/>
          <w:szCs w:val="24"/>
        </w:rPr>
        <w:t>l</w:t>
      </w:r>
      <w:r w:rsidRPr="004E338F">
        <w:rPr>
          <w:rFonts w:ascii="Times New Roman" w:hAnsi="Times New Roman" w:cs="Times New Roman"/>
          <w:sz w:val="24"/>
          <w:szCs w:val="24"/>
        </w:rPr>
        <w:t>e 100 mg dose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2"/>
          <w:sz w:val="24"/>
          <w:szCs w:val="24"/>
        </w:rPr>
        <w:t>]</w:t>
      </w:r>
      <w:r w:rsidRPr="004E338F">
        <w:rPr>
          <w:rFonts w:ascii="Times New Roman" w:hAnsi="Times New Roman" w:cs="Times New Roman"/>
          <w:sz w:val="24"/>
          <w:szCs w:val="24"/>
        </w:rPr>
        <w:t>- velpatasvir in healt</w:t>
      </w:r>
      <w:r w:rsidRPr="004E338F">
        <w:rPr>
          <w:rFonts w:ascii="Times New Roman" w:hAnsi="Times New Roman" w:cs="Times New Roman"/>
          <w:spacing w:val="4"/>
          <w:sz w:val="24"/>
          <w:szCs w:val="24"/>
        </w:rPr>
        <w:t>h</w:t>
      </w:r>
      <w:r w:rsidRPr="004E338F">
        <w:rPr>
          <w:rFonts w:ascii="Times New Roman" w:hAnsi="Times New Roman" w:cs="Times New Roman"/>
          <w:sz w:val="24"/>
          <w:szCs w:val="24"/>
        </w:rPr>
        <w:t xml:space="preserve">y patients, the blood to plasma ratio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1"/>
          <w:sz w:val="24"/>
          <w:szCs w:val="24"/>
        </w:rPr>
        <w:t>-</w:t>
      </w:r>
      <w:r w:rsidRPr="004E338F">
        <w:rPr>
          <w:rFonts w:ascii="Times New Roman" w:hAnsi="Times New Roman" w:cs="Times New Roman"/>
          <w:spacing w:val="1"/>
          <w:sz w:val="24"/>
          <w:szCs w:val="24"/>
        </w:rPr>
        <w:t>radioactivit</w:t>
      </w:r>
      <w:r w:rsidRPr="004E338F">
        <w:rPr>
          <w:rFonts w:ascii="Times New Roman" w:hAnsi="Times New Roman" w:cs="Times New Roman"/>
          <w:sz w:val="24"/>
          <w:szCs w:val="24"/>
        </w:rPr>
        <w:t>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ranged between 0.5 and 0.7.</w:t>
      </w:r>
    </w:p>
    <w:p w:rsidR="004952A5" w:rsidRPr="004E338F" w:rsidRDefault="004952A5"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Voxilaprevir is approximately &gt; 99% bound to human plasma proteins.  After a single 100 mg dose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C]-voxilaprevir in healthy patients, the blood to plasma ratio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C]-radioactiv</w:t>
      </w:r>
      <w:r w:rsidR="004E338F">
        <w:rPr>
          <w:rFonts w:ascii="Times New Roman" w:hAnsi="Times New Roman" w:cs="Times New Roman"/>
          <w:sz w:val="24"/>
          <w:szCs w:val="24"/>
        </w:rPr>
        <w:t>ity ranged between 0.5 and 0.8.</w:t>
      </w:r>
    </w:p>
    <w:p w:rsidR="001A3992" w:rsidRPr="004469C5" w:rsidRDefault="001A3992" w:rsidP="00AC2129">
      <w:pPr>
        <w:pStyle w:val="Heading3"/>
        <w:spacing w:before="120" w:after="240" w:line="240" w:lineRule="auto"/>
        <w:ind w:left="0"/>
        <w:rPr>
          <w:rFonts w:ascii="Times New Roman" w:hAnsi="Times New Roman" w:cs="Times New Roman"/>
          <w:sz w:val="24"/>
          <w:szCs w:val="24"/>
        </w:rPr>
      </w:pPr>
      <w:r w:rsidRPr="004469C5">
        <w:rPr>
          <w:rFonts w:ascii="Times New Roman" w:hAnsi="Times New Roman" w:cs="Times New Roman"/>
          <w:sz w:val="24"/>
          <w:szCs w:val="24"/>
        </w:rPr>
        <w:t>Metabolism</w:t>
      </w:r>
    </w:p>
    <w:p w:rsidR="004952A5" w:rsidRPr="004E338F" w:rsidRDefault="004952A5"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Sofosbuvir is extensively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metabolised in the liver to form the pharmacologically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active nucleoside analog</w:t>
      </w:r>
      <w:r w:rsidRPr="004E338F">
        <w:rPr>
          <w:rFonts w:ascii="Times New Roman" w:hAnsi="Times New Roman" w:cs="Times New Roman"/>
          <w:spacing w:val="-3"/>
          <w:sz w:val="24"/>
          <w:szCs w:val="24"/>
        </w:rPr>
        <w:t xml:space="preserve"> </w:t>
      </w:r>
      <w:r w:rsidRPr="004E338F">
        <w:rPr>
          <w:rFonts w:ascii="Times New Roman" w:hAnsi="Times New Roman" w:cs="Times New Roman"/>
          <w:sz w:val="24"/>
          <w:szCs w:val="24"/>
        </w:rPr>
        <w:t>triphosphate G</w:t>
      </w:r>
      <w:r w:rsidRPr="004E338F">
        <w:rPr>
          <w:rFonts w:ascii="Times New Roman" w:hAnsi="Times New Roman" w:cs="Times New Roman"/>
          <w:spacing w:val="1"/>
          <w:sz w:val="24"/>
          <w:szCs w:val="24"/>
        </w:rPr>
        <w:t>S</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461203. The metabolic activation pathway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involves sequential h</w:t>
      </w:r>
      <w:r w:rsidRPr="004E338F">
        <w:rPr>
          <w:rFonts w:ascii="Times New Roman" w:hAnsi="Times New Roman" w:cs="Times New Roman"/>
          <w:spacing w:val="-5"/>
          <w:sz w:val="24"/>
          <w:szCs w:val="24"/>
        </w:rPr>
        <w:t>y</w:t>
      </w:r>
      <w:r w:rsidRPr="004E338F">
        <w:rPr>
          <w:rFonts w:ascii="Times New Roman" w:hAnsi="Times New Roman" w:cs="Times New Roman"/>
          <w:spacing w:val="2"/>
          <w:sz w:val="24"/>
          <w:szCs w:val="24"/>
        </w:rPr>
        <w:t>drol</w:t>
      </w:r>
      <w:r w:rsidRPr="004E338F">
        <w:rPr>
          <w:rFonts w:ascii="Times New Roman" w:hAnsi="Times New Roman" w:cs="Times New Roman"/>
          <w:spacing w:val="-7"/>
          <w:sz w:val="24"/>
          <w:szCs w:val="24"/>
        </w:rPr>
        <w:t>y</w:t>
      </w:r>
      <w:r w:rsidRPr="004E338F">
        <w:rPr>
          <w:rFonts w:ascii="Times New Roman" w:hAnsi="Times New Roman" w:cs="Times New Roman"/>
          <w:sz w:val="24"/>
          <w:szCs w:val="24"/>
        </w:rPr>
        <w:t>sis of the carbo</w:t>
      </w:r>
      <w:r w:rsidRPr="004E338F">
        <w:rPr>
          <w:rFonts w:ascii="Times New Roman" w:hAnsi="Times New Roman" w:cs="Times New Roman"/>
          <w:spacing w:val="5"/>
          <w:sz w:val="24"/>
          <w:szCs w:val="24"/>
        </w:rPr>
        <w:t>x</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l ester moie</w:t>
      </w:r>
      <w:r w:rsidRPr="004E338F">
        <w:rPr>
          <w:rFonts w:ascii="Times New Roman" w:hAnsi="Times New Roman" w:cs="Times New Roman"/>
          <w:spacing w:val="5"/>
          <w:sz w:val="24"/>
          <w:szCs w:val="24"/>
        </w:rPr>
        <w:t>t</w:t>
      </w:r>
      <w:r w:rsidRPr="004E338F">
        <w:rPr>
          <w:rFonts w:ascii="Times New Roman" w:hAnsi="Times New Roman" w:cs="Times New Roman"/>
          <w:sz w:val="24"/>
          <w:szCs w:val="24"/>
        </w:rPr>
        <w:t>y</w:t>
      </w:r>
      <w:r w:rsidRPr="004E338F">
        <w:rPr>
          <w:rFonts w:ascii="Times New Roman" w:hAnsi="Times New Roman" w:cs="Times New Roman"/>
          <w:spacing w:val="-2"/>
          <w:sz w:val="24"/>
          <w:szCs w:val="24"/>
        </w:rPr>
        <w:t xml:space="preserve"> </w:t>
      </w:r>
      <w:r w:rsidRPr="004E338F">
        <w:rPr>
          <w:rFonts w:ascii="Times New Roman" w:hAnsi="Times New Roman" w:cs="Times New Roman"/>
          <w:spacing w:val="-1"/>
          <w:sz w:val="24"/>
          <w:szCs w:val="24"/>
        </w:rPr>
        <w:t>cata</w:t>
      </w:r>
      <w:r w:rsidRPr="004E338F">
        <w:rPr>
          <w:rFonts w:ascii="Times New Roman" w:hAnsi="Times New Roman" w:cs="Times New Roman"/>
          <w:spacing w:val="5"/>
          <w:sz w:val="24"/>
          <w:szCs w:val="24"/>
        </w:rPr>
        <w:t>l</w:t>
      </w:r>
      <w:r w:rsidRPr="004E338F">
        <w:rPr>
          <w:rFonts w:ascii="Times New Roman" w:hAnsi="Times New Roman" w:cs="Times New Roman"/>
          <w:spacing w:val="-7"/>
          <w:sz w:val="24"/>
          <w:szCs w:val="24"/>
        </w:rPr>
        <w:t>y</w:t>
      </w:r>
      <w:r w:rsidRPr="004E338F">
        <w:rPr>
          <w:rFonts w:ascii="Times New Roman" w:hAnsi="Times New Roman" w:cs="Times New Roman"/>
          <w:spacing w:val="4"/>
          <w:sz w:val="24"/>
          <w:szCs w:val="24"/>
        </w:rPr>
        <w:t>s</w:t>
      </w:r>
      <w:r w:rsidRPr="004E338F">
        <w:rPr>
          <w:rFonts w:ascii="Times New Roman" w:hAnsi="Times New Roman" w:cs="Times New Roman"/>
          <w:sz w:val="24"/>
          <w:szCs w:val="24"/>
        </w:rPr>
        <w:t xml:space="preserve">ed </w:t>
      </w:r>
      <w:r w:rsidRPr="004E338F">
        <w:rPr>
          <w:rFonts w:ascii="Times New Roman" w:hAnsi="Times New Roman" w:cs="Times New Roman"/>
          <w:spacing w:val="5"/>
          <w:sz w:val="24"/>
          <w:szCs w:val="24"/>
        </w:rPr>
        <w:t>b</w:t>
      </w:r>
      <w:r w:rsidRPr="004E338F">
        <w:rPr>
          <w:rFonts w:ascii="Times New Roman" w:hAnsi="Times New Roman" w:cs="Times New Roman"/>
          <w:sz w:val="24"/>
          <w:szCs w:val="24"/>
        </w:rPr>
        <w:t xml:space="preserve">y human cathepsin A (CatA) or </w:t>
      </w:r>
      <w:r w:rsidRPr="004E338F">
        <w:rPr>
          <w:rFonts w:ascii="Times New Roman" w:hAnsi="Times New Roman" w:cs="Times New Roman"/>
          <w:spacing w:val="-1"/>
          <w:sz w:val="24"/>
          <w:szCs w:val="24"/>
        </w:rPr>
        <w:t>carbo</w:t>
      </w:r>
      <w:r w:rsidRPr="004E338F">
        <w:rPr>
          <w:rFonts w:ascii="Times New Roman" w:hAnsi="Times New Roman" w:cs="Times New Roman"/>
          <w:spacing w:val="5"/>
          <w:sz w:val="24"/>
          <w:szCs w:val="24"/>
        </w:rPr>
        <w:t>x</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 xml:space="preserve">lesterase 1 (CES1) and phosphoramidate cleavage </w:t>
      </w:r>
      <w:r w:rsidRPr="004E338F">
        <w:rPr>
          <w:rFonts w:ascii="Times New Roman" w:hAnsi="Times New Roman" w:cs="Times New Roman"/>
          <w:spacing w:val="4"/>
          <w:sz w:val="24"/>
          <w:szCs w:val="24"/>
        </w:rPr>
        <w:t>b</w:t>
      </w:r>
      <w:r w:rsidRPr="004E338F">
        <w:rPr>
          <w:rFonts w:ascii="Times New Roman" w:hAnsi="Times New Roman" w:cs="Times New Roman"/>
          <w:sz w:val="24"/>
          <w:szCs w:val="24"/>
        </w:rPr>
        <w:t>y histidine triad nucleotid</w:t>
      </w:r>
      <w:r w:rsidRPr="004E338F">
        <w:rPr>
          <w:rFonts w:ascii="Times New Roman" w:hAnsi="Times New Roman" w:cs="Times New Roman"/>
          <w:spacing w:val="-1"/>
          <w:sz w:val="24"/>
          <w:szCs w:val="24"/>
        </w:rPr>
        <w:t>e-</w:t>
      </w:r>
      <w:r w:rsidRPr="004E338F">
        <w:rPr>
          <w:rFonts w:ascii="Times New Roman" w:hAnsi="Times New Roman" w:cs="Times New Roman"/>
          <w:sz w:val="24"/>
          <w:szCs w:val="24"/>
        </w:rPr>
        <w:t>binding protein 1 (HINT1) followed by</w:t>
      </w:r>
      <w:r w:rsidRPr="004E338F">
        <w:rPr>
          <w:rFonts w:ascii="Times New Roman" w:hAnsi="Times New Roman" w:cs="Times New Roman"/>
          <w:spacing w:val="-4"/>
          <w:sz w:val="24"/>
          <w:szCs w:val="24"/>
        </w:rPr>
        <w:t xml:space="preserve"> </w:t>
      </w:r>
      <w:r w:rsidRPr="004E338F">
        <w:rPr>
          <w:rFonts w:ascii="Times New Roman" w:hAnsi="Times New Roman" w:cs="Times New Roman"/>
          <w:sz w:val="24"/>
          <w:szCs w:val="24"/>
        </w:rPr>
        <w:t>phosphor</w:t>
      </w:r>
      <w:r w:rsidRPr="004E338F">
        <w:rPr>
          <w:rFonts w:ascii="Times New Roman" w:hAnsi="Times New Roman" w:cs="Times New Roman"/>
          <w:spacing w:val="-5"/>
          <w:sz w:val="24"/>
          <w:szCs w:val="24"/>
        </w:rPr>
        <w:t>y</w:t>
      </w:r>
      <w:r w:rsidRPr="004E338F">
        <w:rPr>
          <w:rFonts w:ascii="Times New Roman" w:hAnsi="Times New Roman" w:cs="Times New Roman"/>
          <w:spacing w:val="1"/>
          <w:sz w:val="24"/>
          <w:szCs w:val="24"/>
        </w:rPr>
        <w:t>latio</w:t>
      </w:r>
      <w:r w:rsidRPr="004E338F">
        <w:rPr>
          <w:rFonts w:ascii="Times New Roman" w:hAnsi="Times New Roman" w:cs="Times New Roman"/>
          <w:sz w:val="24"/>
          <w:szCs w:val="24"/>
        </w:rPr>
        <w:t>n</w:t>
      </w:r>
      <w:r w:rsidRPr="004E338F">
        <w:rPr>
          <w:rFonts w:ascii="Times New Roman" w:hAnsi="Times New Roman" w:cs="Times New Roman"/>
          <w:spacing w:val="1"/>
          <w:sz w:val="24"/>
          <w:szCs w:val="24"/>
        </w:rPr>
        <w:t xml:space="preserve"> b</w:t>
      </w:r>
      <w:r w:rsidRPr="004E338F">
        <w:rPr>
          <w:rFonts w:ascii="Times New Roman" w:hAnsi="Times New Roman" w:cs="Times New Roman"/>
          <w:sz w:val="24"/>
          <w:szCs w:val="24"/>
        </w:rPr>
        <w:t>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 xml:space="preserve">the </w:t>
      </w:r>
      <w:r w:rsidRPr="004E338F">
        <w:rPr>
          <w:rFonts w:ascii="Times New Roman" w:hAnsi="Times New Roman" w:cs="Times New Roman"/>
          <w:spacing w:val="5"/>
          <w:sz w:val="24"/>
          <w:szCs w:val="24"/>
        </w:rPr>
        <w:t>p</w:t>
      </w:r>
      <w:r w:rsidRPr="004E338F">
        <w:rPr>
          <w:rFonts w:ascii="Times New Roman" w:hAnsi="Times New Roman" w:cs="Times New Roman"/>
          <w:sz w:val="24"/>
          <w:szCs w:val="24"/>
        </w:rPr>
        <w:t>yrimidine nucleotide bios</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nthesis pathwa</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w:t>
      </w:r>
      <w:r w:rsidRPr="004E338F">
        <w:rPr>
          <w:rFonts w:ascii="Times New Roman" w:hAnsi="Times New Roman" w:cs="Times New Roman"/>
          <w:spacing w:val="1"/>
          <w:sz w:val="24"/>
          <w:szCs w:val="24"/>
        </w:rPr>
        <w:t xml:space="preserve"> </w:t>
      </w:r>
      <w:r w:rsidRPr="004E338F">
        <w:rPr>
          <w:rFonts w:ascii="Times New Roman" w:hAnsi="Times New Roman" w:cs="Times New Roman"/>
          <w:sz w:val="24"/>
          <w:szCs w:val="24"/>
        </w:rPr>
        <w:t>Dephosphor</w:t>
      </w:r>
      <w:r w:rsidRPr="004E338F">
        <w:rPr>
          <w:rFonts w:ascii="Times New Roman" w:hAnsi="Times New Roman" w:cs="Times New Roman"/>
          <w:spacing w:val="-7"/>
          <w:sz w:val="24"/>
          <w:szCs w:val="24"/>
        </w:rPr>
        <w:t>y</w:t>
      </w:r>
      <w:r w:rsidRPr="004E338F">
        <w:rPr>
          <w:rFonts w:ascii="Times New Roman" w:hAnsi="Times New Roman" w:cs="Times New Roman"/>
          <w:sz w:val="24"/>
          <w:szCs w:val="24"/>
        </w:rPr>
        <w:t>lation results in the formation of nucleoside metabolite G</w:t>
      </w:r>
      <w:r w:rsidRPr="004E338F">
        <w:rPr>
          <w:rFonts w:ascii="Times New Roman" w:hAnsi="Times New Roman" w:cs="Times New Roman"/>
          <w:spacing w:val="1"/>
          <w:sz w:val="24"/>
          <w:szCs w:val="24"/>
        </w:rPr>
        <w:t>S</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331007 that cannot be efficient</w:t>
      </w:r>
      <w:r w:rsidRPr="004E338F">
        <w:rPr>
          <w:rFonts w:ascii="Times New Roman" w:hAnsi="Times New Roman" w:cs="Times New Roman"/>
          <w:spacing w:val="5"/>
          <w:sz w:val="24"/>
          <w:szCs w:val="24"/>
        </w:rPr>
        <w:t>l</w:t>
      </w:r>
      <w:r w:rsidRPr="004E338F">
        <w:rPr>
          <w:rFonts w:ascii="Times New Roman" w:hAnsi="Times New Roman" w:cs="Times New Roman"/>
          <w:sz w:val="24"/>
          <w:szCs w:val="24"/>
        </w:rPr>
        <w:t>y rephosphor</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lated and lacks ant</w:t>
      </w:r>
      <w:r w:rsidRPr="004E338F">
        <w:rPr>
          <w:rFonts w:ascii="Times New Roman" w:hAnsi="Times New Roman" w:cs="Times New Roman"/>
          <w:spacing w:val="1"/>
          <w:sz w:val="24"/>
          <w:szCs w:val="24"/>
        </w:rPr>
        <w:t>i</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HCV activity</w:t>
      </w:r>
      <w:r w:rsidRPr="004E338F">
        <w:rPr>
          <w:rFonts w:ascii="Times New Roman" w:hAnsi="Times New Roman" w:cs="Times New Roman"/>
          <w:spacing w:val="-5"/>
          <w:sz w:val="24"/>
          <w:szCs w:val="24"/>
        </w:rPr>
        <w:t xml:space="preserve"> </w:t>
      </w:r>
      <w:r w:rsidRPr="004E338F">
        <w:rPr>
          <w:rFonts w:ascii="Times New Roman" w:hAnsi="Times New Roman" w:cs="Times New Roman"/>
          <w:i/>
          <w:sz w:val="24"/>
          <w:szCs w:val="24"/>
        </w:rPr>
        <w:t>in vitro</w:t>
      </w:r>
      <w:r w:rsidRPr="004E338F">
        <w:rPr>
          <w:rFonts w:ascii="Times New Roman" w:hAnsi="Times New Roman" w:cs="Times New Roman"/>
          <w:sz w:val="24"/>
          <w:szCs w:val="24"/>
        </w:rPr>
        <w:t>. Af</w:t>
      </w:r>
      <w:r w:rsidRPr="004E338F">
        <w:rPr>
          <w:rFonts w:ascii="Times New Roman" w:hAnsi="Times New Roman" w:cs="Times New Roman"/>
          <w:spacing w:val="1"/>
          <w:sz w:val="24"/>
          <w:szCs w:val="24"/>
        </w:rPr>
        <w:t>t</w:t>
      </w:r>
      <w:r w:rsidRPr="004E338F">
        <w:rPr>
          <w:rFonts w:ascii="Times New Roman" w:hAnsi="Times New Roman" w:cs="Times New Roman"/>
          <w:sz w:val="24"/>
          <w:szCs w:val="24"/>
        </w:rPr>
        <w:t>er a single 400 mg oral dose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2"/>
          <w:sz w:val="24"/>
          <w:szCs w:val="24"/>
        </w:rPr>
        <w:t>]</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sofosbuvir, G</w:t>
      </w:r>
      <w:r w:rsidRPr="004E338F">
        <w:rPr>
          <w:rFonts w:ascii="Times New Roman" w:hAnsi="Times New Roman" w:cs="Times New Roman"/>
          <w:spacing w:val="1"/>
          <w:sz w:val="24"/>
          <w:szCs w:val="24"/>
        </w:rPr>
        <w:t>S</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331007 accounted for approximately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 xml:space="preserve">&gt; 90% of total </w:t>
      </w:r>
      <w:r w:rsidRPr="004E338F">
        <w:rPr>
          <w:rFonts w:ascii="Times New Roman" w:hAnsi="Times New Roman" w:cs="Times New Roman"/>
          <w:spacing w:val="3"/>
          <w:sz w:val="24"/>
          <w:szCs w:val="24"/>
        </w:rPr>
        <w:t>s</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stemic exposure.</w:t>
      </w:r>
    </w:p>
    <w:p w:rsidR="004952A5" w:rsidRPr="004E338F" w:rsidRDefault="004952A5"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Velpatasvir is primarily a substrate of CYP2B6, CYP2C8, and CYP3A4 with slow turnover.  Following a single dose of 100 mg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2"/>
          <w:sz w:val="24"/>
          <w:szCs w:val="24"/>
        </w:rPr>
        <w:t>]</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velpatasvir, the majority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(&gt; 98%) of radioactivity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in plasma was parent drug. Monohydro</w:t>
      </w:r>
      <w:r w:rsidRPr="004E338F">
        <w:rPr>
          <w:rFonts w:ascii="Times New Roman" w:hAnsi="Times New Roman" w:cs="Times New Roman"/>
          <w:spacing w:val="4"/>
          <w:sz w:val="24"/>
          <w:szCs w:val="24"/>
        </w:rPr>
        <w:t>x</w:t>
      </w:r>
      <w:r w:rsidRPr="004E338F">
        <w:rPr>
          <w:rFonts w:ascii="Times New Roman" w:hAnsi="Times New Roman" w:cs="Times New Roman"/>
          <w:spacing w:val="-7"/>
          <w:sz w:val="24"/>
          <w:szCs w:val="24"/>
        </w:rPr>
        <w:t>y</w:t>
      </w:r>
      <w:r w:rsidRPr="004E338F">
        <w:rPr>
          <w:rFonts w:ascii="Times New Roman" w:hAnsi="Times New Roman" w:cs="Times New Roman"/>
          <w:sz w:val="24"/>
          <w:szCs w:val="24"/>
        </w:rPr>
        <w:t>lated and desmethylated velpatasvir were the metabolites identified in human plasma. Unchanged velpatasvir is the major species present in faeces.</w:t>
      </w:r>
    </w:p>
    <w:p w:rsidR="004952A5" w:rsidRPr="004952A5" w:rsidRDefault="004952A5" w:rsidP="00AC2129">
      <w:pPr>
        <w:numPr>
          <w:ilvl w:val="12"/>
          <w:numId w:val="0"/>
        </w:numPr>
        <w:spacing w:before="120" w:after="240" w:line="240" w:lineRule="auto"/>
        <w:ind w:right="-2"/>
      </w:pPr>
      <w:r w:rsidRPr="004E338F">
        <w:rPr>
          <w:rFonts w:ascii="Times New Roman" w:hAnsi="Times New Roman" w:cs="Times New Roman"/>
          <w:sz w:val="24"/>
          <w:szCs w:val="24"/>
        </w:rPr>
        <w:t>Voxilaprevir is primarily a substrate of CYP3A4 with slow turnover.  Following a single dose of 100 mg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C]-voxilaprevir, the majority (approximately 91%) of radioactivity in plasma was parent drug.  Unchanged voxilaprevir is the major species present in faeces</w:t>
      </w:r>
      <w:r w:rsidR="004E338F">
        <w:t>.</w:t>
      </w:r>
    </w:p>
    <w:p w:rsidR="001A3992" w:rsidRPr="004469C5" w:rsidRDefault="001A3992" w:rsidP="00AC2129">
      <w:pPr>
        <w:pStyle w:val="Heading3"/>
        <w:spacing w:before="120" w:after="240" w:line="240" w:lineRule="auto"/>
        <w:ind w:left="0"/>
        <w:rPr>
          <w:rFonts w:ascii="Times New Roman" w:hAnsi="Times New Roman" w:cs="Times New Roman"/>
        </w:rPr>
      </w:pPr>
      <w:r w:rsidRPr="004469C5">
        <w:rPr>
          <w:rFonts w:ascii="Times New Roman" w:hAnsi="Times New Roman" w:cs="Times New Roman"/>
        </w:rPr>
        <w:t>Excretion</w:t>
      </w:r>
    </w:p>
    <w:p w:rsidR="004952A5" w:rsidRPr="004E338F" w:rsidRDefault="004952A5"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Following a single 400 mg oral dose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2"/>
          <w:sz w:val="24"/>
          <w:szCs w:val="24"/>
        </w:rPr>
        <w:t>]</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sofosbuvir, mean total recovery</w:t>
      </w:r>
      <w:r w:rsidRPr="004E338F">
        <w:rPr>
          <w:rFonts w:ascii="Times New Roman" w:hAnsi="Times New Roman" w:cs="Times New Roman"/>
          <w:spacing w:val="-4"/>
          <w:sz w:val="24"/>
          <w:szCs w:val="24"/>
        </w:rPr>
        <w:t xml:space="preserve"> </w:t>
      </w:r>
      <w:r w:rsidRPr="004E338F">
        <w:rPr>
          <w:rFonts w:ascii="Times New Roman" w:hAnsi="Times New Roman" w:cs="Times New Roman"/>
          <w:sz w:val="24"/>
          <w:szCs w:val="24"/>
        </w:rPr>
        <w:t>of the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2"/>
          <w:sz w:val="24"/>
          <w:szCs w:val="24"/>
        </w:rPr>
        <w:t>]</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radioactivity</w:t>
      </w:r>
      <w:r w:rsidRPr="004E338F">
        <w:rPr>
          <w:rFonts w:ascii="Times New Roman" w:hAnsi="Times New Roman" w:cs="Times New Roman"/>
          <w:spacing w:val="55"/>
          <w:sz w:val="24"/>
          <w:szCs w:val="24"/>
        </w:rPr>
        <w:t xml:space="preserve"> </w:t>
      </w:r>
      <w:r w:rsidRPr="004E338F">
        <w:rPr>
          <w:rFonts w:ascii="Times New Roman" w:hAnsi="Times New Roman" w:cs="Times New Roman"/>
          <w:sz w:val="24"/>
          <w:szCs w:val="24"/>
        </w:rPr>
        <w:t>was greater than  92%, consisting of approximately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80%, 14%, and 2.5% recovered in urine, faeces, and expired air, respectivel</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 The majori</w:t>
      </w:r>
      <w:r w:rsidRPr="004E338F">
        <w:rPr>
          <w:rFonts w:ascii="Times New Roman" w:hAnsi="Times New Roman" w:cs="Times New Roman"/>
          <w:spacing w:val="5"/>
          <w:sz w:val="24"/>
          <w:szCs w:val="24"/>
        </w:rPr>
        <w:t>t</w:t>
      </w:r>
      <w:r w:rsidRPr="004E338F">
        <w:rPr>
          <w:rFonts w:ascii="Times New Roman" w:hAnsi="Times New Roman" w:cs="Times New Roman"/>
          <w:sz w:val="24"/>
          <w:szCs w:val="24"/>
        </w:rPr>
        <w:t xml:space="preserve">y of the sofosbuvir dose </w:t>
      </w:r>
      <w:r w:rsidRPr="004E338F">
        <w:rPr>
          <w:rFonts w:ascii="Times New Roman" w:hAnsi="Times New Roman" w:cs="Times New Roman"/>
          <w:sz w:val="24"/>
          <w:szCs w:val="24"/>
        </w:rPr>
        <w:lastRenderedPageBreak/>
        <w:t>recovered in urine was GS-331007 (78%) while 3.5% was recovered as sofosbuvir. These data indicate that renal clearance is the major elimination pathway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for GS-331007.  The median terminal half</w:t>
      </w:r>
      <w:r w:rsidRPr="004E338F">
        <w:rPr>
          <w:rFonts w:ascii="Times New Roman" w:hAnsi="Times New Roman" w:cs="Times New Roman"/>
          <w:sz w:val="24"/>
          <w:szCs w:val="24"/>
        </w:rPr>
        <w:noBreakHyphen/>
        <w:t>lives of sofosbuvir and GS</w:t>
      </w:r>
      <w:r w:rsidRPr="004E338F">
        <w:rPr>
          <w:rFonts w:ascii="Times New Roman" w:hAnsi="Times New Roman" w:cs="Times New Roman"/>
          <w:sz w:val="24"/>
          <w:szCs w:val="24"/>
        </w:rPr>
        <w:noBreakHyphen/>
        <w:t>331007 following administration of VOSEVI were 0.5 and 29 hours, respectively.</w:t>
      </w:r>
    </w:p>
    <w:p w:rsidR="004952A5" w:rsidRPr="004E338F" w:rsidRDefault="004952A5" w:rsidP="00AC2129">
      <w:pPr>
        <w:spacing w:before="120" w:after="240" w:line="240" w:lineRule="auto"/>
        <w:rPr>
          <w:rFonts w:ascii="Times New Roman" w:hAnsi="Times New Roman" w:cs="Times New Roman"/>
          <w:bCs/>
          <w:iCs/>
          <w:sz w:val="24"/>
          <w:szCs w:val="24"/>
        </w:rPr>
      </w:pPr>
      <w:r w:rsidRPr="004E338F">
        <w:rPr>
          <w:rFonts w:ascii="Times New Roman" w:hAnsi="Times New Roman" w:cs="Times New Roman"/>
          <w:sz w:val="24"/>
          <w:szCs w:val="24"/>
        </w:rPr>
        <w:t>Following a single 100 mg oral dose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1"/>
          <w:sz w:val="24"/>
          <w:szCs w:val="24"/>
        </w:rPr>
        <w:t>]</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velpatasvir, mean total recovery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of the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pacing w:val="2"/>
          <w:sz w:val="24"/>
          <w:szCs w:val="24"/>
        </w:rPr>
        <w:t>]</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radioactivity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was 95%, consisting of approximately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94% and 0.4% recovered from the faeces and urine, respectivel</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 Unchanged velpatasvir was the major species in faeces accounting for a mean of 77% of the administered dose, followed by</w:t>
      </w:r>
      <w:r w:rsidRPr="004E338F">
        <w:rPr>
          <w:rFonts w:ascii="Times New Roman" w:hAnsi="Times New Roman" w:cs="Times New Roman"/>
          <w:spacing w:val="-4"/>
          <w:sz w:val="24"/>
          <w:szCs w:val="24"/>
        </w:rPr>
        <w:t xml:space="preserve"> </w:t>
      </w:r>
      <w:r w:rsidRPr="004E338F">
        <w:rPr>
          <w:rFonts w:ascii="Times New Roman" w:hAnsi="Times New Roman" w:cs="Times New Roman"/>
          <w:sz w:val="24"/>
          <w:szCs w:val="24"/>
        </w:rPr>
        <w:t>monoh</w:t>
      </w:r>
      <w:r w:rsidRPr="004E338F">
        <w:rPr>
          <w:rFonts w:ascii="Times New Roman" w:hAnsi="Times New Roman" w:cs="Times New Roman"/>
          <w:spacing w:val="-5"/>
          <w:sz w:val="24"/>
          <w:szCs w:val="24"/>
        </w:rPr>
        <w:t>y</w:t>
      </w:r>
      <w:r w:rsidRPr="004E338F">
        <w:rPr>
          <w:rFonts w:ascii="Times New Roman" w:hAnsi="Times New Roman" w:cs="Times New Roman"/>
          <w:spacing w:val="2"/>
          <w:sz w:val="24"/>
          <w:szCs w:val="24"/>
        </w:rPr>
        <w:t>drox</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lated velpatasvir (5.9%) and desmet</w:t>
      </w:r>
      <w:r w:rsidRPr="004E338F">
        <w:rPr>
          <w:rFonts w:ascii="Times New Roman" w:hAnsi="Times New Roman" w:cs="Times New Roman"/>
          <w:spacing w:val="5"/>
          <w:sz w:val="24"/>
          <w:szCs w:val="24"/>
        </w:rPr>
        <w:t>h</w:t>
      </w:r>
      <w:r w:rsidRPr="004E338F">
        <w:rPr>
          <w:rFonts w:ascii="Times New Roman" w:hAnsi="Times New Roman" w:cs="Times New Roman"/>
          <w:spacing w:val="-7"/>
          <w:sz w:val="24"/>
          <w:szCs w:val="24"/>
        </w:rPr>
        <w:t>y</w:t>
      </w:r>
      <w:r w:rsidRPr="004E338F">
        <w:rPr>
          <w:rFonts w:ascii="Times New Roman" w:hAnsi="Times New Roman" w:cs="Times New Roman"/>
          <w:spacing w:val="3"/>
          <w:sz w:val="24"/>
          <w:szCs w:val="24"/>
        </w:rPr>
        <w:t>l</w:t>
      </w:r>
      <w:r w:rsidRPr="004E338F">
        <w:rPr>
          <w:rFonts w:ascii="Times New Roman" w:hAnsi="Times New Roman" w:cs="Times New Roman"/>
          <w:sz w:val="24"/>
          <w:szCs w:val="24"/>
        </w:rPr>
        <w:t>ated velpatasvir (3.0%). These data indicate that biliary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 xml:space="preserve">excretion of parent drug was the major route of elimination for velpatasvir. </w:t>
      </w:r>
      <w:r w:rsidRPr="004E338F">
        <w:rPr>
          <w:rFonts w:ascii="Times New Roman" w:hAnsi="Times New Roman" w:cs="Times New Roman"/>
          <w:bCs/>
          <w:iCs/>
          <w:sz w:val="24"/>
          <w:szCs w:val="24"/>
        </w:rPr>
        <w:t xml:space="preserve"> The median terminal half-life of velpatasvir following administration of VOSEVI was approximately 17 hours.</w:t>
      </w:r>
    </w:p>
    <w:p w:rsidR="004952A5" w:rsidRPr="004E338F" w:rsidRDefault="004952A5" w:rsidP="00AC2129">
      <w:pPr>
        <w:spacing w:before="120" w:after="240" w:line="240" w:lineRule="auto"/>
        <w:rPr>
          <w:rFonts w:ascii="Times New Roman" w:hAnsi="Times New Roman" w:cs="Times New Roman"/>
          <w:bCs/>
          <w:iCs/>
          <w:sz w:val="24"/>
          <w:szCs w:val="24"/>
        </w:rPr>
      </w:pPr>
      <w:r w:rsidRPr="004E338F">
        <w:rPr>
          <w:rFonts w:ascii="Times New Roman" w:hAnsi="Times New Roman" w:cs="Times New Roman"/>
          <w:sz w:val="24"/>
          <w:szCs w:val="24"/>
        </w:rPr>
        <w:t>Following a single 100 mg oral dose of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C]-voxilaprevir, mean total recovery of the [</w:t>
      </w:r>
      <w:r w:rsidRPr="004E338F">
        <w:rPr>
          <w:rFonts w:ascii="Times New Roman" w:hAnsi="Times New Roman" w:cs="Times New Roman"/>
          <w:sz w:val="24"/>
          <w:szCs w:val="24"/>
          <w:vertAlign w:val="superscript"/>
        </w:rPr>
        <w:t>14</w:t>
      </w:r>
      <w:r w:rsidRPr="004E338F">
        <w:rPr>
          <w:rFonts w:ascii="Times New Roman" w:hAnsi="Times New Roman" w:cs="Times New Roman"/>
          <w:sz w:val="24"/>
          <w:szCs w:val="24"/>
        </w:rPr>
        <w:t>C]</w:t>
      </w:r>
      <w:r w:rsidRPr="004E338F">
        <w:rPr>
          <w:rFonts w:ascii="Times New Roman" w:hAnsi="Times New Roman" w:cs="Times New Roman"/>
          <w:sz w:val="24"/>
          <w:szCs w:val="24"/>
        </w:rPr>
        <w:noBreakHyphen/>
        <w:t>radioactivity was 94%, with all radioactivity measured in the faeces and none in the urine.  Unchanged voxilaprevir was the major species in faeces accounting for a mean of 40% of the administered dose.  Voxilaprevir metabolites also identified in faeces included des-[methylcyclopropylsulphonamide]-voxilaprevir (22.1%), which is formed intestinally, dehydro-voxilaprevir (7.5%), and two des-[methylcyclopropylsulphonamide]-oxy-voxilaprevir metabolites (5.4% and 3.9%).  Biliary excretion of parent drug was the major route of elimination for voxilaprevir.  The median terminal half-life of voxilaprevir following administration of VOSEVI was approximately 33 hours.</w:t>
      </w:r>
    </w:p>
    <w:p w:rsidR="006F6A96" w:rsidRPr="004E338F" w:rsidRDefault="006F6A96" w:rsidP="00AC2129">
      <w:pPr>
        <w:pStyle w:val="Heading4"/>
        <w:numPr>
          <w:ilvl w:val="0"/>
          <w:numId w:val="0"/>
        </w:numPr>
        <w:spacing w:before="120" w:after="240" w:line="240" w:lineRule="auto"/>
        <w:ind w:left="864" w:hanging="864"/>
        <w:rPr>
          <w:rFonts w:ascii="Times New Roman" w:hAnsi="Times New Roman" w:cs="Times New Roman"/>
          <w:b w:val="0"/>
          <w:i w:val="0"/>
          <w:color w:val="auto"/>
          <w:sz w:val="24"/>
          <w:szCs w:val="24"/>
          <w:u w:val="single"/>
        </w:rPr>
      </w:pPr>
      <w:r w:rsidRPr="004E338F">
        <w:rPr>
          <w:rFonts w:ascii="Times New Roman" w:hAnsi="Times New Roman" w:cs="Times New Roman"/>
          <w:b w:val="0"/>
          <w:i w:val="0"/>
          <w:color w:val="auto"/>
          <w:sz w:val="24"/>
          <w:szCs w:val="24"/>
          <w:u w:val="single"/>
        </w:rPr>
        <w:t>Effect of Food</w:t>
      </w:r>
    </w:p>
    <w:p w:rsidR="006F6A96" w:rsidRPr="006955C8" w:rsidRDefault="006F6A96" w:rsidP="00AC2129">
      <w:pPr>
        <w:spacing w:before="120" w:after="240" w:line="240" w:lineRule="auto"/>
        <w:rPr>
          <w:rFonts w:ascii="Times New Roman" w:hAnsi="Times New Roman" w:cs="Times New Roman"/>
          <w:sz w:val="24"/>
          <w:szCs w:val="24"/>
        </w:rPr>
      </w:pPr>
      <w:r w:rsidRPr="006955C8">
        <w:rPr>
          <w:rFonts w:ascii="Times New Roman" w:hAnsi="Times New Roman" w:cs="Times New Roman"/>
          <w:sz w:val="24"/>
          <w:szCs w:val="24"/>
        </w:rPr>
        <w:t>When VOSEVI  or its components taken together were administered with food, sofosbuvir AUC</w:t>
      </w:r>
      <w:r w:rsidRPr="006955C8">
        <w:rPr>
          <w:rFonts w:ascii="Times New Roman" w:hAnsi="Times New Roman" w:cs="Times New Roman"/>
          <w:sz w:val="24"/>
          <w:szCs w:val="24"/>
          <w:vertAlign w:val="subscript"/>
        </w:rPr>
        <w:t>0-inf</w:t>
      </w:r>
      <w:r w:rsidRPr="006955C8">
        <w:rPr>
          <w:rFonts w:ascii="Times New Roman" w:hAnsi="Times New Roman" w:cs="Times New Roman"/>
          <w:sz w:val="24"/>
          <w:szCs w:val="24"/>
        </w:rPr>
        <w:t xml:space="preserve"> and C</w:t>
      </w:r>
      <w:r w:rsidRPr="006955C8">
        <w:rPr>
          <w:rFonts w:ascii="Times New Roman" w:hAnsi="Times New Roman" w:cs="Times New Roman"/>
          <w:sz w:val="24"/>
          <w:szCs w:val="24"/>
          <w:vertAlign w:val="subscript"/>
        </w:rPr>
        <w:t>max</w:t>
      </w:r>
      <w:r w:rsidRPr="006955C8">
        <w:rPr>
          <w:rFonts w:ascii="Times New Roman" w:hAnsi="Times New Roman" w:cs="Times New Roman"/>
          <w:sz w:val="24"/>
          <w:szCs w:val="24"/>
        </w:rPr>
        <w:t xml:space="preserve"> were 64% to 144% and 9% to 76% higher, respectively; velpatasvir AUC</w:t>
      </w:r>
      <w:r w:rsidRPr="006955C8">
        <w:rPr>
          <w:rFonts w:ascii="Times New Roman" w:hAnsi="Times New Roman" w:cs="Times New Roman"/>
          <w:sz w:val="24"/>
          <w:szCs w:val="24"/>
          <w:vertAlign w:val="subscript"/>
        </w:rPr>
        <w:t>0-inf</w:t>
      </w:r>
      <w:r w:rsidRPr="006955C8">
        <w:rPr>
          <w:rFonts w:ascii="Times New Roman" w:hAnsi="Times New Roman" w:cs="Times New Roman"/>
          <w:sz w:val="24"/>
          <w:szCs w:val="24"/>
        </w:rPr>
        <w:t xml:space="preserve"> and C</w:t>
      </w:r>
      <w:r w:rsidRPr="006955C8">
        <w:rPr>
          <w:rFonts w:ascii="Times New Roman" w:hAnsi="Times New Roman" w:cs="Times New Roman"/>
          <w:sz w:val="24"/>
          <w:szCs w:val="24"/>
          <w:vertAlign w:val="subscript"/>
        </w:rPr>
        <w:t>max</w:t>
      </w:r>
      <w:r w:rsidRPr="006955C8">
        <w:rPr>
          <w:rFonts w:ascii="Times New Roman" w:hAnsi="Times New Roman" w:cs="Times New Roman"/>
          <w:sz w:val="24"/>
          <w:szCs w:val="24"/>
        </w:rPr>
        <w:t xml:space="preserve"> were 40% to 166% and 37% to 187% higher, respectively; and voxilaprevir AUC</w:t>
      </w:r>
      <w:r w:rsidRPr="006955C8">
        <w:rPr>
          <w:rFonts w:ascii="Times New Roman" w:hAnsi="Times New Roman" w:cs="Times New Roman"/>
          <w:sz w:val="24"/>
          <w:szCs w:val="24"/>
          <w:vertAlign w:val="subscript"/>
        </w:rPr>
        <w:t>0-inf</w:t>
      </w:r>
      <w:r w:rsidRPr="006955C8">
        <w:rPr>
          <w:rFonts w:ascii="Times New Roman" w:hAnsi="Times New Roman" w:cs="Times New Roman"/>
          <w:sz w:val="24"/>
          <w:szCs w:val="24"/>
        </w:rPr>
        <w:t xml:space="preserve"> and C</w:t>
      </w:r>
      <w:r w:rsidRPr="006955C8">
        <w:rPr>
          <w:rFonts w:ascii="Times New Roman" w:hAnsi="Times New Roman" w:cs="Times New Roman"/>
          <w:sz w:val="24"/>
          <w:szCs w:val="24"/>
          <w:vertAlign w:val="subscript"/>
        </w:rPr>
        <w:t>max</w:t>
      </w:r>
      <w:r w:rsidRPr="006955C8">
        <w:rPr>
          <w:rFonts w:ascii="Times New Roman" w:hAnsi="Times New Roman" w:cs="Times New Roman"/>
          <w:sz w:val="24"/>
          <w:szCs w:val="24"/>
        </w:rPr>
        <w:t xml:space="preserve"> were 112% to 435% and 147% to 680% higher, respectively.  GS</w:t>
      </w:r>
      <w:r w:rsidRPr="006955C8">
        <w:rPr>
          <w:rFonts w:ascii="Times New Roman" w:hAnsi="Times New Roman" w:cs="Times New Roman"/>
          <w:sz w:val="24"/>
          <w:szCs w:val="24"/>
        </w:rPr>
        <w:noBreakHyphen/>
        <w:t>331007 AUC</w:t>
      </w:r>
      <w:r w:rsidRPr="006955C8">
        <w:rPr>
          <w:rFonts w:ascii="Times New Roman" w:hAnsi="Times New Roman" w:cs="Times New Roman"/>
          <w:sz w:val="24"/>
          <w:szCs w:val="24"/>
          <w:vertAlign w:val="subscript"/>
        </w:rPr>
        <w:t>0-inf</w:t>
      </w:r>
      <w:r w:rsidRPr="006955C8">
        <w:rPr>
          <w:rFonts w:ascii="Times New Roman" w:hAnsi="Times New Roman" w:cs="Times New Roman"/>
          <w:sz w:val="24"/>
          <w:szCs w:val="24"/>
        </w:rPr>
        <w:t xml:space="preserve"> did not change and C</w:t>
      </w:r>
      <w:r w:rsidRPr="006955C8">
        <w:rPr>
          <w:rFonts w:ascii="Times New Roman" w:hAnsi="Times New Roman" w:cs="Times New Roman"/>
          <w:sz w:val="24"/>
          <w:szCs w:val="24"/>
          <w:vertAlign w:val="subscript"/>
        </w:rPr>
        <w:t>max</w:t>
      </w:r>
      <w:r w:rsidRPr="006955C8">
        <w:rPr>
          <w:rFonts w:ascii="Times New Roman" w:hAnsi="Times New Roman" w:cs="Times New Roman"/>
          <w:sz w:val="24"/>
          <w:szCs w:val="24"/>
        </w:rPr>
        <w:t xml:space="preserve"> was 19% to 35% lower when VOSEVI or its components together were administered with food.  VOSEVI should be administered with food.</w:t>
      </w:r>
    </w:p>
    <w:p w:rsidR="006F6A96" w:rsidRPr="004E338F" w:rsidRDefault="006F6A96" w:rsidP="00AC2129">
      <w:pPr>
        <w:pStyle w:val="Heading4"/>
        <w:numPr>
          <w:ilvl w:val="0"/>
          <w:numId w:val="0"/>
        </w:numPr>
        <w:spacing w:before="120" w:after="240" w:line="240" w:lineRule="auto"/>
        <w:ind w:left="864" w:hanging="864"/>
        <w:rPr>
          <w:rFonts w:ascii="Times New Roman" w:hAnsi="Times New Roman" w:cs="Times New Roman"/>
          <w:b w:val="0"/>
          <w:i w:val="0"/>
          <w:color w:val="auto"/>
          <w:sz w:val="24"/>
          <w:szCs w:val="24"/>
          <w:u w:val="single"/>
        </w:rPr>
      </w:pPr>
      <w:r w:rsidRPr="004E338F">
        <w:rPr>
          <w:rFonts w:ascii="Times New Roman" w:hAnsi="Times New Roman" w:cs="Times New Roman"/>
          <w:b w:val="0"/>
          <w:i w:val="0"/>
          <w:color w:val="auto"/>
          <w:sz w:val="24"/>
          <w:szCs w:val="24"/>
          <w:u w:val="single"/>
        </w:rPr>
        <w:t>Special Populations</w:t>
      </w:r>
    </w:p>
    <w:p w:rsidR="006F6A96" w:rsidRPr="00CE59A7" w:rsidRDefault="006F6A96" w:rsidP="00AC2129">
      <w:pPr>
        <w:pStyle w:val="Heading5"/>
        <w:numPr>
          <w:ilvl w:val="0"/>
          <w:numId w:val="0"/>
        </w:numPr>
        <w:spacing w:before="120" w:after="240" w:line="240" w:lineRule="auto"/>
        <w:ind w:left="1008" w:hanging="1008"/>
        <w:rPr>
          <w:rFonts w:ascii="Times New Roman" w:hAnsi="Times New Roman" w:cs="Times New Roman"/>
          <w:i/>
          <w:color w:val="auto"/>
          <w:sz w:val="24"/>
          <w:szCs w:val="24"/>
        </w:rPr>
      </w:pPr>
      <w:r w:rsidRPr="00CE59A7">
        <w:rPr>
          <w:rFonts w:ascii="Times New Roman" w:hAnsi="Times New Roman" w:cs="Times New Roman"/>
          <w:i/>
          <w:color w:val="auto"/>
          <w:sz w:val="24"/>
          <w:szCs w:val="24"/>
        </w:rPr>
        <w:t>Race and Gender</w:t>
      </w:r>
    </w:p>
    <w:p w:rsidR="006F6A96" w:rsidRPr="00D14983" w:rsidRDefault="006F6A96" w:rsidP="00AC2129">
      <w:pPr>
        <w:pStyle w:val="Text1"/>
        <w:rPr>
          <w:noProof/>
          <w:szCs w:val="24"/>
        </w:rPr>
      </w:pPr>
      <w:r w:rsidRPr="00D14983">
        <w:rPr>
          <w:noProof/>
          <w:szCs w:val="24"/>
        </w:rPr>
        <w:t xml:space="preserve">No clinically relevant pharmacokinetic differences due to race have been identified for sofosbuvir, GS-331007, </w:t>
      </w:r>
      <w:r w:rsidRPr="00D14983">
        <w:rPr>
          <w:szCs w:val="24"/>
        </w:rPr>
        <w:t>velpatasvir, or voxilaprevir.</w:t>
      </w:r>
    </w:p>
    <w:p w:rsidR="006F6A96" w:rsidRPr="00D14983" w:rsidRDefault="006F6A96" w:rsidP="00AC2129">
      <w:pPr>
        <w:pStyle w:val="Text1"/>
        <w:rPr>
          <w:noProof/>
          <w:szCs w:val="24"/>
        </w:rPr>
      </w:pPr>
      <w:r w:rsidRPr="00D14983">
        <w:rPr>
          <w:noProof/>
          <w:szCs w:val="24"/>
        </w:rPr>
        <w:t xml:space="preserve">No clinically relevant pharmacokinetic differences due to gender have been identified for sofosbuvir, GS-331007, </w:t>
      </w:r>
      <w:r w:rsidRPr="00D14983">
        <w:rPr>
          <w:szCs w:val="24"/>
        </w:rPr>
        <w:t>velpatasvir, or voxilaprevir.</w:t>
      </w:r>
    </w:p>
    <w:p w:rsidR="006F6A96" w:rsidRPr="007F5911" w:rsidRDefault="006F6A96" w:rsidP="00AC2129">
      <w:pPr>
        <w:pStyle w:val="Heading5"/>
        <w:numPr>
          <w:ilvl w:val="0"/>
          <w:numId w:val="0"/>
        </w:numPr>
        <w:spacing w:before="120" w:after="240" w:line="240" w:lineRule="auto"/>
        <w:ind w:left="1008" w:hanging="1008"/>
        <w:rPr>
          <w:rFonts w:ascii="Times New Roman" w:hAnsi="Times New Roman" w:cs="Times New Roman"/>
          <w:i/>
          <w:noProof/>
          <w:color w:val="auto"/>
          <w:sz w:val="24"/>
          <w:szCs w:val="24"/>
        </w:rPr>
      </w:pPr>
      <w:r w:rsidRPr="007F5911">
        <w:rPr>
          <w:rFonts w:ascii="Times New Roman" w:hAnsi="Times New Roman" w:cs="Times New Roman"/>
          <w:i/>
          <w:noProof/>
          <w:color w:val="auto"/>
          <w:sz w:val="24"/>
          <w:szCs w:val="24"/>
        </w:rPr>
        <w:t>Elderly Patients</w:t>
      </w:r>
    </w:p>
    <w:p w:rsidR="006F6A96" w:rsidRPr="007F5911" w:rsidRDefault="006F6A96" w:rsidP="00AC2129">
      <w:pPr>
        <w:pStyle w:val="Heading5"/>
        <w:numPr>
          <w:ilvl w:val="0"/>
          <w:numId w:val="0"/>
        </w:numPr>
        <w:spacing w:before="120" w:after="240" w:line="240" w:lineRule="auto"/>
        <w:rPr>
          <w:rFonts w:ascii="Times New Roman" w:hAnsi="Times New Roman" w:cs="Times New Roman"/>
          <w:color w:val="auto"/>
          <w:sz w:val="24"/>
          <w:szCs w:val="24"/>
        </w:rPr>
      </w:pPr>
      <w:r w:rsidRPr="007F5911">
        <w:rPr>
          <w:rFonts w:ascii="Times New Roman" w:hAnsi="Times New Roman" w:cs="Times New Roman"/>
          <w:color w:val="auto"/>
          <w:sz w:val="24"/>
          <w:szCs w:val="24"/>
        </w:rPr>
        <w:t xml:space="preserve">Population pharmacokinetic analysis in HCV-infected patients showed that within the age range (18 to 85 years) analyzed, age did not have a clinically relevant effect on the exposure to sofosbuvir, GS-331007, velpatasvir, or voxilaprevir. </w:t>
      </w:r>
    </w:p>
    <w:p w:rsidR="006F6A96" w:rsidRPr="007F5911" w:rsidRDefault="006F6A96" w:rsidP="00AC2129">
      <w:pPr>
        <w:pStyle w:val="Heading5"/>
        <w:numPr>
          <w:ilvl w:val="0"/>
          <w:numId w:val="0"/>
        </w:numPr>
        <w:spacing w:before="120" w:after="240" w:line="240" w:lineRule="auto"/>
        <w:ind w:left="1008" w:hanging="1008"/>
        <w:rPr>
          <w:rFonts w:ascii="Times New Roman" w:hAnsi="Times New Roman" w:cs="Times New Roman"/>
          <w:i/>
          <w:noProof/>
          <w:color w:val="auto"/>
          <w:sz w:val="24"/>
          <w:szCs w:val="24"/>
        </w:rPr>
      </w:pPr>
      <w:r w:rsidRPr="007F5911">
        <w:rPr>
          <w:rFonts w:ascii="Times New Roman" w:hAnsi="Times New Roman" w:cs="Times New Roman"/>
          <w:i/>
          <w:noProof/>
          <w:color w:val="auto"/>
          <w:sz w:val="24"/>
          <w:szCs w:val="24"/>
        </w:rPr>
        <w:t>Paediatric Patients</w:t>
      </w:r>
    </w:p>
    <w:p w:rsidR="006F6A96" w:rsidRPr="00525F08" w:rsidRDefault="006F6A96" w:rsidP="00AC2129">
      <w:pPr>
        <w:spacing w:before="120" w:after="240" w:line="240" w:lineRule="auto"/>
        <w:rPr>
          <w:noProof/>
        </w:rPr>
      </w:pPr>
      <w:r w:rsidRPr="004E338F">
        <w:rPr>
          <w:rFonts w:ascii="Times New Roman" w:hAnsi="Times New Roman" w:cs="Times New Roman"/>
          <w:noProof/>
          <w:sz w:val="24"/>
          <w:szCs w:val="24"/>
        </w:rPr>
        <w:t xml:space="preserve">The pharmacokinetics of VOSEVI, in paediatric </w:t>
      </w:r>
      <w:r w:rsidRPr="004E338F">
        <w:rPr>
          <w:rFonts w:ascii="Times New Roman" w:hAnsi="Times New Roman" w:cs="Times New Roman"/>
          <w:sz w:val="24"/>
          <w:szCs w:val="24"/>
        </w:rPr>
        <w:t>patients</w:t>
      </w:r>
      <w:r w:rsidRPr="004E338F">
        <w:rPr>
          <w:rFonts w:ascii="Times New Roman" w:hAnsi="Times New Roman" w:cs="Times New Roman"/>
          <w:noProof/>
          <w:sz w:val="24"/>
          <w:szCs w:val="24"/>
        </w:rPr>
        <w:t xml:space="preserve"> have not been established</w:t>
      </w:r>
      <w:r w:rsidRPr="00525F08">
        <w:rPr>
          <w:noProof/>
        </w:rPr>
        <w:t>.</w:t>
      </w:r>
    </w:p>
    <w:p w:rsidR="006F6A96" w:rsidRPr="004E338F" w:rsidRDefault="006F6A96" w:rsidP="00AC2129">
      <w:pPr>
        <w:pStyle w:val="Heading5"/>
        <w:numPr>
          <w:ilvl w:val="0"/>
          <w:numId w:val="0"/>
        </w:numPr>
        <w:spacing w:before="120" w:after="240" w:line="240" w:lineRule="auto"/>
        <w:ind w:left="1008" w:hanging="1008"/>
        <w:rPr>
          <w:rFonts w:ascii="Times New Roman" w:hAnsi="Times New Roman" w:cs="Times New Roman"/>
          <w:i/>
          <w:noProof/>
          <w:color w:val="auto"/>
          <w:sz w:val="24"/>
          <w:szCs w:val="24"/>
        </w:rPr>
      </w:pPr>
      <w:r w:rsidRPr="004E338F">
        <w:rPr>
          <w:rFonts w:ascii="Times New Roman" w:hAnsi="Times New Roman" w:cs="Times New Roman"/>
          <w:i/>
          <w:noProof/>
          <w:color w:val="auto"/>
          <w:sz w:val="24"/>
          <w:szCs w:val="24"/>
        </w:rPr>
        <w:lastRenderedPageBreak/>
        <w:t>Patients with Impaired Renal Function</w:t>
      </w:r>
    </w:p>
    <w:p w:rsidR="006F6A96" w:rsidRPr="00525F08" w:rsidRDefault="006F6A96" w:rsidP="00AC2129">
      <w:pPr>
        <w:spacing w:before="120" w:after="240" w:line="240" w:lineRule="auto"/>
      </w:pPr>
      <w:r w:rsidRPr="004E338F">
        <w:rPr>
          <w:rFonts w:ascii="Times New Roman" w:hAnsi="Times New Roman" w:cs="Times New Roman"/>
          <w:sz w:val="24"/>
          <w:szCs w:val="24"/>
        </w:rPr>
        <w:t>The pharmacokinetics of sofosbuvir were studied in HCV negative patients with mild (eGFR ≥ 50 and &lt; 80 m</w:t>
      </w:r>
      <w:r w:rsidRPr="004E338F">
        <w:rPr>
          <w:rFonts w:ascii="Times New Roman" w:hAnsi="Times New Roman" w:cs="Times New Roman"/>
          <w:spacing w:val="-5"/>
          <w:sz w:val="24"/>
          <w:szCs w:val="24"/>
        </w:rPr>
        <w:t>L</w:t>
      </w:r>
      <w:r w:rsidRPr="004E338F">
        <w:rPr>
          <w:rFonts w:ascii="Times New Roman" w:hAnsi="Times New Roman" w:cs="Times New Roman"/>
          <w:sz w:val="24"/>
          <w:szCs w:val="24"/>
        </w:rPr>
        <w:t>/min/1.73m</w:t>
      </w:r>
      <w:r w:rsidRPr="004E338F">
        <w:rPr>
          <w:rFonts w:ascii="Times New Roman" w:hAnsi="Times New Roman" w:cs="Times New Roman"/>
          <w:sz w:val="24"/>
          <w:szCs w:val="24"/>
          <w:vertAlign w:val="superscript"/>
        </w:rPr>
        <w:t>2</w:t>
      </w:r>
      <w:r w:rsidRPr="004E338F">
        <w:rPr>
          <w:rFonts w:ascii="Times New Roman" w:hAnsi="Times New Roman" w:cs="Times New Roman"/>
          <w:sz w:val="24"/>
          <w:szCs w:val="24"/>
        </w:rPr>
        <w:t xml:space="preserve">), moderate (eGFR ≥ 30 and &lt; 50 </w:t>
      </w:r>
      <w:r w:rsidRPr="004E338F">
        <w:rPr>
          <w:rFonts w:ascii="Times New Roman" w:hAnsi="Times New Roman" w:cs="Times New Roman"/>
          <w:spacing w:val="3"/>
          <w:sz w:val="24"/>
          <w:szCs w:val="24"/>
        </w:rPr>
        <w:t>m</w:t>
      </w:r>
      <w:r w:rsidRPr="004E338F">
        <w:rPr>
          <w:rFonts w:ascii="Times New Roman" w:hAnsi="Times New Roman" w:cs="Times New Roman"/>
          <w:spacing w:val="-5"/>
          <w:sz w:val="24"/>
          <w:szCs w:val="24"/>
        </w:rPr>
        <w:t>L</w:t>
      </w:r>
      <w:r w:rsidRPr="004E338F">
        <w:rPr>
          <w:rFonts w:ascii="Times New Roman" w:hAnsi="Times New Roman" w:cs="Times New Roman"/>
          <w:sz w:val="24"/>
          <w:szCs w:val="24"/>
        </w:rPr>
        <w:t>/min/1.73m</w:t>
      </w:r>
      <w:r w:rsidRPr="004E338F">
        <w:rPr>
          <w:rFonts w:ascii="Times New Roman" w:hAnsi="Times New Roman" w:cs="Times New Roman"/>
          <w:sz w:val="24"/>
          <w:szCs w:val="24"/>
          <w:vertAlign w:val="superscript"/>
        </w:rPr>
        <w:t>2</w:t>
      </w:r>
      <w:r w:rsidRPr="004E338F">
        <w:rPr>
          <w:rFonts w:ascii="Times New Roman" w:hAnsi="Times New Roman" w:cs="Times New Roman"/>
          <w:sz w:val="24"/>
          <w:szCs w:val="24"/>
        </w:rPr>
        <w:t>), severe renal impairment (eGFR &lt; 30 m</w:t>
      </w:r>
      <w:r w:rsidRPr="004E338F">
        <w:rPr>
          <w:rFonts w:ascii="Times New Roman" w:hAnsi="Times New Roman" w:cs="Times New Roman"/>
          <w:spacing w:val="-5"/>
          <w:sz w:val="24"/>
          <w:szCs w:val="24"/>
        </w:rPr>
        <w:t>L</w:t>
      </w:r>
      <w:r w:rsidRPr="004E338F">
        <w:rPr>
          <w:rFonts w:ascii="Times New Roman" w:hAnsi="Times New Roman" w:cs="Times New Roman"/>
          <w:sz w:val="24"/>
          <w:szCs w:val="24"/>
        </w:rPr>
        <w:t>/min/1.73m</w:t>
      </w:r>
      <w:r w:rsidRPr="004E338F">
        <w:rPr>
          <w:rFonts w:ascii="Times New Roman" w:hAnsi="Times New Roman" w:cs="Times New Roman"/>
          <w:sz w:val="24"/>
          <w:szCs w:val="24"/>
          <w:vertAlign w:val="superscript"/>
        </w:rPr>
        <w:t>2</w:t>
      </w:r>
      <w:r w:rsidRPr="004E338F">
        <w:rPr>
          <w:rFonts w:ascii="Times New Roman" w:hAnsi="Times New Roman" w:cs="Times New Roman"/>
          <w:sz w:val="24"/>
          <w:szCs w:val="24"/>
        </w:rPr>
        <w:t>) and patients with end stage renal disease (ESRD) requiring haemodia</w:t>
      </w:r>
      <w:r w:rsidRPr="004E338F">
        <w:rPr>
          <w:rFonts w:ascii="Times New Roman" w:hAnsi="Times New Roman" w:cs="Times New Roman"/>
          <w:spacing w:val="5"/>
          <w:sz w:val="24"/>
          <w:szCs w:val="24"/>
        </w:rPr>
        <w:t>l</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sis following a single 400 mg dose of sofosbuvir. Relative to patients with normal renal function (eGFR &gt; 80 mL/min/1.73m</w:t>
      </w:r>
      <w:r w:rsidRPr="004E338F">
        <w:rPr>
          <w:rFonts w:ascii="Times New Roman" w:hAnsi="Times New Roman" w:cs="Times New Roman"/>
          <w:sz w:val="24"/>
          <w:szCs w:val="24"/>
          <w:vertAlign w:val="superscript"/>
        </w:rPr>
        <w:t>2</w:t>
      </w:r>
      <w:r w:rsidRPr="004E338F">
        <w:rPr>
          <w:rFonts w:ascii="Times New Roman" w:hAnsi="Times New Roman" w:cs="Times New Roman"/>
          <w:sz w:val="24"/>
          <w:szCs w:val="24"/>
        </w:rPr>
        <w:t>), the sofosbuvir AUC</w:t>
      </w:r>
      <w:r w:rsidRPr="004E338F">
        <w:rPr>
          <w:rFonts w:ascii="Times New Roman" w:hAnsi="Times New Roman" w:cs="Times New Roman"/>
          <w:sz w:val="24"/>
          <w:szCs w:val="24"/>
          <w:vertAlign w:val="subscript"/>
        </w:rPr>
        <w:t>0</w:t>
      </w:r>
      <w:r w:rsidRPr="004E338F">
        <w:rPr>
          <w:rFonts w:ascii="Times New Roman" w:hAnsi="Times New Roman" w:cs="Times New Roman"/>
          <w:spacing w:val="-1"/>
          <w:sz w:val="24"/>
          <w:szCs w:val="24"/>
          <w:vertAlign w:val="subscript"/>
        </w:rPr>
        <w:t>-</w:t>
      </w:r>
      <w:r w:rsidRPr="004E338F">
        <w:rPr>
          <w:rFonts w:ascii="Times New Roman" w:hAnsi="Times New Roman" w:cs="Times New Roman"/>
          <w:sz w:val="24"/>
          <w:szCs w:val="24"/>
          <w:vertAlign w:val="subscript"/>
        </w:rPr>
        <w:t xml:space="preserve">inf </w:t>
      </w:r>
      <w:r w:rsidRPr="004E338F">
        <w:rPr>
          <w:rFonts w:ascii="Times New Roman" w:hAnsi="Times New Roman" w:cs="Times New Roman"/>
          <w:sz w:val="24"/>
          <w:szCs w:val="24"/>
        </w:rPr>
        <w:t>was 61%, 107% and 171% higher in mild, moderate, and severe renal impairment, while the G</w:t>
      </w:r>
      <w:r w:rsidRPr="004E338F">
        <w:rPr>
          <w:rFonts w:ascii="Times New Roman" w:hAnsi="Times New Roman" w:cs="Times New Roman"/>
          <w:spacing w:val="1"/>
          <w:sz w:val="24"/>
          <w:szCs w:val="24"/>
        </w:rPr>
        <w:t>S</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331007 AUC</w:t>
      </w:r>
      <w:r w:rsidRPr="004E338F">
        <w:rPr>
          <w:rFonts w:ascii="Times New Roman" w:hAnsi="Times New Roman" w:cs="Times New Roman"/>
          <w:sz w:val="24"/>
          <w:szCs w:val="24"/>
          <w:vertAlign w:val="subscript"/>
        </w:rPr>
        <w:t>0</w:t>
      </w:r>
      <w:r w:rsidRPr="004E338F">
        <w:rPr>
          <w:rFonts w:ascii="Times New Roman" w:hAnsi="Times New Roman" w:cs="Times New Roman"/>
          <w:spacing w:val="-1"/>
          <w:sz w:val="24"/>
          <w:szCs w:val="24"/>
          <w:vertAlign w:val="subscript"/>
        </w:rPr>
        <w:t>-</w:t>
      </w:r>
      <w:r w:rsidRPr="004E338F">
        <w:rPr>
          <w:rFonts w:ascii="Times New Roman" w:hAnsi="Times New Roman" w:cs="Times New Roman"/>
          <w:sz w:val="24"/>
          <w:szCs w:val="24"/>
          <w:vertAlign w:val="subscript"/>
        </w:rPr>
        <w:t xml:space="preserve">inf  </w:t>
      </w:r>
      <w:r w:rsidRPr="004E338F">
        <w:rPr>
          <w:rFonts w:ascii="Times New Roman" w:hAnsi="Times New Roman" w:cs="Times New Roman"/>
          <w:sz w:val="24"/>
          <w:szCs w:val="24"/>
        </w:rPr>
        <w:t>was 55%, 88%, and 451% higher, respective</w:t>
      </w:r>
      <w:r w:rsidRPr="004E338F">
        <w:rPr>
          <w:rFonts w:ascii="Times New Roman" w:hAnsi="Times New Roman" w:cs="Times New Roman"/>
          <w:spacing w:val="4"/>
          <w:sz w:val="24"/>
          <w:szCs w:val="24"/>
        </w:rPr>
        <w:t>l</w:t>
      </w:r>
      <w:r w:rsidRPr="004E338F">
        <w:rPr>
          <w:rFonts w:ascii="Times New Roman" w:hAnsi="Times New Roman" w:cs="Times New Roman"/>
          <w:sz w:val="24"/>
          <w:szCs w:val="24"/>
        </w:rPr>
        <w:t>y.</w:t>
      </w:r>
      <w:r w:rsidRPr="004E338F">
        <w:rPr>
          <w:rFonts w:ascii="Times New Roman" w:hAnsi="Times New Roman" w:cs="Times New Roman"/>
          <w:spacing w:val="-1"/>
          <w:sz w:val="24"/>
          <w:szCs w:val="24"/>
        </w:rPr>
        <w:t xml:space="preserve"> </w:t>
      </w:r>
      <w:r w:rsidRPr="004E338F">
        <w:rPr>
          <w:rFonts w:ascii="Times New Roman" w:hAnsi="Times New Roman" w:cs="Times New Roman"/>
          <w:sz w:val="24"/>
          <w:szCs w:val="24"/>
        </w:rPr>
        <w:t>In</w:t>
      </w:r>
      <w:r w:rsidRPr="004E338F">
        <w:rPr>
          <w:rFonts w:ascii="Times New Roman" w:hAnsi="Times New Roman" w:cs="Times New Roman"/>
          <w:spacing w:val="-1"/>
          <w:sz w:val="24"/>
          <w:szCs w:val="24"/>
        </w:rPr>
        <w:t xml:space="preserve"> </w:t>
      </w:r>
      <w:r w:rsidRPr="004E338F">
        <w:rPr>
          <w:rFonts w:ascii="Times New Roman" w:hAnsi="Times New Roman" w:cs="Times New Roman"/>
          <w:sz w:val="24"/>
          <w:szCs w:val="24"/>
        </w:rPr>
        <w:t>patients with ESRD, sofosbuvir AUC</w:t>
      </w:r>
      <w:r w:rsidRPr="004E338F">
        <w:rPr>
          <w:rFonts w:ascii="Times New Roman" w:hAnsi="Times New Roman" w:cs="Times New Roman"/>
          <w:sz w:val="24"/>
          <w:szCs w:val="24"/>
          <w:vertAlign w:val="subscript"/>
        </w:rPr>
        <w:t>0</w:t>
      </w:r>
      <w:r w:rsidRPr="004E338F">
        <w:rPr>
          <w:rFonts w:ascii="Times New Roman" w:hAnsi="Times New Roman" w:cs="Times New Roman"/>
          <w:spacing w:val="-1"/>
          <w:sz w:val="24"/>
          <w:szCs w:val="24"/>
          <w:vertAlign w:val="subscript"/>
        </w:rPr>
        <w:t>-</w:t>
      </w:r>
      <w:r w:rsidRPr="004E338F">
        <w:rPr>
          <w:rFonts w:ascii="Times New Roman" w:hAnsi="Times New Roman" w:cs="Times New Roman"/>
          <w:sz w:val="24"/>
          <w:szCs w:val="24"/>
          <w:vertAlign w:val="subscript"/>
        </w:rPr>
        <w:t xml:space="preserve">inf </w:t>
      </w:r>
      <w:r w:rsidRPr="004E338F">
        <w:rPr>
          <w:rFonts w:ascii="Times New Roman" w:hAnsi="Times New Roman" w:cs="Times New Roman"/>
          <w:sz w:val="24"/>
          <w:szCs w:val="24"/>
        </w:rPr>
        <w:t>was 28% higher when sofosbuvir was dosed 1 hour before haemodial</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sis compared with 60% higher when dosed 1 hour after haemodial</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sis, respective</w:t>
      </w:r>
      <w:r w:rsidRPr="004E338F">
        <w:rPr>
          <w:rFonts w:ascii="Times New Roman" w:hAnsi="Times New Roman" w:cs="Times New Roman"/>
          <w:spacing w:val="5"/>
          <w:sz w:val="24"/>
          <w:szCs w:val="24"/>
        </w:rPr>
        <w:t>l</w:t>
      </w:r>
      <w:r w:rsidRPr="004E338F">
        <w:rPr>
          <w:rFonts w:ascii="Times New Roman" w:hAnsi="Times New Roman" w:cs="Times New Roman"/>
          <w:sz w:val="24"/>
          <w:szCs w:val="24"/>
        </w:rPr>
        <w:t>y.</w:t>
      </w:r>
      <w:r w:rsidRPr="004E338F">
        <w:rPr>
          <w:rFonts w:ascii="Times New Roman" w:hAnsi="Times New Roman" w:cs="Times New Roman"/>
          <w:spacing w:val="-1"/>
          <w:sz w:val="24"/>
          <w:szCs w:val="24"/>
        </w:rPr>
        <w:t xml:space="preserve"> </w:t>
      </w:r>
      <w:r w:rsidRPr="004E338F">
        <w:rPr>
          <w:rFonts w:ascii="Times New Roman" w:hAnsi="Times New Roman" w:cs="Times New Roman"/>
          <w:sz w:val="24"/>
          <w:szCs w:val="24"/>
        </w:rPr>
        <w:t>The</w:t>
      </w:r>
      <w:r w:rsidRPr="004E338F">
        <w:rPr>
          <w:rFonts w:ascii="Times New Roman" w:hAnsi="Times New Roman" w:cs="Times New Roman"/>
          <w:spacing w:val="-1"/>
          <w:sz w:val="24"/>
          <w:szCs w:val="24"/>
        </w:rPr>
        <w:t xml:space="preserve"> </w:t>
      </w:r>
      <w:r w:rsidRPr="004E338F">
        <w:rPr>
          <w:rFonts w:ascii="Times New Roman" w:hAnsi="Times New Roman" w:cs="Times New Roman"/>
          <w:sz w:val="24"/>
          <w:szCs w:val="24"/>
        </w:rPr>
        <w:t>AUC</w:t>
      </w:r>
      <w:r w:rsidRPr="004E338F">
        <w:rPr>
          <w:rFonts w:ascii="Times New Roman" w:hAnsi="Times New Roman" w:cs="Times New Roman"/>
          <w:sz w:val="24"/>
          <w:szCs w:val="24"/>
          <w:vertAlign w:val="subscript"/>
        </w:rPr>
        <w:t>0</w:t>
      </w:r>
      <w:r w:rsidRPr="004E338F">
        <w:rPr>
          <w:rFonts w:ascii="Times New Roman" w:hAnsi="Times New Roman" w:cs="Times New Roman"/>
          <w:spacing w:val="-1"/>
          <w:sz w:val="24"/>
          <w:szCs w:val="24"/>
          <w:vertAlign w:val="subscript"/>
        </w:rPr>
        <w:t>-</w:t>
      </w:r>
      <w:r w:rsidRPr="004E338F">
        <w:rPr>
          <w:rFonts w:ascii="Times New Roman" w:hAnsi="Times New Roman" w:cs="Times New Roman"/>
          <w:sz w:val="24"/>
          <w:szCs w:val="24"/>
          <w:vertAlign w:val="subscript"/>
        </w:rPr>
        <w:t>inf</w:t>
      </w:r>
      <w:r w:rsidRPr="004E338F">
        <w:rPr>
          <w:rFonts w:ascii="Times New Roman" w:hAnsi="Times New Roman" w:cs="Times New Roman"/>
          <w:sz w:val="24"/>
          <w:szCs w:val="24"/>
        </w:rPr>
        <w:t xml:space="preserve"> of </w:t>
      </w:r>
      <w:r w:rsidRPr="004E338F">
        <w:rPr>
          <w:rFonts w:ascii="Times New Roman" w:hAnsi="Times New Roman" w:cs="Times New Roman"/>
          <w:spacing w:val="-1"/>
          <w:sz w:val="24"/>
          <w:szCs w:val="24"/>
        </w:rPr>
        <w:t>G</w:t>
      </w:r>
      <w:r w:rsidRPr="004E338F">
        <w:rPr>
          <w:rFonts w:ascii="Times New Roman" w:hAnsi="Times New Roman" w:cs="Times New Roman"/>
          <w:spacing w:val="1"/>
          <w:sz w:val="24"/>
          <w:szCs w:val="24"/>
        </w:rPr>
        <w:t>S</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331007 in patients with ESRD administered with sofosbuvir 1 hour before or 1 hour after haemodial</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sis was at least 10</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fold and 20</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fold higher, respective</w:t>
      </w:r>
      <w:r w:rsidRPr="004E338F">
        <w:rPr>
          <w:rFonts w:ascii="Times New Roman" w:hAnsi="Times New Roman" w:cs="Times New Roman"/>
          <w:spacing w:val="5"/>
          <w:sz w:val="24"/>
          <w:szCs w:val="24"/>
        </w:rPr>
        <w:t>l</w:t>
      </w:r>
      <w:r w:rsidRPr="004E338F">
        <w:rPr>
          <w:rFonts w:ascii="Times New Roman" w:hAnsi="Times New Roman" w:cs="Times New Roman"/>
          <w:spacing w:val="-1"/>
          <w:sz w:val="24"/>
          <w:szCs w:val="24"/>
        </w:rPr>
        <w:t>y</w:t>
      </w:r>
      <w:r w:rsidRPr="004E338F">
        <w:rPr>
          <w:rFonts w:ascii="Times New Roman" w:hAnsi="Times New Roman" w:cs="Times New Roman"/>
          <w:sz w:val="24"/>
          <w:szCs w:val="24"/>
        </w:rPr>
        <w:t>.</w:t>
      </w:r>
      <w:r w:rsidRPr="004E338F">
        <w:rPr>
          <w:rFonts w:ascii="Times New Roman" w:hAnsi="Times New Roman" w:cs="Times New Roman"/>
          <w:spacing w:val="-3"/>
          <w:sz w:val="24"/>
          <w:szCs w:val="24"/>
        </w:rPr>
        <w:t xml:space="preserve"> </w:t>
      </w:r>
      <w:r w:rsidRPr="004E338F">
        <w:rPr>
          <w:rFonts w:ascii="Times New Roman" w:hAnsi="Times New Roman" w:cs="Times New Roman"/>
          <w:spacing w:val="-1"/>
          <w:sz w:val="24"/>
          <w:szCs w:val="24"/>
        </w:rPr>
        <w:t>G</w:t>
      </w:r>
      <w:r w:rsidRPr="004E338F">
        <w:rPr>
          <w:rFonts w:ascii="Times New Roman" w:hAnsi="Times New Roman" w:cs="Times New Roman"/>
          <w:spacing w:val="1"/>
          <w:sz w:val="24"/>
          <w:szCs w:val="24"/>
        </w:rPr>
        <w:t>S</w:t>
      </w:r>
      <w:r w:rsidRPr="004E338F">
        <w:rPr>
          <w:rFonts w:ascii="Times New Roman" w:hAnsi="Times New Roman" w:cs="Times New Roman"/>
          <w:spacing w:val="-1"/>
          <w:sz w:val="24"/>
          <w:szCs w:val="24"/>
        </w:rPr>
        <w:t>-</w:t>
      </w:r>
      <w:r w:rsidRPr="004E338F">
        <w:rPr>
          <w:rFonts w:ascii="Times New Roman" w:hAnsi="Times New Roman" w:cs="Times New Roman"/>
          <w:sz w:val="24"/>
          <w:szCs w:val="24"/>
        </w:rPr>
        <w:t>331007 is efficient</w:t>
      </w:r>
      <w:r w:rsidRPr="004E338F">
        <w:rPr>
          <w:rFonts w:ascii="Times New Roman" w:hAnsi="Times New Roman" w:cs="Times New Roman"/>
          <w:spacing w:val="5"/>
          <w:sz w:val="24"/>
          <w:szCs w:val="24"/>
        </w:rPr>
        <w:t>l</w:t>
      </w:r>
      <w:r w:rsidRPr="004E338F">
        <w:rPr>
          <w:rFonts w:ascii="Times New Roman" w:hAnsi="Times New Roman" w:cs="Times New Roman"/>
          <w:sz w:val="24"/>
          <w:szCs w:val="24"/>
        </w:rPr>
        <w:t xml:space="preserve">y removed </w:t>
      </w:r>
      <w:r w:rsidRPr="004E338F">
        <w:rPr>
          <w:rFonts w:ascii="Times New Roman" w:hAnsi="Times New Roman" w:cs="Times New Roman"/>
          <w:spacing w:val="5"/>
          <w:sz w:val="24"/>
          <w:szCs w:val="24"/>
        </w:rPr>
        <w:t>b</w:t>
      </w:r>
      <w:r w:rsidRPr="004E338F">
        <w:rPr>
          <w:rFonts w:ascii="Times New Roman" w:hAnsi="Times New Roman" w:cs="Times New Roman"/>
          <w:sz w:val="24"/>
          <w:szCs w:val="24"/>
        </w:rPr>
        <w:t>y</w:t>
      </w:r>
      <w:r w:rsidRPr="004E338F">
        <w:rPr>
          <w:rFonts w:ascii="Times New Roman" w:hAnsi="Times New Roman" w:cs="Times New Roman"/>
          <w:spacing w:val="-1"/>
          <w:sz w:val="24"/>
          <w:szCs w:val="24"/>
        </w:rPr>
        <w:t xml:space="preserve"> haemodia</w:t>
      </w:r>
      <w:r w:rsidRPr="004E338F">
        <w:rPr>
          <w:rFonts w:ascii="Times New Roman" w:hAnsi="Times New Roman" w:cs="Times New Roman"/>
          <w:spacing w:val="5"/>
          <w:sz w:val="24"/>
          <w:szCs w:val="24"/>
        </w:rPr>
        <w:t>l</w:t>
      </w:r>
      <w:r w:rsidRPr="004E338F">
        <w:rPr>
          <w:rFonts w:ascii="Times New Roman" w:hAnsi="Times New Roman" w:cs="Times New Roman"/>
          <w:spacing w:val="-5"/>
          <w:sz w:val="24"/>
          <w:szCs w:val="24"/>
        </w:rPr>
        <w:t>y</w:t>
      </w:r>
      <w:r w:rsidRPr="004E338F">
        <w:rPr>
          <w:rFonts w:ascii="Times New Roman" w:hAnsi="Times New Roman" w:cs="Times New Roman"/>
          <w:sz w:val="24"/>
          <w:szCs w:val="24"/>
        </w:rPr>
        <w:t>sis with an extraction coefficient of approximately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53%.  Following a single 400 mg dose of sofosbuvir, a 4 hour haemodial</w:t>
      </w:r>
      <w:r w:rsidRPr="004E338F">
        <w:rPr>
          <w:rFonts w:ascii="Times New Roman" w:hAnsi="Times New Roman" w:cs="Times New Roman"/>
          <w:spacing w:val="-4"/>
          <w:sz w:val="24"/>
          <w:szCs w:val="24"/>
        </w:rPr>
        <w:t>y</w:t>
      </w:r>
      <w:r w:rsidRPr="004E338F">
        <w:rPr>
          <w:rFonts w:ascii="Times New Roman" w:hAnsi="Times New Roman" w:cs="Times New Roman"/>
          <w:sz w:val="24"/>
          <w:szCs w:val="24"/>
        </w:rPr>
        <w:t xml:space="preserve">sis removed 18% of administered dose. No dose adjustment is </w:t>
      </w:r>
      <w:r w:rsidRPr="004E338F">
        <w:rPr>
          <w:rFonts w:ascii="Times New Roman" w:hAnsi="Times New Roman" w:cs="Times New Roman"/>
          <w:spacing w:val="-1"/>
          <w:sz w:val="24"/>
          <w:szCs w:val="24"/>
        </w:rPr>
        <w:t>r</w:t>
      </w:r>
      <w:r w:rsidRPr="004E338F">
        <w:rPr>
          <w:rFonts w:ascii="Times New Roman" w:hAnsi="Times New Roman" w:cs="Times New Roman"/>
          <w:sz w:val="24"/>
          <w:szCs w:val="24"/>
        </w:rPr>
        <w:t>equired for patients with mild or moderate renal impairment. The safe</w:t>
      </w:r>
      <w:r w:rsidRPr="004E338F">
        <w:rPr>
          <w:rFonts w:ascii="Times New Roman" w:hAnsi="Times New Roman" w:cs="Times New Roman"/>
          <w:spacing w:val="4"/>
          <w:sz w:val="24"/>
          <w:szCs w:val="24"/>
        </w:rPr>
        <w:t>t</w:t>
      </w:r>
      <w:r w:rsidRPr="004E338F">
        <w:rPr>
          <w:rFonts w:ascii="Times New Roman" w:hAnsi="Times New Roman" w:cs="Times New Roman"/>
          <w:sz w:val="24"/>
          <w:szCs w:val="24"/>
        </w:rPr>
        <w:t>y</w:t>
      </w:r>
      <w:r w:rsidRPr="004E338F">
        <w:rPr>
          <w:rFonts w:ascii="Times New Roman" w:hAnsi="Times New Roman" w:cs="Times New Roman"/>
          <w:spacing w:val="-2"/>
          <w:sz w:val="24"/>
          <w:szCs w:val="24"/>
        </w:rPr>
        <w:t xml:space="preserve"> </w:t>
      </w:r>
      <w:r w:rsidRPr="004E338F">
        <w:rPr>
          <w:rFonts w:ascii="Times New Roman" w:hAnsi="Times New Roman" w:cs="Times New Roman"/>
          <w:sz w:val="24"/>
          <w:szCs w:val="24"/>
        </w:rPr>
        <w:t>and efficacy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of sofosbuvir have not been established in patients with severe renal impairment or ESRD</w:t>
      </w:r>
      <w:r w:rsidRPr="00525F08">
        <w:t>.</w:t>
      </w:r>
    </w:p>
    <w:p w:rsidR="006F6A96" w:rsidRPr="004E338F" w:rsidRDefault="006F6A96"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The pharmacokinetics of velpatasvir were studied with a single dose of 100 mg ve</w:t>
      </w:r>
      <w:r w:rsidRPr="004E338F">
        <w:rPr>
          <w:rFonts w:ascii="Times New Roman" w:hAnsi="Times New Roman" w:cs="Times New Roman"/>
          <w:spacing w:val="-1"/>
          <w:sz w:val="24"/>
          <w:szCs w:val="24"/>
        </w:rPr>
        <w:t>l</w:t>
      </w:r>
      <w:r w:rsidRPr="004E338F">
        <w:rPr>
          <w:rFonts w:ascii="Times New Roman" w:hAnsi="Times New Roman" w:cs="Times New Roman"/>
          <w:sz w:val="24"/>
          <w:szCs w:val="24"/>
        </w:rPr>
        <w:t>patasvir in HCV negative patients with severe renal impairment (eGFR &lt; 30 mL/min by Cockcrof</w:t>
      </w:r>
      <w:r w:rsidRPr="004E338F">
        <w:rPr>
          <w:rFonts w:ascii="Times New Roman" w:hAnsi="Times New Roman" w:cs="Times New Roman"/>
          <w:spacing w:val="-1"/>
          <w:sz w:val="24"/>
          <w:szCs w:val="24"/>
        </w:rPr>
        <w:t>t-</w:t>
      </w:r>
      <w:r w:rsidRPr="004E338F">
        <w:rPr>
          <w:rFonts w:ascii="Times New Roman" w:hAnsi="Times New Roman" w:cs="Times New Roman"/>
          <w:sz w:val="24"/>
          <w:szCs w:val="24"/>
        </w:rPr>
        <w:t>Gault). No clinically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relevant differences in velpatasvir pharmacokinetics were observed between healthy</w:t>
      </w:r>
      <w:r w:rsidRPr="004E338F">
        <w:rPr>
          <w:rFonts w:ascii="Times New Roman" w:hAnsi="Times New Roman" w:cs="Times New Roman"/>
          <w:spacing w:val="-5"/>
          <w:sz w:val="24"/>
          <w:szCs w:val="24"/>
        </w:rPr>
        <w:t xml:space="preserve"> </w:t>
      </w:r>
      <w:r w:rsidRPr="004E338F">
        <w:rPr>
          <w:rFonts w:ascii="Times New Roman" w:hAnsi="Times New Roman" w:cs="Times New Roman"/>
          <w:sz w:val="24"/>
          <w:szCs w:val="24"/>
        </w:rPr>
        <w:t>patients and patients with severe renal impairment. No dose adjustment of velpatasvir is required for patients with mild, moderate, or severe renal impairment.</w:t>
      </w:r>
    </w:p>
    <w:p w:rsidR="006F6A96" w:rsidRPr="004E338F" w:rsidRDefault="006F6A96" w:rsidP="00AC2129">
      <w:pPr>
        <w:spacing w:before="120" w:after="240" w:line="240" w:lineRule="auto"/>
        <w:rPr>
          <w:rFonts w:ascii="Times New Roman" w:hAnsi="Times New Roman" w:cs="Times New Roman"/>
          <w:sz w:val="24"/>
          <w:szCs w:val="24"/>
        </w:rPr>
      </w:pPr>
      <w:r w:rsidRPr="004E338F">
        <w:rPr>
          <w:rFonts w:ascii="Times New Roman" w:hAnsi="Times New Roman" w:cs="Times New Roman"/>
          <w:sz w:val="24"/>
          <w:szCs w:val="24"/>
        </w:rPr>
        <w:t>The pharmacokinetics of voxilaprevir were studied with a single dose of 100 mg voxilaprevir in HCV negative patients with severe renal impairment (eGFR &lt; 30 mL/min by Cockcroft-Gault). No clinically relevant differences in voxilaprevir pharmacokinetics were observed between healthy patients and patients with severe renal impairment. No dose adjustment of voxilaprevir is required for patients with mild, moderate, or severe renal impairment.</w:t>
      </w:r>
    </w:p>
    <w:p w:rsidR="006F6A96" w:rsidRPr="00CE59A7" w:rsidRDefault="006F6A96" w:rsidP="00AC2129">
      <w:pPr>
        <w:pStyle w:val="Heading5"/>
        <w:numPr>
          <w:ilvl w:val="0"/>
          <w:numId w:val="0"/>
        </w:numPr>
        <w:spacing w:before="120" w:after="240" w:line="240" w:lineRule="auto"/>
        <w:ind w:left="1008" w:hanging="1008"/>
        <w:rPr>
          <w:rFonts w:ascii="Times New Roman" w:hAnsi="Times New Roman" w:cs="Times New Roman"/>
          <w:i/>
          <w:noProof/>
          <w:color w:val="auto"/>
          <w:sz w:val="24"/>
          <w:szCs w:val="24"/>
        </w:rPr>
      </w:pPr>
      <w:r w:rsidRPr="00CE59A7">
        <w:rPr>
          <w:rFonts w:ascii="Times New Roman" w:hAnsi="Times New Roman" w:cs="Times New Roman"/>
          <w:i/>
          <w:noProof/>
          <w:color w:val="auto"/>
          <w:sz w:val="24"/>
          <w:szCs w:val="24"/>
        </w:rPr>
        <w:t>Patients with Hepatic Impairment</w:t>
      </w:r>
    </w:p>
    <w:p w:rsidR="006F6A96" w:rsidRPr="00665561" w:rsidRDefault="006F6A96" w:rsidP="00AC2129">
      <w:pPr>
        <w:spacing w:before="120" w:after="240" w:line="240" w:lineRule="auto"/>
        <w:rPr>
          <w:rFonts w:ascii="Times New Roman" w:hAnsi="Times New Roman" w:cs="Times New Roman"/>
          <w:sz w:val="24"/>
          <w:szCs w:val="24"/>
        </w:rPr>
      </w:pPr>
      <w:r w:rsidRPr="00665561">
        <w:rPr>
          <w:rFonts w:ascii="Times New Roman" w:hAnsi="Times New Roman" w:cs="Times New Roman"/>
          <w:sz w:val="24"/>
          <w:szCs w:val="24"/>
        </w:rPr>
        <w:t>The pharmacokinetics of sofosbuvir were studied following 7-day dosing of 400 mg sofosbuvir in HCV-infected patients with moderate and severe hepatic impairment (Child- Pugh B and C). Relative to patients with normal hepatic function, the sofosbuvir AUC</w:t>
      </w:r>
      <w:r w:rsidRPr="00665561">
        <w:rPr>
          <w:rFonts w:ascii="Times New Roman" w:hAnsi="Times New Roman" w:cs="Times New Roman"/>
          <w:sz w:val="24"/>
          <w:szCs w:val="24"/>
          <w:vertAlign w:val="subscript"/>
        </w:rPr>
        <w:t>0-24</w:t>
      </w:r>
      <w:r w:rsidRPr="00665561">
        <w:rPr>
          <w:rFonts w:ascii="Times New Roman" w:hAnsi="Times New Roman" w:cs="Times New Roman"/>
          <w:sz w:val="24"/>
          <w:szCs w:val="24"/>
        </w:rPr>
        <w:t xml:space="preserve"> was 126% and 143% higher in moderate and severe hepatic impairment, while the GS-331007 AUC</w:t>
      </w:r>
      <w:r w:rsidRPr="00665561">
        <w:rPr>
          <w:rFonts w:ascii="Times New Roman" w:hAnsi="Times New Roman" w:cs="Times New Roman"/>
          <w:sz w:val="24"/>
          <w:szCs w:val="24"/>
          <w:vertAlign w:val="subscript"/>
        </w:rPr>
        <w:t xml:space="preserve">0-24 </w:t>
      </w:r>
      <w:r w:rsidRPr="00665561">
        <w:rPr>
          <w:rFonts w:ascii="Times New Roman" w:hAnsi="Times New Roman" w:cs="Times New Roman"/>
          <w:sz w:val="24"/>
          <w:szCs w:val="24"/>
        </w:rPr>
        <w:t>was 18% and 9% higher, respectively. Population pharmacokinetics analysis in HCV-infected patients indicated that cirrhosis (including decompensated cirrhosis) had no clinically relevant effect on the exposure of sofosbuvir and GS-331007. No dose adjustment of sofosbuvir is recommended for patients with mild, moderate, and severe hepatic impairment.</w:t>
      </w:r>
    </w:p>
    <w:p w:rsidR="006F6A96" w:rsidRPr="00665561" w:rsidRDefault="006F6A96" w:rsidP="00AC2129">
      <w:pPr>
        <w:spacing w:before="120" w:after="240" w:line="240" w:lineRule="auto"/>
        <w:rPr>
          <w:rFonts w:ascii="Times New Roman" w:hAnsi="Times New Roman" w:cs="Times New Roman"/>
          <w:sz w:val="24"/>
          <w:szCs w:val="24"/>
        </w:rPr>
      </w:pPr>
      <w:r w:rsidRPr="00665561">
        <w:rPr>
          <w:rFonts w:ascii="Times New Roman" w:hAnsi="Times New Roman" w:cs="Times New Roman"/>
          <w:sz w:val="24"/>
          <w:szCs w:val="24"/>
        </w:rPr>
        <w:t xml:space="preserve">The pharmacokinetics of </w:t>
      </w:r>
      <w:r w:rsidR="00CE59A7" w:rsidRPr="00665561">
        <w:rPr>
          <w:rFonts w:ascii="Times New Roman" w:hAnsi="Times New Roman" w:cs="Times New Roman"/>
          <w:sz w:val="24"/>
          <w:szCs w:val="24"/>
        </w:rPr>
        <w:t xml:space="preserve">velpatasvir </w:t>
      </w:r>
      <w:r w:rsidR="00CE59A7">
        <w:rPr>
          <w:rFonts w:ascii="Times New Roman" w:hAnsi="Times New Roman" w:cs="Times New Roman"/>
          <w:sz w:val="24"/>
          <w:szCs w:val="24"/>
        </w:rPr>
        <w:t>were</w:t>
      </w:r>
      <w:r w:rsidRPr="00665561">
        <w:rPr>
          <w:rFonts w:ascii="Times New Roman" w:hAnsi="Times New Roman" w:cs="Times New Roman"/>
          <w:sz w:val="24"/>
          <w:szCs w:val="24"/>
        </w:rPr>
        <w:t xml:space="preserve"> studied with a single dose of 100 mg velpatasvir in HCV negative patients with moderate and severe hepatic impairment (Child-Pugh B and C). Velpatasvir plasma exposure (AUC</w:t>
      </w:r>
      <w:r w:rsidRPr="00665561">
        <w:rPr>
          <w:rFonts w:ascii="Times New Roman" w:hAnsi="Times New Roman" w:cs="Times New Roman"/>
          <w:sz w:val="24"/>
          <w:szCs w:val="24"/>
          <w:vertAlign w:val="subscript"/>
        </w:rPr>
        <w:t>inf</w:t>
      </w:r>
      <w:r w:rsidRPr="00665561">
        <w:rPr>
          <w:rFonts w:ascii="Times New Roman" w:hAnsi="Times New Roman" w:cs="Times New Roman"/>
          <w:sz w:val="24"/>
          <w:szCs w:val="24"/>
        </w:rPr>
        <w:t>) was similar in patients with moderate hepatic impairment, severe hepatic impairment, and control patients with normal hepatic function. Population pharmacokinetics analysis in HCV-infected patients indicated that cirrhosis (Child-Pugh A) had no clinically relevant effect on the exposure of velpatasvir. No dose adjustment of velpatasvir is required for patients with mild, moderate, or severe hepatic impairment.</w:t>
      </w:r>
    </w:p>
    <w:p w:rsidR="004952A5" w:rsidRPr="004952A5" w:rsidRDefault="006F6A96" w:rsidP="00AC2129">
      <w:pPr>
        <w:spacing w:before="120" w:after="240" w:line="240" w:lineRule="auto"/>
      </w:pPr>
      <w:r w:rsidRPr="00665561">
        <w:rPr>
          <w:rFonts w:ascii="Times New Roman" w:hAnsi="Times New Roman" w:cs="Times New Roman"/>
          <w:sz w:val="24"/>
          <w:szCs w:val="24"/>
        </w:rPr>
        <w:lastRenderedPageBreak/>
        <w:t>The pharmacokinetics of voxilaprevir were studied with a single dose of 100 mg voxilaprevir in HCV negative patients with moderate and severe hepatic impairment (Child-Pugh B and C). Relative to patients with normal hepatic function, the voxilaprevir AUC</w:t>
      </w:r>
      <w:r w:rsidRPr="00665561">
        <w:rPr>
          <w:rFonts w:ascii="Times New Roman" w:hAnsi="Times New Roman" w:cs="Times New Roman"/>
          <w:sz w:val="24"/>
          <w:szCs w:val="24"/>
          <w:vertAlign w:val="subscript"/>
        </w:rPr>
        <w:t>inf</w:t>
      </w:r>
      <w:r w:rsidRPr="00665561">
        <w:rPr>
          <w:rFonts w:ascii="Times New Roman" w:hAnsi="Times New Roman" w:cs="Times New Roman"/>
          <w:sz w:val="24"/>
          <w:szCs w:val="24"/>
        </w:rPr>
        <w:t xml:space="preserve"> was 299% and 500% higher in patients with moderate and severe hepatic impairment, respectively. Population pharmacokinetic analysis in HCV-infected patients indicated that patients with cirrhosis (Child-Pugh A) had 73% higher exposure of voxilaprevir than those without cirrhosis. No dose adjustment of voxilaprevir is required for patients with cirrhosis (Child-Pugh A).</w:t>
      </w:r>
    </w:p>
    <w:p w:rsidR="00AC2129" w:rsidRDefault="00AC2129" w:rsidP="00665561">
      <w:pPr>
        <w:pStyle w:val="Heading3"/>
        <w:spacing w:before="0" w:after="120"/>
        <w:ind w:left="0"/>
        <w:rPr>
          <w:rFonts w:ascii="Times New Roman" w:hAnsi="Times New Roman" w:cs="Times New Roman"/>
          <w:sz w:val="24"/>
          <w:szCs w:val="24"/>
        </w:rPr>
      </w:pPr>
    </w:p>
    <w:p w:rsidR="00AC2129" w:rsidRPr="004469C5" w:rsidRDefault="00AC2129" w:rsidP="004469C5">
      <w:pPr>
        <w:pStyle w:val="Heading2"/>
        <w:numPr>
          <w:ilvl w:val="0"/>
          <w:numId w:val="0"/>
        </w:numPr>
        <w:rPr>
          <w:rFonts w:ascii="Times New Roman" w:hAnsi="Times New Roman" w:cs="Times New Roman"/>
        </w:rPr>
      </w:pPr>
      <w:r w:rsidRPr="004469C5">
        <w:rPr>
          <w:rFonts w:ascii="Times New Roman" w:hAnsi="Times New Roman" w:cs="Times New Roman"/>
        </w:rPr>
        <w:t>5.3 PRECLINICAL SAFETY DATA</w:t>
      </w:r>
    </w:p>
    <w:p w:rsidR="001A3992" w:rsidRPr="004469C5" w:rsidRDefault="001A3992" w:rsidP="00665561">
      <w:pPr>
        <w:pStyle w:val="Heading3"/>
        <w:spacing w:before="0" w:after="120"/>
        <w:ind w:left="0"/>
        <w:rPr>
          <w:rFonts w:ascii="Times New Roman" w:hAnsi="Times New Roman" w:cs="Times New Roman"/>
        </w:rPr>
      </w:pPr>
      <w:r w:rsidRPr="004469C5">
        <w:rPr>
          <w:rFonts w:ascii="Times New Roman" w:hAnsi="Times New Roman" w:cs="Times New Roman"/>
        </w:rPr>
        <w:t>Genotoxicity</w:t>
      </w:r>
    </w:p>
    <w:p w:rsidR="006A2059" w:rsidRPr="00665561" w:rsidRDefault="006A2059" w:rsidP="00DE42F8">
      <w:pPr>
        <w:spacing w:before="120" w:after="240" w:line="240" w:lineRule="auto"/>
        <w:rPr>
          <w:rFonts w:ascii="Times New Roman" w:hAnsi="Times New Roman" w:cs="Times New Roman"/>
          <w:noProof/>
          <w:sz w:val="24"/>
          <w:szCs w:val="24"/>
        </w:rPr>
      </w:pPr>
      <w:r w:rsidRPr="00665561">
        <w:rPr>
          <w:rFonts w:ascii="Times New Roman" w:hAnsi="Times New Roman" w:cs="Times New Roman"/>
          <w:noProof/>
          <w:sz w:val="24"/>
          <w:szCs w:val="24"/>
        </w:rPr>
        <w:t xml:space="preserve">Sofosbuvir was not genotoxic in a battery of </w:t>
      </w:r>
      <w:r w:rsidRPr="00665561">
        <w:rPr>
          <w:rFonts w:ascii="Times New Roman" w:hAnsi="Times New Roman" w:cs="Times New Roman"/>
          <w:i/>
          <w:noProof/>
          <w:sz w:val="24"/>
          <w:szCs w:val="24"/>
        </w:rPr>
        <w:t>in vitro</w:t>
      </w:r>
      <w:r w:rsidRPr="00665561">
        <w:rPr>
          <w:rFonts w:ascii="Times New Roman" w:hAnsi="Times New Roman" w:cs="Times New Roman"/>
          <w:noProof/>
          <w:sz w:val="24"/>
          <w:szCs w:val="24"/>
        </w:rPr>
        <w:t xml:space="preserve"> or </w:t>
      </w:r>
      <w:r w:rsidRPr="00665561">
        <w:rPr>
          <w:rFonts w:ascii="Times New Roman" w:hAnsi="Times New Roman" w:cs="Times New Roman"/>
          <w:i/>
          <w:noProof/>
          <w:sz w:val="24"/>
          <w:szCs w:val="24"/>
        </w:rPr>
        <w:t>in vivo</w:t>
      </w:r>
      <w:r w:rsidRPr="00665561">
        <w:rPr>
          <w:rFonts w:ascii="Times New Roman" w:hAnsi="Times New Roman" w:cs="Times New Roman"/>
          <w:noProof/>
          <w:sz w:val="24"/>
          <w:szCs w:val="24"/>
        </w:rPr>
        <w:t xml:space="preserve"> assays, including bacterial mutagenicity, chromosome aberration using human peripheral blood lymphocytes, and </w:t>
      </w:r>
      <w:r w:rsidRPr="00665561">
        <w:rPr>
          <w:rFonts w:ascii="Times New Roman" w:hAnsi="Times New Roman" w:cs="Times New Roman"/>
          <w:i/>
          <w:noProof/>
          <w:sz w:val="24"/>
          <w:szCs w:val="24"/>
        </w:rPr>
        <w:t>in vivo</w:t>
      </w:r>
      <w:r w:rsidRPr="00665561">
        <w:rPr>
          <w:rFonts w:ascii="Times New Roman" w:hAnsi="Times New Roman" w:cs="Times New Roman"/>
          <w:noProof/>
          <w:sz w:val="24"/>
          <w:szCs w:val="24"/>
        </w:rPr>
        <w:t xml:space="preserve"> mouse micronucleus assays.</w:t>
      </w:r>
    </w:p>
    <w:p w:rsidR="006A2059" w:rsidRPr="00665561" w:rsidRDefault="006A2059" w:rsidP="00DE42F8">
      <w:pPr>
        <w:spacing w:before="120" w:after="240" w:line="240" w:lineRule="auto"/>
        <w:rPr>
          <w:rFonts w:ascii="Times New Roman" w:hAnsi="Times New Roman" w:cs="Times New Roman"/>
          <w:noProof/>
          <w:sz w:val="24"/>
          <w:szCs w:val="24"/>
        </w:rPr>
      </w:pPr>
      <w:r w:rsidRPr="00665561">
        <w:rPr>
          <w:rFonts w:ascii="Times New Roman" w:hAnsi="Times New Roman" w:cs="Times New Roman"/>
          <w:noProof/>
          <w:sz w:val="24"/>
          <w:szCs w:val="24"/>
        </w:rPr>
        <w:t xml:space="preserve">Velapatasvir was not genotoxic in a battery of </w:t>
      </w:r>
      <w:r w:rsidRPr="00665561">
        <w:rPr>
          <w:rFonts w:ascii="Times New Roman" w:hAnsi="Times New Roman" w:cs="Times New Roman"/>
          <w:i/>
          <w:noProof/>
          <w:sz w:val="24"/>
          <w:szCs w:val="24"/>
        </w:rPr>
        <w:t>in vitro</w:t>
      </w:r>
      <w:r w:rsidRPr="00665561">
        <w:rPr>
          <w:rFonts w:ascii="Times New Roman" w:hAnsi="Times New Roman" w:cs="Times New Roman"/>
          <w:noProof/>
          <w:sz w:val="24"/>
          <w:szCs w:val="24"/>
        </w:rPr>
        <w:t xml:space="preserve"> or </w:t>
      </w:r>
      <w:r w:rsidRPr="00665561">
        <w:rPr>
          <w:rFonts w:ascii="Times New Roman" w:hAnsi="Times New Roman" w:cs="Times New Roman"/>
          <w:i/>
          <w:noProof/>
          <w:sz w:val="24"/>
          <w:szCs w:val="24"/>
        </w:rPr>
        <w:t>in vivo</w:t>
      </w:r>
      <w:r w:rsidRPr="00665561">
        <w:rPr>
          <w:rFonts w:ascii="Times New Roman" w:hAnsi="Times New Roman" w:cs="Times New Roman"/>
          <w:noProof/>
          <w:sz w:val="24"/>
          <w:szCs w:val="24"/>
        </w:rPr>
        <w:t xml:space="preserve"> assays, including bacterial mutagenicity, chromosome aberration using human peripheral blood lymphocytes, and </w:t>
      </w:r>
      <w:r w:rsidRPr="00665561">
        <w:rPr>
          <w:rFonts w:ascii="Times New Roman" w:hAnsi="Times New Roman" w:cs="Times New Roman"/>
          <w:i/>
          <w:noProof/>
          <w:sz w:val="24"/>
          <w:szCs w:val="24"/>
        </w:rPr>
        <w:t>in vivo</w:t>
      </w:r>
      <w:r w:rsidRPr="00665561">
        <w:rPr>
          <w:rFonts w:ascii="Times New Roman" w:hAnsi="Times New Roman" w:cs="Times New Roman"/>
          <w:noProof/>
          <w:sz w:val="24"/>
          <w:szCs w:val="24"/>
        </w:rPr>
        <w:t xml:space="preserve"> rat micronucleus assays.</w:t>
      </w:r>
    </w:p>
    <w:p w:rsidR="006A2059" w:rsidRPr="00665561" w:rsidRDefault="006A2059" w:rsidP="00DE42F8">
      <w:pPr>
        <w:spacing w:before="120" w:after="240" w:line="240" w:lineRule="auto"/>
        <w:rPr>
          <w:rFonts w:ascii="Times New Roman" w:hAnsi="Times New Roman" w:cs="Times New Roman"/>
          <w:noProof/>
          <w:sz w:val="24"/>
          <w:szCs w:val="24"/>
        </w:rPr>
      </w:pPr>
      <w:r w:rsidRPr="00665561">
        <w:rPr>
          <w:rFonts w:ascii="Times New Roman" w:hAnsi="Times New Roman" w:cs="Times New Roman"/>
          <w:sz w:val="24"/>
          <w:szCs w:val="24"/>
        </w:rPr>
        <w:t xml:space="preserve">Voxilaprevir was not genotoxic in a battery of </w:t>
      </w:r>
      <w:r w:rsidRPr="00665561">
        <w:rPr>
          <w:rFonts w:ascii="Times New Roman" w:hAnsi="Times New Roman" w:cs="Times New Roman"/>
          <w:i/>
          <w:sz w:val="24"/>
          <w:szCs w:val="24"/>
        </w:rPr>
        <w:t>in vitro</w:t>
      </w:r>
      <w:r w:rsidRPr="00665561">
        <w:rPr>
          <w:rFonts w:ascii="Times New Roman" w:hAnsi="Times New Roman" w:cs="Times New Roman"/>
          <w:sz w:val="24"/>
          <w:szCs w:val="24"/>
        </w:rPr>
        <w:t xml:space="preserve"> or </w:t>
      </w:r>
      <w:r w:rsidRPr="00665561">
        <w:rPr>
          <w:rFonts w:ascii="Times New Roman" w:hAnsi="Times New Roman" w:cs="Times New Roman"/>
          <w:i/>
          <w:sz w:val="24"/>
          <w:szCs w:val="24"/>
        </w:rPr>
        <w:t xml:space="preserve">in vivo </w:t>
      </w:r>
      <w:r w:rsidRPr="00665561">
        <w:rPr>
          <w:rFonts w:ascii="Times New Roman" w:hAnsi="Times New Roman" w:cs="Times New Roman"/>
          <w:sz w:val="24"/>
          <w:szCs w:val="24"/>
        </w:rPr>
        <w:t xml:space="preserve">assays, including bacterial mutagenicity, chromosome aberration using human peripheral blood lymphocytes and </w:t>
      </w:r>
      <w:r w:rsidRPr="00665561">
        <w:rPr>
          <w:rFonts w:ascii="Times New Roman" w:hAnsi="Times New Roman" w:cs="Times New Roman"/>
          <w:i/>
          <w:sz w:val="24"/>
          <w:szCs w:val="24"/>
        </w:rPr>
        <w:t>in vivo</w:t>
      </w:r>
      <w:r w:rsidRPr="00665561">
        <w:rPr>
          <w:rFonts w:ascii="Times New Roman" w:hAnsi="Times New Roman" w:cs="Times New Roman"/>
          <w:sz w:val="24"/>
          <w:szCs w:val="24"/>
        </w:rPr>
        <w:t xml:space="preserve"> rat micronucleus assays.</w:t>
      </w:r>
    </w:p>
    <w:p w:rsidR="001A3992" w:rsidRPr="004469C5" w:rsidRDefault="001A3992" w:rsidP="00DE42F8">
      <w:pPr>
        <w:pStyle w:val="Heading3"/>
        <w:spacing w:before="120" w:after="240" w:line="240" w:lineRule="auto"/>
        <w:ind w:left="0"/>
        <w:rPr>
          <w:rFonts w:ascii="Times New Roman" w:hAnsi="Times New Roman" w:cs="Times New Roman"/>
          <w:lang w:val="en-US"/>
        </w:rPr>
      </w:pPr>
      <w:r w:rsidRPr="004469C5">
        <w:rPr>
          <w:rFonts w:ascii="Times New Roman" w:hAnsi="Times New Roman" w:cs="Times New Roman"/>
        </w:rPr>
        <w:t>Carcin</w:t>
      </w:r>
      <w:r w:rsidRPr="004469C5">
        <w:rPr>
          <w:rFonts w:ascii="Times New Roman" w:hAnsi="Times New Roman" w:cs="Times New Roman"/>
          <w:lang w:val="en-US"/>
        </w:rPr>
        <w:t>ogenicity</w:t>
      </w:r>
    </w:p>
    <w:p w:rsidR="006A2059" w:rsidRPr="00665561" w:rsidRDefault="006A2059" w:rsidP="00DE42F8">
      <w:pPr>
        <w:spacing w:before="120" w:after="240" w:line="240" w:lineRule="auto"/>
        <w:rPr>
          <w:rFonts w:ascii="Times New Roman" w:hAnsi="Times New Roman" w:cs="Times New Roman"/>
          <w:sz w:val="24"/>
          <w:szCs w:val="24"/>
        </w:rPr>
      </w:pPr>
      <w:r w:rsidRPr="00665561">
        <w:rPr>
          <w:rFonts w:ascii="Times New Roman" w:hAnsi="Times New Roman" w:cs="Times New Roman"/>
          <w:sz w:val="24"/>
          <w:szCs w:val="24"/>
        </w:rPr>
        <w:t>Carcinogenicity studies in mice and rats do not indicate any carcinogenicity potential of sofosbuvir administered at doses up to 200 mg/kg/day in male mice and 600 mg/kg/day in female mice, and 750 mg/kg/day in rats. Exposure to GS-331007 in these studies in mice was up to 4 times (male) and 17 times (female), and in rats up to 8 times (male) and 10 times (female) higher than the clinical exposure at 400 mg sofosbuvir.</w:t>
      </w:r>
    </w:p>
    <w:p w:rsidR="006A2059" w:rsidRPr="00665561" w:rsidRDefault="006A2059" w:rsidP="00DE42F8">
      <w:pPr>
        <w:spacing w:before="120" w:after="240" w:line="240" w:lineRule="auto"/>
        <w:rPr>
          <w:rFonts w:ascii="Times New Roman" w:hAnsi="Times New Roman" w:cs="Times New Roman"/>
          <w:sz w:val="24"/>
          <w:szCs w:val="24"/>
        </w:rPr>
      </w:pPr>
      <w:r w:rsidRPr="00665561">
        <w:rPr>
          <w:rFonts w:ascii="Times New Roman" w:hAnsi="Times New Roman" w:cs="Times New Roman"/>
          <w:sz w:val="24"/>
          <w:szCs w:val="24"/>
        </w:rPr>
        <w:t>Velpatasvir was not carcinogenic in a 26-week transgenic mouse study at exposures up to 42 and 67 times higher than human exposure in male and female mice, respectively. A carcinogenicity study in rats is ongoing.</w:t>
      </w:r>
    </w:p>
    <w:p w:rsidR="006A2059" w:rsidRDefault="006A2059" w:rsidP="00DE42F8">
      <w:pPr>
        <w:spacing w:before="120" w:after="240" w:line="240" w:lineRule="auto"/>
        <w:rPr>
          <w:rFonts w:ascii="Times New Roman" w:hAnsi="Times New Roman" w:cs="Times New Roman"/>
          <w:sz w:val="24"/>
          <w:szCs w:val="24"/>
        </w:rPr>
      </w:pPr>
      <w:r w:rsidRPr="00665561">
        <w:rPr>
          <w:rFonts w:ascii="Times New Roman" w:hAnsi="Times New Roman" w:cs="Times New Roman"/>
          <w:sz w:val="24"/>
          <w:szCs w:val="24"/>
        </w:rPr>
        <w:t>Carcinogenicity studies for voxilaprevir have not been conducted.</w:t>
      </w:r>
    </w:p>
    <w:p w:rsidR="00DE42F8" w:rsidRPr="004469C5" w:rsidRDefault="00DE42F8" w:rsidP="004469C5">
      <w:pPr>
        <w:pStyle w:val="Heading1"/>
        <w:rPr>
          <w:rFonts w:ascii="Times New Roman" w:hAnsi="Times New Roman" w:cs="Times New Roman"/>
        </w:rPr>
      </w:pPr>
      <w:r w:rsidRPr="004469C5">
        <w:rPr>
          <w:rFonts w:ascii="Times New Roman" w:hAnsi="Times New Roman" w:cs="Times New Roman"/>
        </w:rPr>
        <w:t>PHARMACEUTICAL PARTICULARS</w:t>
      </w:r>
    </w:p>
    <w:p w:rsidR="00DE42F8" w:rsidRPr="004469C5" w:rsidRDefault="00DE42F8" w:rsidP="004469C5">
      <w:pPr>
        <w:pStyle w:val="Heading2"/>
        <w:rPr>
          <w:rFonts w:ascii="Times New Roman" w:eastAsia="Arial Unicode MS" w:hAnsi="Times New Roman" w:cs="Times New Roman"/>
        </w:rPr>
      </w:pPr>
      <w:r w:rsidRPr="004469C5">
        <w:rPr>
          <w:rFonts w:ascii="Times New Roman" w:hAnsi="Times New Roman" w:cs="Times New Roman"/>
        </w:rPr>
        <w:t>LIST OF EXCIPIENTS</w:t>
      </w:r>
    </w:p>
    <w:p w:rsidR="00B72225" w:rsidRPr="00B72225" w:rsidRDefault="00B72225" w:rsidP="00DE42F8">
      <w:pPr>
        <w:spacing w:before="120" w:after="240" w:line="240" w:lineRule="auto"/>
        <w:rPr>
          <w:rFonts w:ascii="Times New Roman" w:hAnsi="Times New Roman" w:cs="Times New Roman"/>
          <w:noProof/>
          <w:sz w:val="24"/>
          <w:szCs w:val="24"/>
        </w:rPr>
      </w:pPr>
      <w:r w:rsidRPr="00B72225">
        <w:rPr>
          <w:rFonts w:ascii="Times New Roman" w:hAnsi="Times New Roman" w:cs="Times New Roman"/>
          <w:i/>
          <w:noProof/>
          <w:sz w:val="24"/>
          <w:szCs w:val="24"/>
        </w:rPr>
        <w:t xml:space="preserve">Tablet core: </w:t>
      </w:r>
      <w:r w:rsidRPr="00B72225">
        <w:rPr>
          <w:rFonts w:ascii="Times New Roman" w:eastAsia="MS Mincho" w:hAnsi="Times New Roman" w:cs="Times New Roman"/>
          <w:sz w:val="24"/>
          <w:szCs w:val="24"/>
          <w:lang w:eastAsia="ja-JP"/>
        </w:rPr>
        <w:t>silicon dioxide, copovidone, croscarmellose sodium, lactose monohydrate, magnesium stearate, and microcrystalline cellulose</w:t>
      </w:r>
      <w:r w:rsidRPr="00B72225">
        <w:rPr>
          <w:rFonts w:ascii="Times New Roman" w:hAnsi="Times New Roman" w:cs="Times New Roman"/>
          <w:noProof/>
          <w:sz w:val="24"/>
          <w:szCs w:val="24"/>
        </w:rPr>
        <w:t>.</w:t>
      </w:r>
    </w:p>
    <w:p w:rsidR="00B72225" w:rsidRPr="00525F08" w:rsidRDefault="00B72225" w:rsidP="00DE42F8">
      <w:pPr>
        <w:spacing w:before="120" w:after="240" w:line="240" w:lineRule="auto"/>
        <w:rPr>
          <w:iCs/>
          <w:noProof/>
        </w:rPr>
      </w:pPr>
      <w:r w:rsidRPr="00B72225">
        <w:rPr>
          <w:rFonts w:ascii="Times New Roman" w:hAnsi="Times New Roman" w:cs="Times New Roman"/>
          <w:i/>
          <w:noProof/>
          <w:sz w:val="24"/>
          <w:szCs w:val="24"/>
        </w:rPr>
        <w:t>Film</w:t>
      </w:r>
      <w:r w:rsidRPr="00B72225">
        <w:rPr>
          <w:rFonts w:ascii="Times New Roman" w:hAnsi="Times New Roman" w:cs="Times New Roman"/>
          <w:i/>
          <w:noProof/>
          <w:sz w:val="24"/>
          <w:szCs w:val="24"/>
        </w:rPr>
        <w:noBreakHyphen/>
        <w:t xml:space="preserve">coating: </w:t>
      </w:r>
      <w:r w:rsidRPr="00B72225">
        <w:rPr>
          <w:rFonts w:ascii="Times New Roman" w:hAnsi="Times New Roman" w:cs="Times New Roman"/>
          <w:sz w:val="24"/>
          <w:szCs w:val="24"/>
        </w:rPr>
        <w:t xml:space="preserve"> </w:t>
      </w:r>
      <w:r w:rsidRPr="00B72225">
        <w:rPr>
          <w:rFonts w:ascii="Times New Roman" w:eastAsia="MS Mincho" w:hAnsi="Times New Roman" w:cs="Times New Roman"/>
          <w:sz w:val="24"/>
          <w:szCs w:val="24"/>
          <w:lang w:eastAsia="ja-JP"/>
        </w:rPr>
        <w:t>ferrosoferric oxide, iron oxide red, iron oxide yellow, polyethylene glycol, polyvinyl alcohol, purified talc, and titanium dioxide</w:t>
      </w:r>
      <w:r w:rsidRPr="00525F08">
        <w:rPr>
          <w:noProof/>
        </w:rPr>
        <w:t>.</w:t>
      </w:r>
    </w:p>
    <w:p w:rsidR="005B2812" w:rsidRPr="004469C5" w:rsidRDefault="00DE42F8" w:rsidP="004469C5">
      <w:pPr>
        <w:pStyle w:val="Heading2"/>
        <w:rPr>
          <w:rFonts w:ascii="Times New Roman" w:eastAsia="Arial Unicode MS" w:hAnsi="Times New Roman" w:cs="Times New Roman"/>
        </w:rPr>
      </w:pPr>
      <w:r w:rsidRPr="004469C5">
        <w:rPr>
          <w:rFonts w:ascii="Times New Roman" w:hAnsi="Times New Roman" w:cs="Times New Roman"/>
        </w:rPr>
        <w:lastRenderedPageBreak/>
        <w:t>INCOMPATIBILITIES</w:t>
      </w:r>
    </w:p>
    <w:p w:rsidR="005B2812" w:rsidRPr="00502D13" w:rsidRDefault="00502D13" w:rsidP="005B2812">
      <w:pPr>
        <w:rPr>
          <w:rFonts w:ascii="Times New Roman" w:hAnsi="Times New Roman" w:cs="Times New Roman"/>
          <w:sz w:val="24"/>
          <w:szCs w:val="24"/>
          <w:lang w:val="en-US"/>
        </w:rPr>
      </w:pPr>
      <w:r w:rsidRPr="00502D13">
        <w:rPr>
          <w:rFonts w:ascii="Times New Roman" w:hAnsi="Times New Roman" w:cs="Times New Roman"/>
          <w:sz w:val="24"/>
          <w:szCs w:val="24"/>
          <w:lang w:val="en"/>
        </w:rPr>
        <w:t>Not applicable</w:t>
      </w:r>
    </w:p>
    <w:p w:rsidR="00DE42F8" w:rsidRPr="004469C5" w:rsidRDefault="00DE42F8" w:rsidP="004469C5">
      <w:pPr>
        <w:pStyle w:val="Heading2"/>
        <w:rPr>
          <w:rFonts w:ascii="Times New Roman" w:eastAsia="Arial Unicode MS" w:hAnsi="Times New Roman" w:cs="Times New Roman"/>
        </w:rPr>
      </w:pPr>
      <w:r w:rsidRPr="004469C5">
        <w:rPr>
          <w:rFonts w:ascii="Times New Roman" w:hAnsi="Times New Roman" w:cs="Times New Roman"/>
        </w:rPr>
        <w:t>SHELF LIFE</w:t>
      </w:r>
    </w:p>
    <w:p w:rsidR="0020535A" w:rsidRPr="001F0D62" w:rsidRDefault="005B2812" w:rsidP="00EE4652">
      <w:pPr>
        <w:spacing w:before="120" w:after="240" w:line="240" w:lineRule="auto"/>
        <w:rPr>
          <w:rFonts w:asciiTheme="majorHAnsi" w:hAnsiTheme="majorHAnsi" w:cstheme="minorHAnsi"/>
          <w:lang w:val="en"/>
        </w:rPr>
      </w:pPr>
      <w:r w:rsidRPr="00502D13">
        <w:rPr>
          <w:rFonts w:ascii="Times New Roman" w:hAnsi="Times New Roman" w:cs="Times New Roman"/>
          <w:sz w:val="24"/>
          <w:szCs w:val="24"/>
          <w:lang w:val="en"/>
        </w:rPr>
        <w:t>In Australia, information on the shelf life can be found on the public summary of the Australian Register of Therapeutic Goods (ARTG). The expiry date can be found on the packaging</w:t>
      </w:r>
      <w:r w:rsidRPr="00497C85">
        <w:rPr>
          <w:rFonts w:asciiTheme="majorHAnsi" w:hAnsiTheme="majorHAnsi" w:cstheme="minorHAnsi"/>
          <w:lang w:val="en"/>
        </w:rPr>
        <w:t xml:space="preserve">. </w:t>
      </w:r>
    </w:p>
    <w:p w:rsidR="007B7D22" w:rsidRPr="006239BC" w:rsidRDefault="007B7D22" w:rsidP="006239BC">
      <w:pPr>
        <w:pStyle w:val="Heading2"/>
        <w:rPr>
          <w:rFonts w:ascii="Times New Roman" w:eastAsia="Arial Unicode MS" w:hAnsi="Times New Roman" w:cs="Times New Roman"/>
        </w:rPr>
      </w:pPr>
      <w:r w:rsidRPr="006239BC">
        <w:rPr>
          <w:rFonts w:ascii="Times New Roman" w:hAnsi="Times New Roman" w:cs="Times New Roman"/>
        </w:rPr>
        <w:t>SPECIAL PRECAUTIONS FOR STORAGE</w:t>
      </w:r>
    </w:p>
    <w:p w:rsidR="00502D13" w:rsidRDefault="00502D13" w:rsidP="00502D13">
      <w:pPr>
        <w:rPr>
          <w:rFonts w:ascii="Times New Roman" w:hAnsi="Times New Roman" w:cs="Times New Roman"/>
          <w:sz w:val="24"/>
          <w:szCs w:val="24"/>
        </w:rPr>
      </w:pPr>
      <w:r w:rsidRPr="00502D13">
        <w:rPr>
          <w:rFonts w:ascii="Times New Roman" w:hAnsi="Times New Roman" w:cs="Times New Roman"/>
          <w:noProof/>
          <w:sz w:val="24"/>
          <w:szCs w:val="24"/>
        </w:rPr>
        <w:t xml:space="preserve">VOSEVI </w:t>
      </w:r>
      <w:r w:rsidRPr="00502D13">
        <w:rPr>
          <w:rFonts w:ascii="Times New Roman" w:hAnsi="Times New Roman" w:cs="Times New Roman"/>
          <w:sz w:val="24"/>
          <w:szCs w:val="24"/>
        </w:rPr>
        <w:t>should be stored below 30 °C.</w:t>
      </w:r>
    </w:p>
    <w:p w:rsidR="007B7D22" w:rsidRPr="006239BC" w:rsidRDefault="007B7D22" w:rsidP="006239BC">
      <w:pPr>
        <w:pStyle w:val="Heading2"/>
        <w:rPr>
          <w:rFonts w:ascii="Times New Roman" w:eastAsia="Arial Unicode MS" w:hAnsi="Times New Roman" w:cs="Times New Roman"/>
        </w:rPr>
      </w:pPr>
      <w:r w:rsidRPr="006239BC">
        <w:rPr>
          <w:rFonts w:ascii="Times New Roman" w:hAnsi="Times New Roman" w:cs="Times New Roman"/>
        </w:rPr>
        <w:t>NATURE AND CONTENTS OF CONTAINER</w:t>
      </w:r>
    </w:p>
    <w:p w:rsidR="007C1F8B" w:rsidRDefault="007C1F8B" w:rsidP="007B7D22">
      <w:pPr>
        <w:spacing w:before="120" w:after="240" w:line="240" w:lineRule="auto"/>
        <w:rPr>
          <w:rFonts w:ascii="Times New Roman" w:hAnsi="Times New Roman" w:cs="Times New Roman"/>
          <w:sz w:val="24"/>
          <w:szCs w:val="24"/>
          <w:lang w:val="en-US"/>
        </w:rPr>
      </w:pPr>
      <w:r w:rsidRPr="007C1F8B">
        <w:rPr>
          <w:rFonts w:ascii="Times New Roman" w:hAnsi="Times New Roman" w:cs="Times New Roman"/>
          <w:sz w:val="24"/>
          <w:szCs w:val="24"/>
          <w:lang w:val="en-US"/>
        </w:rPr>
        <w:t>VOSEVI tablets are supplied in high-density polyethylene (HDPE) bottle and a child-resistant closure containing 28 film-coated tablets with polyester coil.</w:t>
      </w:r>
    </w:p>
    <w:p w:rsidR="009F4D6D" w:rsidRDefault="009F4D6D" w:rsidP="007B7D22">
      <w:pPr>
        <w:spacing w:before="120" w:after="240" w:line="240" w:lineRule="auto"/>
        <w:rPr>
          <w:rFonts w:ascii="Times New Roman" w:hAnsi="Times New Roman" w:cs="Times New Roman"/>
          <w:sz w:val="24"/>
          <w:szCs w:val="24"/>
          <w:lang w:val="en-US"/>
        </w:rPr>
      </w:pPr>
      <w:r w:rsidRPr="009F4D6D">
        <w:rPr>
          <w:rFonts w:ascii="Times New Roman" w:hAnsi="Times New Roman" w:cs="Times New Roman"/>
          <w:sz w:val="24"/>
          <w:szCs w:val="24"/>
          <w:lang w:val="en-US"/>
        </w:rPr>
        <w:t xml:space="preserve">Each VOSEVI tablet is film-coated and beige in colour.  The tablets are capsule shaped debossed with “GSI” on one side and </w:t>
      </w:r>
      <w:r w:rsidR="00154245" w:rsidRPr="009F4D6D">
        <w:rPr>
          <w:rFonts w:ascii="Times New Roman" w:hAnsi="Times New Roman" w:cs="Times New Roman"/>
          <w:sz w:val="24"/>
          <w:szCs w:val="24"/>
          <w:lang w:val="en-US"/>
        </w:rPr>
        <w:t>“3”</w:t>
      </w:r>
      <w:r w:rsidRPr="009F4D6D">
        <w:rPr>
          <w:rFonts w:ascii="Times New Roman" w:hAnsi="Times New Roman" w:cs="Times New Roman"/>
          <w:sz w:val="24"/>
          <w:szCs w:val="24"/>
          <w:lang w:val="en-US"/>
        </w:rPr>
        <w:t xml:space="preserve"> on the other side.  </w:t>
      </w:r>
      <w:r w:rsidR="001111CD" w:rsidRPr="001111CD">
        <w:rPr>
          <w:rFonts w:ascii="Times New Roman" w:hAnsi="Times New Roman" w:cs="Times New Roman"/>
          <w:sz w:val="24"/>
          <w:szCs w:val="24"/>
          <w:lang w:val="en-US"/>
        </w:rPr>
        <w:t>The tablets are supplied in bottles with a polyester coil, silica gel desiccant, and are closed with a child-resistant closure.</w:t>
      </w:r>
    </w:p>
    <w:p w:rsidR="007B7D22" w:rsidRPr="006239BC" w:rsidRDefault="007B7D22" w:rsidP="006239BC">
      <w:pPr>
        <w:pStyle w:val="Heading2"/>
        <w:rPr>
          <w:rFonts w:ascii="Times New Roman" w:eastAsia="Arial Unicode MS" w:hAnsi="Times New Roman" w:cs="Times New Roman"/>
        </w:rPr>
      </w:pPr>
      <w:r w:rsidRPr="006239BC">
        <w:rPr>
          <w:rFonts w:ascii="Times New Roman" w:hAnsi="Times New Roman" w:cs="Times New Roman"/>
        </w:rPr>
        <w:t>SPECIAL PRECAUTIONS FOR DISPOSAL</w:t>
      </w:r>
    </w:p>
    <w:p w:rsidR="007B7D22" w:rsidRDefault="005B2812" w:rsidP="007B7D22">
      <w:pPr>
        <w:spacing w:before="120" w:after="240" w:line="240" w:lineRule="auto"/>
        <w:rPr>
          <w:rFonts w:ascii="Times New Roman" w:hAnsi="Times New Roman" w:cs="Times New Roman"/>
          <w:sz w:val="24"/>
          <w:szCs w:val="24"/>
          <w:lang w:val="en"/>
        </w:rPr>
      </w:pPr>
      <w:r w:rsidRPr="00502D13">
        <w:rPr>
          <w:rFonts w:ascii="Times New Roman" w:hAnsi="Times New Roman" w:cs="Times New Roman"/>
          <w:sz w:val="24"/>
          <w:szCs w:val="24"/>
          <w:lang w:val="en"/>
        </w:rPr>
        <w:t xml:space="preserve">In Australia, any unused medicine or waste material should be disposed of by taking to your local pharmacy. </w:t>
      </w:r>
    </w:p>
    <w:p w:rsidR="007B7D22" w:rsidRPr="006239BC" w:rsidRDefault="007B7D22" w:rsidP="006239BC">
      <w:pPr>
        <w:pStyle w:val="Heading2"/>
        <w:rPr>
          <w:rFonts w:ascii="Times New Roman" w:eastAsia="Arial Unicode MS" w:hAnsi="Times New Roman" w:cs="Times New Roman"/>
        </w:rPr>
      </w:pPr>
      <w:r w:rsidRPr="006239BC">
        <w:rPr>
          <w:rFonts w:ascii="Times New Roman" w:hAnsi="Times New Roman" w:cs="Times New Roman"/>
        </w:rPr>
        <w:t>PHYSIOCHEMICAL PROPERTIES</w:t>
      </w:r>
    </w:p>
    <w:p w:rsidR="001A3992" w:rsidRPr="006239BC" w:rsidRDefault="001A3992" w:rsidP="007B7D22">
      <w:pPr>
        <w:pStyle w:val="Text1"/>
        <w:rPr>
          <w:b/>
          <w:sz w:val="22"/>
          <w:szCs w:val="22"/>
        </w:rPr>
      </w:pPr>
      <w:r w:rsidRPr="006239BC">
        <w:rPr>
          <w:b/>
          <w:sz w:val="22"/>
          <w:szCs w:val="22"/>
        </w:rPr>
        <w:t>Chemical structure</w:t>
      </w:r>
    </w:p>
    <w:p w:rsidR="00502D13" w:rsidRPr="00502D13" w:rsidRDefault="00502D13" w:rsidP="007B7D22">
      <w:pPr>
        <w:spacing w:before="120" w:after="240" w:line="240" w:lineRule="auto"/>
        <w:rPr>
          <w:rFonts w:ascii="Times New Roman" w:hAnsi="Times New Roman" w:cs="Times New Roman"/>
          <w:sz w:val="24"/>
          <w:szCs w:val="24"/>
        </w:rPr>
      </w:pPr>
      <w:r w:rsidRPr="00502D13">
        <w:rPr>
          <w:rFonts w:ascii="Times New Roman" w:hAnsi="Times New Roman" w:cs="Times New Roman"/>
          <w:sz w:val="24"/>
          <w:szCs w:val="24"/>
        </w:rPr>
        <w:t xml:space="preserve">Sofosbuvir is a nucleotide inhibitor of HCV NS5B RNA-dependent RNA polymerase, velpatasvir is a Hepatitis C Virus (HCV) NS5A inhibitor and voxilaprevir is an HCV NS3/4A protease inhibitor. </w:t>
      </w:r>
      <w:r w:rsidRPr="00502D13" w:rsidDel="00487460">
        <w:rPr>
          <w:rFonts w:ascii="Times New Roman" w:hAnsi="Times New Roman" w:cs="Times New Roman"/>
          <w:sz w:val="24"/>
          <w:szCs w:val="24"/>
        </w:rPr>
        <w:t xml:space="preserve"> </w:t>
      </w:r>
    </w:p>
    <w:p w:rsidR="00502D13" w:rsidRDefault="00502D13" w:rsidP="007B7D22">
      <w:pPr>
        <w:spacing w:before="120" w:after="240" w:line="240" w:lineRule="auto"/>
        <w:rPr>
          <w:rFonts w:ascii="Times New Roman" w:hAnsi="Times New Roman" w:cs="Times New Roman"/>
          <w:sz w:val="24"/>
          <w:szCs w:val="24"/>
        </w:rPr>
      </w:pPr>
      <w:r w:rsidRPr="00502D13">
        <w:rPr>
          <w:rFonts w:ascii="Times New Roman" w:hAnsi="Times New Roman" w:cs="Times New Roman"/>
          <w:sz w:val="24"/>
          <w:szCs w:val="24"/>
        </w:rPr>
        <w:t>The chemical name of sofosbuvir is (</w:t>
      </w:r>
      <w:r w:rsidRPr="00502D13">
        <w:rPr>
          <w:rFonts w:ascii="Times New Roman" w:hAnsi="Times New Roman" w:cs="Times New Roman"/>
          <w:i/>
          <w:sz w:val="24"/>
          <w:szCs w:val="24"/>
        </w:rPr>
        <w:t>S</w:t>
      </w:r>
      <w:r w:rsidRPr="00502D13">
        <w:rPr>
          <w:rFonts w:ascii="Times New Roman" w:hAnsi="Times New Roman" w:cs="Times New Roman"/>
          <w:sz w:val="24"/>
          <w:szCs w:val="24"/>
        </w:rPr>
        <w:t>)-Isopropyl 2-((</w:t>
      </w:r>
      <w:r w:rsidRPr="00502D13">
        <w:rPr>
          <w:rFonts w:ascii="Times New Roman" w:hAnsi="Times New Roman" w:cs="Times New Roman"/>
          <w:i/>
          <w:sz w:val="24"/>
          <w:szCs w:val="24"/>
        </w:rPr>
        <w:t>S</w:t>
      </w:r>
      <w:r w:rsidRPr="00502D13">
        <w:rPr>
          <w:rFonts w:ascii="Times New Roman" w:hAnsi="Times New Roman" w:cs="Times New Roman"/>
          <w:sz w:val="24"/>
          <w:szCs w:val="24"/>
        </w:rPr>
        <w:t>)-(((2</w:t>
      </w:r>
      <w:r w:rsidRPr="00502D13">
        <w:rPr>
          <w:rFonts w:ascii="Times New Roman" w:hAnsi="Times New Roman" w:cs="Times New Roman"/>
          <w:i/>
          <w:sz w:val="24"/>
          <w:szCs w:val="24"/>
        </w:rPr>
        <w:t>R</w:t>
      </w:r>
      <w:r w:rsidRPr="00502D13">
        <w:rPr>
          <w:rFonts w:ascii="Times New Roman" w:hAnsi="Times New Roman" w:cs="Times New Roman"/>
          <w:sz w:val="24"/>
          <w:szCs w:val="24"/>
        </w:rPr>
        <w:t>,3</w:t>
      </w:r>
      <w:r w:rsidRPr="00502D13">
        <w:rPr>
          <w:rFonts w:ascii="Times New Roman" w:hAnsi="Times New Roman" w:cs="Times New Roman"/>
          <w:i/>
          <w:sz w:val="24"/>
          <w:szCs w:val="24"/>
        </w:rPr>
        <w:t>R</w:t>
      </w:r>
      <w:r w:rsidRPr="00502D13">
        <w:rPr>
          <w:rFonts w:ascii="Times New Roman" w:hAnsi="Times New Roman" w:cs="Times New Roman"/>
          <w:sz w:val="24"/>
          <w:szCs w:val="24"/>
        </w:rPr>
        <w:t>,4</w:t>
      </w:r>
      <w:r w:rsidRPr="00502D13">
        <w:rPr>
          <w:rFonts w:ascii="Times New Roman" w:hAnsi="Times New Roman" w:cs="Times New Roman"/>
          <w:i/>
          <w:sz w:val="24"/>
          <w:szCs w:val="24"/>
        </w:rPr>
        <w:t>R</w:t>
      </w:r>
      <w:r w:rsidRPr="00502D13">
        <w:rPr>
          <w:rFonts w:ascii="Times New Roman" w:hAnsi="Times New Roman" w:cs="Times New Roman"/>
          <w:sz w:val="24"/>
          <w:szCs w:val="24"/>
        </w:rPr>
        <w:t>,5</w:t>
      </w:r>
      <w:r w:rsidRPr="00502D13">
        <w:rPr>
          <w:rFonts w:ascii="Times New Roman" w:hAnsi="Times New Roman" w:cs="Times New Roman"/>
          <w:i/>
          <w:sz w:val="24"/>
          <w:szCs w:val="24"/>
        </w:rPr>
        <w:t>R</w:t>
      </w:r>
      <w:r w:rsidRPr="00502D13">
        <w:rPr>
          <w:rFonts w:ascii="Times New Roman" w:hAnsi="Times New Roman" w:cs="Times New Roman"/>
          <w:sz w:val="24"/>
          <w:szCs w:val="24"/>
        </w:rPr>
        <w:t>)-5-(2,4-dioxo-3,4-dihydropyrimidin-1(2</w:t>
      </w:r>
      <w:r w:rsidRPr="00502D13">
        <w:rPr>
          <w:rFonts w:ascii="Times New Roman" w:hAnsi="Times New Roman" w:cs="Times New Roman"/>
          <w:i/>
          <w:sz w:val="24"/>
          <w:szCs w:val="24"/>
        </w:rPr>
        <w:t>H</w:t>
      </w:r>
      <w:r w:rsidRPr="00502D13">
        <w:rPr>
          <w:rFonts w:ascii="Times New Roman" w:hAnsi="Times New Roman" w:cs="Times New Roman"/>
          <w:sz w:val="24"/>
          <w:szCs w:val="24"/>
        </w:rPr>
        <w:t>)-yl)-4-fluoro-3-hydroxy-4-methyltetrahydrofuran-2-yl)methoxy)-(phenoxy)phosphorylamino)propanoate.  It has a molecular formula of C</w:t>
      </w:r>
      <w:r w:rsidRPr="00502D13">
        <w:rPr>
          <w:rFonts w:ascii="Times New Roman" w:hAnsi="Times New Roman" w:cs="Times New Roman"/>
          <w:sz w:val="24"/>
          <w:szCs w:val="24"/>
          <w:vertAlign w:val="subscript"/>
        </w:rPr>
        <w:t>22</w:t>
      </w:r>
      <w:r w:rsidRPr="00502D13">
        <w:rPr>
          <w:rFonts w:ascii="Times New Roman" w:hAnsi="Times New Roman" w:cs="Times New Roman"/>
          <w:sz w:val="24"/>
          <w:szCs w:val="24"/>
        </w:rPr>
        <w:t>H</w:t>
      </w:r>
      <w:r w:rsidRPr="00502D13">
        <w:rPr>
          <w:rFonts w:ascii="Times New Roman" w:hAnsi="Times New Roman" w:cs="Times New Roman"/>
          <w:sz w:val="24"/>
          <w:szCs w:val="24"/>
          <w:vertAlign w:val="subscript"/>
        </w:rPr>
        <w:t>29</w:t>
      </w:r>
      <w:r w:rsidRPr="00502D13">
        <w:rPr>
          <w:rFonts w:ascii="Times New Roman" w:hAnsi="Times New Roman" w:cs="Times New Roman"/>
          <w:sz w:val="24"/>
          <w:szCs w:val="24"/>
        </w:rPr>
        <w:t>FN</w:t>
      </w:r>
      <w:r w:rsidRPr="00502D13">
        <w:rPr>
          <w:rFonts w:ascii="Times New Roman" w:hAnsi="Times New Roman" w:cs="Times New Roman"/>
          <w:sz w:val="24"/>
          <w:szCs w:val="24"/>
          <w:vertAlign w:val="subscript"/>
        </w:rPr>
        <w:t>3</w:t>
      </w:r>
      <w:r w:rsidRPr="00502D13">
        <w:rPr>
          <w:rFonts w:ascii="Times New Roman" w:hAnsi="Times New Roman" w:cs="Times New Roman"/>
          <w:sz w:val="24"/>
          <w:szCs w:val="24"/>
        </w:rPr>
        <w:t>O</w:t>
      </w:r>
      <w:r w:rsidRPr="00502D13">
        <w:rPr>
          <w:rFonts w:ascii="Times New Roman" w:hAnsi="Times New Roman" w:cs="Times New Roman"/>
          <w:sz w:val="24"/>
          <w:szCs w:val="24"/>
          <w:vertAlign w:val="subscript"/>
        </w:rPr>
        <w:t>9</w:t>
      </w:r>
      <w:r w:rsidRPr="00502D13">
        <w:rPr>
          <w:rFonts w:ascii="Times New Roman" w:hAnsi="Times New Roman" w:cs="Times New Roman"/>
          <w:sz w:val="24"/>
          <w:szCs w:val="24"/>
        </w:rPr>
        <w:t>P and a molecular weight of 529.45.  It has the following structural formula:</w:t>
      </w:r>
    </w:p>
    <w:p w:rsidR="00502D13" w:rsidRPr="00502D13" w:rsidRDefault="00502D13" w:rsidP="007B7D22">
      <w:pPr>
        <w:spacing w:before="120" w:after="240" w:line="240" w:lineRule="auto"/>
        <w:rPr>
          <w:rFonts w:ascii="Times New Roman" w:hAnsi="Times New Roman" w:cs="Times New Roman"/>
          <w:sz w:val="24"/>
          <w:szCs w:val="24"/>
        </w:rPr>
      </w:pPr>
      <w:r w:rsidRPr="00525F08">
        <w:rPr>
          <w:shd w:val="clear" w:color="auto" w:fill="FFFFFF" w:themeFill="background1"/>
        </w:rPr>
        <w:object w:dxaOrig="3589" w:dyaOrig="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112.5pt" o:ole="">
            <v:imagedata r:id="rId11" o:title=""/>
          </v:shape>
          <o:OLEObject Type="Embed" ProgID="ChemDraw.Document.6.0" ShapeID="_x0000_i1025" DrawAspect="Content" ObjectID="_1618904114" r:id="rId12"/>
        </w:object>
      </w:r>
    </w:p>
    <w:p w:rsidR="00502D13" w:rsidRDefault="00502D13" w:rsidP="007B7D22">
      <w:pPr>
        <w:spacing w:before="120" w:after="240" w:line="240" w:lineRule="auto"/>
        <w:rPr>
          <w:lang w:val="en-US"/>
        </w:rPr>
      </w:pPr>
    </w:p>
    <w:p w:rsidR="00502D13" w:rsidRPr="00502D13" w:rsidRDefault="00502D13" w:rsidP="007B7D22">
      <w:pPr>
        <w:spacing w:before="120" w:after="240" w:line="240" w:lineRule="auto"/>
        <w:rPr>
          <w:rFonts w:ascii="Times New Roman" w:hAnsi="Times New Roman" w:cs="Times New Roman"/>
          <w:sz w:val="24"/>
          <w:szCs w:val="24"/>
        </w:rPr>
      </w:pPr>
      <w:r w:rsidRPr="00502D13">
        <w:rPr>
          <w:rFonts w:ascii="Times New Roman" w:hAnsi="Times New Roman" w:cs="Times New Roman"/>
          <w:sz w:val="24"/>
          <w:szCs w:val="24"/>
        </w:rPr>
        <w:lastRenderedPageBreak/>
        <w:t>The chemical name of velpatasvir is Methyl {(1</w:t>
      </w:r>
      <w:r w:rsidRPr="00502D13">
        <w:rPr>
          <w:rFonts w:ascii="Times New Roman" w:hAnsi="Times New Roman" w:cs="Times New Roman"/>
          <w:i/>
          <w:sz w:val="24"/>
          <w:szCs w:val="24"/>
        </w:rPr>
        <w:t>R</w:t>
      </w:r>
      <w:r w:rsidRPr="00502D13">
        <w:rPr>
          <w:rFonts w:ascii="Times New Roman" w:hAnsi="Times New Roman" w:cs="Times New Roman"/>
          <w:sz w:val="24"/>
          <w:szCs w:val="24"/>
        </w:rPr>
        <w:t>)-2-[(2</w:t>
      </w:r>
      <w:r w:rsidRPr="00502D13">
        <w:rPr>
          <w:rFonts w:ascii="Times New Roman" w:hAnsi="Times New Roman" w:cs="Times New Roman"/>
          <w:i/>
          <w:sz w:val="24"/>
          <w:szCs w:val="24"/>
        </w:rPr>
        <w:t>S</w:t>
      </w:r>
      <w:r w:rsidRPr="00502D13">
        <w:rPr>
          <w:rFonts w:ascii="Times New Roman" w:hAnsi="Times New Roman" w:cs="Times New Roman"/>
          <w:sz w:val="24"/>
          <w:szCs w:val="24"/>
        </w:rPr>
        <w:t>,4</w:t>
      </w:r>
      <w:r w:rsidRPr="00502D13">
        <w:rPr>
          <w:rFonts w:ascii="Times New Roman" w:hAnsi="Times New Roman" w:cs="Times New Roman"/>
          <w:i/>
          <w:sz w:val="24"/>
          <w:szCs w:val="24"/>
        </w:rPr>
        <w:t>S</w:t>
      </w:r>
      <w:r w:rsidRPr="00502D13">
        <w:rPr>
          <w:rFonts w:ascii="Times New Roman" w:hAnsi="Times New Roman" w:cs="Times New Roman"/>
          <w:sz w:val="24"/>
          <w:szCs w:val="24"/>
        </w:rPr>
        <w:t>)-2-(5-{2-[(2</w:t>
      </w:r>
      <w:r w:rsidRPr="00502D13">
        <w:rPr>
          <w:rFonts w:ascii="Times New Roman" w:hAnsi="Times New Roman" w:cs="Times New Roman"/>
          <w:i/>
          <w:sz w:val="24"/>
          <w:szCs w:val="24"/>
        </w:rPr>
        <w:t>S</w:t>
      </w:r>
      <w:r w:rsidRPr="00502D13">
        <w:rPr>
          <w:rFonts w:ascii="Times New Roman" w:hAnsi="Times New Roman" w:cs="Times New Roman"/>
          <w:sz w:val="24"/>
          <w:szCs w:val="24"/>
        </w:rPr>
        <w:t>,5</w:t>
      </w:r>
      <w:r w:rsidRPr="00502D13">
        <w:rPr>
          <w:rFonts w:ascii="Times New Roman" w:hAnsi="Times New Roman" w:cs="Times New Roman"/>
          <w:i/>
          <w:sz w:val="24"/>
          <w:szCs w:val="24"/>
        </w:rPr>
        <w:t>S</w:t>
      </w:r>
      <w:r w:rsidRPr="00502D13">
        <w:rPr>
          <w:rFonts w:ascii="Times New Roman" w:hAnsi="Times New Roman" w:cs="Times New Roman"/>
          <w:sz w:val="24"/>
          <w:szCs w:val="24"/>
        </w:rPr>
        <w:t>)-1-{(2</w:t>
      </w:r>
      <w:r w:rsidRPr="00502D13">
        <w:rPr>
          <w:rFonts w:ascii="Times New Roman" w:hAnsi="Times New Roman" w:cs="Times New Roman"/>
          <w:i/>
          <w:sz w:val="24"/>
          <w:szCs w:val="24"/>
        </w:rPr>
        <w:t>S</w:t>
      </w:r>
      <w:r w:rsidRPr="00502D13">
        <w:rPr>
          <w:rFonts w:ascii="Times New Roman" w:hAnsi="Times New Roman" w:cs="Times New Roman"/>
          <w:sz w:val="24"/>
          <w:szCs w:val="24"/>
        </w:rPr>
        <w:t>)-2-[(methoxycarbonyl)amino]-3-methylbutanoyl}-5-methylpyrrolidin-2-yl]-1,11-dihydro[2]benzopyrano[4',3':6,7]naphtho[1,2-</w:t>
      </w:r>
      <w:r w:rsidRPr="00502D13">
        <w:rPr>
          <w:rFonts w:ascii="Times New Roman" w:hAnsi="Times New Roman" w:cs="Times New Roman"/>
          <w:i/>
          <w:sz w:val="24"/>
          <w:szCs w:val="24"/>
        </w:rPr>
        <w:t>d</w:t>
      </w:r>
      <w:r w:rsidRPr="00502D13">
        <w:rPr>
          <w:rFonts w:ascii="Times New Roman" w:hAnsi="Times New Roman" w:cs="Times New Roman"/>
          <w:sz w:val="24"/>
          <w:szCs w:val="24"/>
        </w:rPr>
        <w:t>]imidazol-9-yl}-1</w:t>
      </w:r>
      <w:r w:rsidRPr="00502D13">
        <w:rPr>
          <w:rFonts w:ascii="Times New Roman" w:hAnsi="Times New Roman" w:cs="Times New Roman"/>
          <w:i/>
          <w:sz w:val="24"/>
          <w:szCs w:val="24"/>
        </w:rPr>
        <w:t>H</w:t>
      </w:r>
      <w:r w:rsidRPr="00502D13">
        <w:rPr>
          <w:rFonts w:ascii="Times New Roman" w:hAnsi="Times New Roman" w:cs="Times New Roman"/>
          <w:sz w:val="24"/>
          <w:szCs w:val="24"/>
        </w:rPr>
        <w:t>-imidazol-2-yl)-4-(methoxymethyl)pyrrolidin-1-yl]-2-oxo-1-phenylethyl}carbamate. It has a molecular formula of C</w:t>
      </w:r>
      <w:r w:rsidRPr="00502D13">
        <w:rPr>
          <w:rFonts w:ascii="Times New Roman" w:hAnsi="Times New Roman" w:cs="Times New Roman"/>
          <w:sz w:val="24"/>
          <w:szCs w:val="24"/>
          <w:vertAlign w:val="subscript"/>
        </w:rPr>
        <w:t>49</w:t>
      </w:r>
      <w:r w:rsidRPr="00502D13">
        <w:rPr>
          <w:rFonts w:ascii="Times New Roman" w:hAnsi="Times New Roman" w:cs="Times New Roman"/>
          <w:sz w:val="24"/>
          <w:szCs w:val="24"/>
        </w:rPr>
        <w:t>H</w:t>
      </w:r>
      <w:r w:rsidRPr="00502D13">
        <w:rPr>
          <w:rFonts w:ascii="Times New Roman" w:hAnsi="Times New Roman" w:cs="Times New Roman"/>
          <w:sz w:val="24"/>
          <w:szCs w:val="24"/>
          <w:vertAlign w:val="subscript"/>
        </w:rPr>
        <w:t>54</w:t>
      </w:r>
      <w:r w:rsidRPr="00502D13">
        <w:rPr>
          <w:rFonts w:ascii="Times New Roman" w:hAnsi="Times New Roman" w:cs="Times New Roman"/>
          <w:sz w:val="24"/>
          <w:szCs w:val="24"/>
        </w:rPr>
        <w:t>N</w:t>
      </w:r>
      <w:r w:rsidRPr="00502D13">
        <w:rPr>
          <w:rFonts w:ascii="Times New Roman" w:hAnsi="Times New Roman" w:cs="Times New Roman"/>
          <w:sz w:val="24"/>
          <w:szCs w:val="24"/>
          <w:vertAlign w:val="subscript"/>
        </w:rPr>
        <w:t>8</w:t>
      </w:r>
      <w:r w:rsidRPr="00502D13">
        <w:rPr>
          <w:rFonts w:ascii="Times New Roman" w:hAnsi="Times New Roman" w:cs="Times New Roman"/>
          <w:sz w:val="24"/>
          <w:szCs w:val="24"/>
        </w:rPr>
        <w:t>O</w:t>
      </w:r>
      <w:r w:rsidRPr="00502D13">
        <w:rPr>
          <w:rFonts w:ascii="Times New Roman" w:hAnsi="Times New Roman" w:cs="Times New Roman"/>
          <w:sz w:val="24"/>
          <w:szCs w:val="24"/>
          <w:vertAlign w:val="subscript"/>
        </w:rPr>
        <w:t>8</w:t>
      </w:r>
      <w:r w:rsidRPr="00502D13">
        <w:rPr>
          <w:rFonts w:ascii="Times New Roman" w:hAnsi="Times New Roman" w:cs="Times New Roman"/>
          <w:sz w:val="24"/>
          <w:szCs w:val="24"/>
        </w:rPr>
        <w:t xml:space="preserve"> and a molecular weight of 883.0. It has the following structural formula:</w:t>
      </w:r>
    </w:p>
    <w:p w:rsidR="00502D13" w:rsidRPr="00502D13" w:rsidRDefault="00502D13" w:rsidP="00502D13">
      <w:pPr>
        <w:rPr>
          <w:lang w:val="en-US"/>
        </w:rPr>
      </w:pPr>
      <w:r w:rsidRPr="00525F08">
        <w:rPr>
          <w:noProof/>
          <w:lang w:eastAsia="en-AU"/>
        </w:rPr>
        <w:drawing>
          <wp:inline distT="0" distB="0" distL="0" distR="0" wp14:anchorId="1A7D01DA" wp14:editId="48BCBA52">
            <wp:extent cx="3322078"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6316"/>
                    <a:stretch/>
                  </pic:blipFill>
                  <pic:spPr bwMode="auto">
                    <a:xfrm>
                      <a:off x="0" y="0"/>
                      <a:ext cx="3321989" cy="1181068"/>
                    </a:xfrm>
                    <a:prstGeom prst="rect">
                      <a:avLst/>
                    </a:prstGeom>
                    <a:ln>
                      <a:noFill/>
                    </a:ln>
                    <a:extLst>
                      <a:ext uri="{53640926-AAD7-44D8-BBD7-CCE9431645EC}">
                        <a14:shadowObscured xmlns:a14="http://schemas.microsoft.com/office/drawing/2010/main"/>
                      </a:ext>
                    </a:extLst>
                  </pic:spPr>
                </pic:pic>
              </a:graphicData>
            </a:graphic>
          </wp:inline>
        </w:drawing>
      </w:r>
    </w:p>
    <w:p w:rsidR="00502D13" w:rsidRPr="00502D13" w:rsidRDefault="00502D13" w:rsidP="007B7D22">
      <w:pPr>
        <w:spacing w:before="120" w:after="240" w:line="240" w:lineRule="auto"/>
        <w:rPr>
          <w:rFonts w:ascii="Times New Roman" w:hAnsi="Times New Roman" w:cs="Times New Roman"/>
          <w:sz w:val="24"/>
          <w:szCs w:val="24"/>
        </w:rPr>
      </w:pPr>
      <w:r w:rsidRPr="00502D13">
        <w:rPr>
          <w:rFonts w:ascii="Times New Roman" w:hAnsi="Times New Roman" w:cs="Times New Roman"/>
          <w:sz w:val="24"/>
          <w:szCs w:val="24"/>
        </w:rPr>
        <w:t>The chemical name for voxilaprevir is (1</w:t>
      </w:r>
      <w:r w:rsidRPr="00502D13">
        <w:rPr>
          <w:rFonts w:ascii="Times New Roman" w:hAnsi="Times New Roman" w:cs="Times New Roman"/>
          <w:i/>
          <w:iCs/>
          <w:sz w:val="24"/>
          <w:szCs w:val="24"/>
        </w:rPr>
        <w:t>aR</w:t>
      </w:r>
      <w:r w:rsidRPr="00502D13">
        <w:rPr>
          <w:rFonts w:ascii="Times New Roman" w:hAnsi="Times New Roman" w:cs="Times New Roman"/>
          <w:sz w:val="24"/>
          <w:szCs w:val="24"/>
        </w:rPr>
        <w:t>,5</w:t>
      </w:r>
      <w:r w:rsidRPr="00502D13">
        <w:rPr>
          <w:rFonts w:ascii="Times New Roman" w:hAnsi="Times New Roman" w:cs="Times New Roman"/>
          <w:i/>
          <w:iCs/>
          <w:sz w:val="24"/>
          <w:szCs w:val="24"/>
        </w:rPr>
        <w:t>S</w:t>
      </w:r>
      <w:r w:rsidRPr="00502D13">
        <w:rPr>
          <w:rFonts w:ascii="Times New Roman" w:hAnsi="Times New Roman" w:cs="Times New Roman"/>
          <w:sz w:val="24"/>
          <w:szCs w:val="24"/>
        </w:rPr>
        <w:t>,8</w:t>
      </w:r>
      <w:r w:rsidRPr="00502D13">
        <w:rPr>
          <w:rFonts w:ascii="Times New Roman" w:hAnsi="Times New Roman" w:cs="Times New Roman"/>
          <w:i/>
          <w:iCs/>
          <w:sz w:val="24"/>
          <w:szCs w:val="24"/>
        </w:rPr>
        <w:t>S</w:t>
      </w:r>
      <w:r w:rsidRPr="00502D13">
        <w:rPr>
          <w:rFonts w:ascii="Times New Roman" w:hAnsi="Times New Roman" w:cs="Times New Roman"/>
          <w:sz w:val="24"/>
          <w:szCs w:val="24"/>
        </w:rPr>
        <w:t>,9</w:t>
      </w:r>
      <w:r w:rsidRPr="00502D13">
        <w:rPr>
          <w:rFonts w:ascii="Times New Roman" w:hAnsi="Times New Roman" w:cs="Times New Roman"/>
          <w:i/>
          <w:iCs/>
          <w:sz w:val="24"/>
          <w:szCs w:val="24"/>
        </w:rPr>
        <w:t>S</w:t>
      </w:r>
      <w:r w:rsidRPr="00502D13">
        <w:rPr>
          <w:rFonts w:ascii="Times New Roman" w:hAnsi="Times New Roman" w:cs="Times New Roman"/>
          <w:sz w:val="24"/>
          <w:szCs w:val="24"/>
        </w:rPr>
        <w:t>,10</w:t>
      </w:r>
      <w:r w:rsidRPr="00502D13">
        <w:rPr>
          <w:rFonts w:ascii="Times New Roman" w:hAnsi="Times New Roman" w:cs="Times New Roman"/>
          <w:i/>
          <w:iCs/>
          <w:sz w:val="24"/>
          <w:szCs w:val="24"/>
        </w:rPr>
        <w:t>R</w:t>
      </w:r>
      <w:r w:rsidRPr="00502D13">
        <w:rPr>
          <w:rFonts w:ascii="Times New Roman" w:hAnsi="Times New Roman" w:cs="Times New Roman"/>
          <w:sz w:val="24"/>
          <w:szCs w:val="24"/>
        </w:rPr>
        <w:t>,22a</w:t>
      </w:r>
      <w:r w:rsidRPr="00502D13">
        <w:rPr>
          <w:rFonts w:ascii="Times New Roman" w:hAnsi="Times New Roman" w:cs="Times New Roman"/>
          <w:i/>
          <w:iCs/>
          <w:sz w:val="24"/>
          <w:szCs w:val="24"/>
        </w:rPr>
        <w:t>R</w:t>
      </w:r>
      <w:r w:rsidRPr="00502D13">
        <w:rPr>
          <w:rFonts w:ascii="Times New Roman" w:hAnsi="Times New Roman" w:cs="Times New Roman"/>
          <w:sz w:val="24"/>
          <w:szCs w:val="24"/>
        </w:rPr>
        <w:t>)-5-</w:t>
      </w:r>
      <w:r w:rsidRPr="00502D13">
        <w:rPr>
          <w:rFonts w:ascii="Times New Roman" w:hAnsi="Times New Roman" w:cs="Times New Roman"/>
          <w:i/>
          <w:iCs/>
          <w:sz w:val="24"/>
          <w:szCs w:val="24"/>
        </w:rPr>
        <w:t>tert</w:t>
      </w:r>
      <w:r w:rsidRPr="00502D13">
        <w:rPr>
          <w:rFonts w:ascii="Times New Roman" w:hAnsi="Times New Roman" w:cs="Times New Roman"/>
          <w:sz w:val="24"/>
          <w:szCs w:val="24"/>
        </w:rPr>
        <w:t>-butyl-</w:t>
      </w:r>
      <w:r w:rsidRPr="00502D13">
        <w:rPr>
          <w:rFonts w:ascii="Times New Roman" w:hAnsi="Times New Roman" w:cs="Times New Roman"/>
          <w:i/>
          <w:iCs/>
          <w:sz w:val="24"/>
          <w:szCs w:val="24"/>
        </w:rPr>
        <w:t>N</w:t>
      </w:r>
      <w:r w:rsidRPr="00502D13">
        <w:rPr>
          <w:rFonts w:ascii="Times New Roman" w:hAnsi="Times New Roman" w:cs="Times New Roman"/>
          <w:sz w:val="24"/>
          <w:szCs w:val="24"/>
        </w:rPr>
        <w:t>-{(1</w:t>
      </w:r>
      <w:r w:rsidRPr="00502D13">
        <w:rPr>
          <w:rFonts w:ascii="Times New Roman" w:hAnsi="Times New Roman" w:cs="Times New Roman"/>
          <w:i/>
          <w:iCs/>
          <w:sz w:val="24"/>
          <w:szCs w:val="24"/>
        </w:rPr>
        <w:t>R</w:t>
      </w:r>
      <w:r w:rsidRPr="00502D13">
        <w:rPr>
          <w:rFonts w:ascii="Times New Roman" w:hAnsi="Times New Roman" w:cs="Times New Roman"/>
          <w:sz w:val="24"/>
          <w:szCs w:val="24"/>
        </w:rPr>
        <w:t>,2</w:t>
      </w:r>
      <w:r w:rsidRPr="00502D13">
        <w:rPr>
          <w:rFonts w:ascii="Times New Roman" w:hAnsi="Times New Roman" w:cs="Times New Roman"/>
          <w:i/>
          <w:iCs/>
          <w:sz w:val="24"/>
          <w:szCs w:val="24"/>
        </w:rPr>
        <w:t>R</w:t>
      </w:r>
      <w:r w:rsidRPr="00502D13">
        <w:rPr>
          <w:rFonts w:ascii="Times New Roman" w:hAnsi="Times New Roman" w:cs="Times New Roman"/>
          <w:sz w:val="24"/>
          <w:szCs w:val="24"/>
        </w:rPr>
        <w:t>)-2-(difluoromethyl)-1-[(1-methylcyclopropanesulfonyl) carbamoyl] cyclopropyl}-9-ethyl-18,18-difluoro-14-methoxy-3,6-dioxo-1,1</w:t>
      </w:r>
      <w:r w:rsidRPr="00502D13">
        <w:rPr>
          <w:rFonts w:ascii="Times New Roman" w:hAnsi="Times New Roman" w:cs="Times New Roman"/>
          <w:i/>
          <w:iCs/>
          <w:sz w:val="24"/>
          <w:szCs w:val="24"/>
        </w:rPr>
        <w:t>a</w:t>
      </w:r>
      <w:r w:rsidRPr="00502D13">
        <w:rPr>
          <w:rFonts w:ascii="Times New Roman" w:hAnsi="Times New Roman" w:cs="Times New Roman"/>
          <w:sz w:val="24"/>
          <w:szCs w:val="24"/>
        </w:rPr>
        <w:t>,3,4,5,6,9,10,18,19,20,21,22,22</w:t>
      </w:r>
      <w:r w:rsidRPr="00502D13">
        <w:rPr>
          <w:rFonts w:ascii="Times New Roman" w:hAnsi="Times New Roman" w:cs="Times New Roman"/>
          <w:i/>
          <w:iCs/>
          <w:sz w:val="24"/>
          <w:szCs w:val="24"/>
        </w:rPr>
        <w:t>a</w:t>
      </w:r>
      <w:r w:rsidRPr="00502D13">
        <w:rPr>
          <w:rFonts w:ascii="Times New Roman" w:hAnsi="Times New Roman" w:cs="Times New Roman"/>
          <w:sz w:val="24"/>
          <w:szCs w:val="24"/>
        </w:rPr>
        <w:t>-tetradecahydro-8</w:t>
      </w:r>
      <w:r w:rsidRPr="00502D13">
        <w:rPr>
          <w:rFonts w:ascii="Times New Roman" w:hAnsi="Times New Roman" w:cs="Times New Roman"/>
          <w:i/>
          <w:iCs/>
          <w:sz w:val="24"/>
          <w:szCs w:val="24"/>
        </w:rPr>
        <w:t>H</w:t>
      </w:r>
      <w:r w:rsidRPr="00502D13">
        <w:rPr>
          <w:rFonts w:ascii="Times New Roman" w:hAnsi="Times New Roman" w:cs="Times New Roman"/>
          <w:sz w:val="24"/>
          <w:szCs w:val="24"/>
        </w:rPr>
        <w:t>-7,10-methanocyclopropa[18,19][1,10,3,6] dioxadiazacyclononadecino[11,12-</w:t>
      </w:r>
      <w:r w:rsidRPr="00502D13">
        <w:rPr>
          <w:rFonts w:ascii="Times New Roman" w:hAnsi="Times New Roman" w:cs="Times New Roman"/>
          <w:i/>
          <w:iCs/>
          <w:sz w:val="24"/>
          <w:szCs w:val="24"/>
        </w:rPr>
        <w:t>b</w:t>
      </w:r>
      <w:r w:rsidRPr="00502D13">
        <w:rPr>
          <w:rFonts w:ascii="Times New Roman" w:hAnsi="Times New Roman" w:cs="Times New Roman"/>
          <w:sz w:val="24"/>
          <w:szCs w:val="24"/>
        </w:rPr>
        <w:t>]quinoxaline-8-carboxamide. It has a molecular formula of C</w:t>
      </w:r>
      <w:r w:rsidRPr="00502D13">
        <w:rPr>
          <w:rFonts w:ascii="Times New Roman" w:hAnsi="Times New Roman" w:cs="Times New Roman"/>
          <w:sz w:val="24"/>
          <w:szCs w:val="24"/>
          <w:vertAlign w:val="subscript"/>
        </w:rPr>
        <w:t>40</w:t>
      </w:r>
      <w:r w:rsidRPr="00502D13">
        <w:rPr>
          <w:rFonts w:ascii="Times New Roman" w:hAnsi="Times New Roman" w:cs="Times New Roman"/>
          <w:sz w:val="24"/>
          <w:szCs w:val="24"/>
        </w:rPr>
        <w:t>H</w:t>
      </w:r>
      <w:r w:rsidRPr="00502D13">
        <w:rPr>
          <w:rFonts w:ascii="Times New Roman" w:hAnsi="Times New Roman" w:cs="Times New Roman"/>
          <w:sz w:val="24"/>
          <w:szCs w:val="24"/>
          <w:vertAlign w:val="subscript"/>
        </w:rPr>
        <w:t>52</w:t>
      </w:r>
      <w:r w:rsidRPr="00502D13">
        <w:rPr>
          <w:rFonts w:ascii="Times New Roman" w:hAnsi="Times New Roman" w:cs="Times New Roman"/>
          <w:sz w:val="24"/>
          <w:szCs w:val="24"/>
        </w:rPr>
        <w:t>F</w:t>
      </w:r>
      <w:r w:rsidRPr="00502D13">
        <w:rPr>
          <w:rFonts w:ascii="Times New Roman" w:hAnsi="Times New Roman" w:cs="Times New Roman"/>
          <w:sz w:val="24"/>
          <w:szCs w:val="24"/>
          <w:vertAlign w:val="subscript"/>
        </w:rPr>
        <w:t>4</w:t>
      </w:r>
      <w:r w:rsidRPr="00502D13">
        <w:rPr>
          <w:rFonts w:ascii="Times New Roman" w:hAnsi="Times New Roman" w:cs="Times New Roman"/>
          <w:sz w:val="24"/>
          <w:szCs w:val="24"/>
        </w:rPr>
        <w:t>N</w:t>
      </w:r>
      <w:r w:rsidRPr="00502D13">
        <w:rPr>
          <w:rFonts w:ascii="Times New Roman" w:hAnsi="Times New Roman" w:cs="Times New Roman"/>
          <w:sz w:val="24"/>
          <w:szCs w:val="24"/>
          <w:vertAlign w:val="subscript"/>
        </w:rPr>
        <w:t>6</w:t>
      </w:r>
      <w:r w:rsidRPr="00502D13">
        <w:rPr>
          <w:rFonts w:ascii="Times New Roman" w:hAnsi="Times New Roman" w:cs="Times New Roman"/>
          <w:sz w:val="24"/>
          <w:szCs w:val="24"/>
        </w:rPr>
        <w:t>O</w:t>
      </w:r>
      <w:r w:rsidRPr="00502D13">
        <w:rPr>
          <w:rFonts w:ascii="Times New Roman" w:hAnsi="Times New Roman" w:cs="Times New Roman"/>
          <w:sz w:val="24"/>
          <w:szCs w:val="24"/>
          <w:vertAlign w:val="subscript"/>
        </w:rPr>
        <w:t>9</w:t>
      </w:r>
      <w:r w:rsidRPr="00502D13">
        <w:rPr>
          <w:rFonts w:ascii="Times New Roman" w:hAnsi="Times New Roman" w:cs="Times New Roman"/>
          <w:sz w:val="24"/>
          <w:szCs w:val="24"/>
        </w:rPr>
        <w:t>S and a molecular weight of 868.9. It has the following structural formula:</w:t>
      </w:r>
    </w:p>
    <w:p w:rsidR="00502D13" w:rsidRDefault="00502D13" w:rsidP="007B7D22">
      <w:pPr>
        <w:pStyle w:val="Heading3"/>
        <w:spacing w:before="120" w:after="240" w:line="240" w:lineRule="auto"/>
        <w:rPr>
          <w:lang w:val="en-US"/>
        </w:rPr>
      </w:pPr>
    </w:p>
    <w:p w:rsidR="00502D13" w:rsidRPr="00502D13" w:rsidRDefault="00502D13" w:rsidP="007B7D22">
      <w:pPr>
        <w:spacing w:before="120" w:after="240" w:line="240" w:lineRule="auto"/>
        <w:rPr>
          <w:lang w:val="en-US"/>
        </w:rPr>
      </w:pPr>
      <w:r w:rsidRPr="00525F08">
        <w:object w:dxaOrig="3969" w:dyaOrig="3153">
          <v:shape id="_x0000_i1026" type="#_x0000_t75" style="width:196.5pt;height:156.75pt" o:ole="">
            <v:imagedata r:id="rId14" o:title=""/>
          </v:shape>
          <o:OLEObject Type="Embed" ProgID="ChemDraw.Document.6.0" ShapeID="_x0000_i1026" DrawAspect="Content" ObjectID="_1618904115" r:id="rId15"/>
        </w:object>
      </w:r>
    </w:p>
    <w:p w:rsidR="00502D13" w:rsidRPr="00485AB1" w:rsidRDefault="00502D13" w:rsidP="001A3992">
      <w:pPr>
        <w:pStyle w:val="Heading3"/>
        <w:spacing w:before="0" w:after="120"/>
        <w:rPr>
          <w:rFonts w:ascii="Times New Roman" w:hAnsi="Times New Roman" w:cs="Times New Roman"/>
          <w:sz w:val="24"/>
          <w:szCs w:val="24"/>
          <w:lang w:val="en-US"/>
        </w:rPr>
      </w:pPr>
    </w:p>
    <w:p w:rsidR="001A3992" w:rsidRPr="006239BC" w:rsidRDefault="001A3992" w:rsidP="007B7D22">
      <w:pPr>
        <w:pStyle w:val="Heading3"/>
        <w:spacing w:before="120" w:after="240" w:line="240" w:lineRule="auto"/>
        <w:ind w:left="0"/>
        <w:rPr>
          <w:rFonts w:ascii="Times New Roman" w:hAnsi="Times New Roman" w:cs="Times New Roman"/>
          <w:lang w:val="en-US"/>
        </w:rPr>
      </w:pPr>
      <w:r w:rsidRPr="006239BC">
        <w:rPr>
          <w:rFonts w:ascii="Times New Roman" w:hAnsi="Times New Roman" w:cs="Times New Roman"/>
          <w:lang w:val="en-US"/>
        </w:rPr>
        <w:t>CAS number</w:t>
      </w:r>
    </w:p>
    <w:p w:rsidR="00485AB1" w:rsidRDefault="00485AB1" w:rsidP="007B7D22">
      <w:pPr>
        <w:spacing w:before="120" w:after="240" w:line="240" w:lineRule="auto"/>
        <w:rPr>
          <w:rFonts w:ascii="Times New Roman" w:hAnsi="Times New Roman" w:cs="Times New Roman"/>
          <w:noProof/>
          <w:sz w:val="24"/>
          <w:szCs w:val="24"/>
        </w:rPr>
      </w:pPr>
      <w:r w:rsidRPr="00485AB1">
        <w:rPr>
          <w:rFonts w:ascii="Times New Roman" w:hAnsi="Times New Roman" w:cs="Times New Roman"/>
          <w:sz w:val="24"/>
          <w:szCs w:val="24"/>
          <w:lang w:val="en-US"/>
        </w:rPr>
        <w:t xml:space="preserve">Sofosbuvir:  </w:t>
      </w:r>
      <w:r w:rsidRPr="00485AB1">
        <w:rPr>
          <w:rFonts w:ascii="Times New Roman" w:hAnsi="Times New Roman" w:cs="Times New Roman"/>
          <w:noProof/>
          <w:sz w:val="24"/>
          <w:szCs w:val="24"/>
        </w:rPr>
        <w:t>1190307-88-0</w:t>
      </w:r>
    </w:p>
    <w:p w:rsidR="00485AB1" w:rsidRDefault="00485AB1" w:rsidP="007B7D22">
      <w:pPr>
        <w:spacing w:before="120" w:after="24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Velpatasvir: </w:t>
      </w:r>
      <w:r w:rsidRPr="00485AB1">
        <w:rPr>
          <w:rFonts w:ascii="Times New Roman" w:hAnsi="Times New Roman" w:cs="Times New Roman"/>
          <w:noProof/>
          <w:sz w:val="24"/>
          <w:szCs w:val="24"/>
        </w:rPr>
        <w:t>1377049-84-7</w:t>
      </w:r>
    </w:p>
    <w:p w:rsidR="00485AB1" w:rsidRDefault="00485AB1" w:rsidP="007B7D22">
      <w:pPr>
        <w:spacing w:before="120" w:after="24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Voxilaprevir: </w:t>
      </w:r>
      <w:r w:rsidRPr="00485AB1">
        <w:rPr>
          <w:rFonts w:ascii="Times New Roman" w:hAnsi="Times New Roman" w:cs="Times New Roman"/>
          <w:noProof/>
          <w:sz w:val="24"/>
          <w:szCs w:val="24"/>
        </w:rPr>
        <w:t>1535212-07-7</w:t>
      </w:r>
    </w:p>
    <w:p w:rsidR="001A3992" w:rsidRPr="006239BC" w:rsidRDefault="007B7D22" w:rsidP="006239BC">
      <w:pPr>
        <w:pStyle w:val="Heading1"/>
        <w:rPr>
          <w:rFonts w:ascii="Times New Roman" w:hAnsi="Times New Roman" w:cs="Times New Roman"/>
          <w:noProof/>
        </w:rPr>
      </w:pPr>
      <w:r w:rsidRPr="006239BC">
        <w:rPr>
          <w:rFonts w:ascii="Times New Roman" w:hAnsi="Times New Roman" w:cs="Times New Roman"/>
          <w:noProof/>
        </w:rPr>
        <w:t>MEDICINE SCHEDULE (POISONS STANDARD)</w:t>
      </w:r>
    </w:p>
    <w:p w:rsidR="00485AB1" w:rsidRPr="00485AB1" w:rsidRDefault="00485AB1" w:rsidP="007B7D22">
      <w:pPr>
        <w:spacing w:before="120" w:after="240" w:line="240" w:lineRule="auto"/>
        <w:rPr>
          <w:rFonts w:ascii="Times New Roman" w:hAnsi="Times New Roman" w:cs="Times New Roman"/>
          <w:noProof/>
          <w:sz w:val="24"/>
          <w:szCs w:val="24"/>
        </w:rPr>
      </w:pPr>
      <w:r w:rsidRPr="00485AB1">
        <w:rPr>
          <w:rFonts w:ascii="Times New Roman" w:hAnsi="Times New Roman" w:cs="Times New Roman"/>
          <w:noProof/>
          <w:sz w:val="24"/>
          <w:szCs w:val="24"/>
        </w:rPr>
        <w:t>S4</w:t>
      </w:r>
    </w:p>
    <w:p w:rsidR="006239BC" w:rsidRPr="006239BC" w:rsidRDefault="001A3992" w:rsidP="006239BC">
      <w:pPr>
        <w:pStyle w:val="Heading1"/>
        <w:rPr>
          <w:rFonts w:ascii="Times New Roman" w:hAnsi="Times New Roman" w:cs="Times New Roman"/>
          <w:lang w:val="en-US"/>
        </w:rPr>
      </w:pPr>
      <w:r w:rsidRPr="006239BC">
        <w:rPr>
          <w:rFonts w:ascii="Times New Roman" w:hAnsi="Times New Roman" w:cs="Times New Roman"/>
          <w:lang w:val="en-US"/>
        </w:rPr>
        <w:lastRenderedPageBreak/>
        <w:t>S</w:t>
      </w:r>
      <w:r w:rsidR="007B7D22" w:rsidRPr="006239BC">
        <w:rPr>
          <w:rFonts w:ascii="Times New Roman" w:hAnsi="Times New Roman" w:cs="Times New Roman"/>
          <w:lang w:val="en-US"/>
        </w:rPr>
        <w:t>PONSOR</w:t>
      </w:r>
    </w:p>
    <w:p w:rsidR="00485AB1" w:rsidRPr="00485AB1" w:rsidRDefault="00485AB1" w:rsidP="003437D5">
      <w:pPr>
        <w:spacing w:after="0" w:line="240" w:lineRule="auto"/>
        <w:rPr>
          <w:rFonts w:ascii="Times New Roman" w:hAnsi="Times New Roman" w:cs="Times New Roman"/>
          <w:sz w:val="24"/>
          <w:szCs w:val="24"/>
        </w:rPr>
      </w:pPr>
      <w:r w:rsidRPr="00485AB1">
        <w:rPr>
          <w:rFonts w:ascii="Times New Roman" w:hAnsi="Times New Roman" w:cs="Times New Roman"/>
          <w:sz w:val="24"/>
          <w:szCs w:val="24"/>
        </w:rPr>
        <w:t>Gilead Sciences Pty Ltd</w:t>
      </w:r>
    </w:p>
    <w:p w:rsidR="00485AB1" w:rsidRPr="00485AB1" w:rsidRDefault="00485AB1" w:rsidP="003437D5">
      <w:pPr>
        <w:spacing w:after="0" w:line="240" w:lineRule="auto"/>
        <w:rPr>
          <w:rFonts w:ascii="Times New Roman" w:hAnsi="Times New Roman" w:cs="Times New Roman"/>
          <w:sz w:val="24"/>
          <w:szCs w:val="24"/>
        </w:rPr>
      </w:pPr>
      <w:r w:rsidRPr="00485AB1">
        <w:rPr>
          <w:rFonts w:ascii="Times New Roman" w:hAnsi="Times New Roman" w:cs="Times New Roman"/>
          <w:sz w:val="24"/>
          <w:szCs w:val="24"/>
        </w:rPr>
        <w:t>Level 6, 417 St Kilda Road</w:t>
      </w:r>
    </w:p>
    <w:p w:rsidR="00485AB1" w:rsidRDefault="00485AB1" w:rsidP="003437D5">
      <w:pPr>
        <w:spacing w:after="0" w:line="240" w:lineRule="auto"/>
        <w:rPr>
          <w:rFonts w:ascii="Times New Roman" w:hAnsi="Times New Roman" w:cs="Times New Roman"/>
          <w:sz w:val="24"/>
          <w:szCs w:val="24"/>
        </w:rPr>
      </w:pPr>
      <w:r w:rsidRPr="00485AB1">
        <w:rPr>
          <w:rFonts w:ascii="Times New Roman" w:hAnsi="Times New Roman" w:cs="Times New Roman"/>
          <w:sz w:val="24"/>
          <w:szCs w:val="24"/>
        </w:rPr>
        <w:t>Melbourne, Victoria 3004</w:t>
      </w:r>
    </w:p>
    <w:p w:rsidR="00E61F9C" w:rsidRDefault="00E61F9C" w:rsidP="003437D5">
      <w:pPr>
        <w:spacing w:after="0" w:line="240" w:lineRule="auto"/>
        <w:rPr>
          <w:rFonts w:ascii="Times New Roman" w:hAnsi="Times New Roman" w:cs="Times New Roman"/>
          <w:sz w:val="24"/>
          <w:szCs w:val="24"/>
        </w:rPr>
      </w:pPr>
    </w:p>
    <w:p w:rsidR="003437D5" w:rsidRPr="006239BC" w:rsidRDefault="003437D5" w:rsidP="00E61F9C">
      <w:pPr>
        <w:pStyle w:val="Heading1"/>
        <w:spacing w:before="120" w:after="240" w:line="240" w:lineRule="auto"/>
        <w:rPr>
          <w:rFonts w:ascii="Times New Roman" w:hAnsi="Times New Roman" w:cs="Times New Roman"/>
          <w:lang w:val="en-US"/>
        </w:rPr>
      </w:pPr>
      <w:r w:rsidRPr="006239BC">
        <w:rPr>
          <w:rFonts w:ascii="Times New Roman" w:hAnsi="Times New Roman" w:cs="Times New Roman"/>
          <w:lang w:val="en-US"/>
        </w:rPr>
        <w:t>DATE OF FIRST APPROVAL</w:t>
      </w:r>
    </w:p>
    <w:p w:rsidR="00485AB1" w:rsidRPr="003437D5" w:rsidRDefault="00B11496" w:rsidP="00E61F9C">
      <w:pPr>
        <w:spacing w:before="120"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13</w:t>
      </w:r>
      <w:r w:rsidR="004400C2">
        <w:rPr>
          <w:rFonts w:ascii="Times New Roman" w:hAnsi="Times New Roman" w:cs="Times New Roman"/>
          <w:sz w:val="24"/>
          <w:szCs w:val="24"/>
          <w:lang w:val="en-US"/>
        </w:rPr>
        <w:t xml:space="preserve"> March 2018</w:t>
      </w:r>
    </w:p>
    <w:p w:rsidR="003437D5" w:rsidRPr="006239BC" w:rsidRDefault="003437D5" w:rsidP="006239BC">
      <w:pPr>
        <w:pStyle w:val="Heading1"/>
        <w:rPr>
          <w:rFonts w:ascii="Times New Roman" w:hAnsi="Times New Roman" w:cs="Times New Roman"/>
          <w:lang w:val="en-US"/>
        </w:rPr>
      </w:pPr>
      <w:r w:rsidRPr="006239BC">
        <w:rPr>
          <w:rFonts w:ascii="Times New Roman" w:hAnsi="Times New Roman" w:cs="Times New Roman"/>
          <w:lang w:val="en-US"/>
        </w:rPr>
        <w:t>DATE OF REVISION</w:t>
      </w:r>
    </w:p>
    <w:p w:rsidR="003437D5" w:rsidRPr="003437D5" w:rsidRDefault="003437D5" w:rsidP="003437D5">
      <w:pPr>
        <w:spacing w:before="120" w:after="240" w:line="240" w:lineRule="auto"/>
        <w:rPr>
          <w:rFonts w:ascii="Times New Roman" w:hAnsi="Times New Roman" w:cs="Times New Roman"/>
          <w:sz w:val="24"/>
          <w:szCs w:val="24"/>
          <w:lang w:val="en-US"/>
        </w:rPr>
      </w:pPr>
      <w:r w:rsidRPr="003437D5">
        <w:rPr>
          <w:rFonts w:ascii="Times New Roman" w:hAnsi="Times New Roman" w:cs="Times New Roman"/>
          <w:sz w:val="24"/>
          <w:szCs w:val="24"/>
          <w:lang w:val="en-US"/>
        </w:rPr>
        <w:t>Not applicable</w:t>
      </w:r>
    </w:p>
    <w:p w:rsidR="005D064F" w:rsidRPr="005D064F" w:rsidRDefault="005D064F" w:rsidP="005D064F">
      <w:pPr>
        <w:rPr>
          <w:rFonts w:ascii="Times New Roman" w:hAnsi="Times New Roman" w:cs="Times New Roman"/>
          <w:sz w:val="20"/>
        </w:rPr>
      </w:pPr>
      <w:r w:rsidRPr="005D064F">
        <w:rPr>
          <w:rFonts w:ascii="Times New Roman" w:hAnsi="Times New Roman" w:cs="Times New Roman"/>
          <w:sz w:val="20"/>
        </w:rPr>
        <w:t xml:space="preserve">VOSEVI, </w:t>
      </w:r>
      <w:r w:rsidRPr="005D064F">
        <w:rPr>
          <w:rFonts w:ascii="Times New Roman" w:hAnsi="Times New Roman" w:cs="Times New Roman"/>
          <w:caps/>
          <w:sz w:val="20"/>
        </w:rPr>
        <w:t xml:space="preserve">Genvoya, </w:t>
      </w:r>
      <w:r w:rsidRPr="005D064F">
        <w:rPr>
          <w:rFonts w:ascii="Times New Roman" w:hAnsi="Times New Roman" w:cs="Times New Roman"/>
          <w:sz w:val="20"/>
        </w:rPr>
        <w:t xml:space="preserve">ODEFSEY, </w:t>
      </w:r>
      <w:r w:rsidRPr="005D064F">
        <w:rPr>
          <w:rFonts w:ascii="Times New Roman" w:hAnsi="Times New Roman" w:cs="Times New Roman"/>
          <w:caps/>
          <w:sz w:val="20"/>
        </w:rPr>
        <w:t xml:space="preserve">AND Harvoni </w:t>
      </w:r>
      <w:r w:rsidRPr="005D064F">
        <w:rPr>
          <w:rFonts w:ascii="Times New Roman" w:hAnsi="Times New Roman" w:cs="Times New Roman"/>
          <w:sz w:val="20"/>
        </w:rPr>
        <w:t xml:space="preserve">are trademarks of Gilead Sciences, Inc., or its related companies. ATRIPLA is a trademark Gilead Sciences, LLC. All other trademarks referenced herein are the property of their respective owners. </w:t>
      </w:r>
      <w:r w:rsidRPr="005D064F">
        <w:rPr>
          <w:rFonts w:ascii="Times New Roman" w:hAnsi="Times New Roman" w:cs="Times New Roman"/>
          <w:sz w:val="20"/>
        </w:rPr>
        <w:tab/>
      </w:r>
    </w:p>
    <w:p w:rsidR="00285173" w:rsidRPr="00557591" w:rsidRDefault="00285173" w:rsidP="00BA64CC">
      <w:pPr>
        <w:spacing w:after="120"/>
        <w:rPr>
          <w:lang w:val="en-US"/>
        </w:rPr>
      </w:pPr>
    </w:p>
    <w:sectPr w:rsidR="00285173" w:rsidRPr="0055759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40" w:rsidRDefault="00553D40" w:rsidP="001A3992">
      <w:pPr>
        <w:spacing w:after="0" w:line="240" w:lineRule="auto"/>
      </w:pPr>
      <w:r>
        <w:separator/>
      </w:r>
    </w:p>
  </w:endnote>
  <w:endnote w:type="continuationSeparator" w:id="0">
    <w:p w:rsidR="00553D40" w:rsidRDefault="00553D40"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rFonts w:ascii="Times New Roman" w:hAnsi="Times New Roman" w:cs="Times New Roman"/>
        <w:noProof/>
        <w:sz w:val="20"/>
      </w:rPr>
    </w:sdtEndPr>
    <w:sdtContent>
      <w:p w:rsidR="004400C2" w:rsidRPr="00BE5BC7" w:rsidRDefault="004400C2" w:rsidP="004400C2">
        <w:pPr>
          <w:pStyle w:val="Footer"/>
          <w:rPr>
            <w:rFonts w:ascii="Times New Roman" w:hAnsi="Times New Roman" w:cs="Times New Roman"/>
            <w:sz w:val="20"/>
          </w:rPr>
        </w:pPr>
        <w:r>
          <w:rPr>
            <w:rFonts w:ascii="Times New Roman" w:hAnsi="Times New Roman" w:cs="Times New Roman"/>
            <w:sz w:val="20"/>
          </w:rPr>
          <w:t>VOSEVI</w:t>
        </w:r>
        <w:r w:rsidRPr="00BE5BC7">
          <w:rPr>
            <w:rFonts w:ascii="Times New Roman" w:hAnsi="Times New Roman" w:cs="Times New Roman"/>
            <w:sz w:val="20"/>
          </w:rPr>
          <w:t xml:space="preserve"> Product </w:t>
        </w:r>
        <w:r>
          <w:rPr>
            <w:rFonts w:ascii="Times New Roman" w:hAnsi="Times New Roman" w:cs="Times New Roman"/>
            <w:sz w:val="20"/>
          </w:rPr>
          <w:t>Information v1.0</w:t>
        </w:r>
        <w:r w:rsidRPr="00BE5BC7">
          <w:rPr>
            <w:rFonts w:ascii="Times New Roman" w:hAnsi="Times New Roman" w:cs="Times New Roman"/>
            <w:sz w:val="20"/>
          </w:rPr>
          <w:t>– (</w:t>
        </w:r>
        <w:r w:rsidR="0067072F">
          <w:rPr>
            <w:rFonts w:ascii="Times New Roman" w:hAnsi="Times New Roman" w:cs="Times New Roman"/>
            <w:sz w:val="20"/>
          </w:rPr>
          <w:t>13</w:t>
        </w:r>
        <w:r>
          <w:rPr>
            <w:rFonts w:ascii="Times New Roman" w:hAnsi="Times New Roman" w:cs="Times New Roman"/>
            <w:sz w:val="20"/>
          </w:rPr>
          <w:t xml:space="preserve"> March 2018</w:t>
        </w:r>
        <w:r w:rsidRPr="00BE5BC7">
          <w:rPr>
            <w:rFonts w:ascii="Times New Roman" w:hAnsi="Times New Roman" w:cs="Times New Roman"/>
            <w:sz w:val="20"/>
          </w:rPr>
          <w:t xml:space="preserve">)             </w:t>
        </w:r>
        <w:r w:rsidRPr="00BE5BC7">
          <w:rPr>
            <w:rFonts w:ascii="Times New Roman" w:hAnsi="Times New Roman" w:cs="Times New Roman"/>
            <w:sz w:val="20"/>
          </w:rPr>
          <w:tab/>
        </w:r>
        <w:r w:rsidRPr="00BE5BC7">
          <w:rPr>
            <w:rFonts w:ascii="Times New Roman" w:hAnsi="Times New Roman" w:cs="Times New Roman"/>
            <w:sz w:val="20"/>
          </w:rPr>
          <w:fldChar w:fldCharType="begin"/>
        </w:r>
        <w:r w:rsidRPr="00BE5BC7">
          <w:rPr>
            <w:rFonts w:ascii="Times New Roman" w:hAnsi="Times New Roman" w:cs="Times New Roman"/>
            <w:sz w:val="20"/>
          </w:rPr>
          <w:instrText xml:space="preserve"> PAGE   \* MERGEFORMAT </w:instrText>
        </w:r>
        <w:r w:rsidRPr="00BE5BC7">
          <w:rPr>
            <w:rFonts w:ascii="Times New Roman" w:hAnsi="Times New Roman" w:cs="Times New Roman"/>
            <w:sz w:val="20"/>
          </w:rPr>
          <w:fldChar w:fldCharType="separate"/>
        </w:r>
        <w:r w:rsidR="00CE249D">
          <w:rPr>
            <w:rFonts w:ascii="Times New Roman" w:hAnsi="Times New Roman" w:cs="Times New Roman"/>
            <w:noProof/>
            <w:sz w:val="20"/>
          </w:rPr>
          <w:t>21</w:t>
        </w:r>
        <w:r w:rsidRPr="00BE5BC7">
          <w:rPr>
            <w:rFonts w:ascii="Times New Roman" w:hAnsi="Times New Roman" w:cs="Times New Roman"/>
            <w:noProof/>
            <w:sz w:val="20"/>
          </w:rPr>
          <w:fldChar w:fldCharType="end"/>
        </w:r>
      </w:p>
    </w:sdtContent>
  </w:sdt>
  <w:p w:rsidR="00AE75BF" w:rsidRPr="00B8074A" w:rsidRDefault="00AE75BF" w:rsidP="005C0C71">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40" w:rsidRDefault="00553D40" w:rsidP="001A3992">
      <w:pPr>
        <w:spacing w:after="0" w:line="240" w:lineRule="auto"/>
      </w:pPr>
      <w:r>
        <w:separator/>
      </w:r>
    </w:p>
  </w:footnote>
  <w:footnote w:type="continuationSeparator" w:id="0">
    <w:p w:rsidR="00553D40" w:rsidRDefault="00553D40"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E249D" w:rsidRPr="002E7F61" w:rsidTr="00941E94">
      <w:trPr>
        <w:trHeight w:val="590"/>
      </w:trPr>
      <w:tc>
        <w:tcPr>
          <w:tcW w:w="8720" w:type="dxa"/>
          <w:shd w:val="clear" w:color="auto" w:fill="E4F2E0"/>
        </w:tcPr>
        <w:p w:rsidR="00CE249D" w:rsidRPr="002E7F61" w:rsidRDefault="00CE249D" w:rsidP="00941E94">
          <w:pPr>
            <w:pStyle w:val="Footer"/>
            <w:rPr>
              <w:b/>
              <w:sz w:val="18"/>
              <w:szCs w:val="18"/>
            </w:rPr>
          </w:pPr>
          <w:r w:rsidRPr="002E7F61">
            <w:rPr>
              <w:b/>
              <w:sz w:val="18"/>
              <w:szCs w:val="18"/>
            </w:rPr>
            <w:t xml:space="preserve">Attachment 1: Product information </w:t>
          </w:r>
          <w:r w:rsidRPr="00B10C4B">
            <w:rPr>
              <w:b/>
              <w:sz w:val="18"/>
              <w:szCs w:val="18"/>
            </w:rPr>
            <w:t>AusPAR VOSEVI - Sofosbuvir / Velpatasvir / Voxilaprevir - Gilead Sciences Pty Ltd - PM-2016-04442-1-2 FINAL -  4 March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CE249D" w:rsidRDefault="00CE2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B86FD50"/>
    <w:lvl w:ilvl="0">
      <w:start w:val="1"/>
      <w:numFmt w:val="bullet"/>
      <w:lvlText w:val=""/>
      <w:lvlJc w:val="left"/>
      <w:pPr>
        <w:tabs>
          <w:tab w:val="num" w:pos="360"/>
        </w:tabs>
        <w:ind w:left="360" w:hanging="360"/>
      </w:pPr>
      <w:rPr>
        <w:rFonts w:ascii="Symbol" w:hAnsi="Symbol" w:hint="default"/>
      </w:rPr>
    </w:lvl>
  </w:abstractNum>
  <w:abstractNum w:abstractNumId="1">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19433C0"/>
    <w:multiLevelType w:val="hybridMultilevel"/>
    <w:tmpl w:val="F8C8A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11"/>
  </w:num>
  <w:num w:numId="6">
    <w:abstractNumId w:val="9"/>
  </w:num>
  <w:num w:numId="7">
    <w:abstractNumId w:val="7"/>
  </w:num>
  <w:num w:numId="8">
    <w:abstractNumId w:val="10"/>
  </w:num>
  <w:num w:numId="9">
    <w:abstractNumId w:val="3"/>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29"/>
    <w:rsid w:val="00013985"/>
    <w:rsid w:val="00040F26"/>
    <w:rsid w:val="00042302"/>
    <w:rsid w:val="000968F5"/>
    <w:rsid w:val="000C1F72"/>
    <w:rsid w:val="000F556A"/>
    <w:rsid w:val="000F6BD5"/>
    <w:rsid w:val="001111CD"/>
    <w:rsid w:val="0015198A"/>
    <w:rsid w:val="00154245"/>
    <w:rsid w:val="001A3992"/>
    <w:rsid w:val="001C4D15"/>
    <w:rsid w:val="001F0D62"/>
    <w:rsid w:val="001F4643"/>
    <w:rsid w:val="0020535A"/>
    <w:rsid w:val="002104D7"/>
    <w:rsid w:val="00243A4D"/>
    <w:rsid w:val="00282AB7"/>
    <w:rsid w:val="00285173"/>
    <w:rsid w:val="0029345D"/>
    <w:rsid w:val="002A46BA"/>
    <w:rsid w:val="002D2985"/>
    <w:rsid w:val="002E277D"/>
    <w:rsid w:val="002E52D4"/>
    <w:rsid w:val="002F7F83"/>
    <w:rsid w:val="0030333B"/>
    <w:rsid w:val="003314A4"/>
    <w:rsid w:val="003321A1"/>
    <w:rsid w:val="00334AC9"/>
    <w:rsid w:val="003437D5"/>
    <w:rsid w:val="00347421"/>
    <w:rsid w:val="003751D6"/>
    <w:rsid w:val="00375DF3"/>
    <w:rsid w:val="0039052A"/>
    <w:rsid w:val="003E3ED8"/>
    <w:rsid w:val="00431ACD"/>
    <w:rsid w:val="004400C2"/>
    <w:rsid w:val="004469C5"/>
    <w:rsid w:val="00461204"/>
    <w:rsid w:val="00470290"/>
    <w:rsid w:val="0048032B"/>
    <w:rsid w:val="00485AB1"/>
    <w:rsid w:val="004952A5"/>
    <w:rsid w:val="004B6B19"/>
    <w:rsid w:val="004C6865"/>
    <w:rsid w:val="004E338F"/>
    <w:rsid w:val="004F2364"/>
    <w:rsid w:val="004F236A"/>
    <w:rsid w:val="00502D13"/>
    <w:rsid w:val="00502F37"/>
    <w:rsid w:val="00505CBC"/>
    <w:rsid w:val="00530714"/>
    <w:rsid w:val="005470A3"/>
    <w:rsid w:val="00553D40"/>
    <w:rsid w:val="005575AC"/>
    <w:rsid w:val="005B2812"/>
    <w:rsid w:val="005B5A93"/>
    <w:rsid w:val="005C0C71"/>
    <w:rsid w:val="005D064F"/>
    <w:rsid w:val="005D40D3"/>
    <w:rsid w:val="005E1D85"/>
    <w:rsid w:val="006018AE"/>
    <w:rsid w:val="00602A05"/>
    <w:rsid w:val="006239BC"/>
    <w:rsid w:val="006306D0"/>
    <w:rsid w:val="00665561"/>
    <w:rsid w:val="0067072F"/>
    <w:rsid w:val="00676525"/>
    <w:rsid w:val="006955C8"/>
    <w:rsid w:val="006A2059"/>
    <w:rsid w:val="006C01FF"/>
    <w:rsid w:val="006E68ED"/>
    <w:rsid w:val="006F6A96"/>
    <w:rsid w:val="00705DA3"/>
    <w:rsid w:val="00723A84"/>
    <w:rsid w:val="007377AB"/>
    <w:rsid w:val="00760E28"/>
    <w:rsid w:val="007B7D22"/>
    <w:rsid w:val="007C1F8B"/>
    <w:rsid w:val="007C66C8"/>
    <w:rsid w:val="007F51FE"/>
    <w:rsid w:val="007F5911"/>
    <w:rsid w:val="008435C9"/>
    <w:rsid w:val="008868C1"/>
    <w:rsid w:val="008D39A7"/>
    <w:rsid w:val="008F298E"/>
    <w:rsid w:val="00905FE6"/>
    <w:rsid w:val="00944823"/>
    <w:rsid w:val="00960CD5"/>
    <w:rsid w:val="00970BEA"/>
    <w:rsid w:val="009C5F12"/>
    <w:rsid w:val="009D7130"/>
    <w:rsid w:val="009E0559"/>
    <w:rsid w:val="009E2571"/>
    <w:rsid w:val="009F4D6D"/>
    <w:rsid w:val="00A31B5B"/>
    <w:rsid w:val="00A323D6"/>
    <w:rsid w:val="00A64655"/>
    <w:rsid w:val="00A73E3C"/>
    <w:rsid w:val="00A96CB7"/>
    <w:rsid w:val="00AA1A77"/>
    <w:rsid w:val="00AC2129"/>
    <w:rsid w:val="00AE0945"/>
    <w:rsid w:val="00AE1903"/>
    <w:rsid w:val="00AE75BF"/>
    <w:rsid w:val="00AF238D"/>
    <w:rsid w:val="00B11496"/>
    <w:rsid w:val="00B72225"/>
    <w:rsid w:val="00BA64CC"/>
    <w:rsid w:val="00BE2A26"/>
    <w:rsid w:val="00BE5575"/>
    <w:rsid w:val="00BE7682"/>
    <w:rsid w:val="00BF439F"/>
    <w:rsid w:val="00C055E8"/>
    <w:rsid w:val="00C21C4A"/>
    <w:rsid w:val="00C448CA"/>
    <w:rsid w:val="00C7782E"/>
    <w:rsid w:val="00CE249D"/>
    <w:rsid w:val="00CE59A7"/>
    <w:rsid w:val="00CF03D0"/>
    <w:rsid w:val="00D0272C"/>
    <w:rsid w:val="00D169BE"/>
    <w:rsid w:val="00D57708"/>
    <w:rsid w:val="00D76988"/>
    <w:rsid w:val="00D868DD"/>
    <w:rsid w:val="00D97FBC"/>
    <w:rsid w:val="00DB4227"/>
    <w:rsid w:val="00DB67CE"/>
    <w:rsid w:val="00DD6FD7"/>
    <w:rsid w:val="00DE029D"/>
    <w:rsid w:val="00DE42F8"/>
    <w:rsid w:val="00E019FA"/>
    <w:rsid w:val="00E31DA4"/>
    <w:rsid w:val="00E61F9C"/>
    <w:rsid w:val="00E74A56"/>
    <w:rsid w:val="00EA2BB9"/>
    <w:rsid w:val="00EA6510"/>
    <w:rsid w:val="00EB7DAE"/>
    <w:rsid w:val="00EE4652"/>
    <w:rsid w:val="00EF5EB5"/>
    <w:rsid w:val="00F20539"/>
    <w:rsid w:val="00F2155C"/>
    <w:rsid w:val="00F36764"/>
    <w:rsid w:val="00F53776"/>
    <w:rsid w:val="00F64F41"/>
    <w:rsid w:val="00FC2A16"/>
    <w:rsid w:val="00FE3829"/>
    <w:rsid w:val="00FE6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aliases w:val="Annotation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Text1">
    <w:name w:val="Text 1"/>
    <w:basedOn w:val="Normal"/>
    <w:link w:val="Text1Char"/>
    <w:qFormat/>
    <w:rsid w:val="00F36764"/>
    <w:pPr>
      <w:spacing w:before="120" w:after="240" w:line="240" w:lineRule="auto"/>
      <w:jc w:val="both"/>
    </w:pPr>
    <w:rPr>
      <w:rFonts w:ascii="Times New Roman" w:eastAsia="Times New Roman" w:hAnsi="Times New Roman" w:cs="Times New Roman"/>
      <w:sz w:val="24"/>
      <w:szCs w:val="20"/>
      <w:lang w:val="en-US"/>
    </w:rPr>
  </w:style>
  <w:style w:type="paragraph" w:styleId="Caption">
    <w:name w:val="caption"/>
    <w:aliases w:val="Char"/>
    <w:basedOn w:val="Normal"/>
    <w:next w:val="Normal"/>
    <w:link w:val="CaptionChar"/>
    <w:qFormat/>
    <w:rsid w:val="00F36764"/>
    <w:pPr>
      <w:widowControl w:val="0"/>
      <w:spacing w:before="113" w:after="57" w:line="240" w:lineRule="auto"/>
      <w:ind w:left="1418" w:hanging="1418"/>
    </w:pPr>
    <w:rPr>
      <w:rFonts w:ascii="Times New Roman" w:eastAsia="Times New Roman" w:hAnsi="Times New Roman" w:cs="Times New Roman"/>
      <w:b/>
      <w:sz w:val="24"/>
      <w:szCs w:val="20"/>
      <w:lang w:val="en-US"/>
    </w:rPr>
  </w:style>
  <w:style w:type="table" w:styleId="TableGrid">
    <w:name w:val="Table Grid"/>
    <w:basedOn w:val="TableNormal"/>
    <w:uiPriority w:val="59"/>
    <w:rsid w:val="00F367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F36764"/>
    <w:rPr>
      <w:rFonts w:ascii="Times New Roman" w:eastAsia="Times New Roman" w:hAnsi="Times New Roman" w:cs="Times New Roman"/>
      <w:sz w:val="24"/>
      <w:szCs w:val="20"/>
      <w:lang w:val="en-US"/>
    </w:rPr>
  </w:style>
  <w:style w:type="character" w:customStyle="1" w:styleId="CaptionChar">
    <w:name w:val="Caption Char"/>
    <w:aliases w:val="Char Char"/>
    <w:link w:val="Caption"/>
    <w:rsid w:val="00F36764"/>
    <w:rPr>
      <w:rFonts w:ascii="Times New Roman" w:eastAsia="Times New Roman" w:hAnsi="Times New Roman" w:cs="Times New Roman"/>
      <w:b/>
      <w:sz w:val="24"/>
      <w:szCs w:val="20"/>
      <w:lang w:val="en-US"/>
    </w:rPr>
  </w:style>
  <w:style w:type="paragraph" w:styleId="NoSpacing">
    <w:name w:val="No Spacing"/>
    <w:basedOn w:val="Normal"/>
    <w:uiPriority w:val="1"/>
    <w:qFormat/>
    <w:rsid w:val="00F36764"/>
    <w:pPr>
      <w:spacing w:after="0" w:line="240" w:lineRule="auto"/>
    </w:pPr>
    <w:rPr>
      <w:rFonts w:ascii="Calibri" w:eastAsia="Calibri" w:hAnsi="Calibri" w:cs="Calibri"/>
      <w:lang w:val="en-US"/>
    </w:rPr>
  </w:style>
  <w:style w:type="paragraph" w:customStyle="1" w:styleId="TableFooter">
    <w:name w:val="Table Footer"/>
    <w:basedOn w:val="Normal"/>
    <w:rsid w:val="002D2985"/>
    <w:pPr>
      <w:spacing w:before="60" w:after="240" w:line="240" w:lineRule="auto"/>
      <w:ind w:left="330" w:hanging="330"/>
      <w:jc w:val="both"/>
    </w:pPr>
    <w:rPr>
      <w:rFonts w:ascii="Times New Roman" w:eastAsia="Times New Roman" w:hAnsi="Times New Roman" w:cs="Arial"/>
      <w:sz w:val="18"/>
      <w:szCs w:val="18"/>
      <w:lang w:val="en-GB"/>
    </w:rPr>
  </w:style>
  <w:style w:type="paragraph" w:customStyle="1" w:styleId="Default">
    <w:name w:val="Default"/>
    <w:rsid w:val="002D29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xtTi11">
    <w:name w:val="Text:Ti11"/>
    <w:basedOn w:val="Normal"/>
    <w:rsid w:val="00D57708"/>
    <w:pPr>
      <w:widowControl w:val="0"/>
      <w:spacing w:before="120" w:after="170" w:line="260" w:lineRule="atLeast"/>
      <w:jc w:val="both"/>
    </w:pPr>
    <w:rPr>
      <w:rFonts w:ascii="Times New Roman" w:eastAsia="Times New Roman" w:hAnsi="Times New Roman" w:cs="Times New Roman"/>
      <w:szCs w:val="20"/>
      <w:lang w:val="en-US"/>
    </w:rPr>
  </w:style>
  <w:style w:type="table" w:customStyle="1" w:styleId="TableGrid1">
    <w:name w:val="Table Grid1"/>
    <w:basedOn w:val="TableNormal"/>
    <w:next w:val="TableGrid"/>
    <w:rsid w:val="004952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E1D85"/>
    <w:rPr>
      <w:rFonts w:asciiTheme="minorHAnsi" w:hAnsiTheme="minorHAnsi"/>
      <w:b/>
      <w:bCs/>
    </w:rPr>
  </w:style>
  <w:style w:type="character" w:customStyle="1" w:styleId="CommentSubjectChar">
    <w:name w:val="Comment Subject Char"/>
    <w:basedOn w:val="CommentTextChar"/>
    <w:link w:val="CommentSubject"/>
    <w:uiPriority w:val="99"/>
    <w:semiHidden/>
    <w:rsid w:val="005E1D85"/>
    <w:rPr>
      <w:rFonts w:ascii="Cambria" w:hAnsi="Cambria"/>
      <w:b/>
      <w:bCs/>
      <w:sz w:val="20"/>
      <w:szCs w:val="20"/>
    </w:rPr>
  </w:style>
  <w:style w:type="paragraph" w:styleId="Header">
    <w:name w:val="header"/>
    <w:basedOn w:val="Normal"/>
    <w:link w:val="HeaderChar"/>
    <w:uiPriority w:val="99"/>
    <w:unhideWhenUsed/>
    <w:rsid w:val="00AA1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aliases w:val="Annotation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Text1">
    <w:name w:val="Text 1"/>
    <w:basedOn w:val="Normal"/>
    <w:link w:val="Text1Char"/>
    <w:qFormat/>
    <w:rsid w:val="00F36764"/>
    <w:pPr>
      <w:spacing w:before="120" w:after="240" w:line="240" w:lineRule="auto"/>
      <w:jc w:val="both"/>
    </w:pPr>
    <w:rPr>
      <w:rFonts w:ascii="Times New Roman" w:eastAsia="Times New Roman" w:hAnsi="Times New Roman" w:cs="Times New Roman"/>
      <w:sz w:val="24"/>
      <w:szCs w:val="20"/>
      <w:lang w:val="en-US"/>
    </w:rPr>
  </w:style>
  <w:style w:type="paragraph" w:styleId="Caption">
    <w:name w:val="caption"/>
    <w:aliases w:val="Char"/>
    <w:basedOn w:val="Normal"/>
    <w:next w:val="Normal"/>
    <w:link w:val="CaptionChar"/>
    <w:qFormat/>
    <w:rsid w:val="00F36764"/>
    <w:pPr>
      <w:widowControl w:val="0"/>
      <w:spacing w:before="113" w:after="57" w:line="240" w:lineRule="auto"/>
      <w:ind w:left="1418" w:hanging="1418"/>
    </w:pPr>
    <w:rPr>
      <w:rFonts w:ascii="Times New Roman" w:eastAsia="Times New Roman" w:hAnsi="Times New Roman" w:cs="Times New Roman"/>
      <w:b/>
      <w:sz w:val="24"/>
      <w:szCs w:val="20"/>
      <w:lang w:val="en-US"/>
    </w:rPr>
  </w:style>
  <w:style w:type="table" w:styleId="TableGrid">
    <w:name w:val="Table Grid"/>
    <w:basedOn w:val="TableNormal"/>
    <w:uiPriority w:val="59"/>
    <w:rsid w:val="00F367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F36764"/>
    <w:rPr>
      <w:rFonts w:ascii="Times New Roman" w:eastAsia="Times New Roman" w:hAnsi="Times New Roman" w:cs="Times New Roman"/>
      <w:sz w:val="24"/>
      <w:szCs w:val="20"/>
      <w:lang w:val="en-US"/>
    </w:rPr>
  </w:style>
  <w:style w:type="character" w:customStyle="1" w:styleId="CaptionChar">
    <w:name w:val="Caption Char"/>
    <w:aliases w:val="Char Char"/>
    <w:link w:val="Caption"/>
    <w:rsid w:val="00F36764"/>
    <w:rPr>
      <w:rFonts w:ascii="Times New Roman" w:eastAsia="Times New Roman" w:hAnsi="Times New Roman" w:cs="Times New Roman"/>
      <w:b/>
      <w:sz w:val="24"/>
      <w:szCs w:val="20"/>
      <w:lang w:val="en-US"/>
    </w:rPr>
  </w:style>
  <w:style w:type="paragraph" w:styleId="NoSpacing">
    <w:name w:val="No Spacing"/>
    <w:basedOn w:val="Normal"/>
    <w:uiPriority w:val="1"/>
    <w:qFormat/>
    <w:rsid w:val="00F36764"/>
    <w:pPr>
      <w:spacing w:after="0" w:line="240" w:lineRule="auto"/>
    </w:pPr>
    <w:rPr>
      <w:rFonts w:ascii="Calibri" w:eastAsia="Calibri" w:hAnsi="Calibri" w:cs="Calibri"/>
      <w:lang w:val="en-US"/>
    </w:rPr>
  </w:style>
  <w:style w:type="paragraph" w:customStyle="1" w:styleId="TableFooter">
    <w:name w:val="Table Footer"/>
    <w:basedOn w:val="Normal"/>
    <w:rsid w:val="002D2985"/>
    <w:pPr>
      <w:spacing w:before="60" w:after="240" w:line="240" w:lineRule="auto"/>
      <w:ind w:left="330" w:hanging="330"/>
      <w:jc w:val="both"/>
    </w:pPr>
    <w:rPr>
      <w:rFonts w:ascii="Times New Roman" w:eastAsia="Times New Roman" w:hAnsi="Times New Roman" w:cs="Arial"/>
      <w:sz w:val="18"/>
      <w:szCs w:val="18"/>
      <w:lang w:val="en-GB"/>
    </w:rPr>
  </w:style>
  <w:style w:type="paragraph" w:customStyle="1" w:styleId="Default">
    <w:name w:val="Default"/>
    <w:rsid w:val="002D29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xtTi11">
    <w:name w:val="Text:Ti11"/>
    <w:basedOn w:val="Normal"/>
    <w:rsid w:val="00D57708"/>
    <w:pPr>
      <w:widowControl w:val="0"/>
      <w:spacing w:before="120" w:after="170" w:line="260" w:lineRule="atLeast"/>
      <w:jc w:val="both"/>
    </w:pPr>
    <w:rPr>
      <w:rFonts w:ascii="Times New Roman" w:eastAsia="Times New Roman" w:hAnsi="Times New Roman" w:cs="Times New Roman"/>
      <w:szCs w:val="20"/>
      <w:lang w:val="en-US"/>
    </w:rPr>
  </w:style>
  <w:style w:type="table" w:customStyle="1" w:styleId="TableGrid1">
    <w:name w:val="Table Grid1"/>
    <w:basedOn w:val="TableNormal"/>
    <w:next w:val="TableGrid"/>
    <w:rsid w:val="004952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E1D85"/>
    <w:rPr>
      <w:rFonts w:asciiTheme="minorHAnsi" w:hAnsiTheme="minorHAnsi"/>
      <w:b/>
      <w:bCs/>
    </w:rPr>
  </w:style>
  <w:style w:type="character" w:customStyle="1" w:styleId="CommentSubjectChar">
    <w:name w:val="Comment Subject Char"/>
    <w:basedOn w:val="CommentTextChar"/>
    <w:link w:val="CommentSubject"/>
    <w:uiPriority w:val="99"/>
    <w:semiHidden/>
    <w:rsid w:val="005E1D85"/>
    <w:rPr>
      <w:rFonts w:ascii="Cambria" w:hAnsi="Cambria"/>
      <w:b/>
      <w:bCs/>
      <w:sz w:val="20"/>
      <w:szCs w:val="20"/>
    </w:rPr>
  </w:style>
  <w:style w:type="paragraph" w:styleId="Header">
    <w:name w:val="header"/>
    <w:basedOn w:val="Normal"/>
    <w:link w:val="HeaderChar"/>
    <w:uiPriority w:val="99"/>
    <w:unhideWhenUsed/>
    <w:rsid w:val="00AA1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tga.gov.au/reporting-problems"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son02\Downloads\pi-template-new-format-with-black-triang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76"/>
    <w:rsid w:val="00CE0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DD0EADDC5743D5A9CA5D03A41551D6">
    <w:name w:val="72DD0EADDC5743D5A9CA5D03A41551D6"/>
    <w:rsid w:val="00CE01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DD0EADDC5743D5A9CA5D03A41551D6">
    <w:name w:val="72DD0EADDC5743D5A9CA5D03A41551D6"/>
    <w:rsid w:val="00CE0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404D-C982-436A-BB4D-C20427B3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0</TotalTime>
  <Pages>37</Pages>
  <Words>11747</Words>
  <Characters>65318</Characters>
  <Application>Microsoft Office Word</Application>
  <DocSecurity>0</DocSecurity>
  <Lines>1451</Lines>
  <Paragraphs>616</Paragraphs>
  <ScaleCrop>false</ScaleCrop>
  <HeadingPairs>
    <vt:vector size="2" baseType="variant">
      <vt:variant>
        <vt:lpstr>Title</vt:lpstr>
      </vt:variant>
      <vt:variant>
        <vt:i4>1</vt:i4>
      </vt:variant>
    </vt:vector>
  </HeadingPairs>
  <TitlesOfParts>
    <vt:vector size="1" baseType="lpstr">
      <vt:lpstr>Attachment: Product Information: Sofosbuvir / Velpatasvir / Voxilaprevir</vt:lpstr>
    </vt:vector>
  </TitlesOfParts>
  <Company>Therapeutic Goods Administration</Company>
  <LinksUpToDate>false</LinksUpToDate>
  <CharactersWithSpaces>76449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Sofosbuvir / Velpatasvir / Voxilaprevir</dc:title>
  <dc:subject>prescription medicines</dc:subject>
  <cp:keywords>AusPARs</cp:keywords>
  <cp:lastPrinted>2017-11-13T05:13:00Z</cp:lastPrinted>
  <dcterms:created xsi:type="dcterms:W3CDTF">2019-05-09T00:49:00Z</dcterms:created>
  <dcterms:modified xsi:type="dcterms:W3CDTF">2019-05-09T00:49:00Z</dcterms:modified>
</cp:coreProperties>
</file>