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November 2017"/>
      </w:tblPr>
      <w:tblGrid>
        <w:gridCol w:w="6487"/>
      </w:tblGrid>
      <w:tr w:rsidR="008E7846" w:rsidRPr="00487162" w:rsidTr="00823FF5">
        <w:trPr>
          <w:trHeight w:val="1863"/>
        </w:trPr>
        <w:tc>
          <w:tcPr>
            <w:tcW w:w="6487" w:type="dxa"/>
            <w:tcBorders>
              <w:top w:val="nil"/>
              <w:left w:val="nil"/>
              <w:bottom w:val="nil"/>
              <w:right w:val="nil"/>
            </w:tcBorders>
          </w:tcPr>
          <w:p w:rsidR="008E7846" w:rsidRPr="00096AA7" w:rsidRDefault="00262FA3" w:rsidP="00096AA7">
            <w:pPr>
              <w:rPr>
                <w:rFonts w:ascii="Arial" w:hAnsi="Arial" w:cs="Arial"/>
                <w:b/>
                <w:color w:val="002C47"/>
                <w:sz w:val="36"/>
                <w:szCs w:val="36"/>
              </w:rPr>
            </w:pPr>
            <w:r>
              <w:rPr>
                <w:rFonts w:ascii="Arial" w:hAnsi="Arial" w:cs="Arial"/>
                <w:b/>
                <w:color w:val="002C47"/>
                <w:sz w:val="36"/>
                <w:szCs w:val="36"/>
              </w:rPr>
              <w:t xml:space="preserve">November </w:t>
            </w:r>
            <w:r w:rsidR="001A02C5">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Description w:val="Australian Public Assessment Report for: Sofosbuvir / Velpatasvir&#10;Proprietary Product Name: Epclusa&#10;Sponsor: Gilead Sciences Pty Ltd&#10;"/>
      </w:tblPr>
      <w:tblGrid>
        <w:gridCol w:w="9079"/>
      </w:tblGrid>
      <w:tr w:rsidR="0032583B" w:rsidRPr="00A964D1" w:rsidTr="0032583B">
        <w:trPr>
          <w:trHeight w:val="868"/>
        </w:trPr>
        <w:tc>
          <w:tcPr>
            <w:tcW w:w="9079" w:type="dxa"/>
          </w:tcPr>
          <w:p w:rsidR="0032583B" w:rsidRPr="00A964D1" w:rsidRDefault="0032583B" w:rsidP="001A02C5">
            <w:pPr>
              <w:pStyle w:val="Title"/>
              <w:rPr>
                <w:color w:val="FFFFFF" w:themeColor="background1"/>
              </w:rPr>
            </w:pPr>
            <w:bookmarkStart w:id="0" w:name="_GoBack"/>
            <w:bookmarkEnd w:id="0"/>
            <w:r w:rsidRPr="00A964D1">
              <w:rPr>
                <w:color w:val="FFFFFF" w:themeColor="background1"/>
              </w:rPr>
              <w:t>Australi</w:t>
            </w:r>
            <w:r w:rsidR="00942A46">
              <w:rPr>
                <w:color w:val="FFFFFF" w:themeColor="background1"/>
              </w:rPr>
              <w:t>an Public Assessment Report for:</w:t>
            </w:r>
            <w:r w:rsidR="001A02C5">
              <w:rPr>
                <w:color w:val="FFFFFF" w:themeColor="background1"/>
              </w:rPr>
              <w:t xml:space="preserve"> </w:t>
            </w:r>
            <w:proofErr w:type="spellStart"/>
            <w:r w:rsidR="001A02C5">
              <w:rPr>
                <w:color w:val="FFFFFF" w:themeColor="background1"/>
              </w:rPr>
              <w:t>Sofosbuvir</w:t>
            </w:r>
            <w:proofErr w:type="spellEnd"/>
            <w:r w:rsidR="001A02C5">
              <w:rPr>
                <w:color w:val="FFFFFF" w:themeColor="background1"/>
              </w:rPr>
              <w:t xml:space="preserve"> / </w:t>
            </w:r>
            <w:proofErr w:type="spellStart"/>
            <w:r w:rsidR="001A02C5">
              <w:rPr>
                <w:color w:val="FFFFFF" w:themeColor="background1"/>
              </w:rPr>
              <w:t>Velpatasvir</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Proprietary Product Name:</w:t>
            </w:r>
            <w:r w:rsidR="001A02C5" w:rsidRPr="001A02C5">
              <w:rPr>
                <w:color w:val="FFFFFF" w:themeColor="background1"/>
              </w:rPr>
              <w:t xml:space="preserve"> </w:t>
            </w:r>
            <w:proofErr w:type="spellStart"/>
            <w:r w:rsidR="001A02C5" w:rsidRPr="001A02C5">
              <w:rPr>
                <w:color w:val="FFFFFF" w:themeColor="background1"/>
              </w:rPr>
              <w:t>Epclusa</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F044A6">
              <w:rPr>
                <w:color w:val="FFFFFF" w:themeColor="background1"/>
              </w:rPr>
              <w:t xml:space="preserve"> </w:t>
            </w:r>
            <w:r w:rsidR="001A02C5">
              <w:rPr>
                <w:color w:val="FFFFFF" w:themeColor="background1"/>
              </w:rPr>
              <w:t>Gilead Sciences Pty Ltd</w:t>
            </w:r>
          </w:p>
        </w:tc>
      </w:tr>
    </w:tbl>
    <w:p w:rsidR="000D4647" w:rsidRDefault="008E7846" w:rsidP="0085156D">
      <w:r w:rsidRPr="0085156D">
        <w:br w:type="page"/>
      </w:r>
    </w:p>
    <w:p w:rsidR="000D4647" w:rsidRDefault="008E7846" w:rsidP="008E7846">
      <w:pPr>
        <w:pStyle w:val="NonTOCHeading2"/>
      </w:pPr>
      <w:r w:rsidRPr="001F6CBA">
        <w:lastRenderedPageBreak/>
        <w:t>About the Therapeutic Goods Administration (TGA)</w:t>
      </w:r>
    </w:p>
    <w:p w:rsidR="000D4647"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0D4647"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0D4647"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0D4647"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0D4647"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6F35F9">
        <w:t xml:space="preserve">&lt; </w:t>
      </w:r>
      <w:hyperlink r:id="rId9" w:history="1">
        <w:r w:rsidR="00441C3F">
          <w:rPr>
            <w:rStyle w:val="Hyperlink"/>
          </w:rPr>
          <w:t>https://www.tga.gov.au</w:t>
        </w:r>
      </w:hyperlink>
      <w:proofErr w:type="gramStart"/>
      <w:r w:rsidR="00F044A6">
        <w:t xml:space="preserve">&gt; </w:t>
      </w:r>
      <w:r w:rsidR="00441C3F">
        <w:t>.</w:t>
      </w:r>
      <w:proofErr w:type="gramEnd"/>
    </w:p>
    <w:p w:rsidR="000D4647" w:rsidRDefault="008E7846" w:rsidP="00875A6B">
      <w:pPr>
        <w:pStyle w:val="NonTOCHeading2"/>
      </w:pPr>
      <w:r>
        <w:t xml:space="preserve">About </w:t>
      </w:r>
      <w:proofErr w:type="spellStart"/>
      <w:r>
        <w:t>AusPARs</w:t>
      </w:r>
      <w:proofErr w:type="spellEnd"/>
    </w:p>
    <w:p w:rsidR="000D4647"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0D4647"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0D4647"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0D4647"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0D4647"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0D4647" w:rsidRDefault="00924482" w:rsidP="00F54B65">
      <w:pPr>
        <w:pStyle w:val="LegalSubheading"/>
        <w:spacing w:before="3120"/>
      </w:pPr>
      <w:r w:rsidRPr="00DF1D7F">
        <w:t>Copyright</w:t>
      </w:r>
    </w:p>
    <w:p w:rsidR="000D4647" w:rsidRDefault="00924482" w:rsidP="00924482">
      <w:pPr>
        <w:pStyle w:val="LegalCopy"/>
      </w:pPr>
      <w:r w:rsidRPr="00191B3B">
        <w:rPr>
          <w:rFonts w:cs="Arial"/>
          <w:lang w:val="en-GB"/>
        </w:rPr>
        <w:t>© Comm</w:t>
      </w:r>
      <w:r>
        <w:rPr>
          <w:rFonts w:cs="Arial"/>
          <w:lang w:val="en-GB"/>
        </w:rPr>
        <w:t>onwealth of Australia 201</w:t>
      </w:r>
      <w:r w:rsidR="00942A46">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6F35F9">
        <w:rPr>
          <w:rFonts w:cs="Arial"/>
          <w:lang w:val="en-GB"/>
        </w:rPr>
        <w:t xml:space="preserve">&lt; </w:t>
      </w:r>
      <w:hyperlink r:id="rId10" w:history="1">
        <w:r w:rsidRPr="00191B3B">
          <w:rPr>
            <w:rStyle w:val="Hyperlink"/>
            <w:rFonts w:cs="Arial"/>
            <w:lang w:val="en-GB"/>
          </w:rPr>
          <w:t>tga.copyright@tga.gov.au</w:t>
        </w:r>
      </w:hyperlink>
      <w:proofErr w:type="gramStart"/>
      <w:r w:rsidR="00F044A6">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0D4647" w:rsidRDefault="0089635C" w:rsidP="0010788A">
          <w:pPr>
            <w:pStyle w:val="Contents"/>
          </w:pPr>
          <w:r w:rsidRPr="0010788A">
            <w:t>Contents</w:t>
          </w:r>
        </w:p>
        <w:p w:rsidR="0062433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681426" w:history="1">
            <w:r w:rsidR="00624332" w:rsidRPr="00F26288">
              <w:rPr>
                <w:rStyle w:val="Hyperlink"/>
                <w:noProof/>
              </w:rPr>
              <w:t>Common abbreviations</w:t>
            </w:r>
            <w:r w:rsidR="00624332">
              <w:rPr>
                <w:noProof/>
                <w:webHidden/>
              </w:rPr>
              <w:tab/>
            </w:r>
            <w:r w:rsidR="00624332">
              <w:rPr>
                <w:noProof/>
                <w:webHidden/>
              </w:rPr>
              <w:fldChar w:fldCharType="begin"/>
            </w:r>
            <w:r w:rsidR="00624332">
              <w:rPr>
                <w:noProof/>
                <w:webHidden/>
              </w:rPr>
              <w:instrText xml:space="preserve"> PAGEREF _Toc498681426 \h </w:instrText>
            </w:r>
            <w:r w:rsidR="00624332">
              <w:rPr>
                <w:noProof/>
                <w:webHidden/>
              </w:rPr>
            </w:r>
            <w:r w:rsidR="00624332">
              <w:rPr>
                <w:noProof/>
                <w:webHidden/>
              </w:rPr>
              <w:fldChar w:fldCharType="separate"/>
            </w:r>
            <w:r w:rsidR="00624332">
              <w:rPr>
                <w:noProof/>
                <w:webHidden/>
              </w:rPr>
              <w:t>5</w:t>
            </w:r>
            <w:r w:rsidR="00624332">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27" w:history="1">
            <w:r w:rsidRPr="00F26288">
              <w:rPr>
                <w:rStyle w:val="Hyperlink"/>
                <w:noProof/>
              </w:rPr>
              <w:t>I. Introduction to product submission</w:t>
            </w:r>
            <w:r>
              <w:rPr>
                <w:noProof/>
                <w:webHidden/>
              </w:rPr>
              <w:tab/>
            </w:r>
            <w:r>
              <w:rPr>
                <w:noProof/>
                <w:webHidden/>
              </w:rPr>
              <w:fldChar w:fldCharType="begin"/>
            </w:r>
            <w:r>
              <w:rPr>
                <w:noProof/>
                <w:webHidden/>
              </w:rPr>
              <w:instrText xml:space="preserve"> PAGEREF _Toc498681427 \h </w:instrText>
            </w:r>
            <w:r>
              <w:rPr>
                <w:noProof/>
                <w:webHidden/>
              </w:rPr>
            </w:r>
            <w:r>
              <w:rPr>
                <w:noProof/>
                <w:webHidden/>
              </w:rPr>
              <w:fldChar w:fldCharType="separate"/>
            </w:r>
            <w:r>
              <w:rPr>
                <w:noProof/>
                <w:webHidden/>
              </w:rPr>
              <w:t>11</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28" w:history="1">
            <w:r w:rsidRPr="00F26288">
              <w:rPr>
                <w:rStyle w:val="Hyperlink"/>
                <w:noProof/>
                <w:lang w:eastAsia="en-AU"/>
              </w:rPr>
              <w:t>Submission details</w:t>
            </w:r>
            <w:r>
              <w:rPr>
                <w:noProof/>
                <w:webHidden/>
              </w:rPr>
              <w:tab/>
            </w:r>
            <w:r>
              <w:rPr>
                <w:noProof/>
                <w:webHidden/>
              </w:rPr>
              <w:fldChar w:fldCharType="begin"/>
            </w:r>
            <w:r>
              <w:rPr>
                <w:noProof/>
                <w:webHidden/>
              </w:rPr>
              <w:instrText xml:space="preserve"> PAGEREF _Toc498681428 \h </w:instrText>
            </w:r>
            <w:r>
              <w:rPr>
                <w:noProof/>
                <w:webHidden/>
              </w:rPr>
            </w:r>
            <w:r>
              <w:rPr>
                <w:noProof/>
                <w:webHidden/>
              </w:rPr>
              <w:fldChar w:fldCharType="separate"/>
            </w:r>
            <w:r>
              <w:rPr>
                <w:noProof/>
                <w:webHidden/>
              </w:rPr>
              <w:t>11</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29" w:history="1">
            <w:r w:rsidRPr="00F26288">
              <w:rPr>
                <w:rStyle w:val="Hyperlink"/>
                <w:noProof/>
              </w:rPr>
              <w:t>Product background</w:t>
            </w:r>
            <w:r>
              <w:rPr>
                <w:noProof/>
                <w:webHidden/>
              </w:rPr>
              <w:tab/>
            </w:r>
            <w:r>
              <w:rPr>
                <w:noProof/>
                <w:webHidden/>
              </w:rPr>
              <w:fldChar w:fldCharType="begin"/>
            </w:r>
            <w:r>
              <w:rPr>
                <w:noProof/>
                <w:webHidden/>
              </w:rPr>
              <w:instrText xml:space="preserve"> PAGEREF _Toc498681429 \h </w:instrText>
            </w:r>
            <w:r>
              <w:rPr>
                <w:noProof/>
                <w:webHidden/>
              </w:rPr>
            </w:r>
            <w:r>
              <w:rPr>
                <w:noProof/>
                <w:webHidden/>
              </w:rPr>
              <w:fldChar w:fldCharType="separate"/>
            </w:r>
            <w:r>
              <w:rPr>
                <w:noProof/>
                <w:webHidden/>
              </w:rPr>
              <w:t>11</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0" w:history="1">
            <w:r w:rsidRPr="00F26288">
              <w:rPr>
                <w:rStyle w:val="Hyperlink"/>
                <w:noProof/>
              </w:rPr>
              <w:t>Regulatory status</w:t>
            </w:r>
            <w:r>
              <w:rPr>
                <w:noProof/>
                <w:webHidden/>
              </w:rPr>
              <w:tab/>
            </w:r>
            <w:r>
              <w:rPr>
                <w:noProof/>
                <w:webHidden/>
              </w:rPr>
              <w:fldChar w:fldCharType="begin"/>
            </w:r>
            <w:r>
              <w:rPr>
                <w:noProof/>
                <w:webHidden/>
              </w:rPr>
              <w:instrText xml:space="preserve"> PAGEREF _Toc498681430 \h </w:instrText>
            </w:r>
            <w:r>
              <w:rPr>
                <w:noProof/>
                <w:webHidden/>
              </w:rPr>
            </w:r>
            <w:r>
              <w:rPr>
                <w:noProof/>
                <w:webHidden/>
              </w:rPr>
              <w:fldChar w:fldCharType="separate"/>
            </w:r>
            <w:r>
              <w:rPr>
                <w:noProof/>
                <w:webHidden/>
              </w:rPr>
              <w:t>12</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1" w:history="1">
            <w:r w:rsidRPr="00F26288">
              <w:rPr>
                <w:rStyle w:val="Hyperlink"/>
                <w:noProof/>
              </w:rPr>
              <w:t>Product Information</w:t>
            </w:r>
            <w:r>
              <w:rPr>
                <w:noProof/>
                <w:webHidden/>
              </w:rPr>
              <w:tab/>
            </w:r>
            <w:r>
              <w:rPr>
                <w:noProof/>
                <w:webHidden/>
              </w:rPr>
              <w:fldChar w:fldCharType="begin"/>
            </w:r>
            <w:r>
              <w:rPr>
                <w:noProof/>
                <w:webHidden/>
              </w:rPr>
              <w:instrText xml:space="preserve"> PAGEREF _Toc498681431 \h </w:instrText>
            </w:r>
            <w:r>
              <w:rPr>
                <w:noProof/>
                <w:webHidden/>
              </w:rPr>
            </w:r>
            <w:r>
              <w:rPr>
                <w:noProof/>
                <w:webHidden/>
              </w:rPr>
              <w:fldChar w:fldCharType="separate"/>
            </w:r>
            <w:r>
              <w:rPr>
                <w:noProof/>
                <w:webHidden/>
              </w:rPr>
              <w:t>13</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32" w:history="1">
            <w:r w:rsidRPr="00F26288">
              <w:rPr>
                <w:rStyle w:val="Hyperlink"/>
                <w:noProof/>
              </w:rPr>
              <w:t>II. Quality findings</w:t>
            </w:r>
            <w:r>
              <w:rPr>
                <w:noProof/>
                <w:webHidden/>
              </w:rPr>
              <w:tab/>
            </w:r>
            <w:r>
              <w:rPr>
                <w:noProof/>
                <w:webHidden/>
              </w:rPr>
              <w:fldChar w:fldCharType="begin"/>
            </w:r>
            <w:r>
              <w:rPr>
                <w:noProof/>
                <w:webHidden/>
              </w:rPr>
              <w:instrText xml:space="preserve"> PAGEREF _Toc498681432 \h </w:instrText>
            </w:r>
            <w:r>
              <w:rPr>
                <w:noProof/>
                <w:webHidden/>
              </w:rPr>
            </w:r>
            <w:r>
              <w:rPr>
                <w:noProof/>
                <w:webHidden/>
              </w:rPr>
              <w:fldChar w:fldCharType="separate"/>
            </w:r>
            <w:r>
              <w:rPr>
                <w:noProof/>
                <w:webHidden/>
              </w:rPr>
              <w:t>13</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3" w:history="1">
            <w:r w:rsidRPr="00F26288">
              <w:rPr>
                <w:rStyle w:val="Hyperlink"/>
                <w:noProof/>
              </w:rPr>
              <w:t>Drug substance (active ingredient)</w:t>
            </w:r>
            <w:r>
              <w:rPr>
                <w:noProof/>
                <w:webHidden/>
              </w:rPr>
              <w:tab/>
            </w:r>
            <w:r>
              <w:rPr>
                <w:noProof/>
                <w:webHidden/>
              </w:rPr>
              <w:fldChar w:fldCharType="begin"/>
            </w:r>
            <w:r>
              <w:rPr>
                <w:noProof/>
                <w:webHidden/>
              </w:rPr>
              <w:instrText xml:space="preserve"> PAGEREF _Toc498681433 \h </w:instrText>
            </w:r>
            <w:r>
              <w:rPr>
                <w:noProof/>
                <w:webHidden/>
              </w:rPr>
            </w:r>
            <w:r>
              <w:rPr>
                <w:noProof/>
                <w:webHidden/>
              </w:rPr>
              <w:fldChar w:fldCharType="separate"/>
            </w:r>
            <w:r>
              <w:rPr>
                <w:noProof/>
                <w:webHidden/>
              </w:rPr>
              <w:t>13</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4" w:history="1">
            <w:r w:rsidRPr="00F26288">
              <w:rPr>
                <w:rStyle w:val="Hyperlink"/>
                <w:noProof/>
              </w:rPr>
              <w:t>Drug Product</w:t>
            </w:r>
            <w:r>
              <w:rPr>
                <w:noProof/>
                <w:webHidden/>
              </w:rPr>
              <w:tab/>
            </w:r>
            <w:r>
              <w:rPr>
                <w:noProof/>
                <w:webHidden/>
              </w:rPr>
              <w:fldChar w:fldCharType="begin"/>
            </w:r>
            <w:r>
              <w:rPr>
                <w:noProof/>
                <w:webHidden/>
              </w:rPr>
              <w:instrText xml:space="preserve"> PAGEREF _Toc498681434 \h </w:instrText>
            </w:r>
            <w:r>
              <w:rPr>
                <w:noProof/>
                <w:webHidden/>
              </w:rPr>
            </w:r>
            <w:r>
              <w:rPr>
                <w:noProof/>
                <w:webHidden/>
              </w:rPr>
              <w:fldChar w:fldCharType="separate"/>
            </w:r>
            <w:r>
              <w:rPr>
                <w:noProof/>
                <w:webHidden/>
              </w:rPr>
              <w:t>14</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5" w:history="1">
            <w:r w:rsidRPr="00F26288">
              <w:rPr>
                <w:rStyle w:val="Hyperlink"/>
                <w:noProof/>
              </w:rPr>
              <w:t>Biopharmaceutics</w:t>
            </w:r>
            <w:r>
              <w:rPr>
                <w:noProof/>
                <w:webHidden/>
              </w:rPr>
              <w:tab/>
            </w:r>
            <w:r>
              <w:rPr>
                <w:noProof/>
                <w:webHidden/>
              </w:rPr>
              <w:fldChar w:fldCharType="begin"/>
            </w:r>
            <w:r>
              <w:rPr>
                <w:noProof/>
                <w:webHidden/>
              </w:rPr>
              <w:instrText xml:space="preserve"> PAGEREF _Toc498681435 \h </w:instrText>
            </w:r>
            <w:r>
              <w:rPr>
                <w:noProof/>
                <w:webHidden/>
              </w:rPr>
            </w:r>
            <w:r>
              <w:rPr>
                <w:noProof/>
                <w:webHidden/>
              </w:rPr>
              <w:fldChar w:fldCharType="separate"/>
            </w:r>
            <w:r>
              <w:rPr>
                <w:noProof/>
                <w:webHidden/>
              </w:rPr>
              <w:t>15</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6" w:history="1">
            <w:r w:rsidRPr="00F26288">
              <w:rPr>
                <w:rStyle w:val="Hyperlink"/>
                <w:noProof/>
              </w:rPr>
              <w:t>Quality summary and conclusions</w:t>
            </w:r>
            <w:r>
              <w:rPr>
                <w:noProof/>
                <w:webHidden/>
              </w:rPr>
              <w:tab/>
            </w:r>
            <w:r>
              <w:rPr>
                <w:noProof/>
                <w:webHidden/>
              </w:rPr>
              <w:fldChar w:fldCharType="begin"/>
            </w:r>
            <w:r>
              <w:rPr>
                <w:noProof/>
                <w:webHidden/>
              </w:rPr>
              <w:instrText xml:space="preserve"> PAGEREF _Toc498681436 \h </w:instrText>
            </w:r>
            <w:r>
              <w:rPr>
                <w:noProof/>
                <w:webHidden/>
              </w:rPr>
            </w:r>
            <w:r>
              <w:rPr>
                <w:noProof/>
                <w:webHidden/>
              </w:rPr>
              <w:fldChar w:fldCharType="separate"/>
            </w:r>
            <w:r>
              <w:rPr>
                <w:noProof/>
                <w:webHidden/>
              </w:rPr>
              <w:t>17</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37" w:history="1">
            <w:r w:rsidRPr="00F26288">
              <w:rPr>
                <w:rStyle w:val="Hyperlink"/>
                <w:noProof/>
              </w:rPr>
              <w:t>III. Nonclinical findings</w:t>
            </w:r>
            <w:r>
              <w:rPr>
                <w:noProof/>
                <w:webHidden/>
              </w:rPr>
              <w:tab/>
            </w:r>
            <w:r>
              <w:rPr>
                <w:noProof/>
                <w:webHidden/>
              </w:rPr>
              <w:fldChar w:fldCharType="begin"/>
            </w:r>
            <w:r>
              <w:rPr>
                <w:noProof/>
                <w:webHidden/>
              </w:rPr>
              <w:instrText xml:space="preserve"> PAGEREF _Toc498681437 \h </w:instrText>
            </w:r>
            <w:r>
              <w:rPr>
                <w:noProof/>
                <w:webHidden/>
              </w:rPr>
            </w:r>
            <w:r>
              <w:rPr>
                <w:noProof/>
                <w:webHidden/>
              </w:rPr>
              <w:fldChar w:fldCharType="separate"/>
            </w:r>
            <w:r>
              <w:rPr>
                <w:noProof/>
                <w:webHidden/>
              </w:rPr>
              <w:t>17</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8" w:history="1">
            <w:r w:rsidRPr="00F26288">
              <w:rPr>
                <w:rStyle w:val="Hyperlink"/>
                <w:noProof/>
              </w:rPr>
              <w:t>Introduction</w:t>
            </w:r>
            <w:r>
              <w:rPr>
                <w:noProof/>
                <w:webHidden/>
              </w:rPr>
              <w:tab/>
            </w:r>
            <w:r>
              <w:rPr>
                <w:noProof/>
                <w:webHidden/>
              </w:rPr>
              <w:fldChar w:fldCharType="begin"/>
            </w:r>
            <w:r>
              <w:rPr>
                <w:noProof/>
                <w:webHidden/>
              </w:rPr>
              <w:instrText xml:space="preserve"> PAGEREF _Toc498681438 \h </w:instrText>
            </w:r>
            <w:r>
              <w:rPr>
                <w:noProof/>
                <w:webHidden/>
              </w:rPr>
            </w:r>
            <w:r>
              <w:rPr>
                <w:noProof/>
                <w:webHidden/>
              </w:rPr>
              <w:fldChar w:fldCharType="separate"/>
            </w:r>
            <w:r>
              <w:rPr>
                <w:noProof/>
                <w:webHidden/>
              </w:rPr>
              <w:t>17</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39" w:history="1">
            <w:r w:rsidRPr="00F26288">
              <w:rPr>
                <w:rStyle w:val="Hyperlink"/>
                <w:noProof/>
              </w:rPr>
              <w:t>Pharmacology</w:t>
            </w:r>
            <w:r>
              <w:rPr>
                <w:noProof/>
                <w:webHidden/>
              </w:rPr>
              <w:tab/>
            </w:r>
            <w:r>
              <w:rPr>
                <w:noProof/>
                <w:webHidden/>
              </w:rPr>
              <w:fldChar w:fldCharType="begin"/>
            </w:r>
            <w:r>
              <w:rPr>
                <w:noProof/>
                <w:webHidden/>
              </w:rPr>
              <w:instrText xml:space="preserve"> PAGEREF _Toc498681439 \h </w:instrText>
            </w:r>
            <w:r>
              <w:rPr>
                <w:noProof/>
                <w:webHidden/>
              </w:rPr>
            </w:r>
            <w:r>
              <w:rPr>
                <w:noProof/>
                <w:webHidden/>
              </w:rPr>
              <w:fldChar w:fldCharType="separate"/>
            </w:r>
            <w:r>
              <w:rPr>
                <w:noProof/>
                <w:webHidden/>
              </w:rPr>
              <w:t>17</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0" w:history="1">
            <w:r w:rsidRPr="00F26288">
              <w:rPr>
                <w:rStyle w:val="Hyperlink"/>
                <w:noProof/>
              </w:rPr>
              <w:t>Pharmacokinetics</w:t>
            </w:r>
            <w:r>
              <w:rPr>
                <w:noProof/>
                <w:webHidden/>
              </w:rPr>
              <w:tab/>
            </w:r>
            <w:r>
              <w:rPr>
                <w:noProof/>
                <w:webHidden/>
              </w:rPr>
              <w:fldChar w:fldCharType="begin"/>
            </w:r>
            <w:r>
              <w:rPr>
                <w:noProof/>
                <w:webHidden/>
              </w:rPr>
              <w:instrText xml:space="preserve"> PAGEREF _Toc498681440 \h </w:instrText>
            </w:r>
            <w:r>
              <w:rPr>
                <w:noProof/>
                <w:webHidden/>
              </w:rPr>
            </w:r>
            <w:r>
              <w:rPr>
                <w:noProof/>
                <w:webHidden/>
              </w:rPr>
              <w:fldChar w:fldCharType="separate"/>
            </w:r>
            <w:r>
              <w:rPr>
                <w:noProof/>
                <w:webHidden/>
              </w:rPr>
              <w:t>18</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1" w:history="1">
            <w:r w:rsidRPr="00F26288">
              <w:rPr>
                <w:rStyle w:val="Hyperlink"/>
                <w:noProof/>
              </w:rPr>
              <w:t>Toxicology</w:t>
            </w:r>
            <w:r>
              <w:rPr>
                <w:noProof/>
                <w:webHidden/>
              </w:rPr>
              <w:tab/>
            </w:r>
            <w:r>
              <w:rPr>
                <w:noProof/>
                <w:webHidden/>
              </w:rPr>
              <w:fldChar w:fldCharType="begin"/>
            </w:r>
            <w:r>
              <w:rPr>
                <w:noProof/>
                <w:webHidden/>
              </w:rPr>
              <w:instrText xml:space="preserve"> PAGEREF _Toc498681441 \h </w:instrText>
            </w:r>
            <w:r>
              <w:rPr>
                <w:noProof/>
                <w:webHidden/>
              </w:rPr>
            </w:r>
            <w:r>
              <w:rPr>
                <w:noProof/>
                <w:webHidden/>
              </w:rPr>
              <w:fldChar w:fldCharType="separate"/>
            </w:r>
            <w:r>
              <w:rPr>
                <w:noProof/>
                <w:webHidden/>
              </w:rPr>
              <w:t>20</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2" w:history="1">
            <w:r w:rsidRPr="00F26288">
              <w:rPr>
                <w:rStyle w:val="Hyperlink"/>
                <w:noProof/>
              </w:rPr>
              <w:t>Nonclinical summary and conclusions</w:t>
            </w:r>
            <w:r>
              <w:rPr>
                <w:noProof/>
                <w:webHidden/>
              </w:rPr>
              <w:tab/>
            </w:r>
            <w:r>
              <w:rPr>
                <w:noProof/>
                <w:webHidden/>
              </w:rPr>
              <w:fldChar w:fldCharType="begin"/>
            </w:r>
            <w:r>
              <w:rPr>
                <w:noProof/>
                <w:webHidden/>
              </w:rPr>
              <w:instrText xml:space="preserve"> PAGEREF _Toc498681442 \h </w:instrText>
            </w:r>
            <w:r>
              <w:rPr>
                <w:noProof/>
                <w:webHidden/>
              </w:rPr>
            </w:r>
            <w:r>
              <w:rPr>
                <w:noProof/>
                <w:webHidden/>
              </w:rPr>
              <w:fldChar w:fldCharType="separate"/>
            </w:r>
            <w:r>
              <w:rPr>
                <w:noProof/>
                <w:webHidden/>
              </w:rPr>
              <w:t>23</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43" w:history="1">
            <w:r w:rsidRPr="00F26288">
              <w:rPr>
                <w:rStyle w:val="Hyperlink"/>
                <w:noProof/>
              </w:rPr>
              <w:t>IV. Clinical findings</w:t>
            </w:r>
            <w:r>
              <w:rPr>
                <w:noProof/>
                <w:webHidden/>
              </w:rPr>
              <w:tab/>
            </w:r>
            <w:r>
              <w:rPr>
                <w:noProof/>
                <w:webHidden/>
              </w:rPr>
              <w:fldChar w:fldCharType="begin"/>
            </w:r>
            <w:r>
              <w:rPr>
                <w:noProof/>
                <w:webHidden/>
              </w:rPr>
              <w:instrText xml:space="preserve"> PAGEREF _Toc498681443 \h </w:instrText>
            </w:r>
            <w:r>
              <w:rPr>
                <w:noProof/>
                <w:webHidden/>
              </w:rPr>
            </w:r>
            <w:r>
              <w:rPr>
                <w:noProof/>
                <w:webHidden/>
              </w:rPr>
              <w:fldChar w:fldCharType="separate"/>
            </w:r>
            <w:r>
              <w:rPr>
                <w:noProof/>
                <w:webHidden/>
              </w:rPr>
              <w:t>25</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4" w:history="1">
            <w:r w:rsidRPr="00F26288">
              <w:rPr>
                <w:rStyle w:val="Hyperlink"/>
                <w:noProof/>
              </w:rPr>
              <w:t>Introduction</w:t>
            </w:r>
            <w:r>
              <w:rPr>
                <w:noProof/>
                <w:webHidden/>
              </w:rPr>
              <w:tab/>
            </w:r>
            <w:r>
              <w:rPr>
                <w:noProof/>
                <w:webHidden/>
              </w:rPr>
              <w:fldChar w:fldCharType="begin"/>
            </w:r>
            <w:r>
              <w:rPr>
                <w:noProof/>
                <w:webHidden/>
              </w:rPr>
              <w:instrText xml:space="preserve"> PAGEREF _Toc498681444 \h </w:instrText>
            </w:r>
            <w:r>
              <w:rPr>
                <w:noProof/>
                <w:webHidden/>
              </w:rPr>
            </w:r>
            <w:r>
              <w:rPr>
                <w:noProof/>
                <w:webHidden/>
              </w:rPr>
              <w:fldChar w:fldCharType="separate"/>
            </w:r>
            <w:r>
              <w:rPr>
                <w:noProof/>
                <w:webHidden/>
              </w:rPr>
              <w:t>25</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5" w:history="1">
            <w:r w:rsidRPr="00F26288">
              <w:rPr>
                <w:rStyle w:val="Hyperlink"/>
                <w:noProof/>
              </w:rPr>
              <w:t>Pharmacokinetics</w:t>
            </w:r>
            <w:r>
              <w:rPr>
                <w:noProof/>
                <w:webHidden/>
              </w:rPr>
              <w:tab/>
            </w:r>
            <w:r>
              <w:rPr>
                <w:noProof/>
                <w:webHidden/>
              </w:rPr>
              <w:fldChar w:fldCharType="begin"/>
            </w:r>
            <w:r>
              <w:rPr>
                <w:noProof/>
                <w:webHidden/>
              </w:rPr>
              <w:instrText xml:space="preserve"> PAGEREF _Toc498681445 \h </w:instrText>
            </w:r>
            <w:r>
              <w:rPr>
                <w:noProof/>
                <w:webHidden/>
              </w:rPr>
            </w:r>
            <w:r>
              <w:rPr>
                <w:noProof/>
                <w:webHidden/>
              </w:rPr>
              <w:fldChar w:fldCharType="separate"/>
            </w:r>
            <w:r>
              <w:rPr>
                <w:noProof/>
                <w:webHidden/>
              </w:rPr>
              <w:t>26</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6" w:history="1">
            <w:r w:rsidRPr="00F26288">
              <w:rPr>
                <w:rStyle w:val="Hyperlink"/>
                <w:noProof/>
              </w:rPr>
              <w:t>Pharmacodynamics</w:t>
            </w:r>
            <w:r>
              <w:rPr>
                <w:noProof/>
                <w:webHidden/>
              </w:rPr>
              <w:tab/>
            </w:r>
            <w:r>
              <w:rPr>
                <w:noProof/>
                <w:webHidden/>
              </w:rPr>
              <w:fldChar w:fldCharType="begin"/>
            </w:r>
            <w:r>
              <w:rPr>
                <w:noProof/>
                <w:webHidden/>
              </w:rPr>
              <w:instrText xml:space="preserve"> PAGEREF _Toc498681446 \h </w:instrText>
            </w:r>
            <w:r>
              <w:rPr>
                <w:noProof/>
                <w:webHidden/>
              </w:rPr>
            </w:r>
            <w:r>
              <w:rPr>
                <w:noProof/>
                <w:webHidden/>
              </w:rPr>
              <w:fldChar w:fldCharType="separate"/>
            </w:r>
            <w:r>
              <w:rPr>
                <w:noProof/>
                <w:webHidden/>
              </w:rPr>
              <w:t>33</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7" w:history="1">
            <w:r w:rsidRPr="00F26288">
              <w:rPr>
                <w:rStyle w:val="Hyperlink"/>
                <w:noProof/>
              </w:rPr>
              <w:t>Dosage selection for the pivotal studies</w:t>
            </w:r>
            <w:r>
              <w:rPr>
                <w:noProof/>
                <w:webHidden/>
              </w:rPr>
              <w:tab/>
            </w:r>
            <w:r>
              <w:rPr>
                <w:noProof/>
                <w:webHidden/>
              </w:rPr>
              <w:fldChar w:fldCharType="begin"/>
            </w:r>
            <w:r>
              <w:rPr>
                <w:noProof/>
                <w:webHidden/>
              </w:rPr>
              <w:instrText xml:space="preserve"> PAGEREF _Toc498681447 \h </w:instrText>
            </w:r>
            <w:r>
              <w:rPr>
                <w:noProof/>
                <w:webHidden/>
              </w:rPr>
            </w:r>
            <w:r>
              <w:rPr>
                <w:noProof/>
                <w:webHidden/>
              </w:rPr>
              <w:fldChar w:fldCharType="separate"/>
            </w:r>
            <w:r>
              <w:rPr>
                <w:noProof/>
                <w:webHidden/>
              </w:rPr>
              <w:t>34</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8" w:history="1">
            <w:r w:rsidRPr="00F26288">
              <w:rPr>
                <w:rStyle w:val="Hyperlink"/>
                <w:noProof/>
              </w:rPr>
              <w:t>Efficacy</w:t>
            </w:r>
            <w:r>
              <w:rPr>
                <w:noProof/>
                <w:webHidden/>
              </w:rPr>
              <w:tab/>
            </w:r>
            <w:r>
              <w:rPr>
                <w:noProof/>
                <w:webHidden/>
              </w:rPr>
              <w:fldChar w:fldCharType="begin"/>
            </w:r>
            <w:r>
              <w:rPr>
                <w:noProof/>
                <w:webHidden/>
              </w:rPr>
              <w:instrText xml:space="preserve"> PAGEREF _Toc498681448 \h </w:instrText>
            </w:r>
            <w:r>
              <w:rPr>
                <w:noProof/>
                <w:webHidden/>
              </w:rPr>
            </w:r>
            <w:r>
              <w:rPr>
                <w:noProof/>
                <w:webHidden/>
              </w:rPr>
              <w:fldChar w:fldCharType="separate"/>
            </w:r>
            <w:r>
              <w:rPr>
                <w:noProof/>
                <w:webHidden/>
              </w:rPr>
              <w:t>35</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49" w:history="1">
            <w:r w:rsidRPr="00F26288">
              <w:rPr>
                <w:rStyle w:val="Hyperlink"/>
                <w:noProof/>
              </w:rPr>
              <w:t>Safety</w:t>
            </w:r>
            <w:r>
              <w:rPr>
                <w:noProof/>
                <w:webHidden/>
              </w:rPr>
              <w:tab/>
            </w:r>
            <w:r>
              <w:rPr>
                <w:noProof/>
                <w:webHidden/>
              </w:rPr>
              <w:fldChar w:fldCharType="begin"/>
            </w:r>
            <w:r>
              <w:rPr>
                <w:noProof/>
                <w:webHidden/>
              </w:rPr>
              <w:instrText xml:space="preserve"> PAGEREF _Toc498681449 \h </w:instrText>
            </w:r>
            <w:r>
              <w:rPr>
                <w:noProof/>
                <w:webHidden/>
              </w:rPr>
            </w:r>
            <w:r>
              <w:rPr>
                <w:noProof/>
                <w:webHidden/>
              </w:rPr>
              <w:fldChar w:fldCharType="separate"/>
            </w:r>
            <w:r>
              <w:rPr>
                <w:noProof/>
                <w:webHidden/>
              </w:rPr>
              <w:t>36</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0" w:history="1">
            <w:r w:rsidRPr="00F26288">
              <w:rPr>
                <w:rStyle w:val="Hyperlink"/>
                <w:noProof/>
              </w:rPr>
              <w:t>First Round Benefit-Risk Assessment</w:t>
            </w:r>
            <w:r>
              <w:rPr>
                <w:noProof/>
                <w:webHidden/>
              </w:rPr>
              <w:tab/>
            </w:r>
            <w:r>
              <w:rPr>
                <w:noProof/>
                <w:webHidden/>
              </w:rPr>
              <w:fldChar w:fldCharType="begin"/>
            </w:r>
            <w:r>
              <w:rPr>
                <w:noProof/>
                <w:webHidden/>
              </w:rPr>
              <w:instrText xml:space="preserve"> PAGEREF _Toc498681450 \h </w:instrText>
            </w:r>
            <w:r>
              <w:rPr>
                <w:noProof/>
                <w:webHidden/>
              </w:rPr>
            </w:r>
            <w:r>
              <w:rPr>
                <w:noProof/>
                <w:webHidden/>
              </w:rPr>
              <w:fldChar w:fldCharType="separate"/>
            </w:r>
            <w:r>
              <w:rPr>
                <w:noProof/>
                <w:webHidden/>
              </w:rPr>
              <w:t>39</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1" w:history="1">
            <w:r w:rsidRPr="00F26288">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_Toc498681451 \h </w:instrText>
            </w:r>
            <w:r>
              <w:rPr>
                <w:noProof/>
                <w:webHidden/>
              </w:rPr>
            </w:r>
            <w:r>
              <w:rPr>
                <w:noProof/>
                <w:webHidden/>
              </w:rPr>
              <w:fldChar w:fldCharType="separate"/>
            </w:r>
            <w:r>
              <w:rPr>
                <w:noProof/>
                <w:webHidden/>
              </w:rPr>
              <w:t>39</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2" w:history="1">
            <w:r w:rsidRPr="00F26288">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_Toc498681452 \h </w:instrText>
            </w:r>
            <w:r>
              <w:rPr>
                <w:noProof/>
                <w:webHidden/>
              </w:rPr>
            </w:r>
            <w:r>
              <w:rPr>
                <w:noProof/>
                <w:webHidden/>
              </w:rPr>
              <w:fldChar w:fldCharType="separate"/>
            </w:r>
            <w:r>
              <w:rPr>
                <w:noProof/>
                <w:webHidden/>
              </w:rPr>
              <w:t>40</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3" w:history="1">
            <w:r w:rsidRPr="00F26288">
              <w:rPr>
                <w:rStyle w:val="Hyperlink"/>
                <w:noProof/>
              </w:rPr>
              <w:t>Second Round Benefit-Risk Assessment</w:t>
            </w:r>
            <w:r>
              <w:rPr>
                <w:noProof/>
                <w:webHidden/>
              </w:rPr>
              <w:tab/>
            </w:r>
            <w:r>
              <w:rPr>
                <w:noProof/>
                <w:webHidden/>
              </w:rPr>
              <w:fldChar w:fldCharType="begin"/>
            </w:r>
            <w:r>
              <w:rPr>
                <w:noProof/>
                <w:webHidden/>
              </w:rPr>
              <w:instrText xml:space="preserve"> PAGEREF _Toc498681453 \h </w:instrText>
            </w:r>
            <w:r>
              <w:rPr>
                <w:noProof/>
                <w:webHidden/>
              </w:rPr>
            </w:r>
            <w:r>
              <w:rPr>
                <w:noProof/>
                <w:webHidden/>
              </w:rPr>
              <w:fldChar w:fldCharType="separate"/>
            </w:r>
            <w:r>
              <w:rPr>
                <w:noProof/>
                <w:webHidden/>
              </w:rPr>
              <w:t>40</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54" w:history="1">
            <w:r w:rsidRPr="00F26288">
              <w:rPr>
                <w:rStyle w:val="Hyperlink"/>
                <w:noProof/>
              </w:rPr>
              <w:t>V. Pharmacovigilance findings</w:t>
            </w:r>
            <w:r>
              <w:rPr>
                <w:noProof/>
                <w:webHidden/>
              </w:rPr>
              <w:tab/>
            </w:r>
            <w:r>
              <w:rPr>
                <w:noProof/>
                <w:webHidden/>
              </w:rPr>
              <w:fldChar w:fldCharType="begin"/>
            </w:r>
            <w:r>
              <w:rPr>
                <w:noProof/>
                <w:webHidden/>
              </w:rPr>
              <w:instrText xml:space="preserve"> PAGEREF _Toc498681454 \h </w:instrText>
            </w:r>
            <w:r>
              <w:rPr>
                <w:noProof/>
                <w:webHidden/>
              </w:rPr>
            </w:r>
            <w:r>
              <w:rPr>
                <w:noProof/>
                <w:webHidden/>
              </w:rPr>
              <w:fldChar w:fldCharType="separate"/>
            </w:r>
            <w:r>
              <w:rPr>
                <w:noProof/>
                <w:webHidden/>
              </w:rPr>
              <w:t>40</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5" w:history="1">
            <w:r w:rsidRPr="00F26288">
              <w:rPr>
                <w:rStyle w:val="Hyperlink"/>
                <w:noProof/>
                <w:lang w:eastAsia="en-AU"/>
              </w:rPr>
              <w:t>Risk management plan</w:t>
            </w:r>
            <w:r>
              <w:rPr>
                <w:noProof/>
                <w:webHidden/>
              </w:rPr>
              <w:tab/>
            </w:r>
            <w:r>
              <w:rPr>
                <w:noProof/>
                <w:webHidden/>
              </w:rPr>
              <w:fldChar w:fldCharType="begin"/>
            </w:r>
            <w:r>
              <w:rPr>
                <w:noProof/>
                <w:webHidden/>
              </w:rPr>
              <w:instrText xml:space="preserve"> PAGEREF _Toc498681455 \h </w:instrText>
            </w:r>
            <w:r>
              <w:rPr>
                <w:noProof/>
                <w:webHidden/>
              </w:rPr>
            </w:r>
            <w:r>
              <w:rPr>
                <w:noProof/>
                <w:webHidden/>
              </w:rPr>
              <w:fldChar w:fldCharType="separate"/>
            </w:r>
            <w:r>
              <w:rPr>
                <w:noProof/>
                <w:webHidden/>
              </w:rPr>
              <w:t>40</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6" w:history="1">
            <w:r w:rsidRPr="00F26288">
              <w:rPr>
                <w:rStyle w:val="Hyperlink"/>
                <w:noProof/>
              </w:rPr>
              <w:t>Recommendation</w:t>
            </w:r>
            <w:r>
              <w:rPr>
                <w:noProof/>
                <w:webHidden/>
              </w:rPr>
              <w:tab/>
            </w:r>
            <w:r>
              <w:rPr>
                <w:noProof/>
                <w:webHidden/>
              </w:rPr>
              <w:fldChar w:fldCharType="begin"/>
            </w:r>
            <w:r>
              <w:rPr>
                <w:noProof/>
                <w:webHidden/>
              </w:rPr>
              <w:instrText xml:space="preserve"> PAGEREF _Toc498681456 \h </w:instrText>
            </w:r>
            <w:r>
              <w:rPr>
                <w:noProof/>
                <w:webHidden/>
              </w:rPr>
            </w:r>
            <w:r>
              <w:rPr>
                <w:noProof/>
                <w:webHidden/>
              </w:rPr>
              <w:fldChar w:fldCharType="separate"/>
            </w:r>
            <w:r>
              <w:rPr>
                <w:noProof/>
                <w:webHidden/>
              </w:rPr>
              <w:t>41</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57" w:history="1">
            <w:r w:rsidRPr="00F26288">
              <w:rPr>
                <w:rStyle w:val="Hyperlink"/>
                <w:noProof/>
              </w:rPr>
              <w:t>VI. Overall conclusion and risk/benefit assessment</w:t>
            </w:r>
            <w:r>
              <w:rPr>
                <w:noProof/>
                <w:webHidden/>
              </w:rPr>
              <w:tab/>
            </w:r>
            <w:r>
              <w:rPr>
                <w:noProof/>
                <w:webHidden/>
              </w:rPr>
              <w:fldChar w:fldCharType="begin"/>
            </w:r>
            <w:r>
              <w:rPr>
                <w:noProof/>
                <w:webHidden/>
              </w:rPr>
              <w:instrText xml:space="preserve"> PAGEREF _Toc498681457 \h </w:instrText>
            </w:r>
            <w:r>
              <w:rPr>
                <w:noProof/>
                <w:webHidden/>
              </w:rPr>
            </w:r>
            <w:r>
              <w:rPr>
                <w:noProof/>
                <w:webHidden/>
              </w:rPr>
              <w:fldChar w:fldCharType="separate"/>
            </w:r>
            <w:r>
              <w:rPr>
                <w:noProof/>
                <w:webHidden/>
              </w:rPr>
              <w:t>42</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8" w:history="1">
            <w:r w:rsidRPr="00F26288">
              <w:rPr>
                <w:rStyle w:val="Hyperlink"/>
                <w:noProof/>
              </w:rPr>
              <w:t>Quality</w:t>
            </w:r>
            <w:r>
              <w:rPr>
                <w:noProof/>
                <w:webHidden/>
              </w:rPr>
              <w:tab/>
            </w:r>
            <w:r>
              <w:rPr>
                <w:noProof/>
                <w:webHidden/>
              </w:rPr>
              <w:fldChar w:fldCharType="begin"/>
            </w:r>
            <w:r>
              <w:rPr>
                <w:noProof/>
                <w:webHidden/>
              </w:rPr>
              <w:instrText xml:space="preserve"> PAGEREF _Toc498681458 \h </w:instrText>
            </w:r>
            <w:r>
              <w:rPr>
                <w:noProof/>
                <w:webHidden/>
              </w:rPr>
            </w:r>
            <w:r>
              <w:rPr>
                <w:noProof/>
                <w:webHidden/>
              </w:rPr>
              <w:fldChar w:fldCharType="separate"/>
            </w:r>
            <w:r>
              <w:rPr>
                <w:noProof/>
                <w:webHidden/>
              </w:rPr>
              <w:t>42</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59" w:history="1">
            <w:r w:rsidRPr="00F26288">
              <w:rPr>
                <w:rStyle w:val="Hyperlink"/>
                <w:noProof/>
              </w:rPr>
              <w:t>Nonclinical</w:t>
            </w:r>
            <w:r>
              <w:rPr>
                <w:noProof/>
                <w:webHidden/>
              </w:rPr>
              <w:tab/>
            </w:r>
            <w:r>
              <w:rPr>
                <w:noProof/>
                <w:webHidden/>
              </w:rPr>
              <w:fldChar w:fldCharType="begin"/>
            </w:r>
            <w:r>
              <w:rPr>
                <w:noProof/>
                <w:webHidden/>
              </w:rPr>
              <w:instrText xml:space="preserve"> PAGEREF _Toc498681459 \h </w:instrText>
            </w:r>
            <w:r>
              <w:rPr>
                <w:noProof/>
                <w:webHidden/>
              </w:rPr>
            </w:r>
            <w:r>
              <w:rPr>
                <w:noProof/>
                <w:webHidden/>
              </w:rPr>
              <w:fldChar w:fldCharType="separate"/>
            </w:r>
            <w:r>
              <w:rPr>
                <w:noProof/>
                <w:webHidden/>
              </w:rPr>
              <w:t>42</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0" w:history="1">
            <w:r w:rsidRPr="00F26288">
              <w:rPr>
                <w:rStyle w:val="Hyperlink"/>
                <w:noProof/>
              </w:rPr>
              <w:t>Clinical</w:t>
            </w:r>
            <w:r>
              <w:rPr>
                <w:noProof/>
                <w:webHidden/>
              </w:rPr>
              <w:tab/>
            </w:r>
            <w:r>
              <w:rPr>
                <w:noProof/>
                <w:webHidden/>
              </w:rPr>
              <w:fldChar w:fldCharType="begin"/>
            </w:r>
            <w:r>
              <w:rPr>
                <w:noProof/>
                <w:webHidden/>
              </w:rPr>
              <w:instrText xml:space="preserve"> PAGEREF _Toc498681460 \h </w:instrText>
            </w:r>
            <w:r>
              <w:rPr>
                <w:noProof/>
                <w:webHidden/>
              </w:rPr>
            </w:r>
            <w:r>
              <w:rPr>
                <w:noProof/>
                <w:webHidden/>
              </w:rPr>
              <w:fldChar w:fldCharType="separate"/>
            </w:r>
            <w:r>
              <w:rPr>
                <w:noProof/>
                <w:webHidden/>
              </w:rPr>
              <w:t>42</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1" w:history="1">
            <w:r w:rsidRPr="00F26288">
              <w:rPr>
                <w:rStyle w:val="Hyperlink"/>
                <w:noProof/>
                <w:lang w:eastAsia="en-AU"/>
              </w:rPr>
              <w:t>Risk management plan</w:t>
            </w:r>
            <w:r>
              <w:rPr>
                <w:noProof/>
                <w:webHidden/>
              </w:rPr>
              <w:tab/>
            </w:r>
            <w:r>
              <w:rPr>
                <w:noProof/>
                <w:webHidden/>
              </w:rPr>
              <w:fldChar w:fldCharType="begin"/>
            </w:r>
            <w:r>
              <w:rPr>
                <w:noProof/>
                <w:webHidden/>
              </w:rPr>
              <w:instrText xml:space="preserve"> PAGEREF _Toc498681461 \h </w:instrText>
            </w:r>
            <w:r>
              <w:rPr>
                <w:noProof/>
                <w:webHidden/>
              </w:rPr>
            </w:r>
            <w:r>
              <w:rPr>
                <w:noProof/>
                <w:webHidden/>
              </w:rPr>
              <w:fldChar w:fldCharType="separate"/>
            </w:r>
            <w:r>
              <w:rPr>
                <w:noProof/>
                <w:webHidden/>
              </w:rPr>
              <w:t>51</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2" w:history="1">
            <w:r w:rsidRPr="00F26288">
              <w:rPr>
                <w:rStyle w:val="Hyperlink"/>
                <w:noProof/>
              </w:rPr>
              <w:t>Delegate’s considerations</w:t>
            </w:r>
            <w:r>
              <w:rPr>
                <w:noProof/>
                <w:webHidden/>
              </w:rPr>
              <w:tab/>
            </w:r>
            <w:r>
              <w:rPr>
                <w:noProof/>
                <w:webHidden/>
              </w:rPr>
              <w:fldChar w:fldCharType="begin"/>
            </w:r>
            <w:r>
              <w:rPr>
                <w:noProof/>
                <w:webHidden/>
              </w:rPr>
              <w:instrText xml:space="preserve"> PAGEREF _Toc498681462 \h </w:instrText>
            </w:r>
            <w:r>
              <w:rPr>
                <w:noProof/>
                <w:webHidden/>
              </w:rPr>
            </w:r>
            <w:r>
              <w:rPr>
                <w:noProof/>
                <w:webHidden/>
              </w:rPr>
              <w:fldChar w:fldCharType="separate"/>
            </w:r>
            <w:r>
              <w:rPr>
                <w:noProof/>
                <w:webHidden/>
              </w:rPr>
              <w:t>51</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3" w:history="1">
            <w:r w:rsidRPr="00F26288">
              <w:rPr>
                <w:rStyle w:val="Hyperlink"/>
                <w:noProof/>
              </w:rPr>
              <w:t>Response from sponsor</w:t>
            </w:r>
            <w:r>
              <w:rPr>
                <w:noProof/>
                <w:webHidden/>
              </w:rPr>
              <w:tab/>
            </w:r>
            <w:r>
              <w:rPr>
                <w:noProof/>
                <w:webHidden/>
              </w:rPr>
              <w:fldChar w:fldCharType="begin"/>
            </w:r>
            <w:r>
              <w:rPr>
                <w:noProof/>
                <w:webHidden/>
              </w:rPr>
              <w:instrText xml:space="preserve"> PAGEREF _Toc498681463 \h </w:instrText>
            </w:r>
            <w:r>
              <w:rPr>
                <w:noProof/>
                <w:webHidden/>
              </w:rPr>
            </w:r>
            <w:r>
              <w:rPr>
                <w:noProof/>
                <w:webHidden/>
              </w:rPr>
              <w:fldChar w:fldCharType="separate"/>
            </w:r>
            <w:r>
              <w:rPr>
                <w:noProof/>
                <w:webHidden/>
              </w:rPr>
              <w:t>53</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4" w:history="1">
            <w:r w:rsidRPr="00F26288">
              <w:rPr>
                <w:rStyle w:val="Hyperlink"/>
                <w:noProof/>
              </w:rPr>
              <w:t>Advisory committee considerations</w:t>
            </w:r>
            <w:r>
              <w:rPr>
                <w:noProof/>
                <w:webHidden/>
              </w:rPr>
              <w:tab/>
            </w:r>
            <w:r>
              <w:rPr>
                <w:noProof/>
                <w:webHidden/>
              </w:rPr>
              <w:fldChar w:fldCharType="begin"/>
            </w:r>
            <w:r>
              <w:rPr>
                <w:noProof/>
                <w:webHidden/>
              </w:rPr>
              <w:instrText xml:space="preserve"> PAGEREF _Toc498681464 \h </w:instrText>
            </w:r>
            <w:r>
              <w:rPr>
                <w:noProof/>
                <w:webHidden/>
              </w:rPr>
            </w:r>
            <w:r>
              <w:rPr>
                <w:noProof/>
                <w:webHidden/>
              </w:rPr>
              <w:fldChar w:fldCharType="separate"/>
            </w:r>
            <w:r>
              <w:rPr>
                <w:noProof/>
                <w:webHidden/>
              </w:rPr>
              <w:t>57</w:t>
            </w:r>
            <w:r>
              <w:rPr>
                <w:noProof/>
                <w:webHidden/>
              </w:rPr>
              <w:fldChar w:fldCharType="end"/>
            </w:r>
          </w:hyperlink>
        </w:p>
        <w:p w:rsidR="00624332" w:rsidRDefault="00624332">
          <w:pPr>
            <w:pStyle w:val="TOC3"/>
            <w:rPr>
              <w:rFonts w:asciiTheme="minorHAnsi" w:eastAsiaTheme="minorEastAsia" w:hAnsiTheme="minorHAnsi" w:cstheme="minorBidi"/>
              <w:noProof/>
              <w:lang w:eastAsia="en-AU"/>
            </w:rPr>
          </w:pPr>
          <w:hyperlink w:anchor="_Toc498681465" w:history="1">
            <w:r w:rsidRPr="00F26288">
              <w:rPr>
                <w:rStyle w:val="Hyperlink"/>
                <w:noProof/>
              </w:rPr>
              <w:t>Outcome</w:t>
            </w:r>
            <w:r>
              <w:rPr>
                <w:noProof/>
                <w:webHidden/>
              </w:rPr>
              <w:tab/>
            </w:r>
            <w:r>
              <w:rPr>
                <w:noProof/>
                <w:webHidden/>
              </w:rPr>
              <w:fldChar w:fldCharType="begin"/>
            </w:r>
            <w:r>
              <w:rPr>
                <w:noProof/>
                <w:webHidden/>
              </w:rPr>
              <w:instrText xml:space="preserve"> PAGEREF _Toc498681465 \h </w:instrText>
            </w:r>
            <w:r>
              <w:rPr>
                <w:noProof/>
                <w:webHidden/>
              </w:rPr>
            </w:r>
            <w:r>
              <w:rPr>
                <w:noProof/>
                <w:webHidden/>
              </w:rPr>
              <w:fldChar w:fldCharType="separate"/>
            </w:r>
            <w:r>
              <w:rPr>
                <w:noProof/>
                <w:webHidden/>
              </w:rPr>
              <w:t>59</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66" w:history="1">
            <w:r w:rsidRPr="00F26288">
              <w:rPr>
                <w:rStyle w:val="Hyperlink"/>
                <w:noProof/>
              </w:rPr>
              <w:t>Attachment 1. Product Information</w:t>
            </w:r>
            <w:r>
              <w:rPr>
                <w:noProof/>
                <w:webHidden/>
              </w:rPr>
              <w:tab/>
            </w:r>
            <w:r>
              <w:rPr>
                <w:noProof/>
                <w:webHidden/>
              </w:rPr>
              <w:fldChar w:fldCharType="begin"/>
            </w:r>
            <w:r>
              <w:rPr>
                <w:noProof/>
                <w:webHidden/>
              </w:rPr>
              <w:instrText xml:space="preserve"> PAGEREF _Toc498681466 \h </w:instrText>
            </w:r>
            <w:r>
              <w:rPr>
                <w:noProof/>
                <w:webHidden/>
              </w:rPr>
            </w:r>
            <w:r>
              <w:rPr>
                <w:noProof/>
                <w:webHidden/>
              </w:rPr>
              <w:fldChar w:fldCharType="separate"/>
            </w:r>
            <w:r>
              <w:rPr>
                <w:noProof/>
                <w:webHidden/>
              </w:rPr>
              <w:t>59</w:t>
            </w:r>
            <w:r>
              <w:rPr>
                <w:noProof/>
                <w:webHidden/>
              </w:rPr>
              <w:fldChar w:fldCharType="end"/>
            </w:r>
          </w:hyperlink>
        </w:p>
        <w:p w:rsidR="00624332" w:rsidRDefault="00624332">
          <w:pPr>
            <w:pStyle w:val="TOC2"/>
            <w:rPr>
              <w:rFonts w:asciiTheme="minorHAnsi" w:eastAsiaTheme="minorEastAsia" w:hAnsiTheme="minorHAnsi" w:cstheme="minorBidi"/>
              <w:b w:val="0"/>
              <w:noProof/>
              <w:sz w:val="22"/>
              <w:lang w:eastAsia="en-AU"/>
            </w:rPr>
          </w:pPr>
          <w:hyperlink w:anchor="_Toc498681467" w:history="1">
            <w:r w:rsidRPr="00F2628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_Toc498681467 \h </w:instrText>
            </w:r>
            <w:r>
              <w:rPr>
                <w:noProof/>
                <w:webHidden/>
              </w:rPr>
            </w:r>
            <w:r>
              <w:rPr>
                <w:noProof/>
                <w:webHidden/>
              </w:rPr>
              <w:fldChar w:fldCharType="separate"/>
            </w:r>
            <w:r>
              <w:rPr>
                <w:noProof/>
                <w:webHidden/>
              </w:rPr>
              <w:t>59</w:t>
            </w:r>
            <w:r>
              <w:rPr>
                <w:noProof/>
                <w:webHidden/>
              </w:rPr>
              <w:fldChar w:fldCharType="end"/>
            </w:r>
          </w:hyperlink>
        </w:p>
        <w:p w:rsidR="000D4647" w:rsidRDefault="00DB6124" w:rsidP="00B811C6">
          <w:pPr>
            <w:pStyle w:val="TOC2"/>
          </w:pPr>
          <w:r>
            <w:fldChar w:fldCharType="end"/>
          </w:r>
        </w:p>
      </w:sdtContent>
    </w:sdt>
    <w:bookmarkStart w:id="3" w:name="_Toc314842482" w:displacedByCustomXml="prev"/>
    <w:p w:rsidR="00FD119B" w:rsidRPr="00FD119B" w:rsidRDefault="00441C3F" w:rsidP="00624332">
      <w:pPr>
        <w:pStyle w:val="Heading2"/>
        <w:pageBreakBefore/>
      </w:pPr>
      <w:bookmarkStart w:id="4" w:name="_Toc351716269"/>
      <w:bookmarkStart w:id="5" w:name="_Toc351718881"/>
      <w:bookmarkStart w:id="6" w:name="_Toc355338616"/>
      <w:bookmarkStart w:id="7" w:name="_Toc356306144"/>
      <w:bookmarkStart w:id="8" w:name="_Toc49868142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C71032" w:rsidRPr="00FD119B" w:rsidTr="00FD119B">
        <w:tc>
          <w:tcPr>
            <w:tcW w:w="1809" w:type="dxa"/>
          </w:tcPr>
          <w:p w:rsidR="00C71032" w:rsidRPr="00E555CD" w:rsidRDefault="00C71032" w:rsidP="00C71032">
            <w:r w:rsidRPr="00E555CD">
              <w:t>3TC</w:t>
            </w:r>
          </w:p>
        </w:tc>
        <w:tc>
          <w:tcPr>
            <w:tcW w:w="6911" w:type="dxa"/>
          </w:tcPr>
          <w:p w:rsidR="00C71032" w:rsidRPr="00E555CD" w:rsidRDefault="00C71032" w:rsidP="00C71032">
            <w:r w:rsidRPr="00E555CD">
              <w:t>lamivudine</w:t>
            </w:r>
          </w:p>
        </w:tc>
      </w:tr>
      <w:tr w:rsidR="00C71032" w:rsidRPr="00FD119B" w:rsidTr="00FD119B">
        <w:tc>
          <w:tcPr>
            <w:tcW w:w="1809" w:type="dxa"/>
          </w:tcPr>
          <w:p w:rsidR="00C71032" w:rsidRPr="00E555CD" w:rsidRDefault="00C71032" w:rsidP="00C71032">
            <w:r w:rsidRPr="00E555CD">
              <w:t>Ab</w:t>
            </w:r>
          </w:p>
        </w:tc>
        <w:tc>
          <w:tcPr>
            <w:tcW w:w="6911" w:type="dxa"/>
          </w:tcPr>
          <w:p w:rsidR="00C71032" w:rsidRPr="00E555CD" w:rsidRDefault="00C71032" w:rsidP="00C71032">
            <w:r w:rsidRPr="00E555CD">
              <w:t>antibody</w:t>
            </w:r>
          </w:p>
        </w:tc>
      </w:tr>
      <w:tr w:rsidR="00C71032" w:rsidRPr="00FD119B" w:rsidTr="00FD119B">
        <w:tc>
          <w:tcPr>
            <w:tcW w:w="1809" w:type="dxa"/>
          </w:tcPr>
          <w:p w:rsidR="00C71032" w:rsidRPr="00E555CD" w:rsidRDefault="00C71032" w:rsidP="00C71032">
            <w:r w:rsidRPr="00E555CD">
              <w:t>ADME</w:t>
            </w:r>
          </w:p>
        </w:tc>
        <w:tc>
          <w:tcPr>
            <w:tcW w:w="6911" w:type="dxa"/>
          </w:tcPr>
          <w:p w:rsidR="00C71032" w:rsidRPr="00E555CD" w:rsidRDefault="00C71032" w:rsidP="00C71032">
            <w:r w:rsidRPr="00E555CD">
              <w:t>absorption/distribution/metabolism/excretion</w:t>
            </w:r>
          </w:p>
        </w:tc>
      </w:tr>
      <w:tr w:rsidR="00C71032" w:rsidRPr="00FD119B" w:rsidTr="00FD119B">
        <w:tc>
          <w:tcPr>
            <w:tcW w:w="1809" w:type="dxa"/>
          </w:tcPr>
          <w:p w:rsidR="00C71032" w:rsidRPr="00E555CD" w:rsidRDefault="00C71032" w:rsidP="00C71032">
            <w:r w:rsidRPr="00E555CD">
              <w:t>AE</w:t>
            </w:r>
          </w:p>
        </w:tc>
        <w:tc>
          <w:tcPr>
            <w:tcW w:w="6911" w:type="dxa"/>
          </w:tcPr>
          <w:p w:rsidR="00C71032" w:rsidRPr="00E555CD" w:rsidRDefault="00C71032" w:rsidP="00C71032">
            <w:r w:rsidRPr="00E555CD">
              <w:t>adverse event</w:t>
            </w:r>
          </w:p>
        </w:tc>
      </w:tr>
      <w:tr w:rsidR="00C71032" w:rsidRPr="00FD119B" w:rsidTr="00FD119B">
        <w:tc>
          <w:tcPr>
            <w:tcW w:w="1809" w:type="dxa"/>
          </w:tcPr>
          <w:p w:rsidR="00C71032" w:rsidRPr="00E555CD" w:rsidRDefault="00C71032" w:rsidP="00C71032">
            <w:r w:rsidRPr="00E555CD">
              <w:t>ALT</w:t>
            </w:r>
          </w:p>
        </w:tc>
        <w:tc>
          <w:tcPr>
            <w:tcW w:w="6911" w:type="dxa"/>
          </w:tcPr>
          <w:p w:rsidR="00C71032" w:rsidRPr="00E555CD" w:rsidRDefault="00C71032" w:rsidP="00C71032">
            <w:r w:rsidRPr="00E555CD">
              <w:t>alanine aminotransferase</w:t>
            </w:r>
          </w:p>
        </w:tc>
      </w:tr>
      <w:tr w:rsidR="00C71032" w:rsidRPr="00FD119B" w:rsidTr="00FD119B">
        <w:tc>
          <w:tcPr>
            <w:tcW w:w="1809" w:type="dxa"/>
          </w:tcPr>
          <w:p w:rsidR="00C71032" w:rsidRPr="00E555CD" w:rsidRDefault="00C71032" w:rsidP="00C71032">
            <w:r w:rsidRPr="00E555CD">
              <w:t>ARV</w:t>
            </w:r>
          </w:p>
        </w:tc>
        <w:tc>
          <w:tcPr>
            <w:tcW w:w="6911" w:type="dxa"/>
          </w:tcPr>
          <w:p w:rsidR="00C71032" w:rsidRPr="00E555CD" w:rsidRDefault="00C71032" w:rsidP="00C71032">
            <w:r w:rsidRPr="00E555CD">
              <w:t>antiretroviral</w:t>
            </w:r>
          </w:p>
        </w:tc>
      </w:tr>
      <w:tr w:rsidR="00C71032" w:rsidRPr="00FD119B" w:rsidTr="00FD119B">
        <w:tc>
          <w:tcPr>
            <w:tcW w:w="1809" w:type="dxa"/>
          </w:tcPr>
          <w:p w:rsidR="00C71032" w:rsidRPr="00E555CD" w:rsidRDefault="00C71032" w:rsidP="00C71032">
            <w:r w:rsidRPr="00E555CD">
              <w:t>AST</w:t>
            </w:r>
          </w:p>
        </w:tc>
        <w:tc>
          <w:tcPr>
            <w:tcW w:w="6911" w:type="dxa"/>
          </w:tcPr>
          <w:p w:rsidR="00C71032" w:rsidRPr="00E555CD" w:rsidRDefault="00C71032" w:rsidP="00C71032">
            <w:r w:rsidRPr="00E555CD">
              <w:t>aspartate aminotransferase</w:t>
            </w:r>
          </w:p>
        </w:tc>
      </w:tr>
      <w:tr w:rsidR="00C71032" w:rsidRPr="00FD119B" w:rsidTr="00FD119B">
        <w:tc>
          <w:tcPr>
            <w:tcW w:w="1809" w:type="dxa"/>
          </w:tcPr>
          <w:p w:rsidR="00C71032" w:rsidRPr="00E555CD" w:rsidRDefault="00C71032" w:rsidP="00C71032">
            <w:r w:rsidRPr="00E555CD">
              <w:t>ATR</w:t>
            </w:r>
          </w:p>
        </w:tc>
        <w:tc>
          <w:tcPr>
            <w:tcW w:w="6911" w:type="dxa"/>
          </w:tcPr>
          <w:p w:rsidR="00C71032" w:rsidRPr="00E555CD" w:rsidRDefault="00C71032" w:rsidP="00C71032">
            <w:proofErr w:type="spellStart"/>
            <w:r w:rsidRPr="00E555CD">
              <w:t>Atripla</w:t>
            </w:r>
            <w:proofErr w:type="spellEnd"/>
          </w:p>
        </w:tc>
      </w:tr>
      <w:tr w:rsidR="00C71032" w:rsidRPr="00FD119B" w:rsidTr="00FD119B">
        <w:tc>
          <w:tcPr>
            <w:tcW w:w="1809" w:type="dxa"/>
          </w:tcPr>
          <w:p w:rsidR="00C71032" w:rsidRPr="00E555CD" w:rsidRDefault="00C71032" w:rsidP="00C71032">
            <w:pPr>
              <w:rPr>
                <w:rFonts w:eastAsia="TimesNewRoman" w:cstheme="minorHAnsi"/>
              </w:rPr>
            </w:pPr>
            <w:r w:rsidRPr="00E555CD">
              <w:rPr>
                <w:rFonts w:eastAsia="TimesNewRoman" w:cstheme="minorHAnsi"/>
              </w:rPr>
              <w:t>ATV</w:t>
            </w:r>
          </w:p>
        </w:tc>
        <w:tc>
          <w:tcPr>
            <w:tcW w:w="6911" w:type="dxa"/>
          </w:tcPr>
          <w:p w:rsidR="00C71032" w:rsidRPr="00E555CD" w:rsidRDefault="00C71032" w:rsidP="00C71032">
            <w:proofErr w:type="spellStart"/>
            <w:r w:rsidRPr="00E555CD">
              <w:t>atazanavir</w:t>
            </w:r>
            <w:proofErr w:type="spellEnd"/>
          </w:p>
        </w:tc>
      </w:tr>
      <w:tr w:rsidR="00C71032" w:rsidRPr="00FD119B" w:rsidTr="00FD119B">
        <w:tc>
          <w:tcPr>
            <w:tcW w:w="1809" w:type="dxa"/>
          </w:tcPr>
          <w:p w:rsidR="00C71032" w:rsidRPr="00E555CD" w:rsidRDefault="00C71032" w:rsidP="00C71032">
            <w:r w:rsidRPr="00E555CD">
              <w:t>AUC</w:t>
            </w:r>
          </w:p>
        </w:tc>
        <w:tc>
          <w:tcPr>
            <w:tcW w:w="6911" w:type="dxa"/>
          </w:tcPr>
          <w:p w:rsidR="00C71032" w:rsidRPr="00E555CD" w:rsidRDefault="00C71032" w:rsidP="00C71032">
            <w:r w:rsidRPr="00E555CD">
              <w:t>area und</w:t>
            </w:r>
            <w:r w:rsidR="00567626">
              <w:t>er the concentration/time curve</w:t>
            </w:r>
          </w:p>
        </w:tc>
      </w:tr>
      <w:tr w:rsidR="00C71032" w:rsidRPr="00FD119B" w:rsidTr="00FD119B">
        <w:tc>
          <w:tcPr>
            <w:tcW w:w="1809" w:type="dxa"/>
          </w:tcPr>
          <w:p w:rsidR="00C71032" w:rsidRPr="00E555CD" w:rsidRDefault="00313378" w:rsidP="00C71032">
            <w:proofErr w:type="spellStart"/>
            <w:r w:rsidRPr="000818DC">
              <w:t>AUC</w:t>
            </w:r>
            <w:r w:rsidRPr="00313378">
              <w:rPr>
                <w:vertAlign w:val="subscript"/>
              </w:rPr>
              <w:t>inf</w:t>
            </w:r>
            <w:proofErr w:type="spellEnd"/>
          </w:p>
        </w:tc>
        <w:tc>
          <w:tcPr>
            <w:tcW w:w="6911" w:type="dxa"/>
          </w:tcPr>
          <w:p w:rsidR="00C71032" w:rsidRPr="00E555CD" w:rsidRDefault="00C71032" w:rsidP="00C71032">
            <w:r w:rsidRPr="00E555CD">
              <w:t>area under the plasma concentration versus time curve extrapolated to infinite time, calculated as AUC</w:t>
            </w:r>
            <w:r w:rsidRPr="00E555CD">
              <w:rPr>
                <w:vertAlign w:val="subscript"/>
              </w:rPr>
              <w:t>0-last</w:t>
            </w:r>
            <w:r w:rsidRPr="00E555CD">
              <w:t xml:space="preserve"> + (C</w:t>
            </w:r>
            <w:r w:rsidRPr="00E555CD">
              <w:rPr>
                <w:vertAlign w:val="subscript"/>
              </w:rPr>
              <w:t>last</w:t>
            </w:r>
            <w:r w:rsidRPr="00E555CD">
              <w:t>/</w:t>
            </w:r>
            <w:proofErr w:type="spellStart"/>
            <w:r w:rsidRPr="00E555CD">
              <w:t>λ</w:t>
            </w:r>
            <w:r w:rsidRPr="00E555CD">
              <w:rPr>
                <w:vertAlign w:val="subscript"/>
              </w:rPr>
              <w:t>z</w:t>
            </w:r>
            <w:proofErr w:type="spellEnd"/>
            <w:r w:rsidRPr="00E555CD">
              <w:t>)</w:t>
            </w:r>
          </w:p>
        </w:tc>
      </w:tr>
      <w:tr w:rsidR="00C71032" w:rsidRPr="00FD119B" w:rsidTr="00FD119B">
        <w:tc>
          <w:tcPr>
            <w:tcW w:w="1809" w:type="dxa"/>
          </w:tcPr>
          <w:p w:rsidR="00C71032" w:rsidRPr="00E555CD" w:rsidRDefault="00567626" w:rsidP="00C71032">
            <w:proofErr w:type="spellStart"/>
            <w:r w:rsidRPr="00D6575E">
              <w:t>AUC</w:t>
            </w:r>
            <w:r w:rsidRPr="00567626">
              <w:rPr>
                <w:vertAlign w:val="subscript"/>
              </w:rPr>
              <w:t>last</w:t>
            </w:r>
            <w:proofErr w:type="spellEnd"/>
          </w:p>
        </w:tc>
        <w:tc>
          <w:tcPr>
            <w:tcW w:w="6911" w:type="dxa"/>
          </w:tcPr>
          <w:p w:rsidR="00C71032" w:rsidRPr="00E555CD" w:rsidRDefault="00C71032" w:rsidP="00C71032">
            <w:r w:rsidRPr="00E555CD">
              <w:t>area under the plasma concentration versus time curve from time zero to the last quantifiable concentration</w:t>
            </w:r>
          </w:p>
        </w:tc>
      </w:tr>
      <w:tr w:rsidR="00C71032" w:rsidRPr="00FD119B" w:rsidTr="00FD119B">
        <w:tc>
          <w:tcPr>
            <w:tcW w:w="1809" w:type="dxa"/>
          </w:tcPr>
          <w:p w:rsidR="00C71032" w:rsidRPr="00E555CD" w:rsidRDefault="00F044A6" w:rsidP="00C71032">
            <w:proofErr w:type="spellStart"/>
            <w:r w:rsidRPr="00604A4F">
              <w:t>AU</w:t>
            </w:r>
            <w:r w:rsidR="00FF1DF1" w:rsidRPr="000818DC">
              <w:t>C</w:t>
            </w:r>
            <w:r w:rsidR="00FF1DF1" w:rsidRPr="00FF1DF1">
              <w:rPr>
                <w:vertAlign w:val="subscript"/>
              </w:rPr>
              <w:t>tau</w:t>
            </w:r>
            <w:proofErr w:type="spellEnd"/>
          </w:p>
        </w:tc>
        <w:tc>
          <w:tcPr>
            <w:tcW w:w="6911" w:type="dxa"/>
          </w:tcPr>
          <w:p w:rsidR="00C71032" w:rsidRPr="00E555CD" w:rsidRDefault="00C71032" w:rsidP="00C71032">
            <w:r w:rsidRPr="00E555CD">
              <w:t>area under the plasma concentration versus time curve over the dosing interval</w:t>
            </w:r>
          </w:p>
        </w:tc>
      </w:tr>
      <w:tr w:rsidR="00C71032" w:rsidRPr="00FD119B" w:rsidTr="00FD119B">
        <w:tc>
          <w:tcPr>
            <w:tcW w:w="1809" w:type="dxa"/>
          </w:tcPr>
          <w:p w:rsidR="00C71032" w:rsidRPr="00E555CD" w:rsidRDefault="00C71032" w:rsidP="00C71032">
            <w:r w:rsidRPr="00E555CD">
              <w:t>BCRP</w:t>
            </w:r>
          </w:p>
        </w:tc>
        <w:tc>
          <w:tcPr>
            <w:tcW w:w="6911" w:type="dxa"/>
          </w:tcPr>
          <w:p w:rsidR="00C71032" w:rsidRPr="00E555CD" w:rsidRDefault="00C71032" w:rsidP="00C71032">
            <w:r w:rsidRPr="00E555CD">
              <w:t>breast cancer resistance protein</w:t>
            </w:r>
          </w:p>
        </w:tc>
      </w:tr>
      <w:tr w:rsidR="00C71032" w:rsidRPr="00FD119B" w:rsidTr="00FD119B">
        <w:tc>
          <w:tcPr>
            <w:tcW w:w="1809" w:type="dxa"/>
          </w:tcPr>
          <w:p w:rsidR="00C71032" w:rsidRPr="00E555CD" w:rsidRDefault="00C71032" w:rsidP="00C71032">
            <w:r w:rsidRPr="00E555CD">
              <w:t>BMI</w:t>
            </w:r>
          </w:p>
        </w:tc>
        <w:tc>
          <w:tcPr>
            <w:tcW w:w="6911" w:type="dxa"/>
          </w:tcPr>
          <w:p w:rsidR="00C71032" w:rsidRPr="00E555CD" w:rsidRDefault="00C71032" w:rsidP="00C71032">
            <w:r w:rsidRPr="00E555CD">
              <w:t>body mass index</w:t>
            </w:r>
          </w:p>
        </w:tc>
      </w:tr>
      <w:tr w:rsidR="007278A7" w:rsidRPr="00FD119B" w:rsidTr="00FD119B">
        <w:tc>
          <w:tcPr>
            <w:tcW w:w="1809" w:type="dxa"/>
          </w:tcPr>
          <w:p w:rsidR="007278A7" w:rsidRPr="00E555CD" w:rsidRDefault="007278A7" w:rsidP="00C71032">
            <w:r w:rsidRPr="007278A7">
              <w:t>BSEP</w:t>
            </w:r>
          </w:p>
        </w:tc>
        <w:tc>
          <w:tcPr>
            <w:tcW w:w="6911" w:type="dxa"/>
          </w:tcPr>
          <w:p w:rsidR="007278A7" w:rsidRPr="00E555CD" w:rsidRDefault="007278A7" w:rsidP="007278A7">
            <w:r w:rsidRPr="001637F4">
              <w:t xml:space="preserve">for </w:t>
            </w:r>
            <w:r>
              <w:t>bile salt export pump</w:t>
            </w:r>
          </w:p>
        </w:tc>
      </w:tr>
      <w:tr w:rsidR="00FF090F" w:rsidRPr="00FD119B" w:rsidTr="00FD119B">
        <w:tc>
          <w:tcPr>
            <w:tcW w:w="1809" w:type="dxa"/>
          </w:tcPr>
          <w:p w:rsidR="00FF090F" w:rsidRPr="007278A7" w:rsidRDefault="00FF090F" w:rsidP="00C71032">
            <w:r>
              <w:t>BVDV</w:t>
            </w:r>
          </w:p>
        </w:tc>
        <w:tc>
          <w:tcPr>
            <w:tcW w:w="6911" w:type="dxa"/>
          </w:tcPr>
          <w:p w:rsidR="00FF090F" w:rsidRPr="00FF090F" w:rsidRDefault="00FF090F" w:rsidP="00FF090F">
            <w:r w:rsidRPr="00FF090F">
              <w:t>Bovine viral diarrhoea virus</w:t>
            </w:r>
          </w:p>
        </w:tc>
      </w:tr>
      <w:tr w:rsidR="00C71032" w:rsidRPr="00FD119B" w:rsidTr="00FD119B">
        <w:tc>
          <w:tcPr>
            <w:tcW w:w="1809" w:type="dxa"/>
          </w:tcPr>
          <w:p w:rsidR="00C71032" w:rsidRPr="00E555CD" w:rsidRDefault="00C71032" w:rsidP="00C71032">
            <w:r w:rsidRPr="00E555CD">
              <w:t>CI</w:t>
            </w:r>
          </w:p>
        </w:tc>
        <w:tc>
          <w:tcPr>
            <w:tcW w:w="6911" w:type="dxa"/>
          </w:tcPr>
          <w:p w:rsidR="00C71032" w:rsidRPr="00E555CD" w:rsidRDefault="00C71032" w:rsidP="00C71032">
            <w:r w:rsidRPr="00E555CD">
              <w:t>confidence interval</w:t>
            </w:r>
          </w:p>
        </w:tc>
      </w:tr>
      <w:tr w:rsidR="00C71032" w:rsidRPr="00FD119B" w:rsidTr="00FD119B">
        <w:tc>
          <w:tcPr>
            <w:tcW w:w="1809" w:type="dxa"/>
          </w:tcPr>
          <w:p w:rsidR="00C71032" w:rsidRPr="00E555CD" w:rsidRDefault="00C71032" w:rsidP="00C71032">
            <w:r w:rsidRPr="00E555CD">
              <w:t>CL</w:t>
            </w:r>
          </w:p>
        </w:tc>
        <w:tc>
          <w:tcPr>
            <w:tcW w:w="6911" w:type="dxa"/>
          </w:tcPr>
          <w:p w:rsidR="00C71032" w:rsidRPr="00E555CD" w:rsidRDefault="00C71032" w:rsidP="00C71032">
            <w:r w:rsidRPr="00E555CD">
              <w:t>clearance</w:t>
            </w:r>
          </w:p>
        </w:tc>
      </w:tr>
      <w:tr w:rsidR="00C71032" w:rsidRPr="00FD119B" w:rsidTr="00FD119B">
        <w:tc>
          <w:tcPr>
            <w:tcW w:w="1809" w:type="dxa"/>
          </w:tcPr>
          <w:p w:rsidR="00C71032" w:rsidRPr="00E555CD" w:rsidRDefault="00C71032" w:rsidP="00C71032">
            <w:r>
              <w:t>CL/F</w:t>
            </w:r>
          </w:p>
        </w:tc>
        <w:tc>
          <w:tcPr>
            <w:tcW w:w="6911" w:type="dxa"/>
          </w:tcPr>
          <w:p w:rsidR="00C71032" w:rsidRPr="00E555CD" w:rsidRDefault="00C71032" w:rsidP="00C71032">
            <w:r w:rsidRPr="00E555CD">
              <w:t>apparent oral clearance after administration of the drug: CL/F = Dose/</w:t>
            </w:r>
            <w:proofErr w:type="spellStart"/>
            <w:r w:rsidR="00313378" w:rsidRPr="000818DC">
              <w:t>AUC</w:t>
            </w:r>
            <w:r w:rsidR="00313378" w:rsidRPr="00313378">
              <w:rPr>
                <w:vertAlign w:val="subscript"/>
              </w:rPr>
              <w:t>inf</w:t>
            </w:r>
            <w:proofErr w:type="spellEnd"/>
            <w:r w:rsidRPr="00E555CD">
              <w:t>, where “Dose” is the dose of the drug</w:t>
            </w:r>
          </w:p>
        </w:tc>
      </w:tr>
      <w:tr w:rsidR="00C71032" w:rsidRPr="00FD119B" w:rsidTr="00FD119B">
        <w:tc>
          <w:tcPr>
            <w:tcW w:w="1809" w:type="dxa"/>
          </w:tcPr>
          <w:p w:rsidR="00C71032" w:rsidRPr="00E555CD" w:rsidRDefault="00C71032" w:rsidP="00C71032">
            <w:r w:rsidRPr="00E555CD">
              <w:t>C</w:t>
            </w:r>
            <w:r w:rsidRPr="00E555CD">
              <w:rPr>
                <w:vertAlign w:val="subscript"/>
              </w:rPr>
              <w:t>last</w:t>
            </w:r>
          </w:p>
        </w:tc>
        <w:tc>
          <w:tcPr>
            <w:tcW w:w="6911" w:type="dxa"/>
          </w:tcPr>
          <w:p w:rsidR="00C71032" w:rsidRPr="00E555CD" w:rsidRDefault="00C71032" w:rsidP="00C71032">
            <w:r w:rsidRPr="00E555CD">
              <w:t>last observed quantifiable concentration of the drug in serum, plasma, or PBMCs</w:t>
            </w:r>
          </w:p>
        </w:tc>
      </w:tr>
      <w:tr w:rsidR="00C71032" w:rsidRPr="00FD119B" w:rsidTr="00FD119B">
        <w:tc>
          <w:tcPr>
            <w:tcW w:w="1809" w:type="dxa"/>
          </w:tcPr>
          <w:p w:rsidR="00C71032" w:rsidRPr="00E555CD" w:rsidRDefault="00C71032" w:rsidP="00C71032">
            <w:proofErr w:type="spellStart"/>
            <w:r>
              <w:t>CLcr</w:t>
            </w:r>
            <w:proofErr w:type="spellEnd"/>
          </w:p>
        </w:tc>
        <w:tc>
          <w:tcPr>
            <w:tcW w:w="6911" w:type="dxa"/>
          </w:tcPr>
          <w:p w:rsidR="00C71032" w:rsidRPr="00E555CD" w:rsidRDefault="00D27280" w:rsidP="00C71032">
            <w:r>
              <w:t>creatinine clearance</w:t>
            </w:r>
          </w:p>
        </w:tc>
      </w:tr>
      <w:tr w:rsidR="00C71032" w:rsidRPr="00FD119B" w:rsidTr="00FD119B">
        <w:tc>
          <w:tcPr>
            <w:tcW w:w="1809" w:type="dxa"/>
          </w:tcPr>
          <w:p w:rsidR="00C71032" w:rsidRPr="00E555CD" w:rsidRDefault="00F044A6" w:rsidP="00C71032">
            <w:proofErr w:type="spellStart"/>
            <w:r w:rsidRPr="00604A4F">
              <w:lastRenderedPageBreak/>
              <w:t>C</w:t>
            </w:r>
            <w:r w:rsidRPr="00F044A6">
              <w:rPr>
                <w:vertAlign w:val="subscript"/>
              </w:rPr>
              <w:t>max</w:t>
            </w:r>
            <w:proofErr w:type="spellEnd"/>
          </w:p>
        </w:tc>
        <w:tc>
          <w:tcPr>
            <w:tcW w:w="6911" w:type="dxa"/>
          </w:tcPr>
          <w:p w:rsidR="00C71032" w:rsidRPr="00E555CD" w:rsidRDefault="00C71032" w:rsidP="00C71032">
            <w:r w:rsidRPr="00E555CD">
              <w:t>maximum observed concentration of drug in plasma</w:t>
            </w:r>
          </w:p>
        </w:tc>
      </w:tr>
      <w:tr w:rsidR="00B3721D" w:rsidRPr="00FD119B" w:rsidTr="00FD119B">
        <w:tc>
          <w:tcPr>
            <w:tcW w:w="1809" w:type="dxa"/>
          </w:tcPr>
          <w:p w:rsidR="00B3721D" w:rsidRPr="00604A4F" w:rsidRDefault="00B3721D" w:rsidP="00C71032">
            <w:r w:rsidRPr="00B3721D">
              <w:t>CNS</w:t>
            </w:r>
          </w:p>
        </w:tc>
        <w:tc>
          <w:tcPr>
            <w:tcW w:w="6911" w:type="dxa"/>
          </w:tcPr>
          <w:p w:rsidR="00B3721D" w:rsidRPr="00E555CD" w:rsidRDefault="00B3721D" w:rsidP="00B3721D">
            <w:r>
              <w:t>central nervous system</w:t>
            </w:r>
          </w:p>
        </w:tc>
      </w:tr>
      <w:tr w:rsidR="00C71032" w:rsidRPr="00FD119B" w:rsidTr="00FD119B">
        <w:tc>
          <w:tcPr>
            <w:tcW w:w="1809" w:type="dxa"/>
          </w:tcPr>
          <w:p w:rsidR="00C71032" w:rsidRPr="00E555CD" w:rsidRDefault="00C71032" w:rsidP="00C71032">
            <w:r w:rsidRPr="00E555CD">
              <w:t>COBI</w:t>
            </w:r>
          </w:p>
        </w:tc>
        <w:tc>
          <w:tcPr>
            <w:tcW w:w="6911" w:type="dxa"/>
          </w:tcPr>
          <w:p w:rsidR="00C71032" w:rsidRPr="00E555CD" w:rsidRDefault="00C71032" w:rsidP="00C71032">
            <w:proofErr w:type="spellStart"/>
            <w:r w:rsidRPr="00E555CD">
              <w:t>cobicistat</w:t>
            </w:r>
            <w:proofErr w:type="spellEnd"/>
          </w:p>
        </w:tc>
      </w:tr>
      <w:tr w:rsidR="00C71032" w:rsidRPr="00FD119B" w:rsidTr="00FD119B">
        <w:tc>
          <w:tcPr>
            <w:tcW w:w="1809" w:type="dxa"/>
          </w:tcPr>
          <w:p w:rsidR="00C71032" w:rsidRPr="00E555CD" w:rsidRDefault="00C71032" w:rsidP="00C71032">
            <w:r w:rsidRPr="00E555CD">
              <w:t>CPT</w:t>
            </w:r>
          </w:p>
        </w:tc>
        <w:tc>
          <w:tcPr>
            <w:tcW w:w="6911" w:type="dxa"/>
          </w:tcPr>
          <w:p w:rsidR="00C71032" w:rsidRPr="00E555CD" w:rsidRDefault="00C71032" w:rsidP="00C71032">
            <w:r w:rsidRPr="00E555CD">
              <w:t>Child-Pugh-</w:t>
            </w:r>
            <w:proofErr w:type="spellStart"/>
            <w:r w:rsidRPr="00E555CD">
              <w:t>Turcotte</w:t>
            </w:r>
            <w:proofErr w:type="spellEnd"/>
          </w:p>
        </w:tc>
      </w:tr>
      <w:tr w:rsidR="00C71032" w:rsidRPr="00FD119B" w:rsidTr="00FD119B">
        <w:tc>
          <w:tcPr>
            <w:tcW w:w="1809" w:type="dxa"/>
          </w:tcPr>
          <w:p w:rsidR="00C71032" w:rsidRPr="00E555CD" w:rsidRDefault="00FF1DF1" w:rsidP="00C71032">
            <w:proofErr w:type="spellStart"/>
            <w:r w:rsidRPr="000818DC">
              <w:t>C</w:t>
            </w:r>
            <w:r w:rsidRPr="00FF1DF1">
              <w:rPr>
                <w:vertAlign w:val="subscript"/>
              </w:rPr>
              <w:t>tau</w:t>
            </w:r>
            <w:proofErr w:type="spellEnd"/>
          </w:p>
        </w:tc>
        <w:tc>
          <w:tcPr>
            <w:tcW w:w="6911" w:type="dxa"/>
          </w:tcPr>
          <w:p w:rsidR="00C71032" w:rsidRPr="00E555CD" w:rsidRDefault="00C71032" w:rsidP="00C71032">
            <w:r w:rsidRPr="00E555CD">
              <w:t>observed drug concentration at the end of the dosing interval</w:t>
            </w:r>
          </w:p>
        </w:tc>
      </w:tr>
      <w:tr w:rsidR="00C71032" w:rsidRPr="00FD119B" w:rsidTr="00FD119B">
        <w:tc>
          <w:tcPr>
            <w:tcW w:w="1809" w:type="dxa"/>
          </w:tcPr>
          <w:p w:rsidR="00C71032" w:rsidRPr="00E555CD" w:rsidRDefault="00AE4800" w:rsidP="00C71032">
            <w:r>
              <w:t>CV</w:t>
            </w:r>
          </w:p>
        </w:tc>
        <w:tc>
          <w:tcPr>
            <w:tcW w:w="6911" w:type="dxa"/>
          </w:tcPr>
          <w:p w:rsidR="00C71032" w:rsidRPr="00E555CD" w:rsidRDefault="00C71032" w:rsidP="00C71032">
            <w:r w:rsidRPr="00E555CD">
              <w:t>coefficient of variation</w:t>
            </w:r>
          </w:p>
        </w:tc>
      </w:tr>
      <w:tr w:rsidR="00C71032" w:rsidRPr="00FD119B" w:rsidTr="00FD119B">
        <w:tc>
          <w:tcPr>
            <w:tcW w:w="1809" w:type="dxa"/>
          </w:tcPr>
          <w:p w:rsidR="00C71032" w:rsidRPr="00E555CD" w:rsidRDefault="00C71032" w:rsidP="00C71032">
            <w:r w:rsidRPr="00E555CD">
              <w:t>CYP</w:t>
            </w:r>
          </w:p>
        </w:tc>
        <w:tc>
          <w:tcPr>
            <w:tcW w:w="6911" w:type="dxa"/>
          </w:tcPr>
          <w:p w:rsidR="00C71032" w:rsidRPr="00E555CD" w:rsidRDefault="00C71032" w:rsidP="00C71032">
            <w:r w:rsidRPr="00E555CD">
              <w:t>cytochrome P450</w:t>
            </w:r>
          </w:p>
        </w:tc>
      </w:tr>
      <w:tr w:rsidR="00C71032" w:rsidRPr="00FD119B" w:rsidTr="00FD119B">
        <w:tc>
          <w:tcPr>
            <w:tcW w:w="1809" w:type="dxa"/>
          </w:tcPr>
          <w:p w:rsidR="00C71032" w:rsidRPr="00E555CD" w:rsidRDefault="00C71032" w:rsidP="00C71032">
            <w:r w:rsidRPr="00E555CD">
              <w:t>DAA</w:t>
            </w:r>
          </w:p>
        </w:tc>
        <w:tc>
          <w:tcPr>
            <w:tcW w:w="6911" w:type="dxa"/>
          </w:tcPr>
          <w:p w:rsidR="00C71032" w:rsidRPr="00E555CD" w:rsidRDefault="00C71032" w:rsidP="00C71032">
            <w:r w:rsidRPr="00E555CD">
              <w:t>direct-acting antiviral agent</w:t>
            </w:r>
          </w:p>
        </w:tc>
      </w:tr>
      <w:tr w:rsidR="00C71032" w:rsidRPr="00FD119B" w:rsidTr="00FD119B">
        <w:tc>
          <w:tcPr>
            <w:tcW w:w="1809" w:type="dxa"/>
          </w:tcPr>
          <w:p w:rsidR="00C71032" w:rsidRPr="00E555CD" w:rsidRDefault="00C71032" w:rsidP="00C71032">
            <w:r w:rsidRPr="00E555CD">
              <w:t>DILI</w:t>
            </w:r>
          </w:p>
        </w:tc>
        <w:tc>
          <w:tcPr>
            <w:tcW w:w="6911" w:type="dxa"/>
          </w:tcPr>
          <w:p w:rsidR="00C71032" w:rsidRPr="00E555CD" w:rsidRDefault="00C71032" w:rsidP="00C71032">
            <w:r w:rsidRPr="00E555CD">
              <w:t>drug induced liver injury</w:t>
            </w:r>
          </w:p>
        </w:tc>
      </w:tr>
      <w:tr w:rsidR="00C71032" w:rsidRPr="00FD119B" w:rsidTr="00FD119B">
        <w:tc>
          <w:tcPr>
            <w:tcW w:w="1809" w:type="dxa"/>
          </w:tcPr>
          <w:p w:rsidR="00C71032" w:rsidRPr="00E555CD" w:rsidRDefault="00C71032" w:rsidP="00C71032">
            <w:r w:rsidRPr="00E555CD">
              <w:t>DRV</w:t>
            </w:r>
          </w:p>
        </w:tc>
        <w:tc>
          <w:tcPr>
            <w:tcW w:w="6911" w:type="dxa"/>
          </w:tcPr>
          <w:p w:rsidR="00C71032" w:rsidRPr="00E555CD" w:rsidRDefault="00C71032" w:rsidP="00C71032">
            <w:proofErr w:type="spellStart"/>
            <w:r w:rsidRPr="00E555CD">
              <w:t>darunavir</w:t>
            </w:r>
            <w:proofErr w:type="spellEnd"/>
          </w:p>
        </w:tc>
      </w:tr>
      <w:tr w:rsidR="00C71032" w:rsidRPr="00FD119B" w:rsidTr="00FD119B">
        <w:tc>
          <w:tcPr>
            <w:tcW w:w="1809" w:type="dxa"/>
          </w:tcPr>
          <w:p w:rsidR="00C71032" w:rsidRPr="00E555CD" w:rsidRDefault="00C71032" w:rsidP="00C71032">
            <w:r w:rsidRPr="00E555CD">
              <w:t>DRV/r</w:t>
            </w:r>
          </w:p>
        </w:tc>
        <w:tc>
          <w:tcPr>
            <w:tcW w:w="6911" w:type="dxa"/>
          </w:tcPr>
          <w:p w:rsidR="00C71032" w:rsidRPr="00E555CD" w:rsidRDefault="00C71032" w:rsidP="00C71032">
            <w:proofErr w:type="spellStart"/>
            <w:r w:rsidRPr="00E555CD">
              <w:t>darunavir</w:t>
            </w:r>
            <w:proofErr w:type="spellEnd"/>
            <w:r w:rsidRPr="00E555CD">
              <w:t>/ritonavir</w:t>
            </w:r>
          </w:p>
        </w:tc>
      </w:tr>
      <w:tr w:rsidR="00C71032" w:rsidRPr="00FD119B" w:rsidTr="00FD119B">
        <w:tc>
          <w:tcPr>
            <w:tcW w:w="1809" w:type="dxa"/>
          </w:tcPr>
          <w:p w:rsidR="00C71032" w:rsidRPr="00E555CD" w:rsidRDefault="00C71032" w:rsidP="00C71032">
            <w:r w:rsidRPr="00E555CD">
              <w:t>DTG</w:t>
            </w:r>
          </w:p>
        </w:tc>
        <w:tc>
          <w:tcPr>
            <w:tcW w:w="6911" w:type="dxa"/>
          </w:tcPr>
          <w:p w:rsidR="00C71032" w:rsidRPr="00E555CD" w:rsidRDefault="00C71032" w:rsidP="00C71032">
            <w:proofErr w:type="spellStart"/>
            <w:r w:rsidRPr="00E555CD">
              <w:t>dolutegravir</w:t>
            </w:r>
            <w:proofErr w:type="spellEnd"/>
          </w:p>
        </w:tc>
      </w:tr>
      <w:tr w:rsidR="00C71032" w:rsidRPr="00FD119B" w:rsidTr="00FD119B">
        <w:tc>
          <w:tcPr>
            <w:tcW w:w="1809" w:type="dxa"/>
          </w:tcPr>
          <w:p w:rsidR="00C71032" w:rsidRPr="00E555CD" w:rsidRDefault="00C71032" w:rsidP="00C71032">
            <w:r>
              <w:t>EC50</w:t>
            </w:r>
          </w:p>
        </w:tc>
        <w:tc>
          <w:tcPr>
            <w:tcW w:w="6911" w:type="dxa"/>
          </w:tcPr>
          <w:p w:rsidR="00C71032" w:rsidRPr="00E555CD" w:rsidRDefault="00C71032" w:rsidP="00C71032">
            <w:r w:rsidRPr="00E555CD">
              <w:t>concentration of a compound inhibiting virus replication by 50%</w:t>
            </w:r>
          </w:p>
        </w:tc>
      </w:tr>
      <w:tr w:rsidR="00C71032" w:rsidRPr="00FD119B" w:rsidTr="00FD119B">
        <w:tc>
          <w:tcPr>
            <w:tcW w:w="1809" w:type="dxa"/>
          </w:tcPr>
          <w:p w:rsidR="00C71032" w:rsidRPr="00E555CD" w:rsidRDefault="00C71032" w:rsidP="00C71032">
            <w:r w:rsidRPr="00E555CD">
              <w:t>ECG</w:t>
            </w:r>
          </w:p>
        </w:tc>
        <w:tc>
          <w:tcPr>
            <w:tcW w:w="6911" w:type="dxa"/>
          </w:tcPr>
          <w:p w:rsidR="00C71032" w:rsidRPr="00E555CD" w:rsidRDefault="00C71032" w:rsidP="00C71032">
            <w:r w:rsidRPr="00E555CD">
              <w:t>electrocardiogram</w:t>
            </w:r>
          </w:p>
        </w:tc>
      </w:tr>
      <w:tr w:rsidR="00C71032" w:rsidRPr="00FD119B" w:rsidTr="00FD119B">
        <w:tc>
          <w:tcPr>
            <w:tcW w:w="1809" w:type="dxa"/>
          </w:tcPr>
          <w:p w:rsidR="00C71032" w:rsidRPr="00E555CD" w:rsidRDefault="00C71032" w:rsidP="00C71032">
            <w:r w:rsidRPr="00E555CD">
              <w:t>EFV</w:t>
            </w:r>
          </w:p>
        </w:tc>
        <w:tc>
          <w:tcPr>
            <w:tcW w:w="6911" w:type="dxa"/>
          </w:tcPr>
          <w:p w:rsidR="00C71032" w:rsidRPr="00E555CD" w:rsidRDefault="00C71032" w:rsidP="00C71032">
            <w:proofErr w:type="spellStart"/>
            <w:r w:rsidRPr="00E555CD">
              <w:t>efavirenz</w:t>
            </w:r>
            <w:proofErr w:type="spellEnd"/>
          </w:p>
        </w:tc>
      </w:tr>
      <w:tr w:rsidR="00C71032" w:rsidRPr="00FD119B" w:rsidTr="00FD119B">
        <w:tc>
          <w:tcPr>
            <w:tcW w:w="1809" w:type="dxa"/>
          </w:tcPr>
          <w:p w:rsidR="00C71032" w:rsidRPr="00E555CD" w:rsidRDefault="00C71032" w:rsidP="00C71032">
            <w:proofErr w:type="spellStart"/>
            <w:r w:rsidRPr="00E555CD">
              <w:t>eGFR</w:t>
            </w:r>
            <w:proofErr w:type="spellEnd"/>
          </w:p>
        </w:tc>
        <w:tc>
          <w:tcPr>
            <w:tcW w:w="6911" w:type="dxa"/>
          </w:tcPr>
          <w:p w:rsidR="00C71032" w:rsidRPr="00E555CD" w:rsidRDefault="00C71032" w:rsidP="00C71032">
            <w:r w:rsidRPr="00E555CD">
              <w:t>estimated glomerular filtration rate</w:t>
            </w:r>
          </w:p>
        </w:tc>
      </w:tr>
      <w:tr w:rsidR="00C71032" w:rsidRPr="00FD119B" w:rsidTr="00FD119B">
        <w:tc>
          <w:tcPr>
            <w:tcW w:w="1809" w:type="dxa"/>
          </w:tcPr>
          <w:p w:rsidR="00C71032" w:rsidRPr="00E555CD" w:rsidRDefault="00C71032" w:rsidP="00C71032">
            <w:proofErr w:type="spellStart"/>
            <w:r w:rsidRPr="00E555CD">
              <w:t>E</w:t>
            </w:r>
            <w:r w:rsidRPr="00B760CD">
              <w:rPr>
                <w:vertAlign w:val="subscript"/>
              </w:rPr>
              <w:t>max</w:t>
            </w:r>
            <w:proofErr w:type="spellEnd"/>
          </w:p>
        </w:tc>
        <w:tc>
          <w:tcPr>
            <w:tcW w:w="6911" w:type="dxa"/>
          </w:tcPr>
          <w:p w:rsidR="00C71032" w:rsidRPr="00E555CD" w:rsidRDefault="00C71032" w:rsidP="00C71032">
            <w:r w:rsidRPr="00E555CD">
              <w:t>maximum effect</w:t>
            </w:r>
          </w:p>
        </w:tc>
      </w:tr>
      <w:tr w:rsidR="00C71032" w:rsidRPr="00FD119B" w:rsidTr="00FD119B">
        <w:tc>
          <w:tcPr>
            <w:tcW w:w="1809" w:type="dxa"/>
          </w:tcPr>
          <w:p w:rsidR="00C71032" w:rsidRPr="00E555CD" w:rsidRDefault="00C71032" w:rsidP="00C71032">
            <w:r w:rsidRPr="00E555CD">
              <w:t>EVG</w:t>
            </w:r>
          </w:p>
        </w:tc>
        <w:tc>
          <w:tcPr>
            <w:tcW w:w="6911" w:type="dxa"/>
          </w:tcPr>
          <w:p w:rsidR="00C71032" w:rsidRPr="00E555CD" w:rsidRDefault="00C71032" w:rsidP="00C71032">
            <w:proofErr w:type="spellStart"/>
            <w:r w:rsidRPr="00E555CD">
              <w:t>elvitegravir</w:t>
            </w:r>
            <w:proofErr w:type="spellEnd"/>
          </w:p>
        </w:tc>
      </w:tr>
      <w:tr w:rsidR="00C71032" w:rsidRPr="00FD119B" w:rsidTr="00FD119B">
        <w:tc>
          <w:tcPr>
            <w:tcW w:w="1809" w:type="dxa"/>
          </w:tcPr>
          <w:p w:rsidR="00C71032" w:rsidRPr="00E555CD" w:rsidRDefault="00C71032" w:rsidP="00C71032">
            <w:r w:rsidRPr="00E555CD">
              <w:t>FDA</w:t>
            </w:r>
          </w:p>
        </w:tc>
        <w:tc>
          <w:tcPr>
            <w:tcW w:w="6911" w:type="dxa"/>
          </w:tcPr>
          <w:p w:rsidR="00C71032" w:rsidRPr="00E555CD" w:rsidRDefault="00C71032" w:rsidP="00C71032">
            <w:r w:rsidRPr="00E555CD">
              <w:t>Food and Drug Administration</w:t>
            </w:r>
          </w:p>
        </w:tc>
      </w:tr>
      <w:tr w:rsidR="00C71032" w:rsidRPr="00FD119B" w:rsidTr="00FD119B">
        <w:tc>
          <w:tcPr>
            <w:tcW w:w="1809" w:type="dxa"/>
          </w:tcPr>
          <w:p w:rsidR="00C71032" w:rsidRPr="00E555CD" w:rsidRDefault="00C71032" w:rsidP="00C71032">
            <w:r>
              <w:t>FDC</w:t>
            </w:r>
          </w:p>
        </w:tc>
        <w:tc>
          <w:tcPr>
            <w:tcW w:w="6911" w:type="dxa"/>
          </w:tcPr>
          <w:p w:rsidR="00C71032" w:rsidRPr="00E555CD" w:rsidRDefault="00C71032" w:rsidP="00C71032">
            <w:r w:rsidRPr="00E555CD">
              <w:t>fixed dose combination</w:t>
            </w:r>
          </w:p>
        </w:tc>
      </w:tr>
      <w:tr w:rsidR="00C71032" w:rsidRPr="00FD119B" w:rsidTr="00FD119B">
        <w:tc>
          <w:tcPr>
            <w:tcW w:w="1809" w:type="dxa"/>
          </w:tcPr>
          <w:p w:rsidR="00C71032" w:rsidRPr="00E555CD" w:rsidRDefault="00C71032" w:rsidP="00C71032">
            <w:r w:rsidRPr="00E555CD">
              <w:t>FSH</w:t>
            </w:r>
          </w:p>
        </w:tc>
        <w:tc>
          <w:tcPr>
            <w:tcW w:w="6911" w:type="dxa"/>
          </w:tcPr>
          <w:p w:rsidR="00C71032" w:rsidRPr="00E555CD" w:rsidRDefault="00C71032" w:rsidP="00C71032">
            <w:r w:rsidRPr="00E555CD">
              <w:t>follicle stimulating hormone</w:t>
            </w:r>
          </w:p>
        </w:tc>
      </w:tr>
      <w:tr w:rsidR="00C71032" w:rsidRPr="00FD119B" w:rsidTr="00FD119B">
        <w:tc>
          <w:tcPr>
            <w:tcW w:w="1809" w:type="dxa"/>
          </w:tcPr>
          <w:p w:rsidR="00C71032" w:rsidRPr="00E555CD" w:rsidRDefault="00C71032" w:rsidP="00C71032">
            <w:r w:rsidRPr="00E555CD">
              <w:t>FTC</w:t>
            </w:r>
          </w:p>
        </w:tc>
        <w:tc>
          <w:tcPr>
            <w:tcW w:w="6911" w:type="dxa"/>
          </w:tcPr>
          <w:p w:rsidR="00C71032" w:rsidRPr="00E555CD" w:rsidRDefault="00C71032" w:rsidP="00C71032">
            <w:proofErr w:type="spellStart"/>
            <w:r w:rsidRPr="00E555CD">
              <w:t>emtricitabine</w:t>
            </w:r>
            <w:proofErr w:type="spellEnd"/>
          </w:p>
        </w:tc>
      </w:tr>
      <w:tr w:rsidR="00C71032" w:rsidRPr="00FD119B" w:rsidTr="00FD119B">
        <w:tc>
          <w:tcPr>
            <w:tcW w:w="1809" w:type="dxa"/>
          </w:tcPr>
          <w:p w:rsidR="00C71032" w:rsidRPr="00E555CD" w:rsidRDefault="00C71032" w:rsidP="00C71032">
            <w:r w:rsidRPr="00E555CD">
              <w:t>GCP</w:t>
            </w:r>
          </w:p>
        </w:tc>
        <w:tc>
          <w:tcPr>
            <w:tcW w:w="6911" w:type="dxa"/>
          </w:tcPr>
          <w:p w:rsidR="00C71032" w:rsidRPr="00E555CD" w:rsidRDefault="00C71032" w:rsidP="00C71032">
            <w:r w:rsidRPr="00E555CD">
              <w:t>Good Clinical Practice</w:t>
            </w:r>
          </w:p>
        </w:tc>
      </w:tr>
      <w:tr w:rsidR="000F1723" w:rsidRPr="00FD119B" w:rsidTr="00FD119B">
        <w:tc>
          <w:tcPr>
            <w:tcW w:w="1809" w:type="dxa"/>
          </w:tcPr>
          <w:p w:rsidR="000F1723" w:rsidRPr="00E555CD" w:rsidRDefault="000F1723" w:rsidP="00C71032">
            <w:r w:rsidRPr="000F1723">
              <w:t>GLP</w:t>
            </w:r>
          </w:p>
        </w:tc>
        <w:tc>
          <w:tcPr>
            <w:tcW w:w="6911" w:type="dxa"/>
          </w:tcPr>
          <w:p w:rsidR="000F1723" w:rsidRPr="00E555CD" w:rsidRDefault="000F1723" w:rsidP="000F1723">
            <w:r>
              <w:t>good laboratory practice</w:t>
            </w:r>
          </w:p>
        </w:tc>
      </w:tr>
      <w:tr w:rsidR="00C71032" w:rsidRPr="00FD119B" w:rsidTr="00FD119B">
        <w:tc>
          <w:tcPr>
            <w:tcW w:w="1809" w:type="dxa"/>
          </w:tcPr>
          <w:p w:rsidR="00C71032" w:rsidRPr="00E555CD" w:rsidRDefault="00C71032" w:rsidP="00C71032">
            <w:r w:rsidRPr="00E555CD">
              <w:t>GLSM</w:t>
            </w:r>
          </w:p>
        </w:tc>
        <w:tc>
          <w:tcPr>
            <w:tcW w:w="6911" w:type="dxa"/>
          </w:tcPr>
          <w:p w:rsidR="00C71032" w:rsidRPr="00E555CD" w:rsidRDefault="00C71032" w:rsidP="00C71032">
            <w:r w:rsidRPr="00E555CD">
              <w:t>geometric least-squares means</w:t>
            </w:r>
          </w:p>
        </w:tc>
      </w:tr>
      <w:tr w:rsidR="00C71032" w:rsidRPr="00FD119B" w:rsidTr="00FD119B">
        <w:tc>
          <w:tcPr>
            <w:tcW w:w="1809" w:type="dxa"/>
          </w:tcPr>
          <w:p w:rsidR="00C71032" w:rsidRPr="00E555CD" w:rsidRDefault="00C71032" w:rsidP="00C71032">
            <w:r w:rsidRPr="00E555CD">
              <w:t>GT1a</w:t>
            </w:r>
          </w:p>
        </w:tc>
        <w:tc>
          <w:tcPr>
            <w:tcW w:w="6911" w:type="dxa"/>
          </w:tcPr>
          <w:p w:rsidR="00C71032" w:rsidRPr="00E555CD" w:rsidRDefault="00C71032" w:rsidP="00C71032">
            <w:r w:rsidRPr="00E555CD">
              <w:t>genotype 1a</w:t>
            </w:r>
            <w:r w:rsidR="00B92BE6">
              <w:t xml:space="preserve"> (HCV)</w:t>
            </w:r>
          </w:p>
        </w:tc>
      </w:tr>
      <w:tr w:rsidR="00C71032" w:rsidRPr="00FD119B" w:rsidTr="00FD119B">
        <w:tc>
          <w:tcPr>
            <w:tcW w:w="1809" w:type="dxa"/>
          </w:tcPr>
          <w:p w:rsidR="00C71032" w:rsidRPr="00E555CD" w:rsidRDefault="00C71032" w:rsidP="00C71032">
            <w:r w:rsidRPr="00E555CD">
              <w:lastRenderedPageBreak/>
              <w:t>GT1b</w:t>
            </w:r>
          </w:p>
        </w:tc>
        <w:tc>
          <w:tcPr>
            <w:tcW w:w="6911" w:type="dxa"/>
          </w:tcPr>
          <w:p w:rsidR="00C71032" w:rsidRPr="00E555CD" w:rsidRDefault="00C71032" w:rsidP="00C71032">
            <w:r w:rsidRPr="00E555CD">
              <w:t>genotype 1b</w:t>
            </w:r>
            <w:r w:rsidR="00B92BE6">
              <w:t xml:space="preserve"> (HCV)</w:t>
            </w:r>
          </w:p>
        </w:tc>
      </w:tr>
      <w:tr w:rsidR="00C71032" w:rsidRPr="00FD119B" w:rsidTr="00FD119B">
        <w:tc>
          <w:tcPr>
            <w:tcW w:w="1809" w:type="dxa"/>
          </w:tcPr>
          <w:p w:rsidR="00C71032" w:rsidRPr="00E555CD" w:rsidRDefault="00C71032" w:rsidP="00C71032">
            <w:r w:rsidRPr="00E555CD">
              <w:t>GT4</w:t>
            </w:r>
          </w:p>
        </w:tc>
        <w:tc>
          <w:tcPr>
            <w:tcW w:w="6911" w:type="dxa"/>
          </w:tcPr>
          <w:p w:rsidR="00C71032" w:rsidRPr="00E555CD" w:rsidRDefault="00C71032" w:rsidP="00C71032">
            <w:r w:rsidRPr="00E555CD">
              <w:t>genotype 4</w:t>
            </w:r>
            <w:r w:rsidR="00B92BE6">
              <w:t xml:space="preserve"> (HCV)</w:t>
            </w:r>
          </w:p>
        </w:tc>
      </w:tr>
      <w:tr w:rsidR="00C71032" w:rsidRPr="00FD119B" w:rsidTr="00FD119B">
        <w:tc>
          <w:tcPr>
            <w:tcW w:w="1809" w:type="dxa"/>
          </w:tcPr>
          <w:p w:rsidR="00C71032" w:rsidRPr="00E555CD" w:rsidRDefault="00C71032" w:rsidP="00C71032">
            <w:r w:rsidRPr="00E555CD">
              <w:t>h</w:t>
            </w:r>
          </w:p>
        </w:tc>
        <w:tc>
          <w:tcPr>
            <w:tcW w:w="6911" w:type="dxa"/>
          </w:tcPr>
          <w:p w:rsidR="00C71032" w:rsidRPr="00E555CD" w:rsidRDefault="00C71032" w:rsidP="00C71032">
            <w:r w:rsidRPr="00E555CD">
              <w:t>hour/s</w:t>
            </w:r>
          </w:p>
        </w:tc>
      </w:tr>
      <w:tr w:rsidR="00C71032" w:rsidRPr="00FD119B" w:rsidTr="00FD119B">
        <w:tc>
          <w:tcPr>
            <w:tcW w:w="1809" w:type="dxa"/>
          </w:tcPr>
          <w:p w:rsidR="00C71032" w:rsidRPr="00E555CD" w:rsidRDefault="00C71032" w:rsidP="00C71032">
            <w:r w:rsidRPr="00E555CD">
              <w:t>H2RA</w:t>
            </w:r>
          </w:p>
        </w:tc>
        <w:tc>
          <w:tcPr>
            <w:tcW w:w="6911" w:type="dxa"/>
          </w:tcPr>
          <w:p w:rsidR="00C71032" w:rsidRPr="00E555CD" w:rsidRDefault="00C71032" w:rsidP="00C71032">
            <w:r w:rsidRPr="00E555CD">
              <w:t>H2-receptor antagonist</w:t>
            </w:r>
          </w:p>
        </w:tc>
      </w:tr>
      <w:tr w:rsidR="00C71032" w:rsidRPr="00FD119B" w:rsidTr="00FD119B">
        <w:tc>
          <w:tcPr>
            <w:tcW w:w="1809" w:type="dxa"/>
          </w:tcPr>
          <w:p w:rsidR="00C71032" w:rsidRPr="00E555CD" w:rsidRDefault="00C71032" w:rsidP="00C71032">
            <w:proofErr w:type="spellStart"/>
            <w:r w:rsidRPr="00E555CD">
              <w:t>HBsAg</w:t>
            </w:r>
            <w:proofErr w:type="spellEnd"/>
          </w:p>
        </w:tc>
        <w:tc>
          <w:tcPr>
            <w:tcW w:w="6911" w:type="dxa"/>
          </w:tcPr>
          <w:p w:rsidR="00C71032" w:rsidRPr="00E555CD" w:rsidRDefault="00C71032" w:rsidP="00C71032">
            <w:r w:rsidRPr="00E555CD">
              <w:t>hepatitis B surface antigen</w:t>
            </w:r>
          </w:p>
        </w:tc>
      </w:tr>
      <w:tr w:rsidR="00C71032" w:rsidRPr="00FD119B" w:rsidTr="00FD119B">
        <w:tc>
          <w:tcPr>
            <w:tcW w:w="1809" w:type="dxa"/>
          </w:tcPr>
          <w:p w:rsidR="00C71032" w:rsidRPr="00E555CD" w:rsidRDefault="00C71032" w:rsidP="00C71032">
            <w:r w:rsidRPr="00E555CD">
              <w:t>HBV</w:t>
            </w:r>
          </w:p>
        </w:tc>
        <w:tc>
          <w:tcPr>
            <w:tcW w:w="6911" w:type="dxa"/>
          </w:tcPr>
          <w:p w:rsidR="00C71032" w:rsidRPr="00E555CD" w:rsidRDefault="00C71032" w:rsidP="00C71032">
            <w:r w:rsidRPr="00E555CD">
              <w:t>hepatitis B virus</w:t>
            </w:r>
          </w:p>
        </w:tc>
      </w:tr>
      <w:tr w:rsidR="00C71032" w:rsidRPr="00FD119B" w:rsidTr="00FD119B">
        <w:tc>
          <w:tcPr>
            <w:tcW w:w="1809" w:type="dxa"/>
          </w:tcPr>
          <w:p w:rsidR="00C71032" w:rsidRPr="00E555CD" w:rsidRDefault="00C71032" w:rsidP="00C71032">
            <w:r w:rsidRPr="00E555CD">
              <w:t>HCC</w:t>
            </w:r>
          </w:p>
        </w:tc>
        <w:tc>
          <w:tcPr>
            <w:tcW w:w="6911" w:type="dxa"/>
          </w:tcPr>
          <w:p w:rsidR="00C71032" w:rsidRPr="00E555CD" w:rsidRDefault="00C71032" w:rsidP="00C71032">
            <w:r w:rsidRPr="00E555CD">
              <w:t>hepatocellular carcinoma</w:t>
            </w:r>
          </w:p>
        </w:tc>
      </w:tr>
      <w:tr w:rsidR="00C71032" w:rsidRPr="00FD119B" w:rsidTr="00FD119B">
        <w:tc>
          <w:tcPr>
            <w:tcW w:w="1809" w:type="dxa"/>
          </w:tcPr>
          <w:p w:rsidR="00C71032" w:rsidRPr="00E555CD" w:rsidRDefault="00C71032" w:rsidP="00C71032">
            <w:r>
              <w:t>HCV</w:t>
            </w:r>
          </w:p>
        </w:tc>
        <w:tc>
          <w:tcPr>
            <w:tcW w:w="6911" w:type="dxa"/>
          </w:tcPr>
          <w:p w:rsidR="00C71032" w:rsidRPr="00E555CD" w:rsidRDefault="00C71032" w:rsidP="00C71032">
            <w:r w:rsidRPr="00E555CD">
              <w:t>hepatitis C virus</w:t>
            </w:r>
          </w:p>
        </w:tc>
      </w:tr>
      <w:tr w:rsidR="00B3721D" w:rsidRPr="00FD119B" w:rsidTr="00FD119B">
        <w:tc>
          <w:tcPr>
            <w:tcW w:w="1809" w:type="dxa"/>
          </w:tcPr>
          <w:p w:rsidR="00B3721D" w:rsidRDefault="00B3721D" w:rsidP="00C71032">
            <w:proofErr w:type="spellStart"/>
            <w:r w:rsidRPr="00B3721D">
              <w:t>hERG</w:t>
            </w:r>
            <w:proofErr w:type="spellEnd"/>
          </w:p>
        </w:tc>
        <w:tc>
          <w:tcPr>
            <w:tcW w:w="6911" w:type="dxa"/>
          </w:tcPr>
          <w:p w:rsidR="00B3721D" w:rsidRPr="00B3721D" w:rsidRDefault="00B3721D" w:rsidP="00B3721D">
            <w:r w:rsidRPr="00B3721D">
              <w:t>Hu</w:t>
            </w:r>
            <w:r>
              <w:t>man ether-a-go-go-related gene</w:t>
            </w:r>
          </w:p>
        </w:tc>
      </w:tr>
      <w:tr w:rsidR="00C71032" w:rsidRPr="00FD119B" w:rsidTr="00FD119B">
        <w:tc>
          <w:tcPr>
            <w:tcW w:w="1809" w:type="dxa"/>
          </w:tcPr>
          <w:p w:rsidR="00C71032" w:rsidRPr="00E555CD" w:rsidRDefault="00C71032" w:rsidP="00C71032">
            <w:r w:rsidRPr="00E555CD">
              <w:t>HIV</w:t>
            </w:r>
          </w:p>
        </w:tc>
        <w:tc>
          <w:tcPr>
            <w:tcW w:w="6911" w:type="dxa"/>
          </w:tcPr>
          <w:p w:rsidR="00C71032" w:rsidRPr="00E555CD" w:rsidRDefault="00C71032" w:rsidP="00C71032">
            <w:r w:rsidRPr="00E555CD">
              <w:t>human immunodeficiency virus</w:t>
            </w:r>
          </w:p>
        </w:tc>
      </w:tr>
      <w:tr w:rsidR="00B3721D" w:rsidRPr="00FD119B" w:rsidTr="00FD119B">
        <w:tc>
          <w:tcPr>
            <w:tcW w:w="1809" w:type="dxa"/>
          </w:tcPr>
          <w:p w:rsidR="00B3721D" w:rsidRPr="00B3721D" w:rsidRDefault="000F1723" w:rsidP="00C71032">
            <w:r w:rsidRPr="00B3721D">
              <w:t>IC</w:t>
            </w:r>
            <w:r w:rsidRPr="00B3721D">
              <w:rPr>
                <w:vertAlign w:val="subscript"/>
              </w:rPr>
              <w:t>50</w:t>
            </w:r>
          </w:p>
        </w:tc>
        <w:tc>
          <w:tcPr>
            <w:tcW w:w="6911" w:type="dxa"/>
          </w:tcPr>
          <w:p w:rsidR="00B3721D" w:rsidRPr="00B3721D" w:rsidRDefault="00B3721D" w:rsidP="00C71032">
            <w:r>
              <w:t>Half maximal inhibitory concentration</w:t>
            </w:r>
          </w:p>
        </w:tc>
      </w:tr>
      <w:tr w:rsidR="00C71032" w:rsidRPr="00FD119B" w:rsidTr="00FD119B">
        <w:tc>
          <w:tcPr>
            <w:tcW w:w="1809" w:type="dxa"/>
          </w:tcPr>
          <w:p w:rsidR="00C71032" w:rsidRPr="00E555CD" w:rsidRDefault="00C71032" w:rsidP="00C71032">
            <w:r w:rsidRPr="00E555CD">
              <w:t>ICH</w:t>
            </w:r>
          </w:p>
        </w:tc>
        <w:tc>
          <w:tcPr>
            <w:tcW w:w="6911" w:type="dxa"/>
          </w:tcPr>
          <w:p w:rsidR="00C71032" w:rsidRPr="00E555CD" w:rsidRDefault="00C71032" w:rsidP="00C71032">
            <w:r w:rsidRPr="00E555CD">
              <w:t>International Conference on Harmonisation</w:t>
            </w:r>
          </w:p>
        </w:tc>
      </w:tr>
      <w:tr w:rsidR="00B3721D" w:rsidRPr="00FD119B" w:rsidTr="00FD119B">
        <w:tc>
          <w:tcPr>
            <w:tcW w:w="1809" w:type="dxa"/>
          </w:tcPr>
          <w:p w:rsidR="00B3721D" w:rsidRPr="00E555CD" w:rsidRDefault="00B3721D" w:rsidP="00C71032">
            <w:r w:rsidRPr="00B3721D">
              <w:t>IFNα</w:t>
            </w:r>
          </w:p>
        </w:tc>
        <w:tc>
          <w:tcPr>
            <w:tcW w:w="6911" w:type="dxa"/>
          </w:tcPr>
          <w:p w:rsidR="00B3721D" w:rsidRPr="00E555CD" w:rsidRDefault="00B3721D" w:rsidP="00B3721D">
            <w:r>
              <w:t>Interferon alpha</w:t>
            </w:r>
          </w:p>
        </w:tc>
      </w:tr>
      <w:tr w:rsidR="00C71032" w:rsidRPr="00FD119B" w:rsidTr="00FD119B">
        <w:tc>
          <w:tcPr>
            <w:tcW w:w="1809" w:type="dxa"/>
          </w:tcPr>
          <w:p w:rsidR="00C71032" w:rsidRPr="00E555CD" w:rsidRDefault="00C71032" w:rsidP="00C71032">
            <w:r w:rsidRPr="00E555CD">
              <w:t>IL28B</w:t>
            </w:r>
          </w:p>
        </w:tc>
        <w:tc>
          <w:tcPr>
            <w:tcW w:w="6911" w:type="dxa"/>
          </w:tcPr>
          <w:p w:rsidR="00C71032" w:rsidRPr="00E555CD" w:rsidRDefault="00C71032" w:rsidP="00C71032">
            <w:r w:rsidRPr="00E555CD">
              <w:t>interleukin 28B</w:t>
            </w:r>
          </w:p>
        </w:tc>
      </w:tr>
      <w:tr w:rsidR="00C71032" w:rsidRPr="00FD119B" w:rsidTr="00FD119B">
        <w:tc>
          <w:tcPr>
            <w:tcW w:w="1809" w:type="dxa"/>
          </w:tcPr>
          <w:p w:rsidR="00C71032" w:rsidRPr="00E555CD" w:rsidRDefault="00C71032" w:rsidP="00C71032">
            <w:r w:rsidRPr="00E555CD">
              <w:t>IU</w:t>
            </w:r>
          </w:p>
        </w:tc>
        <w:tc>
          <w:tcPr>
            <w:tcW w:w="6911" w:type="dxa"/>
          </w:tcPr>
          <w:p w:rsidR="00C71032" w:rsidRPr="00E555CD" w:rsidRDefault="00C71032" w:rsidP="00C71032">
            <w:r w:rsidRPr="00E555CD">
              <w:t>international units</w:t>
            </w:r>
          </w:p>
        </w:tc>
      </w:tr>
      <w:tr w:rsidR="00C71032" w:rsidRPr="00FD119B" w:rsidTr="00FD119B">
        <w:tc>
          <w:tcPr>
            <w:tcW w:w="1809" w:type="dxa"/>
          </w:tcPr>
          <w:p w:rsidR="00C71032" w:rsidRPr="00E555CD" w:rsidRDefault="00C71032" w:rsidP="00C71032">
            <w:proofErr w:type="spellStart"/>
            <w:r w:rsidRPr="00E555CD">
              <w:t>K</w:t>
            </w:r>
            <w:r w:rsidRPr="00E555CD">
              <w:rPr>
                <w:vertAlign w:val="subscript"/>
              </w:rPr>
              <w:t>a</w:t>
            </w:r>
            <w:proofErr w:type="spellEnd"/>
          </w:p>
        </w:tc>
        <w:tc>
          <w:tcPr>
            <w:tcW w:w="6911" w:type="dxa"/>
          </w:tcPr>
          <w:p w:rsidR="00C71032" w:rsidRPr="00E555CD" w:rsidRDefault="00C71032" w:rsidP="00C71032">
            <w:r w:rsidRPr="00E555CD">
              <w:t>absorption rate constant</w:t>
            </w:r>
          </w:p>
        </w:tc>
      </w:tr>
      <w:tr w:rsidR="00C71032" w:rsidRPr="00FD119B" w:rsidTr="00FD119B">
        <w:tc>
          <w:tcPr>
            <w:tcW w:w="1809" w:type="dxa"/>
          </w:tcPr>
          <w:p w:rsidR="00C71032" w:rsidRPr="00E555CD" w:rsidRDefault="00C71032" w:rsidP="00C71032">
            <w:r w:rsidRPr="00E555CD">
              <w:t>LDV</w:t>
            </w:r>
          </w:p>
        </w:tc>
        <w:tc>
          <w:tcPr>
            <w:tcW w:w="6911" w:type="dxa"/>
          </w:tcPr>
          <w:p w:rsidR="00C71032" w:rsidRPr="00E555CD" w:rsidRDefault="00C71032" w:rsidP="00C71032">
            <w:proofErr w:type="spellStart"/>
            <w:r w:rsidRPr="00E555CD">
              <w:rPr>
                <w:rFonts w:cstheme="minorHAnsi"/>
              </w:rPr>
              <w:t>ledipasvir</w:t>
            </w:r>
            <w:proofErr w:type="spellEnd"/>
          </w:p>
        </w:tc>
      </w:tr>
      <w:tr w:rsidR="00C71032" w:rsidRPr="00FD119B" w:rsidTr="00FD119B">
        <w:tc>
          <w:tcPr>
            <w:tcW w:w="1809" w:type="dxa"/>
          </w:tcPr>
          <w:p w:rsidR="00C71032" w:rsidRPr="00E555CD" w:rsidRDefault="00C71032" w:rsidP="00C71032">
            <w:r w:rsidRPr="00E555CD">
              <w:t>LLOQ</w:t>
            </w:r>
          </w:p>
        </w:tc>
        <w:tc>
          <w:tcPr>
            <w:tcW w:w="6911" w:type="dxa"/>
          </w:tcPr>
          <w:p w:rsidR="00C71032" w:rsidRPr="00E555CD" w:rsidRDefault="00C71032" w:rsidP="00C71032">
            <w:r w:rsidRPr="00E555CD">
              <w:t>lower limit of quantitation</w:t>
            </w:r>
          </w:p>
        </w:tc>
      </w:tr>
      <w:tr w:rsidR="00C71032" w:rsidRPr="00FD119B" w:rsidTr="00FD119B">
        <w:tc>
          <w:tcPr>
            <w:tcW w:w="1809" w:type="dxa"/>
          </w:tcPr>
          <w:p w:rsidR="00C71032" w:rsidRPr="00E555CD" w:rsidRDefault="00C71032" w:rsidP="00C71032">
            <w:r w:rsidRPr="00E555CD">
              <w:t>LOQ</w:t>
            </w:r>
          </w:p>
        </w:tc>
        <w:tc>
          <w:tcPr>
            <w:tcW w:w="6911" w:type="dxa"/>
          </w:tcPr>
          <w:p w:rsidR="00C71032" w:rsidRPr="00E555CD" w:rsidRDefault="00C71032" w:rsidP="00C71032">
            <w:r w:rsidRPr="00E555CD">
              <w:t>limit of quantification</w:t>
            </w:r>
          </w:p>
        </w:tc>
      </w:tr>
      <w:tr w:rsidR="00C71032" w:rsidRPr="00FD119B" w:rsidTr="00FD119B">
        <w:tc>
          <w:tcPr>
            <w:tcW w:w="1809" w:type="dxa"/>
          </w:tcPr>
          <w:p w:rsidR="00C71032" w:rsidRPr="00E555CD" w:rsidRDefault="00C71032" w:rsidP="00C71032">
            <w:r w:rsidRPr="00E555CD">
              <w:t>LPV</w:t>
            </w:r>
          </w:p>
        </w:tc>
        <w:tc>
          <w:tcPr>
            <w:tcW w:w="6911" w:type="dxa"/>
          </w:tcPr>
          <w:p w:rsidR="00C71032" w:rsidRPr="00E555CD" w:rsidRDefault="00C71032" w:rsidP="00C71032">
            <w:proofErr w:type="spellStart"/>
            <w:r w:rsidRPr="00E555CD">
              <w:t>lopinavir</w:t>
            </w:r>
            <w:proofErr w:type="spellEnd"/>
          </w:p>
        </w:tc>
      </w:tr>
      <w:tr w:rsidR="00C71032" w:rsidRPr="00FD119B" w:rsidTr="00FD119B">
        <w:tc>
          <w:tcPr>
            <w:tcW w:w="1809" w:type="dxa"/>
          </w:tcPr>
          <w:p w:rsidR="00C71032" w:rsidRPr="00E555CD" w:rsidRDefault="00C71032" w:rsidP="00C71032">
            <w:r w:rsidRPr="00E555CD">
              <w:t>LS</w:t>
            </w:r>
          </w:p>
        </w:tc>
        <w:tc>
          <w:tcPr>
            <w:tcW w:w="6911" w:type="dxa"/>
          </w:tcPr>
          <w:p w:rsidR="00C71032" w:rsidRPr="00E555CD" w:rsidRDefault="00C71032" w:rsidP="00C71032">
            <w:r w:rsidRPr="00E555CD">
              <w:t>least squares</w:t>
            </w:r>
          </w:p>
        </w:tc>
      </w:tr>
      <w:tr w:rsidR="007278A7" w:rsidRPr="00FD119B" w:rsidTr="00FD119B">
        <w:tc>
          <w:tcPr>
            <w:tcW w:w="1809" w:type="dxa"/>
          </w:tcPr>
          <w:p w:rsidR="007278A7" w:rsidRPr="00E555CD" w:rsidRDefault="007278A7" w:rsidP="00C71032">
            <w:r w:rsidRPr="007278A7">
              <w:t>MATE1</w:t>
            </w:r>
          </w:p>
        </w:tc>
        <w:tc>
          <w:tcPr>
            <w:tcW w:w="6911" w:type="dxa"/>
          </w:tcPr>
          <w:p w:rsidR="007278A7" w:rsidRPr="007278A7" w:rsidRDefault="007278A7" w:rsidP="007278A7">
            <w:r w:rsidRPr="007278A7">
              <w:t>Multidrug and toxin extrusion protein 1</w:t>
            </w:r>
          </w:p>
        </w:tc>
      </w:tr>
      <w:tr w:rsidR="00C71032" w:rsidRPr="00FD119B" w:rsidTr="00FD119B">
        <w:tc>
          <w:tcPr>
            <w:tcW w:w="1809" w:type="dxa"/>
          </w:tcPr>
          <w:p w:rsidR="00C71032" w:rsidRPr="00E555CD" w:rsidRDefault="00C71032" w:rsidP="00C71032">
            <w:proofErr w:type="spellStart"/>
            <w:r w:rsidRPr="00E555CD">
              <w:t>MedDRA</w:t>
            </w:r>
            <w:proofErr w:type="spellEnd"/>
          </w:p>
        </w:tc>
        <w:tc>
          <w:tcPr>
            <w:tcW w:w="6911" w:type="dxa"/>
          </w:tcPr>
          <w:p w:rsidR="00C71032" w:rsidRPr="00E555CD" w:rsidRDefault="00C71032" w:rsidP="00C71032">
            <w:r w:rsidRPr="00E555CD">
              <w:t>Medical Dictionary for Regulatory Activities</w:t>
            </w:r>
          </w:p>
        </w:tc>
      </w:tr>
      <w:tr w:rsidR="00C71032" w:rsidRPr="00FD119B" w:rsidTr="00FD119B">
        <w:tc>
          <w:tcPr>
            <w:tcW w:w="1809" w:type="dxa"/>
          </w:tcPr>
          <w:p w:rsidR="00C71032" w:rsidRPr="00E555CD" w:rsidRDefault="00C71032" w:rsidP="00C71032">
            <w:r w:rsidRPr="00E555CD">
              <w:t>MELD</w:t>
            </w:r>
          </w:p>
        </w:tc>
        <w:tc>
          <w:tcPr>
            <w:tcW w:w="6911" w:type="dxa"/>
          </w:tcPr>
          <w:p w:rsidR="00C71032" w:rsidRPr="00E555CD" w:rsidRDefault="00C71032" w:rsidP="00C71032">
            <w:r w:rsidRPr="00E555CD">
              <w:t>Mo</w:t>
            </w:r>
            <w:r w:rsidR="00721A33">
              <w:t>del for End-stage Liver Disease</w:t>
            </w:r>
          </w:p>
        </w:tc>
      </w:tr>
      <w:tr w:rsidR="00C71032" w:rsidRPr="00FD119B" w:rsidTr="00FD119B">
        <w:tc>
          <w:tcPr>
            <w:tcW w:w="1809" w:type="dxa"/>
          </w:tcPr>
          <w:p w:rsidR="00C71032" w:rsidRPr="00E555CD" w:rsidRDefault="00C71032" w:rsidP="00C71032">
            <w:r w:rsidRPr="00E555CD">
              <w:t>mL</w:t>
            </w:r>
          </w:p>
        </w:tc>
        <w:tc>
          <w:tcPr>
            <w:tcW w:w="6911" w:type="dxa"/>
          </w:tcPr>
          <w:p w:rsidR="00C71032" w:rsidRPr="00E555CD" w:rsidRDefault="00C71032" w:rsidP="00C71032">
            <w:r w:rsidRPr="00E555CD">
              <w:t>millilitre</w:t>
            </w:r>
          </w:p>
        </w:tc>
      </w:tr>
      <w:tr w:rsidR="00C71032" w:rsidRPr="00FD119B" w:rsidTr="00FD119B">
        <w:tc>
          <w:tcPr>
            <w:tcW w:w="1809" w:type="dxa"/>
          </w:tcPr>
          <w:p w:rsidR="00C71032" w:rsidRPr="00E555CD" w:rsidRDefault="00C71032" w:rsidP="00C71032">
            <w:r w:rsidRPr="00E555CD">
              <w:t>mRNA</w:t>
            </w:r>
          </w:p>
        </w:tc>
        <w:tc>
          <w:tcPr>
            <w:tcW w:w="6911" w:type="dxa"/>
          </w:tcPr>
          <w:p w:rsidR="00C71032" w:rsidRPr="00E555CD" w:rsidRDefault="00C71032" w:rsidP="00C71032">
            <w:r w:rsidRPr="00E555CD">
              <w:t>messenger RNA</w:t>
            </w:r>
          </w:p>
        </w:tc>
      </w:tr>
      <w:tr w:rsidR="00C71032" w:rsidRPr="00FD119B" w:rsidTr="00FD119B">
        <w:tc>
          <w:tcPr>
            <w:tcW w:w="1809" w:type="dxa"/>
          </w:tcPr>
          <w:p w:rsidR="00C71032" w:rsidRPr="00E555CD" w:rsidRDefault="00C71032" w:rsidP="00C71032">
            <w:r w:rsidRPr="00E555CD">
              <w:lastRenderedPageBreak/>
              <w:t>MRP2</w:t>
            </w:r>
          </w:p>
        </w:tc>
        <w:tc>
          <w:tcPr>
            <w:tcW w:w="6911" w:type="dxa"/>
          </w:tcPr>
          <w:p w:rsidR="00C71032" w:rsidRPr="00E555CD" w:rsidRDefault="00C71032" w:rsidP="00C71032">
            <w:r w:rsidRPr="00E555CD">
              <w:t>multidrug resistance protein 2</w:t>
            </w:r>
          </w:p>
        </w:tc>
      </w:tr>
      <w:tr w:rsidR="00C71032" w:rsidRPr="00FD119B" w:rsidTr="00FD119B">
        <w:tc>
          <w:tcPr>
            <w:tcW w:w="1809" w:type="dxa"/>
          </w:tcPr>
          <w:p w:rsidR="00C71032" w:rsidRPr="00E555CD" w:rsidRDefault="00C71032" w:rsidP="00C71032">
            <w:proofErr w:type="spellStart"/>
            <w:r w:rsidRPr="00E555CD">
              <w:t>ms</w:t>
            </w:r>
            <w:proofErr w:type="spellEnd"/>
          </w:p>
        </w:tc>
        <w:tc>
          <w:tcPr>
            <w:tcW w:w="6911" w:type="dxa"/>
          </w:tcPr>
          <w:p w:rsidR="00C71032" w:rsidRPr="00E555CD" w:rsidRDefault="00C71032" w:rsidP="00C71032">
            <w:r w:rsidRPr="00E555CD">
              <w:t>milliseconds</w:t>
            </w:r>
          </w:p>
        </w:tc>
      </w:tr>
      <w:tr w:rsidR="00C71032" w:rsidRPr="00FD119B" w:rsidTr="00FD119B">
        <w:tc>
          <w:tcPr>
            <w:tcW w:w="1809" w:type="dxa"/>
          </w:tcPr>
          <w:p w:rsidR="00C71032" w:rsidRPr="00E555CD" w:rsidRDefault="00C71032" w:rsidP="00C71032">
            <w:r w:rsidRPr="00E555CD">
              <w:t>N</w:t>
            </w:r>
          </w:p>
        </w:tc>
        <w:tc>
          <w:tcPr>
            <w:tcW w:w="6911" w:type="dxa"/>
          </w:tcPr>
          <w:p w:rsidR="00C71032" w:rsidRPr="00E555CD" w:rsidRDefault="00C71032" w:rsidP="00C71032">
            <w:r w:rsidRPr="00E555CD">
              <w:t>number</w:t>
            </w:r>
          </w:p>
        </w:tc>
      </w:tr>
      <w:tr w:rsidR="00C71032" w:rsidRPr="00FD119B" w:rsidTr="00FD119B">
        <w:tc>
          <w:tcPr>
            <w:tcW w:w="1809" w:type="dxa"/>
          </w:tcPr>
          <w:p w:rsidR="00C71032" w:rsidRPr="00E555CD" w:rsidRDefault="00C71032" w:rsidP="00C71032">
            <w:r w:rsidRPr="00E555CD">
              <w:t>NS3</w:t>
            </w:r>
          </w:p>
        </w:tc>
        <w:tc>
          <w:tcPr>
            <w:tcW w:w="6911" w:type="dxa"/>
          </w:tcPr>
          <w:p w:rsidR="00C71032" w:rsidRPr="00E555CD" w:rsidRDefault="00C71032" w:rsidP="00C71032">
            <w:r w:rsidRPr="00E555CD">
              <w:t>non-structural protein 3</w:t>
            </w:r>
          </w:p>
        </w:tc>
      </w:tr>
      <w:tr w:rsidR="00630FB6" w:rsidRPr="00FD119B" w:rsidTr="00FD119B">
        <w:tc>
          <w:tcPr>
            <w:tcW w:w="1809" w:type="dxa"/>
          </w:tcPr>
          <w:p w:rsidR="00630FB6" w:rsidRPr="00E555CD" w:rsidRDefault="00630FB6" w:rsidP="00C71032">
            <w:r>
              <w:t>NS4A</w:t>
            </w:r>
          </w:p>
        </w:tc>
        <w:tc>
          <w:tcPr>
            <w:tcW w:w="6911" w:type="dxa"/>
          </w:tcPr>
          <w:p w:rsidR="00630FB6" w:rsidRPr="00E555CD" w:rsidRDefault="00630FB6" w:rsidP="00C71032">
            <w:r>
              <w:t>non-structural protein 4A</w:t>
            </w:r>
          </w:p>
        </w:tc>
      </w:tr>
      <w:tr w:rsidR="00C71032" w:rsidRPr="00FD119B" w:rsidTr="00FD119B">
        <w:tc>
          <w:tcPr>
            <w:tcW w:w="1809" w:type="dxa"/>
          </w:tcPr>
          <w:p w:rsidR="00C71032" w:rsidRPr="00E555CD" w:rsidRDefault="00C71032" w:rsidP="00C71032">
            <w:r w:rsidRPr="00E555CD">
              <w:t>NS5A</w:t>
            </w:r>
          </w:p>
        </w:tc>
        <w:tc>
          <w:tcPr>
            <w:tcW w:w="6911" w:type="dxa"/>
          </w:tcPr>
          <w:p w:rsidR="00C71032" w:rsidRPr="00E555CD" w:rsidRDefault="00C71032" w:rsidP="00C71032">
            <w:r w:rsidRPr="00E555CD">
              <w:t>non-structural protein 5A</w:t>
            </w:r>
          </w:p>
        </w:tc>
      </w:tr>
      <w:tr w:rsidR="00C71032" w:rsidRPr="00FD119B" w:rsidTr="00FD119B">
        <w:tc>
          <w:tcPr>
            <w:tcW w:w="1809" w:type="dxa"/>
          </w:tcPr>
          <w:p w:rsidR="00C71032" w:rsidRPr="00E555CD" w:rsidRDefault="00C71032" w:rsidP="00C71032">
            <w:r w:rsidRPr="00E555CD">
              <w:t>NS5B</w:t>
            </w:r>
          </w:p>
        </w:tc>
        <w:tc>
          <w:tcPr>
            <w:tcW w:w="6911" w:type="dxa"/>
          </w:tcPr>
          <w:p w:rsidR="00C71032" w:rsidRPr="00E555CD" w:rsidRDefault="00C71032" w:rsidP="00C71032">
            <w:r w:rsidRPr="00E555CD">
              <w:t>non-structural protein 5B</w:t>
            </w:r>
          </w:p>
        </w:tc>
      </w:tr>
      <w:tr w:rsidR="007278A7" w:rsidRPr="00FD119B" w:rsidTr="00FD119B">
        <w:tc>
          <w:tcPr>
            <w:tcW w:w="1809" w:type="dxa"/>
          </w:tcPr>
          <w:p w:rsidR="007278A7" w:rsidRPr="00E555CD" w:rsidRDefault="007278A7" w:rsidP="00C71032">
            <w:r w:rsidRPr="007278A7">
              <w:t>NTCP</w:t>
            </w:r>
          </w:p>
        </w:tc>
        <w:tc>
          <w:tcPr>
            <w:tcW w:w="6911" w:type="dxa"/>
          </w:tcPr>
          <w:p w:rsidR="007278A7" w:rsidRPr="007278A7" w:rsidRDefault="007278A7" w:rsidP="007278A7">
            <w:r w:rsidRPr="007278A7">
              <w:t>sodium taurocholate co</w:t>
            </w:r>
            <w:r>
              <w:t>-</w:t>
            </w:r>
            <w:r w:rsidRPr="007278A7">
              <w:t>transporting polypeptide</w:t>
            </w:r>
          </w:p>
        </w:tc>
      </w:tr>
      <w:tr w:rsidR="00C71032" w:rsidRPr="00FD119B" w:rsidTr="00FD119B">
        <w:tc>
          <w:tcPr>
            <w:tcW w:w="1809" w:type="dxa"/>
          </w:tcPr>
          <w:p w:rsidR="00C71032" w:rsidRPr="00E555CD" w:rsidRDefault="00C71032" w:rsidP="00C71032">
            <w:r w:rsidRPr="00E555CD">
              <w:t>OATP</w:t>
            </w:r>
          </w:p>
        </w:tc>
        <w:tc>
          <w:tcPr>
            <w:tcW w:w="6911" w:type="dxa"/>
          </w:tcPr>
          <w:p w:rsidR="00C71032" w:rsidRPr="00E555CD" w:rsidRDefault="00C71032" w:rsidP="00C71032">
            <w:r w:rsidRPr="00E555CD">
              <w:t>organic anion transporting polypeptide</w:t>
            </w:r>
          </w:p>
        </w:tc>
      </w:tr>
      <w:tr w:rsidR="000F1723" w:rsidRPr="00FD119B" w:rsidTr="00FD119B">
        <w:tc>
          <w:tcPr>
            <w:tcW w:w="1809" w:type="dxa"/>
          </w:tcPr>
          <w:p w:rsidR="000F1723" w:rsidRPr="00E555CD" w:rsidRDefault="000F1723" w:rsidP="00C71032">
            <w:r w:rsidRPr="000F1723">
              <w:t>OCT</w:t>
            </w:r>
          </w:p>
        </w:tc>
        <w:tc>
          <w:tcPr>
            <w:tcW w:w="6911" w:type="dxa"/>
          </w:tcPr>
          <w:p w:rsidR="000F1723" w:rsidRPr="00E555CD" w:rsidRDefault="000F1723" w:rsidP="000F1723">
            <w:r>
              <w:t>organic cation transporter</w:t>
            </w:r>
          </w:p>
        </w:tc>
      </w:tr>
      <w:tr w:rsidR="00C71032" w:rsidRPr="00FD119B" w:rsidTr="00FD119B">
        <w:tc>
          <w:tcPr>
            <w:tcW w:w="1809" w:type="dxa"/>
          </w:tcPr>
          <w:p w:rsidR="00C71032" w:rsidRPr="00E555CD" w:rsidRDefault="00C71032" w:rsidP="00C71032">
            <w:r w:rsidRPr="00E555CD">
              <w:t>PD</w:t>
            </w:r>
          </w:p>
        </w:tc>
        <w:tc>
          <w:tcPr>
            <w:tcW w:w="6911" w:type="dxa"/>
          </w:tcPr>
          <w:p w:rsidR="00C71032" w:rsidRPr="00E555CD" w:rsidRDefault="00C71032" w:rsidP="00C71032">
            <w:r w:rsidRPr="00E555CD">
              <w:t>pharmacodynamics</w:t>
            </w:r>
          </w:p>
        </w:tc>
      </w:tr>
      <w:tr w:rsidR="00C71032" w:rsidRPr="00FD119B" w:rsidTr="00FD119B">
        <w:tc>
          <w:tcPr>
            <w:tcW w:w="1809" w:type="dxa"/>
          </w:tcPr>
          <w:p w:rsidR="00C71032" w:rsidRPr="00E555CD" w:rsidRDefault="00C71032" w:rsidP="00C71032">
            <w:r w:rsidRPr="00E555CD">
              <w:t>Peg-IFN</w:t>
            </w:r>
          </w:p>
        </w:tc>
        <w:tc>
          <w:tcPr>
            <w:tcW w:w="6911" w:type="dxa"/>
          </w:tcPr>
          <w:p w:rsidR="00C71032" w:rsidRPr="00E555CD" w:rsidRDefault="00C71032" w:rsidP="00C71032">
            <w:proofErr w:type="spellStart"/>
            <w:r w:rsidRPr="00E555CD">
              <w:rPr>
                <w:rFonts w:cstheme="minorHAnsi"/>
              </w:rPr>
              <w:t>pegylated</w:t>
            </w:r>
            <w:proofErr w:type="spellEnd"/>
            <w:r w:rsidRPr="00E555CD">
              <w:rPr>
                <w:rFonts w:cstheme="minorHAnsi"/>
              </w:rPr>
              <w:t xml:space="preserve"> interferon</w:t>
            </w:r>
          </w:p>
        </w:tc>
      </w:tr>
      <w:tr w:rsidR="00C71032" w:rsidRPr="00FD119B" w:rsidTr="00FD119B">
        <w:tc>
          <w:tcPr>
            <w:tcW w:w="1809" w:type="dxa"/>
          </w:tcPr>
          <w:p w:rsidR="00C71032" w:rsidRPr="00E555CD" w:rsidRDefault="00C71032" w:rsidP="00C71032">
            <w:r>
              <w:t>P-</w:t>
            </w:r>
            <w:proofErr w:type="spellStart"/>
            <w:r>
              <w:t>gp</w:t>
            </w:r>
            <w:proofErr w:type="spellEnd"/>
          </w:p>
        </w:tc>
        <w:tc>
          <w:tcPr>
            <w:tcW w:w="6911" w:type="dxa"/>
          </w:tcPr>
          <w:p w:rsidR="00C71032" w:rsidRPr="00E555CD" w:rsidRDefault="00C71032" w:rsidP="00C71032">
            <w:r w:rsidRPr="00E555CD">
              <w:t>p-glycoprotein</w:t>
            </w:r>
          </w:p>
        </w:tc>
      </w:tr>
      <w:tr w:rsidR="00C71032" w:rsidRPr="00FD119B" w:rsidTr="00FD119B">
        <w:tc>
          <w:tcPr>
            <w:tcW w:w="1809" w:type="dxa"/>
          </w:tcPr>
          <w:p w:rsidR="00C71032" w:rsidRPr="00E555CD" w:rsidRDefault="00C71032" w:rsidP="00C71032">
            <w:r w:rsidRPr="00E555CD">
              <w:t>PK</w:t>
            </w:r>
          </w:p>
        </w:tc>
        <w:tc>
          <w:tcPr>
            <w:tcW w:w="6911" w:type="dxa"/>
          </w:tcPr>
          <w:p w:rsidR="00C71032" w:rsidRPr="00E555CD" w:rsidRDefault="00C71032" w:rsidP="00C71032">
            <w:r w:rsidRPr="00E555CD">
              <w:t>pharmacokinetics</w:t>
            </w:r>
          </w:p>
        </w:tc>
      </w:tr>
      <w:tr w:rsidR="00C71032" w:rsidRPr="00FD119B" w:rsidTr="00FD119B">
        <w:tc>
          <w:tcPr>
            <w:tcW w:w="1809" w:type="dxa"/>
          </w:tcPr>
          <w:p w:rsidR="00C71032" w:rsidRPr="00E555CD" w:rsidRDefault="00C71032" w:rsidP="00C71032">
            <w:proofErr w:type="spellStart"/>
            <w:r w:rsidRPr="00E555CD">
              <w:t>PopPK</w:t>
            </w:r>
            <w:proofErr w:type="spellEnd"/>
          </w:p>
        </w:tc>
        <w:tc>
          <w:tcPr>
            <w:tcW w:w="6911" w:type="dxa"/>
          </w:tcPr>
          <w:p w:rsidR="00C71032" w:rsidRPr="00E555CD" w:rsidRDefault="00C71032" w:rsidP="00C71032">
            <w:r w:rsidRPr="00E555CD">
              <w:t>population PK</w:t>
            </w:r>
          </w:p>
        </w:tc>
      </w:tr>
      <w:tr w:rsidR="00C71032" w:rsidRPr="00FD119B" w:rsidTr="00FD119B">
        <w:tc>
          <w:tcPr>
            <w:tcW w:w="1809" w:type="dxa"/>
          </w:tcPr>
          <w:p w:rsidR="00C71032" w:rsidRPr="00E555CD" w:rsidRDefault="00C71032" w:rsidP="00C71032">
            <w:r w:rsidRPr="00E555CD">
              <w:t>PPI</w:t>
            </w:r>
          </w:p>
        </w:tc>
        <w:tc>
          <w:tcPr>
            <w:tcW w:w="6911" w:type="dxa"/>
          </w:tcPr>
          <w:p w:rsidR="00C71032" w:rsidRPr="00E555CD" w:rsidRDefault="00C71032" w:rsidP="00C71032">
            <w:r w:rsidRPr="00E555CD">
              <w:t>proton pump inhibitor</w:t>
            </w:r>
          </w:p>
        </w:tc>
      </w:tr>
      <w:tr w:rsidR="00630FB6" w:rsidRPr="00FD119B" w:rsidTr="00FD119B">
        <w:tc>
          <w:tcPr>
            <w:tcW w:w="1809" w:type="dxa"/>
          </w:tcPr>
          <w:p w:rsidR="00630FB6" w:rsidRPr="00E555CD" w:rsidRDefault="00630FB6" w:rsidP="00C71032">
            <w:proofErr w:type="spellStart"/>
            <w:r>
              <w:t>qd</w:t>
            </w:r>
            <w:proofErr w:type="spellEnd"/>
          </w:p>
        </w:tc>
        <w:tc>
          <w:tcPr>
            <w:tcW w:w="6911" w:type="dxa"/>
          </w:tcPr>
          <w:p w:rsidR="00630FB6" w:rsidRPr="00E555CD" w:rsidRDefault="00630FB6" w:rsidP="00C71032">
            <w:r w:rsidRPr="00E555CD">
              <w:t>once daily</w:t>
            </w:r>
          </w:p>
        </w:tc>
      </w:tr>
      <w:tr w:rsidR="00C71032" w:rsidRPr="00FD119B" w:rsidTr="00FD119B">
        <w:tc>
          <w:tcPr>
            <w:tcW w:w="1809" w:type="dxa"/>
          </w:tcPr>
          <w:p w:rsidR="00C71032" w:rsidRPr="00E555CD" w:rsidRDefault="00C71032" w:rsidP="00C71032">
            <w:r>
              <w:t>QRS</w:t>
            </w:r>
          </w:p>
        </w:tc>
        <w:tc>
          <w:tcPr>
            <w:tcW w:w="6911" w:type="dxa"/>
          </w:tcPr>
          <w:p w:rsidR="00C71032" w:rsidRPr="00E555CD" w:rsidRDefault="00C71032" w:rsidP="00C71032">
            <w:r w:rsidRPr="00E555CD">
              <w:t>electrocardiographic deflection between the beginning of the Q wave and termination of the S wave, representing time for ventricular depolarization</w:t>
            </w:r>
          </w:p>
        </w:tc>
      </w:tr>
      <w:tr w:rsidR="00C71032" w:rsidRPr="00FD119B" w:rsidTr="00FD119B">
        <w:tc>
          <w:tcPr>
            <w:tcW w:w="1809" w:type="dxa"/>
          </w:tcPr>
          <w:p w:rsidR="00C71032" w:rsidRPr="00E555CD" w:rsidRDefault="00C71032" w:rsidP="00C71032">
            <w:r w:rsidRPr="00E555CD">
              <w:t>QT</w:t>
            </w:r>
          </w:p>
        </w:tc>
        <w:tc>
          <w:tcPr>
            <w:tcW w:w="6911" w:type="dxa"/>
          </w:tcPr>
          <w:p w:rsidR="00C71032" w:rsidRPr="00E555CD" w:rsidRDefault="00C71032" w:rsidP="00C71032">
            <w:r w:rsidRPr="00E555CD">
              <w:t>electrocardiographic interval between the beginning of the Q wave and termination of the T wave, representing the time for both ventricular depolarization and repolarization to occur</w:t>
            </w:r>
          </w:p>
        </w:tc>
      </w:tr>
      <w:tr w:rsidR="00A82FA1" w:rsidRPr="00FD119B" w:rsidTr="00FD119B">
        <w:tc>
          <w:tcPr>
            <w:tcW w:w="1809" w:type="dxa"/>
          </w:tcPr>
          <w:p w:rsidR="00A82FA1" w:rsidRPr="00E555CD" w:rsidRDefault="00A82FA1" w:rsidP="00A82FA1">
            <w:proofErr w:type="spellStart"/>
            <w:r>
              <w:t>QTcF</w:t>
            </w:r>
            <w:proofErr w:type="spellEnd"/>
          </w:p>
        </w:tc>
        <w:tc>
          <w:tcPr>
            <w:tcW w:w="6911" w:type="dxa"/>
          </w:tcPr>
          <w:p w:rsidR="00A82FA1" w:rsidRPr="00E555CD" w:rsidRDefault="00A82FA1" w:rsidP="00C71032">
            <w:r>
              <w:t xml:space="preserve">QT interval corrected </w:t>
            </w:r>
            <w:proofErr w:type="spellStart"/>
            <w:r>
              <w:t>Friderichia’s</w:t>
            </w:r>
            <w:proofErr w:type="spellEnd"/>
            <w:r>
              <w:t xml:space="preserve"> formula </w:t>
            </w:r>
          </w:p>
        </w:tc>
      </w:tr>
      <w:tr w:rsidR="00A82FA1" w:rsidRPr="00FD119B" w:rsidTr="00FD119B">
        <w:tc>
          <w:tcPr>
            <w:tcW w:w="1809" w:type="dxa"/>
          </w:tcPr>
          <w:p w:rsidR="00A82FA1" w:rsidRPr="00DD7E03" w:rsidRDefault="00A82FA1" w:rsidP="00A82FA1">
            <w:proofErr w:type="spellStart"/>
            <w:r w:rsidRPr="00DD7E03">
              <w:t>QTcN</w:t>
            </w:r>
            <w:proofErr w:type="spellEnd"/>
          </w:p>
        </w:tc>
        <w:tc>
          <w:tcPr>
            <w:tcW w:w="6911" w:type="dxa"/>
          </w:tcPr>
          <w:p w:rsidR="00A82FA1" w:rsidRDefault="00A82FA1" w:rsidP="00C71032">
            <w:r>
              <w:t>QT interval corrected</w:t>
            </w:r>
          </w:p>
        </w:tc>
      </w:tr>
      <w:tr w:rsidR="00C71032" w:rsidRPr="00FD119B" w:rsidTr="00FD119B">
        <w:tc>
          <w:tcPr>
            <w:tcW w:w="1809" w:type="dxa"/>
          </w:tcPr>
          <w:p w:rsidR="00C71032" w:rsidRPr="00E555CD" w:rsidRDefault="00C71032" w:rsidP="00C71032">
            <w:r w:rsidRPr="00E555CD">
              <w:t>r</w:t>
            </w:r>
          </w:p>
        </w:tc>
        <w:tc>
          <w:tcPr>
            <w:tcW w:w="6911" w:type="dxa"/>
          </w:tcPr>
          <w:p w:rsidR="00C71032" w:rsidRPr="00E555CD" w:rsidRDefault="00C71032" w:rsidP="00C71032">
            <w:r w:rsidRPr="00E555CD">
              <w:t>ritonavir</w:t>
            </w:r>
          </w:p>
        </w:tc>
      </w:tr>
      <w:tr w:rsidR="00C71032" w:rsidRPr="00FD119B" w:rsidTr="00FD119B">
        <w:tc>
          <w:tcPr>
            <w:tcW w:w="1809" w:type="dxa"/>
          </w:tcPr>
          <w:p w:rsidR="00C71032" w:rsidRPr="00E555CD" w:rsidRDefault="00C71032" w:rsidP="00C71032">
            <w:r w:rsidRPr="00E555CD">
              <w:t>RAL</w:t>
            </w:r>
          </w:p>
        </w:tc>
        <w:tc>
          <w:tcPr>
            <w:tcW w:w="6911" w:type="dxa"/>
          </w:tcPr>
          <w:p w:rsidR="00C71032" w:rsidRPr="00E555CD" w:rsidRDefault="00C71032" w:rsidP="00C71032">
            <w:proofErr w:type="spellStart"/>
            <w:r w:rsidRPr="00E555CD">
              <w:t>raltegravir</w:t>
            </w:r>
            <w:proofErr w:type="spellEnd"/>
          </w:p>
        </w:tc>
      </w:tr>
      <w:tr w:rsidR="00C71032" w:rsidRPr="00FD119B" w:rsidTr="00FD119B">
        <w:tc>
          <w:tcPr>
            <w:tcW w:w="1809" w:type="dxa"/>
          </w:tcPr>
          <w:p w:rsidR="00C71032" w:rsidRPr="00E555CD" w:rsidRDefault="00C71032" w:rsidP="00C71032">
            <w:r w:rsidRPr="00E555CD">
              <w:t>RAV</w:t>
            </w:r>
          </w:p>
        </w:tc>
        <w:tc>
          <w:tcPr>
            <w:tcW w:w="6911" w:type="dxa"/>
          </w:tcPr>
          <w:p w:rsidR="00C71032" w:rsidRPr="00E555CD" w:rsidRDefault="006F35F9" w:rsidP="00C71032">
            <w:r>
              <w:t>resistance associated</w:t>
            </w:r>
            <w:r w:rsidR="00C71032" w:rsidRPr="00E555CD">
              <w:t xml:space="preserve"> variants</w:t>
            </w:r>
          </w:p>
        </w:tc>
      </w:tr>
      <w:tr w:rsidR="00C71032" w:rsidRPr="00FD119B" w:rsidTr="00FD119B">
        <w:tc>
          <w:tcPr>
            <w:tcW w:w="1809" w:type="dxa"/>
          </w:tcPr>
          <w:p w:rsidR="00C71032" w:rsidRPr="00E555CD" w:rsidRDefault="00C71032" w:rsidP="00C71032">
            <w:r w:rsidRPr="00E555CD">
              <w:lastRenderedPageBreak/>
              <w:t>RBV</w:t>
            </w:r>
          </w:p>
        </w:tc>
        <w:tc>
          <w:tcPr>
            <w:tcW w:w="6911" w:type="dxa"/>
          </w:tcPr>
          <w:p w:rsidR="00C71032" w:rsidRPr="00E555CD" w:rsidRDefault="00C71032" w:rsidP="00C71032">
            <w:r w:rsidRPr="00E555CD">
              <w:t>ribavirin</w:t>
            </w:r>
          </w:p>
        </w:tc>
      </w:tr>
      <w:tr w:rsidR="00C71032" w:rsidRPr="00FD119B" w:rsidTr="00FD119B">
        <w:tc>
          <w:tcPr>
            <w:tcW w:w="1809" w:type="dxa"/>
          </w:tcPr>
          <w:p w:rsidR="00C71032" w:rsidRPr="00E555CD" w:rsidRDefault="00C71032" w:rsidP="00C71032">
            <w:r w:rsidRPr="00E555CD">
              <w:t>RNA</w:t>
            </w:r>
          </w:p>
        </w:tc>
        <w:tc>
          <w:tcPr>
            <w:tcW w:w="6911" w:type="dxa"/>
          </w:tcPr>
          <w:p w:rsidR="00C71032" w:rsidRPr="00E555CD" w:rsidRDefault="00C71032" w:rsidP="00C71032">
            <w:r w:rsidRPr="00E555CD">
              <w:t>ribonucleic acid</w:t>
            </w:r>
          </w:p>
        </w:tc>
      </w:tr>
      <w:tr w:rsidR="00C71032" w:rsidRPr="00FD119B" w:rsidTr="00FD119B">
        <w:tc>
          <w:tcPr>
            <w:tcW w:w="1809" w:type="dxa"/>
          </w:tcPr>
          <w:p w:rsidR="00C71032" w:rsidRPr="00E555CD" w:rsidRDefault="00C71032" w:rsidP="00C71032">
            <w:r w:rsidRPr="00E555CD">
              <w:t>RPV</w:t>
            </w:r>
          </w:p>
        </w:tc>
        <w:tc>
          <w:tcPr>
            <w:tcW w:w="6911" w:type="dxa"/>
          </w:tcPr>
          <w:p w:rsidR="00C71032" w:rsidRPr="00E555CD" w:rsidRDefault="00C71032" w:rsidP="00C71032">
            <w:proofErr w:type="spellStart"/>
            <w:r w:rsidRPr="00E555CD">
              <w:t>rilpivirine</w:t>
            </w:r>
            <w:proofErr w:type="spellEnd"/>
          </w:p>
        </w:tc>
      </w:tr>
      <w:tr w:rsidR="00FF090F" w:rsidRPr="00FD119B" w:rsidTr="00FD119B">
        <w:tc>
          <w:tcPr>
            <w:tcW w:w="1809" w:type="dxa"/>
          </w:tcPr>
          <w:p w:rsidR="00FF090F" w:rsidRPr="00E555CD" w:rsidRDefault="00FF090F" w:rsidP="00C71032">
            <w:r w:rsidRPr="00FF090F">
              <w:t>RSV</w:t>
            </w:r>
          </w:p>
        </w:tc>
        <w:tc>
          <w:tcPr>
            <w:tcW w:w="6911" w:type="dxa"/>
          </w:tcPr>
          <w:p w:rsidR="00FF090F" w:rsidRPr="00E555CD" w:rsidRDefault="00FF090F" w:rsidP="00FF090F">
            <w:r w:rsidRPr="00FF090F">
              <w:t>Respiratory</w:t>
            </w:r>
            <w:r>
              <w:t xml:space="preserve"> syncytial (sin-SISH-</w:t>
            </w:r>
            <w:proofErr w:type="spellStart"/>
            <w:r>
              <w:t>ul</w:t>
            </w:r>
            <w:proofErr w:type="spellEnd"/>
            <w:r>
              <w:t>) virus</w:t>
            </w:r>
          </w:p>
        </w:tc>
      </w:tr>
      <w:tr w:rsidR="00C71032" w:rsidRPr="00FD119B" w:rsidTr="00FD119B">
        <w:tc>
          <w:tcPr>
            <w:tcW w:w="1809" w:type="dxa"/>
          </w:tcPr>
          <w:p w:rsidR="00C71032" w:rsidRPr="00E555CD" w:rsidRDefault="00C71032" w:rsidP="00C71032">
            <w:r w:rsidRPr="00E555CD">
              <w:t>RTV</w:t>
            </w:r>
          </w:p>
        </w:tc>
        <w:tc>
          <w:tcPr>
            <w:tcW w:w="6911" w:type="dxa"/>
          </w:tcPr>
          <w:p w:rsidR="00C71032" w:rsidRPr="00E555CD" w:rsidRDefault="00C71032" w:rsidP="00C71032">
            <w:r w:rsidRPr="00E555CD">
              <w:t>ritonavir</w:t>
            </w:r>
          </w:p>
        </w:tc>
      </w:tr>
      <w:tr w:rsidR="00C71032" w:rsidRPr="00FD119B" w:rsidTr="00FD119B">
        <w:tc>
          <w:tcPr>
            <w:tcW w:w="1809" w:type="dxa"/>
          </w:tcPr>
          <w:p w:rsidR="00C71032" w:rsidRPr="00E555CD" w:rsidRDefault="00C71032" w:rsidP="00C71032">
            <w:r w:rsidRPr="00E555CD">
              <w:t>SAE</w:t>
            </w:r>
          </w:p>
        </w:tc>
        <w:tc>
          <w:tcPr>
            <w:tcW w:w="6911" w:type="dxa"/>
          </w:tcPr>
          <w:p w:rsidR="00C71032" w:rsidRPr="00E555CD" w:rsidRDefault="00C71032" w:rsidP="00C71032">
            <w:r w:rsidRPr="00E555CD">
              <w:t>serious adverse event</w:t>
            </w:r>
          </w:p>
        </w:tc>
      </w:tr>
      <w:tr w:rsidR="00C71032" w:rsidRPr="00FD119B" w:rsidTr="00FD119B">
        <w:tc>
          <w:tcPr>
            <w:tcW w:w="1809" w:type="dxa"/>
          </w:tcPr>
          <w:p w:rsidR="00C71032" w:rsidRPr="00E555CD" w:rsidRDefault="00C71032" w:rsidP="00C71032">
            <w:r w:rsidRPr="00E555CD">
              <w:t>SD</w:t>
            </w:r>
          </w:p>
        </w:tc>
        <w:tc>
          <w:tcPr>
            <w:tcW w:w="6911" w:type="dxa"/>
          </w:tcPr>
          <w:p w:rsidR="00C71032" w:rsidRPr="00E555CD" w:rsidRDefault="00C71032" w:rsidP="00C71032">
            <w:r w:rsidRPr="00E555CD">
              <w:t>standard deviation</w:t>
            </w:r>
          </w:p>
        </w:tc>
      </w:tr>
      <w:tr w:rsidR="00C71032" w:rsidRPr="00FD119B" w:rsidTr="00FD119B">
        <w:tc>
          <w:tcPr>
            <w:tcW w:w="1809" w:type="dxa"/>
          </w:tcPr>
          <w:p w:rsidR="00C71032" w:rsidRPr="00E555CD" w:rsidRDefault="00C71032" w:rsidP="00C71032">
            <w:r w:rsidRPr="00E555CD">
              <w:t>SOF</w:t>
            </w:r>
          </w:p>
        </w:tc>
        <w:tc>
          <w:tcPr>
            <w:tcW w:w="6911" w:type="dxa"/>
          </w:tcPr>
          <w:p w:rsidR="00C71032" w:rsidRPr="00E555CD" w:rsidRDefault="00C71032" w:rsidP="00C71032">
            <w:proofErr w:type="spellStart"/>
            <w:r w:rsidRPr="00E555CD">
              <w:t>sofosbuvir</w:t>
            </w:r>
            <w:proofErr w:type="spellEnd"/>
            <w:r w:rsidRPr="00E555CD">
              <w:t xml:space="preserve"> (GS-7977)</w:t>
            </w:r>
          </w:p>
        </w:tc>
      </w:tr>
      <w:tr w:rsidR="00C71032" w:rsidRPr="00FD119B" w:rsidTr="00FD119B">
        <w:tc>
          <w:tcPr>
            <w:tcW w:w="1809" w:type="dxa"/>
          </w:tcPr>
          <w:p w:rsidR="00C71032" w:rsidRPr="00E555CD" w:rsidRDefault="00C71032" w:rsidP="00C71032">
            <w:r w:rsidRPr="00E555CD">
              <w:t>SOF</w:t>
            </w:r>
          </w:p>
        </w:tc>
        <w:tc>
          <w:tcPr>
            <w:tcW w:w="6911" w:type="dxa"/>
          </w:tcPr>
          <w:p w:rsidR="00C71032" w:rsidRPr="00E555CD" w:rsidRDefault="00C71032" w:rsidP="00C71032">
            <w:proofErr w:type="spellStart"/>
            <w:r w:rsidRPr="00E555CD">
              <w:t>sofosbuvir</w:t>
            </w:r>
            <w:proofErr w:type="spellEnd"/>
            <w:r w:rsidRPr="00E555CD">
              <w:t>/</w:t>
            </w:r>
            <w:proofErr w:type="spellStart"/>
            <w:r w:rsidRPr="00E555CD">
              <w:t>solvaldi</w:t>
            </w:r>
            <w:proofErr w:type="spellEnd"/>
            <w:r w:rsidRPr="00E555CD">
              <w:t>/GS-7977/PSI-7977</w:t>
            </w:r>
          </w:p>
        </w:tc>
      </w:tr>
      <w:tr w:rsidR="00C71032" w:rsidRPr="00FD119B" w:rsidTr="00FD119B">
        <w:tc>
          <w:tcPr>
            <w:tcW w:w="1809" w:type="dxa"/>
          </w:tcPr>
          <w:p w:rsidR="00C71032" w:rsidRPr="00E555CD" w:rsidRDefault="00C71032" w:rsidP="00C71032">
            <w:r w:rsidRPr="00E555CD">
              <w:t>SOF/VEL</w:t>
            </w:r>
          </w:p>
        </w:tc>
        <w:tc>
          <w:tcPr>
            <w:tcW w:w="6911" w:type="dxa"/>
          </w:tcPr>
          <w:p w:rsidR="00C71032" w:rsidRPr="00E555CD" w:rsidRDefault="00C71032" w:rsidP="00C71032">
            <w:proofErr w:type="spellStart"/>
            <w:r w:rsidRPr="00E555CD">
              <w:t>sofosbuvir</w:t>
            </w:r>
            <w:proofErr w:type="spellEnd"/>
            <w:r w:rsidRPr="00E555CD">
              <w:t>/</w:t>
            </w:r>
            <w:proofErr w:type="spellStart"/>
            <w:r w:rsidRPr="00E555CD">
              <w:t>velpatasvir</w:t>
            </w:r>
            <w:proofErr w:type="spellEnd"/>
            <w:r w:rsidRPr="00E555CD">
              <w:t xml:space="preserve"> FDC</w:t>
            </w:r>
          </w:p>
        </w:tc>
      </w:tr>
      <w:tr w:rsidR="00C71032" w:rsidRPr="00FD119B" w:rsidTr="00FD119B">
        <w:tc>
          <w:tcPr>
            <w:tcW w:w="1809" w:type="dxa"/>
          </w:tcPr>
          <w:p w:rsidR="00C71032" w:rsidRPr="00E555CD" w:rsidRDefault="00C71032" w:rsidP="00C71032">
            <w:r w:rsidRPr="00E555CD">
              <w:t>SVR</w:t>
            </w:r>
          </w:p>
        </w:tc>
        <w:tc>
          <w:tcPr>
            <w:tcW w:w="6911" w:type="dxa"/>
          </w:tcPr>
          <w:p w:rsidR="00C71032" w:rsidRPr="00E555CD" w:rsidRDefault="00C71032" w:rsidP="00C71032">
            <w:r w:rsidRPr="00E555CD">
              <w:t xml:space="preserve">sustained </w:t>
            </w:r>
            <w:proofErr w:type="spellStart"/>
            <w:r w:rsidRPr="00E555CD">
              <w:t>virologic</w:t>
            </w:r>
            <w:proofErr w:type="spellEnd"/>
            <w:r w:rsidRPr="00E555CD">
              <w:t xml:space="preserve"> response</w:t>
            </w:r>
          </w:p>
        </w:tc>
      </w:tr>
      <w:tr w:rsidR="00C71032" w:rsidRPr="00FD119B" w:rsidTr="00FD119B">
        <w:tc>
          <w:tcPr>
            <w:tcW w:w="1809" w:type="dxa"/>
          </w:tcPr>
          <w:p w:rsidR="00C71032" w:rsidRPr="00E555CD" w:rsidRDefault="00C71032" w:rsidP="00C71032">
            <w:r w:rsidRPr="00E555CD">
              <w:t>SVR12</w:t>
            </w:r>
          </w:p>
        </w:tc>
        <w:tc>
          <w:tcPr>
            <w:tcW w:w="6911" w:type="dxa"/>
          </w:tcPr>
          <w:p w:rsidR="00C71032" w:rsidRPr="00E555CD" w:rsidRDefault="00C71032" w:rsidP="00C71032">
            <w:r w:rsidRPr="00E555CD">
              <w:rPr>
                <w:rFonts w:cstheme="minorHAnsi"/>
              </w:rPr>
              <w:t xml:space="preserve">sustained </w:t>
            </w:r>
            <w:proofErr w:type="spellStart"/>
            <w:r w:rsidRPr="00E555CD">
              <w:rPr>
                <w:rFonts w:cstheme="minorHAnsi"/>
              </w:rPr>
              <w:t>virologic</w:t>
            </w:r>
            <w:proofErr w:type="spellEnd"/>
            <w:r w:rsidRPr="00E555CD">
              <w:rPr>
                <w:rFonts w:cstheme="minorHAnsi"/>
              </w:rPr>
              <w:t xml:space="preserve"> response at 12 weeks following completion of all treatment</w:t>
            </w:r>
          </w:p>
        </w:tc>
      </w:tr>
      <w:tr w:rsidR="00C71032" w:rsidRPr="00FD119B" w:rsidTr="00FD119B">
        <w:tc>
          <w:tcPr>
            <w:tcW w:w="1809" w:type="dxa"/>
          </w:tcPr>
          <w:p w:rsidR="00C71032" w:rsidRPr="00E555CD" w:rsidRDefault="00C71032" w:rsidP="00C71032">
            <w:r w:rsidRPr="00E555CD">
              <w:t>SVR24</w:t>
            </w:r>
          </w:p>
        </w:tc>
        <w:tc>
          <w:tcPr>
            <w:tcW w:w="6911" w:type="dxa"/>
          </w:tcPr>
          <w:p w:rsidR="00C71032" w:rsidRPr="00E555CD" w:rsidRDefault="00C71032" w:rsidP="00C71032">
            <w:r w:rsidRPr="00E555CD">
              <w:t xml:space="preserve">sustained </w:t>
            </w:r>
            <w:proofErr w:type="spellStart"/>
            <w:r w:rsidRPr="00E555CD">
              <w:t>virologic</w:t>
            </w:r>
            <w:proofErr w:type="spellEnd"/>
            <w:r w:rsidRPr="00E555CD">
              <w:t xml:space="preserve"> response 24 weeks post-dosing</w:t>
            </w:r>
          </w:p>
        </w:tc>
      </w:tr>
      <w:tr w:rsidR="00C71032" w:rsidRPr="00FD119B" w:rsidTr="00FD119B">
        <w:tc>
          <w:tcPr>
            <w:tcW w:w="1809" w:type="dxa"/>
          </w:tcPr>
          <w:p w:rsidR="00C71032" w:rsidRPr="00E555CD" w:rsidRDefault="00C71032" w:rsidP="00C71032">
            <w:r w:rsidRPr="00E555CD">
              <w:t>SVR4</w:t>
            </w:r>
          </w:p>
        </w:tc>
        <w:tc>
          <w:tcPr>
            <w:tcW w:w="6911" w:type="dxa"/>
          </w:tcPr>
          <w:p w:rsidR="00C71032" w:rsidRPr="00E555CD" w:rsidRDefault="00C71032" w:rsidP="00C71032">
            <w:r w:rsidRPr="00E555CD">
              <w:t xml:space="preserve">sustained </w:t>
            </w:r>
            <w:proofErr w:type="spellStart"/>
            <w:r w:rsidRPr="00E555CD">
              <w:t>virologic</w:t>
            </w:r>
            <w:proofErr w:type="spellEnd"/>
            <w:r w:rsidRPr="00E555CD">
              <w:t xml:space="preserve"> response 4 weeks post-dosing</w:t>
            </w:r>
          </w:p>
        </w:tc>
      </w:tr>
      <w:tr w:rsidR="00C71032" w:rsidRPr="00FD119B" w:rsidTr="00FD119B">
        <w:tc>
          <w:tcPr>
            <w:tcW w:w="1809" w:type="dxa"/>
          </w:tcPr>
          <w:p w:rsidR="00C71032" w:rsidRPr="00E555CD" w:rsidRDefault="00C71032" w:rsidP="00C71032">
            <w:r w:rsidRPr="00E555CD">
              <w:t>TAF</w:t>
            </w:r>
          </w:p>
        </w:tc>
        <w:tc>
          <w:tcPr>
            <w:tcW w:w="6911" w:type="dxa"/>
          </w:tcPr>
          <w:p w:rsidR="00C71032" w:rsidRPr="00E555CD" w:rsidRDefault="00C71032" w:rsidP="00C71032">
            <w:proofErr w:type="spellStart"/>
            <w:r w:rsidRPr="00E555CD">
              <w:t>tenofovir</w:t>
            </w:r>
            <w:proofErr w:type="spellEnd"/>
            <w:r w:rsidRPr="00E555CD">
              <w:t xml:space="preserve"> </w:t>
            </w:r>
            <w:proofErr w:type="spellStart"/>
            <w:r w:rsidR="0091489D" w:rsidRPr="00E555CD">
              <w:t>alafenamide</w:t>
            </w:r>
            <w:proofErr w:type="spellEnd"/>
            <w:r w:rsidRPr="00E555CD">
              <w:t xml:space="preserve"> fumarate</w:t>
            </w:r>
          </w:p>
        </w:tc>
      </w:tr>
      <w:tr w:rsidR="00C71032" w:rsidRPr="00FD119B" w:rsidTr="00FD119B">
        <w:tc>
          <w:tcPr>
            <w:tcW w:w="1809" w:type="dxa"/>
          </w:tcPr>
          <w:p w:rsidR="00C71032" w:rsidRPr="00E555CD" w:rsidRDefault="00C71032" w:rsidP="00C71032">
            <w:r w:rsidRPr="00E555CD">
              <w:t>TDF</w:t>
            </w:r>
          </w:p>
        </w:tc>
        <w:tc>
          <w:tcPr>
            <w:tcW w:w="6911" w:type="dxa"/>
          </w:tcPr>
          <w:p w:rsidR="00C71032" w:rsidRPr="00E555CD" w:rsidRDefault="00C71032" w:rsidP="00C71032">
            <w:proofErr w:type="spellStart"/>
            <w:r w:rsidRPr="00E555CD">
              <w:t>tenofovir</w:t>
            </w:r>
            <w:proofErr w:type="spellEnd"/>
            <w:r w:rsidRPr="00E555CD">
              <w:t xml:space="preserve"> </w:t>
            </w:r>
            <w:proofErr w:type="spellStart"/>
            <w:r w:rsidRPr="00E555CD">
              <w:t>disoproxil</w:t>
            </w:r>
            <w:proofErr w:type="spellEnd"/>
            <w:r w:rsidRPr="00E555CD">
              <w:t xml:space="preserve"> fumarate</w:t>
            </w:r>
          </w:p>
        </w:tc>
      </w:tr>
      <w:tr w:rsidR="00C71032" w:rsidRPr="00FD119B" w:rsidTr="00FD119B">
        <w:tc>
          <w:tcPr>
            <w:tcW w:w="1809" w:type="dxa"/>
          </w:tcPr>
          <w:p w:rsidR="00C71032" w:rsidRPr="00E555CD" w:rsidRDefault="00C71032" w:rsidP="00C71032">
            <w:r w:rsidRPr="00E555CD">
              <w:t>TFV</w:t>
            </w:r>
          </w:p>
        </w:tc>
        <w:tc>
          <w:tcPr>
            <w:tcW w:w="6911" w:type="dxa"/>
          </w:tcPr>
          <w:p w:rsidR="00C71032" w:rsidRPr="00E555CD" w:rsidRDefault="00C71032" w:rsidP="00C71032">
            <w:proofErr w:type="spellStart"/>
            <w:r w:rsidRPr="00E555CD">
              <w:t>tenofovir</w:t>
            </w:r>
            <w:proofErr w:type="spellEnd"/>
          </w:p>
        </w:tc>
      </w:tr>
      <w:tr w:rsidR="00C71032" w:rsidRPr="00FD119B" w:rsidTr="00FD119B">
        <w:tc>
          <w:tcPr>
            <w:tcW w:w="1809" w:type="dxa"/>
          </w:tcPr>
          <w:p w:rsidR="00C71032" w:rsidRPr="00E555CD" w:rsidRDefault="00C71032" w:rsidP="00C71032">
            <w:pPr>
              <w:rPr>
                <w:vertAlign w:val="subscript"/>
              </w:rPr>
            </w:pPr>
            <w:proofErr w:type="spellStart"/>
            <w:r w:rsidRPr="00F0240D">
              <w:t>T</w:t>
            </w:r>
            <w:r w:rsidRPr="00B06BC0">
              <w:rPr>
                <w:vertAlign w:val="subscript"/>
              </w:rPr>
              <w:t>lag</w:t>
            </w:r>
            <w:proofErr w:type="spellEnd"/>
          </w:p>
        </w:tc>
        <w:tc>
          <w:tcPr>
            <w:tcW w:w="6911" w:type="dxa"/>
          </w:tcPr>
          <w:p w:rsidR="00C71032" w:rsidRPr="00E555CD" w:rsidRDefault="00C71032" w:rsidP="00C71032">
            <w:r w:rsidRPr="00E555CD">
              <w:t>Lag-time (time delay between drug administration and first observed concentration above LOQ in plasma)</w:t>
            </w:r>
          </w:p>
        </w:tc>
      </w:tr>
      <w:tr w:rsidR="00C71032" w:rsidRPr="00FD119B" w:rsidTr="00FD119B">
        <w:tc>
          <w:tcPr>
            <w:tcW w:w="1809" w:type="dxa"/>
          </w:tcPr>
          <w:p w:rsidR="00C71032" w:rsidRPr="00E555CD" w:rsidRDefault="00C71032" w:rsidP="00C71032">
            <w:r w:rsidRPr="00E555CD">
              <w:t>TN</w:t>
            </w:r>
          </w:p>
        </w:tc>
        <w:tc>
          <w:tcPr>
            <w:tcW w:w="6911" w:type="dxa"/>
          </w:tcPr>
          <w:p w:rsidR="00C71032" w:rsidRPr="00E555CD" w:rsidRDefault="00C71032" w:rsidP="00C71032">
            <w:r w:rsidRPr="00E555CD">
              <w:t>treatment naïve</w:t>
            </w:r>
          </w:p>
        </w:tc>
      </w:tr>
      <w:tr w:rsidR="00C71032" w:rsidRPr="00FD119B" w:rsidTr="00FD119B">
        <w:tc>
          <w:tcPr>
            <w:tcW w:w="1809" w:type="dxa"/>
          </w:tcPr>
          <w:p w:rsidR="00C71032" w:rsidRPr="00E555CD" w:rsidRDefault="00C71032" w:rsidP="00C71032">
            <w:r w:rsidRPr="00E555CD">
              <w:t>UGT</w:t>
            </w:r>
          </w:p>
        </w:tc>
        <w:tc>
          <w:tcPr>
            <w:tcW w:w="6911" w:type="dxa"/>
          </w:tcPr>
          <w:p w:rsidR="00C71032" w:rsidRPr="00E555CD" w:rsidRDefault="00C71032" w:rsidP="00C71032">
            <w:r w:rsidRPr="00E555CD">
              <w:t>uridine glucuronosyltransferase</w:t>
            </w:r>
          </w:p>
        </w:tc>
      </w:tr>
      <w:tr w:rsidR="00C71032" w:rsidRPr="00FD119B" w:rsidTr="00FD119B">
        <w:tc>
          <w:tcPr>
            <w:tcW w:w="1809" w:type="dxa"/>
          </w:tcPr>
          <w:p w:rsidR="00C71032" w:rsidRPr="00E555CD" w:rsidRDefault="00C71032" w:rsidP="00C71032">
            <w:r w:rsidRPr="00E555CD">
              <w:t>ULN</w:t>
            </w:r>
          </w:p>
        </w:tc>
        <w:tc>
          <w:tcPr>
            <w:tcW w:w="6911" w:type="dxa"/>
          </w:tcPr>
          <w:p w:rsidR="00C71032" w:rsidRPr="00E555CD" w:rsidRDefault="00C71032" w:rsidP="00C71032">
            <w:r w:rsidRPr="00E555CD">
              <w:t>upper limit of normal</w:t>
            </w:r>
          </w:p>
        </w:tc>
      </w:tr>
      <w:tr w:rsidR="00C71032" w:rsidRPr="00FD119B" w:rsidTr="00FD119B">
        <w:tc>
          <w:tcPr>
            <w:tcW w:w="1809" w:type="dxa"/>
          </w:tcPr>
          <w:p w:rsidR="00C71032" w:rsidRPr="00E555CD" w:rsidRDefault="00C71032" w:rsidP="00C71032">
            <w:r w:rsidRPr="00E555CD">
              <w:t>US</w:t>
            </w:r>
          </w:p>
        </w:tc>
        <w:tc>
          <w:tcPr>
            <w:tcW w:w="6911" w:type="dxa"/>
          </w:tcPr>
          <w:p w:rsidR="00C71032" w:rsidRPr="00E555CD" w:rsidRDefault="00C71032" w:rsidP="00C71032">
            <w:r w:rsidRPr="00E555CD">
              <w:t>United States</w:t>
            </w:r>
          </w:p>
        </w:tc>
      </w:tr>
      <w:tr w:rsidR="00C71032" w:rsidRPr="00FD119B" w:rsidTr="00FD119B">
        <w:tc>
          <w:tcPr>
            <w:tcW w:w="1809" w:type="dxa"/>
          </w:tcPr>
          <w:p w:rsidR="00C71032" w:rsidRPr="00E555CD" w:rsidRDefault="00C71032" w:rsidP="00C71032">
            <w:proofErr w:type="spellStart"/>
            <w:r w:rsidRPr="00E555CD">
              <w:t>Vc</w:t>
            </w:r>
            <w:proofErr w:type="spellEnd"/>
          </w:p>
        </w:tc>
        <w:tc>
          <w:tcPr>
            <w:tcW w:w="6911" w:type="dxa"/>
          </w:tcPr>
          <w:p w:rsidR="00C71032" w:rsidRPr="00E555CD" w:rsidRDefault="00C71032" w:rsidP="00C71032">
            <w:r w:rsidRPr="00E555CD">
              <w:t>volume of distribution in the central compartment</w:t>
            </w:r>
          </w:p>
        </w:tc>
      </w:tr>
      <w:tr w:rsidR="00C71032" w:rsidRPr="00FD119B" w:rsidTr="00FD119B">
        <w:tc>
          <w:tcPr>
            <w:tcW w:w="1809" w:type="dxa"/>
          </w:tcPr>
          <w:p w:rsidR="00C71032" w:rsidRPr="00E555CD" w:rsidRDefault="00C71032" w:rsidP="00C71032">
            <w:proofErr w:type="spellStart"/>
            <w:r w:rsidRPr="00E555CD">
              <w:t>Vc</w:t>
            </w:r>
            <w:proofErr w:type="spellEnd"/>
            <w:r w:rsidRPr="00E555CD">
              <w:t>/F</w:t>
            </w:r>
          </w:p>
        </w:tc>
        <w:tc>
          <w:tcPr>
            <w:tcW w:w="6911" w:type="dxa"/>
          </w:tcPr>
          <w:p w:rsidR="00C71032" w:rsidRPr="00E555CD" w:rsidRDefault="00C71032" w:rsidP="00C71032">
            <w:r w:rsidRPr="00E555CD">
              <w:t>apparent volume of distribution in central compartment after oral dosing</w:t>
            </w:r>
          </w:p>
        </w:tc>
      </w:tr>
      <w:tr w:rsidR="00C71032" w:rsidRPr="00FD119B" w:rsidTr="00FD119B">
        <w:tc>
          <w:tcPr>
            <w:tcW w:w="1809" w:type="dxa"/>
          </w:tcPr>
          <w:p w:rsidR="00C71032" w:rsidRPr="00E555CD" w:rsidRDefault="00C71032" w:rsidP="00C71032">
            <w:r w:rsidRPr="00E555CD">
              <w:lastRenderedPageBreak/>
              <w:t>VEL</w:t>
            </w:r>
          </w:p>
        </w:tc>
        <w:tc>
          <w:tcPr>
            <w:tcW w:w="6911" w:type="dxa"/>
          </w:tcPr>
          <w:p w:rsidR="00C71032" w:rsidRPr="00E555CD" w:rsidRDefault="00C71032" w:rsidP="00C71032">
            <w:proofErr w:type="spellStart"/>
            <w:r w:rsidRPr="00E555CD">
              <w:t>velpatasvir</w:t>
            </w:r>
            <w:proofErr w:type="spellEnd"/>
            <w:r w:rsidRPr="00E555CD">
              <w:t>/GS-5816</w:t>
            </w:r>
          </w:p>
        </w:tc>
      </w:tr>
      <w:tr w:rsidR="00C71032" w:rsidRPr="00FD119B" w:rsidTr="00FD119B">
        <w:tc>
          <w:tcPr>
            <w:tcW w:w="1809" w:type="dxa"/>
          </w:tcPr>
          <w:p w:rsidR="00C71032" w:rsidRPr="00E555CD" w:rsidRDefault="00C71032" w:rsidP="00C71032">
            <w:proofErr w:type="spellStart"/>
            <w:r w:rsidRPr="00E555CD">
              <w:t>Vp</w:t>
            </w:r>
            <w:proofErr w:type="spellEnd"/>
          </w:p>
        </w:tc>
        <w:tc>
          <w:tcPr>
            <w:tcW w:w="6911" w:type="dxa"/>
          </w:tcPr>
          <w:p w:rsidR="00C71032" w:rsidRPr="00E555CD" w:rsidRDefault="00C71032" w:rsidP="00C71032">
            <w:r w:rsidRPr="00E555CD">
              <w:t>volume of distribution in the peripheral compartment</w:t>
            </w:r>
          </w:p>
        </w:tc>
      </w:tr>
      <w:tr w:rsidR="00C71032" w:rsidRPr="00FD119B" w:rsidTr="00FD119B">
        <w:tc>
          <w:tcPr>
            <w:tcW w:w="1809" w:type="dxa"/>
          </w:tcPr>
          <w:p w:rsidR="00C71032" w:rsidRPr="00E555CD" w:rsidRDefault="00C71032" w:rsidP="00C71032">
            <w:proofErr w:type="spellStart"/>
            <w:r w:rsidRPr="00E555CD">
              <w:t>Vp</w:t>
            </w:r>
            <w:proofErr w:type="spellEnd"/>
            <w:r w:rsidRPr="00E555CD">
              <w:t>/F</w:t>
            </w:r>
          </w:p>
        </w:tc>
        <w:tc>
          <w:tcPr>
            <w:tcW w:w="6911" w:type="dxa"/>
          </w:tcPr>
          <w:p w:rsidR="00C71032" w:rsidRPr="00E555CD" w:rsidRDefault="00C71032" w:rsidP="00C71032">
            <w:r w:rsidRPr="00E555CD">
              <w:t>apparent volume of distribution in peripheral compartment after oral dosing</w:t>
            </w:r>
          </w:p>
        </w:tc>
      </w:tr>
      <w:tr w:rsidR="00C71032" w:rsidRPr="00FD119B" w:rsidTr="00FD119B">
        <w:tc>
          <w:tcPr>
            <w:tcW w:w="1809" w:type="dxa"/>
          </w:tcPr>
          <w:p w:rsidR="00C71032" w:rsidRPr="00E555CD" w:rsidRDefault="00C71032" w:rsidP="00C71032">
            <w:r w:rsidRPr="00E555CD">
              <w:t>ZDV</w:t>
            </w:r>
          </w:p>
        </w:tc>
        <w:tc>
          <w:tcPr>
            <w:tcW w:w="6911" w:type="dxa"/>
          </w:tcPr>
          <w:p w:rsidR="00C71032" w:rsidRPr="00E555CD" w:rsidRDefault="00C71032" w:rsidP="00C71032">
            <w:r w:rsidRPr="00E555CD">
              <w:t>zidovudine</w:t>
            </w:r>
          </w:p>
        </w:tc>
      </w:tr>
    </w:tbl>
    <w:p w:rsidR="000D4647" w:rsidRDefault="000D4647" w:rsidP="00FD119B"/>
    <w:p w:rsidR="000D4647" w:rsidRDefault="00FD119B" w:rsidP="00FD119B">
      <w:pPr>
        <w:spacing w:before="0" w:after="200" w:line="0" w:lineRule="auto"/>
        <w:rPr>
          <w:b/>
          <w:i/>
          <w:sz w:val="24"/>
          <w:szCs w:val="24"/>
        </w:rPr>
      </w:pPr>
      <w:r w:rsidRPr="00FD119B">
        <w:rPr>
          <w:b/>
          <w:i/>
          <w:sz w:val="24"/>
          <w:szCs w:val="24"/>
        </w:rPr>
        <w:br w:type="page"/>
      </w:r>
    </w:p>
    <w:p w:rsidR="000D4647" w:rsidRDefault="00F53C07" w:rsidP="008E7846">
      <w:pPr>
        <w:pStyle w:val="Heading2"/>
      </w:pPr>
      <w:bookmarkStart w:id="9" w:name="_Toc498681427"/>
      <w:r>
        <w:lastRenderedPageBreak/>
        <w:t>I.</w:t>
      </w:r>
      <w:r w:rsidR="008E7846">
        <w:t xml:space="preserve"> Introduction to product submission</w:t>
      </w:r>
      <w:bookmarkEnd w:id="1"/>
      <w:bookmarkEnd w:id="3"/>
      <w:bookmarkEnd w:id="9"/>
    </w:p>
    <w:p w:rsidR="008E7846" w:rsidRDefault="008E7846" w:rsidP="008E7846">
      <w:pPr>
        <w:pStyle w:val="Heading3"/>
        <w:rPr>
          <w:lang w:eastAsia="en-AU"/>
        </w:rPr>
      </w:pPr>
      <w:bookmarkStart w:id="10" w:name="_Toc247691502"/>
      <w:bookmarkStart w:id="11" w:name="_Toc314842483"/>
      <w:bookmarkStart w:id="12" w:name="_Toc498681428"/>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rsidTr="000D464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1A02C5">
            <w:r w:rsidRPr="003D1E62">
              <w:t xml:space="preserve">New </w:t>
            </w:r>
            <w:r w:rsidR="001B5C90">
              <w:t>c</w:t>
            </w:r>
            <w:r w:rsidRPr="003D1E62">
              <w:t xml:space="preserve">hemical </w:t>
            </w:r>
            <w:r w:rsidR="001B5C90">
              <w:t>e</w:t>
            </w:r>
            <w:r w:rsidR="001A02C5">
              <w:t>ntity</w:t>
            </w:r>
          </w:p>
        </w:tc>
      </w:tr>
      <w:tr w:rsidR="008E7846" w:rsidRPr="003D1E62" w:rsidTr="000D4647">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942A46" w:rsidP="00942A46">
            <w:r>
              <w:t>Approved</w:t>
            </w:r>
          </w:p>
        </w:tc>
      </w:tr>
      <w:tr w:rsidR="008E7846" w:rsidRPr="003D1E62" w:rsidTr="000D464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942A46" w:rsidP="001B5C90">
            <w:r>
              <w:t>13 December 2016</w:t>
            </w:r>
          </w:p>
        </w:tc>
      </w:tr>
      <w:tr w:rsidR="00ED2922" w:rsidRPr="003D1E62" w:rsidTr="000D4647">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942A46" w:rsidP="00EC463D">
            <w:pPr>
              <w:rPr>
                <w:i/>
              </w:rPr>
            </w:pPr>
            <w:r>
              <w:t>19 December 2016</w:t>
            </w:r>
          </w:p>
        </w:tc>
      </w:tr>
      <w:tr w:rsidR="008E7846" w:rsidRPr="00487162" w:rsidTr="000D4647">
        <w:trPr>
          <w:gridAfter w:val="1"/>
          <w:wAfter w:w="283" w:type="dxa"/>
        </w:trPr>
        <w:tc>
          <w:tcPr>
            <w:tcW w:w="2907" w:type="dxa"/>
          </w:tcPr>
          <w:p w:rsidR="008E7846" w:rsidRPr="00487162" w:rsidRDefault="001A02C5" w:rsidP="00E45619">
            <w:pPr>
              <w:rPr>
                <w:i/>
              </w:rPr>
            </w:pPr>
            <w:r>
              <w:rPr>
                <w:i/>
              </w:rPr>
              <w:t>Active ingredients</w:t>
            </w:r>
            <w:r w:rsidR="001B5C90">
              <w:rPr>
                <w:i/>
              </w:rPr>
              <w:t>:</w:t>
            </w:r>
          </w:p>
        </w:tc>
        <w:tc>
          <w:tcPr>
            <w:tcW w:w="6307" w:type="dxa"/>
          </w:tcPr>
          <w:p w:rsidR="008E7846" w:rsidRPr="00487162" w:rsidRDefault="001A02C5" w:rsidP="00E45619">
            <w:proofErr w:type="spellStart"/>
            <w:r>
              <w:t>Sofosbuvir</w:t>
            </w:r>
            <w:proofErr w:type="spellEnd"/>
            <w:r>
              <w:t>/</w:t>
            </w:r>
            <w:proofErr w:type="spellStart"/>
            <w:r>
              <w:t>V</w:t>
            </w:r>
            <w:r w:rsidRPr="00DC4C56">
              <w:t>elpatasvir</w:t>
            </w:r>
            <w:proofErr w:type="spellEnd"/>
          </w:p>
        </w:tc>
      </w:tr>
      <w:tr w:rsidR="008E7846" w:rsidRPr="00487162" w:rsidTr="000D4647">
        <w:trPr>
          <w:gridAfter w:val="1"/>
          <w:wAfter w:w="283" w:type="dxa"/>
        </w:trPr>
        <w:tc>
          <w:tcPr>
            <w:tcW w:w="2907" w:type="dxa"/>
          </w:tcPr>
          <w:p w:rsidR="008E7846" w:rsidRPr="00487162" w:rsidRDefault="008E7846" w:rsidP="001B5C90">
            <w:pPr>
              <w:rPr>
                <w:i/>
              </w:rPr>
            </w:pPr>
            <w:r w:rsidRPr="00487162">
              <w:rPr>
                <w:i/>
              </w:rPr>
              <w:t>Product</w:t>
            </w:r>
            <w:r w:rsidR="007419D9">
              <w:rPr>
                <w:i/>
              </w:rPr>
              <w:t xml:space="preserve"> name</w:t>
            </w:r>
            <w:r w:rsidR="001B5C90">
              <w:rPr>
                <w:i/>
              </w:rPr>
              <w:t>:</w:t>
            </w:r>
          </w:p>
        </w:tc>
        <w:tc>
          <w:tcPr>
            <w:tcW w:w="6307" w:type="dxa"/>
          </w:tcPr>
          <w:p w:rsidR="008E7846" w:rsidRPr="00487162" w:rsidRDefault="001A02C5" w:rsidP="00E45619">
            <w:proofErr w:type="spellStart"/>
            <w:r w:rsidRPr="00DC4C56">
              <w:t>E</w:t>
            </w:r>
            <w:r w:rsidR="00942A46" w:rsidRPr="00DC4C56">
              <w:t>pclusa</w:t>
            </w:r>
            <w:proofErr w:type="spellEnd"/>
          </w:p>
        </w:tc>
      </w:tr>
      <w:tr w:rsidR="008E7846" w:rsidRPr="00487162" w:rsidTr="000D4647">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0D4647" w:rsidRDefault="00942A46" w:rsidP="00E45619">
            <w:r>
              <w:t>Gilead Sciences Pty Ltd</w:t>
            </w:r>
          </w:p>
          <w:p w:rsidR="000D4647" w:rsidRDefault="00942A46" w:rsidP="00E45619">
            <w:r>
              <w:t>Level 6/ 417 St Kilda Road</w:t>
            </w:r>
          </w:p>
          <w:p w:rsidR="00942A46" w:rsidRPr="00487162" w:rsidRDefault="00942A46" w:rsidP="00E45619">
            <w:r>
              <w:t>Melbourne VIC 3004</w:t>
            </w:r>
          </w:p>
        </w:tc>
      </w:tr>
      <w:tr w:rsidR="008E7846" w:rsidRPr="00487162" w:rsidTr="000D4647">
        <w:trPr>
          <w:gridAfter w:val="1"/>
          <w:wAfter w:w="283" w:type="dxa"/>
        </w:trPr>
        <w:tc>
          <w:tcPr>
            <w:tcW w:w="2907" w:type="dxa"/>
          </w:tcPr>
          <w:p w:rsidR="008E7846" w:rsidRPr="00487162" w:rsidRDefault="00942A46" w:rsidP="00E45619">
            <w:pPr>
              <w:rPr>
                <w:i/>
              </w:rPr>
            </w:pPr>
            <w:r>
              <w:rPr>
                <w:i/>
              </w:rPr>
              <w:t>Dose form</w:t>
            </w:r>
            <w:r w:rsidR="001B5C90">
              <w:rPr>
                <w:i/>
              </w:rPr>
              <w:t>:</w:t>
            </w:r>
          </w:p>
        </w:tc>
        <w:tc>
          <w:tcPr>
            <w:tcW w:w="6307" w:type="dxa"/>
          </w:tcPr>
          <w:p w:rsidR="008E7846" w:rsidRPr="00487162" w:rsidRDefault="00942A46" w:rsidP="00E45619">
            <w:r>
              <w:t>Film coated tablet</w:t>
            </w:r>
          </w:p>
        </w:tc>
      </w:tr>
      <w:tr w:rsidR="008E7846" w:rsidRPr="00487162" w:rsidTr="000D4647">
        <w:trPr>
          <w:gridAfter w:val="1"/>
          <w:wAfter w:w="283" w:type="dxa"/>
        </w:trPr>
        <w:tc>
          <w:tcPr>
            <w:tcW w:w="2907" w:type="dxa"/>
          </w:tcPr>
          <w:p w:rsidR="008E7846" w:rsidRPr="00487162" w:rsidRDefault="00942A46" w:rsidP="00E45619">
            <w:pPr>
              <w:rPr>
                <w:i/>
              </w:rPr>
            </w:pPr>
            <w:r>
              <w:rPr>
                <w:i/>
              </w:rPr>
              <w:t>Strength</w:t>
            </w:r>
            <w:r w:rsidR="008E7846" w:rsidRPr="00487162">
              <w:rPr>
                <w:i/>
              </w:rPr>
              <w:t xml:space="preserve">: </w:t>
            </w:r>
          </w:p>
        </w:tc>
        <w:tc>
          <w:tcPr>
            <w:tcW w:w="6307" w:type="dxa"/>
          </w:tcPr>
          <w:p w:rsidR="008E7846" w:rsidRPr="00487162" w:rsidRDefault="007419D9" w:rsidP="00E45619">
            <w:proofErr w:type="spellStart"/>
            <w:r>
              <w:t>Sofosbuvir</w:t>
            </w:r>
            <w:proofErr w:type="spellEnd"/>
            <w:r>
              <w:t xml:space="preserve"> 400</w:t>
            </w:r>
            <w:r w:rsidR="00A82FA1">
              <w:t xml:space="preserve"> mg</w:t>
            </w:r>
            <w:r>
              <w:t xml:space="preserve">/ </w:t>
            </w:r>
            <w:proofErr w:type="spellStart"/>
            <w:r>
              <w:t>V</w:t>
            </w:r>
            <w:r w:rsidR="00942A46">
              <w:t>elpatasvir</w:t>
            </w:r>
            <w:proofErr w:type="spellEnd"/>
            <w:r w:rsidR="00942A46">
              <w:t xml:space="preserve"> 100</w:t>
            </w:r>
            <w:r w:rsidR="00A82FA1">
              <w:t xml:space="preserve"> mg</w:t>
            </w:r>
          </w:p>
        </w:tc>
      </w:tr>
      <w:tr w:rsidR="008E7846" w:rsidRPr="00487162" w:rsidTr="000D4647">
        <w:trPr>
          <w:gridAfter w:val="1"/>
          <w:wAfter w:w="283" w:type="dxa"/>
        </w:trPr>
        <w:tc>
          <w:tcPr>
            <w:tcW w:w="2907" w:type="dxa"/>
          </w:tcPr>
          <w:p w:rsidR="008E7846" w:rsidRPr="00487162" w:rsidRDefault="00942A46" w:rsidP="00E45619">
            <w:pPr>
              <w:rPr>
                <w:i/>
              </w:rPr>
            </w:pPr>
            <w:r>
              <w:rPr>
                <w:i/>
              </w:rPr>
              <w:t>Container</w:t>
            </w:r>
            <w:r w:rsidR="008E7846" w:rsidRPr="00487162">
              <w:rPr>
                <w:i/>
              </w:rPr>
              <w:t>:</w:t>
            </w:r>
          </w:p>
        </w:tc>
        <w:tc>
          <w:tcPr>
            <w:tcW w:w="6307" w:type="dxa"/>
          </w:tcPr>
          <w:p w:rsidR="008E7846" w:rsidRPr="00487162" w:rsidRDefault="00942A46" w:rsidP="00E45619">
            <w:r>
              <w:t>bottle</w:t>
            </w:r>
          </w:p>
        </w:tc>
      </w:tr>
      <w:tr w:rsidR="008E7846" w:rsidRPr="00487162" w:rsidTr="000D4647">
        <w:trPr>
          <w:gridAfter w:val="1"/>
          <w:wAfter w:w="283" w:type="dxa"/>
        </w:trPr>
        <w:tc>
          <w:tcPr>
            <w:tcW w:w="2907" w:type="dxa"/>
          </w:tcPr>
          <w:p w:rsidR="008E7846" w:rsidRPr="00487162" w:rsidRDefault="00942A46" w:rsidP="00E45619">
            <w:pPr>
              <w:rPr>
                <w:i/>
              </w:rPr>
            </w:pPr>
            <w:r>
              <w:rPr>
                <w:i/>
              </w:rPr>
              <w:t>Pack size</w:t>
            </w:r>
            <w:r w:rsidR="008E7846" w:rsidRPr="00487162">
              <w:rPr>
                <w:i/>
              </w:rPr>
              <w:t>:</w:t>
            </w:r>
          </w:p>
        </w:tc>
        <w:tc>
          <w:tcPr>
            <w:tcW w:w="6307" w:type="dxa"/>
          </w:tcPr>
          <w:p w:rsidR="008E7846" w:rsidRPr="00487162" w:rsidRDefault="00942A46" w:rsidP="00E45619">
            <w:r>
              <w:t>28 tablets</w:t>
            </w:r>
          </w:p>
        </w:tc>
      </w:tr>
      <w:tr w:rsidR="008E7846" w:rsidRPr="00487162" w:rsidTr="000D4647">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0D4647" w:rsidRDefault="00C71032" w:rsidP="00C71032">
            <w:pPr>
              <w:rPr>
                <w:i/>
              </w:rPr>
            </w:pPr>
            <w:proofErr w:type="spellStart"/>
            <w:r w:rsidRPr="00C71032">
              <w:rPr>
                <w:i/>
              </w:rPr>
              <w:t>E</w:t>
            </w:r>
            <w:r w:rsidR="007419D9" w:rsidRPr="00C71032">
              <w:rPr>
                <w:i/>
              </w:rPr>
              <w:t>pclusa</w:t>
            </w:r>
            <w:proofErr w:type="spellEnd"/>
            <w:r w:rsidRPr="00C71032">
              <w:rPr>
                <w:i/>
              </w:rPr>
              <w:t xml:space="preserve"> (</w:t>
            </w:r>
            <w:proofErr w:type="spellStart"/>
            <w:r w:rsidRPr="00C71032">
              <w:rPr>
                <w:i/>
              </w:rPr>
              <w:t>sofosbuvir</w:t>
            </w:r>
            <w:proofErr w:type="spellEnd"/>
            <w:r w:rsidRPr="00C71032">
              <w:rPr>
                <w:i/>
              </w:rPr>
              <w:t>/</w:t>
            </w:r>
            <w:proofErr w:type="spellStart"/>
            <w:r w:rsidRPr="00C71032">
              <w:rPr>
                <w:i/>
              </w:rPr>
              <w:t>velpatasvir</w:t>
            </w:r>
            <w:proofErr w:type="spellEnd"/>
            <w:r w:rsidRPr="00C71032">
              <w:rPr>
                <w:i/>
              </w:rPr>
              <w:t xml:space="preserve"> fixed-dose combination) is indicated for the treatment of chronic hepatitis C virus (HCV) infection (genotype 1, 2, 3, 4, 5 or 6) in adults.</w:t>
            </w:r>
          </w:p>
          <w:p w:rsidR="008E7846" w:rsidRPr="00C71032" w:rsidRDefault="00C71032" w:rsidP="00C71032">
            <w:r w:rsidRPr="00C71032">
              <w:rPr>
                <w:i/>
              </w:rPr>
              <w:t>(</w:t>
            </w:r>
            <w:proofErr w:type="gramStart"/>
            <w:r w:rsidRPr="00C71032">
              <w:rPr>
                <w:i/>
              </w:rPr>
              <w:t>see</w:t>
            </w:r>
            <w:proofErr w:type="gramEnd"/>
            <w:r w:rsidRPr="00C71032">
              <w:rPr>
                <w:i/>
              </w:rPr>
              <w:t xml:space="preserve"> DOSAGE AND ADMINISTRATION section for the recommended regimens for different </w:t>
            </w:r>
            <w:r w:rsidRPr="00C71032">
              <w:rPr>
                <w:rFonts w:eastAsiaTheme="minorHAnsi" w:cs="Cambria"/>
                <w:i/>
              </w:rPr>
              <w:t>patient subgroups).</w:t>
            </w:r>
          </w:p>
        </w:tc>
      </w:tr>
      <w:tr w:rsidR="008E7846" w:rsidRPr="00487162" w:rsidTr="000D4647">
        <w:trPr>
          <w:gridAfter w:val="1"/>
          <w:wAfter w:w="283" w:type="dxa"/>
        </w:trPr>
        <w:tc>
          <w:tcPr>
            <w:tcW w:w="2907" w:type="dxa"/>
          </w:tcPr>
          <w:p w:rsidR="008E7846" w:rsidRPr="00487162" w:rsidRDefault="00942A46" w:rsidP="00E45619">
            <w:pPr>
              <w:rPr>
                <w:i/>
              </w:rPr>
            </w:pPr>
            <w:r>
              <w:rPr>
                <w:i/>
              </w:rPr>
              <w:t>Route</w:t>
            </w:r>
            <w:r w:rsidR="008E7846" w:rsidRPr="00487162">
              <w:rPr>
                <w:i/>
              </w:rPr>
              <w:t xml:space="preserve"> of administration:</w:t>
            </w:r>
          </w:p>
        </w:tc>
        <w:tc>
          <w:tcPr>
            <w:tcW w:w="6307" w:type="dxa"/>
          </w:tcPr>
          <w:p w:rsidR="008E7846" w:rsidRPr="00487162" w:rsidRDefault="00942A46" w:rsidP="00E45619">
            <w:r>
              <w:t>oral</w:t>
            </w:r>
          </w:p>
        </w:tc>
      </w:tr>
      <w:tr w:rsidR="008E7846" w:rsidRPr="00487162" w:rsidTr="000D4647">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C71032" w:rsidP="00E45619">
            <w:r>
              <w:t>One tablet daily with or without food</w:t>
            </w:r>
          </w:p>
        </w:tc>
      </w:tr>
      <w:tr w:rsidR="008E7846" w:rsidRPr="00487162" w:rsidTr="000D4647">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942A46">
              <w:rPr>
                <w:i/>
              </w:rPr>
              <w:t>umber</w:t>
            </w:r>
            <w:r w:rsidR="001B5C90">
              <w:rPr>
                <w:i/>
              </w:rPr>
              <w:t>:</w:t>
            </w:r>
          </w:p>
        </w:tc>
        <w:tc>
          <w:tcPr>
            <w:tcW w:w="6307" w:type="dxa"/>
          </w:tcPr>
          <w:p w:rsidR="008E7846" w:rsidRPr="00487162" w:rsidRDefault="00942A46" w:rsidP="00E45619">
            <w:r>
              <w:t>266823</w:t>
            </w:r>
          </w:p>
        </w:tc>
      </w:tr>
    </w:tbl>
    <w:p w:rsidR="000D4647" w:rsidRDefault="008E7846" w:rsidP="008E7846">
      <w:pPr>
        <w:pStyle w:val="Heading3"/>
      </w:pPr>
      <w:bookmarkStart w:id="13" w:name="_Toc247691503"/>
      <w:bookmarkStart w:id="14" w:name="_Toc314842484"/>
      <w:bookmarkStart w:id="15" w:name="_Toc498681429"/>
      <w:r>
        <w:t>Product background</w:t>
      </w:r>
      <w:bookmarkEnd w:id="13"/>
      <w:bookmarkEnd w:id="14"/>
      <w:bookmarkEnd w:id="15"/>
    </w:p>
    <w:p w:rsidR="000D4647" w:rsidRDefault="00940A89" w:rsidP="001A02C5">
      <w:r w:rsidRPr="001A02C5">
        <w:t xml:space="preserve">This </w:t>
      </w:r>
      <w:proofErr w:type="spellStart"/>
      <w:r w:rsidRPr="001A02C5">
        <w:t>AusPAR</w:t>
      </w:r>
      <w:proofErr w:type="spellEnd"/>
      <w:r w:rsidRPr="001A02C5">
        <w:t xml:space="preserve"> describes the application by</w:t>
      </w:r>
      <w:r w:rsidR="00ED29B5">
        <w:t xml:space="preserve"> Gilead Sciences Pty Ltd</w:t>
      </w:r>
      <w:r w:rsidRPr="001A02C5">
        <w:t xml:space="preserve"> </w:t>
      </w:r>
      <w:r w:rsidR="00ED29B5">
        <w:t>(</w:t>
      </w:r>
      <w:r w:rsidRPr="001A02C5">
        <w:t>the sponsor</w:t>
      </w:r>
      <w:r w:rsidR="00ED29B5">
        <w:t>)</w:t>
      </w:r>
      <w:r w:rsidRPr="001A02C5">
        <w:t xml:space="preserve"> to register </w:t>
      </w:r>
      <w:proofErr w:type="spellStart"/>
      <w:r w:rsidR="001A02C5" w:rsidRPr="001A02C5">
        <w:t>E</w:t>
      </w:r>
      <w:r w:rsidR="007419D9" w:rsidRPr="001A02C5">
        <w:t>pclusa</w:t>
      </w:r>
      <w:proofErr w:type="spellEnd"/>
      <w:r w:rsidR="001A02C5" w:rsidRPr="001A02C5">
        <w:t xml:space="preserve"> </w:t>
      </w:r>
      <w:proofErr w:type="spellStart"/>
      <w:r w:rsidR="001A02C5" w:rsidRPr="001A02C5">
        <w:t>sofosbuvir</w:t>
      </w:r>
      <w:proofErr w:type="spellEnd"/>
      <w:r w:rsidR="001A02C5" w:rsidRPr="001A02C5">
        <w:t xml:space="preserve"> (400</w:t>
      </w:r>
      <w:r w:rsidR="00A82FA1">
        <w:t xml:space="preserve"> mg</w:t>
      </w:r>
      <w:r w:rsidR="001A02C5" w:rsidRPr="001A02C5">
        <w:t xml:space="preserve">) and </w:t>
      </w:r>
      <w:proofErr w:type="spellStart"/>
      <w:r w:rsidR="001A02C5" w:rsidRPr="001A02C5">
        <w:t>velpatasvir</w:t>
      </w:r>
      <w:proofErr w:type="spellEnd"/>
      <w:r w:rsidR="001A02C5" w:rsidRPr="001A02C5">
        <w:t xml:space="preserve"> (100</w:t>
      </w:r>
      <w:r w:rsidR="00A82FA1">
        <w:t xml:space="preserve"> mg</w:t>
      </w:r>
      <w:r w:rsidR="001A02C5" w:rsidRPr="001A02C5">
        <w:t xml:space="preserve">) Fixed Dose Combination (FDC) oral tablet </w:t>
      </w:r>
      <w:r w:rsidR="0070104C">
        <w:t>for the following indication:</w:t>
      </w:r>
    </w:p>
    <w:p w:rsidR="000D4647" w:rsidRDefault="007419D9" w:rsidP="001A02C5">
      <w:pPr>
        <w:ind w:left="720"/>
        <w:rPr>
          <w:i/>
        </w:rPr>
      </w:pPr>
      <w:proofErr w:type="spellStart"/>
      <w:r>
        <w:rPr>
          <w:i/>
        </w:rPr>
        <w:t>Epclusa</w:t>
      </w:r>
      <w:proofErr w:type="spellEnd"/>
      <w:r w:rsidR="001A02C5" w:rsidRPr="001A02C5">
        <w:rPr>
          <w:i/>
        </w:rPr>
        <w:t xml:space="preserve"> (</w:t>
      </w:r>
      <w:proofErr w:type="spellStart"/>
      <w:r w:rsidR="001A02C5" w:rsidRPr="001A02C5">
        <w:rPr>
          <w:i/>
        </w:rPr>
        <w:t>sofosbuvir</w:t>
      </w:r>
      <w:proofErr w:type="spellEnd"/>
      <w:r w:rsidR="001A02C5" w:rsidRPr="001A02C5">
        <w:rPr>
          <w:i/>
        </w:rPr>
        <w:t>/</w:t>
      </w:r>
      <w:proofErr w:type="spellStart"/>
      <w:r w:rsidR="001A02C5" w:rsidRPr="001A02C5">
        <w:rPr>
          <w:i/>
        </w:rPr>
        <w:t>velpatasvir</w:t>
      </w:r>
      <w:proofErr w:type="spellEnd"/>
      <w:r w:rsidR="001A02C5" w:rsidRPr="001A02C5">
        <w:rPr>
          <w:i/>
        </w:rPr>
        <w:t xml:space="preserve"> fixed dose combination) is indicated for the treatment of chronic hepatitis C virus (HCV) infection </w:t>
      </w:r>
      <w:r w:rsidR="0070104C">
        <w:rPr>
          <w:i/>
        </w:rPr>
        <w:t>in adults.</w:t>
      </w:r>
    </w:p>
    <w:p w:rsidR="000D4647" w:rsidRDefault="0070104C" w:rsidP="001A02C5">
      <w:proofErr w:type="spellStart"/>
      <w:r w:rsidRPr="00BA7CDC">
        <w:t>Velpatasvir</w:t>
      </w:r>
      <w:proofErr w:type="spellEnd"/>
      <w:r w:rsidRPr="00BA7CDC">
        <w:t xml:space="preserve"> is a new chemical entity whereas </w:t>
      </w:r>
      <w:proofErr w:type="spellStart"/>
      <w:r w:rsidRPr="00BA7CDC">
        <w:t>sofosbuvir</w:t>
      </w:r>
      <w:proofErr w:type="spellEnd"/>
      <w:r w:rsidR="0091489D">
        <w:t xml:space="preserve"> (SOF)</w:t>
      </w:r>
      <w:r w:rsidRPr="00BA7CDC">
        <w:t xml:space="preserve"> has recently been registered </w:t>
      </w:r>
      <w:r w:rsidR="00ED29B5">
        <w:t>(</w:t>
      </w:r>
      <w:r w:rsidRPr="00BA7CDC">
        <w:t xml:space="preserve">by Gilead </w:t>
      </w:r>
      <w:r w:rsidR="00ED29B5">
        <w:t xml:space="preserve">Sciences Pty Ltd) </w:t>
      </w:r>
      <w:r w:rsidRPr="00BA7CDC">
        <w:t>both as a 400</w:t>
      </w:r>
      <w:r w:rsidR="00A82FA1">
        <w:t xml:space="preserve"> mg</w:t>
      </w:r>
      <w:r w:rsidRPr="00BA7CDC">
        <w:t xml:space="preserve"> monotherapy tablet (</w:t>
      </w:r>
      <w:proofErr w:type="spellStart"/>
      <w:r w:rsidRPr="00BA7CDC">
        <w:t>S</w:t>
      </w:r>
      <w:r w:rsidR="007419D9" w:rsidRPr="00BA7CDC">
        <w:t>ovaldi</w:t>
      </w:r>
      <w:proofErr w:type="spellEnd"/>
      <w:r w:rsidR="00ED29B5">
        <w:t>,</w:t>
      </w:r>
      <w:r w:rsidRPr="00BA7CDC">
        <w:t xml:space="preserve"> </w:t>
      </w:r>
      <w:proofErr w:type="spellStart"/>
      <w:r w:rsidRPr="00BA7CDC">
        <w:t>sofosbuvir</w:t>
      </w:r>
      <w:proofErr w:type="spellEnd"/>
      <w:r w:rsidRPr="00BA7CDC">
        <w:t xml:space="preserve"> 400</w:t>
      </w:r>
      <w:r w:rsidR="00A82FA1">
        <w:t xml:space="preserve"> mg</w:t>
      </w:r>
      <w:r w:rsidRPr="00BA7CDC">
        <w:t xml:space="preserve"> tablet, ARTG 211019) and with another antiviral, </w:t>
      </w:r>
      <w:proofErr w:type="spellStart"/>
      <w:r w:rsidRPr="00BA7CDC">
        <w:t>ledipasvir</w:t>
      </w:r>
      <w:proofErr w:type="spellEnd"/>
      <w:r w:rsidRPr="00BA7CDC">
        <w:t>, in a FDC tablet (</w:t>
      </w:r>
      <w:proofErr w:type="spellStart"/>
      <w:r w:rsidRPr="00BA7CDC">
        <w:t>H</w:t>
      </w:r>
      <w:r w:rsidR="007419D9" w:rsidRPr="00BA7CDC">
        <w:t>arvoni</w:t>
      </w:r>
      <w:proofErr w:type="spellEnd"/>
      <w:r w:rsidRPr="00BA7CDC">
        <w:t xml:space="preserve"> (90</w:t>
      </w:r>
      <w:r w:rsidR="00A82FA1">
        <w:t xml:space="preserve"> mg</w:t>
      </w:r>
      <w:r w:rsidRPr="00BA7CDC">
        <w:t xml:space="preserve"> </w:t>
      </w:r>
      <w:proofErr w:type="spellStart"/>
      <w:r w:rsidRPr="00BA7CDC">
        <w:t>ledipasvir</w:t>
      </w:r>
      <w:proofErr w:type="spellEnd"/>
      <w:r w:rsidRPr="00BA7CDC">
        <w:t xml:space="preserve"> and 400</w:t>
      </w:r>
      <w:r w:rsidR="00A82FA1">
        <w:t xml:space="preserve"> mg</w:t>
      </w:r>
      <w:r w:rsidRPr="00BA7CDC">
        <w:t xml:space="preserve"> </w:t>
      </w:r>
      <w:proofErr w:type="spellStart"/>
      <w:r w:rsidRPr="00BA7CDC">
        <w:t>sofosbuvir</w:t>
      </w:r>
      <w:proofErr w:type="spellEnd"/>
      <w:r w:rsidRPr="00BA7CDC">
        <w:t xml:space="preserve"> tablet ARTG 222848)</w:t>
      </w:r>
      <w:r>
        <w:t>.</w:t>
      </w:r>
    </w:p>
    <w:p w:rsidR="000D4647" w:rsidRDefault="007419D9" w:rsidP="007419D9">
      <w:proofErr w:type="spellStart"/>
      <w:r>
        <w:lastRenderedPageBreak/>
        <w:t>Sofosbuvir</w:t>
      </w:r>
      <w:proofErr w:type="spellEnd"/>
      <w:r>
        <w:t xml:space="preserve"> (SOF) and </w:t>
      </w:r>
      <w:proofErr w:type="spellStart"/>
      <w:r>
        <w:t>v</w:t>
      </w:r>
      <w:r w:rsidR="001A02C5" w:rsidRPr="001A02C5">
        <w:t>elpatasvir</w:t>
      </w:r>
      <w:proofErr w:type="spellEnd"/>
      <w:r w:rsidR="001A02C5" w:rsidRPr="001A02C5">
        <w:t xml:space="preserve"> (VEL) </w:t>
      </w:r>
      <w:r w:rsidR="00ED29B5" w:rsidRPr="001A02C5">
        <w:t xml:space="preserve">are direct acting antiviral agents </w:t>
      </w:r>
      <w:r w:rsidR="001A02C5" w:rsidRPr="001A02C5">
        <w:t xml:space="preserve">(DAA) against Hepatitis C Virus (HCV). </w:t>
      </w:r>
      <w:proofErr w:type="spellStart"/>
      <w:r w:rsidRPr="009901C8">
        <w:t>Sofosbuvir</w:t>
      </w:r>
      <w:proofErr w:type="spellEnd"/>
      <w:r w:rsidRPr="009901C8">
        <w:t xml:space="preserve"> is a nucleotide analogue non-structural protein 5B (NS5B) polymerase inhibi</w:t>
      </w:r>
      <w:r w:rsidR="00ED29B5">
        <w:t>tor.</w:t>
      </w:r>
    </w:p>
    <w:p w:rsidR="000D4647" w:rsidRDefault="007419D9" w:rsidP="001A02C5">
      <w:proofErr w:type="spellStart"/>
      <w:r w:rsidRPr="009901C8">
        <w:t>Velpatasvir</w:t>
      </w:r>
      <w:proofErr w:type="spellEnd"/>
      <w:r w:rsidRPr="009901C8">
        <w:t xml:space="preserve"> is a novel HCV NS5A inhibitor with potent antivira</w:t>
      </w:r>
      <w:r>
        <w:t xml:space="preserve">l activity in vitro against GT1 to </w:t>
      </w:r>
      <w:r w:rsidRPr="009901C8">
        <w:t xml:space="preserve">6 replicons. </w:t>
      </w:r>
      <w:proofErr w:type="spellStart"/>
      <w:r w:rsidRPr="009901C8">
        <w:t>Velpatasvir</w:t>
      </w:r>
      <w:proofErr w:type="spellEnd"/>
      <w:r w:rsidRPr="009901C8">
        <w:t xml:space="preserve"> and </w:t>
      </w:r>
      <w:proofErr w:type="spellStart"/>
      <w:r w:rsidRPr="009901C8">
        <w:t>sofosbuvir</w:t>
      </w:r>
      <w:proofErr w:type="spellEnd"/>
      <w:r w:rsidRPr="009901C8">
        <w:t xml:space="preserve"> have been formulated in a FDC tablet for once daily use. It is hoped that </w:t>
      </w:r>
      <w:proofErr w:type="spellStart"/>
      <w:r>
        <w:t>Epclusa</w:t>
      </w:r>
      <w:proofErr w:type="spellEnd"/>
      <w:r w:rsidRPr="009901C8">
        <w:t xml:space="preserve"> will offer a well-tolerated, once daily, single dose, 12 week treatment for patients with HCV infection of any genotype, in non-cirrhotic patients and in those with compensated or decompensated cirrhosis</w:t>
      </w:r>
      <w:r w:rsidR="00ED29B5">
        <w:t xml:space="preserve">. </w:t>
      </w:r>
      <w:r w:rsidR="00ED29B5" w:rsidRPr="009901C8">
        <w:t xml:space="preserve">Gilead does not intend to develop </w:t>
      </w:r>
      <w:proofErr w:type="spellStart"/>
      <w:r w:rsidR="00ED29B5" w:rsidRPr="009901C8">
        <w:t>velpatasvir</w:t>
      </w:r>
      <w:proofErr w:type="spellEnd"/>
      <w:r w:rsidR="00ED29B5" w:rsidRPr="009901C8">
        <w:t xml:space="preserve"> f</w:t>
      </w:r>
      <w:r w:rsidR="00ED29B5">
        <w:t>or use as a single agent tablet.</w:t>
      </w:r>
    </w:p>
    <w:p w:rsidR="000D4647" w:rsidRDefault="00386150" w:rsidP="008E7846">
      <w:pPr>
        <w:pStyle w:val="Heading3"/>
      </w:pPr>
      <w:bookmarkStart w:id="16" w:name="_Toc314842485"/>
      <w:bookmarkStart w:id="17" w:name="_Toc247691504"/>
      <w:bookmarkStart w:id="18" w:name="_Toc498681430"/>
      <w:r>
        <w:t>Regulatory s</w:t>
      </w:r>
      <w:r w:rsidR="008E7846">
        <w:t>tatus</w:t>
      </w:r>
      <w:bookmarkEnd w:id="16"/>
      <w:bookmarkEnd w:id="17"/>
      <w:bookmarkEnd w:id="18"/>
    </w:p>
    <w:p w:rsidR="000D4647" w:rsidRDefault="00940A89" w:rsidP="00940A89">
      <w:bookmarkStart w:id="19" w:name="_Toc247691505"/>
      <w:bookmarkStart w:id="20" w:name="_Toc314842486"/>
      <w:r w:rsidRPr="00940A89">
        <w:t>The product received initial registration on the Australian Register of Therapeutic Goods (ARTG) on</w:t>
      </w:r>
      <w:r w:rsidR="00C71032">
        <w:t xml:space="preserve"> 19 December 2016.</w:t>
      </w:r>
    </w:p>
    <w:p w:rsidR="000D4647" w:rsidRDefault="00940A89" w:rsidP="00940A89">
      <w:r w:rsidRPr="00940A89">
        <w:t xml:space="preserve">At the time the </w:t>
      </w:r>
      <w:r w:rsidR="00C71032">
        <w:t>TGA considered this application</w:t>
      </w:r>
      <w:r w:rsidRPr="00940A89">
        <w:t xml:space="preserve"> a similar application had been approved in </w:t>
      </w:r>
      <w:r w:rsidR="00BA7CDC">
        <w:t>the following countries as shown in Table 1.</w:t>
      </w:r>
    </w:p>
    <w:p w:rsidR="00C71032" w:rsidRDefault="00C71032" w:rsidP="00C71032">
      <w:pPr>
        <w:pStyle w:val="TableTitle"/>
      </w:pPr>
      <w:r>
        <w:t>Table 1 Overse</w:t>
      </w:r>
      <w:r w:rsidR="007419D9">
        <w:t>as regulatory status</w:t>
      </w:r>
    </w:p>
    <w:tbl>
      <w:tblPr>
        <w:tblStyle w:val="TableTGAblue"/>
        <w:tblW w:w="0" w:type="auto"/>
        <w:tblLook w:val="04A0" w:firstRow="1" w:lastRow="0" w:firstColumn="1" w:lastColumn="0" w:noHBand="0" w:noVBand="1"/>
        <w:tblDescription w:val="Table 1 Overseas regulatory status"/>
      </w:tblPr>
      <w:tblGrid>
        <w:gridCol w:w="1951"/>
        <w:gridCol w:w="2126"/>
        <w:gridCol w:w="4643"/>
      </w:tblGrid>
      <w:tr w:rsidR="00C71032" w:rsidRPr="00651EE8" w:rsidTr="00651EE8">
        <w:trPr>
          <w:cnfStyle w:val="100000000000" w:firstRow="1" w:lastRow="0" w:firstColumn="0" w:lastColumn="0" w:oddVBand="0" w:evenVBand="0" w:oddHBand="0" w:evenHBand="0" w:firstRowFirstColumn="0" w:firstRowLastColumn="0" w:lastRowFirstColumn="0" w:lastRowLastColumn="0"/>
        </w:trPr>
        <w:tc>
          <w:tcPr>
            <w:tcW w:w="1951" w:type="dxa"/>
          </w:tcPr>
          <w:p w:rsidR="00C71032" w:rsidRPr="00651EE8" w:rsidRDefault="00C71032" w:rsidP="00651EE8">
            <w:pPr>
              <w:ind w:left="0" w:right="0"/>
              <w:rPr>
                <w:sz w:val="20"/>
                <w:szCs w:val="20"/>
              </w:rPr>
            </w:pPr>
            <w:r w:rsidRPr="00651EE8">
              <w:rPr>
                <w:sz w:val="20"/>
                <w:szCs w:val="20"/>
              </w:rPr>
              <w:t>Country</w:t>
            </w:r>
          </w:p>
        </w:tc>
        <w:tc>
          <w:tcPr>
            <w:tcW w:w="2126" w:type="dxa"/>
          </w:tcPr>
          <w:p w:rsidR="00C71032" w:rsidRPr="00651EE8" w:rsidRDefault="00651EE8" w:rsidP="00651EE8">
            <w:pPr>
              <w:ind w:left="0" w:right="0"/>
              <w:rPr>
                <w:sz w:val="20"/>
                <w:szCs w:val="20"/>
              </w:rPr>
            </w:pPr>
            <w:r w:rsidRPr="00651EE8">
              <w:rPr>
                <w:sz w:val="20"/>
                <w:szCs w:val="20"/>
              </w:rPr>
              <w:t>Approval date</w:t>
            </w:r>
          </w:p>
        </w:tc>
        <w:tc>
          <w:tcPr>
            <w:tcW w:w="4643" w:type="dxa"/>
          </w:tcPr>
          <w:p w:rsidR="00C71032" w:rsidRPr="00651EE8" w:rsidRDefault="00651EE8" w:rsidP="00651EE8">
            <w:pPr>
              <w:ind w:left="0" w:right="0"/>
              <w:rPr>
                <w:sz w:val="20"/>
                <w:szCs w:val="20"/>
              </w:rPr>
            </w:pPr>
            <w:r w:rsidRPr="00651EE8">
              <w:rPr>
                <w:sz w:val="20"/>
                <w:szCs w:val="20"/>
              </w:rPr>
              <w:t>Indication</w:t>
            </w:r>
          </w:p>
        </w:tc>
      </w:tr>
      <w:tr w:rsidR="00C71032" w:rsidRPr="00651EE8" w:rsidTr="00651EE8">
        <w:tc>
          <w:tcPr>
            <w:tcW w:w="1951" w:type="dxa"/>
          </w:tcPr>
          <w:p w:rsidR="000D4647" w:rsidRDefault="00651EE8" w:rsidP="00651EE8">
            <w:pPr>
              <w:rPr>
                <w:sz w:val="20"/>
                <w:szCs w:val="20"/>
              </w:rPr>
            </w:pPr>
            <w:r w:rsidRPr="00651EE8">
              <w:rPr>
                <w:sz w:val="20"/>
                <w:szCs w:val="20"/>
              </w:rPr>
              <w:t>USA</w:t>
            </w:r>
          </w:p>
          <w:p w:rsidR="00651EE8" w:rsidRPr="00651EE8" w:rsidRDefault="00651EE8" w:rsidP="00651EE8">
            <w:pPr>
              <w:ind w:left="0" w:right="0"/>
              <w:rPr>
                <w:sz w:val="20"/>
                <w:szCs w:val="20"/>
              </w:rPr>
            </w:pPr>
            <w:r>
              <w:rPr>
                <w:sz w:val="20"/>
                <w:szCs w:val="20"/>
              </w:rPr>
              <w:t>Submitted 29 October 2015</w:t>
            </w:r>
          </w:p>
        </w:tc>
        <w:tc>
          <w:tcPr>
            <w:tcW w:w="2126" w:type="dxa"/>
          </w:tcPr>
          <w:p w:rsidR="00C71032" w:rsidRPr="00651EE8" w:rsidRDefault="00651EE8" w:rsidP="00651EE8">
            <w:pPr>
              <w:ind w:left="0" w:right="0"/>
              <w:rPr>
                <w:sz w:val="20"/>
                <w:szCs w:val="20"/>
              </w:rPr>
            </w:pPr>
            <w:r w:rsidRPr="00651EE8">
              <w:rPr>
                <w:sz w:val="20"/>
                <w:szCs w:val="20"/>
              </w:rPr>
              <w:t>29 October 2015</w:t>
            </w:r>
          </w:p>
        </w:tc>
        <w:tc>
          <w:tcPr>
            <w:tcW w:w="4643" w:type="dxa"/>
          </w:tcPr>
          <w:p w:rsidR="000D4647" w:rsidRDefault="00651EE8" w:rsidP="00651EE8">
            <w:pPr>
              <w:rPr>
                <w:sz w:val="20"/>
                <w:szCs w:val="20"/>
              </w:rPr>
            </w:pPr>
            <w:proofErr w:type="spellStart"/>
            <w:r w:rsidRPr="00651EE8">
              <w:rPr>
                <w:sz w:val="20"/>
                <w:szCs w:val="20"/>
              </w:rPr>
              <w:t>Epclusa</w:t>
            </w:r>
            <w:proofErr w:type="spellEnd"/>
            <w:r w:rsidRPr="00651EE8">
              <w:rPr>
                <w:sz w:val="20"/>
                <w:szCs w:val="20"/>
              </w:rPr>
              <w:t xml:space="preserve"> is a fixed dose combination of </w:t>
            </w:r>
            <w:proofErr w:type="spellStart"/>
            <w:r w:rsidRPr="00651EE8">
              <w:rPr>
                <w:sz w:val="20"/>
                <w:szCs w:val="20"/>
              </w:rPr>
              <w:t>sofosbuvir</w:t>
            </w:r>
            <w:proofErr w:type="spellEnd"/>
            <w:r w:rsidRPr="00651EE8">
              <w:rPr>
                <w:sz w:val="20"/>
                <w:szCs w:val="20"/>
              </w:rPr>
              <w:t xml:space="preserve">, a hepatitis C virus (HCV) nucleotide </w:t>
            </w:r>
            <w:proofErr w:type="spellStart"/>
            <w:r w:rsidRPr="00651EE8">
              <w:rPr>
                <w:sz w:val="20"/>
                <w:szCs w:val="20"/>
              </w:rPr>
              <w:t>analog</w:t>
            </w:r>
            <w:proofErr w:type="spellEnd"/>
            <w:r w:rsidRPr="00651EE8">
              <w:rPr>
                <w:sz w:val="20"/>
                <w:szCs w:val="20"/>
              </w:rPr>
              <w:t xml:space="preserve"> NS5B polymerase inhibitor, and </w:t>
            </w:r>
            <w:proofErr w:type="spellStart"/>
            <w:r w:rsidRPr="00651EE8">
              <w:rPr>
                <w:sz w:val="20"/>
                <w:szCs w:val="20"/>
              </w:rPr>
              <w:t>velpatasvir</w:t>
            </w:r>
            <w:proofErr w:type="spellEnd"/>
            <w:r w:rsidRPr="00651EE8">
              <w:rPr>
                <w:sz w:val="20"/>
                <w:szCs w:val="20"/>
              </w:rPr>
              <w:t>, an HCV NS5A inhibitor, and is indicated for the treatment of adult patients with chronic HCV genotype 1, 2, 3, 4, 5 or 6 infection</w:t>
            </w:r>
            <w:r w:rsidR="00ED29B5">
              <w:rPr>
                <w:sz w:val="20"/>
                <w:szCs w:val="20"/>
              </w:rPr>
              <w:t xml:space="preserve"> </w:t>
            </w:r>
            <w:r w:rsidRPr="00651EE8">
              <w:rPr>
                <w:sz w:val="20"/>
                <w:szCs w:val="20"/>
              </w:rPr>
              <w:t>(1)</w:t>
            </w:r>
          </w:p>
          <w:p w:rsidR="000D4647" w:rsidRDefault="00651EE8" w:rsidP="007419D9">
            <w:pPr>
              <w:pStyle w:val="ListBullet2"/>
              <w:rPr>
                <w:sz w:val="20"/>
                <w:szCs w:val="20"/>
              </w:rPr>
            </w:pPr>
            <w:r w:rsidRPr="007419D9">
              <w:rPr>
                <w:sz w:val="20"/>
                <w:szCs w:val="20"/>
              </w:rPr>
              <w:t>Without cirrhosis or with compensated cirrhosis</w:t>
            </w:r>
          </w:p>
          <w:p w:rsidR="00651EE8" w:rsidRPr="00651EE8" w:rsidRDefault="00651EE8" w:rsidP="007419D9">
            <w:pPr>
              <w:pStyle w:val="ListBullet2"/>
            </w:pPr>
            <w:r w:rsidRPr="007419D9">
              <w:rPr>
                <w:sz w:val="20"/>
                <w:szCs w:val="20"/>
              </w:rPr>
              <w:t>With decompensated cirrhosis for use in combination with ribavirin.</w:t>
            </w:r>
          </w:p>
        </w:tc>
      </w:tr>
      <w:tr w:rsidR="00C71032" w:rsidRPr="00651EE8" w:rsidTr="00651EE8">
        <w:tc>
          <w:tcPr>
            <w:tcW w:w="1951" w:type="dxa"/>
          </w:tcPr>
          <w:p w:rsidR="000D4647" w:rsidRDefault="00651EE8" w:rsidP="00651EE8">
            <w:pPr>
              <w:rPr>
                <w:sz w:val="20"/>
                <w:szCs w:val="20"/>
              </w:rPr>
            </w:pPr>
            <w:r w:rsidRPr="00651EE8">
              <w:rPr>
                <w:sz w:val="20"/>
                <w:szCs w:val="20"/>
              </w:rPr>
              <w:t>Europea</w:t>
            </w:r>
            <w:r w:rsidR="000D4647">
              <w:rPr>
                <w:sz w:val="20"/>
                <w:szCs w:val="20"/>
              </w:rPr>
              <w:t>n Union (Centralised Procedure)</w:t>
            </w:r>
          </w:p>
          <w:p w:rsidR="000D4647" w:rsidRDefault="000D4647" w:rsidP="00651EE8">
            <w:pPr>
              <w:rPr>
                <w:sz w:val="20"/>
                <w:szCs w:val="20"/>
              </w:rPr>
            </w:pPr>
            <w:r>
              <w:rPr>
                <w:sz w:val="20"/>
                <w:szCs w:val="20"/>
              </w:rPr>
              <w:t>Rapporteur: Sweden</w:t>
            </w:r>
          </w:p>
          <w:p w:rsidR="000D4647" w:rsidRDefault="000D4647" w:rsidP="00651EE8">
            <w:pPr>
              <w:rPr>
                <w:sz w:val="20"/>
                <w:szCs w:val="20"/>
              </w:rPr>
            </w:pPr>
            <w:r>
              <w:rPr>
                <w:sz w:val="20"/>
                <w:szCs w:val="20"/>
              </w:rPr>
              <w:t>Co –Rapporteur: Estonia</w:t>
            </w:r>
          </w:p>
          <w:p w:rsidR="00651EE8" w:rsidRPr="00651EE8" w:rsidRDefault="00651EE8" w:rsidP="00651EE8">
            <w:pPr>
              <w:ind w:left="0" w:right="0"/>
            </w:pPr>
            <w:r>
              <w:rPr>
                <w:sz w:val="20"/>
                <w:szCs w:val="20"/>
              </w:rPr>
              <w:t>Submitted 14 November 2015</w:t>
            </w:r>
          </w:p>
        </w:tc>
        <w:tc>
          <w:tcPr>
            <w:tcW w:w="2126" w:type="dxa"/>
          </w:tcPr>
          <w:p w:rsidR="00C71032" w:rsidRPr="00651EE8" w:rsidRDefault="00651EE8" w:rsidP="00651EE8">
            <w:pPr>
              <w:ind w:left="0" w:right="0"/>
              <w:rPr>
                <w:sz w:val="20"/>
                <w:szCs w:val="20"/>
              </w:rPr>
            </w:pPr>
            <w:r>
              <w:rPr>
                <w:sz w:val="20"/>
                <w:szCs w:val="20"/>
              </w:rPr>
              <w:t>6 July 2016</w:t>
            </w:r>
          </w:p>
        </w:tc>
        <w:tc>
          <w:tcPr>
            <w:tcW w:w="4643" w:type="dxa"/>
          </w:tcPr>
          <w:p w:rsidR="00C71032" w:rsidRPr="00651EE8" w:rsidRDefault="007419D9" w:rsidP="00651EE8">
            <w:pPr>
              <w:ind w:left="0" w:right="0"/>
              <w:rPr>
                <w:sz w:val="20"/>
                <w:szCs w:val="20"/>
              </w:rPr>
            </w:pPr>
            <w:proofErr w:type="spellStart"/>
            <w:r>
              <w:rPr>
                <w:sz w:val="20"/>
                <w:szCs w:val="20"/>
              </w:rPr>
              <w:t>Epclusa</w:t>
            </w:r>
            <w:proofErr w:type="spellEnd"/>
            <w:r w:rsidR="00651EE8" w:rsidRPr="00651EE8">
              <w:rPr>
                <w:sz w:val="20"/>
                <w:szCs w:val="20"/>
              </w:rPr>
              <w:t xml:space="preserve"> is indicated for the treatment of chronic hepatitis C </w:t>
            </w:r>
            <w:r w:rsidR="00651EE8">
              <w:rPr>
                <w:sz w:val="20"/>
                <w:szCs w:val="20"/>
              </w:rPr>
              <w:t>virus (HCV) infection in adults.</w:t>
            </w:r>
          </w:p>
        </w:tc>
      </w:tr>
      <w:tr w:rsidR="00C71032" w:rsidRPr="00651EE8" w:rsidTr="00651EE8">
        <w:tc>
          <w:tcPr>
            <w:tcW w:w="1951" w:type="dxa"/>
          </w:tcPr>
          <w:p w:rsidR="000D4647" w:rsidRDefault="00651EE8" w:rsidP="00651EE8">
            <w:pPr>
              <w:rPr>
                <w:sz w:val="20"/>
                <w:szCs w:val="20"/>
              </w:rPr>
            </w:pPr>
            <w:r>
              <w:rPr>
                <w:sz w:val="20"/>
                <w:szCs w:val="20"/>
              </w:rPr>
              <w:t>Canada</w:t>
            </w:r>
          </w:p>
          <w:p w:rsidR="00651EE8" w:rsidRPr="00651EE8" w:rsidRDefault="00651EE8" w:rsidP="00651EE8">
            <w:pPr>
              <w:ind w:left="0" w:right="0"/>
              <w:rPr>
                <w:sz w:val="20"/>
                <w:szCs w:val="20"/>
              </w:rPr>
            </w:pPr>
            <w:r>
              <w:rPr>
                <w:sz w:val="20"/>
                <w:szCs w:val="20"/>
              </w:rPr>
              <w:t>Submitted 10 December 2015</w:t>
            </w:r>
          </w:p>
        </w:tc>
        <w:tc>
          <w:tcPr>
            <w:tcW w:w="2126" w:type="dxa"/>
          </w:tcPr>
          <w:p w:rsidR="00C71032" w:rsidRPr="00651EE8" w:rsidRDefault="00651EE8" w:rsidP="00651EE8">
            <w:pPr>
              <w:ind w:left="0" w:right="0"/>
              <w:rPr>
                <w:sz w:val="20"/>
                <w:szCs w:val="20"/>
              </w:rPr>
            </w:pPr>
            <w:r>
              <w:rPr>
                <w:sz w:val="20"/>
                <w:szCs w:val="20"/>
              </w:rPr>
              <w:t>11 July 2016</w:t>
            </w:r>
          </w:p>
        </w:tc>
        <w:tc>
          <w:tcPr>
            <w:tcW w:w="4643" w:type="dxa"/>
          </w:tcPr>
          <w:p w:rsidR="000D4647" w:rsidRDefault="007419D9" w:rsidP="00651EE8">
            <w:pPr>
              <w:rPr>
                <w:sz w:val="20"/>
                <w:szCs w:val="20"/>
              </w:rPr>
            </w:pPr>
            <w:proofErr w:type="spellStart"/>
            <w:r>
              <w:rPr>
                <w:sz w:val="20"/>
                <w:szCs w:val="20"/>
              </w:rPr>
              <w:t>Epclusa</w:t>
            </w:r>
            <w:proofErr w:type="spellEnd"/>
            <w:r w:rsidR="00651EE8" w:rsidRPr="00651EE8">
              <w:rPr>
                <w:sz w:val="20"/>
                <w:szCs w:val="20"/>
              </w:rPr>
              <w:t xml:space="preserve"> (</w:t>
            </w:r>
            <w:proofErr w:type="spellStart"/>
            <w:r w:rsidR="00651EE8" w:rsidRPr="00651EE8">
              <w:rPr>
                <w:sz w:val="20"/>
                <w:szCs w:val="20"/>
              </w:rPr>
              <w:t>sofosb</w:t>
            </w:r>
            <w:r>
              <w:rPr>
                <w:sz w:val="20"/>
                <w:szCs w:val="20"/>
              </w:rPr>
              <w:t>uvir</w:t>
            </w:r>
            <w:proofErr w:type="spellEnd"/>
            <w:r>
              <w:rPr>
                <w:sz w:val="20"/>
                <w:szCs w:val="20"/>
              </w:rPr>
              <w:t>/</w:t>
            </w:r>
            <w:proofErr w:type="spellStart"/>
            <w:r>
              <w:rPr>
                <w:sz w:val="20"/>
                <w:szCs w:val="20"/>
              </w:rPr>
              <w:t>velpatasvir</w:t>
            </w:r>
            <w:proofErr w:type="spellEnd"/>
            <w:r>
              <w:rPr>
                <w:sz w:val="20"/>
                <w:szCs w:val="20"/>
              </w:rPr>
              <w:t>) is indicated:</w:t>
            </w:r>
          </w:p>
          <w:p w:rsidR="000D4647" w:rsidRDefault="00651EE8" w:rsidP="007419D9">
            <w:pPr>
              <w:pStyle w:val="ListBullet2"/>
              <w:rPr>
                <w:sz w:val="20"/>
                <w:szCs w:val="20"/>
              </w:rPr>
            </w:pPr>
            <w:r w:rsidRPr="007419D9">
              <w:rPr>
                <w:sz w:val="20"/>
                <w:szCs w:val="20"/>
              </w:rPr>
              <w:t>for the treatment of chronic hepatitis C virus (HCV) infection in adults without cirrhosi</w:t>
            </w:r>
            <w:r w:rsidR="000D4647">
              <w:rPr>
                <w:sz w:val="20"/>
                <w:szCs w:val="20"/>
              </w:rPr>
              <w:t>s or with compensated cirrhosis</w:t>
            </w:r>
          </w:p>
          <w:p w:rsidR="00C71032" w:rsidRPr="007419D9" w:rsidRDefault="00651EE8" w:rsidP="007419D9">
            <w:pPr>
              <w:pStyle w:val="ListBullet2"/>
              <w:rPr>
                <w:sz w:val="20"/>
                <w:szCs w:val="20"/>
              </w:rPr>
            </w:pPr>
            <w:proofErr w:type="gramStart"/>
            <w:r w:rsidRPr="007419D9">
              <w:rPr>
                <w:sz w:val="20"/>
                <w:szCs w:val="20"/>
              </w:rPr>
              <w:t>in</w:t>
            </w:r>
            <w:proofErr w:type="gramEnd"/>
            <w:r w:rsidRPr="007419D9">
              <w:rPr>
                <w:sz w:val="20"/>
                <w:szCs w:val="20"/>
              </w:rPr>
              <w:t xml:space="preserve"> combination with ribavirin for the treatment of chronic hepatitis C virus (HCV) infection in adults with decompensated cirrhosis.</w:t>
            </w:r>
          </w:p>
        </w:tc>
      </w:tr>
      <w:tr w:rsidR="00C71032" w:rsidRPr="00651EE8" w:rsidTr="00651EE8">
        <w:tc>
          <w:tcPr>
            <w:tcW w:w="1951" w:type="dxa"/>
          </w:tcPr>
          <w:p w:rsidR="000D4647" w:rsidRDefault="00651EE8" w:rsidP="00651EE8">
            <w:pPr>
              <w:pStyle w:val="Default"/>
              <w:rPr>
                <w:sz w:val="20"/>
                <w:szCs w:val="20"/>
              </w:rPr>
            </w:pPr>
            <w:r>
              <w:rPr>
                <w:sz w:val="20"/>
                <w:szCs w:val="20"/>
              </w:rPr>
              <w:lastRenderedPageBreak/>
              <w:t xml:space="preserve">New Zealand </w:t>
            </w:r>
          </w:p>
          <w:p w:rsidR="00C71032" w:rsidRPr="00651EE8" w:rsidRDefault="00651EE8" w:rsidP="00651EE8">
            <w:pPr>
              <w:ind w:left="0" w:right="0"/>
              <w:rPr>
                <w:sz w:val="20"/>
                <w:szCs w:val="20"/>
              </w:rPr>
            </w:pPr>
            <w:r>
              <w:rPr>
                <w:sz w:val="20"/>
                <w:szCs w:val="20"/>
              </w:rPr>
              <w:t>Submitted 18 January 2016</w:t>
            </w:r>
          </w:p>
        </w:tc>
        <w:tc>
          <w:tcPr>
            <w:tcW w:w="2126" w:type="dxa"/>
          </w:tcPr>
          <w:p w:rsidR="00C71032" w:rsidRPr="00651EE8" w:rsidRDefault="00651EE8" w:rsidP="00651EE8">
            <w:pPr>
              <w:ind w:left="0" w:right="0"/>
              <w:rPr>
                <w:sz w:val="20"/>
                <w:szCs w:val="20"/>
              </w:rPr>
            </w:pPr>
            <w:r>
              <w:rPr>
                <w:sz w:val="20"/>
                <w:szCs w:val="20"/>
              </w:rPr>
              <w:t>10 November 2016</w:t>
            </w:r>
          </w:p>
        </w:tc>
        <w:tc>
          <w:tcPr>
            <w:tcW w:w="4643" w:type="dxa"/>
          </w:tcPr>
          <w:p w:rsidR="00C71032" w:rsidRPr="00BA7CDC" w:rsidRDefault="007419D9" w:rsidP="00BA7CDC">
            <w:pPr>
              <w:ind w:left="0" w:right="0"/>
              <w:rPr>
                <w:sz w:val="20"/>
                <w:szCs w:val="20"/>
              </w:rPr>
            </w:pPr>
            <w:proofErr w:type="spellStart"/>
            <w:r>
              <w:rPr>
                <w:sz w:val="20"/>
                <w:szCs w:val="20"/>
              </w:rPr>
              <w:t>Epclusa</w:t>
            </w:r>
            <w:proofErr w:type="spellEnd"/>
            <w:r w:rsidR="00651EE8" w:rsidRPr="00BA7CDC">
              <w:rPr>
                <w:sz w:val="20"/>
                <w:szCs w:val="20"/>
              </w:rPr>
              <w:t xml:space="preserve"> (</w:t>
            </w:r>
            <w:proofErr w:type="spellStart"/>
            <w:r w:rsidR="00651EE8" w:rsidRPr="00BA7CDC">
              <w:rPr>
                <w:sz w:val="20"/>
                <w:szCs w:val="20"/>
              </w:rPr>
              <w:t>sofosbuvir</w:t>
            </w:r>
            <w:proofErr w:type="spellEnd"/>
            <w:r w:rsidR="00651EE8" w:rsidRPr="00BA7CDC">
              <w:rPr>
                <w:sz w:val="20"/>
                <w:szCs w:val="20"/>
              </w:rPr>
              <w:t>/</w:t>
            </w:r>
            <w:proofErr w:type="spellStart"/>
            <w:r w:rsidR="00651EE8" w:rsidRPr="00BA7CDC">
              <w:rPr>
                <w:sz w:val="20"/>
                <w:szCs w:val="20"/>
              </w:rPr>
              <w:t>velpatasvir</w:t>
            </w:r>
            <w:proofErr w:type="spellEnd"/>
            <w:r w:rsidR="00651EE8" w:rsidRPr="00BA7CDC">
              <w:rPr>
                <w:sz w:val="20"/>
                <w:szCs w:val="20"/>
              </w:rPr>
              <w:t xml:space="preserve"> fixed-dose combination) is indicated for the treatment of </w:t>
            </w:r>
            <w:r w:rsidR="00BA7CDC" w:rsidRPr="00BA7CDC">
              <w:rPr>
                <w:sz w:val="20"/>
                <w:szCs w:val="20"/>
              </w:rPr>
              <w:t xml:space="preserve">chronic hepatitis C </w:t>
            </w:r>
            <w:r>
              <w:rPr>
                <w:sz w:val="20"/>
                <w:szCs w:val="20"/>
              </w:rPr>
              <w:t>virus (HCV) infection in adults.</w:t>
            </w:r>
          </w:p>
        </w:tc>
      </w:tr>
    </w:tbl>
    <w:p w:rsidR="000D4647" w:rsidRDefault="008E7846" w:rsidP="00940A89">
      <w:pPr>
        <w:pStyle w:val="Heading3"/>
      </w:pPr>
      <w:bookmarkStart w:id="21" w:name="_Toc498681431"/>
      <w:r>
        <w:t>Product Information</w:t>
      </w:r>
      <w:bookmarkEnd w:id="19"/>
      <w:bookmarkEnd w:id="20"/>
      <w:bookmarkEnd w:id="21"/>
    </w:p>
    <w:p w:rsidR="000D4647"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0D4647">
        <w:t>&lt;</w:t>
      </w:r>
      <w:hyperlink r:id="rId14" w:history="1">
        <w:r w:rsidR="00441C3F" w:rsidRPr="00441C3F">
          <w:rPr>
            <w:rStyle w:val="Hyperlink"/>
          </w:rPr>
          <w:t>https://www.tga.gov.au/product-information-pi</w:t>
        </w:r>
      </w:hyperlink>
      <w:r w:rsidR="00BE0146">
        <w:t>&gt;</w:t>
      </w:r>
      <w:r w:rsidR="00940A89" w:rsidRPr="00940A89">
        <w:t>.</w:t>
      </w:r>
    </w:p>
    <w:p w:rsidR="000D4647" w:rsidRDefault="008E7846" w:rsidP="008E7846">
      <w:pPr>
        <w:pStyle w:val="Heading2"/>
        <w:ind w:left="-11"/>
      </w:pPr>
      <w:bookmarkStart w:id="24" w:name="_Toc498681432"/>
      <w:r>
        <w:t>II. Quality</w:t>
      </w:r>
      <w:bookmarkEnd w:id="2"/>
      <w:r>
        <w:t xml:space="preserve"> findings</w:t>
      </w:r>
      <w:bookmarkEnd w:id="22"/>
      <w:bookmarkEnd w:id="23"/>
      <w:bookmarkEnd w:id="24"/>
    </w:p>
    <w:p w:rsidR="000D4647" w:rsidRDefault="008E7846" w:rsidP="00940A89">
      <w:pPr>
        <w:pStyle w:val="Heading3"/>
      </w:pPr>
      <w:bookmarkStart w:id="25" w:name="_Toc247691507"/>
      <w:bookmarkStart w:id="26" w:name="_Toc314842488"/>
      <w:bookmarkStart w:id="27" w:name="_Toc498681433"/>
      <w:r w:rsidRPr="008751DC">
        <w:t xml:space="preserve">Drug </w:t>
      </w:r>
      <w:r>
        <w:t>s</w:t>
      </w:r>
      <w:r w:rsidRPr="008751DC">
        <w:t>ubstance</w:t>
      </w:r>
      <w:r>
        <w:t xml:space="preserve"> (active ingredient)</w:t>
      </w:r>
      <w:bookmarkEnd w:id="25"/>
      <w:bookmarkEnd w:id="26"/>
      <w:bookmarkEnd w:id="27"/>
    </w:p>
    <w:p w:rsidR="000D4647" w:rsidRDefault="00BA7CDC" w:rsidP="00BA7CDC">
      <w:pPr>
        <w:pStyle w:val="Heading4"/>
      </w:pPr>
      <w:bookmarkStart w:id="28" w:name="_Toc247691508"/>
      <w:bookmarkStart w:id="29" w:name="_Toc314842490"/>
      <w:proofErr w:type="spellStart"/>
      <w:r w:rsidRPr="00BA7CDC">
        <w:t>Velpatasvir</w:t>
      </w:r>
      <w:proofErr w:type="spellEnd"/>
    </w:p>
    <w:p w:rsidR="000D4647" w:rsidRDefault="00BA7CDC" w:rsidP="00BA7CDC">
      <w:proofErr w:type="spellStart"/>
      <w:r w:rsidRPr="00BA7CDC">
        <w:t>Velpatasvir</w:t>
      </w:r>
      <w:proofErr w:type="spellEnd"/>
      <w:r w:rsidRPr="00BA7CDC">
        <w:t xml:space="preserve"> is a HCV inhibitor targeting the HCV NS5A protein, which is essential for both </w:t>
      </w:r>
      <w:r w:rsidR="0091489D">
        <w:t>ribonucleic acid</w:t>
      </w:r>
      <w:r w:rsidR="0091489D" w:rsidRPr="00BA7CDC">
        <w:t xml:space="preserve"> </w:t>
      </w:r>
      <w:r w:rsidR="0091489D">
        <w:t>(</w:t>
      </w:r>
      <w:r w:rsidRPr="00BA7CDC">
        <w:t>RNA</w:t>
      </w:r>
      <w:r w:rsidR="0091489D">
        <w:t>)</w:t>
      </w:r>
      <w:r w:rsidRPr="00BA7CDC">
        <w:t xml:space="preserve"> replication and the assembly of HCV </w:t>
      </w:r>
      <w:proofErr w:type="spellStart"/>
      <w:r w:rsidRPr="00BA7CDC">
        <w:t>virions</w:t>
      </w:r>
      <w:proofErr w:type="spellEnd"/>
      <w:r w:rsidRPr="00BA7CDC">
        <w:t>.</w:t>
      </w:r>
    </w:p>
    <w:p w:rsidR="000D4647" w:rsidRDefault="007419D9" w:rsidP="00BA7CDC">
      <w:pPr>
        <w:pStyle w:val="FigureTitle"/>
      </w:pPr>
      <w:r>
        <w:t>Figure 1:</w:t>
      </w:r>
      <w:r w:rsidR="00BA7CDC">
        <w:t xml:space="preserve"> Structure of </w:t>
      </w:r>
      <w:proofErr w:type="spellStart"/>
      <w:r w:rsidR="00BA7CDC">
        <w:t>velpatasvir</w:t>
      </w:r>
      <w:proofErr w:type="spellEnd"/>
    </w:p>
    <w:p w:rsidR="000D4647" w:rsidRDefault="00BA7CDC" w:rsidP="000D4647">
      <w:pPr>
        <w:pStyle w:val="FigureTitle"/>
        <w:keepNext w:val="0"/>
      </w:pPr>
      <w:r>
        <w:rPr>
          <w:noProof/>
          <w:lang w:eastAsia="en-AU"/>
        </w:rPr>
        <w:drawing>
          <wp:inline distT="0" distB="0" distL="0" distR="0" wp14:anchorId="743499AF" wp14:editId="20F8D5D2">
            <wp:extent cx="3648075" cy="1304925"/>
            <wp:effectExtent l="0" t="0" r="9525" b="9525"/>
            <wp:docPr id="10" name="Picture 10" descr="Figure 1: Structure of velpatas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48075" cy="1304925"/>
                    </a:xfrm>
                    <a:prstGeom prst="rect">
                      <a:avLst/>
                    </a:prstGeom>
                  </pic:spPr>
                </pic:pic>
              </a:graphicData>
            </a:graphic>
          </wp:inline>
        </w:drawing>
      </w:r>
    </w:p>
    <w:p w:rsidR="000D4647" w:rsidRDefault="00BA7CDC" w:rsidP="00BA7CDC">
      <w:r w:rsidRPr="00BA7CDC">
        <w:t>It has six chiral centres and is produced as a single isomer. The drug substance is obtained as an amorphous powder; it is soluble at pH 1.2 (</w:t>
      </w:r>
      <w:r w:rsidR="00F044A6">
        <w:t xml:space="preserve">&gt; </w:t>
      </w:r>
      <w:r w:rsidRPr="00BA7CDC">
        <w:t>36</w:t>
      </w:r>
      <w:r w:rsidR="00A82FA1">
        <w:t xml:space="preserve"> mg</w:t>
      </w:r>
      <w:r w:rsidRPr="00BA7CDC">
        <w:t>/mL) slightly soluble at pH 2 (3.6</w:t>
      </w:r>
      <w:r w:rsidR="00A82FA1">
        <w:t xml:space="preserve"> mg</w:t>
      </w:r>
      <w:r w:rsidRPr="00BA7CDC">
        <w:t>/mL) and practically insoluble above pH 5 (</w:t>
      </w:r>
      <w:r w:rsidR="006F35F9">
        <w:t xml:space="preserve">&lt; </w:t>
      </w:r>
      <w:r w:rsidRPr="00BA7CDC">
        <w:t>0.01</w:t>
      </w:r>
      <w:r w:rsidR="00A82FA1">
        <w:t xml:space="preserve"> mg</w:t>
      </w:r>
      <w:r w:rsidRPr="00BA7CDC">
        <w:t>/mL)</w:t>
      </w:r>
      <w:r w:rsidR="007419D9">
        <w:t>.</w:t>
      </w:r>
    </w:p>
    <w:p w:rsidR="000D4647" w:rsidRDefault="00BA7CDC" w:rsidP="00BA7CDC">
      <w:r w:rsidRPr="00BA7CDC">
        <w:t>Particle size and polymorphic form are not considered critical in this case because the drug substance is fully dissolved</w:t>
      </w:r>
      <w:r w:rsidR="007419D9">
        <w:t xml:space="preserve"> in ethanol during manufacture.</w:t>
      </w:r>
    </w:p>
    <w:p w:rsidR="000D4647" w:rsidRDefault="00BA7CDC" w:rsidP="00BA7CDC">
      <w:r w:rsidRPr="00BA7CDC">
        <w:t xml:space="preserve">Based on its low apparent permeability and low solubility, </w:t>
      </w:r>
      <w:proofErr w:type="spellStart"/>
      <w:r w:rsidRPr="00BA7CDC">
        <w:t>velpatasvir</w:t>
      </w:r>
      <w:proofErr w:type="spellEnd"/>
      <w:r w:rsidRPr="00BA7CDC">
        <w:t xml:space="preserve"> is considered a Class 4 drug with respect to the Biopharmaceutics Classification System (BCS).</w:t>
      </w:r>
    </w:p>
    <w:p w:rsidR="000D4647" w:rsidRDefault="00BA7CDC" w:rsidP="00BA7CDC">
      <w:r w:rsidRPr="00BA7CDC">
        <w:t>The proposed drug substance specification complies with TGA requirements and is considered adequate to ensure the quality and consistency of manufacture of the finished product.</w:t>
      </w:r>
    </w:p>
    <w:p w:rsidR="000D4647" w:rsidRDefault="00BA7CDC" w:rsidP="00BA7CDC">
      <w:pPr>
        <w:pStyle w:val="Heading4"/>
      </w:pPr>
      <w:proofErr w:type="spellStart"/>
      <w:r w:rsidRPr="00BA7CDC">
        <w:t>Sofosbuvir</w:t>
      </w:r>
      <w:proofErr w:type="spellEnd"/>
    </w:p>
    <w:p w:rsidR="000D4647" w:rsidRDefault="00BA7CDC" w:rsidP="00BA7CDC">
      <w:proofErr w:type="spellStart"/>
      <w:r w:rsidRPr="00BA7CDC">
        <w:t>Sofosbuvir</w:t>
      </w:r>
      <w:proofErr w:type="spellEnd"/>
      <w:r w:rsidRPr="00BA7CDC">
        <w:t>, a prodrug of it nucleotide monophosphate, is ultimately converted within the hepatocyte to the active triphosphate form, as shown below. This is a</w:t>
      </w:r>
      <w:r w:rsidR="00ED29B5">
        <w:t>n HCV NS5</w:t>
      </w:r>
      <w:r w:rsidR="007419D9">
        <w:t xml:space="preserve">B </w:t>
      </w:r>
      <w:r w:rsidRPr="00BA7CDC">
        <w:t>directed inhibitor that has displayed potent in vitro inhibition of HCV replicon RNA replication.</w:t>
      </w:r>
    </w:p>
    <w:p w:rsidR="000D4647" w:rsidRDefault="007419D9" w:rsidP="00604A4F">
      <w:pPr>
        <w:pStyle w:val="FigureTitle"/>
      </w:pPr>
      <w:r>
        <w:lastRenderedPageBreak/>
        <w:t xml:space="preserve">Figure 2: </w:t>
      </w:r>
      <w:proofErr w:type="spellStart"/>
      <w:r>
        <w:t>Sofosbuvir</w:t>
      </w:r>
      <w:proofErr w:type="spellEnd"/>
    </w:p>
    <w:p w:rsidR="000D4647" w:rsidRDefault="00604A4F" w:rsidP="00604A4F">
      <w:r w:rsidRPr="00604A4F">
        <w:rPr>
          <w:noProof/>
          <w:lang w:eastAsia="en-AU"/>
        </w:rPr>
        <w:drawing>
          <wp:inline distT="0" distB="0" distL="0" distR="0" wp14:anchorId="052FADE3" wp14:editId="112E93B7">
            <wp:extent cx="5400040" cy="1303279"/>
            <wp:effectExtent l="0" t="0" r="0" b="0"/>
            <wp:docPr id="11" name="Picture 11" descr="Figure 2 is the chemical structure of Sofosbu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303279"/>
                    </a:xfrm>
                    <a:prstGeom prst="rect">
                      <a:avLst/>
                    </a:prstGeom>
                  </pic:spPr>
                </pic:pic>
              </a:graphicData>
            </a:graphic>
          </wp:inline>
        </w:drawing>
      </w:r>
    </w:p>
    <w:p w:rsidR="000D4647" w:rsidRDefault="00604A4F" w:rsidP="00604A4F">
      <w:proofErr w:type="spellStart"/>
      <w:r w:rsidRPr="00604A4F">
        <w:t>Sofosbuvir</w:t>
      </w:r>
      <w:proofErr w:type="spellEnd"/>
      <w:r w:rsidRPr="00604A4F">
        <w:t xml:space="preserve"> (anhydrous, crystal form II) is a white to off-white powder which is slightly soluble across the physiological pH range (pH 2-7.7; </w:t>
      </w:r>
      <w:r w:rsidR="007419D9">
        <w:t xml:space="preserve">approximately </w:t>
      </w:r>
      <w:r w:rsidRPr="00604A4F">
        <w:t>2</w:t>
      </w:r>
      <w:r w:rsidR="00A82FA1">
        <w:t xml:space="preserve"> mg</w:t>
      </w:r>
      <w:r w:rsidRPr="00604A4F">
        <w:t xml:space="preserve">/mL). </w:t>
      </w:r>
      <w:proofErr w:type="spellStart"/>
      <w:r w:rsidRPr="00604A4F">
        <w:t>Sofosbuvir</w:t>
      </w:r>
      <w:proofErr w:type="spellEnd"/>
      <w:r w:rsidRPr="00604A4F">
        <w:t xml:space="preserve"> has six </w:t>
      </w:r>
      <w:proofErr w:type="spellStart"/>
      <w:r w:rsidRPr="00604A4F">
        <w:t>stereocenters</w:t>
      </w:r>
      <w:proofErr w:type="spellEnd"/>
      <w:r w:rsidRPr="00604A4F">
        <w:t xml:space="preserve"> and is </w:t>
      </w:r>
      <w:proofErr w:type="spellStart"/>
      <w:r w:rsidRPr="00604A4F">
        <w:t>chirally</w:t>
      </w:r>
      <w:proofErr w:type="spellEnd"/>
      <w:r w:rsidRPr="00604A4F">
        <w:t xml:space="preserve"> pure. Based on the low apparent permeability and high solubility, </w:t>
      </w:r>
      <w:proofErr w:type="spellStart"/>
      <w:r w:rsidRPr="00604A4F">
        <w:t>Sofosbuvir</w:t>
      </w:r>
      <w:proofErr w:type="spellEnd"/>
      <w:r w:rsidRPr="00604A4F">
        <w:t xml:space="preserve"> is a Class 3 drug with respect to the Biopharmaceutics Classification System (BCS).</w:t>
      </w:r>
    </w:p>
    <w:p w:rsidR="000D4647" w:rsidRDefault="00604A4F" w:rsidP="00604A4F">
      <w:r w:rsidRPr="00604A4F">
        <w:t xml:space="preserve">Data relating to </w:t>
      </w:r>
      <w:proofErr w:type="spellStart"/>
      <w:r w:rsidRPr="00604A4F">
        <w:t>sofosbuvir</w:t>
      </w:r>
      <w:proofErr w:type="spellEnd"/>
      <w:r w:rsidRPr="00604A4F">
        <w:t xml:space="preserve"> is identical to that previously submitted for registration of the </w:t>
      </w:r>
      <w:proofErr w:type="spellStart"/>
      <w:r w:rsidRPr="00604A4F">
        <w:t>sofosbuvir</w:t>
      </w:r>
      <w:proofErr w:type="spellEnd"/>
      <w:r w:rsidRPr="00604A4F">
        <w:t xml:space="preserve"> monotherapy tablet (Submission PM-2013-01283-1-2)</w:t>
      </w:r>
      <w:r w:rsidR="007419D9">
        <w:t>.</w:t>
      </w:r>
      <w:r w:rsidR="00ED29B5">
        <w:t xml:space="preserve"> </w:t>
      </w:r>
      <w:r w:rsidRPr="00604A4F">
        <w:t>The previously agreed drug substance specifications comply with TGA requirements and are considered adequate to ensure the quality and consistency of manufacture of the combination tablets.</w:t>
      </w:r>
    </w:p>
    <w:p w:rsidR="000D4647" w:rsidRDefault="00604A4F" w:rsidP="00604A4F">
      <w:pPr>
        <w:pStyle w:val="Heading3"/>
      </w:pPr>
      <w:bookmarkStart w:id="30" w:name="_Toc498681434"/>
      <w:r w:rsidRPr="00604A4F">
        <w:t>Drug Product</w:t>
      </w:r>
      <w:bookmarkEnd w:id="30"/>
    </w:p>
    <w:p w:rsidR="000D4647" w:rsidRDefault="00604A4F" w:rsidP="00604A4F">
      <w:r w:rsidRPr="00604A4F">
        <w:t>The prop</w:t>
      </w:r>
      <w:r w:rsidR="007419D9">
        <w:t xml:space="preserve">osed product is a pink, diamond shaped, film </w:t>
      </w:r>
      <w:r w:rsidRPr="00604A4F">
        <w:t>coated tablet debossed with ‘GSI’ on one side and ‘7916’ on the other.</w:t>
      </w:r>
    </w:p>
    <w:p w:rsidR="000D4647" w:rsidRDefault="00604A4F" w:rsidP="00604A4F">
      <w:r w:rsidRPr="00604A4F">
        <w:t xml:space="preserve">The manufacturing method of the combination tablet is a conventional dry granulation process in which the </w:t>
      </w:r>
      <w:proofErr w:type="spellStart"/>
      <w:r w:rsidRPr="00604A4F">
        <w:t>velpatasvir</w:t>
      </w:r>
      <w:proofErr w:type="spellEnd"/>
      <w:r w:rsidRPr="00604A4F">
        <w:t xml:space="preserve"> and </w:t>
      </w:r>
      <w:proofErr w:type="spellStart"/>
      <w:r w:rsidRPr="00604A4F">
        <w:t>sofosbuvir</w:t>
      </w:r>
      <w:proofErr w:type="spellEnd"/>
      <w:r w:rsidRPr="00604A4F">
        <w:t xml:space="preserve"> drug substance are blended </w:t>
      </w:r>
      <w:r w:rsidR="007419D9">
        <w:t xml:space="preserve">together with the </w:t>
      </w:r>
      <w:r w:rsidRPr="00604A4F">
        <w:t>excipients in a monolayer. Inactive excipients selected are conventional for a film coated tablet</w:t>
      </w:r>
      <w:r w:rsidR="007419D9">
        <w:t>.</w:t>
      </w:r>
    </w:p>
    <w:p w:rsidR="000D4647" w:rsidRDefault="00604A4F" w:rsidP="00604A4F">
      <w:r w:rsidRPr="00604A4F">
        <w:t>The proposed finished product specifications have been adequately justified and comply with TGA requirements. They are considered adequate to ensure the quality of the finished product at release and throughout the shelf-life.</w:t>
      </w:r>
    </w:p>
    <w:p w:rsidR="000D4647" w:rsidRDefault="00604A4F" w:rsidP="00604A4F">
      <w:r w:rsidRPr="00604A4F">
        <w:t>The tablets show good stability and a shelf life of 24 months when stored below 30</w:t>
      </w:r>
      <w:r w:rsidR="007419D9">
        <w:t>°</w:t>
      </w:r>
      <w:r w:rsidRPr="00604A4F">
        <w:t>C, has been established</w:t>
      </w:r>
      <w:r w:rsidR="007419D9">
        <w:t>.</w:t>
      </w:r>
    </w:p>
    <w:bookmarkEnd w:id="28"/>
    <w:bookmarkEnd w:id="29"/>
    <w:p w:rsidR="000D4647" w:rsidRDefault="00ED29B5" w:rsidP="00604A4F">
      <w:r>
        <w:t xml:space="preserve">A fixed </w:t>
      </w:r>
      <w:r w:rsidR="00604A4F" w:rsidRPr="00604A4F">
        <w:t xml:space="preserve">dose combination tablet was chosen as the dosage form for the product due to previous experience in developing </w:t>
      </w:r>
      <w:proofErr w:type="spellStart"/>
      <w:r w:rsidR="00604A4F" w:rsidRPr="00604A4F">
        <w:t>sofosbuvir</w:t>
      </w:r>
      <w:proofErr w:type="spellEnd"/>
      <w:r w:rsidR="00604A4F" w:rsidRPr="00604A4F">
        <w:t xml:space="preserve"> single-agent and combination tablets.</w:t>
      </w:r>
    </w:p>
    <w:p w:rsidR="000D4647" w:rsidRDefault="00604A4F" w:rsidP="00604A4F">
      <w:r w:rsidRPr="00604A4F">
        <w:t xml:space="preserve">Drug product development began with the development of a </w:t>
      </w:r>
      <w:proofErr w:type="spellStart"/>
      <w:r w:rsidRPr="00604A4F">
        <w:t>velpatasvir</w:t>
      </w:r>
      <w:proofErr w:type="spellEnd"/>
      <w:r w:rsidRPr="00604A4F">
        <w:t xml:space="preserve"> single-agent formulation intended to maximise dissolution and minimise potential food and gastrointestinal pH effects.</w:t>
      </w:r>
    </w:p>
    <w:p w:rsidR="000D4647" w:rsidRDefault="00604A4F" w:rsidP="00604A4F">
      <w:r w:rsidRPr="00604A4F">
        <w:t xml:space="preserve">Various strengths of </w:t>
      </w:r>
      <w:proofErr w:type="spellStart"/>
      <w:r w:rsidRPr="00604A4F">
        <w:t>velpatasvir</w:t>
      </w:r>
      <w:proofErr w:type="spellEnd"/>
      <w:r w:rsidRPr="00604A4F">
        <w:t xml:space="preserve"> (5</w:t>
      </w:r>
      <w:r w:rsidR="00A82FA1">
        <w:t xml:space="preserve"> mg</w:t>
      </w:r>
      <w:r w:rsidRPr="00604A4F">
        <w:t>, 50</w:t>
      </w:r>
      <w:r w:rsidR="00A82FA1">
        <w:t xml:space="preserve"> mg</w:t>
      </w:r>
      <w:r w:rsidRPr="00604A4F">
        <w:t>, 25</w:t>
      </w:r>
      <w:r w:rsidR="00A82FA1">
        <w:t xml:space="preserve"> mg</w:t>
      </w:r>
      <w:r w:rsidRPr="00604A4F">
        <w:t xml:space="preserve"> and 100</w:t>
      </w:r>
      <w:r w:rsidR="00A82FA1">
        <w:t xml:space="preserve"> mg</w:t>
      </w:r>
      <w:r w:rsidRPr="00604A4F">
        <w:t xml:space="preserve">) were trialled in the </w:t>
      </w:r>
      <w:r w:rsidR="00F044A6">
        <w:t>P</w:t>
      </w:r>
      <w:r w:rsidRPr="00604A4F">
        <w:t xml:space="preserve">hase </w:t>
      </w:r>
      <w:r w:rsidR="00F044A6">
        <w:t>I</w:t>
      </w:r>
      <w:r w:rsidRPr="00604A4F">
        <w:t xml:space="preserve"> and </w:t>
      </w:r>
      <w:r w:rsidR="00F044A6">
        <w:t>Phase</w:t>
      </w:r>
      <w:r w:rsidRPr="00604A4F">
        <w:t xml:space="preserve"> </w:t>
      </w:r>
      <w:r w:rsidR="00F044A6">
        <w:t>II</w:t>
      </w:r>
      <w:r w:rsidRPr="00604A4F">
        <w:t xml:space="preserve"> studies. The </w:t>
      </w:r>
      <w:proofErr w:type="spellStart"/>
      <w:r w:rsidRPr="00604A4F">
        <w:t>velpatasvir</w:t>
      </w:r>
      <w:proofErr w:type="spellEnd"/>
      <w:r w:rsidRPr="00604A4F">
        <w:t xml:space="preserve"> tablet formulations were then modified to incorporate 400</w:t>
      </w:r>
      <w:r w:rsidR="00A82FA1">
        <w:t xml:space="preserve"> mg</w:t>
      </w:r>
      <w:r w:rsidRPr="00604A4F">
        <w:t xml:space="preserve"> </w:t>
      </w:r>
      <w:proofErr w:type="spellStart"/>
      <w:r w:rsidRPr="00604A4F">
        <w:t>sofosbuvir</w:t>
      </w:r>
      <w:proofErr w:type="spellEnd"/>
      <w:r w:rsidRPr="00604A4F">
        <w:t xml:space="preserve"> and produce 400</w:t>
      </w:r>
      <w:r w:rsidR="00A82FA1">
        <w:t xml:space="preserve"> mg</w:t>
      </w:r>
      <w:r w:rsidRPr="00604A4F">
        <w:t>/25 and</w:t>
      </w:r>
      <w:r w:rsidR="00A82FA1">
        <w:t xml:space="preserve"> mg</w:t>
      </w:r>
      <w:r w:rsidRPr="00604A4F">
        <w:t xml:space="preserve"> 400</w:t>
      </w:r>
      <w:r w:rsidR="00A82FA1">
        <w:t xml:space="preserve"> mg</w:t>
      </w:r>
      <w:r w:rsidRPr="00604A4F">
        <w:t>/100</w:t>
      </w:r>
      <w:r w:rsidR="00A82FA1">
        <w:t xml:space="preserve"> mg</w:t>
      </w:r>
      <w:r w:rsidRPr="00604A4F">
        <w:t xml:space="preserve"> combination tablets. On the basis of these studies, </w:t>
      </w:r>
      <w:proofErr w:type="spellStart"/>
      <w:r w:rsidRPr="00604A4F">
        <w:t>sofosbuvir</w:t>
      </w:r>
      <w:proofErr w:type="spellEnd"/>
      <w:r w:rsidRPr="00604A4F">
        <w:t>/</w:t>
      </w:r>
      <w:proofErr w:type="spellStart"/>
      <w:r w:rsidRPr="00604A4F">
        <w:t>velpatasvir</w:t>
      </w:r>
      <w:proofErr w:type="spellEnd"/>
      <w:r w:rsidRPr="00604A4F">
        <w:t xml:space="preserve"> 400</w:t>
      </w:r>
      <w:r w:rsidR="00A82FA1">
        <w:t xml:space="preserve"> mg</w:t>
      </w:r>
      <w:r w:rsidRPr="00604A4F">
        <w:t>/25</w:t>
      </w:r>
      <w:r w:rsidR="00A82FA1">
        <w:t xml:space="preserve"> mg</w:t>
      </w:r>
      <w:r w:rsidRPr="00604A4F">
        <w:t xml:space="preserve"> and 400</w:t>
      </w:r>
      <w:r w:rsidR="00A82FA1">
        <w:t xml:space="preserve"> mg</w:t>
      </w:r>
      <w:r w:rsidRPr="00604A4F">
        <w:t>/100</w:t>
      </w:r>
      <w:r w:rsidR="00A82FA1">
        <w:t xml:space="preserve"> mg</w:t>
      </w:r>
      <w:r w:rsidRPr="00604A4F">
        <w:t xml:space="preserve"> tablets were manufactured and used in a relative bioavailability and food effect study</w:t>
      </w:r>
      <w:r w:rsidR="007419D9">
        <w:t>.</w:t>
      </w:r>
    </w:p>
    <w:p w:rsidR="000D4647" w:rsidRDefault="00604A4F" w:rsidP="00604A4F">
      <w:r w:rsidRPr="00604A4F">
        <w:t>The 400/100</w:t>
      </w:r>
      <w:r w:rsidR="00A82FA1">
        <w:t xml:space="preserve"> mg</w:t>
      </w:r>
      <w:r w:rsidRPr="00604A4F">
        <w:t xml:space="preserve"> strength was selected for use in the </w:t>
      </w:r>
      <w:r w:rsidR="00F044A6">
        <w:t>Phase</w:t>
      </w:r>
      <w:r w:rsidRPr="00604A4F">
        <w:t xml:space="preserve"> </w:t>
      </w:r>
      <w:r w:rsidR="00F044A6">
        <w:t>III</w:t>
      </w:r>
      <w:r w:rsidRPr="00604A4F">
        <w:t xml:space="preserve"> studies; the formulation proposed for marketing is the same as that used in the relative bioavailability study and the provided </w:t>
      </w:r>
      <w:r w:rsidR="00F044A6">
        <w:t>Phase</w:t>
      </w:r>
      <w:r w:rsidRPr="00604A4F">
        <w:t xml:space="preserve"> </w:t>
      </w:r>
      <w:r w:rsidR="00F044A6">
        <w:t>III</w:t>
      </w:r>
      <w:r w:rsidRPr="00604A4F">
        <w:t xml:space="preserve"> studies.</w:t>
      </w:r>
    </w:p>
    <w:p w:rsidR="000D4647" w:rsidRDefault="008E7846" w:rsidP="008E7846">
      <w:pPr>
        <w:pStyle w:val="Heading3"/>
      </w:pPr>
      <w:bookmarkStart w:id="31" w:name="_Toc314842491"/>
      <w:bookmarkStart w:id="32" w:name="_Toc498681435"/>
      <w:r>
        <w:lastRenderedPageBreak/>
        <w:t>Biopharmaceutics</w:t>
      </w:r>
      <w:bookmarkEnd w:id="31"/>
      <w:bookmarkEnd w:id="32"/>
    </w:p>
    <w:p w:rsidR="000D4647" w:rsidRDefault="00604A4F" w:rsidP="00604A4F">
      <w:bookmarkStart w:id="33" w:name="_Toc314842492"/>
      <w:proofErr w:type="spellStart"/>
      <w:r w:rsidRPr="00604A4F">
        <w:t>Sofosbuvir</w:t>
      </w:r>
      <w:proofErr w:type="spellEnd"/>
      <w:r w:rsidRPr="00604A4F">
        <w:t xml:space="preserve"> was absorbed quickly and the peak median plasma concentration was observed </w:t>
      </w:r>
      <w:r w:rsidR="007419D9">
        <w:t>approximately</w:t>
      </w:r>
      <w:r w:rsidR="00F044A6">
        <w:t xml:space="preserve"> 0.5 to </w:t>
      </w:r>
      <w:r w:rsidRPr="00604A4F">
        <w:t xml:space="preserve">1 hour </w:t>
      </w:r>
      <w:r w:rsidR="00F044A6">
        <w:t>post dose</w:t>
      </w:r>
      <w:r w:rsidRPr="00604A4F">
        <w:t xml:space="preserve">. Median peak plasma concentration of the active metabolite of </w:t>
      </w:r>
      <w:proofErr w:type="spellStart"/>
      <w:r w:rsidRPr="00604A4F">
        <w:t>sofosbuvir</w:t>
      </w:r>
      <w:proofErr w:type="spellEnd"/>
      <w:r w:rsidRPr="00604A4F">
        <w:t xml:space="preserve"> was observed </w:t>
      </w:r>
      <w:r w:rsidR="007419D9">
        <w:t>approximately</w:t>
      </w:r>
      <w:r w:rsidRPr="00604A4F">
        <w:t xml:space="preserve">3 hours </w:t>
      </w:r>
      <w:r w:rsidR="00F044A6">
        <w:t>post dose</w:t>
      </w:r>
      <w:r w:rsidRPr="00604A4F">
        <w:t xml:space="preserve">. Median peak plasma concentration of </w:t>
      </w:r>
      <w:proofErr w:type="spellStart"/>
      <w:r w:rsidRPr="00604A4F">
        <w:t>velpatasvir</w:t>
      </w:r>
      <w:proofErr w:type="spellEnd"/>
      <w:r w:rsidRPr="00604A4F">
        <w:t xml:space="preserve"> was also observed </w:t>
      </w:r>
      <w:r w:rsidR="007419D9">
        <w:t>approximately</w:t>
      </w:r>
      <w:r w:rsidRPr="00604A4F">
        <w:t xml:space="preserve">3 hours </w:t>
      </w:r>
      <w:r w:rsidR="00F044A6">
        <w:t>post dose</w:t>
      </w:r>
      <w:r w:rsidR="007419D9">
        <w:t>.</w:t>
      </w:r>
    </w:p>
    <w:p w:rsidR="000D4647" w:rsidRDefault="00604A4F" w:rsidP="00604A4F">
      <w:r w:rsidRPr="00604A4F">
        <w:t xml:space="preserve">Very little metabolism of </w:t>
      </w:r>
      <w:proofErr w:type="spellStart"/>
      <w:r w:rsidRPr="00604A4F">
        <w:t>velpatasvir</w:t>
      </w:r>
      <w:proofErr w:type="spellEnd"/>
      <w:r w:rsidRPr="00604A4F">
        <w:t xml:space="preserve"> occurs, with </w:t>
      </w:r>
      <w:r w:rsidR="00F044A6">
        <w:t xml:space="preserve">&gt; </w:t>
      </w:r>
      <w:r w:rsidRPr="00604A4F">
        <w:t>98% of a [</w:t>
      </w:r>
      <w:r w:rsidR="00F044A6" w:rsidRPr="00F044A6">
        <w:rPr>
          <w:vertAlign w:val="superscript"/>
        </w:rPr>
        <w:t>14</w:t>
      </w:r>
      <w:r w:rsidR="00F044A6" w:rsidRPr="00604A4F">
        <w:t>C</w:t>
      </w:r>
      <w:r w:rsidRPr="00604A4F">
        <w:t>]-labelled 100</w:t>
      </w:r>
      <w:r w:rsidR="00A82FA1">
        <w:t xml:space="preserve"> mg</w:t>
      </w:r>
      <w:r w:rsidRPr="00604A4F">
        <w:t xml:space="preserve"> dose present in plasma as unchanged drug.</w:t>
      </w:r>
    </w:p>
    <w:p w:rsidR="000D4647" w:rsidRDefault="00604A4F" w:rsidP="00604A4F">
      <w:proofErr w:type="spellStart"/>
      <w:r w:rsidRPr="00604A4F">
        <w:t>Sofosbuvir</w:t>
      </w:r>
      <w:proofErr w:type="spellEnd"/>
      <w:r w:rsidRPr="00604A4F">
        <w:t xml:space="preserve"> is extensively metabolised in the liver to form the pharmacologically active nucleoside triphosphate </w:t>
      </w:r>
      <w:r w:rsidR="00F044A6" w:rsidRPr="00604A4F">
        <w:t>analogue</w:t>
      </w:r>
      <w:r w:rsidRPr="00604A4F">
        <w:t xml:space="preserve"> (as shown above) which is dephosphorylated to the inactive nucleoside metabolite. After a single 400</w:t>
      </w:r>
      <w:r w:rsidR="00A82FA1">
        <w:t xml:space="preserve"> mg</w:t>
      </w:r>
      <w:r w:rsidRPr="00604A4F">
        <w:t xml:space="preserve"> oral dose of [</w:t>
      </w:r>
      <w:r w:rsidR="00F044A6" w:rsidRPr="00F044A6">
        <w:rPr>
          <w:vertAlign w:val="superscript"/>
        </w:rPr>
        <w:t>14</w:t>
      </w:r>
      <w:r w:rsidR="00F044A6" w:rsidRPr="00604A4F">
        <w:t>C</w:t>
      </w:r>
      <w:r w:rsidRPr="00604A4F">
        <w:t>]-</w:t>
      </w:r>
      <w:proofErr w:type="spellStart"/>
      <w:r w:rsidRPr="00604A4F">
        <w:t>Sofosbuvir</w:t>
      </w:r>
      <w:proofErr w:type="spellEnd"/>
      <w:r w:rsidRPr="00604A4F">
        <w:t xml:space="preserve">, the nucleoside triphosphate active metabolite accounted for approximately </w:t>
      </w:r>
      <w:r w:rsidR="00F044A6">
        <w:t xml:space="preserve">&gt; </w:t>
      </w:r>
      <w:r w:rsidRPr="00604A4F">
        <w:t>90% of total systemic exposure.</w:t>
      </w:r>
    </w:p>
    <w:p w:rsidR="000D4647" w:rsidRDefault="00604A4F" w:rsidP="00604A4F">
      <w:pPr>
        <w:pStyle w:val="Heading4"/>
      </w:pPr>
      <w:r w:rsidRPr="00604A4F">
        <w:t>Bios</w:t>
      </w:r>
      <w:r w:rsidR="00F044A6">
        <w:t>tudy GS-US-342-0104;</w:t>
      </w:r>
      <w:r w:rsidRPr="00604A4F">
        <w:t xml:space="preserve"> </w:t>
      </w:r>
      <w:r w:rsidR="00F044A6" w:rsidRPr="00604A4F">
        <w:t>bioequivalence and food effect</w:t>
      </w:r>
    </w:p>
    <w:p w:rsidR="000D4647" w:rsidRDefault="00F044A6" w:rsidP="00604A4F">
      <w:r>
        <w:t xml:space="preserve">Study GS-US-342-0104 was a two </w:t>
      </w:r>
      <w:r w:rsidR="00604A4F" w:rsidRPr="00604A4F">
        <w:t xml:space="preserve">part study comparative bioavailability study. The first part examined the relative </w:t>
      </w:r>
      <w:proofErr w:type="spellStart"/>
      <w:r w:rsidR="00604A4F" w:rsidRPr="00604A4F">
        <w:t>bioavailabilities</w:t>
      </w:r>
      <w:proofErr w:type="spellEnd"/>
      <w:r w:rsidR="00604A4F" w:rsidRPr="00604A4F">
        <w:t xml:space="preserve"> of </w:t>
      </w:r>
      <w:proofErr w:type="spellStart"/>
      <w:r w:rsidR="00604A4F" w:rsidRPr="00604A4F">
        <w:t>sofosbuvir</w:t>
      </w:r>
      <w:proofErr w:type="spellEnd"/>
      <w:r w:rsidR="00604A4F" w:rsidRPr="00604A4F">
        <w:t>, its metabolites GS</w:t>
      </w:r>
      <w:r w:rsidR="00604A4F" w:rsidRPr="00604A4F">
        <w:noBreakHyphen/>
        <w:t xml:space="preserve">566500 and GS-331007, and </w:t>
      </w:r>
      <w:proofErr w:type="spellStart"/>
      <w:r w:rsidR="00604A4F" w:rsidRPr="00604A4F">
        <w:t>velpatasvir</w:t>
      </w:r>
      <w:proofErr w:type="spellEnd"/>
      <w:r w:rsidR="00604A4F" w:rsidRPr="00604A4F">
        <w:t xml:space="preserve"> after administration of a </w:t>
      </w:r>
      <w:proofErr w:type="spellStart"/>
      <w:r w:rsidR="00604A4F" w:rsidRPr="00604A4F">
        <w:t>so</w:t>
      </w:r>
      <w:r>
        <w:t>fosbuvir</w:t>
      </w:r>
      <w:proofErr w:type="spellEnd"/>
      <w:r>
        <w:t>/</w:t>
      </w:r>
      <w:proofErr w:type="spellStart"/>
      <w:r>
        <w:t>velpatasvir</w:t>
      </w:r>
      <w:proofErr w:type="spellEnd"/>
      <w:r>
        <w:t xml:space="preserve"> 400</w:t>
      </w:r>
      <w:r w:rsidR="00A82FA1">
        <w:t xml:space="preserve"> mg</w:t>
      </w:r>
      <w:r>
        <w:t>/100</w:t>
      </w:r>
      <w:r w:rsidR="00A82FA1">
        <w:t xml:space="preserve"> mg</w:t>
      </w:r>
      <w:r w:rsidR="00604A4F" w:rsidRPr="00604A4F">
        <w:t xml:space="preserve"> or 400</w:t>
      </w:r>
      <w:r w:rsidR="00A82FA1">
        <w:t xml:space="preserve"> mg</w:t>
      </w:r>
      <w:r w:rsidR="00604A4F" w:rsidRPr="00604A4F">
        <w:t>/25</w:t>
      </w:r>
      <w:r w:rsidR="00A82FA1">
        <w:t xml:space="preserve"> mg</w:t>
      </w:r>
      <w:r w:rsidR="00604A4F" w:rsidRPr="00604A4F">
        <w:t xml:space="preserve"> dose either as a combination tablet or co-administration of individual </w:t>
      </w:r>
      <w:proofErr w:type="spellStart"/>
      <w:r w:rsidR="00604A4F" w:rsidRPr="00604A4F">
        <w:t>sofosbuvir</w:t>
      </w:r>
      <w:proofErr w:type="spellEnd"/>
      <w:r w:rsidR="00604A4F" w:rsidRPr="00604A4F">
        <w:t xml:space="preserve"> and </w:t>
      </w:r>
      <w:proofErr w:type="spellStart"/>
      <w:r w:rsidR="00604A4F" w:rsidRPr="00604A4F">
        <w:t>velpatasvir</w:t>
      </w:r>
      <w:proofErr w:type="spellEnd"/>
      <w:r w:rsidR="00604A4F" w:rsidRPr="00604A4F">
        <w:t xml:space="preserve"> tablets. The second part examin</w:t>
      </w:r>
      <w:r>
        <w:t>ed the relative bioavailability</w:t>
      </w:r>
      <w:r w:rsidR="00604A4F" w:rsidRPr="00604A4F">
        <w:t xml:space="preserve"> of </w:t>
      </w:r>
      <w:proofErr w:type="spellStart"/>
      <w:r w:rsidR="00604A4F" w:rsidRPr="00604A4F">
        <w:t>sofosbuvir</w:t>
      </w:r>
      <w:proofErr w:type="spellEnd"/>
      <w:r w:rsidR="00604A4F" w:rsidRPr="00604A4F">
        <w:t xml:space="preserve">, </w:t>
      </w:r>
      <w:r>
        <w:t>GS</w:t>
      </w:r>
      <w:r>
        <w:noBreakHyphen/>
        <w:t>331007</w:t>
      </w:r>
      <w:r w:rsidR="00604A4F" w:rsidRPr="00604A4F">
        <w:t xml:space="preserve"> and </w:t>
      </w:r>
      <w:proofErr w:type="spellStart"/>
      <w:r w:rsidR="00604A4F" w:rsidRPr="00604A4F">
        <w:t>velpatasvir</w:t>
      </w:r>
      <w:proofErr w:type="spellEnd"/>
      <w:r w:rsidR="00604A4F" w:rsidRPr="00604A4F">
        <w:t xml:space="preserve"> after administration of a </w:t>
      </w:r>
      <w:proofErr w:type="spellStart"/>
      <w:r w:rsidR="00604A4F" w:rsidRPr="00604A4F">
        <w:t>sofosbuvir</w:t>
      </w:r>
      <w:proofErr w:type="spellEnd"/>
      <w:r w:rsidR="00604A4F" w:rsidRPr="00604A4F">
        <w:t>/</w:t>
      </w:r>
      <w:proofErr w:type="spellStart"/>
      <w:r w:rsidR="00604A4F" w:rsidRPr="00604A4F">
        <w:t>velpatasvir</w:t>
      </w:r>
      <w:proofErr w:type="spellEnd"/>
      <w:r w:rsidR="00604A4F" w:rsidRPr="00604A4F">
        <w:t xml:space="preserve"> 400/100</w:t>
      </w:r>
      <w:r w:rsidR="00A82FA1">
        <w:t xml:space="preserve"> mg</w:t>
      </w:r>
      <w:r w:rsidR="00604A4F" w:rsidRPr="00604A4F">
        <w:t xml:space="preserve"> combination tablet either without food, with a </w:t>
      </w:r>
      <w:r>
        <w:t>moderate fat</w:t>
      </w:r>
      <w:r w:rsidR="00604A4F" w:rsidRPr="00604A4F">
        <w:t xml:space="preserve"> meal, or with a </w:t>
      </w:r>
      <w:r>
        <w:t>high fat</w:t>
      </w:r>
      <w:r w:rsidR="00604A4F" w:rsidRPr="00604A4F">
        <w:t xml:space="preserve"> meal.</w:t>
      </w:r>
    </w:p>
    <w:p w:rsidR="000D4647" w:rsidRDefault="00604A4F" w:rsidP="00F044A6">
      <w:pPr>
        <w:pStyle w:val="Heading5"/>
      </w:pPr>
      <w:r w:rsidRPr="00604A4F">
        <w:t>Part 1</w:t>
      </w:r>
    </w:p>
    <w:p w:rsidR="000D4647" w:rsidRDefault="00604A4F" w:rsidP="00604A4F">
      <w:r w:rsidRPr="00604A4F">
        <w:t xml:space="preserve">The reported </w:t>
      </w:r>
      <w:r w:rsidR="00630FB6">
        <w:t>pharmacokinetics</w:t>
      </w:r>
      <w:r w:rsidR="00630FB6" w:rsidRPr="00604A4F">
        <w:t xml:space="preserve"> </w:t>
      </w:r>
      <w:r w:rsidR="00630FB6">
        <w:t>(</w:t>
      </w:r>
      <w:r w:rsidRPr="00604A4F">
        <w:t>PK</w:t>
      </w:r>
      <w:r w:rsidR="00630FB6">
        <w:t>)</w:t>
      </w:r>
      <w:r w:rsidRPr="00604A4F">
        <w:t xml:space="preserve"> parameters for the two cohorts administered </w:t>
      </w:r>
      <w:proofErr w:type="spellStart"/>
      <w:r w:rsidRPr="00604A4F">
        <w:t>sofosbuvir</w:t>
      </w:r>
      <w:proofErr w:type="spellEnd"/>
      <w:r w:rsidRPr="00604A4F">
        <w:t xml:space="preserve"> 400</w:t>
      </w:r>
      <w:r w:rsidR="00A82FA1">
        <w:t xml:space="preserve"> mg</w:t>
      </w:r>
      <w:r w:rsidRPr="00604A4F">
        <w:t>/</w:t>
      </w:r>
      <w:proofErr w:type="spellStart"/>
      <w:r w:rsidRPr="00604A4F">
        <w:t>velpatasvir</w:t>
      </w:r>
      <w:proofErr w:type="spellEnd"/>
      <w:r w:rsidRPr="00604A4F">
        <w:t xml:space="preserve"> 100</w:t>
      </w:r>
      <w:r w:rsidR="00A82FA1">
        <w:t xml:space="preserve"> mg</w:t>
      </w:r>
      <w:r w:rsidRPr="00604A4F">
        <w:t xml:space="preserve"> are shown below</w:t>
      </w:r>
      <w:r w:rsidR="00F044A6">
        <w:t xml:space="preserve"> </w:t>
      </w:r>
      <w:r w:rsidR="00F044A6" w:rsidRPr="00756A4F">
        <w:t xml:space="preserve">(Table </w:t>
      </w:r>
      <w:r w:rsidR="00756A4F" w:rsidRPr="00756A4F">
        <w:t>2</w:t>
      </w:r>
      <w:r w:rsidR="00F044A6" w:rsidRPr="00756A4F">
        <w:t>)</w:t>
      </w:r>
      <w:r w:rsidRPr="00756A4F">
        <w:t>.</w:t>
      </w:r>
    </w:p>
    <w:p w:rsidR="000D4647" w:rsidRDefault="00604A4F" w:rsidP="00604A4F">
      <w:pPr>
        <w:pStyle w:val="TableTitle"/>
      </w:pPr>
      <w:r w:rsidRPr="00756A4F">
        <w:t xml:space="preserve">Table </w:t>
      </w:r>
      <w:r w:rsidR="00756A4F" w:rsidRPr="00756A4F">
        <w:t>2</w:t>
      </w:r>
      <w:r>
        <w:t xml:space="preserve">: </w:t>
      </w:r>
      <w:r w:rsidR="00F044A6" w:rsidRPr="00604A4F">
        <w:t>Bios</w:t>
      </w:r>
      <w:r w:rsidR="00F044A6">
        <w:t>tudy GS-US-342-0104; r</w:t>
      </w:r>
      <w:r w:rsidRPr="00604A4F">
        <w:t>elative bioavailability</w:t>
      </w:r>
    </w:p>
    <w:p w:rsidR="000D4647" w:rsidRDefault="00604A4F" w:rsidP="00604A4F">
      <w:pPr>
        <w:autoSpaceDE w:val="0"/>
        <w:autoSpaceDN w:val="0"/>
        <w:adjustRightInd w:val="0"/>
        <w:rPr>
          <w:rFonts w:asciiTheme="minorHAnsi" w:hAnsiTheme="minorHAnsi"/>
          <w:szCs w:val="24"/>
        </w:rPr>
      </w:pPr>
      <w:r>
        <w:rPr>
          <w:noProof/>
          <w:lang w:eastAsia="en-AU"/>
        </w:rPr>
        <w:drawing>
          <wp:inline distT="0" distB="0" distL="0" distR="0" wp14:anchorId="42E59A70" wp14:editId="7D62950C">
            <wp:extent cx="5400040" cy="3687720"/>
            <wp:effectExtent l="0" t="0" r="0" b="8255"/>
            <wp:docPr id="12" name="Picture 12" descr="Table 2: Biostudy GS-US-342-0104; relative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687720"/>
                    </a:xfrm>
                    <a:prstGeom prst="rect">
                      <a:avLst/>
                    </a:prstGeom>
                  </pic:spPr>
                </pic:pic>
              </a:graphicData>
            </a:graphic>
          </wp:inline>
        </w:drawing>
      </w:r>
    </w:p>
    <w:p w:rsidR="000D4647" w:rsidRDefault="00604A4F" w:rsidP="00604A4F">
      <w:r w:rsidRPr="00604A4F">
        <w:lastRenderedPageBreak/>
        <w:t xml:space="preserve">The results indicate that the 90% confidence intervals for </w:t>
      </w:r>
      <w:r w:rsidR="00D27280">
        <w:t>maximum observed concentration of drug in plasma</w:t>
      </w:r>
      <w:r w:rsidR="00D27280" w:rsidRPr="00604A4F">
        <w:t xml:space="preserve"> </w:t>
      </w:r>
      <w:r w:rsidR="00D27280">
        <w:t>(</w:t>
      </w:r>
      <w:proofErr w:type="spellStart"/>
      <w:r w:rsidR="00F044A6" w:rsidRPr="00604A4F">
        <w:t>C</w:t>
      </w:r>
      <w:r w:rsidR="00F044A6" w:rsidRPr="00F044A6">
        <w:rPr>
          <w:vertAlign w:val="subscript"/>
        </w:rPr>
        <w:t>max</w:t>
      </w:r>
      <w:proofErr w:type="spellEnd"/>
      <w:r w:rsidR="00D27280" w:rsidRPr="00D27280">
        <w:t>)</w:t>
      </w:r>
      <w:r w:rsidRPr="00604A4F">
        <w:t xml:space="preserve"> and </w:t>
      </w:r>
      <w:r w:rsidR="00567626">
        <w:t>area under the concentration/time curve</w:t>
      </w:r>
      <w:r w:rsidR="00567626" w:rsidRPr="00604A4F">
        <w:t xml:space="preserve"> </w:t>
      </w:r>
      <w:r w:rsidR="00567626">
        <w:t>over the dosing interval (</w:t>
      </w:r>
      <w:proofErr w:type="spellStart"/>
      <w:r w:rsidR="00F044A6" w:rsidRPr="00604A4F">
        <w:t>AUC</w:t>
      </w:r>
      <w:r w:rsidR="00F044A6" w:rsidRPr="00F044A6">
        <w:rPr>
          <w:vertAlign w:val="subscript"/>
        </w:rPr>
        <w:t>t</w:t>
      </w:r>
      <w:proofErr w:type="spellEnd"/>
      <w:r w:rsidR="00567626">
        <w:t>)</w:t>
      </w:r>
      <w:r w:rsidR="00F044A6">
        <w:t xml:space="preserve"> </w:t>
      </w:r>
      <w:r w:rsidRPr="00604A4F">
        <w:t xml:space="preserve">of </w:t>
      </w:r>
      <w:proofErr w:type="spellStart"/>
      <w:r w:rsidRPr="00604A4F">
        <w:t>sofosbuvir</w:t>
      </w:r>
      <w:proofErr w:type="spellEnd"/>
      <w:r w:rsidRPr="00604A4F">
        <w:t xml:space="preserve"> and </w:t>
      </w:r>
      <w:proofErr w:type="spellStart"/>
      <w:r w:rsidRPr="00604A4F">
        <w:t>velpatasvir</w:t>
      </w:r>
      <w:proofErr w:type="spellEnd"/>
      <w:r w:rsidRPr="00604A4F">
        <w:t xml:space="preserve"> </w:t>
      </w:r>
      <w:r w:rsidR="00D27280">
        <w:t xml:space="preserve">are outside the interval (80.00 to </w:t>
      </w:r>
      <w:r w:rsidRPr="00604A4F">
        <w:t>125.00%) accepted to indicate bioequivalence to the co-administered monotherapies</w:t>
      </w:r>
      <w:r w:rsidR="007419D9">
        <w:t>.</w:t>
      </w:r>
    </w:p>
    <w:p w:rsidR="000D4647" w:rsidRDefault="00604A4F" w:rsidP="00F044A6">
      <w:pPr>
        <w:pStyle w:val="Heading5"/>
      </w:pPr>
      <w:r w:rsidRPr="00604A4F">
        <w:t>Part 2</w:t>
      </w:r>
    </w:p>
    <w:p w:rsidR="000D4647" w:rsidRDefault="00604A4F" w:rsidP="00604A4F">
      <w:r w:rsidRPr="00604A4F">
        <w:t xml:space="preserve">The reported PK parameters for the two cohorts administered </w:t>
      </w:r>
      <w:proofErr w:type="spellStart"/>
      <w:r w:rsidRPr="00604A4F">
        <w:t>sofosbuvir</w:t>
      </w:r>
      <w:proofErr w:type="spellEnd"/>
      <w:r w:rsidRPr="00604A4F">
        <w:t xml:space="preserve"> 400</w:t>
      </w:r>
      <w:r w:rsidR="00A82FA1">
        <w:t xml:space="preserve"> mg</w:t>
      </w:r>
      <w:r w:rsidRPr="00604A4F">
        <w:t>/</w:t>
      </w:r>
      <w:proofErr w:type="spellStart"/>
      <w:r w:rsidRPr="00604A4F">
        <w:t>velpatasvir</w:t>
      </w:r>
      <w:proofErr w:type="spellEnd"/>
      <w:r w:rsidRPr="00604A4F">
        <w:t xml:space="preserve"> 100</w:t>
      </w:r>
      <w:r w:rsidR="00A82FA1">
        <w:t xml:space="preserve"> mg</w:t>
      </w:r>
      <w:r w:rsidRPr="00604A4F">
        <w:t xml:space="preserve"> with and without food (either high fat or moderate fat) are shown </w:t>
      </w:r>
      <w:r w:rsidRPr="00756A4F">
        <w:t>below</w:t>
      </w:r>
      <w:r w:rsidR="00F044A6" w:rsidRPr="00756A4F">
        <w:t xml:space="preserve"> (Table </w:t>
      </w:r>
      <w:r w:rsidR="00756A4F" w:rsidRPr="00756A4F">
        <w:t>3</w:t>
      </w:r>
      <w:r w:rsidR="00F044A6" w:rsidRPr="00756A4F">
        <w:t>)</w:t>
      </w:r>
      <w:r w:rsidRPr="00756A4F">
        <w:t>.</w:t>
      </w:r>
    </w:p>
    <w:p w:rsidR="000D4647" w:rsidRDefault="00F044A6" w:rsidP="00F044A6">
      <w:pPr>
        <w:pStyle w:val="Tabletitle0"/>
      </w:pPr>
      <w:r w:rsidRPr="00756A4F">
        <w:t xml:space="preserve">Table </w:t>
      </w:r>
      <w:r w:rsidR="00756A4F" w:rsidRPr="00756A4F">
        <w:t>3</w:t>
      </w:r>
      <w:r w:rsidRPr="00756A4F">
        <w:t>: Biostudy</w:t>
      </w:r>
      <w:r>
        <w:t xml:space="preserve"> GS-US-342-0104 PK parameters with or without food</w:t>
      </w:r>
    </w:p>
    <w:p w:rsidR="000D4647" w:rsidRDefault="00604A4F" w:rsidP="00604A4F">
      <w:pPr>
        <w:autoSpaceDE w:val="0"/>
        <w:autoSpaceDN w:val="0"/>
        <w:adjustRightInd w:val="0"/>
        <w:rPr>
          <w:rFonts w:asciiTheme="minorHAnsi" w:hAnsiTheme="minorHAnsi"/>
          <w:szCs w:val="24"/>
        </w:rPr>
      </w:pPr>
      <w:r>
        <w:rPr>
          <w:noProof/>
          <w:lang w:eastAsia="en-AU"/>
        </w:rPr>
        <w:drawing>
          <wp:inline distT="0" distB="0" distL="0" distR="0" wp14:anchorId="49FCEFCF" wp14:editId="0788BB2F">
            <wp:extent cx="5025542" cy="5231507"/>
            <wp:effectExtent l="0" t="0" r="3810" b="7620"/>
            <wp:docPr id="13" name="Picture 13" descr="Table 3: Biostudy GS-US-342-0104 PK parameters with or withou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Lst>
                    </a:blip>
                    <a:stretch>
                      <a:fillRect/>
                    </a:stretch>
                  </pic:blipFill>
                  <pic:spPr>
                    <a:xfrm>
                      <a:off x="0" y="0"/>
                      <a:ext cx="5028475" cy="5234560"/>
                    </a:xfrm>
                    <a:prstGeom prst="rect">
                      <a:avLst/>
                    </a:prstGeom>
                  </pic:spPr>
                </pic:pic>
              </a:graphicData>
            </a:graphic>
          </wp:inline>
        </w:drawing>
      </w:r>
    </w:p>
    <w:p w:rsidR="000D4647" w:rsidRDefault="00604A4F" w:rsidP="00604A4F">
      <w:r w:rsidRPr="00604A4F">
        <w:t>Administration of a single dose of the p</w:t>
      </w:r>
      <w:r w:rsidR="00F044A6">
        <w:t>roposed product with a moderate</w:t>
      </w:r>
      <w:r w:rsidRPr="00604A4F">
        <w:t xml:space="preserve"> or </w:t>
      </w:r>
      <w:r w:rsidR="00F044A6">
        <w:t>high fat</w:t>
      </w:r>
      <w:r w:rsidRPr="00604A4F">
        <w:t xml:space="preserve"> meal increased </w:t>
      </w:r>
      <w:proofErr w:type="spellStart"/>
      <w:r w:rsidRPr="00604A4F">
        <w:t>sofosbuvir</w:t>
      </w:r>
      <w:proofErr w:type="spellEnd"/>
      <w:r w:rsidRPr="00604A4F">
        <w:t xml:space="preserve"> </w:t>
      </w:r>
      <w:r w:rsidR="00567626">
        <w:t>area under the concentration/time curve</w:t>
      </w:r>
      <w:r w:rsidR="00567626" w:rsidRPr="00604A4F">
        <w:t xml:space="preserve"> </w:t>
      </w:r>
      <w:r w:rsidR="00567626">
        <w:t>(</w:t>
      </w:r>
      <w:r w:rsidRPr="00604A4F">
        <w:t>AUC</w:t>
      </w:r>
      <w:r w:rsidR="00567626">
        <w:t>)</w:t>
      </w:r>
      <w:r w:rsidRPr="00604A4F">
        <w:t xml:space="preserve"> by 60% and 78% respectively relative to fasting conditions but did not substantially affect </w:t>
      </w:r>
      <w:proofErr w:type="spellStart"/>
      <w:r w:rsidR="00F044A6" w:rsidRPr="00604A4F">
        <w:t>C</w:t>
      </w:r>
      <w:r w:rsidR="00F044A6" w:rsidRPr="00F044A6">
        <w:rPr>
          <w:vertAlign w:val="subscript"/>
        </w:rPr>
        <w:t>max</w:t>
      </w:r>
      <w:proofErr w:type="spellEnd"/>
      <w:r w:rsidRPr="00604A4F">
        <w:t xml:space="preserve">. GS-331007 AUC was not affected by food but </w:t>
      </w:r>
      <w:proofErr w:type="spellStart"/>
      <w:r w:rsidR="00F044A6" w:rsidRPr="00604A4F">
        <w:t>C</w:t>
      </w:r>
      <w:r w:rsidR="00F044A6" w:rsidRPr="00F044A6">
        <w:rPr>
          <w:vertAlign w:val="subscript"/>
        </w:rPr>
        <w:t>max</w:t>
      </w:r>
      <w:proofErr w:type="spellEnd"/>
      <w:r w:rsidRPr="00604A4F">
        <w:t xml:space="preserve"> decreased by 25% and 37% resp</w:t>
      </w:r>
      <w:r w:rsidR="00F044A6">
        <w:t>ectively after a moderate</w:t>
      </w:r>
      <w:r w:rsidRPr="00604A4F">
        <w:t xml:space="preserve"> or </w:t>
      </w:r>
      <w:r w:rsidR="00F044A6">
        <w:t>high fat</w:t>
      </w:r>
      <w:r w:rsidRPr="00604A4F">
        <w:t xml:space="preserve"> meal. </w:t>
      </w:r>
      <w:proofErr w:type="spellStart"/>
      <w:r w:rsidRPr="00604A4F">
        <w:t>Velpatasvir</w:t>
      </w:r>
      <w:proofErr w:type="spellEnd"/>
      <w:r w:rsidRPr="00604A4F">
        <w:t xml:space="preserve"> AUC and </w:t>
      </w:r>
      <w:proofErr w:type="spellStart"/>
      <w:r w:rsidR="00F044A6" w:rsidRPr="00604A4F">
        <w:t>C</w:t>
      </w:r>
      <w:r w:rsidR="00F044A6" w:rsidRPr="00F044A6">
        <w:rPr>
          <w:vertAlign w:val="subscript"/>
        </w:rPr>
        <w:t>max</w:t>
      </w:r>
      <w:proofErr w:type="spellEnd"/>
      <w:r w:rsidRPr="00604A4F">
        <w:t xml:space="preserve"> increased by 34% and 31% respectively after a </w:t>
      </w:r>
      <w:r w:rsidR="00F044A6">
        <w:t>moderate fat</w:t>
      </w:r>
      <w:r w:rsidRPr="00604A4F">
        <w:t xml:space="preserve"> meal and 21% and 5% respectively after a </w:t>
      </w:r>
      <w:r w:rsidR="00F044A6">
        <w:t>high fat</w:t>
      </w:r>
      <w:r w:rsidRPr="00604A4F">
        <w:t xml:space="preserve"> meal.</w:t>
      </w:r>
    </w:p>
    <w:p w:rsidR="000D4647" w:rsidRDefault="00604A4F" w:rsidP="00604A4F">
      <w:r w:rsidRPr="00604A4F">
        <w:t xml:space="preserve">In Phase </w:t>
      </w:r>
      <w:r w:rsidR="00F044A6">
        <w:t>III</w:t>
      </w:r>
      <w:r w:rsidRPr="00604A4F">
        <w:t xml:space="preserve"> trials, response rates were similar in patients who were dos</w:t>
      </w:r>
      <w:r w:rsidR="00F044A6">
        <w:t xml:space="preserve">ed with or without food. </w:t>
      </w:r>
      <w:r w:rsidRPr="00604A4F">
        <w:t>The PI recommends the dose be taken with or without food</w:t>
      </w:r>
      <w:r w:rsidR="007419D9">
        <w:t>.</w:t>
      </w:r>
    </w:p>
    <w:p w:rsidR="000D4647" w:rsidRDefault="00604A4F" w:rsidP="00604A4F">
      <w:pPr>
        <w:pStyle w:val="Heading4"/>
      </w:pPr>
      <w:r w:rsidRPr="00604A4F">
        <w:lastRenderedPageBreak/>
        <w:t xml:space="preserve">Absolute </w:t>
      </w:r>
      <w:r w:rsidR="00FF090F">
        <w:t>b</w:t>
      </w:r>
      <w:r w:rsidRPr="00604A4F">
        <w:t>ioavailability</w:t>
      </w:r>
    </w:p>
    <w:p w:rsidR="000D4647" w:rsidRDefault="00604A4F" w:rsidP="00604A4F">
      <w:r w:rsidRPr="00604A4F">
        <w:t>An absolute bioavailability study has not been performed. The sponsor’s justification asserts that:</w:t>
      </w:r>
    </w:p>
    <w:p w:rsidR="000D4647" w:rsidRDefault="00604A4F" w:rsidP="00604A4F">
      <w:pPr>
        <w:pStyle w:val="ListBullet"/>
      </w:pPr>
      <w:r w:rsidRPr="00604A4F">
        <w:t xml:space="preserve">the pharmacokinetics and clinical pharmacology of </w:t>
      </w:r>
      <w:proofErr w:type="spellStart"/>
      <w:r w:rsidRPr="00604A4F">
        <w:t>sofosbuvir</w:t>
      </w:r>
      <w:proofErr w:type="spellEnd"/>
      <w:r w:rsidRPr="00604A4F">
        <w:t xml:space="preserve"> have been extensively char</w:t>
      </w:r>
      <w:r w:rsidR="00F044A6">
        <w:t>acterised through in vitro, nonclinical, and clinical studies</w:t>
      </w:r>
    </w:p>
    <w:p w:rsidR="000D4647" w:rsidRDefault="00F044A6" w:rsidP="00604A4F">
      <w:pPr>
        <w:pStyle w:val="ListBullet"/>
      </w:pPr>
      <w:r>
        <w:t>non</w:t>
      </w:r>
      <w:r w:rsidR="00604A4F" w:rsidRPr="00604A4F">
        <w:t xml:space="preserve">clinical and clinical studies have shown that systemic bioavailability of </w:t>
      </w:r>
      <w:proofErr w:type="spellStart"/>
      <w:r w:rsidR="00604A4F" w:rsidRPr="00604A4F">
        <w:t>sofosbuvir</w:t>
      </w:r>
      <w:proofErr w:type="spellEnd"/>
      <w:r w:rsidR="00604A4F" w:rsidRPr="00604A4F">
        <w:t xml:space="preserve"> is low due </w:t>
      </w:r>
      <w:r>
        <w:t>to extensive hepatic metabolism</w:t>
      </w:r>
    </w:p>
    <w:p w:rsidR="000D4647" w:rsidRDefault="00604A4F" w:rsidP="00604A4F">
      <w:pPr>
        <w:pStyle w:val="ListBullet"/>
      </w:pPr>
      <w:r w:rsidRPr="00604A4F">
        <w:t xml:space="preserve">development of a parenteral </w:t>
      </w:r>
      <w:proofErr w:type="spellStart"/>
      <w:r w:rsidRPr="00604A4F">
        <w:t>velpatasvir</w:t>
      </w:r>
      <w:proofErr w:type="spellEnd"/>
      <w:r w:rsidRPr="00604A4F">
        <w:t xml:space="preserve"> formulation was difficult due</w:t>
      </w:r>
      <w:r w:rsidR="00F044A6">
        <w:t xml:space="preserve"> to its poor solubility profile</w:t>
      </w:r>
    </w:p>
    <w:p w:rsidR="000D4647" w:rsidRDefault="00604A4F" w:rsidP="00604A4F">
      <w:pPr>
        <w:pStyle w:val="ListBullet"/>
      </w:pPr>
      <w:proofErr w:type="gramStart"/>
      <w:r w:rsidRPr="00604A4F">
        <w:t>oral</w:t>
      </w:r>
      <w:proofErr w:type="gramEnd"/>
      <w:r w:rsidRPr="00604A4F">
        <w:t xml:space="preserve"> bioava</w:t>
      </w:r>
      <w:r w:rsidR="00F044A6">
        <w:t xml:space="preserve">ilability of </w:t>
      </w:r>
      <w:proofErr w:type="spellStart"/>
      <w:r w:rsidR="00F044A6">
        <w:t>velpatasvir</w:t>
      </w:r>
      <w:proofErr w:type="spellEnd"/>
      <w:r w:rsidR="00F044A6">
        <w:t xml:space="preserve"> in non</w:t>
      </w:r>
      <w:r w:rsidRPr="00604A4F">
        <w:t>clinical studies was low (</w:t>
      </w:r>
      <w:r w:rsidR="007419D9">
        <w:t>approximately</w:t>
      </w:r>
      <w:r w:rsidR="00F044A6">
        <w:t>25 to 30%)</w:t>
      </w:r>
    </w:p>
    <w:p w:rsidR="000D4647" w:rsidRDefault="00604A4F" w:rsidP="00604A4F">
      <w:pPr>
        <w:pStyle w:val="ListBullet"/>
      </w:pPr>
      <w:proofErr w:type="gramStart"/>
      <w:r w:rsidRPr="00604A4F">
        <w:t>an</w:t>
      </w:r>
      <w:proofErr w:type="gramEnd"/>
      <w:r w:rsidRPr="00604A4F">
        <w:t xml:space="preserve"> absolute bioavailability study would be difficult to conduct due to the low solubility of </w:t>
      </w:r>
      <w:proofErr w:type="spellStart"/>
      <w:r w:rsidRPr="00604A4F">
        <w:t>velpatasvir</w:t>
      </w:r>
      <w:proofErr w:type="spellEnd"/>
      <w:r w:rsidRPr="00604A4F">
        <w:t xml:space="preserve"> and is unnecessary as estimates of bioavailability from existing data are sufficient.</w:t>
      </w:r>
    </w:p>
    <w:p w:rsidR="000D4647" w:rsidRDefault="008E7846" w:rsidP="008E7846">
      <w:pPr>
        <w:pStyle w:val="Heading3"/>
      </w:pPr>
      <w:bookmarkStart w:id="34" w:name="_Toc247691509"/>
      <w:bookmarkStart w:id="35" w:name="_Toc314842493"/>
      <w:bookmarkStart w:id="36" w:name="_Toc498681436"/>
      <w:bookmarkEnd w:id="33"/>
      <w:r>
        <w:t>Quality s</w:t>
      </w:r>
      <w:r w:rsidRPr="008751DC">
        <w:t>ummary</w:t>
      </w:r>
      <w:r>
        <w:t xml:space="preserve"> and conclusions</w:t>
      </w:r>
      <w:bookmarkEnd w:id="34"/>
      <w:bookmarkEnd w:id="35"/>
      <w:bookmarkEnd w:id="36"/>
    </w:p>
    <w:p w:rsidR="000D4647" w:rsidRDefault="00604A4F" w:rsidP="00604A4F">
      <w:r w:rsidRPr="00604A4F">
        <w:t xml:space="preserve">Registration of the proposed product is recommended with respect to quality and </w:t>
      </w:r>
      <w:proofErr w:type="spellStart"/>
      <w:r w:rsidRPr="00604A4F">
        <w:t>biopharmaceutic</w:t>
      </w:r>
      <w:proofErr w:type="spellEnd"/>
      <w:r w:rsidRPr="00604A4F">
        <w:t xml:space="preserve"> aspects. All issues raised during the initial evaluation of this application have been satisfactorily resolved</w:t>
      </w:r>
      <w:r w:rsidR="007419D9">
        <w:t>.</w:t>
      </w:r>
    </w:p>
    <w:p w:rsidR="000D4647" w:rsidRDefault="00604A4F" w:rsidP="008E7846">
      <w:r w:rsidRPr="00604A4F">
        <w:t xml:space="preserve">As no significant pharmaceutical chemistry issues were identified, the submission was not referred to the </w:t>
      </w:r>
      <w:r w:rsidR="00F044A6" w:rsidRPr="00604A4F">
        <w:t xml:space="preserve">pharmaceutical subcommittee </w:t>
      </w:r>
      <w:r w:rsidRPr="00604A4F">
        <w:t>of the ACPM</w:t>
      </w:r>
      <w:r w:rsidR="00F044A6">
        <w:t>.</w:t>
      </w:r>
    </w:p>
    <w:p w:rsidR="000D4647" w:rsidRDefault="008E7846" w:rsidP="008E7846">
      <w:pPr>
        <w:pStyle w:val="Heading2"/>
      </w:pPr>
      <w:bookmarkStart w:id="37" w:name="_Toc196046439"/>
      <w:bookmarkStart w:id="38" w:name="_Toc247691510"/>
      <w:bookmarkStart w:id="39" w:name="_Toc314842494"/>
      <w:bookmarkStart w:id="40" w:name="_Toc498681437"/>
      <w:r>
        <w:t>III. Nonclinical</w:t>
      </w:r>
      <w:bookmarkEnd w:id="37"/>
      <w:r>
        <w:t xml:space="preserve"> findings</w:t>
      </w:r>
      <w:bookmarkEnd w:id="38"/>
      <w:bookmarkEnd w:id="39"/>
      <w:bookmarkEnd w:id="40"/>
    </w:p>
    <w:p w:rsidR="000D4647" w:rsidRDefault="008E7846" w:rsidP="00940A89">
      <w:pPr>
        <w:pStyle w:val="Heading3"/>
      </w:pPr>
      <w:bookmarkStart w:id="41" w:name="_Toc247691511"/>
      <w:bookmarkStart w:id="42" w:name="_Toc314842495"/>
      <w:bookmarkStart w:id="43" w:name="_Toc498681438"/>
      <w:r>
        <w:t>Introduction</w:t>
      </w:r>
      <w:bookmarkEnd w:id="41"/>
      <w:bookmarkEnd w:id="42"/>
      <w:bookmarkEnd w:id="43"/>
    </w:p>
    <w:p w:rsidR="000D4647" w:rsidRDefault="001637F4" w:rsidP="004334C7">
      <w:r w:rsidRPr="001637F4">
        <w:t xml:space="preserve">This submission included the previous </w:t>
      </w:r>
      <w:r w:rsidR="00F044A6">
        <w:t>studies included in the</w:t>
      </w:r>
      <w:r w:rsidRPr="001637F4">
        <w:t xml:space="preserve"> application on </w:t>
      </w:r>
      <w:proofErr w:type="spellStart"/>
      <w:r w:rsidRPr="001637F4">
        <w:t>sofosbuvir</w:t>
      </w:r>
      <w:proofErr w:type="spellEnd"/>
      <w:r w:rsidRPr="001637F4">
        <w:t>.</w:t>
      </w:r>
      <w:r w:rsidR="00F044A6">
        <w:t xml:space="preserve"> </w:t>
      </w:r>
      <w:r w:rsidRPr="001637F4">
        <w:t xml:space="preserve">With the exception of carcinogenicity studies, which were not complete at the time of the earlier submission, these were all previously assessed in PM-2013-01283-1-2. The carcinogenicity studies on </w:t>
      </w:r>
      <w:proofErr w:type="spellStart"/>
      <w:r w:rsidRPr="001637F4">
        <w:t>sofosbuvir</w:t>
      </w:r>
      <w:proofErr w:type="spellEnd"/>
      <w:r w:rsidRPr="001637F4">
        <w:t xml:space="preserve"> were assessed in PM-2014-00469-1. Nonclinical virology studies were </w:t>
      </w:r>
      <w:r w:rsidR="00F044A6">
        <w:t>provided in the clinical module</w:t>
      </w:r>
      <w:r w:rsidRPr="001637F4">
        <w:t xml:space="preserve">. Some virology studies were submitted previously for </w:t>
      </w:r>
      <w:proofErr w:type="spellStart"/>
      <w:r w:rsidRPr="001637F4">
        <w:t>sofosbuvir</w:t>
      </w:r>
      <w:proofErr w:type="spellEnd"/>
      <w:r w:rsidRPr="001637F4">
        <w:t xml:space="preserve"> and </w:t>
      </w:r>
      <w:proofErr w:type="spellStart"/>
      <w:r w:rsidRPr="001637F4">
        <w:t>sofosbuvir</w:t>
      </w:r>
      <w:proofErr w:type="spellEnd"/>
      <w:r w:rsidRPr="001637F4">
        <w:t>/</w:t>
      </w:r>
      <w:proofErr w:type="spellStart"/>
      <w:r w:rsidRPr="001637F4">
        <w:t>ledipasvir</w:t>
      </w:r>
      <w:proofErr w:type="spellEnd"/>
      <w:r w:rsidRPr="001637F4">
        <w:t xml:space="preserve">. This assessment covers reports relating to </w:t>
      </w:r>
      <w:proofErr w:type="spellStart"/>
      <w:r w:rsidRPr="001637F4">
        <w:t>velpatasvir</w:t>
      </w:r>
      <w:proofErr w:type="spellEnd"/>
      <w:r w:rsidRPr="001637F4">
        <w:t xml:space="preserve"> and combination studies of </w:t>
      </w:r>
      <w:proofErr w:type="spellStart"/>
      <w:r w:rsidRPr="001637F4">
        <w:t>velpatasvir</w:t>
      </w:r>
      <w:proofErr w:type="spellEnd"/>
      <w:r w:rsidRPr="001637F4">
        <w:t xml:space="preserve"> with </w:t>
      </w:r>
      <w:proofErr w:type="spellStart"/>
      <w:r w:rsidRPr="001637F4">
        <w:t>sofosbuvir</w:t>
      </w:r>
      <w:proofErr w:type="spellEnd"/>
      <w:r w:rsidRPr="001637F4">
        <w:t>.</w:t>
      </w:r>
    </w:p>
    <w:p w:rsidR="000D4647" w:rsidRDefault="008E7846" w:rsidP="008E7846">
      <w:pPr>
        <w:pStyle w:val="Heading3"/>
      </w:pPr>
      <w:bookmarkStart w:id="44" w:name="_Toc247691512"/>
      <w:bookmarkStart w:id="45" w:name="_Toc314842496"/>
      <w:bookmarkStart w:id="46" w:name="_Toc498681439"/>
      <w:r w:rsidRPr="00020030">
        <w:t>Pharmacology</w:t>
      </w:r>
      <w:bookmarkEnd w:id="44"/>
      <w:bookmarkEnd w:id="45"/>
      <w:bookmarkEnd w:id="46"/>
    </w:p>
    <w:p w:rsidR="000D4647" w:rsidRDefault="001637F4" w:rsidP="001637F4">
      <w:pPr>
        <w:pStyle w:val="Heading4"/>
      </w:pPr>
      <w:r w:rsidRPr="001637F4">
        <w:t>Primary pharmacology</w:t>
      </w:r>
    </w:p>
    <w:p w:rsidR="000D4647" w:rsidRDefault="001637F4" w:rsidP="001637F4">
      <w:proofErr w:type="spellStart"/>
      <w:r w:rsidRPr="001637F4">
        <w:t>Velpatasvir</w:t>
      </w:r>
      <w:proofErr w:type="spellEnd"/>
      <w:r w:rsidRPr="001637F4">
        <w:t xml:space="preserve"> inhibits HCV replication by interaction with the viral NS5A protein.</w:t>
      </w:r>
      <w:r w:rsidR="00F044A6">
        <w:t xml:space="preserve"> </w:t>
      </w:r>
      <w:r w:rsidRPr="001637F4">
        <w:t>The function of NS5A is unknown at present but it plays a key role in the regulation of viral replication.</w:t>
      </w:r>
      <w:r w:rsidR="00F044A6">
        <w:t xml:space="preserve"> </w:t>
      </w:r>
      <w:r w:rsidRPr="001637F4">
        <w:t>NS5A appears to play this role regardless of HCV genotype.</w:t>
      </w:r>
      <w:r w:rsidR="00F044A6">
        <w:t xml:space="preserve"> </w:t>
      </w:r>
      <w:r w:rsidRPr="001637F4">
        <w:t>The mechanism of action of NS5A inhibitors is also unknown at present.</w:t>
      </w:r>
      <w:r w:rsidR="00F044A6">
        <w:t xml:space="preserve"> </w:t>
      </w:r>
      <w:r w:rsidRPr="001637F4">
        <w:t xml:space="preserve">Phosphorylation of NS5A is thought to be an important step in the production of new virus and interference with this process by agents such as </w:t>
      </w:r>
      <w:proofErr w:type="spellStart"/>
      <w:r w:rsidRPr="001637F4">
        <w:t>velpatasvir</w:t>
      </w:r>
      <w:proofErr w:type="spellEnd"/>
      <w:r w:rsidRPr="001637F4">
        <w:t xml:space="preserve"> may explain their effects, but this remains speculative.</w:t>
      </w:r>
      <w:r w:rsidR="00F044A6">
        <w:t xml:space="preserve"> </w:t>
      </w:r>
      <w:r w:rsidRPr="001637F4">
        <w:t xml:space="preserve">Inhibition of NS5A appears to be the only action of </w:t>
      </w:r>
      <w:proofErr w:type="spellStart"/>
      <w:r w:rsidRPr="001637F4">
        <w:t>velpatasvir</w:t>
      </w:r>
      <w:proofErr w:type="spellEnd"/>
      <w:r w:rsidRPr="001637F4">
        <w:t xml:space="preserve"> as it showed no activity against the HCV enzymes NS3/4A protease, NS5B polymerase or the internal ribosome entry site. </w:t>
      </w:r>
      <w:proofErr w:type="spellStart"/>
      <w:r w:rsidRPr="001637F4">
        <w:t>Velpatasvir</w:t>
      </w:r>
      <w:proofErr w:type="spellEnd"/>
      <w:r w:rsidRPr="001637F4">
        <w:t xml:space="preserve"> showed no selective </w:t>
      </w:r>
      <w:r w:rsidRPr="00FF090F">
        <w:t xml:space="preserve">activity against </w:t>
      </w:r>
      <w:r w:rsidR="00FF090F" w:rsidRPr="00FF090F">
        <w:t xml:space="preserve">Bovine viral diarrhoea </w:t>
      </w:r>
      <w:r w:rsidR="00FF090F" w:rsidRPr="00FF090F">
        <w:lastRenderedPageBreak/>
        <w:t>virus (</w:t>
      </w:r>
      <w:r w:rsidRPr="00FF090F">
        <w:t>BVDV</w:t>
      </w:r>
      <w:r w:rsidR="00FF090F" w:rsidRPr="00FF090F">
        <w:t>)</w:t>
      </w:r>
      <w:r w:rsidRPr="00FF090F">
        <w:t xml:space="preserve">, </w:t>
      </w:r>
      <w:r w:rsidR="00FF090F" w:rsidRPr="00FF090F">
        <w:t>Respiratory syncytial (sin-SISH-</w:t>
      </w:r>
      <w:proofErr w:type="spellStart"/>
      <w:r w:rsidR="00FF090F" w:rsidRPr="00FF090F">
        <w:t>ul</w:t>
      </w:r>
      <w:proofErr w:type="spellEnd"/>
      <w:r w:rsidR="00FF090F" w:rsidRPr="00FF090F">
        <w:t>) virus (RSV)</w:t>
      </w:r>
      <w:r w:rsidRPr="00FF090F">
        <w:t xml:space="preserve">, </w:t>
      </w:r>
      <w:r w:rsidR="00721A33" w:rsidRPr="00FF090F">
        <w:t>hepatitis B virus</w:t>
      </w:r>
      <w:r w:rsidR="00721A33" w:rsidRPr="001637F4">
        <w:t xml:space="preserve"> </w:t>
      </w:r>
      <w:r w:rsidR="00721A33">
        <w:t>(</w:t>
      </w:r>
      <w:r w:rsidRPr="001637F4">
        <w:t>HBV</w:t>
      </w:r>
      <w:r w:rsidR="00721A33">
        <w:t>)</w:t>
      </w:r>
      <w:r w:rsidRPr="001637F4">
        <w:t xml:space="preserve"> or </w:t>
      </w:r>
      <w:r w:rsidR="00721A33">
        <w:t>human immunodeficiency virus</w:t>
      </w:r>
      <w:r w:rsidR="00721A33" w:rsidRPr="001637F4">
        <w:t xml:space="preserve"> </w:t>
      </w:r>
      <w:r w:rsidR="00721A33">
        <w:t xml:space="preserve">(HIV) </w:t>
      </w:r>
      <w:r w:rsidRPr="001637F4">
        <w:t>HIV-1</w:t>
      </w:r>
      <w:r w:rsidR="007419D9">
        <w:t>.</w:t>
      </w:r>
    </w:p>
    <w:p w:rsidR="000D4647" w:rsidRDefault="001637F4" w:rsidP="001637F4">
      <w:r w:rsidRPr="001637F4">
        <w:t xml:space="preserve">The antiviral actions of </w:t>
      </w:r>
      <w:proofErr w:type="spellStart"/>
      <w:r w:rsidRPr="001637F4">
        <w:t>velpatasvir</w:t>
      </w:r>
      <w:proofErr w:type="spellEnd"/>
      <w:r w:rsidRPr="001637F4">
        <w:t xml:space="preserve"> were studied in full-length and chimeric HCV replicons.</w:t>
      </w:r>
      <w:r w:rsidR="00F044A6">
        <w:t xml:space="preserve"> </w:t>
      </w:r>
      <w:proofErr w:type="spellStart"/>
      <w:r w:rsidRPr="001637F4">
        <w:t>Velpatasvir</w:t>
      </w:r>
      <w:proofErr w:type="spellEnd"/>
      <w:r w:rsidRPr="001637F4">
        <w:t xml:space="preserve"> had antiviral activity against HCV genotypes 1 to 6 with mean </w:t>
      </w:r>
      <w:r w:rsidR="00AE4800">
        <w:t>concentration of a compound inhibiting virus replication by 50% (</w:t>
      </w:r>
      <w:r w:rsidRPr="001637F4">
        <w:t>EC50</w:t>
      </w:r>
      <w:r w:rsidR="00AE4800">
        <w:t>)</w:t>
      </w:r>
      <w:r w:rsidRPr="001637F4">
        <w:t xml:space="preserve"> v</w:t>
      </w:r>
      <w:r w:rsidR="004831B3">
        <w:t xml:space="preserve">alues ranging from 0.002 </w:t>
      </w:r>
      <w:proofErr w:type="spellStart"/>
      <w:r w:rsidR="004831B3">
        <w:t>nM</w:t>
      </w:r>
      <w:proofErr w:type="spellEnd"/>
      <w:r w:rsidR="004831B3">
        <w:t xml:space="preserve"> (GT</w:t>
      </w:r>
      <w:r w:rsidRPr="001637F4">
        <w:t xml:space="preserve">2b) to 0.130 </w:t>
      </w:r>
      <w:proofErr w:type="spellStart"/>
      <w:r w:rsidRPr="001637F4">
        <w:t>nM</w:t>
      </w:r>
      <w:proofErr w:type="spellEnd"/>
      <w:r w:rsidRPr="001637F4">
        <w:t xml:space="preserve"> (GT6e).</w:t>
      </w:r>
      <w:r w:rsidR="00F044A6">
        <w:t xml:space="preserve"> </w:t>
      </w:r>
      <w:r w:rsidRPr="001637F4">
        <w:t xml:space="preserve">In studies on chimeric replicons carrying NS5A from clinical isolates, </w:t>
      </w:r>
      <w:proofErr w:type="spellStart"/>
      <w:r w:rsidRPr="001637F4">
        <w:t>velpatasvir</w:t>
      </w:r>
      <w:proofErr w:type="spellEnd"/>
      <w:r w:rsidRPr="001637F4">
        <w:t xml:space="preserve"> showed potent and broad antiviral activity against HCV genotypes 1 to 6 with no or minimal differences in potency against different subtypes within a genotype.</w:t>
      </w:r>
      <w:r w:rsidR="00F044A6">
        <w:t xml:space="preserve"> </w:t>
      </w:r>
      <w:proofErr w:type="spellStart"/>
      <w:r w:rsidRPr="001637F4">
        <w:t>Velpatasvir</w:t>
      </w:r>
      <w:proofErr w:type="spellEnd"/>
      <w:r w:rsidRPr="001637F4">
        <w:t xml:space="preserve"> activity against H</w:t>
      </w:r>
      <w:r w:rsidR="006F35F9">
        <w:t xml:space="preserve">CV genotype 1a was reduced 13.3 </w:t>
      </w:r>
      <w:r w:rsidRPr="001637F4">
        <w:t>fold in</w:t>
      </w:r>
      <w:r w:rsidR="006F35F9">
        <w:t xml:space="preserve"> 40% human serum. Protein </w:t>
      </w:r>
      <w:r w:rsidRPr="001637F4">
        <w:t>adjus</w:t>
      </w:r>
      <w:r w:rsidR="006F35F9">
        <w:t>ted EC50 values (studies PC</w:t>
      </w:r>
      <w:r w:rsidR="006F35F9">
        <w:noBreakHyphen/>
        <w:t>282</w:t>
      </w:r>
      <w:r w:rsidR="006F35F9">
        <w:noBreakHyphen/>
      </w:r>
      <w:r w:rsidRPr="001637F4">
        <w:t xml:space="preserve">2028 and PC-281-2029) ranged from 0.027 to 0.21 </w:t>
      </w:r>
      <w:proofErr w:type="spellStart"/>
      <w:r w:rsidRPr="001637F4">
        <w:t>nM</w:t>
      </w:r>
      <w:proofErr w:type="spellEnd"/>
      <w:r w:rsidRPr="001637F4">
        <w:t xml:space="preserve"> for genotypes 1a, 1b, 2a, 2b</w:t>
      </w:r>
      <w:r w:rsidR="00FF090F">
        <w:t xml:space="preserve">, 3a, 4a, and 6a, and from 0.72 to </w:t>
      </w:r>
      <w:r w:rsidRPr="001637F4">
        <w:t xml:space="preserve">1.7 </w:t>
      </w:r>
      <w:proofErr w:type="spellStart"/>
      <w:r w:rsidRPr="001637F4">
        <w:t>nM</w:t>
      </w:r>
      <w:proofErr w:type="spellEnd"/>
      <w:r w:rsidRPr="001637F4">
        <w:t xml:space="preserve"> for genotypes 5a and 6e.</w:t>
      </w:r>
    </w:p>
    <w:p w:rsidR="000D4647" w:rsidRDefault="001637F4" w:rsidP="001637F4">
      <w:r w:rsidRPr="001637F4">
        <w:t xml:space="preserve">Reductions in susceptibility to </w:t>
      </w:r>
      <w:proofErr w:type="spellStart"/>
      <w:r w:rsidRPr="001637F4">
        <w:t>velpatasvir</w:t>
      </w:r>
      <w:proofErr w:type="spellEnd"/>
      <w:r w:rsidRPr="001637F4">
        <w:t xml:space="preserve"> were infrequent and were associated wi</w:t>
      </w:r>
      <w:r w:rsidR="006F35F9">
        <w:t xml:space="preserve">th variants at known resistance </w:t>
      </w:r>
      <w:r w:rsidRPr="001637F4">
        <w:t xml:space="preserve">associated positions </w:t>
      </w:r>
      <w:r w:rsidR="006F35F9">
        <w:t xml:space="preserve">in NS5A. </w:t>
      </w:r>
      <w:proofErr w:type="spellStart"/>
      <w:r w:rsidR="006F35F9">
        <w:t>Velpatasvir</w:t>
      </w:r>
      <w:proofErr w:type="spellEnd"/>
      <w:r w:rsidR="006F35F9">
        <w:t xml:space="preserve"> resistance </w:t>
      </w:r>
      <w:r w:rsidRPr="001637F4">
        <w:t>associated variants (RAVs) were identified in vitro at positions 24, 28, 31, 32, 58, 92 and 93, most commonly at positions 28, 31, and 93.</w:t>
      </w:r>
      <w:r w:rsidR="00F044A6">
        <w:t xml:space="preserve"> </w:t>
      </w:r>
      <w:r w:rsidRPr="001637F4">
        <w:t xml:space="preserve">Substitutions conferring a </w:t>
      </w:r>
      <w:r w:rsidR="00F044A6">
        <w:t xml:space="preserve">&gt; </w:t>
      </w:r>
      <w:r w:rsidR="006F35F9">
        <w:t xml:space="preserve">100 </w:t>
      </w:r>
      <w:r w:rsidRPr="001637F4">
        <w:t xml:space="preserve">fold reduction in </w:t>
      </w:r>
      <w:proofErr w:type="spellStart"/>
      <w:r w:rsidRPr="001637F4">
        <w:t>velpatasvir</w:t>
      </w:r>
      <w:proofErr w:type="spellEnd"/>
      <w:r w:rsidRPr="001637F4">
        <w:t xml:space="preserve"> susceptibility were identified in all genotypes.</w:t>
      </w:r>
      <w:r w:rsidR="00F044A6">
        <w:t xml:space="preserve"> </w:t>
      </w:r>
      <w:r w:rsidRPr="001637F4">
        <w:t xml:space="preserve">Combinations of these </w:t>
      </w:r>
      <w:r w:rsidR="006F35F9">
        <w:t>resistance associated</w:t>
      </w:r>
      <w:r w:rsidRPr="001637F4">
        <w:t xml:space="preserve"> variants (RAVs) often showed greater reductions in susceptibility to </w:t>
      </w:r>
      <w:proofErr w:type="spellStart"/>
      <w:r w:rsidRPr="001637F4">
        <w:t>velpatasvir</w:t>
      </w:r>
      <w:proofErr w:type="spellEnd"/>
      <w:r w:rsidRPr="001637F4">
        <w:t xml:space="preserve"> than single RAVs alone.</w:t>
      </w:r>
    </w:p>
    <w:p w:rsidR="000D4647" w:rsidRDefault="001637F4" w:rsidP="001637F4">
      <w:r w:rsidRPr="001637F4">
        <w:t xml:space="preserve">The antiviral activities of </w:t>
      </w:r>
      <w:proofErr w:type="spellStart"/>
      <w:r w:rsidRPr="001637F4">
        <w:t>velpatasvir</w:t>
      </w:r>
      <w:proofErr w:type="spellEnd"/>
      <w:r w:rsidRPr="001637F4">
        <w:t xml:space="preserve"> combined with </w:t>
      </w:r>
      <w:proofErr w:type="spellStart"/>
      <w:r w:rsidRPr="001637F4">
        <w:t>sofosbuvir</w:t>
      </w:r>
      <w:proofErr w:type="spellEnd"/>
      <w:r w:rsidRPr="001637F4">
        <w:t xml:space="preserve">, </w:t>
      </w:r>
      <w:proofErr w:type="spellStart"/>
      <w:r w:rsidRPr="001637F4">
        <w:t>boceprevir</w:t>
      </w:r>
      <w:proofErr w:type="spellEnd"/>
      <w:r w:rsidRPr="001637F4">
        <w:t xml:space="preserve">, </w:t>
      </w:r>
      <w:proofErr w:type="spellStart"/>
      <w:r w:rsidRPr="001637F4">
        <w:t>simeprevir</w:t>
      </w:r>
      <w:proofErr w:type="spellEnd"/>
      <w:r w:rsidRPr="001637F4">
        <w:t xml:space="preserve">, </w:t>
      </w:r>
      <w:proofErr w:type="spellStart"/>
      <w:r w:rsidRPr="001637F4">
        <w:t>telaprevir</w:t>
      </w:r>
      <w:proofErr w:type="spellEnd"/>
      <w:r w:rsidRPr="001637F4">
        <w:t xml:space="preserve"> (</w:t>
      </w:r>
      <w:r w:rsidR="00630FB6">
        <w:t>non-structural protein 3 (</w:t>
      </w:r>
      <w:r w:rsidRPr="001637F4">
        <w:t>NS3</w:t>
      </w:r>
      <w:r w:rsidR="00630FB6">
        <w:t>)</w:t>
      </w:r>
      <w:r w:rsidRPr="001637F4">
        <w:t xml:space="preserve"> inhibitors), </w:t>
      </w:r>
      <w:proofErr w:type="spellStart"/>
      <w:r w:rsidRPr="001637F4">
        <w:t>daclatasvir</w:t>
      </w:r>
      <w:proofErr w:type="spellEnd"/>
      <w:r w:rsidRPr="001637F4">
        <w:t xml:space="preserve"> (NS5A inhibitor), ribavirin, or </w:t>
      </w:r>
      <w:r w:rsidR="00B3721D">
        <w:t>i</w:t>
      </w:r>
      <w:r w:rsidR="00FF090F">
        <w:t>nterferon alpha</w:t>
      </w:r>
      <w:r w:rsidR="00B3721D">
        <w:t xml:space="preserve"> </w:t>
      </w:r>
      <w:r w:rsidR="00FF090F" w:rsidRPr="00B3721D">
        <w:t>(</w:t>
      </w:r>
      <w:r w:rsidRPr="00B3721D">
        <w:t>IFNα</w:t>
      </w:r>
      <w:r w:rsidR="00FF090F" w:rsidRPr="00B3721D">
        <w:t>)</w:t>
      </w:r>
      <w:r w:rsidRPr="00B3721D">
        <w:t xml:space="preserve"> were</w:t>
      </w:r>
      <w:r w:rsidRPr="001637F4">
        <w:t xml:space="preserve"> additive in vitro.</w:t>
      </w:r>
      <w:r w:rsidR="00F044A6">
        <w:t xml:space="preserve"> </w:t>
      </w:r>
      <w:r w:rsidRPr="001637F4">
        <w:t xml:space="preserve">There was no cross resistance between </w:t>
      </w:r>
      <w:proofErr w:type="spellStart"/>
      <w:r w:rsidRPr="001637F4">
        <w:t>sofosbuvir</w:t>
      </w:r>
      <w:proofErr w:type="spellEnd"/>
      <w:r w:rsidRPr="001637F4">
        <w:t xml:space="preserve"> and </w:t>
      </w:r>
      <w:proofErr w:type="spellStart"/>
      <w:r w:rsidRPr="001637F4">
        <w:t>velpatasvir</w:t>
      </w:r>
      <w:proofErr w:type="spellEnd"/>
      <w:r w:rsidRPr="001637F4">
        <w:t xml:space="preserve"> in vitro. </w:t>
      </w:r>
      <w:proofErr w:type="spellStart"/>
      <w:r w:rsidRPr="001637F4">
        <w:t>Velpatasvir</w:t>
      </w:r>
      <w:proofErr w:type="spellEnd"/>
      <w:r w:rsidRPr="001637F4">
        <w:t xml:space="preserve"> was active against the NS5B S282T mutant replicon which shows reduced susceptibility to </w:t>
      </w:r>
      <w:proofErr w:type="spellStart"/>
      <w:r w:rsidRPr="001637F4">
        <w:t>sofosbuvir</w:t>
      </w:r>
      <w:proofErr w:type="spellEnd"/>
      <w:r w:rsidRPr="001637F4">
        <w:t>.</w:t>
      </w:r>
      <w:r w:rsidR="00F044A6">
        <w:t xml:space="preserve"> </w:t>
      </w:r>
      <w:proofErr w:type="spellStart"/>
      <w:r w:rsidRPr="001637F4">
        <w:t>Sofosbuvir</w:t>
      </w:r>
      <w:proofErr w:type="spellEnd"/>
      <w:r w:rsidRPr="001637F4">
        <w:t xml:space="preserve"> was active against NS5A mutants resistant to </w:t>
      </w:r>
      <w:proofErr w:type="spellStart"/>
      <w:r w:rsidRPr="001637F4">
        <w:t>velpatasvir</w:t>
      </w:r>
      <w:proofErr w:type="spellEnd"/>
      <w:r w:rsidRPr="001637F4">
        <w:t xml:space="preserve">. The activity of </w:t>
      </w:r>
      <w:proofErr w:type="spellStart"/>
      <w:r w:rsidRPr="001637F4">
        <w:t>velpatasvir</w:t>
      </w:r>
      <w:proofErr w:type="spellEnd"/>
      <w:r w:rsidRPr="001637F4">
        <w:t xml:space="preserve"> alone or in combination with </w:t>
      </w:r>
      <w:proofErr w:type="spellStart"/>
      <w:r w:rsidRPr="001637F4">
        <w:t>sofosbuvir</w:t>
      </w:r>
      <w:proofErr w:type="spellEnd"/>
      <w:r w:rsidRPr="001637F4">
        <w:t xml:space="preserve"> was unaffected by anti-HIV drugs, and </w:t>
      </w:r>
      <w:proofErr w:type="spellStart"/>
      <w:r w:rsidR="006F35F9" w:rsidRPr="001637F4">
        <w:t>velpatasvir</w:t>
      </w:r>
      <w:proofErr w:type="spellEnd"/>
      <w:r w:rsidRPr="001637F4">
        <w:t xml:space="preserve"> had no effect on the anti-HIV activity of representative HIV drugs</w:t>
      </w:r>
      <w:r w:rsidR="006F35F9">
        <w:t>.</w:t>
      </w:r>
    </w:p>
    <w:p w:rsidR="000D4647" w:rsidRDefault="001637F4" w:rsidP="001637F4">
      <w:pPr>
        <w:pStyle w:val="Heading4"/>
      </w:pPr>
      <w:r w:rsidRPr="001637F4">
        <w:t>Secondary pharmacodynamics and safety pharmacology</w:t>
      </w:r>
    </w:p>
    <w:p w:rsidR="000D4647" w:rsidRDefault="006F35F9" w:rsidP="001637F4">
      <w:r>
        <w:t xml:space="preserve">Potential off </w:t>
      </w:r>
      <w:r w:rsidR="001637F4" w:rsidRPr="001637F4">
        <w:t xml:space="preserve">target activity of </w:t>
      </w:r>
      <w:proofErr w:type="spellStart"/>
      <w:r w:rsidR="001637F4" w:rsidRPr="001637F4">
        <w:t>velpatasvir</w:t>
      </w:r>
      <w:proofErr w:type="spellEnd"/>
      <w:r w:rsidR="001637F4" w:rsidRPr="001637F4">
        <w:t xml:space="preserve"> was evaluated in a panel of 65 mammalian enzymes, ion channels and receptors.</w:t>
      </w:r>
      <w:r w:rsidR="00F044A6">
        <w:t xml:space="preserve"> </w:t>
      </w:r>
      <w:r w:rsidR="001637F4" w:rsidRPr="001637F4">
        <w:t>No significant interactions were observed at concentrations of 10 µM.</w:t>
      </w:r>
      <w:r w:rsidR="00F044A6">
        <w:t xml:space="preserve"> </w:t>
      </w:r>
      <w:proofErr w:type="spellStart"/>
      <w:r w:rsidR="001637F4" w:rsidRPr="001637F4">
        <w:t>Velpatasvir</w:t>
      </w:r>
      <w:proofErr w:type="spellEnd"/>
      <w:r w:rsidR="001637F4" w:rsidRPr="001637F4">
        <w:t xml:space="preserve"> showed no antiviral activity against bovine viral diarrhoea virus (a related </w:t>
      </w:r>
      <w:proofErr w:type="spellStart"/>
      <w:r w:rsidR="001637F4" w:rsidRPr="001637F4">
        <w:t>flavivirus</w:t>
      </w:r>
      <w:proofErr w:type="spellEnd"/>
      <w:r w:rsidR="001637F4" w:rsidRPr="001637F4">
        <w:t>), or the unrelated viruses respiratory syncytial virus, hepatitis B virus and human immunodeficiency virus.</w:t>
      </w:r>
      <w:r w:rsidR="00F044A6">
        <w:t xml:space="preserve"> </w:t>
      </w:r>
      <w:proofErr w:type="spellStart"/>
      <w:r w:rsidR="001637F4" w:rsidRPr="001637F4">
        <w:t>Velpatasvir</w:t>
      </w:r>
      <w:proofErr w:type="spellEnd"/>
      <w:r w:rsidR="001637F4" w:rsidRPr="001637F4">
        <w:t xml:space="preserve"> showed no significant cytotoxicity to any of the cell lines used in the replicon assays.</w:t>
      </w:r>
    </w:p>
    <w:p w:rsidR="000D4647" w:rsidRDefault="001637F4" w:rsidP="004334C7">
      <w:r w:rsidRPr="001637F4">
        <w:t xml:space="preserve">Safety studies with </w:t>
      </w:r>
      <w:proofErr w:type="spellStart"/>
      <w:r w:rsidRPr="001637F4">
        <w:t>velpatasvir</w:t>
      </w:r>
      <w:proofErr w:type="spellEnd"/>
      <w:r w:rsidRPr="001637F4">
        <w:t xml:space="preserve"> examined </w:t>
      </w:r>
      <w:r w:rsidR="00B3721D">
        <w:t>Human ether-a-go-go-</w:t>
      </w:r>
      <w:r w:rsidR="00B3721D" w:rsidRPr="00B3721D">
        <w:t>related gene (</w:t>
      </w:r>
      <w:proofErr w:type="spellStart"/>
      <w:r w:rsidRPr="00B3721D">
        <w:t>hERG</w:t>
      </w:r>
      <w:proofErr w:type="spellEnd"/>
      <w:r w:rsidR="00B3721D" w:rsidRPr="00B3721D">
        <w:t>)</w:t>
      </w:r>
      <w:r w:rsidRPr="001637F4">
        <w:t xml:space="preserve"> channel inhibition in vitro and cardiovascular, respiratory and </w:t>
      </w:r>
      <w:r w:rsidR="00B3721D">
        <w:t xml:space="preserve">central nervous system </w:t>
      </w:r>
      <w:r w:rsidR="00B3721D" w:rsidRPr="00B3721D">
        <w:t>(</w:t>
      </w:r>
      <w:r w:rsidRPr="00B3721D">
        <w:t>CNS</w:t>
      </w:r>
      <w:r w:rsidR="00B3721D" w:rsidRPr="00B3721D">
        <w:t>)</w:t>
      </w:r>
      <w:r w:rsidRPr="00B3721D">
        <w:t xml:space="preserve"> studies</w:t>
      </w:r>
      <w:r w:rsidRPr="001637F4">
        <w:t xml:space="preserve"> in vivo.</w:t>
      </w:r>
      <w:r w:rsidR="00F044A6">
        <w:t xml:space="preserve"> </w:t>
      </w:r>
      <w:proofErr w:type="spellStart"/>
      <w:r w:rsidRPr="001637F4">
        <w:t>Velpatasvir</w:t>
      </w:r>
      <w:proofErr w:type="spellEnd"/>
      <w:r w:rsidRPr="001637F4">
        <w:t xml:space="preserve"> had no effect of </w:t>
      </w:r>
      <w:proofErr w:type="spellStart"/>
      <w:r w:rsidRPr="001637F4">
        <w:t>hERG</w:t>
      </w:r>
      <w:proofErr w:type="spellEnd"/>
      <w:r w:rsidRPr="001637F4">
        <w:t xml:space="preserve"> currents at the highest concentration tested (6.5 µM).</w:t>
      </w:r>
      <w:r w:rsidR="00F044A6">
        <w:t xml:space="preserve"> </w:t>
      </w:r>
      <w:r w:rsidRPr="001637F4">
        <w:t>Single</w:t>
      </w:r>
      <w:r w:rsidR="006F35F9">
        <w:t xml:space="preserve"> doses of </w:t>
      </w:r>
      <w:proofErr w:type="spellStart"/>
      <w:r w:rsidR="006F35F9">
        <w:t>velpatasvir</w:t>
      </w:r>
      <w:proofErr w:type="spellEnd"/>
      <w:r w:rsidR="006F35F9">
        <w:t xml:space="preserve"> up to 100</w:t>
      </w:r>
      <w:r w:rsidR="00A82FA1">
        <w:t xml:space="preserve"> mg</w:t>
      </w:r>
      <w:r w:rsidRPr="001637F4">
        <w:t xml:space="preserve">/kg had no effect on any cardiovascular parameters in dogs. Single doses of </w:t>
      </w:r>
      <w:proofErr w:type="spellStart"/>
      <w:r w:rsidRPr="001637F4">
        <w:t>velpatasvir</w:t>
      </w:r>
      <w:proofErr w:type="spellEnd"/>
      <w:r w:rsidRPr="001637F4">
        <w:t xml:space="preserve"> up to 100</w:t>
      </w:r>
      <w:r w:rsidR="00A82FA1">
        <w:t xml:space="preserve"> mg</w:t>
      </w:r>
      <w:r w:rsidRPr="001637F4">
        <w:t xml:space="preserve">/kg had no effect on any CNS parameters in rats. Single doses of </w:t>
      </w:r>
      <w:proofErr w:type="spellStart"/>
      <w:r w:rsidRPr="001637F4">
        <w:t>velpatasvir</w:t>
      </w:r>
      <w:proofErr w:type="spellEnd"/>
      <w:r w:rsidRPr="001637F4">
        <w:t xml:space="preserve"> up to 200</w:t>
      </w:r>
      <w:r w:rsidR="00A82FA1">
        <w:t xml:space="preserve"> mg</w:t>
      </w:r>
      <w:r w:rsidRPr="001637F4">
        <w:t>/kg had no effect on any respiratory parameters in rats.</w:t>
      </w:r>
    </w:p>
    <w:p w:rsidR="000D4647" w:rsidRDefault="008E7846" w:rsidP="008E7846">
      <w:pPr>
        <w:pStyle w:val="Heading3"/>
      </w:pPr>
      <w:bookmarkStart w:id="47" w:name="_Toc247691513"/>
      <w:bookmarkStart w:id="48" w:name="_Toc314842497"/>
      <w:bookmarkStart w:id="49" w:name="_Toc498681440"/>
      <w:r>
        <w:t>Pharmacokinetics</w:t>
      </w:r>
      <w:bookmarkEnd w:id="47"/>
      <w:bookmarkEnd w:id="48"/>
      <w:bookmarkEnd w:id="49"/>
    </w:p>
    <w:p w:rsidR="000D4647" w:rsidRDefault="001637F4" w:rsidP="001637F4">
      <w:pPr>
        <w:pStyle w:val="Heading4"/>
      </w:pPr>
      <w:bookmarkStart w:id="50" w:name="_Toc247691514"/>
      <w:bookmarkStart w:id="51" w:name="_Toc314842498"/>
      <w:r>
        <w:t>Absorption</w:t>
      </w:r>
    </w:p>
    <w:p w:rsidR="000D4647" w:rsidRDefault="00313378" w:rsidP="001637F4">
      <w:proofErr w:type="spellStart"/>
      <w:r w:rsidRPr="000818DC">
        <w:t>T</w:t>
      </w:r>
      <w:r w:rsidRPr="00313378">
        <w:rPr>
          <w:vertAlign w:val="subscript"/>
        </w:rPr>
        <w:t>max</w:t>
      </w:r>
      <w:proofErr w:type="spellEnd"/>
      <w:r w:rsidR="001637F4" w:rsidRPr="001637F4">
        <w:t xml:space="preserve"> values ranged from 1 hour to around 12 hours in </w:t>
      </w:r>
      <w:r w:rsidR="006F35F9">
        <w:t>nonclinical</w:t>
      </w:r>
      <w:r w:rsidR="001637F4" w:rsidRPr="001637F4">
        <w:t xml:space="preserve"> species. Oral bioavailability ranged from 25 to 29.7% suggesting modest absorption, and volume of distribution ranged from 1.4 to 1.6 L/kg. Systemic clearance was low in all species with values ranging from 0.25 to 0.94L/h/kg. Terminal half-life ranged from 2.36 hours in rats </w:t>
      </w:r>
      <w:r w:rsidR="001637F4" w:rsidRPr="001637F4">
        <w:lastRenderedPageBreak/>
        <w:t>to 5.5 hours in dogs. There were no consistent sex differences in absorption parameters in any species. Exposu</w:t>
      </w:r>
      <w:r w:rsidR="00B3721D">
        <w:t xml:space="preserve">re was generally less than dose </w:t>
      </w:r>
      <w:r w:rsidR="001637F4" w:rsidRPr="001637F4">
        <w:t>proportional at high doses in all species and this limited the animal:</w:t>
      </w:r>
      <w:r w:rsidR="006F35F9">
        <w:t xml:space="preserve"> </w:t>
      </w:r>
      <w:r w:rsidR="001637F4" w:rsidRPr="001637F4">
        <w:t>human exposure ratios achieved</w:t>
      </w:r>
      <w:r w:rsidR="007419D9">
        <w:t>.</w:t>
      </w:r>
    </w:p>
    <w:p w:rsidR="000D4647" w:rsidRDefault="001637F4" w:rsidP="001637F4">
      <w:pPr>
        <w:pStyle w:val="Heading4"/>
      </w:pPr>
      <w:r>
        <w:t>Distribution</w:t>
      </w:r>
    </w:p>
    <w:p w:rsidR="000D4647" w:rsidRDefault="001637F4" w:rsidP="001637F4">
      <w:r w:rsidRPr="001637F4">
        <w:t xml:space="preserve">Plasma protein binding by </w:t>
      </w:r>
      <w:proofErr w:type="spellStart"/>
      <w:r w:rsidRPr="001637F4">
        <w:t>velpatasvir</w:t>
      </w:r>
      <w:proofErr w:type="spellEnd"/>
      <w:r w:rsidRPr="001637F4">
        <w:t xml:space="preserve"> was high in humans and laboratory animal species at greater than 99% plasma protein bound in all species in vitro. Limited red blood cell partitioning was evident in mice and rats with blood:</w:t>
      </w:r>
      <w:r w:rsidR="00BE0146">
        <w:t xml:space="preserve"> </w:t>
      </w:r>
      <w:r w:rsidRPr="001637F4">
        <w:t xml:space="preserve">plasma ratios of </w:t>
      </w:r>
      <w:r w:rsidR="006F35F9">
        <w:t xml:space="preserve">&lt; </w:t>
      </w:r>
      <w:r w:rsidRPr="001637F4">
        <w:t xml:space="preserve">0.623 and </w:t>
      </w:r>
      <w:r w:rsidR="006F35F9">
        <w:t xml:space="preserve">&lt; </w:t>
      </w:r>
      <w:r w:rsidRPr="001637F4">
        <w:t>0.635, respectively.</w:t>
      </w:r>
      <w:r w:rsidR="00F044A6">
        <w:t xml:space="preserve"> </w:t>
      </w:r>
      <w:r w:rsidRPr="001637F4">
        <w:t xml:space="preserve">Tissue distribution of </w:t>
      </w:r>
      <w:proofErr w:type="spellStart"/>
      <w:r w:rsidRPr="001637F4">
        <w:t>velpatasvir</w:t>
      </w:r>
      <w:proofErr w:type="spellEnd"/>
      <w:r w:rsidRPr="001637F4">
        <w:t xml:space="preserve"> associated radioactivity was wide in mice and rats with highest concentrations appearing in liver, kidney and </w:t>
      </w:r>
      <w:proofErr w:type="spellStart"/>
      <w:r w:rsidRPr="001637F4">
        <w:t>Harderian</w:t>
      </w:r>
      <w:proofErr w:type="spellEnd"/>
      <w:r w:rsidRPr="001637F4">
        <w:t xml:space="preserve"> glands in both species. There was no penetration into testes and very limited penetration into brain in mice and rats.</w:t>
      </w:r>
      <w:r w:rsidR="00F044A6">
        <w:t xml:space="preserve"> </w:t>
      </w:r>
      <w:proofErr w:type="spellStart"/>
      <w:r w:rsidRPr="001637F4">
        <w:t>Fetal</w:t>
      </w:r>
      <w:proofErr w:type="spellEnd"/>
      <w:r w:rsidRPr="001637F4">
        <w:t xml:space="preserve"> transfer was not seen but </w:t>
      </w:r>
      <w:proofErr w:type="spellStart"/>
      <w:r w:rsidRPr="001637F4">
        <w:t>velpatasvir</w:t>
      </w:r>
      <w:proofErr w:type="spellEnd"/>
      <w:r w:rsidRPr="001637F4">
        <w:t xml:space="preserve"> was present in milk from lactating rats</w:t>
      </w:r>
      <w:r w:rsidR="007419D9">
        <w:t>.</w:t>
      </w:r>
    </w:p>
    <w:p w:rsidR="000D4647" w:rsidRDefault="001637F4" w:rsidP="001637F4">
      <w:pPr>
        <w:pStyle w:val="Heading4"/>
      </w:pPr>
      <w:r>
        <w:t>Metabolism</w:t>
      </w:r>
    </w:p>
    <w:p w:rsidR="000D4647" w:rsidRDefault="006F35F9" w:rsidP="001637F4">
      <w:r>
        <w:t>M</w:t>
      </w:r>
      <w:r w:rsidR="001637F4" w:rsidRPr="001637F4">
        <w:t xml:space="preserve">etabolites were formed and interconverted by oxidation, O-demethylation, hydrolysis, dehydrogenation and </w:t>
      </w:r>
      <w:proofErr w:type="spellStart"/>
      <w:r w:rsidR="001637F4" w:rsidRPr="001637F4">
        <w:t>glucuronidation</w:t>
      </w:r>
      <w:proofErr w:type="spellEnd"/>
      <w:r w:rsidR="001637F4" w:rsidRPr="001637F4">
        <w:t>.</w:t>
      </w:r>
      <w:r w:rsidR="00F044A6">
        <w:t xml:space="preserve"> </w:t>
      </w:r>
      <w:r w:rsidR="001637F4" w:rsidRPr="001637F4">
        <w:t xml:space="preserve">Unchanged </w:t>
      </w:r>
      <w:proofErr w:type="spellStart"/>
      <w:r w:rsidR="001637F4" w:rsidRPr="001637F4">
        <w:t>velpatasvir</w:t>
      </w:r>
      <w:proofErr w:type="spellEnd"/>
      <w:r w:rsidR="001637F4" w:rsidRPr="001637F4">
        <w:t xml:space="preserve"> was by far the dominant circulating species in humans and laboratory animals. There were no major circulating metabolites in human plasma with M18 and M19 constituting 0.4 and 0.7 % plasma AUC respectively. There were no unique human metabolites.</w:t>
      </w:r>
      <w:r w:rsidR="00F044A6">
        <w:t xml:space="preserve"> </w:t>
      </w:r>
      <w:r w:rsidR="001637F4" w:rsidRPr="001637F4">
        <w:t xml:space="preserve">Slow metabolic turnover of </w:t>
      </w:r>
      <w:proofErr w:type="spellStart"/>
      <w:r w:rsidR="001637F4" w:rsidRPr="001637F4">
        <w:t>velpatasvir</w:t>
      </w:r>
      <w:proofErr w:type="spellEnd"/>
      <w:r w:rsidR="001637F4" w:rsidRPr="001637F4">
        <w:t xml:space="preserve"> was observed in vitro with incubation with </w:t>
      </w:r>
      <w:r w:rsidR="00AE4800">
        <w:t xml:space="preserve">cytochrome P450’s (CYP) </w:t>
      </w:r>
      <w:r w:rsidR="001637F4" w:rsidRPr="00AE4800">
        <w:t>CYP2B6,</w:t>
      </w:r>
      <w:r w:rsidR="001637F4" w:rsidRPr="001637F4">
        <w:t xml:space="preserve"> </w:t>
      </w:r>
      <w:r>
        <w:t>CYP</w:t>
      </w:r>
      <w:r w:rsidR="001637F4" w:rsidRPr="001637F4">
        <w:t xml:space="preserve">2C9 and </w:t>
      </w:r>
      <w:r>
        <w:t>CYP</w:t>
      </w:r>
      <w:r w:rsidR="001637F4" w:rsidRPr="001637F4">
        <w:t xml:space="preserve">3A4. Clinical observations were reported that </w:t>
      </w:r>
      <w:proofErr w:type="spellStart"/>
      <w:r w:rsidR="001637F4" w:rsidRPr="001637F4">
        <w:t>velpatasvir</w:t>
      </w:r>
      <w:proofErr w:type="spellEnd"/>
      <w:r w:rsidR="001637F4" w:rsidRPr="001637F4">
        <w:t xml:space="preserve"> exposure can be affected by co-administration with the inhibitor ketoconazole or the inducer rifampicin</w:t>
      </w:r>
      <w:r w:rsidR="007419D9">
        <w:t>.</w:t>
      </w:r>
    </w:p>
    <w:p w:rsidR="000D4647" w:rsidRDefault="001637F4" w:rsidP="001637F4">
      <w:pPr>
        <w:pStyle w:val="Heading4"/>
      </w:pPr>
      <w:r>
        <w:t>Excretion</w:t>
      </w:r>
    </w:p>
    <w:p w:rsidR="000D4647" w:rsidRDefault="001637F4" w:rsidP="001637F4">
      <w:r w:rsidRPr="001637F4">
        <w:t xml:space="preserve">The major route of excretion for </w:t>
      </w:r>
      <w:proofErr w:type="spellStart"/>
      <w:r w:rsidRPr="001637F4">
        <w:t>velpatasvir</w:t>
      </w:r>
      <w:proofErr w:type="spellEnd"/>
      <w:r w:rsidRPr="001637F4">
        <w:t xml:space="preserve"> was the</w:t>
      </w:r>
      <w:r w:rsidR="006F35F9">
        <w:t xml:space="preserve"> faecal route in humans and non</w:t>
      </w:r>
      <w:r w:rsidRPr="001637F4">
        <w:t>clinical species.</w:t>
      </w:r>
      <w:r w:rsidR="00F044A6">
        <w:t xml:space="preserve"> </w:t>
      </w:r>
      <w:r w:rsidRPr="001637F4">
        <w:t xml:space="preserve">The faecal excretion of </w:t>
      </w:r>
      <w:proofErr w:type="spellStart"/>
      <w:r w:rsidRPr="001637F4">
        <w:t>velpatasvir</w:t>
      </w:r>
      <w:proofErr w:type="spellEnd"/>
      <w:r w:rsidRPr="001637F4">
        <w:t xml:space="preserve"> consisting of both unabsorbed drug and biliary excretion products reached up to 97% in rats. In humans the urine accounted for just 0.4% of the administered dose while faecal excretion accounted for 94%.</w:t>
      </w:r>
    </w:p>
    <w:p w:rsidR="000D4647" w:rsidRDefault="00B3721D" w:rsidP="001637F4">
      <w:r>
        <w:t>Conclusion: c</w:t>
      </w:r>
      <w:r w:rsidR="001637F4" w:rsidRPr="001637F4">
        <w:t xml:space="preserve">onsidering the metabolic profiles of mice, rats, dogs and humans and the similarity in disposition of </w:t>
      </w:r>
      <w:proofErr w:type="spellStart"/>
      <w:r w:rsidR="001637F4" w:rsidRPr="001637F4">
        <w:t>velpatasvir</w:t>
      </w:r>
      <w:proofErr w:type="spellEnd"/>
      <w:r w:rsidR="001637F4" w:rsidRPr="001637F4">
        <w:t xml:space="preserve"> in humans and the </w:t>
      </w:r>
      <w:r w:rsidR="006F35F9">
        <w:t>nonclinical</w:t>
      </w:r>
      <w:r w:rsidR="001637F4" w:rsidRPr="001637F4">
        <w:t xml:space="preserve"> species, an adequate model for the assessment of </w:t>
      </w:r>
      <w:proofErr w:type="spellStart"/>
      <w:r w:rsidR="001637F4" w:rsidRPr="001637F4">
        <w:t>velpatasvir</w:t>
      </w:r>
      <w:proofErr w:type="spellEnd"/>
      <w:r w:rsidR="001637F4" w:rsidRPr="001637F4">
        <w:t xml:space="preserve"> toxicity has been employed in the present submission.</w:t>
      </w:r>
    </w:p>
    <w:p w:rsidR="000D4647" w:rsidRDefault="001637F4" w:rsidP="001637F4">
      <w:pPr>
        <w:pStyle w:val="Heading4"/>
      </w:pPr>
      <w:bookmarkStart w:id="52" w:name="_Toc294861725"/>
      <w:r w:rsidRPr="001637F4">
        <w:t>Pharmacokinetic drug interactions</w:t>
      </w:r>
      <w:bookmarkEnd w:id="52"/>
    </w:p>
    <w:p w:rsidR="000D4647" w:rsidRDefault="001637F4" w:rsidP="001637F4">
      <w:proofErr w:type="spellStart"/>
      <w:r w:rsidRPr="001637F4">
        <w:t>Velpatasvir</w:t>
      </w:r>
      <w:proofErr w:type="spellEnd"/>
      <w:r w:rsidRPr="001637F4">
        <w:t xml:space="preserve"> showed no significant inhibition of CYPs 1A2, 2B6, 2C8, 2C9, 2D6 or 3A4.</w:t>
      </w:r>
      <w:r w:rsidR="00F044A6">
        <w:t xml:space="preserve"> </w:t>
      </w:r>
      <w:proofErr w:type="spellStart"/>
      <w:r w:rsidRPr="001637F4">
        <w:t>Velpatasvir</w:t>
      </w:r>
      <w:proofErr w:type="spellEnd"/>
      <w:r w:rsidRPr="001637F4">
        <w:t xml:space="preserve"> was a substrate for CYP2B6, 2C9 and 3A4 but with slow turnover. Clinical drug interactions are possible with inhibitors or inducers of these CYPs. </w:t>
      </w:r>
      <w:proofErr w:type="spellStart"/>
      <w:r w:rsidRPr="001637F4">
        <w:t>Velpatasvir</w:t>
      </w:r>
      <w:proofErr w:type="spellEnd"/>
      <w:r w:rsidRPr="001637F4">
        <w:t xml:space="preserve"> is an inhibitor of drug transporters </w:t>
      </w:r>
      <w:r w:rsidR="00630FB6">
        <w:t>p-</w:t>
      </w:r>
      <w:r w:rsidR="00630FB6" w:rsidRPr="00630FB6">
        <w:t>glycoprotein (</w:t>
      </w:r>
      <w:r w:rsidRPr="00630FB6">
        <w:t>P-</w:t>
      </w:r>
      <w:proofErr w:type="spellStart"/>
      <w:r w:rsidRPr="00630FB6">
        <w:t>gp</w:t>
      </w:r>
      <w:proofErr w:type="spellEnd"/>
      <w:r w:rsidR="00630FB6" w:rsidRPr="00630FB6">
        <w:t>)</w:t>
      </w:r>
      <w:r w:rsidRPr="00630FB6">
        <w:t xml:space="preserve">, </w:t>
      </w:r>
      <w:r w:rsidR="00567626" w:rsidRPr="00630FB6">
        <w:t>breast</w:t>
      </w:r>
      <w:r w:rsidR="00567626">
        <w:t xml:space="preserve"> cancer </w:t>
      </w:r>
      <w:r w:rsidR="00567626" w:rsidRPr="00567626">
        <w:t>resistance protein (</w:t>
      </w:r>
      <w:r w:rsidRPr="00567626">
        <w:t>BCRP</w:t>
      </w:r>
      <w:r w:rsidR="00567626" w:rsidRPr="00630FB6">
        <w:t>)</w:t>
      </w:r>
      <w:r w:rsidRPr="00630FB6">
        <w:t xml:space="preserve"> and </w:t>
      </w:r>
      <w:r w:rsidR="00630FB6" w:rsidRPr="00630FB6">
        <w:t xml:space="preserve">organic anion transporting polypeptide (OATP) </w:t>
      </w:r>
      <w:r w:rsidRPr="00630FB6">
        <w:t>OATP1B3 and may</w:t>
      </w:r>
      <w:r w:rsidRPr="001637F4">
        <w:t xml:space="preserve"> increase intestinal absorption of co-administered drug substrates for these transporters. </w:t>
      </w:r>
      <w:proofErr w:type="spellStart"/>
      <w:r w:rsidRPr="001637F4">
        <w:t>Velpatasvir</w:t>
      </w:r>
      <w:proofErr w:type="spellEnd"/>
      <w:r w:rsidRPr="001637F4">
        <w:t xml:space="preserve"> inhibited hepatic uptake transporters OATP1B1 and OATP1B3 with </w:t>
      </w:r>
      <w:r w:rsidR="00B3721D">
        <w:t xml:space="preserve">half maximal inhibitory </w:t>
      </w:r>
      <w:r w:rsidR="00B3721D" w:rsidRPr="00B3721D">
        <w:t xml:space="preserve">concentration </w:t>
      </w:r>
      <w:r w:rsidR="00B3721D">
        <w:t>(</w:t>
      </w:r>
      <w:r w:rsidR="000F1723" w:rsidRPr="00B3721D">
        <w:t>IC</w:t>
      </w:r>
      <w:r w:rsidR="000F1723" w:rsidRPr="00B3721D">
        <w:rPr>
          <w:vertAlign w:val="subscript"/>
        </w:rPr>
        <w:t>50</w:t>
      </w:r>
      <w:r w:rsidR="00B3721D">
        <w:t>)</w:t>
      </w:r>
      <w:r w:rsidRPr="00B3721D">
        <w:t xml:space="preserve"> values</w:t>
      </w:r>
      <w:r w:rsidRPr="001637F4">
        <w:t xml:space="preserve"> in the potential range for concentrations at the hepatic inlet and therefore has the potential to increase circulating concentrations of drug substrates of these transporters. The </w:t>
      </w:r>
      <w:r w:rsidR="000F1723" w:rsidRPr="00B3721D">
        <w:t>IC</w:t>
      </w:r>
      <w:r w:rsidR="000F1723" w:rsidRPr="00B3721D">
        <w:rPr>
          <w:vertAlign w:val="subscript"/>
        </w:rPr>
        <w:t>50</w:t>
      </w:r>
      <w:r w:rsidRPr="001637F4">
        <w:t xml:space="preserve"> for </w:t>
      </w:r>
      <w:r w:rsidR="007278A7">
        <w:t xml:space="preserve">bile salt export </w:t>
      </w:r>
      <w:r w:rsidR="007278A7" w:rsidRPr="007278A7">
        <w:t>pump (</w:t>
      </w:r>
      <w:r w:rsidRPr="007278A7">
        <w:t>BSEP</w:t>
      </w:r>
      <w:r w:rsidR="007278A7" w:rsidRPr="007278A7">
        <w:t>)</w:t>
      </w:r>
      <w:r w:rsidRPr="007278A7">
        <w:t xml:space="preserve"> was</w:t>
      </w:r>
      <w:r w:rsidRPr="001637F4">
        <w:t xml:space="preserve"> in the same range as BCRP and OATP1B3 and therefore BSEP inhibition may occur at clinical concentrations. The absorption of both </w:t>
      </w:r>
      <w:proofErr w:type="spellStart"/>
      <w:r w:rsidRPr="001637F4">
        <w:t>sofosbuvir</w:t>
      </w:r>
      <w:proofErr w:type="spellEnd"/>
      <w:r w:rsidRPr="001637F4">
        <w:t xml:space="preserve"> and </w:t>
      </w:r>
      <w:proofErr w:type="spellStart"/>
      <w:r w:rsidRPr="001637F4">
        <w:t>velpatasvir</w:t>
      </w:r>
      <w:proofErr w:type="spellEnd"/>
      <w:r w:rsidRPr="001637F4">
        <w:t xml:space="preserve"> may be increased by administration of inhibitors or decreased by administration of inducers of intestinal efflux transporters. </w:t>
      </w:r>
      <w:proofErr w:type="spellStart"/>
      <w:r w:rsidRPr="001637F4">
        <w:t>Velpatasvir</w:t>
      </w:r>
      <w:proofErr w:type="spellEnd"/>
      <w:r w:rsidRPr="001637F4">
        <w:t xml:space="preserve"> was not an inhibitor of </w:t>
      </w:r>
      <w:r w:rsidR="00630FB6">
        <w:t xml:space="preserve">multidrug resistance </w:t>
      </w:r>
      <w:r w:rsidR="00630FB6" w:rsidRPr="00630FB6">
        <w:t>protein 2(</w:t>
      </w:r>
      <w:r w:rsidRPr="00630FB6">
        <w:t>MRP2</w:t>
      </w:r>
      <w:r w:rsidR="00630FB6" w:rsidRPr="00630FB6">
        <w:t>)</w:t>
      </w:r>
      <w:r w:rsidRPr="00630FB6">
        <w:t xml:space="preserve">, </w:t>
      </w:r>
      <w:r w:rsidR="007278A7">
        <w:t xml:space="preserve">sodium taurocholate co-transporting </w:t>
      </w:r>
      <w:r w:rsidR="007278A7" w:rsidRPr="007278A7">
        <w:t>polypeptide (</w:t>
      </w:r>
      <w:r w:rsidRPr="00B3721D">
        <w:t>NTCP</w:t>
      </w:r>
      <w:r w:rsidR="007278A7" w:rsidRPr="00B3721D">
        <w:t>)</w:t>
      </w:r>
      <w:r w:rsidRPr="00B3721D">
        <w:t>, OATP1A2,</w:t>
      </w:r>
      <w:r w:rsidRPr="001637F4">
        <w:t xml:space="preserve"> OAT1 and OAT3. </w:t>
      </w:r>
      <w:proofErr w:type="spellStart"/>
      <w:r w:rsidRPr="001637F4">
        <w:lastRenderedPageBreak/>
        <w:t>Velpatasvir</w:t>
      </w:r>
      <w:proofErr w:type="spellEnd"/>
      <w:r w:rsidRPr="001637F4">
        <w:t xml:space="preserve"> showed dose-dependent inhibition of the efflux transporters OATP2B1, </w:t>
      </w:r>
      <w:r w:rsidR="000F1723" w:rsidRPr="000F1723">
        <w:t>organic cation transporter (OCT)</w:t>
      </w:r>
      <w:r w:rsidR="000F1723">
        <w:t>;</w:t>
      </w:r>
      <w:r w:rsidR="000F1723">
        <w:rPr>
          <w:rFonts w:ascii="Arial" w:hAnsi="Arial" w:cs="Arial"/>
          <w:color w:val="545454"/>
          <w:shd w:val="clear" w:color="auto" w:fill="FFFFFF"/>
        </w:rPr>
        <w:t xml:space="preserve"> </w:t>
      </w:r>
      <w:r w:rsidRPr="001637F4">
        <w:t xml:space="preserve">OCT1, OCT2 and </w:t>
      </w:r>
      <w:r w:rsidR="007278A7">
        <w:t xml:space="preserve">multidrug and toxin extrusion </w:t>
      </w:r>
      <w:r w:rsidR="007278A7" w:rsidRPr="007278A7">
        <w:t>protein 1 (</w:t>
      </w:r>
      <w:r w:rsidRPr="007278A7">
        <w:t>MATE1</w:t>
      </w:r>
      <w:r w:rsidR="007278A7" w:rsidRPr="007278A7">
        <w:t>)</w:t>
      </w:r>
      <w:r w:rsidRPr="007278A7">
        <w:t xml:space="preserve"> however</w:t>
      </w:r>
      <w:r w:rsidRPr="001637F4">
        <w:t xml:space="preserve"> this inhibition occurred at concentrations above the anticipated clinical exposure. Previously assessed in vitro studies with the proposed combination showed that </w:t>
      </w:r>
      <w:proofErr w:type="spellStart"/>
      <w:r w:rsidRPr="001637F4">
        <w:t>velpatasvir</w:t>
      </w:r>
      <w:proofErr w:type="spellEnd"/>
      <w:r w:rsidRPr="001637F4">
        <w:t xml:space="preserve"> did not affect the generation of the active metabolite of </w:t>
      </w:r>
      <w:proofErr w:type="spellStart"/>
      <w:r w:rsidRPr="001637F4">
        <w:t>sofosbuvir</w:t>
      </w:r>
      <w:proofErr w:type="spellEnd"/>
      <w:r w:rsidRPr="001637F4">
        <w:t xml:space="preserve">. These studies also showed a reduction in basolateral to apical permeability (efflux ratio) consistent with the clinical increase in </w:t>
      </w:r>
      <w:proofErr w:type="spellStart"/>
      <w:r w:rsidRPr="001637F4">
        <w:t>sofosbuvir</w:t>
      </w:r>
      <w:proofErr w:type="spellEnd"/>
      <w:r w:rsidRPr="001637F4">
        <w:t xml:space="preserve"> exposure in the presence of </w:t>
      </w:r>
      <w:proofErr w:type="spellStart"/>
      <w:r w:rsidRPr="001637F4">
        <w:t>velpatasvir</w:t>
      </w:r>
      <w:proofErr w:type="spellEnd"/>
      <w:r w:rsidRPr="001637F4">
        <w:t>.</w:t>
      </w:r>
    </w:p>
    <w:p w:rsidR="000D4647" w:rsidRDefault="008E7846" w:rsidP="001B5C90">
      <w:pPr>
        <w:pStyle w:val="Heading3"/>
      </w:pPr>
      <w:bookmarkStart w:id="53" w:name="_Toc498681441"/>
      <w:r>
        <w:t>Toxicology</w:t>
      </w:r>
      <w:bookmarkEnd w:id="50"/>
      <w:bookmarkEnd w:id="51"/>
      <w:bookmarkEnd w:id="53"/>
    </w:p>
    <w:p w:rsidR="000D4647" w:rsidRDefault="001637F4" w:rsidP="001637F4">
      <w:pPr>
        <w:pStyle w:val="Heading4"/>
      </w:pPr>
      <w:bookmarkStart w:id="54" w:name="_Toc294861727"/>
      <w:r w:rsidRPr="001637F4">
        <w:t>Acute toxicity</w:t>
      </w:r>
      <w:bookmarkEnd w:id="54"/>
    </w:p>
    <w:p w:rsidR="000D4647" w:rsidRDefault="001637F4" w:rsidP="001637F4">
      <w:r w:rsidRPr="001637F4">
        <w:t xml:space="preserve">No acute toxicity studies with </w:t>
      </w:r>
      <w:proofErr w:type="spellStart"/>
      <w:r w:rsidRPr="001637F4">
        <w:t>velpatasvir</w:t>
      </w:r>
      <w:proofErr w:type="spellEnd"/>
      <w:r w:rsidRPr="001637F4">
        <w:t xml:space="preserve"> or </w:t>
      </w:r>
      <w:proofErr w:type="spellStart"/>
      <w:r w:rsidRPr="001637F4">
        <w:t>velpatasvir</w:t>
      </w:r>
      <w:proofErr w:type="spellEnd"/>
      <w:r w:rsidRPr="001637F4">
        <w:t xml:space="preserve"> and </w:t>
      </w:r>
      <w:proofErr w:type="spellStart"/>
      <w:r w:rsidRPr="001637F4">
        <w:t>sofosbuvir</w:t>
      </w:r>
      <w:proofErr w:type="spellEnd"/>
      <w:r w:rsidRPr="001637F4">
        <w:t xml:space="preserve"> combined were submitted.</w:t>
      </w:r>
    </w:p>
    <w:p w:rsidR="000D4647" w:rsidRDefault="001637F4" w:rsidP="001637F4">
      <w:pPr>
        <w:pStyle w:val="Heading4"/>
      </w:pPr>
      <w:bookmarkStart w:id="55" w:name="_Toc294861728"/>
      <w:r w:rsidRPr="001637F4">
        <w:t>Repeat-dose toxicity</w:t>
      </w:r>
      <w:bookmarkEnd w:id="55"/>
    </w:p>
    <w:p w:rsidR="000D4647" w:rsidRDefault="000F1723" w:rsidP="001637F4">
      <w:r>
        <w:t xml:space="preserve">Repeat </w:t>
      </w:r>
      <w:r w:rsidR="001637F4" w:rsidRPr="001637F4">
        <w:t xml:space="preserve">dose toxicity studies with </w:t>
      </w:r>
      <w:proofErr w:type="spellStart"/>
      <w:r w:rsidR="001637F4" w:rsidRPr="001637F4">
        <w:t>velpatasvir</w:t>
      </w:r>
      <w:proofErr w:type="spellEnd"/>
      <w:r w:rsidR="001637F4" w:rsidRPr="001637F4">
        <w:t xml:space="preserve"> alone were conducted in three species: mouse, rat and dog. All studies were conducted using the clinical (oral) route.</w:t>
      </w:r>
      <w:r w:rsidR="00F044A6">
        <w:t xml:space="preserve"> </w:t>
      </w:r>
      <w:proofErr w:type="spellStart"/>
      <w:r w:rsidR="001637F4" w:rsidRPr="001637F4">
        <w:t>Velpatasvir</w:t>
      </w:r>
      <w:proofErr w:type="spellEnd"/>
      <w:r w:rsidR="001637F4" w:rsidRPr="001637F4">
        <w:t xml:space="preserve"> has low aqueous solubility. The mouse study employed a different vehicle (aqueous suspension) from that employed in the rat and dog studies (45% propylene glycol and 15% </w:t>
      </w:r>
      <w:proofErr w:type="spellStart"/>
      <w:r w:rsidR="001637F4" w:rsidRPr="001637F4">
        <w:t>Kolliphor</w:t>
      </w:r>
      <w:proofErr w:type="spellEnd"/>
      <w:r w:rsidR="001637F4" w:rsidRPr="001637F4">
        <w:t xml:space="preserve"> HS-15 in reverse osmosis water, pH 2.0 ± 0.1) which allowed higher doses to be tested in this species.</w:t>
      </w:r>
      <w:r w:rsidR="00F044A6">
        <w:t xml:space="preserve"> </w:t>
      </w:r>
      <w:r w:rsidR="001637F4" w:rsidRPr="001637F4">
        <w:t>The durations of the pivotal studies, the species used and the group sizes were consistent with ICH guidelines.</w:t>
      </w:r>
    </w:p>
    <w:p w:rsidR="000D4647" w:rsidRDefault="001637F4" w:rsidP="001637F4">
      <w:pPr>
        <w:pStyle w:val="Heading5"/>
      </w:pPr>
      <w:r w:rsidRPr="001637F4">
        <w:t>Relative exposure</w:t>
      </w:r>
    </w:p>
    <w:p w:rsidR="000D4647" w:rsidRDefault="001637F4" w:rsidP="001637F4">
      <w:r w:rsidRPr="001637F4">
        <w:t>Exposure ratios have been calculated based on animal:</w:t>
      </w:r>
      <w:r w:rsidR="006F35F9">
        <w:t xml:space="preserve"> </w:t>
      </w:r>
      <w:r w:rsidRPr="001637F4">
        <w:t xml:space="preserve">human plasma </w:t>
      </w:r>
      <w:r w:rsidR="006F35F9" w:rsidRPr="001637F4">
        <w:t>AUC</w:t>
      </w:r>
      <w:r w:rsidR="006F35F9" w:rsidRPr="006F35F9">
        <w:rPr>
          <w:vertAlign w:val="subscript"/>
        </w:rPr>
        <w:t>0–24 h</w:t>
      </w:r>
      <w:r w:rsidRPr="001637F4">
        <w:t>. Human reference values are from several clinical studies. The relative exposure achieved in mice was high but exposure was limited by absorption in rats and dogs leading to modest ratios.</w:t>
      </w:r>
    </w:p>
    <w:p w:rsidR="001637F4" w:rsidRPr="00EB69F1" w:rsidRDefault="000F1723" w:rsidP="001637F4">
      <w:pPr>
        <w:pStyle w:val="TableTitle"/>
      </w:pPr>
      <w:r w:rsidRPr="00756A4F">
        <w:t xml:space="preserve">Table </w:t>
      </w:r>
      <w:r w:rsidR="00756A4F" w:rsidRPr="00756A4F">
        <w:t>4</w:t>
      </w:r>
      <w:r w:rsidRPr="00756A4F">
        <w:t>: R</w:t>
      </w:r>
      <w:r w:rsidR="001637F4" w:rsidRPr="00756A4F">
        <w:t>elative</w:t>
      </w:r>
      <w:r w:rsidR="001637F4" w:rsidRPr="00EB69F1">
        <w:t xml:space="preserve"> exposure in </w:t>
      </w:r>
      <w:r w:rsidR="006F35F9">
        <w:t>repeat dose</w:t>
      </w:r>
      <w:r w:rsidR="001637F4">
        <w:t xml:space="preserve"> toxicity </w:t>
      </w:r>
      <w:r w:rsidR="001637F4" w:rsidRPr="00EB69F1">
        <w:t>studies</w:t>
      </w:r>
    </w:p>
    <w:tbl>
      <w:tblPr>
        <w:tblStyle w:val="TableTGAblue"/>
        <w:tblW w:w="8568" w:type="dxa"/>
        <w:tblLook w:val="01E0" w:firstRow="1" w:lastRow="1" w:firstColumn="1" w:lastColumn="1" w:noHBand="0" w:noVBand="0"/>
        <w:tblDescription w:val="Table 4: Relative exposure in repeat dose toxicity studies"/>
      </w:tblPr>
      <w:tblGrid>
        <w:gridCol w:w="1792"/>
        <w:gridCol w:w="1777"/>
        <w:gridCol w:w="1700"/>
        <w:gridCol w:w="1651"/>
        <w:gridCol w:w="1648"/>
      </w:tblGrid>
      <w:tr w:rsidR="001637F4" w:rsidRPr="00EB69F1" w:rsidTr="00823FF5">
        <w:trPr>
          <w:cnfStyle w:val="100000000000" w:firstRow="1" w:lastRow="0" w:firstColumn="0" w:lastColumn="0" w:oddVBand="0" w:evenVBand="0" w:oddHBand="0" w:evenHBand="0" w:firstRowFirstColumn="0" w:firstRowLastColumn="0" w:lastRowFirstColumn="0" w:lastRowLastColumn="0"/>
          <w:trHeight w:val="504"/>
        </w:trPr>
        <w:tc>
          <w:tcPr>
            <w:tcW w:w="1792" w:type="dxa"/>
          </w:tcPr>
          <w:p w:rsidR="001637F4" w:rsidRPr="001637F4" w:rsidRDefault="001637F4" w:rsidP="001637F4">
            <w:pPr>
              <w:pStyle w:val="TableHeader"/>
              <w:rPr>
                <w:b/>
                <w:sz w:val="20"/>
                <w:szCs w:val="20"/>
              </w:rPr>
            </w:pPr>
            <w:r w:rsidRPr="001637F4">
              <w:rPr>
                <w:b/>
                <w:sz w:val="20"/>
                <w:szCs w:val="20"/>
              </w:rPr>
              <w:t>Species</w:t>
            </w:r>
          </w:p>
        </w:tc>
        <w:tc>
          <w:tcPr>
            <w:tcW w:w="1777" w:type="dxa"/>
          </w:tcPr>
          <w:p w:rsidR="001637F4" w:rsidRPr="001637F4" w:rsidRDefault="001637F4" w:rsidP="001637F4">
            <w:pPr>
              <w:pStyle w:val="TableHeader"/>
              <w:rPr>
                <w:b/>
                <w:sz w:val="20"/>
                <w:szCs w:val="20"/>
              </w:rPr>
            </w:pPr>
            <w:r w:rsidRPr="001637F4">
              <w:rPr>
                <w:b/>
                <w:sz w:val="20"/>
                <w:szCs w:val="20"/>
              </w:rPr>
              <w:t>Study duration</w:t>
            </w:r>
          </w:p>
        </w:tc>
        <w:tc>
          <w:tcPr>
            <w:tcW w:w="1700" w:type="dxa"/>
          </w:tcPr>
          <w:p w:rsidR="001637F4" w:rsidRPr="001637F4" w:rsidRDefault="000F1723" w:rsidP="001637F4">
            <w:pPr>
              <w:pStyle w:val="TableHeader"/>
              <w:rPr>
                <w:b/>
                <w:sz w:val="20"/>
                <w:szCs w:val="20"/>
              </w:rPr>
            </w:pPr>
            <w:r>
              <w:rPr>
                <w:b/>
                <w:sz w:val="20"/>
                <w:szCs w:val="20"/>
              </w:rPr>
              <w:t xml:space="preserve">Dose </w:t>
            </w:r>
            <w:r w:rsidR="001637F4" w:rsidRPr="001637F4">
              <w:rPr>
                <w:b/>
                <w:sz w:val="20"/>
                <w:szCs w:val="20"/>
              </w:rPr>
              <w:t>(</w:t>
            </w:r>
            <w:r w:rsidR="00A82FA1">
              <w:rPr>
                <w:b/>
                <w:sz w:val="20"/>
                <w:szCs w:val="20"/>
              </w:rPr>
              <w:t xml:space="preserve"> mg</w:t>
            </w:r>
            <w:r w:rsidR="001637F4" w:rsidRPr="001637F4">
              <w:rPr>
                <w:b/>
                <w:sz w:val="20"/>
                <w:szCs w:val="20"/>
              </w:rPr>
              <w:t>/kg/day)</w:t>
            </w:r>
          </w:p>
        </w:tc>
        <w:tc>
          <w:tcPr>
            <w:tcW w:w="1651" w:type="dxa"/>
          </w:tcPr>
          <w:p w:rsidR="001637F4" w:rsidRPr="001637F4" w:rsidRDefault="006F35F9" w:rsidP="001637F4">
            <w:pPr>
              <w:pStyle w:val="TableHeader"/>
              <w:rPr>
                <w:b/>
                <w:sz w:val="20"/>
                <w:szCs w:val="20"/>
              </w:rPr>
            </w:pPr>
            <w:r w:rsidRPr="001637F4">
              <w:t>AUC</w:t>
            </w:r>
            <w:r w:rsidRPr="006F35F9">
              <w:rPr>
                <w:vertAlign w:val="subscript"/>
              </w:rPr>
              <w:t>0–24 h</w:t>
            </w:r>
            <w:r w:rsidR="000F1723">
              <w:rPr>
                <w:b/>
                <w:sz w:val="20"/>
                <w:szCs w:val="20"/>
              </w:rPr>
              <w:t xml:space="preserve"> </w:t>
            </w:r>
            <w:r w:rsidR="001637F4" w:rsidRPr="001637F4">
              <w:rPr>
                <w:b/>
                <w:sz w:val="20"/>
                <w:szCs w:val="20"/>
              </w:rPr>
              <w:t>(</w:t>
            </w:r>
            <w:proofErr w:type="spellStart"/>
            <w:r w:rsidR="001637F4" w:rsidRPr="001637F4">
              <w:rPr>
                <w:b/>
                <w:sz w:val="20"/>
                <w:szCs w:val="20"/>
              </w:rPr>
              <w:t>ng∙h</w:t>
            </w:r>
            <w:proofErr w:type="spellEnd"/>
            <w:r w:rsidR="001637F4" w:rsidRPr="001637F4">
              <w:rPr>
                <w:b/>
                <w:sz w:val="20"/>
                <w:szCs w:val="20"/>
              </w:rPr>
              <w:t>/mL)</w:t>
            </w:r>
          </w:p>
        </w:tc>
        <w:tc>
          <w:tcPr>
            <w:tcW w:w="1648" w:type="dxa"/>
          </w:tcPr>
          <w:p w:rsidR="001637F4" w:rsidRPr="001637F4" w:rsidRDefault="001637F4" w:rsidP="001637F4">
            <w:pPr>
              <w:pStyle w:val="TableHeader"/>
              <w:rPr>
                <w:b/>
                <w:sz w:val="20"/>
                <w:szCs w:val="20"/>
              </w:rPr>
            </w:pPr>
            <w:r w:rsidRPr="001637F4">
              <w:rPr>
                <w:b/>
                <w:sz w:val="20"/>
                <w:szCs w:val="20"/>
              </w:rPr>
              <w:t>Exposure ratio</w:t>
            </w:r>
            <w:r w:rsidRPr="001637F4">
              <w:rPr>
                <w:b/>
                <w:sz w:val="20"/>
                <w:szCs w:val="20"/>
                <w:vertAlign w:val="superscript"/>
              </w:rPr>
              <w:t>#</w:t>
            </w:r>
          </w:p>
        </w:tc>
      </w:tr>
      <w:tr w:rsidR="001637F4" w:rsidRPr="00EB69F1" w:rsidTr="00823FF5">
        <w:trPr>
          <w:trHeight w:val="221"/>
        </w:trPr>
        <w:tc>
          <w:tcPr>
            <w:tcW w:w="1792" w:type="dxa"/>
            <w:vMerge w:val="restart"/>
          </w:tcPr>
          <w:p w:rsidR="001637F4" w:rsidRPr="0062020E" w:rsidRDefault="001637F4" w:rsidP="000D4647">
            <w:pPr>
              <w:pStyle w:val="Tabletext"/>
              <w:spacing w:before="40" w:after="40"/>
              <w:rPr>
                <w:kern w:val="2"/>
                <w:sz w:val="20"/>
                <w:szCs w:val="20"/>
              </w:rPr>
            </w:pPr>
            <w:r w:rsidRPr="0062020E">
              <w:rPr>
                <w:b/>
                <w:kern w:val="2"/>
                <w:sz w:val="20"/>
                <w:szCs w:val="20"/>
              </w:rPr>
              <w:t>Mouse</w:t>
            </w:r>
            <w:r w:rsidR="000F1723">
              <w:rPr>
                <w:kern w:val="2"/>
                <w:sz w:val="20"/>
                <w:szCs w:val="20"/>
              </w:rPr>
              <w:t xml:space="preserve"> </w:t>
            </w:r>
            <w:r w:rsidRPr="0062020E">
              <w:rPr>
                <w:kern w:val="2"/>
                <w:sz w:val="20"/>
                <w:szCs w:val="20"/>
              </w:rPr>
              <w:t>(CByB6F1-Tg(HRAS)2Jic Model 1178-wild-type)</w:t>
            </w:r>
          </w:p>
        </w:tc>
        <w:tc>
          <w:tcPr>
            <w:tcW w:w="1777" w:type="dxa"/>
            <w:vMerge w:val="restart"/>
          </w:tcPr>
          <w:p w:rsidR="001637F4" w:rsidRPr="0062020E" w:rsidRDefault="001637F4" w:rsidP="000D4647">
            <w:pPr>
              <w:pStyle w:val="Tabletext"/>
              <w:rPr>
                <w:kern w:val="2"/>
                <w:sz w:val="20"/>
                <w:szCs w:val="20"/>
              </w:rPr>
            </w:pPr>
            <w:r w:rsidRPr="0062020E">
              <w:rPr>
                <w:kern w:val="2"/>
                <w:sz w:val="20"/>
                <w:szCs w:val="20"/>
              </w:rPr>
              <w:t>4 weeks</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74100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25</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300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84500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29</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1500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219500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74</w:t>
            </w:r>
          </w:p>
        </w:tc>
      </w:tr>
      <w:tr w:rsidR="001637F4" w:rsidRPr="00EB69F1" w:rsidTr="00823FF5">
        <w:trPr>
          <w:trHeight w:val="221"/>
        </w:trPr>
        <w:tc>
          <w:tcPr>
            <w:tcW w:w="1792" w:type="dxa"/>
            <w:vMerge w:val="restart"/>
          </w:tcPr>
          <w:p w:rsidR="001637F4" w:rsidRPr="0062020E" w:rsidRDefault="001637F4" w:rsidP="000D4647">
            <w:pPr>
              <w:pStyle w:val="Tabletext"/>
              <w:spacing w:before="40" w:after="40"/>
              <w:rPr>
                <w:kern w:val="2"/>
                <w:sz w:val="20"/>
                <w:szCs w:val="20"/>
              </w:rPr>
            </w:pPr>
            <w:r w:rsidRPr="0062020E">
              <w:rPr>
                <w:b/>
                <w:kern w:val="2"/>
                <w:sz w:val="20"/>
                <w:szCs w:val="20"/>
              </w:rPr>
              <w:t>Rat</w:t>
            </w:r>
            <w:r w:rsidR="000F1723">
              <w:rPr>
                <w:kern w:val="2"/>
                <w:sz w:val="20"/>
                <w:szCs w:val="20"/>
              </w:rPr>
              <w:t xml:space="preserve"> </w:t>
            </w:r>
            <w:r w:rsidRPr="0062020E">
              <w:rPr>
                <w:kern w:val="2"/>
                <w:sz w:val="20"/>
                <w:szCs w:val="20"/>
              </w:rPr>
              <w:t>(S</w:t>
            </w:r>
            <w:r w:rsidR="0091489D">
              <w:rPr>
                <w:kern w:val="2"/>
                <w:sz w:val="20"/>
                <w:szCs w:val="20"/>
              </w:rPr>
              <w:t>prague Dawley</w:t>
            </w:r>
            <w:r w:rsidRPr="0062020E">
              <w:rPr>
                <w:kern w:val="2"/>
                <w:sz w:val="20"/>
                <w:szCs w:val="20"/>
              </w:rPr>
              <w:t>)</w:t>
            </w:r>
          </w:p>
        </w:tc>
        <w:tc>
          <w:tcPr>
            <w:tcW w:w="1777" w:type="dxa"/>
            <w:vMerge w:val="restart"/>
          </w:tcPr>
          <w:p w:rsidR="001637F4" w:rsidRPr="0062020E" w:rsidRDefault="001637F4" w:rsidP="000D4647">
            <w:pPr>
              <w:pStyle w:val="Tabletext"/>
              <w:rPr>
                <w:kern w:val="2"/>
                <w:sz w:val="20"/>
                <w:szCs w:val="20"/>
              </w:rPr>
            </w:pPr>
            <w:r w:rsidRPr="0062020E">
              <w:rPr>
                <w:kern w:val="2"/>
                <w:sz w:val="20"/>
                <w:szCs w:val="20"/>
              </w:rPr>
              <w:t>2 weeks</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4381</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60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11446.5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4</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17130.5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6</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val="restart"/>
          </w:tcPr>
          <w:p w:rsidR="001637F4" w:rsidRPr="0062020E" w:rsidRDefault="001637F4" w:rsidP="000D4647">
            <w:pPr>
              <w:pStyle w:val="Tabletext"/>
              <w:rPr>
                <w:kern w:val="2"/>
                <w:sz w:val="20"/>
                <w:szCs w:val="20"/>
              </w:rPr>
            </w:pPr>
            <w:r w:rsidRPr="0062020E">
              <w:rPr>
                <w:kern w:val="2"/>
                <w:sz w:val="20"/>
                <w:szCs w:val="20"/>
              </w:rPr>
              <w:t>26 weeks</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3500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60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6705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12200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4</w:t>
            </w:r>
          </w:p>
        </w:tc>
      </w:tr>
      <w:tr w:rsidR="001637F4" w:rsidRPr="00EB69F1" w:rsidTr="00823FF5">
        <w:trPr>
          <w:trHeight w:val="221"/>
        </w:trPr>
        <w:tc>
          <w:tcPr>
            <w:tcW w:w="1792" w:type="dxa"/>
            <w:vMerge w:val="restart"/>
          </w:tcPr>
          <w:p w:rsidR="000D4647" w:rsidRDefault="001637F4" w:rsidP="000D4647">
            <w:pPr>
              <w:pStyle w:val="Tabletext"/>
              <w:spacing w:before="40" w:after="40"/>
              <w:rPr>
                <w:kern w:val="2"/>
                <w:sz w:val="20"/>
                <w:szCs w:val="20"/>
              </w:rPr>
            </w:pPr>
            <w:r w:rsidRPr="0062020E">
              <w:rPr>
                <w:kern w:val="2"/>
                <w:sz w:val="20"/>
                <w:szCs w:val="20"/>
              </w:rPr>
              <w:t>Dog</w:t>
            </w:r>
          </w:p>
          <w:p w:rsidR="001637F4" w:rsidRPr="0062020E" w:rsidRDefault="001637F4" w:rsidP="000D4647">
            <w:pPr>
              <w:pStyle w:val="Tabletext"/>
              <w:spacing w:before="40" w:after="40"/>
              <w:rPr>
                <w:kern w:val="2"/>
                <w:sz w:val="20"/>
                <w:szCs w:val="20"/>
              </w:rPr>
            </w:pPr>
            <w:r w:rsidRPr="0062020E">
              <w:rPr>
                <w:kern w:val="2"/>
                <w:sz w:val="20"/>
                <w:szCs w:val="20"/>
              </w:rPr>
              <w:t>(Beagle)</w:t>
            </w:r>
          </w:p>
        </w:tc>
        <w:tc>
          <w:tcPr>
            <w:tcW w:w="1777" w:type="dxa"/>
            <w:vMerge w:val="restart"/>
          </w:tcPr>
          <w:p w:rsidR="001637F4" w:rsidRPr="0062020E" w:rsidRDefault="001637F4" w:rsidP="000D4647">
            <w:pPr>
              <w:pStyle w:val="Tabletext"/>
              <w:rPr>
                <w:kern w:val="2"/>
                <w:sz w:val="20"/>
                <w:szCs w:val="20"/>
              </w:rPr>
            </w:pPr>
            <w:r w:rsidRPr="0062020E">
              <w:rPr>
                <w:kern w:val="2"/>
                <w:sz w:val="20"/>
                <w:szCs w:val="20"/>
              </w:rPr>
              <w:t>2 weeks</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5</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1879</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0.6</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10204.5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3</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tcPr>
          <w:p w:rsidR="001637F4" w:rsidRPr="0062020E" w:rsidRDefault="001637F4" w:rsidP="000D4647">
            <w:pPr>
              <w:pStyle w:val="Tabletext"/>
              <w:rPr>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22510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8</w:t>
            </w:r>
          </w:p>
        </w:tc>
      </w:tr>
      <w:tr w:rsidR="001637F4" w:rsidRPr="00EB69F1" w:rsidTr="00823FF5">
        <w:trPr>
          <w:trHeight w:val="221"/>
        </w:trPr>
        <w:tc>
          <w:tcPr>
            <w:tcW w:w="1792" w:type="dxa"/>
            <w:vMerge/>
          </w:tcPr>
          <w:p w:rsidR="001637F4" w:rsidRPr="0062020E" w:rsidRDefault="001637F4" w:rsidP="000D4647">
            <w:pPr>
              <w:pStyle w:val="Tabletext"/>
              <w:spacing w:before="40" w:after="40"/>
              <w:rPr>
                <w:kern w:val="2"/>
                <w:sz w:val="20"/>
                <w:szCs w:val="20"/>
              </w:rPr>
            </w:pPr>
          </w:p>
        </w:tc>
        <w:tc>
          <w:tcPr>
            <w:tcW w:w="1777" w:type="dxa"/>
            <w:vMerge w:val="restart"/>
          </w:tcPr>
          <w:p w:rsidR="001637F4" w:rsidRPr="0062020E" w:rsidRDefault="006F35F9" w:rsidP="000D4647">
            <w:pPr>
              <w:pStyle w:val="Tabletext"/>
              <w:rPr>
                <w:kern w:val="2"/>
                <w:sz w:val="20"/>
                <w:szCs w:val="20"/>
              </w:rPr>
            </w:pPr>
            <w:r>
              <w:rPr>
                <w:kern w:val="2"/>
                <w:sz w:val="20"/>
                <w:szCs w:val="20"/>
              </w:rPr>
              <w:t>39 weeks</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5</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1725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0.6</w:t>
            </w:r>
          </w:p>
        </w:tc>
      </w:tr>
      <w:tr w:rsidR="001637F4" w:rsidRPr="00EB69F1" w:rsidTr="00823FF5">
        <w:trPr>
          <w:trHeight w:val="221"/>
        </w:trPr>
        <w:tc>
          <w:tcPr>
            <w:tcW w:w="1792" w:type="dxa"/>
            <w:vMerge/>
          </w:tcPr>
          <w:p w:rsidR="001637F4" w:rsidRPr="0062020E" w:rsidRDefault="001637F4" w:rsidP="000D4647">
            <w:pPr>
              <w:pStyle w:val="Tabletext"/>
              <w:spacing w:before="40" w:after="40"/>
              <w:rPr>
                <w:color w:val="00B050"/>
                <w:kern w:val="2"/>
                <w:sz w:val="20"/>
                <w:szCs w:val="20"/>
              </w:rPr>
            </w:pPr>
          </w:p>
        </w:tc>
        <w:tc>
          <w:tcPr>
            <w:tcW w:w="1777" w:type="dxa"/>
            <w:vMerge/>
          </w:tcPr>
          <w:p w:rsidR="001637F4" w:rsidRPr="0062020E" w:rsidRDefault="001637F4" w:rsidP="000D4647">
            <w:pPr>
              <w:pStyle w:val="Tabletext"/>
              <w:rPr>
                <w:color w:val="00B050"/>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6705</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w:t>
            </w:r>
          </w:p>
        </w:tc>
      </w:tr>
      <w:tr w:rsidR="001637F4" w:rsidRPr="00EB69F1" w:rsidTr="00823FF5">
        <w:trPr>
          <w:trHeight w:val="221"/>
        </w:trPr>
        <w:tc>
          <w:tcPr>
            <w:tcW w:w="1792" w:type="dxa"/>
            <w:vMerge/>
          </w:tcPr>
          <w:p w:rsidR="001637F4" w:rsidRPr="0062020E" w:rsidRDefault="001637F4" w:rsidP="000D4647">
            <w:pPr>
              <w:pStyle w:val="Tabletext"/>
              <w:spacing w:before="40" w:after="40"/>
              <w:rPr>
                <w:color w:val="00B050"/>
                <w:kern w:val="2"/>
                <w:sz w:val="20"/>
                <w:szCs w:val="20"/>
              </w:rPr>
            </w:pPr>
          </w:p>
        </w:tc>
        <w:tc>
          <w:tcPr>
            <w:tcW w:w="1777" w:type="dxa"/>
            <w:vMerge/>
          </w:tcPr>
          <w:p w:rsidR="001637F4" w:rsidRPr="0062020E" w:rsidRDefault="001637F4" w:rsidP="000D4647">
            <w:pPr>
              <w:pStyle w:val="Tabletext"/>
              <w:rPr>
                <w:color w:val="00B050"/>
                <w:kern w:val="2"/>
                <w:sz w:val="20"/>
                <w:szCs w:val="20"/>
              </w:rPr>
            </w:pP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100</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27650</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9</w:t>
            </w:r>
          </w:p>
        </w:tc>
      </w:tr>
      <w:tr w:rsidR="001637F4" w:rsidRPr="00EB69F1" w:rsidTr="00823FF5">
        <w:trPr>
          <w:trHeight w:val="221"/>
        </w:trPr>
        <w:tc>
          <w:tcPr>
            <w:tcW w:w="1792" w:type="dxa"/>
          </w:tcPr>
          <w:p w:rsidR="001637F4" w:rsidRPr="0062020E" w:rsidRDefault="001637F4" w:rsidP="000D4647">
            <w:pPr>
              <w:pStyle w:val="Tabletext"/>
              <w:spacing w:before="40" w:after="40"/>
              <w:rPr>
                <w:kern w:val="2"/>
                <w:sz w:val="20"/>
                <w:szCs w:val="20"/>
              </w:rPr>
            </w:pPr>
            <w:r w:rsidRPr="0062020E">
              <w:rPr>
                <w:b/>
                <w:kern w:val="2"/>
                <w:sz w:val="20"/>
                <w:szCs w:val="20"/>
              </w:rPr>
              <w:lastRenderedPageBreak/>
              <w:t>Human</w:t>
            </w:r>
            <w:r w:rsidR="000F1723">
              <w:rPr>
                <w:kern w:val="2"/>
                <w:sz w:val="20"/>
                <w:szCs w:val="20"/>
              </w:rPr>
              <w:t xml:space="preserve"> </w:t>
            </w:r>
            <w:r w:rsidRPr="0062020E">
              <w:rPr>
                <w:kern w:val="2"/>
                <w:sz w:val="20"/>
                <w:szCs w:val="20"/>
              </w:rPr>
              <w:t>(HCV positive patients)</w:t>
            </w:r>
          </w:p>
        </w:tc>
        <w:tc>
          <w:tcPr>
            <w:tcW w:w="1777" w:type="dxa"/>
          </w:tcPr>
          <w:p w:rsidR="001637F4" w:rsidRPr="0062020E" w:rsidRDefault="001637F4" w:rsidP="000D4647">
            <w:pPr>
              <w:pStyle w:val="Tabletext"/>
              <w:rPr>
                <w:kern w:val="2"/>
                <w:sz w:val="20"/>
                <w:szCs w:val="20"/>
              </w:rPr>
            </w:pPr>
            <w:r w:rsidRPr="0062020E">
              <w:rPr>
                <w:kern w:val="2"/>
                <w:sz w:val="20"/>
                <w:szCs w:val="20"/>
              </w:rPr>
              <w:t>steady state</w:t>
            </w:r>
          </w:p>
        </w:tc>
        <w:tc>
          <w:tcPr>
            <w:tcW w:w="1700"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[100</w:t>
            </w:r>
            <w:r w:rsidR="00A82FA1">
              <w:rPr>
                <w:kern w:val="2"/>
                <w:sz w:val="20"/>
                <w:szCs w:val="20"/>
              </w:rPr>
              <w:t xml:space="preserve"> mg</w:t>
            </w:r>
            <w:r w:rsidRPr="0062020E">
              <w:rPr>
                <w:kern w:val="2"/>
                <w:sz w:val="20"/>
                <w:szCs w:val="20"/>
              </w:rPr>
              <w:t>]</w:t>
            </w:r>
          </w:p>
        </w:tc>
        <w:tc>
          <w:tcPr>
            <w:tcW w:w="1651"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2967</w:t>
            </w:r>
          </w:p>
        </w:tc>
        <w:tc>
          <w:tcPr>
            <w:tcW w:w="1648" w:type="dxa"/>
            <w:vAlign w:val="center"/>
          </w:tcPr>
          <w:p w:rsidR="001637F4" w:rsidRPr="0062020E" w:rsidRDefault="001637F4" w:rsidP="000D4647">
            <w:pPr>
              <w:pStyle w:val="Tabletext"/>
              <w:spacing w:before="0" w:after="0"/>
              <w:jc w:val="center"/>
              <w:rPr>
                <w:kern w:val="2"/>
                <w:sz w:val="20"/>
                <w:szCs w:val="20"/>
              </w:rPr>
            </w:pPr>
            <w:r w:rsidRPr="0062020E">
              <w:rPr>
                <w:kern w:val="2"/>
                <w:sz w:val="20"/>
                <w:szCs w:val="20"/>
              </w:rPr>
              <w:t>–</w:t>
            </w:r>
          </w:p>
        </w:tc>
      </w:tr>
    </w:tbl>
    <w:p w:rsidR="000D4647" w:rsidRDefault="001637F4" w:rsidP="001637F4">
      <w:pPr>
        <w:pStyle w:val="TableDescription"/>
      </w:pPr>
      <w:r w:rsidRPr="00EB69F1">
        <w:rPr>
          <w:position w:val="-2"/>
          <w:vertAlign w:val="superscript"/>
        </w:rPr>
        <w:t>#</w:t>
      </w:r>
      <w:r w:rsidRPr="00EB69F1">
        <w:t xml:space="preserve"> = animal:</w:t>
      </w:r>
      <w:r w:rsidR="006F35F9">
        <w:t xml:space="preserve"> </w:t>
      </w:r>
      <w:r w:rsidRPr="00EB69F1">
        <w:t xml:space="preserve">human plasma </w:t>
      </w:r>
      <w:r w:rsidR="006F35F9" w:rsidRPr="001637F4">
        <w:t>AUC</w:t>
      </w:r>
      <w:r w:rsidR="006F35F9" w:rsidRPr="006F35F9">
        <w:rPr>
          <w:vertAlign w:val="subscript"/>
        </w:rPr>
        <w:t>0–24 h</w:t>
      </w:r>
    </w:p>
    <w:p w:rsidR="000D4647" w:rsidRDefault="001637F4" w:rsidP="001637F4">
      <w:pPr>
        <w:pStyle w:val="Heading5"/>
      </w:pPr>
      <w:r w:rsidRPr="001637F4">
        <w:t>Major toxicities</w:t>
      </w:r>
    </w:p>
    <w:p w:rsidR="000D4647" w:rsidRDefault="001637F4" w:rsidP="001637F4">
      <w:r w:rsidRPr="001637F4">
        <w:t xml:space="preserve">The </w:t>
      </w:r>
      <w:r w:rsidR="006F35F9">
        <w:t>repeat dose</w:t>
      </w:r>
      <w:r w:rsidRPr="001637F4">
        <w:t xml:space="preserve"> toxicity of </w:t>
      </w:r>
      <w:proofErr w:type="spellStart"/>
      <w:r w:rsidRPr="001637F4">
        <w:t>velpatasvir</w:t>
      </w:r>
      <w:proofErr w:type="spellEnd"/>
      <w:r w:rsidRPr="001637F4">
        <w:t xml:space="preserve"> was low and no potentially serious organ toxicities were seen in any of the pivotal long-term toxicity studies.</w:t>
      </w:r>
      <w:r w:rsidR="00F044A6">
        <w:t xml:space="preserve"> </w:t>
      </w:r>
      <w:r w:rsidRPr="001637F4">
        <w:t>In the mouse study, reductions in mean white blood cell, absolute neutrophil and absolute lymphocyte counts were observed at all doses.</w:t>
      </w:r>
      <w:r w:rsidR="00F044A6">
        <w:t xml:space="preserve"> </w:t>
      </w:r>
      <w:r w:rsidRPr="001637F4">
        <w:t xml:space="preserve">The effects were not, however, clearly dose related or consistent across sexes. The lack of any </w:t>
      </w:r>
      <w:r w:rsidR="006F35F9">
        <w:t>dose response</w:t>
      </w:r>
      <w:r w:rsidRPr="001637F4">
        <w:t xml:space="preserve"> relation suggests that this effect was not related to the higher exposures achieved in mice.</w:t>
      </w:r>
      <w:r w:rsidR="00F044A6">
        <w:t xml:space="preserve"> </w:t>
      </w:r>
      <w:r w:rsidRPr="001637F4">
        <w:t xml:space="preserve">No comparable effects were seen in other species. Slight reductions in haemoglobin and haematocrit were seen in male </w:t>
      </w:r>
      <w:proofErr w:type="spellStart"/>
      <w:r w:rsidRPr="001637F4">
        <w:t>Crl</w:t>
      </w:r>
      <w:proofErr w:type="gramStart"/>
      <w:r w:rsidRPr="001637F4">
        <w:t>:CD</w:t>
      </w:r>
      <w:proofErr w:type="spellEnd"/>
      <w:proofErr w:type="gramEnd"/>
      <w:r w:rsidRPr="001637F4">
        <w:t xml:space="preserve">(SD) rats in a </w:t>
      </w:r>
      <w:r w:rsidR="006F35F9">
        <w:t>2 week</w:t>
      </w:r>
      <w:r w:rsidRPr="001637F4">
        <w:t xml:space="preserve"> study on impurities. Comparable effects were not seen in the pivotal </w:t>
      </w:r>
      <w:r w:rsidR="006F35F9">
        <w:t>repeat dose</w:t>
      </w:r>
      <w:r w:rsidRPr="001637F4">
        <w:t xml:space="preserve"> studies conducted in </w:t>
      </w:r>
      <w:proofErr w:type="spellStart"/>
      <w:r w:rsidRPr="001637F4">
        <w:t>Hsd</w:t>
      </w:r>
      <w:proofErr w:type="spellEnd"/>
      <w:r w:rsidRPr="001637F4">
        <w:t>:</w:t>
      </w:r>
      <w:r w:rsidR="000F1723">
        <w:t xml:space="preserve"> </w:t>
      </w:r>
      <w:r w:rsidRPr="001637F4">
        <w:t>Sprague Dawley rats although exposures were comparable.</w:t>
      </w:r>
      <w:r w:rsidR="00F044A6">
        <w:t xml:space="preserve"> </w:t>
      </w:r>
      <w:r w:rsidRPr="001637F4">
        <w:t>The effect was seen both in the presence and absence of the impurities.</w:t>
      </w:r>
      <w:r w:rsidR="00F044A6">
        <w:t xml:space="preserve"> </w:t>
      </w:r>
      <w:r w:rsidRPr="001637F4">
        <w:t>The effect was, however, small and unlikely to be of toxicological significance.</w:t>
      </w:r>
    </w:p>
    <w:p w:rsidR="000D4647" w:rsidRDefault="001637F4" w:rsidP="001637F4">
      <w:pPr>
        <w:pStyle w:val="Heading5"/>
      </w:pPr>
      <w:r w:rsidRPr="001637F4">
        <w:t>Combination toxicity studies</w:t>
      </w:r>
    </w:p>
    <w:p w:rsidR="000D4647" w:rsidRDefault="001637F4" w:rsidP="001637F4">
      <w:r w:rsidRPr="001637F4">
        <w:t xml:space="preserve">No toxicity studies on the combination of </w:t>
      </w:r>
      <w:proofErr w:type="spellStart"/>
      <w:r w:rsidRPr="001637F4">
        <w:t>velpatasvir</w:t>
      </w:r>
      <w:proofErr w:type="spellEnd"/>
      <w:r w:rsidRPr="001637F4">
        <w:t xml:space="preserve"> and </w:t>
      </w:r>
      <w:proofErr w:type="spellStart"/>
      <w:r w:rsidRPr="001637F4">
        <w:t>sofosbuvir</w:t>
      </w:r>
      <w:proofErr w:type="spellEnd"/>
      <w:r w:rsidRPr="001637F4">
        <w:t xml:space="preserve"> were submitted.</w:t>
      </w:r>
      <w:r w:rsidR="00F044A6">
        <w:t xml:space="preserve"> </w:t>
      </w:r>
      <w:r w:rsidRPr="001637F4">
        <w:t>The sponsor justified their absence thus: “</w:t>
      </w:r>
      <w:r w:rsidRPr="006F35F9">
        <w:rPr>
          <w:i/>
        </w:rPr>
        <w:t>Based on the well-defined toxicity profiles of the single agents, the combination of SOF and VEL is not anticipated to exacerbate known toxicities or lead to new toxicities. Therefore, combination toxicity studies with SOF and VEL were not conducted</w:t>
      </w:r>
      <w:r w:rsidRPr="001637F4">
        <w:t>.” The guideline</w:t>
      </w:r>
      <w:r w:rsidRPr="006F35F9">
        <w:rPr>
          <w:vertAlign w:val="superscript"/>
        </w:rPr>
        <w:footnoteReference w:id="1"/>
      </w:r>
      <w:r w:rsidR="006F35F9">
        <w:t xml:space="preserve"> (TGA </w:t>
      </w:r>
      <w:r w:rsidRPr="001637F4">
        <w:t>adopted) states “</w:t>
      </w:r>
      <w:r w:rsidRPr="006F35F9">
        <w:rPr>
          <w:i/>
        </w:rPr>
        <w:t>Combination toxicity studies are also not generally warranted for antiviral agents for treatment of Hepatitis C</w:t>
      </w:r>
      <w:r w:rsidRPr="001637F4">
        <w:t>.” The absence of combination studies is therefore acceptable.</w:t>
      </w:r>
    </w:p>
    <w:p w:rsidR="000D4647" w:rsidRDefault="001637F4" w:rsidP="001637F4">
      <w:pPr>
        <w:pStyle w:val="Heading5"/>
      </w:pPr>
      <w:bookmarkStart w:id="56" w:name="_Toc294861729"/>
      <w:r w:rsidRPr="001637F4">
        <w:t>Genotoxicity</w:t>
      </w:r>
      <w:bookmarkEnd w:id="56"/>
    </w:p>
    <w:p w:rsidR="000D4647" w:rsidRDefault="001637F4" w:rsidP="001637F4">
      <w:proofErr w:type="spellStart"/>
      <w:r w:rsidRPr="001637F4">
        <w:t>Velpatasvir</w:t>
      </w:r>
      <w:proofErr w:type="spellEnd"/>
      <w:r w:rsidRPr="001637F4">
        <w:t xml:space="preserve"> was evaluated for its potential to induce reverse mutations in </w:t>
      </w:r>
      <w:r w:rsidRPr="006F35F9">
        <w:rPr>
          <w:i/>
        </w:rPr>
        <w:t>S. typhimurium</w:t>
      </w:r>
      <w:r w:rsidRPr="001637F4">
        <w:t xml:space="preserve"> and </w:t>
      </w:r>
      <w:r w:rsidRPr="006F35F9">
        <w:rPr>
          <w:i/>
        </w:rPr>
        <w:t>E. coli</w:t>
      </w:r>
      <w:r w:rsidRPr="001637F4">
        <w:t xml:space="preserve">, its mutagenic potential in vitro in primary human lymphocytes, and its mutagenic potential in vivo in a rat bone marrow micronucleus study (Option </w:t>
      </w:r>
      <w:r w:rsidRPr="000F1723">
        <w:t xml:space="preserve">1 in ICH </w:t>
      </w:r>
      <w:proofErr w:type="gramStart"/>
      <w:r w:rsidRPr="000F1723">
        <w:t>S2(</w:t>
      </w:r>
      <w:proofErr w:type="gramEnd"/>
      <w:r w:rsidRPr="000F1723">
        <w:t>R1)</w:t>
      </w:r>
      <w:r w:rsidR="000F1723" w:rsidRPr="000F1723">
        <w:rPr>
          <w:rStyle w:val="FootnoteReference"/>
        </w:rPr>
        <w:footnoteReference w:id="2"/>
      </w:r>
      <w:r w:rsidRPr="000F1723">
        <w:t>).</w:t>
      </w:r>
      <w:r w:rsidR="00F044A6">
        <w:t xml:space="preserve"> </w:t>
      </w:r>
      <w:proofErr w:type="spellStart"/>
      <w:r w:rsidRPr="001637F4">
        <w:t>Velpatasvir</w:t>
      </w:r>
      <w:proofErr w:type="spellEnd"/>
      <w:r w:rsidRPr="001637F4">
        <w:t xml:space="preserve"> was negative in all the tests and is unlikely to pose a mutagenic or </w:t>
      </w:r>
      <w:proofErr w:type="spellStart"/>
      <w:r w:rsidRPr="001637F4">
        <w:t>clastogenic</w:t>
      </w:r>
      <w:proofErr w:type="spellEnd"/>
      <w:r w:rsidRPr="001637F4">
        <w:t xml:space="preserve"> risk to humans. A precursor molecule was positive in genotoxic tes</w:t>
      </w:r>
      <w:r w:rsidR="00153E2E">
        <w:t>ts (see impurities attachment).</w:t>
      </w:r>
    </w:p>
    <w:p w:rsidR="000D4647" w:rsidRDefault="001637F4" w:rsidP="00153E2E">
      <w:pPr>
        <w:pStyle w:val="Heading5"/>
      </w:pPr>
      <w:bookmarkStart w:id="57" w:name="_Toc294861730"/>
      <w:r w:rsidRPr="001637F4">
        <w:t>Carcinogenicity</w:t>
      </w:r>
      <w:bookmarkEnd w:id="57"/>
    </w:p>
    <w:p w:rsidR="000D4647" w:rsidRDefault="001637F4" w:rsidP="001637F4">
      <w:r w:rsidRPr="001637F4">
        <w:t xml:space="preserve">No carcinogenicity studies on </w:t>
      </w:r>
      <w:proofErr w:type="spellStart"/>
      <w:r w:rsidRPr="001637F4">
        <w:t>velpatasvir</w:t>
      </w:r>
      <w:proofErr w:type="spellEnd"/>
      <w:r w:rsidRPr="001637F4">
        <w:t xml:space="preserve"> were submitted but </w:t>
      </w:r>
      <w:r w:rsidR="006F35F9">
        <w:t xml:space="preserve">the sponsor indicated that long </w:t>
      </w:r>
      <w:r w:rsidRPr="001637F4">
        <w:t xml:space="preserve">term </w:t>
      </w:r>
      <w:r w:rsidR="006F35F9">
        <w:t>studies on mice and rats are on</w:t>
      </w:r>
      <w:r w:rsidRPr="001637F4">
        <w:t>going.</w:t>
      </w:r>
    </w:p>
    <w:p w:rsidR="000D4647" w:rsidRDefault="001637F4" w:rsidP="00153E2E">
      <w:pPr>
        <w:pStyle w:val="Heading5"/>
      </w:pPr>
      <w:r w:rsidRPr="001637F4">
        <w:t>Reproductive toxicity</w:t>
      </w:r>
    </w:p>
    <w:p w:rsidR="000D4647" w:rsidRDefault="001637F4" w:rsidP="001637F4">
      <w:r w:rsidRPr="001637F4">
        <w:t xml:space="preserve">Reproductive toxicity was assessed in mice, rats and rabbits in </w:t>
      </w:r>
      <w:r w:rsidR="000F1723">
        <w:t xml:space="preserve">good laboratory practice </w:t>
      </w:r>
      <w:r w:rsidR="000F1723" w:rsidRPr="000F1723">
        <w:t>(</w:t>
      </w:r>
      <w:r w:rsidRPr="000F1723">
        <w:t>GLP</w:t>
      </w:r>
      <w:r w:rsidR="000F1723" w:rsidRPr="000F1723">
        <w:t>)</w:t>
      </w:r>
      <w:r w:rsidRPr="000F1723">
        <w:t xml:space="preserve"> compliant</w:t>
      </w:r>
      <w:r w:rsidRPr="001637F4">
        <w:t xml:space="preserve"> studies. The studies investigated potential effects on male and female fertility in rats, </w:t>
      </w:r>
      <w:proofErr w:type="spellStart"/>
      <w:r w:rsidRPr="001637F4">
        <w:t>embryofetal</w:t>
      </w:r>
      <w:proofErr w:type="spellEnd"/>
      <w:r w:rsidRPr="001637F4">
        <w:t xml:space="preserve"> toxicity (mice, rats and rabbits) and pre-/postnatal development (rats). Adequate animal numbers were used in the pivotal studies and treatment periods were appropriate.</w:t>
      </w:r>
    </w:p>
    <w:p w:rsidR="000D4647" w:rsidRDefault="001637F4" w:rsidP="00153E2E">
      <w:pPr>
        <w:pStyle w:val="Heading6"/>
      </w:pPr>
      <w:r w:rsidRPr="001637F4">
        <w:lastRenderedPageBreak/>
        <w:t>Relative exposure</w:t>
      </w:r>
    </w:p>
    <w:p w:rsidR="000F1723" w:rsidRPr="000F1723" w:rsidRDefault="000F1723" w:rsidP="000F1723">
      <w:pPr>
        <w:pStyle w:val="Tabletitle0"/>
      </w:pPr>
      <w:r w:rsidRPr="00756A4F">
        <w:t xml:space="preserve">Table </w:t>
      </w:r>
      <w:r w:rsidR="00756A4F" w:rsidRPr="00756A4F">
        <w:t>5</w:t>
      </w:r>
      <w:r w:rsidRPr="00756A4F">
        <w:t>:</w:t>
      </w:r>
      <w:r>
        <w:t xml:space="preserve"> Relative exposure</w:t>
      </w:r>
    </w:p>
    <w:tbl>
      <w:tblPr>
        <w:tblStyle w:val="TableTGAblue"/>
        <w:tblW w:w="8269" w:type="dxa"/>
        <w:tblLayout w:type="fixed"/>
        <w:tblLook w:val="01E0" w:firstRow="1" w:lastRow="1" w:firstColumn="1" w:lastColumn="1" w:noHBand="0" w:noVBand="0"/>
        <w:tblDescription w:val="Table 5: Relative exposure"/>
      </w:tblPr>
      <w:tblGrid>
        <w:gridCol w:w="1734"/>
        <w:gridCol w:w="1635"/>
        <w:gridCol w:w="1698"/>
        <w:gridCol w:w="1601"/>
        <w:gridCol w:w="1601"/>
      </w:tblGrid>
      <w:tr w:rsidR="00153E2E" w:rsidRPr="00153E2E" w:rsidTr="00756A4F">
        <w:trPr>
          <w:cnfStyle w:val="100000000000" w:firstRow="1" w:lastRow="0" w:firstColumn="0" w:lastColumn="0" w:oddVBand="0" w:evenVBand="0" w:oddHBand="0" w:evenHBand="0" w:firstRowFirstColumn="0" w:firstRowLastColumn="0" w:lastRowFirstColumn="0" w:lastRowLastColumn="0"/>
          <w:trHeight w:val="139"/>
        </w:trPr>
        <w:tc>
          <w:tcPr>
            <w:tcW w:w="1734" w:type="dxa"/>
          </w:tcPr>
          <w:p w:rsidR="00153E2E" w:rsidRPr="00153E2E" w:rsidRDefault="00153E2E" w:rsidP="00756A4F">
            <w:pPr>
              <w:ind w:left="0" w:right="0"/>
              <w:rPr>
                <w:sz w:val="20"/>
                <w:szCs w:val="20"/>
              </w:rPr>
            </w:pPr>
            <w:r w:rsidRPr="00153E2E">
              <w:rPr>
                <w:sz w:val="20"/>
                <w:szCs w:val="20"/>
              </w:rPr>
              <w:t>Species</w:t>
            </w:r>
          </w:p>
        </w:tc>
        <w:tc>
          <w:tcPr>
            <w:tcW w:w="1635" w:type="dxa"/>
          </w:tcPr>
          <w:p w:rsidR="00153E2E" w:rsidRPr="00153E2E" w:rsidRDefault="00153E2E" w:rsidP="00756A4F">
            <w:pPr>
              <w:ind w:left="0" w:right="0"/>
              <w:rPr>
                <w:sz w:val="20"/>
                <w:szCs w:val="20"/>
              </w:rPr>
            </w:pPr>
            <w:r w:rsidRPr="00153E2E">
              <w:rPr>
                <w:sz w:val="20"/>
                <w:szCs w:val="20"/>
              </w:rPr>
              <w:t>Study</w:t>
            </w:r>
          </w:p>
        </w:tc>
        <w:tc>
          <w:tcPr>
            <w:tcW w:w="1698" w:type="dxa"/>
          </w:tcPr>
          <w:p w:rsidR="00153E2E" w:rsidRPr="00153E2E" w:rsidRDefault="00756A4F" w:rsidP="00756A4F">
            <w:pPr>
              <w:ind w:left="0" w:right="0"/>
              <w:rPr>
                <w:sz w:val="20"/>
                <w:szCs w:val="20"/>
              </w:rPr>
            </w:pPr>
            <w:r>
              <w:rPr>
                <w:sz w:val="20"/>
                <w:szCs w:val="20"/>
              </w:rPr>
              <w:t xml:space="preserve">Dose </w:t>
            </w:r>
            <w:r w:rsidR="00153E2E" w:rsidRPr="00756A4F">
              <w:rPr>
                <w:sz w:val="18"/>
                <w:szCs w:val="18"/>
              </w:rPr>
              <w:t>(</w:t>
            </w:r>
            <w:r w:rsidR="00A82FA1" w:rsidRPr="00756A4F">
              <w:rPr>
                <w:sz w:val="18"/>
                <w:szCs w:val="18"/>
              </w:rPr>
              <w:t>mg</w:t>
            </w:r>
            <w:r w:rsidR="00153E2E" w:rsidRPr="00756A4F">
              <w:rPr>
                <w:sz w:val="18"/>
                <w:szCs w:val="18"/>
              </w:rPr>
              <w:t>/kg/day)</w:t>
            </w:r>
          </w:p>
        </w:tc>
        <w:tc>
          <w:tcPr>
            <w:tcW w:w="1601" w:type="dxa"/>
          </w:tcPr>
          <w:p w:rsidR="00153E2E" w:rsidRPr="00153E2E" w:rsidRDefault="006F35F9" w:rsidP="00756A4F">
            <w:pPr>
              <w:ind w:left="0" w:right="0"/>
              <w:rPr>
                <w:sz w:val="20"/>
                <w:szCs w:val="20"/>
              </w:rPr>
            </w:pPr>
            <w:r w:rsidRPr="001637F4">
              <w:t>AUC</w:t>
            </w:r>
            <w:r w:rsidRPr="006F35F9">
              <w:rPr>
                <w:vertAlign w:val="subscript"/>
              </w:rPr>
              <w:t>0–24 h</w:t>
            </w:r>
            <w:r w:rsidR="00756A4F">
              <w:rPr>
                <w:sz w:val="20"/>
                <w:szCs w:val="20"/>
              </w:rPr>
              <w:t xml:space="preserve"> </w:t>
            </w:r>
            <w:r w:rsidR="00153E2E" w:rsidRPr="00153E2E">
              <w:rPr>
                <w:sz w:val="20"/>
                <w:szCs w:val="20"/>
              </w:rPr>
              <w:t>(</w:t>
            </w:r>
            <w:proofErr w:type="spellStart"/>
            <w:r w:rsidR="00153E2E" w:rsidRPr="00153E2E">
              <w:rPr>
                <w:sz w:val="20"/>
                <w:szCs w:val="20"/>
              </w:rPr>
              <w:t>ng∙h</w:t>
            </w:r>
            <w:proofErr w:type="spellEnd"/>
            <w:r w:rsidR="00153E2E" w:rsidRPr="00153E2E">
              <w:rPr>
                <w:sz w:val="20"/>
                <w:szCs w:val="20"/>
              </w:rPr>
              <w:t>/mL)</w:t>
            </w:r>
          </w:p>
        </w:tc>
        <w:tc>
          <w:tcPr>
            <w:tcW w:w="1601" w:type="dxa"/>
          </w:tcPr>
          <w:p w:rsidR="00153E2E" w:rsidRPr="00153E2E" w:rsidRDefault="00153E2E" w:rsidP="00756A4F">
            <w:pPr>
              <w:ind w:left="0" w:right="0"/>
              <w:rPr>
                <w:sz w:val="20"/>
                <w:szCs w:val="20"/>
              </w:rPr>
            </w:pPr>
            <w:r w:rsidRPr="00153E2E">
              <w:rPr>
                <w:sz w:val="20"/>
                <w:szCs w:val="20"/>
              </w:rPr>
              <w:t>Exposure ratio#</w:t>
            </w:r>
          </w:p>
        </w:tc>
      </w:tr>
      <w:tr w:rsidR="00153E2E" w:rsidRPr="00153E2E" w:rsidTr="00756A4F">
        <w:trPr>
          <w:trHeight w:val="219"/>
        </w:trPr>
        <w:tc>
          <w:tcPr>
            <w:tcW w:w="1734" w:type="dxa"/>
            <w:vMerge w:val="restart"/>
          </w:tcPr>
          <w:p w:rsidR="000D4647" w:rsidRDefault="00153E2E" w:rsidP="00756A4F">
            <w:pPr>
              <w:rPr>
                <w:sz w:val="20"/>
                <w:szCs w:val="20"/>
              </w:rPr>
            </w:pPr>
            <w:r w:rsidRPr="00153E2E">
              <w:rPr>
                <w:sz w:val="20"/>
                <w:szCs w:val="20"/>
              </w:rPr>
              <w:t>Mouse</w:t>
            </w:r>
          </w:p>
          <w:p w:rsidR="00153E2E" w:rsidRPr="00153E2E" w:rsidRDefault="00153E2E" w:rsidP="00756A4F">
            <w:pPr>
              <w:ind w:left="0" w:right="0"/>
              <w:rPr>
                <w:sz w:val="20"/>
                <w:szCs w:val="20"/>
              </w:rPr>
            </w:pPr>
            <w:r w:rsidRPr="00153E2E">
              <w:rPr>
                <w:sz w:val="20"/>
                <w:szCs w:val="20"/>
              </w:rPr>
              <w:t>(CD-1)</w:t>
            </w:r>
          </w:p>
        </w:tc>
        <w:tc>
          <w:tcPr>
            <w:tcW w:w="1635" w:type="dxa"/>
            <w:vMerge w:val="restart"/>
          </w:tcPr>
          <w:p w:rsidR="00153E2E" w:rsidRPr="00153E2E" w:rsidRDefault="00153E2E" w:rsidP="00756A4F">
            <w:pPr>
              <w:ind w:left="0" w:right="0"/>
              <w:rPr>
                <w:sz w:val="20"/>
                <w:szCs w:val="20"/>
              </w:rPr>
            </w:pPr>
            <w:proofErr w:type="spellStart"/>
            <w:r w:rsidRPr="00153E2E">
              <w:rPr>
                <w:sz w:val="20"/>
                <w:szCs w:val="20"/>
              </w:rPr>
              <w:t>Embryofetal</w:t>
            </w:r>
            <w:proofErr w:type="spellEnd"/>
            <w:r w:rsidRPr="00153E2E">
              <w:rPr>
                <w:sz w:val="20"/>
                <w:szCs w:val="20"/>
              </w:rPr>
              <w:t xml:space="preserve"> development</w:t>
            </w:r>
          </w:p>
        </w:tc>
        <w:tc>
          <w:tcPr>
            <w:tcW w:w="1698" w:type="dxa"/>
          </w:tcPr>
          <w:p w:rsidR="00153E2E" w:rsidRPr="00153E2E" w:rsidRDefault="00153E2E" w:rsidP="00756A4F">
            <w:pPr>
              <w:ind w:left="0" w:right="0"/>
              <w:jc w:val="center"/>
              <w:rPr>
                <w:sz w:val="20"/>
                <w:szCs w:val="20"/>
              </w:rPr>
            </w:pPr>
            <w:r w:rsidRPr="00153E2E">
              <w:rPr>
                <w:sz w:val="20"/>
                <w:szCs w:val="20"/>
              </w:rPr>
              <w:t>10</w:t>
            </w:r>
          </w:p>
        </w:tc>
        <w:tc>
          <w:tcPr>
            <w:tcW w:w="1601" w:type="dxa"/>
          </w:tcPr>
          <w:p w:rsidR="00153E2E" w:rsidRPr="00153E2E" w:rsidRDefault="00153E2E" w:rsidP="00756A4F">
            <w:pPr>
              <w:ind w:left="0" w:right="0"/>
              <w:jc w:val="center"/>
              <w:rPr>
                <w:sz w:val="20"/>
                <w:szCs w:val="20"/>
              </w:rPr>
            </w:pPr>
            <w:r w:rsidRPr="00153E2E">
              <w:rPr>
                <w:sz w:val="20"/>
                <w:szCs w:val="20"/>
              </w:rPr>
              <w:t>6820</w:t>
            </w:r>
          </w:p>
        </w:tc>
        <w:tc>
          <w:tcPr>
            <w:tcW w:w="1601" w:type="dxa"/>
          </w:tcPr>
          <w:p w:rsidR="00153E2E" w:rsidRPr="00153E2E" w:rsidRDefault="00153E2E" w:rsidP="00756A4F">
            <w:pPr>
              <w:ind w:left="0" w:right="0"/>
              <w:jc w:val="center"/>
              <w:rPr>
                <w:sz w:val="20"/>
                <w:szCs w:val="20"/>
              </w:rPr>
            </w:pPr>
            <w:r w:rsidRPr="00153E2E">
              <w:rPr>
                <w:sz w:val="20"/>
                <w:szCs w:val="20"/>
              </w:rPr>
              <w:t>2</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30</w:t>
            </w:r>
          </w:p>
        </w:tc>
        <w:tc>
          <w:tcPr>
            <w:tcW w:w="1601" w:type="dxa"/>
          </w:tcPr>
          <w:p w:rsidR="00153E2E" w:rsidRPr="00153E2E" w:rsidRDefault="00153E2E" w:rsidP="00756A4F">
            <w:pPr>
              <w:ind w:left="0" w:right="0"/>
              <w:jc w:val="center"/>
              <w:rPr>
                <w:sz w:val="20"/>
                <w:szCs w:val="20"/>
              </w:rPr>
            </w:pPr>
            <w:r w:rsidRPr="00153E2E">
              <w:rPr>
                <w:sz w:val="20"/>
                <w:szCs w:val="20"/>
              </w:rPr>
              <w:t>22100</w:t>
            </w:r>
          </w:p>
        </w:tc>
        <w:tc>
          <w:tcPr>
            <w:tcW w:w="1601" w:type="dxa"/>
          </w:tcPr>
          <w:p w:rsidR="00153E2E" w:rsidRPr="00153E2E" w:rsidRDefault="00153E2E" w:rsidP="00756A4F">
            <w:pPr>
              <w:ind w:left="0" w:right="0"/>
              <w:jc w:val="center"/>
              <w:rPr>
                <w:sz w:val="20"/>
                <w:szCs w:val="20"/>
              </w:rPr>
            </w:pPr>
            <w:r w:rsidRPr="00153E2E">
              <w:rPr>
                <w:sz w:val="20"/>
                <w:szCs w:val="20"/>
              </w:rPr>
              <w:t>7</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100</w:t>
            </w:r>
          </w:p>
        </w:tc>
        <w:tc>
          <w:tcPr>
            <w:tcW w:w="1601" w:type="dxa"/>
          </w:tcPr>
          <w:p w:rsidR="00153E2E" w:rsidRPr="00153E2E" w:rsidRDefault="00153E2E" w:rsidP="00756A4F">
            <w:pPr>
              <w:ind w:left="0" w:right="0"/>
              <w:jc w:val="center"/>
              <w:rPr>
                <w:sz w:val="20"/>
                <w:szCs w:val="20"/>
              </w:rPr>
            </w:pPr>
            <w:r w:rsidRPr="00153E2E">
              <w:rPr>
                <w:sz w:val="20"/>
                <w:szCs w:val="20"/>
              </w:rPr>
              <w:t>43700</w:t>
            </w:r>
          </w:p>
        </w:tc>
        <w:tc>
          <w:tcPr>
            <w:tcW w:w="1601" w:type="dxa"/>
          </w:tcPr>
          <w:p w:rsidR="00153E2E" w:rsidRPr="00153E2E" w:rsidRDefault="00153E2E" w:rsidP="00756A4F">
            <w:pPr>
              <w:ind w:left="0" w:right="0"/>
              <w:jc w:val="center"/>
              <w:rPr>
                <w:sz w:val="20"/>
                <w:szCs w:val="20"/>
              </w:rPr>
            </w:pPr>
            <w:r w:rsidRPr="00153E2E">
              <w:rPr>
                <w:sz w:val="20"/>
                <w:szCs w:val="20"/>
              </w:rPr>
              <w:t>15</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1000</w:t>
            </w:r>
          </w:p>
        </w:tc>
        <w:tc>
          <w:tcPr>
            <w:tcW w:w="1601" w:type="dxa"/>
          </w:tcPr>
          <w:p w:rsidR="00153E2E" w:rsidRPr="00153E2E" w:rsidRDefault="00153E2E" w:rsidP="00756A4F">
            <w:pPr>
              <w:ind w:left="0" w:right="0"/>
              <w:jc w:val="center"/>
              <w:rPr>
                <w:sz w:val="20"/>
                <w:szCs w:val="20"/>
              </w:rPr>
            </w:pPr>
            <w:r w:rsidRPr="00153E2E">
              <w:rPr>
                <w:sz w:val="20"/>
                <w:szCs w:val="20"/>
              </w:rPr>
              <w:t>93000</w:t>
            </w:r>
          </w:p>
        </w:tc>
        <w:tc>
          <w:tcPr>
            <w:tcW w:w="1601" w:type="dxa"/>
          </w:tcPr>
          <w:p w:rsidR="00153E2E" w:rsidRPr="00153E2E" w:rsidRDefault="00153E2E" w:rsidP="00756A4F">
            <w:pPr>
              <w:ind w:left="0" w:right="0"/>
              <w:jc w:val="center"/>
              <w:rPr>
                <w:sz w:val="20"/>
                <w:szCs w:val="20"/>
              </w:rPr>
            </w:pPr>
            <w:r w:rsidRPr="00153E2E">
              <w:rPr>
                <w:sz w:val="20"/>
                <w:szCs w:val="20"/>
              </w:rPr>
              <w:t>31</w:t>
            </w:r>
          </w:p>
        </w:tc>
      </w:tr>
      <w:tr w:rsidR="00153E2E" w:rsidRPr="00153E2E" w:rsidTr="00756A4F">
        <w:trPr>
          <w:trHeight w:val="219"/>
        </w:trPr>
        <w:tc>
          <w:tcPr>
            <w:tcW w:w="1734" w:type="dxa"/>
            <w:vMerge w:val="restart"/>
          </w:tcPr>
          <w:p w:rsidR="000D4647" w:rsidRDefault="00153E2E" w:rsidP="00756A4F">
            <w:pPr>
              <w:rPr>
                <w:sz w:val="20"/>
                <w:szCs w:val="20"/>
              </w:rPr>
            </w:pPr>
            <w:r w:rsidRPr="00153E2E">
              <w:rPr>
                <w:sz w:val="20"/>
                <w:szCs w:val="20"/>
              </w:rPr>
              <w:t>Rat</w:t>
            </w:r>
          </w:p>
          <w:p w:rsidR="00153E2E" w:rsidRPr="00153E2E" w:rsidRDefault="00153E2E" w:rsidP="00756A4F">
            <w:pPr>
              <w:ind w:left="0" w:right="0"/>
              <w:rPr>
                <w:sz w:val="20"/>
                <w:szCs w:val="20"/>
              </w:rPr>
            </w:pPr>
            <w:r w:rsidRPr="00153E2E">
              <w:rPr>
                <w:sz w:val="20"/>
                <w:szCs w:val="20"/>
              </w:rPr>
              <w:t>(</w:t>
            </w:r>
            <w:r w:rsidR="0091489D" w:rsidRPr="0062020E">
              <w:rPr>
                <w:kern w:val="2"/>
                <w:sz w:val="20"/>
                <w:szCs w:val="20"/>
              </w:rPr>
              <w:t>S</w:t>
            </w:r>
            <w:r w:rsidR="0091489D">
              <w:rPr>
                <w:kern w:val="2"/>
                <w:sz w:val="20"/>
                <w:szCs w:val="20"/>
              </w:rPr>
              <w:t>prague Dawley</w:t>
            </w:r>
            <w:r w:rsidRPr="00153E2E">
              <w:rPr>
                <w:sz w:val="20"/>
                <w:szCs w:val="20"/>
              </w:rPr>
              <w:t>)</w:t>
            </w:r>
          </w:p>
        </w:tc>
        <w:tc>
          <w:tcPr>
            <w:tcW w:w="1635" w:type="dxa"/>
            <w:vMerge w:val="restart"/>
          </w:tcPr>
          <w:p w:rsidR="00153E2E" w:rsidRPr="00153E2E" w:rsidRDefault="00153E2E" w:rsidP="00756A4F">
            <w:pPr>
              <w:ind w:left="0" w:right="0"/>
              <w:rPr>
                <w:sz w:val="20"/>
                <w:szCs w:val="20"/>
              </w:rPr>
            </w:pPr>
            <w:proofErr w:type="spellStart"/>
            <w:r w:rsidRPr="00153E2E">
              <w:rPr>
                <w:sz w:val="20"/>
                <w:szCs w:val="20"/>
              </w:rPr>
              <w:t>Embryofetal</w:t>
            </w:r>
            <w:proofErr w:type="spellEnd"/>
            <w:r w:rsidRPr="00153E2E">
              <w:rPr>
                <w:sz w:val="20"/>
                <w:szCs w:val="20"/>
              </w:rPr>
              <w:t xml:space="preserve"> development</w:t>
            </w:r>
          </w:p>
        </w:tc>
        <w:tc>
          <w:tcPr>
            <w:tcW w:w="1698" w:type="dxa"/>
          </w:tcPr>
          <w:p w:rsidR="00153E2E" w:rsidRPr="00153E2E" w:rsidRDefault="00153E2E" w:rsidP="00756A4F">
            <w:pPr>
              <w:ind w:left="0" w:right="0"/>
              <w:jc w:val="center"/>
              <w:rPr>
                <w:sz w:val="20"/>
                <w:szCs w:val="20"/>
              </w:rPr>
            </w:pPr>
            <w:r w:rsidRPr="00153E2E">
              <w:rPr>
                <w:sz w:val="20"/>
                <w:szCs w:val="20"/>
              </w:rPr>
              <w:t>20</w:t>
            </w:r>
          </w:p>
        </w:tc>
        <w:tc>
          <w:tcPr>
            <w:tcW w:w="1601" w:type="dxa"/>
          </w:tcPr>
          <w:p w:rsidR="00153E2E" w:rsidRPr="00153E2E" w:rsidRDefault="00153E2E" w:rsidP="00756A4F">
            <w:pPr>
              <w:ind w:left="0" w:right="0"/>
              <w:jc w:val="center"/>
              <w:rPr>
                <w:sz w:val="20"/>
                <w:szCs w:val="20"/>
              </w:rPr>
            </w:pPr>
            <w:r w:rsidRPr="00153E2E">
              <w:rPr>
                <w:sz w:val="20"/>
                <w:szCs w:val="20"/>
              </w:rPr>
              <w:t>3830</w:t>
            </w:r>
          </w:p>
        </w:tc>
        <w:tc>
          <w:tcPr>
            <w:tcW w:w="1601" w:type="dxa"/>
          </w:tcPr>
          <w:p w:rsidR="00153E2E" w:rsidRPr="00153E2E" w:rsidRDefault="00153E2E" w:rsidP="00756A4F">
            <w:pPr>
              <w:ind w:left="0" w:right="0"/>
              <w:jc w:val="center"/>
              <w:rPr>
                <w:sz w:val="20"/>
                <w:szCs w:val="20"/>
              </w:rPr>
            </w:pPr>
            <w:r w:rsidRPr="00153E2E">
              <w:rPr>
                <w:sz w:val="20"/>
                <w:szCs w:val="20"/>
              </w:rPr>
              <w:t>1</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60</w:t>
            </w:r>
          </w:p>
        </w:tc>
        <w:tc>
          <w:tcPr>
            <w:tcW w:w="1601" w:type="dxa"/>
          </w:tcPr>
          <w:p w:rsidR="00153E2E" w:rsidRPr="00153E2E" w:rsidRDefault="00153E2E" w:rsidP="00756A4F">
            <w:pPr>
              <w:ind w:left="0" w:right="0"/>
              <w:jc w:val="center"/>
              <w:rPr>
                <w:sz w:val="20"/>
                <w:szCs w:val="20"/>
              </w:rPr>
            </w:pPr>
            <w:r w:rsidRPr="00153E2E">
              <w:rPr>
                <w:sz w:val="20"/>
                <w:szCs w:val="20"/>
              </w:rPr>
              <w:t>9300</w:t>
            </w:r>
          </w:p>
        </w:tc>
        <w:tc>
          <w:tcPr>
            <w:tcW w:w="1601" w:type="dxa"/>
          </w:tcPr>
          <w:p w:rsidR="00153E2E" w:rsidRPr="00153E2E" w:rsidRDefault="00153E2E" w:rsidP="00756A4F">
            <w:pPr>
              <w:ind w:left="0" w:right="0"/>
              <w:jc w:val="center"/>
              <w:rPr>
                <w:sz w:val="20"/>
                <w:szCs w:val="20"/>
              </w:rPr>
            </w:pPr>
            <w:r w:rsidRPr="00153E2E">
              <w:rPr>
                <w:sz w:val="20"/>
                <w:szCs w:val="20"/>
              </w:rPr>
              <w:t>3</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200</w:t>
            </w:r>
          </w:p>
        </w:tc>
        <w:tc>
          <w:tcPr>
            <w:tcW w:w="1601" w:type="dxa"/>
          </w:tcPr>
          <w:p w:rsidR="00153E2E" w:rsidRPr="00153E2E" w:rsidRDefault="00153E2E" w:rsidP="00756A4F">
            <w:pPr>
              <w:ind w:left="0" w:right="0"/>
              <w:jc w:val="center"/>
              <w:rPr>
                <w:sz w:val="20"/>
                <w:szCs w:val="20"/>
              </w:rPr>
            </w:pPr>
            <w:r w:rsidRPr="00153E2E">
              <w:rPr>
                <w:sz w:val="20"/>
                <w:szCs w:val="20"/>
              </w:rPr>
              <w:t>17100</w:t>
            </w:r>
          </w:p>
        </w:tc>
        <w:tc>
          <w:tcPr>
            <w:tcW w:w="1601" w:type="dxa"/>
          </w:tcPr>
          <w:p w:rsidR="00153E2E" w:rsidRPr="00153E2E" w:rsidRDefault="00153E2E" w:rsidP="00756A4F">
            <w:pPr>
              <w:ind w:left="0" w:right="0"/>
              <w:jc w:val="center"/>
              <w:rPr>
                <w:sz w:val="20"/>
                <w:szCs w:val="20"/>
              </w:rPr>
            </w:pPr>
            <w:r w:rsidRPr="00153E2E">
              <w:rPr>
                <w:sz w:val="20"/>
                <w:szCs w:val="20"/>
              </w:rPr>
              <w:t>6</w:t>
            </w:r>
          </w:p>
        </w:tc>
      </w:tr>
      <w:tr w:rsidR="00153E2E" w:rsidRPr="00153E2E" w:rsidTr="00756A4F">
        <w:trPr>
          <w:trHeight w:val="219"/>
        </w:trPr>
        <w:tc>
          <w:tcPr>
            <w:tcW w:w="1734" w:type="dxa"/>
            <w:vMerge w:val="restart"/>
          </w:tcPr>
          <w:p w:rsidR="000D4647" w:rsidRDefault="00153E2E" w:rsidP="00756A4F">
            <w:pPr>
              <w:rPr>
                <w:sz w:val="20"/>
                <w:szCs w:val="20"/>
              </w:rPr>
            </w:pPr>
            <w:r w:rsidRPr="00153E2E">
              <w:rPr>
                <w:sz w:val="20"/>
                <w:szCs w:val="20"/>
              </w:rPr>
              <w:t>Rat</w:t>
            </w:r>
          </w:p>
          <w:p w:rsidR="00153E2E" w:rsidRPr="00153E2E" w:rsidRDefault="00153E2E" w:rsidP="00756A4F">
            <w:pPr>
              <w:ind w:left="0" w:right="0"/>
              <w:rPr>
                <w:sz w:val="20"/>
                <w:szCs w:val="20"/>
              </w:rPr>
            </w:pPr>
            <w:r w:rsidRPr="00153E2E">
              <w:rPr>
                <w:sz w:val="20"/>
                <w:szCs w:val="20"/>
              </w:rPr>
              <w:t>(</w:t>
            </w:r>
            <w:r w:rsidR="0091489D" w:rsidRPr="0062020E">
              <w:rPr>
                <w:kern w:val="2"/>
                <w:sz w:val="20"/>
                <w:szCs w:val="20"/>
              </w:rPr>
              <w:t>S</w:t>
            </w:r>
            <w:r w:rsidR="0091489D">
              <w:rPr>
                <w:kern w:val="2"/>
                <w:sz w:val="20"/>
                <w:szCs w:val="20"/>
              </w:rPr>
              <w:t>prague Dawley</w:t>
            </w:r>
            <w:r w:rsidRPr="00153E2E">
              <w:rPr>
                <w:sz w:val="20"/>
                <w:szCs w:val="20"/>
              </w:rPr>
              <w:t>)</w:t>
            </w:r>
          </w:p>
        </w:tc>
        <w:tc>
          <w:tcPr>
            <w:tcW w:w="1635" w:type="dxa"/>
            <w:vMerge w:val="restart"/>
          </w:tcPr>
          <w:p w:rsidR="00153E2E" w:rsidRPr="00153E2E" w:rsidRDefault="00153E2E" w:rsidP="00756A4F">
            <w:pPr>
              <w:ind w:left="0" w:right="0"/>
              <w:rPr>
                <w:sz w:val="20"/>
                <w:szCs w:val="20"/>
              </w:rPr>
            </w:pPr>
            <w:proofErr w:type="spellStart"/>
            <w:r w:rsidRPr="00153E2E">
              <w:rPr>
                <w:sz w:val="20"/>
                <w:szCs w:val="20"/>
              </w:rPr>
              <w:t>Embryofetal</w:t>
            </w:r>
            <w:proofErr w:type="spellEnd"/>
            <w:r w:rsidRPr="00153E2E">
              <w:rPr>
                <w:sz w:val="20"/>
                <w:szCs w:val="20"/>
              </w:rPr>
              <w:t xml:space="preserve"> development</w:t>
            </w:r>
          </w:p>
        </w:tc>
        <w:tc>
          <w:tcPr>
            <w:tcW w:w="1698" w:type="dxa"/>
          </w:tcPr>
          <w:p w:rsidR="00153E2E" w:rsidRPr="00153E2E" w:rsidRDefault="00153E2E" w:rsidP="00756A4F">
            <w:pPr>
              <w:ind w:left="0" w:right="0"/>
              <w:jc w:val="center"/>
              <w:rPr>
                <w:sz w:val="20"/>
                <w:szCs w:val="20"/>
              </w:rPr>
            </w:pPr>
            <w:r w:rsidRPr="00153E2E">
              <w:rPr>
                <w:sz w:val="20"/>
                <w:szCs w:val="20"/>
              </w:rPr>
              <w:t>20</w:t>
            </w:r>
          </w:p>
        </w:tc>
        <w:tc>
          <w:tcPr>
            <w:tcW w:w="1601" w:type="dxa"/>
          </w:tcPr>
          <w:p w:rsidR="00153E2E" w:rsidRPr="00153E2E" w:rsidRDefault="00153E2E" w:rsidP="00756A4F">
            <w:pPr>
              <w:ind w:left="0" w:right="0"/>
              <w:jc w:val="center"/>
              <w:rPr>
                <w:sz w:val="20"/>
                <w:szCs w:val="20"/>
              </w:rPr>
            </w:pPr>
            <w:r w:rsidRPr="00153E2E">
              <w:rPr>
                <w:sz w:val="20"/>
                <w:szCs w:val="20"/>
              </w:rPr>
              <w:t>3830</w:t>
            </w:r>
          </w:p>
        </w:tc>
        <w:tc>
          <w:tcPr>
            <w:tcW w:w="1601" w:type="dxa"/>
          </w:tcPr>
          <w:p w:rsidR="00153E2E" w:rsidRPr="00153E2E" w:rsidRDefault="00153E2E" w:rsidP="00756A4F">
            <w:pPr>
              <w:ind w:left="0" w:right="0"/>
              <w:jc w:val="center"/>
              <w:rPr>
                <w:sz w:val="20"/>
                <w:szCs w:val="20"/>
              </w:rPr>
            </w:pPr>
            <w:r w:rsidRPr="00153E2E">
              <w:rPr>
                <w:sz w:val="20"/>
                <w:szCs w:val="20"/>
              </w:rPr>
              <w:t>1</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60</w:t>
            </w:r>
          </w:p>
        </w:tc>
        <w:tc>
          <w:tcPr>
            <w:tcW w:w="1601" w:type="dxa"/>
          </w:tcPr>
          <w:p w:rsidR="00153E2E" w:rsidRPr="00153E2E" w:rsidRDefault="00153E2E" w:rsidP="00756A4F">
            <w:pPr>
              <w:ind w:left="0" w:right="0"/>
              <w:jc w:val="center"/>
              <w:rPr>
                <w:sz w:val="20"/>
                <w:szCs w:val="20"/>
              </w:rPr>
            </w:pPr>
            <w:r w:rsidRPr="00153E2E">
              <w:rPr>
                <w:sz w:val="20"/>
                <w:szCs w:val="20"/>
              </w:rPr>
              <w:t>9300</w:t>
            </w:r>
          </w:p>
        </w:tc>
        <w:tc>
          <w:tcPr>
            <w:tcW w:w="1601" w:type="dxa"/>
          </w:tcPr>
          <w:p w:rsidR="00153E2E" w:rsidRPr="00153E2E" w:rsidRDefault="00153E2E" w:rsidP="00756A4F">
            <w:pPr>
              <w:ind w:left="0" w:right="0"/>
              <w:jc w:val="center"/>
              <w:rPr>
                <w:sz w:val="20"/>
                <w:szCs w:val="20"/>
              </w:rPr>
            </w:pPr>
            <w:r w:rsidRPr="00153E2E">
              <w:rPr>
                <w:sz w:val="20"/>
                <w:szCs w:val="20"/>
              </w:rPr>
              <w:t>3</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200</w:t>
            </w:r>
          </w:p>
        </w:tc>
        <w:tc>
          <w:tcPr>
            <w:tcW w:w="1601" w:type="dxa"/>
          </w:tcPr>
          <w:p w:rsidR="00153E2E" w:rsidRPr="00153E2E" w:rsidRDefault="00153E2E" w:rsidP="00756A4F">
            <w:pPr>
              <w:ind w:left="0" w:right="0"/>
              <w:jc w:val="center"/>
              <w:rPr>
                <w:sz w:val="20"/>
                <w:szCs w:val="20"/>
              </w:rPr>
            </w:pPr>
            <w:r w:rsidRPr="00153E2E">
              <w:rPr>
                <w:sz w:val="20"/>
                <w:szCs w:val="20"/>
              </w:rPr>
              <w:t>17100</w:t>
            </w:r>
          </w:p>
        </w:tc>
        <w:tc>
          <w:tcPr>
            <w:tcW w:w="1601" w:type="dxa"/>
          </w:tcPr>
          <w:p w:rsidR="00153E2E" w:rsidRPr="00153E2E" w:rsidRDefault="00153E2E" w:rsidP="00756A4F">
            <w:pPr>
              <w:ind w:left="0" w:right="0"/>
              <w:jc w:val="center"/>
              <w:rPr>
                <w:sz w:val="20"/>
                <w:szCs w:val="20"/>
              </w:rPr>
            </w:pPr>
            <w:r w:rsidRPr="00153E2E">
              <w:rPr>
                <w:sz w:val="20"/>
                <w:szCs w:val="20"/>
              </w:rPr>
              <w:t>6</w:t>
            </w:r>
          </w:p>
        </w:tc>
      </w:tr>
      <w:tr w:rsidR="00153E2E" w:rsidRPr="00153E2E" w:rsidTr="00756A4F">
        <w:trPr>
          <w:trHeight w:val="219"/>
        </w:trPr>
        <w:tc>
          <w:tcPr>
            <w:tcW w:w="1734" w:type="dxa"/>
            <w:vMerge w:val="restart"/>
          </w:tcPr>
          <w:p w:rsidR="00153E2E" w:rsidRPr="00153E2E" w:rsidRDefault="00B25E3E" w:rsidP="00756A4F">
            <w:pPr>
              <w:ind w:left="0" w:right="0"/>
              <w:rPr>
                <w:sz w:val="20"/>
                <w:szCs w:val="20"/>
              </w:rPr>
            </w:pPr>
            <w:r>
              <w:rPr>
                <w:sz w:val="20"/>
                <w:szCs w:val="20"/>
              </w:rPr>
              <w:t xml:space="preserve">Rabbit </w:t>
            </w:r>
            <w:r w:rsidR="00153E2E" w:rsidRPr="00153E2E">
              <w:rPr>
                <w:sz w:val="20"/>
                <w:szCs w:val="20"/>
              </w:rPr>
              <w:t>(NZW)</w:t>
            </w:r>
          </w:p>
        </w:tc>
        <w:tc>
          <w:tcPr>
            <w:tcW w:w="1635" w:type="dxa"/>
            <w:vMerge w:val="restart"/>
          </w:tcPr>
          <w:p w:rsidR="00153E2E" w:rsidRPr="00153E2E" w:rsidRDefault="00153E2E" w:rsidP="00756A4F">
            <w:pPr>
              <w:ind w:left="0" w:right="0"/>
              <w:rPr>
                <w:sz w:val="20"/>
                <w:szCs w:val="20"/>
              </w:rPr>
            </w:pPr>
            <w:proofErr w:type="spellStart"/>
            <w:r w:rsidRPr="00153E2E">
              <w:rPr>
                <w:sz w:val="20"/>
                <w:szCs w:val="20"/>
              </w:rPr>
              <w:t>Embryofetal</w:t>
            </w:r>
            <w:proofErr w:type="spellEnd"/>
            <w:r w:rsidRPr="00153E2E">
              <w:rPr>
                <w:sz w:val="20"/>
                <w:szCs w:val="20"/>
              </w:rPr>
              <w:t xml:space="preserve"> development</w:t>
            </w:r>
          </w:p>
        </w:tc>
        <w:tc>
          <w:tcPr>
            <w:tcW w:w="1698" w:type="dxa"/>
          </w:tcPr>
          <w:p w:rsidR="00153E2E" w:rsidRPr="00153E2E" w:rsidRDefault="00153E2E" w:rsidP="00756A4F">
            <w:pPr>
              <w:ind w:left="0" w:right="0"/>
              <w:jc w:val="center"/>
              <w:rPr>
                <w:sz w:val="20"/>
                <w:szCs w:val="20"/>
              </w:rPr>
            </w:pPr>
            <w:r w:rsidRPr="00153E2E">
              <w:rPr>
                <w:sz w:val="20"/>
                <w:szCs w:val="20"/>
              </w:rPr>
              <w:t>100</w:t>
            </w:r>
          </w:p>
        </w:tc>
        <w:tc>
          <w:tcPr>
            <w:tcW w:w="1601" w:type="dxa"/>
          </w:tcPr>
          <w:p w:rsidR="00153E2E" w:rsidRPr="00153E2E" w:rsidRDefault="00153E2E" w:rsidP="00756A4F">
            <w:pPr>
              <w:ind w:left="0" w:right="0"/>
              <w:jc w:val="center"/>
              <w:rPr>
                <w:sz w:val="20"/>
                <w:szCs w:val="20"/>
              </w:rPr>
            </w:pPr>
            <w:r w:rsidRPr="00153E2E">
              <w:rPr>
                <w:sz w:val="20"/>
                <w:szCs w:val="20"/>
              </w:rPr>
              <w:t>1940</w:t>
            </w:r>
          </w:p>
        </w:tc>
        <w:tc>
          <w:tcPr>
            <w:tcW w:w="1601" w:type="dxa"/>
          </w:tcPr>
          <w:p w:rsidR="00153E2E" w:rsidRPr="00153E2E" w:rsidRDefault="00153E2E" w:rsidP="00756A4F">
            <w:pPr>
              <w:ind w:left="0" w:right="0"/>
              <w:jc w:val="center"/>
              <w:rPr>
                <w:sz w:val="20"/>
                <w:szCs w:val="20"/>
              </w:rPr>
            </w:pPr>
            <w:r w:rsidRPr="00153E2E">
              <w:rPr>
                <w:sz w:val="20"/>
                <w:szCs w:val="20"/>
              </w:rPr>
              <w:t>0.7</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300</w:t>
            </w:r>
          </w:p>
        </w:tc>
        <w:tc>
          <w:tcPr>
            <w:tcW w:w="1601" w:type="dxa"/>
          </w:tcPr>
          <w:p w:rsidR="00153E2E" w:rsidRPr="00153E2E" w:rsidRDefault="00153E2E" w:rsidP="00756A4F">
            <w:pPr>
              <w:ind w:left="0" w:right="0"/>
              <w:jc w:val="center"/>
              <w:rPr>
                <w:sz w:val="20"/>
                <w:szCs w:val="20"/>
              </w:rPr>
            </w:pPr>
            <w:r w:rsidRPr="00153E2E">
              <w:rPr>
                <w:sz w:val="20"/>
                <w:szCs w:val="20"/>
              </w:rPr>
              <w:t>2060</w:t>
            </w:r>
          </w:p>
        </w:tc>
        <w:tc>
          <w:tcPr>
            <w:tcW w:w="1601" w:type="dxa"/>
          </w:tcPr>
          <w:p w:rsidR="00153E2E" w:rsidRPr="00153E2E" w:rsidRDefault="00153E2E" w:rsidP="00756A4F">
            <w:pPr>
              <w:ind w:left="0" w:right="0"/>
              <w:jc w:val="center"/>
              <w:rPr>
                <w:sz w:val="20"/>
                <w:szCs w:val="20"/>
              </w:rPr>
            </w:pPr>
            <w:r w:rsidRPr="00153E2E">
              <w:rPr>
                <w:sz w:val="20"/>
                <w:szCs w:val="20"/>
              </w:rPr>
              <w:t>0.7</w:t>
            </w:r>
          </w:p>
        </w:tc>
      </w:tr>
      <w:tr w:rsidR="00153E2E" w:rsidRPr="00153E2E" w:rsidTr="00756A4F">
        <w:trPr>
          <w:trHeight w:val="219"/>
        </w:trPr>
        <w:tc>
          <w:tcPr>
            <w:tcW w:w="1734" w:type="dxa"/>
            <w:vMerge w:val="restart"/>
          </w:tcPr>
          <w:p w:rsidR="00153E2E" w:rsidRPr="00153E2E" w:rsidRDefault="00B25E3E" w:rsidP="00756A4F">
            <w:pPr>
              <w:ind w:left="0" w:right="0"/>
              <w:rPr>
                <w:sz w:val="20"/>
                <w:szCs w:val="20"/>
              </w:rPr>
            </w:pPr>
            <w:r>
              <w:rPr>
                <w:sz w:val="20"/>
                <w:szCs w:val="20"/>
              </w:rPr>
              <w:t xml:space="preserve">Rabbit </w:t>
            </w:r>
            <w:r w:rsidR="00153E2E" w:rsidRPr="00153E2E">
              <w:rPr>
                <w:sz w:val="20"/>
                <w:szCs w:val="20"/>
              </w:rPr>
              <w:t>(NZW)</w:t>
            </w:r>
          </w:p>
        </w:tc>
        <w:tc>
          <w:tcPr>
            <w:tcW w:w="1635" w:type="dxa"/>
            <w:vMerge w:val="restart"/>
          </w:tcPr>
          <w:p w:rsidR="00153E2E" w:rsidRPr="00153E2E" w:rsidRDefault="00153E2E" w:rsidP="00756A4F">
            <w:pPr>
              <w:ind w:left="0" w:right="0"/>
              <w:rPr>
                <w:sz w:val="20"/>
                <w:szCs w:val="20"/>
              </w:rPr>
            </w:pPr>
            <w:proofErr w:type="spellStart"/>
            <w:r w:rsidRPr="00153E2E">
              <w:rPr>
                <w:sz w:val="20"/>
                <w:szCs w:val="20"/>
              </w:rPr>
              <w:t>Embryofetal</w:t>
            </w:r>
            <w:proofErr w:type="spellEnd"/>
            <w:r w:rsidRPr="00153E2E">
              <w:rPr>
                <w:sz w:val="20"/>
                <w:szCs w:val="20"/>
              </w:rPr>
              <w:t xml:space="preserve"> development</w:t>
            </w:r>
          </w:p>
        </w:tc>
        <w:tc>
          <w:tcPr>
            <w:tcW w:w="1698" w:type="dxa"/>
          </w:tcPr>
          <w:p w:rsidR="00153E2E" w:rsidRPr="00153E2E" w:rsidRDefault="00153E2E" w:rsidP="00756A4F">
            <w:pPr>
              <w:ind w:left="0" w:right="0"/>
              <w:jc w:val="center"/>
              <w:rPr>
                <w:sz w:val="20"/>
                <w:szCs w:val="20"/>
              </w:rPr>
            </w:pPr>
            <w:r w:rsidRPr="00153E2E">
              <w:rPr>
                <w:sz w:val="20"/>
                <w:szCs w:val="20"/>
              </w:rPr>
              <w:t>100</w:t>
            </w:r>
          </w:p>
        </w:tc>
        <w:tc>
          <w:tcPr>
            <w:tcW w:w="1601" w:type="dxa"/>
          </w:tcPr>
          <w:p w:rsidR="00153E2E" w:rsidRPr="00153E2E" w:rsidRDefault="00153E2E" w:rsidP="00756A4F">
            <w:pPr>
              <w:ind w:left="0" w:right="0"/>
              <w:jc w:val="center"/>
              <w:rPr>
                <w:sz w:val="20"/>
                <w:szCs w:val="20"/>
              </w:rPr>
            </w:pPr>
            <w:r w:rsidRPr="00153E2E">
              <w:rPr>
                <w:sz w:val="20"/>
                <w:szCs w:val="20"/>
              </w:rPr>
              <w:t>5966</w:t>
            </w:r>
          </w:p>
        </w:tc>
        <w:tc>
          <w:tcPr>
            <w:tcW w:w="1601" w:type="dxa"/>
          </w:tcPr>
          <w:p w:rsidR="00153E2E" w:rsidRPr="00153E2E" w:rsidRDefault="00153E2E" w:rsidP="00756A4F">
            <w:pPr>
              <w:ind w:left="0" w:right="0"/>
              <w:jc w:val="center"/>
              <w:rPr>
                <w:sz w:val="20"/>
                <w:szCs w:val="20"/>
              </w:rPr>
            </w:pPr>
            <w:r w:rsidRPr="00153E2E">
              <w:rPr>
                <w:sz w:val="20"/>
                <w:szCs w:val="20"/>
              </w:rPr>
              <w:t>2</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300</w:t>
            </w:r>
          </w:p>
        </w:tc>
        <w:tc>
          <w:tcPr>
            <w:tcW w:w="1601" w:type="dxa"/>
          </w:tcPr>
          <w:p w:rsidR="00153E2E" w:rsidRPr="00153E2E" w:rsidRDefault="00153E2E" w:rsidP="00756A4F">
            <w:pPr>
              <w:ind w:left="0" w:right="0"/>
              <w:jc w:val="center"/>
              <w:rPr>
                <w:sz w:val="20"/>
                <w:szCs w:val="20"/>
              </w:rPr>
            </w:pPr>
            <w:r w:rsidRPr="00153E2E">
              <w:rPr>
                <w:sz w:val="20"/>
                <w:szCs w:val="20"/>
              </w:rPr>
              <w:t>11800</w:t>
            </w:r>
          </w:p>
        </w:tc>
        <w:tc>
          <w:tcPr>
            <w:tcW w:w="1601" w:type="dxa"/>
          </w:tcPr>
          <w:p w:rsidR="00153E2E" w:rsidRPr="00153E2E" w:rsidRDefault="00153E2E" w:rsidP="00756A4F">
            <w:pPr>
              <w:ind w:left="0" w:right="0"/>
              <w:jc w:val="center"/>
              <w:rPr>
                <w:sz w:val="20"/>
                <w:szCs w:val="20"/>
              </w:rPr>
            </w:pPr>
            <w:r w:rsidRPr="00153E2E">
              <w:rPr>
                <w:sz w:val="20"/>
                <w:szCs w:val="20"/>
              </w:rPr>
              <w:t>4</w:t>
            </w:r>
          </w:p>
        </w:tc>
      </w:tr>
      <w:tr w:rsidR="00153E2E" w:rsidRPr="00153E2E" w:rsidTr="00756A4F">
        <w:trPr>
          <w:trHeight w:val="219"/>
        </w:trPr>
        <w:tc>
          <w:tcPr>
            <w:tcW w:w="1734" w:type="dxa"/>
            <w:vMerge/>
          </w:tcPr>
          <w:p w:rsidR="00153E2E" w:rsidRPr="00153E2E" w:rsidRDefault="00153E2E" w:rsidP="00756A4F">
            <w:pPr>
              <w:ind w:left="0" w:right="0"/>
              <w:rPr>
                <w:sz w:val="20"/>
                <w:szCs w:val="20"/>
              </w:rPr>
            </w:pPr>
          </w:p>
        </w:tc>
        <w:tc>
          <w:tcPr>
            <w:tcW w:w="1635" w:type="dxa"/>
            <w:vMerge/>
          </w:tcPr>
          <w:p w:rsidR="00153E2E" w:rsidRPr="00153E2E" w:rsidRDefault="00153E2E" w:rsidP="00756A4F">
            <w:pPr>
              <w:ind w:left="0" w:right="0"/>
              <w:rPr>
                <w:sz w:val="20"/>
                <w:szCs w:val="20"/>
              </w:rPr>
            </w:pPr>
          </w:p>
        </w:tc>
        <w:tc>
          <w:tcPr>
            <w:tcW w:w="1698" w:type="dxa"/>
          </w:tcPr>
          <w:p w:rsidR="00153E2E" w:rsidRPr="00153E2E" w:rsidRDefault="00153E2E" w:rsidP="00756A4F">
            <w:pPr>
              <w:ind w:left="0" w:right="0"/>
              <w:jc w:val="center"/>
              <w:rPr>
                <w:sz w:val="20"/>
                <w:szCs w:val="20"/>
              </w:rPr>
            </w:pPr>
            <w:r w:rsidRPr="00153E2E">
              <w:rPr>
                <w:sz w:val="20"/>
                <w:szCs w:val="20"/>
              </w:rPr>
              <w:t>600</w:t>
            </w:r>
          </w:p>
        </w:tc>
        <w:tc>
          <w:tcPr>
            <w:tcW w:w="1601" w:type="dxa"/>
          </w:tcPr>
          <w:p w:rsidR="00153E2E" w:rsidRPr="00153E2E" w:rsidRDefault="00153E2E" w:rsidP="00756A4F">
            <w:pPr>
              <w:ind w:left="0" w:right="0"/>
              <w:jc w:val="center"/>
              <w:rPr>
                <w:sz w:val="20"/>
                <w:szCs w:val="20"/>
              </w:rPr>
            </w:pPr>
            <w:r w:rsidRPr="00153E2E">
              <w:rPr>
                <w:sz w:val="20"/>
                <w:szCs w:val="20"/>
              </w:rPr>
              <w:t>9010</w:t>
            </w:r>
          </w:p>
        </w:tc>
        <w:tc>
          <w:tcPr>
            <w:tcW w:w="1601" w:type="dxa"/>
          </w:tcPr>
          <w:p w:rsidR="00153E2E" w:rsidRPr="00153E2E" w:rsidRDefault="00153E2E" w:rsidP="00756A4F">
            <w:pPr>
              <w:ind w:left="0" w:right="0"/>
              <w:jc w:val="center"/>
              <w:rPr>
                <w:sz w:val="20"/>
                <w:szCs w:val="20"/>
              </w:rPr>
            </w:pPr>
            <w:r w:rsidRPr="00153E2E">
              <w:rPr>
                <w:sz w:val="20"/>
                <w:szCs w:val="20"/>
              </w:rPr>
              <w:t>3</w:t>
            </w:r>
          </w:p>
        </w:tc>
      </w:tr>
      <w:tr w:rsidR="00153E2E" w:rsidRPr="00153E2E" w:rsidTr="00756A4F">
        <w:trPr>
          <w:trHeight w:val="219"/>
        </w:trPr>
        <w:tc>
          <w:tcPr>
            <w:tcW w:w="1734" w:type="dxa"/>
          </w:tcPr>
          <w:p w:rsidR="00153E2E" w:rsidRPr="00153E2E" w:rsidRDefault="00B25E3E" w:rsidP="00756A4F">
            <w:pPr>
              <w:ind w:left="0" w:right="0"/>
              <w:rPr>
                <w:sz w:val="20"/>
                <w:szCs w:val="20"/>
              </w:rPr>
            </w:pPr>
            <w:r>
              <w:rPr>
                <w:sz w:val="20"/>
                <w:szCs w:val="20"/>
              </w:rPr>
              <w:t xml:space="preserve">Human </w:t>
            </w:r>
            <w:r w:rsidR="00153E2E" w:rsidRPr="00153E2E">
              <w:rPr>
                <w:sz w:val="20"/>
                <w:szCs w:val="20"/>
              </w:rPr>
              <w:t>(HCV positive patients)</w:t>
            </w:r>
          </w:p>
        </w:tc>
        <w:tc>
          <w:tcPr>
            <w:tcW w:w="1635" w:type="dxa"/>
          </w:tcPr>
          <w:p w:rsidR="00153E2E" w:rsidRPr="00153E2E" w:rsidRDefault="00153E2E" w:rsidP="00756A4F">
            <w:pPr>
              <w:ind w:left="0" w:right="0"/>
              <w:rPr>
                <w:sz w:val="20"/>
                <w:szCs w:val="20"/>
              </w:rPr>
            </w:pPr>
            <w:r w:rsidRPr="00153E2E">
              <w:rPr>
                <w:sz w:val="20"/>
                <w:szCs w:val="20"/>
              </w:rPr>
              <w:t>steady state</w:t>
            </w:r>
          </w:p>
        </w:tc>
        <w:tc>
          <w:tcPr>
            <w:tcW w:w="1698" w:type="dxa"/>
          </w:tcPr>
          <w:p w:rsidR="00153E2E" w:rsidRPr="00153E2E" w:rsidRDefault="00153E2E" w:rsidP="00756A4F">
            <w:pPr>
              <w:ind w:left="0" w:right="0"/>
              <w:rPr>
                <w:sz w:val="20"/>
                <w:szCs w:val="20"/>
              </w:rPr>
            </w:pPr>
            <w:r w:rsidRPr="00153E2E">
              <w:rPr>
                <w:sz w:val="20"/>
                <w:szCs w:val="20"/>
              </w:rPr>
              <w:t>[100</w:t>
            </w:r>
            <w:r w:rsidR="00A82FA1">
              <w:rPr>
                <w:sz w:val="20"/>
                <w:szCs w:val="20"/>
              </w:rPr>
              <w:t xml:space="preserve"> mg</w:t>
            </w:r>
            <w:r w:rsidRPr="00153E2E">
              <w:rPr>
                <w:sz w:val="20"/>
                <w:szCs w:val="20"/>
              </w:rPr>
              <w:t>]</w:t>
            </w:r>
          </w:p>
        </w:tc>
        <w:tc>
          <w:tcPr>
            <w:tcW w:w="1601" w:type="dxa"/>
          </w:tcPr>
          <w:p w:rsidR="00153E2E" w:rsidRPr="00153E2E" w:rsidRDefault="00153E2E" w:rsidP="00756A4F">
            <w:pPr>
              <w:ind w:left="0" w:right="0"/>
              <w:rPr>
                <w:sz w:val="20"/>
                <w:szCs w:val="20"/>
              </w:rPr>
            </w:pPr>
            <w:r w:rsidRPr="00153E2E">
              <w:rPr>
                <w:sz w:val="20"/>
                <w:szCs w:val="20"/>
              </w:rPr>
              <w:t>2967</w:t>
            </w:r>
          </w:p>
        </w:tc>
        <w:tc>
          <w:tcPr>
            <w:tcW w:w="1601" w:type="dxa"/>
          </w:tcPr>
          <w:p w:rsidR="00153E2E" w:rsidRPr="00153E2E" w:rsidRDefault="00153E2E" w:rsidP="00756A4F">
            <w:pPr>
              <w:ind w:left="0" w:right="0"/>
              <w:rPr>
                <w:sz w:val="20"/>
                <w:szCs w:val="20"/>
              </w:rPr>
            </w:pPr>
            <w:r w:rsidRPr="00153E2E">
              <w:rPr>
                <w:sz w:val="20"/>
                <w:szCs w:val="20"/>
              </w:rPr>
              <w:t>–</w:t>
            </w:r>
          </w:p>
        </w:tc>
      </w:tr>
    </w:tbl>
    <w:p w:rsidR="000D4647" w:rsidRDefault="00153E2E" w:rsidP="00153E2E">
      <w:pPr>
        <w:pStyle w:val="TableDescription"/>
      </w:pPr>
      <w:r w:rsidRPr="00EB69F1">
        <w:rPr>
          <w:position w:val="-2"/>
          <w:vertAlign w:val="superscript"/>
        </w:rPr>
        <w:t>#</w:t>
      </w:r>
      <w:r w:rsidRPr="00EB69F1">
        <w:t xml:space="preserve"> = animal:</w:t>
      </w:r>
      <w:r w:rsidR="00BE0146">
        <w:t xml:space="preserve"> </w:t>
      </w:r>
      <w:r w:rsidRPr="00EB69F1">
        <w:t xml:space="preserve">human plasma </w:t>
      </w:r>
      <w:r w:rsidR="006F35F9" w:rsidRPr="001637F4">
        <w:t>AUC</w:t>
      </w:r>
      <w:r w:rsidR="006F35F9" w:rsidRPr="006F35F9">
        <w:rPr>
          <w:vertAlign w:val="subscript"/>
        </w:rPr>
        <w:t>0–24 h</w:t>
      </w:r>
    </w:p>
    <w:p w:rsidR="000D4647" w:rsidRDefault="00153E2E" w:rsidP="00153E2E">
      <w:r w:rsidRPr="00153E2E">
        <w:t>The level of the relative exposure achieved in the studies was modest and variable</w:t>
      </w:r>
      <w:r w:rsidR="007419D9">
        <w:t>.</w:t>
      </w:r>
    </w:p>
    <w:p w:rsidR="000D4647" w:rsidRDefault="00153E2E" w:rsidP="00153E2E">
      <w:r w:rsidRPr="00153E2E">
        <w:t>Placental transfer was not evident but excretion in milk was demonstrated in lactating rats.</w:t>
      </w:r>
    </w:p>
    <w:p w:rsidR="000D4647" w:rsidRDefault="00153E2E" w:rsidP="00153E2E">
      <w:proofErr w:type="spellStart"/>
      <w:r w:rsidRPr="00153E2E">
        <w:t>Velpatasvir</w:t>
      </w:r>
      <w:proofErr w:type="spellEnd"/>
      <w:r w:rsidRPr="00153E2E">
        <w:t xml:space="preserve"> had no effects on fertility in rats, </w:t>
      </w:r>
      <w:proofErr w:type="spellStart"/>
      <w:r w:rsidRPr="00153E2E">
        <w:t>embryofetal</w:t>
      </w:r>
      <w:proofErr w:type="spellEnd"/>
      <w:r w:rsidRPr="00153E2E">
        <w:t xml:space="preserve"> development in mice, rats or rabbits or on pre-postnatal development in rats.</w:t>
      </w:r>
    </w:p>
    <w:p w:rsidR="000D4647" w:rsidRDefault="00153E2E" w:rsidP="00153E2E">
      <w:pPr>
        <w:pStyle w:val="Heading5"/>
      </w:pPr>
      <w:r w:rsidRPr="00153E2E">
        <w:t>Pregnancy classification</w:t>
      </w:r>
    </w:p>
    <w:p w:rsidR="000D4647" w:rsidRDefault="00153E2E" w:rsidP="00153E2E">
      <w:r w:rsidRPr="00153E2E">
        <w:t>The sponsor has proposed Pregnancy Category B1</w:t>
      </w:r>
      <w:r>
        <w:rPr>
          <w:rStyle w:val="FootnoteReference"/>
        </w:rPr>
        <w:footnoteReference w:id="3"/>
      </w:r>
      <w:r w:rsidRPr="00153E2E">
        <w:t xml:space="preserve"> for </w:t>
      </w:r>
      <w:proofErr w:type="spellStart"/>
      <w:r w:rsidRPr="00153E2E">
        <w:t>Epclusa</w:t>
      </w:r>
      <w:proofErr w:type="spellEnd"/>
      <w:r w:rsidRPr="00153E2E">
        <w:t xml:space="preserve">. This category is appropriate for </w:t>
      </w:r>
      <w:proofErr w:type="spellStart"/>
      <w:r w:rsidRPr="00153E2E">
        <w:t>velpatasvir</w:t>
      </w:r>
      <w:proofErr w:type="spellEnd"/>
      <w:r w:rsidRPr="00153E2E">
        <w:t>.</w:t>
      </w:r>
      <w:r w:rsidR="00F044A6">
        <w:t xml:space="preserve"> </w:t>
      </w:r>
      <w:r w:rsidRPr="00153E2E">
        <w:t xml:space="preserve">There are no studies on the effects of </w:t>
      </w:r>
      <w:proofErr w:type="spellStart"/>
      <w:r w:rsidRPr="00153E2E">
        <w:t>velpatasvir</w:t>
      </w:r>
      <w:proofErr w:type="spellEnd"/>
      <w:r w:rsidRPr="00153E2E">
        <w:t xml:space="preserve"> and </w:t>
      </w:r>
      <w:proofErr w:type="spellStart"/>
      <w:r w:rsidRPr="00153E2E">
        <w:lastRenderedPageBreak/>
        <w:t>sofosbuvir</w:t>
      </w:r>
      <w:proofErr w:type="spellEnd"/>
      <w:r w:rsidRPr="00153E2E">
        <w:t xml:space="preserve"> in combination on reproduction. When </w:t>
      </w:r>
      <w:proofErr w:type="spellStart"/>
      <w:r w:rsidRPr="00153E2E">
        <w:t>Epclusa</w:t>
      </w:r>
      <w:proofErr w:type="spellEnd"/>
      <w:r w:rsidRPr="00153E2E">
        <w:t xml:space="preserve"> is used </w:t>
      </w:r>
      <w:r w:rsidR="006F35F9">
        <w:t>in combination with ribavirin, C</w:t>
      </w:r>
      <w:r w:rsidRPr="00153E2E">
        <w:t>ategory X</w:t>
      </w:r>
      <w:r w:rsidR="006F35F9">
        <w:rPr>
          <w:rStyle w:val="FootnoteReference"/>
        </w:rPr>
        <w:footnoteReference w:id="4"/>
      </w:r>
      <w:r w:rsidRPr="00153E2E">
        <w:t xml:space="preserve"> is applicable.</w:t>
      </w:r>
    </w:p>
    <w:p w:rsidR="000D4647" w:rsidRDefault="006F35F9" w:rsidP="00153E2E">
      <w:pPr>
        <w:pStyle w:val="Heading5"/>
      </w:pPr>
      <w:r>
        <w:t>Local tolerance</w:t>
      </w:r>
    </w:p>
    <w:p w:rsidR="000D4647" w:rsidRDefault="00153E2E" w:rsidP="00153E2E">
      <w:proofErr w:type="spellStart"/>
      <w:r w:rsidRPr="00153E2E">
        <w:t>Velpatasvir</w:t>
      </w:r>
      <w:proofErr w:type="spellEnd"/>
      <w:r w:rsidRPr="00153E2E">
        <w:t xml:space="preserve"> was classified as non-irritant to skin and showed no potential as a skin sensitizer.</w:t>
      </w:r>
      <w:r w:rsidR="00F044A6">
        <w:t xml:space="preserve"> </w:t>
      </w:r>
      <w:proofErr w:type="spellStart"/>
      <w:r w:rsidRPr="00153E2E">
        <w:t>Velpatasvir</w:t>
      </w:r>
      <w:proofErr w:type="spellEnd"/>
      <w:r w:rsidRPr="00153E2E">
        <w:t xml:space="preserve"> was not a severe eye irritant in the </w:t>
      </w:r>
      <w:r w:rsidR="00046854" w:rsidRPr="00046854">
        <w:t xml:space="preserve">Bovine Cornea Opacity/Permeability test (BCOP) </w:t>
      </w:r>
      <w:r w:rsidRPr="00046854">
        <w:t>assay</w:t>
      </w:r>
      <w:r w:rsidRPr="00153E2E">
        <w:t xml:space="preserve"> but the possibility of some effect on eyes could not be ruled out</w:t>
      </w:r>
      <w:r w:rsidR="007419D9">
        <w:t>.</w:t>
      </w:r>
    </w:p>
    <w:p w:rsidR="000D4647" w:rsidRDefault="00153E2E" w:rsidP="00153E2E">
      <w:pPr>
        <w:pStyle w:val="Heading5"/>
      </w:pPr>
      <w:proofErr w:type="spellStart"/>
      <w:r w:rsidRPr="00153E2E">
        <w:t>Phototoxicity</w:t>
      </w:r>
      <w:proofErr w:type="spellEnd"/>
    </w:p>
    <w:p w:rsidR="000D4647" w:rsidRDefault="00153E2E" w:rsidP="00153E2E">
      <w:proofErr w:type="spellStart"/>
      <w:r w:rsidRPr="00153E2E">
        <w:t>Velpatasvir</w:t>
      </w:r>
      <w:proofErr w:type="spellEnd"/>
      <w:r w:rsidRPr="00153E2E">
        <w:t xml:space="preserve"> demonstrated phototoxic potential in the </w:t>
      </w:r>
      <w:proofErr w:type="spellStart"/>
      <w:r w:rsidRPr="00153E2E">
        <w:t>Balb</w:t>
      </w:r>
      <w:proofErr w:type="spellEnd"/>
      <w:r w:rsidRPr="00153E2E">
        <w:t xml:space="preserve">/c 3T3 neutral red uptake assay in vitro, however no </w:t>
      </w:r>
      <w:proofErr w:type="spellStart"/>
      <w:r w:rsidRPr="00153E2E">
        <w:t>phototoxicity</w:t>
      </w:r>
      <w:proofErr w:type="spellEnd"/>
      <w:r w:rsidRPr="00153E2E">
        <w:t xml:space="preserve"> was observed in a multiple dose </w:t>
      </w:r>
      <w:proofErr w:type="spellStart"/>
      <w:r w:rsidRPr="00153E2E">
        <w:t>photo</w:t>
      </w:r>
      <w:r w:rsidR="006F35F9">
        <w:t>to</w:t>
      </w:r>
      <w:r w:rsidRPr="00153E2E">
        <w:t>xicity</w:t>
      </w:r>
      <w:proofErr w:type="spellEnd"/>
      <w:r w:rsidRPr="00153E2E">
        <w:t xml:space="preserve"> study in Long-Evans pigmented rats at oral doses up to 200</w:t>
      </w:r>
      <w:r w:rsidR="00A82FA1">
        <w:t xml:space="preserve"> mg</w:t>
      </w:r>
      <w:r w:rsidRPr="00153E2E">
        <w:t xml:space="preserve">/kg/day, hence no further </w:t>
      </w:r>
      <w:proofErr w:type="spellStart"/>
      <w:r w:rsidR="006F35F9" w:rsidRPr="00153E2E">
        <w:t>phototoxicity</w:t>
      </w:r>
      <w:proofErr w:type="spellEnd"/>
      <w:r w:rsidRPr="00153E2E">
        <w:t xml:space="preserve"> testing was warranted</w:t>
      </w:r>
      <w:r w:rsidRPr="006F35F9">
        <w:rPr>
          <w:vertAlign w:val="superscript"/>
        </w:rPr>
        <w:footnoteReference w:id="5"/>
      </w:r>
      <w:r w:rsidRPr="00153E2E">
        <w:t>.</w:t>
      </w:r>
    </w:p>
    <w:p w:rsidR="000D4647" w:rsidRDefault="00153E2E" w:rsidP="00153E2E">
      <w:pPr>
        <w:pStyle w:val="Heading4"/>
      </w:pPr>
      <w:r w:rsidRPr="00153E2E">
        <w:t>Impurities</w:t>
      </w:r>
    </w:p>
    <w:p w:rsidR="000D4647" w:rsidRDefault="00153E2E" w:rsidP="00153E2E">
      <w:r w:rsidRPr="00153E2E">
        <w:t xml:space="preserve">The qualification of impurities was assessed and the details </w:t>
      </w:r>
      <w:r w:rsidR="006F35F9">
        <w:t>were provided</w:t>
      </w:r>
      <w:r w:rsidRPr="00153E2E">
        <w:t>.</w:t>
      </w:r>
    </w:p>
    <w:p w:rsidR="000D4647" w:rsidRDefault="00153E2E" w:rsidP="006F35F9">
      <w:pPr>
        <w:pStyle w:val="Heading4"/>
      </w:pPr>
      <w:r w:rsidRPr="00153E2E">
        <w:t>Paediatric use</w:t>
      </w:r>
    </w:p>
    <w:p w:rsidR="000D4647" w:rsidRDefault="00153E2E" w:rsidP="00153E2E">
      <w:proofErr w:type="spellStart"/>
      <w:r w:rsidRPr="00153E2E">
        <w:t>Velpatasvir</w:t>
      </w:r>
      <w:proofErr w:type="spellEnd"/>
      <w:r w:rsidRPr="00153E2E">
        <w:t xml:space="preserve"> is not proposed for paediatric use and no specific studies in juvenile animals were submitted.</w:t>
      </w:r>
    </w:p>
    <w:p w:rsidR="000D4647" w:rsidRDefault="008E7846" w:rsidP="008E7846">
      <w:pPr>
        <w:pStyle w:val="Heading3"/>
      </w:pPr>
      <w:bookmarkStart w:id="58" w:name="_Toc247691515"/>
      <w:bookmarkStart w:id="59" w:name="_Toc314842499"/>
      <w:bookmarkStart w:id="60" w:name="_Toc498681442"/>
      <w:r>
        <w:t>Nonclinical summary and conclusions</w:t>
      </w:r>
      <w:bookmarkEnd w:id="58"/>
      <w:bookmarkEnd w:id="59"/>
      <w:bookmarkEnd w:id="60"/>
    </w:p>
    <w:p w:rsidR="000D4647" w:rsidRDefault="001637F4" w:rsidP="001637F4">
      <w:pPr>
        <w:pStyle w:val="ListBullet"/>
      </w:pPr>
      <w:r w:rsidRPr="00C715B1">
        <w:t xml:space="preserve">The overall quality of the </w:t>
      </w:r>
      <w:r w:rsidR="006F35F9">
        <w:t>nonclinical</w:t>
      </w:r>
      <w:r w:rsidRPr="00C715B1">
        <w:t xml:space="preserve"> dossier was good with all pivotal studies conducted accord</w:t>
      </w:r>
      <w:r>
        <w:t>ing to GLP</w:t>
      </w:r>
      <w:r w:rsidR="006F35F9">
        <w:t>.</w:t>
      </w:r>
    </w:p>
    <w:p w:rsidR="000D4647" w:rsidRDefault="001637F4" w:rsidP="001637F4">
      <w:pPr>
        <w:pStyle w:val="ListBullet"/>
        <w:rPr>
          <w:color w:val="000000" w:themeColor="text1"/>
        </w:rPr>
      </w:pPr>
      <w:r w:rsidRPr="00302E35">
        <w:t xml:space="preserve">Primary pharmacology studies were conducted </w:t>
      </w:r>
      <w:r w:rsidRPr="006F35F9">
        <w:t>entirely in vitro using</w:t>
      </w:r>
      <w:r>
        <w:t xml:space="preserve"> HCV </w:t>
      </w:r>
      <w:r w:rsidRPr="00302E35">
        <w:t>replicons</w:t>
      </w:r>
      <w:r>
        <w:t xml:space="preserve">, including chimeric replicons carrying NS5A from clinical isolates. </w:t>
      </w:r>
      <w:proofErr w:type="spellStart"/>
      <w:r w:rsidRPr="00302E35">
        <w:t>Velpatasvir</w:t>
      </w:r>
      <w:proofErr w:type="spellEnd"/>
      <w:r w:rsidRPr="00302E35">
        <w:t xml:space="preserve"> showed the greatest potency against GT 1a but was active against all genotypes tested:</w:t>
      </w:r>
      <w:r w:rsidR="00F044A6">
        <w:t xml:space="preserve"> </w:t>
      </w:r>
      <w:r w:rsidRPr="00302E35">
        <w:t>GT 1a and 1b, GT 2 (8 subtypes)</w:t>
      </w:r>
      <w:r>
        <w:t>,</w:t>
      </w:r>
      <w:r w:rsidRPr="00302E35">
        <w:t xml:space="preserve"> GT 3 (3 subtypes), GT 4 (10 subtypes)</w:t>
      </w:r>
      <w:r>
        <w:t>,</w:t>
      </w:r>
      <w:r w:rsidR="006F35F9">
        <w:t xml:space="preserve"> GT 5a and GT 6 (8 </w:t>
      </w:r>
      <w:r w:rsidRPr="00302E35">
        <w:t>subtypes</w:t>
      </w:r>
      <w:r w:rsidRPr="0028622C">
        <w:rPr>
          <w:color w:val="000000" w:themeColor="text1"/>
        </w:rPr>
        <w:t xml:space="preserve">). </w:t>
      </w:r>
      <w:r>
        <w:rPr>
          <w:color w:val="000000" w:themeColor="text1"/>
        </w:rPr>
        <w:t>It was unaffected by common anti-HIV drugs,</w:t>
      </w:r>
      <w:r w:rsidRPr="001911B1">
        <w:rPr>
          <w:color w:val="000000" w:themeColor="text1"/>
        </w:rPr>
        <w:t xml:space="preserve"> </w:t>
      </w:r>
      <w:r>
        <w:rPr>
          <w:color w:val="000000" w:themeColor="text1"/>
        </w:rPr>
        <w:t xml:space="preserve">and had no effect on the activity of common anti-HIV drugs in MT4 cells. </w:t>
      </w:r>
      <w:proofErr w:type="spellStart"/>
      <w:r>
        <w:rPr>
          <w:color w:val="000000" w:themeColor="text1"/>
        </w:rPr>
        <w:t>Velpatasvir</w:t>
      </w:r>
      <w:proofErr w:type="spellEnd"/>
      <w:r w:rsidRPr="0028622C">
        <w:rPr>
          <w:color w:val="000000" w:themeColor="text1"/>
        </w:rPr>
        <w:t xml:space="preserve"> activity </w:t>
      </w:r>
      <w:r>
        <w:rPr>
          <w:color w:val="000000" w:themeColor="text1"/>
        </w:rPr>
        <w:t xml:space="preserve">against HCV genotype 1a </w:t>
      </w:r>
      <w:r w:rsidRPr="0028622C">
        <w:rPr>
          <w:color w:val="000000" w:themeColor="text1"/>
        </w:rPr>
        <w:t xml:space="preserve">was reduced </w:t>
      </w:r>
      <w:r w:rsidR="006F35F9">
        <w:rPr>
          <w:color w:val="000000" w:themeColor="text1"/>
        </w:rPr>
        <w:t xml:space="preserve">13.3 </w:t>
      </w:r>
      <w:r>
        <w:rPr>
          <w:color w:val="000000" w:themeColor="text1"/>
        </w:rPr>
        <w:t xml:space="preserve">fold in 40% human serum. </w:t>
      </w:r>
      <w:proofErr w:type="spellStart"/>
      <w:r>
        <w:rPr>
          <w:color w:val="000000" w:themeColor="text1"/>
        </w:rPr>
        <w:t>Velpatasvir</w:t>
      </w:r>
      <w:proofErr w:type="spellEnd"/>
      <w:r>
        <w:rPr>
          <w:color w:val="000000" w:themeColor="text1"/>
        </w:rPr>
        <w:t xml:space="preserve"> showed no activity against BVDV, HIV-1, RSV, or HBV.</w:t>
      </w:r>
    </w:p>
    <w:p w:rsidR="000D4647" w:rsidRDefault="006F35F9" w:rsidP="001637F4">
      <w:pPr>
        <w:pStyle w:val="ListBullet"/>
        <w:rPr>
          <w:color w:val="000000" w:themeColor="text1"/>
        </w:rPr>
      </w:pPr>
      <w:r>
        <w:rPr>
          <w:color w:val="000000" w:themeColor="text1"/>
        </w:rPr>
        <w:t xml:space="preserve">Genotype 1 to </w:t>
      </w:r>
      <w:r w:rsidR="001637F4">
        <w:rPr>
          <w:color w:val="000000" w:themeColor="text1"/>
        </w:rPr>
        <w:t xml:space="preserve">6 replicon resistance selection assays identified </w:t>
      </w:r>
      <w:proofErr w:type="spellStart"/>
      <w:r w:rsidR="001637F4">
        <w:rPr>
          <w:color w:val="000000" w:themeColor="text1"/>
        </w:rPr>
        <w:t>velpatasvir</w:t>
      </w:r>
      <w:proofErr w:type="spellEnd"/>
      <w:r w:rsidR="001637F4">
        <w:rPr>
          <w:color w:val="000000" w:themeColor="text1"/>
        </w:rPr>
        <w:t xml:space="preserve"> </w:t>
      </w:r>
      <w:r w:rsidR="00046854">
        <w:rPr>
          <w:color w:val="000000" w:themeColor="text1"/>
        </w:rPr>
        <w:t>resistance associated variants (</w:t>
      </w:r>
      <w:r w:rsidR="001637F4">
        <w:rPr>
          <w:color w:val="000000" w:themeColor="text1"/>
        </w:rPr>
        <w:t>RAVs</w:t>
      </w:r>
      <w:r w:rsidR="00046854">
        <w:rPr>
          <w:color w:val="000000" w:themeColor="text1"/>
        </w:rPr>
        <w:t>)</w:t>
      </w:r>
      <w:r w:rsidR="001637F4">
        <w:rPr>
          <w:color w:val="000000" w:themeColor="text1"/>
        </w:rPr>
        <w:t xml:space="preserve"> at positions 24, 28, 31, 32, 58, 92 and 93, most commonly at positions 28, 31, and 93. There was both overlapping and non-overlapping resistance amongst genotypes 1-6. The Y93H variant conferred high-level resistance (</w:t>
      </w:r>
      <w:r w:rsidR="00F044A6">
        <w:rPr>
          <w:color w:val="000000" w:themeColor="text1"/>
        </w:rPr>
        <w:t xml:space="preserve">&gt; </w:t>
      </w:r>
      <w:r w:rsidR="001637F4">
        <w:rPr>
          <w:color w:val="000000" w:themeColor="text1"/>
        </w:rPr>
        <w:t>100</w:t>
      </w:r>
      <w:r>
        <w:rPr>
          <w:color w:val="000000" w:themeColor="text1"/>
        </w:rPr>
        <w:t xml:space="preserve"> fold</w:t>
      </w:r>
      <w:r w:rsidR="001637F4">
        <w:rPr>
          <w:color w:val="000000" w:themeColor="text1"/>
        </w:rPr>
        <w:t xml:space="preserve"> EC</w:t>
      </w:r>
      <w:r w:rsidR="001637F4" w:rsidRPr="00175F0E">
        <w:rPr>
          <w:color w:val="000000" w:themeColor="text1"/>
          <w:vertAlign w:val="subscript"/>
        </w:rPr>
        <w:t>50</w:t>
      </w:r>
      <w:r w:rsidR="001637F4">
        <w:rPr>
          <w:color w:val="000000" w:themeColor="text1"/>
        </w:rPr>
        <w:t xml:space="preserve"> increase) in genotypes 1a, 2b and 3a</w:t>
      </w:r>
      <w:r>
        <w:rPr>
          <w:color w:val="000000" w:themeColor="text1"/>
        </w:rPr>
        <w:t>.</w:t>
      </w:r>
    </w:p>
    <w:p w:rsidR="000D4647" w:rsidRDefault="001637F4" w:rsidP="001637F4">
      <w:pPr>
        <w:pStyle w:val="ListBullet"/>
        <w:rPr>
          <w:color w:val="000000" w:themeColor="text1"/>
        </w:rPr>
      </w:pPr>
      <w:r>
        <w:rPr>
          <w:color w:val="000000" w:themeColor="text1"/>
        </w:rPr>
        <w:t xml:space="preserve">The majority of NS5A </w:t>
      </w:r>
      <w:r w:rsidR="00046854">
        <w:rPr>
          <w:color w:val="000000" w:themeColor="text1"/>
        </w:rPr>
        <w:t>RAVs</w:t>
      </w:r>
      <w:r>
        <w:rPr>
          <w:color w:val="000000" w:themeColor="text1"/>
        </w:rPr>
        <w:t xml:space="preserve"> conferring resistance to </w:t>
      </w:r>
      <w:proofErr w:type="spellStart"/>
      <w:r>
        <w:rPr>
          <w:color w:val="000000" w:themeColor="text1"/>
        </w:rPr>
        <w:t>ledipasvir</w:t>
      </w:r>
      <w:proofErr w:type="spellEnd"/>
      <w:r>
        <w:rPr>
          <w:color w:val="000000" w:themeColor="text1"/>
        </w:rPr>
        <w:t xml:space="preserve"> and </w:t>
      </w:r>
      <w:proofErr w:type="spellStart"/>
      <w:r>
        <w:rPr>
          <w:color w:val="000000" w:themeColor="text1"/>
        </w:rPr>
        <w:t>daclatasvir</w:t>
      </w:r>
      <w:proofErr w:type="spellEnd"/>
      <w:r>
        <w:rPr>
          <w:color w:val="000000" w:themeColor="text1"/>
        </w:rPr>
        <w:t xml:space="preserve"> remained susceptible to </w:t>
      </w:r>
      <w:proofErr w:type="spellStart"/>
      <w:r>
        <w:rPr>
          <w:color w:val="000000" w:themeColor="text1"/>
        </w:rPr>
        <w:t>velpatasvir</w:t>
      </w:r>
      <w:proofErr w:type="spellEnd"/>
      <w:r>
        <w:rPr>
          <w:color w:val="000000" w:themeColor="text1"/>
        </w:rPr>
        <w:t xml:space="preserve">. </w:t>
      </w:r>
      <w:proofErr w:type="spellStart"/>
      <w:r>
        <w:rPr>
          <w:color w:val="000000" w:themeColor="text1"/>
        </w:rPr>
        <w:t>Velpatasvir</w:t>
      </w:r>
      <w:proofErr w:type="spellEnd"/>
      <w:r>
        <w:rPr>
          <w:color w:val="000000" w:themeColor="text1"/>
        </w:rPr>
        <w:t xml:space="preserve"> showed additivity or minor synergism in combination with </w:t>
      </w:r>
      <w:proofErr w:type="spellStart"/>
      <w:r>
        <w:rPr>
          <w:color w:val="000000" w:themeColor="text1"/>
        </w:rPr>
        <w:t>sofosbuvir</w:t>
      </w:r>
      <w:proofErr w:type="spellEnd"/>
      <w:r>
        <w:rPr>
          <w:color w:val="000000" w:themeColor="text1"/>
        </w:rPr>
        <w:t xml:space="preserve">, and minor synergism in combination with ribavirin. </w:t>
      </w:r>
      <w:proofErr w:type="spellStart"/>
      <w:r>
        <w:rPr>
          <w:color w:val="000000" w:themeColor="text1"/>
        </w:rPr>
        <w:t>Sofosbuvir</w:t>
      </w:r>
      <w:proofErr w:type="spellEnd"/>
      <w:r>
        <w:rPr>
          <w:color w:val="000000" w:themeColor="text1"/>
        </w:rPr>
        <w:t xml:space="preserve"> and ribavirin retained full activity against NS5A mutants with reduced susceptibility to </w:t>
      </w:r>
      <w:proofErr w:type="spellStart"/>
      <w:r>
        <w:rPr>
          <w:color w:val="000000" w:themeColor="text1"/>
        </w:rPr>
        <w:t>velpatasvir</w:t>
      </w:r>
      <w:proofErr w:type="spellEnd"/>
      <w:r>
        <w:rPr>
          <w:color w:val="000000" w:themeColor="text1"/>
        </w:rPr>
        <w:t xml:space="preserve">, and </w:t>
      </w:r>
      <w:proofErr w:type="spellStart"/>
      <w:r>
        <w:rPr>
          <w:color w:val="000000" w:themeColor="text1"/>
        </w:rPr>
        <w:t>velpatasvir</w:t>
      </w:r>
      <w:proofErr w:type="spellEnd"/>
      <w:r>
        <w:rPr>
          <w:color w:val="000000" w:themeColor="text1"/>
        </w:rPr>
        <w:t xml:space="preserve"> retained full activity against NS3/4A and NS5B RAVs, including the </w:t>
      </w:r>
      <w:proofErr w:type="spellStart"/>
      <w:r>
        <w:rPr>
          <w:color w:val="000000" w:themeColor="text1"/>
        </w:rPr>
        <w:t>sofosbuvir</w:t>
      </w:r>
      <w:proofErr w:type="spellEnd"/>
      <w:r>
        <w:rPr>
          <w:color w:val="000000" w:themeColor="text1"/>
        </w:rPr>
        <w:t xml:space="preserve"> primary resist</w:t>
      </w:r>
      <w:r w:rsidR="006F35F9">
        <w:rPr>
          <w:color w:val="000000" w:themeColor="text1"/>
        </w:rPr>
        <w:t xml:space="preserve">ant mutant S282T in genotypes 1 to </w:t>
      </w:r>
      <w:r>
        <w:rPr>
          <w:color w:val="000000" w:themeColor="text1"/>
        </w:rPr>
        <w:t>6</w:t>
      </w:r>
      <w:r w:rsidR="006F35F9">
        <w:rPr>
          <w:color w:val="000000" w:themeColor="text1"/>
        </w:rPr>
        <w:t>.</w:t>
      </w:r>
    </w:p>
    <w:p w:rsidR="000D4647" w:rsidRDefault="001637F4" w:rsidP="001637F4">
      <w:pPr>
        <w:pStyle w:val="ListBullet"/>
      </w:pPr>
      <w:proofErr w:type="spellStart"/>
      <w:r w:rsidRPr="000907EF">
        <w:lastRenderedPageBreak/>
        <w:t>Velpatasvir</w:t>
      </w:r>
      <w:proofErr w:type="spellEnd"/>
      <w:r w:rsidRPr="000907EF">
        <w:t xml:space="preserve"> had no off-target actions </w:t>
      </w:r>
      <w:r w:rsidRPr="006F35F9">
        <w:t>in vitro</w:t>
      </w:r>
      <w:r w:rsidRPr="000907EF">
        <w:t xml:space="preserve"> that were considered potentially clinically significant</w:t>
      </w:r>
      <w:r w:rsidR="007419D9">
        <w:t>.</w:t>
      </w:r>
    </w:p>
    <w:p w:rsidR="000D4647" w:rsidRDefault="001637F4" w:rsidP="001637F4">
      <w:pPr>
        <w:pStyle w:val="ListBullet"/>
      </w:pPr>
      <w:proofErr w:type="spellStart"/>
      <w:r>
        <w:t>Velpatasvir</w:t>
      </w:r>
      <w:proofErr w:type="spellEnd"/>
      <w:r w:rsidRPr="000907EF">
        <w:t xml:space="preserve"> did not have any notable effects on </w:t>
      </w:r>
      <w:proofErr w:type="gramStart"/>
      <w:r w:rsidRPr="000907EF">
        <w:t>CNS,</w:t>
      </w:r>
      <w:proofErr w:type="gramEnd"/>
      <w:r w:rsidRPr="000907EF">
        <w:t xml:space="preserve"> cardiovascular or respiratory function following oral administration</w:t>
      </w:r>
      <w:r>
        <w:t xml:space="preserve"> at the highest doses tested</w:t>
      </w:r>
      <w:r w:rsidRPr="000907EF">
        <w:t xml:space="preserve"> and had no effects on </w:t>
      </w:r>
      <w:proofErr w:type="spellStart"/>
      <w:r w:rsidRPr="000907EF">
        <w:t>hERG</w:t>
      </w:r>
      <w:proofErr w:type="spellEnd"/>
      <w:r w:rsidRPr="000907EF">
        <w:t xml:space="preserve"> channels </w:t>
      </w:r>
      <w:r w:rsidRPr="006F35F9">
        <w:t>in vitro</w:t>
      </w:r>
      <w:r w:rsidRPr="001A67AA">
        <w:t>.</w:t>
      </w:r>
    </w:p>
    <w:p w:rsidR="000D4647" w:rsidRDefault="001637F4" w:rsidP="001637F4">
      <w:pPr>
        <w:pStyle w:val="ListBullet"/>
      </w:pPr>
      <w:r w:rsidRPr="00167AD5">
        <w:t>Exposu</w:t>
      </w:r>
      <w:r w:rsidR="006F35F9">
        <w:t xml:space="preserve">re was generally less than dose </w:t>
      </w:r>
      <w:r w:rsidRPr="00167AD5">
        <w:t xml:space="preserve">proportional at high doses in all </w:t>
      </w:r>
      <w:r w:rsidRPr="00A0606D">
        <w:t>species</w:t>
      </w:r>
      <w:r>
        <w:t xml:space="preserve"> and this limited the animal:</w:t>
      </w:r>
      <w:r w:rsidR="006F35F9">
        <w:t xml:space="preserve"> </w:t>
      </w:r>
      <w:r>
        <w:t>human exposure ratios achieved.</w:t>
      </w:r>
    </w:p>
    <w:p w:rsidR="000D4647" w:rsidRDefault="001637F4" w:rsidP="001637F4">
      <w:pPr>
        <w:pStyle w:val="ListBullet"/>
      </w:pPr>
      <w:proofErr w:type="spellStart"/>
      <w:r w:rsidRPr="001A67AA">
        <w:t>Velpatasvir</w:t>
      </w:r>
      <w:proofErr w:type="spellEnd"/>
      <w:r w:rsidRPr="001A67AA">
        <w:t xml:space="preserve"> is an inhibitor of drug transporters P-</w:t>
      </w:r>
      <w:proofErr w:type="spellStart"/>
      <w:r w:rsidRPr="001A67AA">
        <w:t>gp</w:t>
      </w:r>
      <w:proofErr w:type="spellEnd"/>
      <w:r w:rsidRPr="001A67AA">
        <w:t>, BCRP and OATP2B1. Based on the estimated maximal intestinal concertation</w:t>
      </w:r>
      <w:r>
        <w:t>,</w:t>
      </w:r>
      <w:r w:rsidRPr="001A67AA">
        <w:t xml:space="preserve"> </w:t>
      </w:r>
      <w:proofErr w:type="spellStart"/>
      <w:r>
        <w:t>velpatasvir</w:t>
      </w:r>
      <w:proofErr w:type="spellEnd"/>
      <w:r>
        <w:t xml:space="preserve"> </w:t>
      </w:r>
      <w:r w:rsidRPr="001A67AA">
        <w:t>may increase intestinal absorption of co-administered drug sub</w:t>
      </w:r>
      <w:r>
        <w:t xml:space="preserve">strates for these transporters. </w:t>
      </w:r>
      <w:proofErr w:type="spellStart"/>
      <w:r>
        <w:t>Velpatasvir</w:t>
      </w:r>
      <w:proofErr w:type="spellEnd"/>
      <w:r>
        <w:t xml:space="preserve"> inhibited hepatic uptake transporters OATP1B1 and OATP1B3 with </w:t>
      </w:r>
      <w:r w:rsidR="000F1723" w:rsidRPr="00B3721D">
        <w:t>IC</w:t>
      </w:r>
      <w:r w:rsidR="000F1723" w:rsidRPr="00B3721D">
        <w:rPr>
          <w:vertAlign w:val="subscript"/>
        </w:rPr>
        <w:t>50</w:t>
      </w:r>
      <w:r>
        <w:t xml:space="preserve"> values in the potential range for concentrations at the hepatic inlet and therefore has the potential to increase circulating concentrations of drug substrates of these transporters.</w:t>
      </w:r>
    </w:p>
    <w:p w:rsidR="000D4647" w:rsidRDefault="001637F4" w:rsidP="001637F4">
      <w:pPr>
        <w:pStyle w:val="ListBullet"/>
      </w:pPr>
      <w:r w:rsidRPr="00C56491">
        <w:t xml:space="preserve">No acute toxicity studies were conducted with </w:t>
      </w:r>
      <w:proofErr w:type="spellStart"/>
      <w:r w:rsidRPr="00C56491">
        <w:t>velpatasvir</w:t>
      </w:r>
      <w:proofErr w:type="spellEnd"/>
      <w:r w:rsidRPr="00C56491">
        <w:t>.</w:t>
      </w:r>
      <w:r w:rsidR="00F044A6">
        <w:t xml:space="preserve"> </w:t>
      </w:r>
      <w:r w:rsidRPr="00C56491">
        <w:t xml:space="preserve">There was no evidence of acute toxicity in any </w:t>
      </w:r>
      <w:r w:rsidR="006F35F9">
        <w:t>repeat dose</w:t>
      </w:r>
      <w:r w:rsidRPr="00C56491">
        <w:t xml:space="preserve"> toxicity studies</w:t>
      </w:r>
      <w:r w:rsidR="007419D9">
        <w:t>.</w:t>
      </w:r>
    </w:p>
    <w:p w:rsidR="000D4647" w:rsidRDefault="001637F4" w:rsidP="001637F4">
      <w:pPr>
        <w:pStyle w:val="ListBullet"/>
      </w:pPr>
      <w:r w:rsidRPr="00F27BE1">
        <w:t xml:space="preserve">No major toxicities were apparent in </w:t>
      </w:r>
      <w:r w:rsidR="006F35F9">
        <w:t>repeat dose</w:t>
      </w:r>
      <w:r w:rsidRPr="00F27BE1">
        <w:t xml:space="preserve"> studies at exposures up to ER</w:t>
      </w:r>
      <w:r w:rsidRPr="00F27BE1">
        <w:rPr>
          <w:vertAlign w:val="subscript"/>
        </w:rPr>
        <w:t>AUC</w:t>
      </w:r>
      <w:r w:rsidRPr="00F27BE1">
        <w:t xml:space="preserve"> 74 (mouse), ER</w:t>
      </w:r>
      <w:r w:rsidRPr="00F27BE1">
        <w:rPr>
          <w:vertAlign w:val="subscript"/>
        </w:rPr>
        <w:t>AUC</w:t>
      </w:r>
      <w:r w:rsidRPr="00F27BE1">
        <w:t xml:space="preserve"> 6 (rat), and ER</w:t>
      </w:r>
      <w:r w:rsidRPr="00F27BE1">
        <w:rPr>
          <w:vertAlign w:val="subscript"/>
        </w:rPr>
        <w:t>AUC</w:t>
      </w:r>
      <w:r w:rsidRPr="00F27BE1">
        <w:t xml:space="preserve"> 9 (dog).</w:t>
      </w:r>
      <w:r w:rsidRPr="00BE253D">
        <w:t xml:space="preserve"> </w:t>
      </w:r>
      <w:r>
        <w:t xml:space="preserve">Adequate justification was provided for the lack of combination toxicity studies with </w:t>
      </w:r>
      <w:proofErr w:type="spellStart"/>
      <w:r>
        <w:t>sofosbuvir</w:t>
      </w:r>
      <w:proofErr w:type="spellEnd"/>
      <w:r>
        <w:t xml:space="preserve"> and </w:t>
      </w:r>
      <w:proofErr w:type="spellStart"/>
      <w:r>
        <w:t>velpatasvir</w:t>
      </w:r>
      <w:proofErr w:type="spellEnd"/>
      <w:r>
        <w:t xml:space="preserve"> (</w:t>
      </w:r>
      <w:proofErr w:type="spellStart"/>
      <w:r w:rsidR="007419D9">
        <w:t>Epclusa</w:t>
      </w:r>
      <w:proofErr w:type="spellEnd"/>
      <w:r>
        <w:t xml:space="preserve">), and </w:t>
      </w:r>
      <w:proofErr w:type="spellStart"/>
      <w:r w:rsidR="007419D9">
        <w:t>Epclusa</w:t>
      </w:r>
      <w:proofErr w:type="spellEnd"/>
      <w:r>
        <w:t xml:space="preserve"> with ribavirin.</w:t>
      </w:r>
    </w:p>
    <w:p w:rsidR="000D4647" w:rsidRDefault="001637F4" w:rsidP="001637F4">
      <w:pPr>
        <w:pStyle w:val="ListBullet"/>
      </w:pPr>
      <w:r>
        <w:t xml:space="preserve">The potential genotoxicity of </w:t>
      </w:r>
      <w:proofErr w:type="spellStart"/>
      <w:r>
        <w:t>velpatasvir</w:t>
      </w:r>
      <w:proofErr w:type="spellEnd"/>
      <w:r>
        <w:t xml:space="preserve"> was investigated in a standard battery of tests.</w:t>
      </w:r>
      <w:r w:rsidR="00F044A6">
        <w:t xml:space="preserve"> </w:t>
      </w:r>
      <w:r>
        <w:t xml:space="preserve">The results were negative in all tests and </w:t>
      </w:r>
      <w:proofErr w:type="spellStart"/>
      <w:r>
        <w:t>velpatasvir</w:t>
      </w:r>
      <w:proofErr w:type="spellEnd"/>
      <w:r>
        <w:t xml:space="preserve"> is unlikely to pose a mutagenic or </w:t>
      </w:r>
      <w:proofErr w:type="spellStart"/>
      <w:r>
        <w:t>clastogenic</w:t>
      </w:r>
      <w:proofErr w:type="spellEnd"/>
      <w:r>
        <w:t xml:space="preserve"> risk to humans.</w:t>
      </w:r>
      <w:r w:rsidR="00F044A6">
        <w:t xml:space="preserve"> </w:t>
      </w:r>
      <w:r>
        <w:t xml:space="preserve">No carcinogenicity studies with </w:t>
      </w:r>
      <w:proofErr w:type="spellStart"/>
      <w:r>
        <w:t>velpatasvir</w:t>
      </w:r>
      <w:proofErr w:type="spellEnd"/>
      <w:r>
        <w:t xml:space="preserve"> were submitted but the sponsor </w:t>
      </w:r>
      <w:r w:rsidRPr="0068565A">
        <w:t>indicated that long-term studies on mice and rats are on-going.</w:t>
      </w:r>
    </w:p>
    <w:p w:rsidR="000D4647" w:rsidRDefault="001637F4" w:rsidP="001637F4">
      <w:pPr>
        <w:pStyle w:val="ListBullet"/>
      </w:pPr>
      <w:proofErr w:type="spellStart"/>
      <w:r w:rsidRPr="0068565A">
        <w:t>Velpatasvir</w:t>
      </w:r>
      <w:proofErr w:type="spellEnd"/>
      <w:r w:rsidRPr="0068565A">
        <w:t xml:space="preserve"> had no effects on fertility, </w:t>
      </w:r>
      <w:proofErr w:type="spellStart"/>
      <w:r w:rsidRPr="0068565A">
        <w:t>embryofetal</w:t>
      </w:r>
      <w:proofErr w:type="spellEnd"/>
      <w:r w:rsidRPr="0068565A">
        <w:t xml:space="preserve"> or post-natal development in rats or on </w:t>
      </w:r>
      <w:proofErr w:type="spellStart"/>
      <w:r w:rsidRPr="0068565A">
        <w:t>embryofetal</w:t>
      </w:r>
      <w:proofErr w:type="spellEnd"/>
      <w:r w:rsidRPr="0068565A">
        <w:t xml:space="preserve"> development in mice or rabbits.</w:t>
      </w:r>
    </w:p>
    <w:p w:rsidR="000D4647" w:rsidRDefault="001637F4" w:rsidP="001637F4">
      <w:pPr>
        <w:pStyle w:val="ListBullet"/>
        <w:rPr>
          <w:szCs w:val="20"/>
        </w:rPr>
      </w:pPr>
      <w:proofErr w:type="spellStart"/>
      <w:r w:rsidRPr="0068565A">
        <w:t>Velpatasvir</w:t>
      </w:r>
      <w:proofErr w:type="spellEnd"/>
      <w:r w:rsidRPr="0068565A">
        <w:t xml:space="preserve"> did not produce skin irritation and was not </w:t>
      </w:r>
      <w:r w:rsidRPr="0068565A">
        <w:rPr>
          <w:szCs w:val="20"/>
        </w:rPr>
        <w:t>a severe eye irritant</w:t>
      </w:r>
      <w:r w:rsidR="006F35F9">
        <w:rPr>
          <w:szCs w:val="20"/>
        </w:rPr>
        <w:t>.</w:t>
      </w:r>
    </w:p>
    <w:p w:rsidR="000D4647" w:rsidRDefault="001637F4" w:rsidP="001637F4">
      <w:pPr>
        <w:pStyle w:val="ListBullet"/>
      </w:pPr>
      <w:proofErr w:type="spellStart"/>
      <w:r>
        <w:t>Velpatasvir</w:t>
      </w:r>
      <w:proofErr w:type="spellEnd"/>
      <w:r>
        <w:t xml:space="preserve"> was positive in an </w:t>
      </w:r>
      <w:r w:rsidRPr="006F35F9">
        <w:t>in vitro</w:t>
      </w:r>
      <w:r>
        <w:t xml:space="preserve"> </w:t>
      </w:r>
      <w:proofErr w:type="spellStart"/>
      <w:r>
        <w:t>photo</w:t>
      </w:r>
      <w:r w:rsidR="006F35F9">
        <w:t>to</w:t>
      </w:r>
      <w:r>
        <w:t>xicity</w:t>
      </w:r>
      <w:proofErr w:type="spellEnd"/>
      <w:r>
        <w:t xml:space="preserve"> study, but was negative </w:t>
      </w:r>
      <w:r w:rsidRPr="006F35F9">
        <w:t>in vivo</w:t>
      </w:r>
      <w:r>
        <w:t xml:space="preserve"> in Long-Evans rats.</w:t>
      </w:r>
    </w:p>
    <w:p w:rsidR="000D4647" w:rsidRDefault="001637F4" w:rsidP="001637F4">
      <w:pPr>
        <w:pStyle w:val="Heading4"/>
      </w:pPr>
      <w:bookmarkStart w:id="61" w:name="_Toc294861479"/>
      <w:bookmarkStart w:id="62" w:name="_Toc295290862"/>
      <w:bookmarkStart w:id="63" w:name="_Toc454874919"/>
      <w:r w:rsidRPr="001637F4">
        <w:t>Conclusions and recommendation</w:t>
      </w:r>
      <w:bookmarkEnd w:id="61"/>
      <w:bookmarkEnd w:id="62"/>
      <w:bookmarkEnd w:id="63"/>
    </w:p>
    <w:p w:rsidR="000D4647" w:rsidRDefault="001637F4" w:rsidP="001637F4">
      <w:pPr>
        <w:pStyle w:val="ListBullet"/>
      </w:pPr>
      <w:r w:rsidRPr="00FF2A45">
        <w:t xml:space="preserve">There are no major </w:t>
      </w:r>
      <w:r>
        <w:t xml:space="preserve">nonclinical </w:t>
      </w:r>
      <w:r w:rsidRPr="00FF2A45">
        <w:t>d</w:t>
      </w:r>
      <w:r>
        <w:t>eficiencies</w:t>
      </w:r>
      <w:r w:rsidRPr="00FF2A45">
        <w:t>.</w:t>
      </w:r>
    </w:p>
    <w:p w:rsidR="000D4647" w:rsidRDefault="001637F4" w:rsidP="001637F4">
      <w:pPr>
        <w:pStyle w:val="ListBullet"/>
      </w:pPr>
      <w:r w:rsidRPr="006C32AC">
        <w:t>Primary pharmacology studies established anti-</w:t>
      </w:r>
      <w:r w:rsidRPr="006C32AC">
        <w:rPr>
          <w:szCs w:val="18"/>
        </w:rPr>
        <w:t xml:space="preserve">HCV activity </w:t>
      </w:r>
      <w:r w:rsidRPr="0009373D">
        <w:rPr>
          <w:i/>
          <w:szCs w:val="18"/>
        </w:rPr>
        <w:t>in-vitro</w:t>
      </w:r>
      <w:r>
        <w:rPr>
          <w:szCs w:val="18"/>
        </w:rPr>
        <w:t xml:space="preserve"> </w:t>
      </w:r>
      <w:r w:rsidRPr="006C32AC">
        <w:rPr>
          <w:szCs w:val="18"/>
        </w:rPr>
        <w:t>against HCV genotypes</w:t>
      </w:r>
      <w:r w:rsidR="006F35F9">
        <w:rPr>
          <w:szCs w:val="18"/>
        </w:rPr>
        <w:t xml:space="preserve"> 1 to </w:t>
      </w:r>
      <w:r>
        <w:rPr>
          <w:szCs w:val="18"/>
        </w:rPr>
        <w:t>6.</w:t>
      </w:r>
    </w:p>
    <w:p w:rsidR="000D4647" w:rsidRDefault="001637F4" w:rsidP="001637F4">
      <w:pPr>
        <w:pStyle w:val="ListBullet"/>
      </w:pPr>
      <w:r w:rsidRPr="006C32AC">
        <w:t>No clinically relevant hazards were identified in safety studies.</w:t>
      </w:r>
    </w:p>
    <w:p w:rsidR="000D4647" w:rsidRDefault="001637F4" w:rsidP="001637F4">
      <w:pPr>
        <w:pStyle w:val="ListBullet"/>
      </w:pPr>
      <w:proofErr w:type="spellStart"/>
      <w:r w:rsidRPr="001A67AA">
        <w:t>Velpatasvir</w:t>
      </w:r>
      <w:proofErr w:type="spellEnd"/>
      <w:r w:rsidRPr="001A67AA">
        <w:t xml:space="preserve"> is an inhibitor of drug transporters P-</w:t>
      </w:r>
      <w:proofErr w:type="spellStart"/>
      <w:r w:rsidRPr="001A67AA">
        <w:t>gp</w:t>
      </w:r>
      <w:proofErr w:type="spellEnd"/>
      <w:r w:rsidRPr="001A67AA">
        <w:t>, BCRP and OATP2B1. Based on the est</w:t>
      </w:r>
      <w:r>
        <w:t>imated maximal intestinal concen</w:t>
      </w:r>
      <w:r w:rsidRPr="001A67AA">
        <w:t>t</w:t>
      </w:r>
      <w:r>
        <w:t>r</w:t>
      </w:r>
      <w:r w:rsidRPr="001A67AA">
        <w:t xml:space="preserve">ation </w:t>
      </w:r>
      <w:proofErr w:type="spellStart"/>
      <w:r>
        <w:t>velpatasvir</w:t>
      </w:r>
      <w:proofErr w:type="spellEnd"/>
      <w:r>
        <w:t xml:space="preserve"> </w:t>
      </w:r>
      <w:r w:rsidRPr="001A67AA">
        <w:t>may increase intestinal absorption of co-administered drug sub</w:t>
      </w:r>
      <w:r>
        <w:t xml:space="preserve">strates for these transporters. </w:t>
      </w:r>
      <w:proofErr w:type="spellStart"/>
      <w:r>
        <w:t>Velpatasvir</w:t>
      </w:r>
      <w:proofErr w:type="spellEnd"/>
      <w:r>
        <w:t xml:space="preserve"> inhibited hepatic uptake transporters OATP1B1 and OATP1B3 with </w:t>
      </w:r>
      <w:r w:rsidR="000F1723" w:rsidRPr="00B3721D">
        <w:t>IC</w:t>
      </w:r>
      <w:r w:rsidR="000F1723" w:rsidRPr="00B3721D">
        <w:rPr>
          <w:vertAlign w:val="subscript"/>
        </w:rPr>
        <w:t>50</w:t>
      </w:r>
      <w:r>
        <w:t xml:space="preserve"> values in the potential range for concentrations at the hepatic inlet and therefore has the potential to increase circulating concentrations of drug substrates of these transporters.</w:t>
      </w:r>
    </w:p>
    <w:p w:rsidR="000D4647" w:rsidRDefault="001637F4" w:rsidP="001637F4">
      <w:pPr>
        <w:pStyle w:val="ListBullet"/>
      </w:pPr>
      <w:r w:rsidRPr="00BE253D">
        <w:t xml:space="preserve">No major organ toxicities were observed with </w:t>
      </w:r>
      <w:proofErr w:type="spellStart"/>
      <w:r w:rsidRPr="00BE253D">
        <w:t>velpatasvir</w:t>
      </w:r>
      <w:proofErr w:type="spellEnd"/>
      <w:r w:rsidRPr="00BE253D">
        <w:t xml:space="preserve"> in </w:t>
      </w:r>
      <w:r w:rsidR="006F35F9">
        <w:t>repeat dose</w:t>
      </w:r>
      <w:r w:rsidRPr="00BE253D">
        <w:t xml:space="preserve"> studies in any species at the exposures achievable in </w:t>
      </w:r>
      <w:r w:rsidR="006F35F9">
        <w:t>nonclinical</w:t>
      </w:r>
      <w:r w:rsidRPr="00BE253D">
        <w:t xml:space="preserve"> species</w:t>
      </w:r>
      <w:r>
        <w:t>.</w:t>
      </w:r>
    </w:p>
    <w:p w:rsidR="000D4647" w:rsidRDefault="001637F4" w:rsidP="001637F4">
      <w:pPr>
        <w:pStyle w:val="ListBullet"/>
      </w:pPr>
      <w:proofErr w:type="spellStart"/>
      <w:r w:rsidRPr="00BE253D">
        <w:t>Velpatasvir</w:t>
      </w:r>
      <w:proofErr w:type="spellEnd"/>
      <w:r w:rsidRPr="00BE253D">
        <w:t xml:space="preserve"> is unlikely to pose a genotoxic hazard.</w:t>
      </w:r>
      <w:r w:rsidR="00F044A6">
        <w:t xml:space="preserve"> </w:t>
      </w:r>
      <w:r w:rsidRPr="00BE253D">
        <w:t xml:space="preserve">Carcinogenicity studies </w:t>
      </w:r>
      <w:r>
        <w:t xml:space="preserve">in rasH2 transgenic mice and rats </w:t>
      </w:r>
      <w:r w:rsidRPr="00BE253D">
        <w:t>are ongoing, and should be submitted when complete</w:t>
      </w:r>
      <w:r w:rsidR="007419D9">
        <w:t>.</w:t>
      </w:r>
    </w:p>
    <w:p w:rsidR="000D4647" w:rsidRDefault="001637F4" w:rsidP="001637F4">
      <w:pPr>
        <w:pStyle w:val="ListBullet"/>
      </w:pPr>
      <w:r w:rsidRPr="00D01424">
        <w:lastRenderedPageBreak/>
        <w:t xml:space="preserve">There was no evidence of reproductive toxicity with </w:t>
      </w:r>
      <w:proofErr w:type="spellStart"/>
      <w:r>
        <w:t>velpatasvir</w:t>
      </w:r>
      <w:proofErr w:type="spellEnd"/>
      <w:r>
        <w:t xml:space="preserve"> and Australian Pregnancy category B1</w:t>
      </w:r>
      <w:r w:rsidRPr="00D01424">
        <w:t xml:space="preserve"> is appropriate</w:t>
      </w:r>
      <w:r w:rsidR="007419D9">
        <w:t>.</w:t>
      </w:r>
    </w:p>
    <w:p w:rsidR="000D4647" w:rsidRDefault="001637F4" w:rsidP="001637F4">
      <w:pPr>
        <w:pStyle w:val="ListBullet"/>
      </w:pPr>
      <w:r w:rsidRPr="00882D14">
        <w:t>There are no nonclin</w:t>
      </w:r>
      <w:r>
        <w:t xml:space="preserve">ical objections to registration of </w:t>
      </w:r>
      <w:proofErr w:type="spellStart"/>
      <w:r>
        <w:t>velpatasvir</w:t>
      </w:r>
      <w:proofErr w:type="spellEnd"/>
      <w:r>
        <w:t>.</w:t>
      </w:r>
    </w:p>
    <w:p w:rsidR="000D4647" w:rsidRDefault="001637F4" w:rsidP="001637F4">
      <w:pPr>
        <w:pStyle w:val="ListBullet"/>
      </w:pPr>
      <w:r w:rsidRPr="0058262C">
        <w:t xml:space="preserve">Based on the nonclinical data provided </w:t>
      </w:r>
      <w:r>
        <w:t xml:space="preserve">in this submission for </w:t>
      </w:r>
      <w:proofErr w:type="spellStart"/>
      <w:r>
        <w:t>velpatasvir</w:t>
      </w:r>
      <w:proofErr w:type="spellEnd"/>
      <w:r>
        <w:t xml:space="preserve"> and evaluated in the previous submission for </w:t>
      </w:r>
      <w:proofErr w:type="spellStart"/>
      <w:r>
        <w:t>sofosbuvir</w:t>
      </w:r>
      <w:proofErr w:type="spellEnd"/>
      <w:r w:rsidRPr="0058262C">
        <w:t xml:space="preserve"> there are no nonclinical objections to the registration </w:t>
      </w:r>
      <w:r w:rsidRPr="006F35F9">
        <w:t xml:space="preserve">of </w:t>
      </w:r>
      <w:proofErr w:type="spellStart"/>
      <w:r w:rsidRPr="006F35F9">
        <w:t>Epclusa</w:t>
      </w:r>
      <w:proofErr w:type="spellEnd"/>
      <w:r w:rsidRPr="006F35F9">
        <w:t>.</w:t>
      </w:r>
    </w:p>
    <w:p w:rsidR="000D4647" w:rsidRDefault="008E7846" w:rsidP="008E7846">
      <w:pPr>
        <w:pStyle w:val="Heading2"/>
      </w:pPr>
      <w:bookmarkStart w:id="64" w:name="_Toc196046462"/>
      <w:bookmarkStart w:id="65" w:name="_Toc247691516"/>
      <w:bookmarkStart w:id="66" w:name="_Toc314842500"/>
      <w:bookmarkStart w:id="67" w:name="_Toc163441353"/>
      <w:bookmarkStart w:id="68" w:name="_Toc163441348"/>
      <w:bookmarkStart w:id="69" w:name="_Toc498681443"/>
      <w:r>
        <w:t xml:space="preserve">IV. </w:t>
      </w:r>
      <w:r w:rsidRPr="00254787">
        <w:t>Clinical</w:t>
      </w:r>
      <w:bookmarkEnd w:id="64"/>
      <w:r>
        <w:t xml:space="preserve"> </w:t>
      </w:r>
      <w:r w:rsidR="003A7F6C">
        <w:t>f</w:t>
      </w:r>
      <w:r>
        <w:t>indings</w:t>
      </w:r>
      <w:bookmarkEnd w:id="65"/>
      <w:bookmarkEnd w:id="66"/>
      <w:bookmarkEnd w:id="69"/>
    </w:p>
    <w:p w:rsidR="000D464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0D4647" w:rsidRDefault="008E7846" w:rsidP="008E7846">
      <w:pPr>
        <w:pStyle w:val="Heading3"/>
      </w:pPr>
      <w:bookmarkStart w:id="71" w:name="_Toc247691517"/>
      <w:bookmarkStart w:id="72" w:name="_Toc314842501"/>
      <w:bookmarkStart w:id="73" w:name="_Toc498681444"/>
      <w:r w:rsidRPr="00254787">
        <w:t>Introduction</w:t>
      </w:r>
      <w:bookmarkEnd w:id="70"/>
      <w:bookmarkEnd w:id="71"/>
      <w:bookmarkEnd w:id="72"/>
      <w:bookmarkEnd w:id="73"/>
    </w:p>
    <w:p w:rsidR="000D4647" w:rsidRDefault="00605AD4" w:rsidP="00605AD4">
      <w:pPr>
        <w:pStyle w:val="Heading4"/>
      </w:pPr>
      <w:bookmarkStart w:id="74" w:name="_Toc196046464"/>
      <w:bookmarkStart w:id="75" w:name="_Toc247691518"/>
      <w:bookmarkStart w:id="76" w:name="_Toc314842502"/>
      <w:r w:rsidRPr="00605AD4">
        <w:t xml:space="preserve">Clinical </w:t>
      </w:r>
      <w:r w:rsidR="00EF59DC">
        <w:t>r</w:t>
      </w:r>
      <w:r w:rsidRPr="00605AD4">
        <w:t>ationale</w:t>
      </w:r>
    </w:p>
    <w:p w:rsidR="000D4647" w:rsidRDefault="0070104C" w:rsidP="0070104C">
      <w:r w:rsidRPr="009901C8">
        <w:t>It is estimated that 130 to 210 million people worldwide ar</w:t>
      </w:r>
      <w:r>
        <w:t>e infected with HCV with 2 to 4 </w:t>
      </w:r>
      <w:r w:rsidRPr="009901C8">
        <w:t xml:space="preserve">million new infections reported annually. Approximately 80% </w:t>
      </w:r>
      <w:r>
        <w:t>of infections are related to IV </w:t>
      </w:r>
      <w:r w:rsidRPr="009901C8">
        <w:t>drug use, with lesser numbers attributed to sexual transmission, blood transfusions, and tattoos. Approximately 300,000 Australians were infected with HCV in 2011. Acute infections become chronic in 70% to 90% of cases and this leads commonly to cirrhosis, chronic liver failure, hepatocellular carcinoma, liver transplantation and death. After 20 years of infection, 20</w:t>
      </w:r>
      <w:r>
        <w:t xml:space="preserve"> to </w:t>
      </w:r>
      <w:r w:rsidRPr="009901C8">
        <w:t>30% of patients will have progressed to cirrhosis, 5</w:t>
      </w:r>
      <w:r>
        <w:t xml:space="preserve"> to </w:t>
      </w:r>
      <w:r w:rsidRPr="009901C8">
        <w:t>10% will have developed end-stage liver disease, and 4</w:t>
      </w:r>
      <w:r>
        <w:t xml:space="preserve"> to </w:t>
      </w:r>
      <w:r w:rsidRPr="009901C8">
        <w:t>8% will have died of liver-related causes. HCV has six genotypes (GT) and multiple subtypes with genotypes 1 to 3 distributed worldwide. Genotypes 1a and 1b account for 60% of global HCV infections. In Australia, the most common genotypes are 1a and 1b (54% prevalence) and 3a (37% prevalence). The incidence of HCV GT4 infection is low in the US (</w:t>
      </w:r>
      <w:r>
        <w:t xml:space="preserve">approximately </w:t>
      </w:r>
      <w:r w:rsidRPr="009901C8">
        <w:t>1%), and in Europe (</w:t>
      </w:r>
      <w:r>
        <w:t xml:space="preserve">approximately </w:t>
      </w:r>
      <w:r w:rsidRPr="009901C8">
        <w:t xml:space="preserve">5% on average). However, in North Africa and the Middle East, GT4 infection has a prevalence of </w:t>
      </w:r>
      <w:r>
        <w:t xml:space="preserve">approximately </w:t>
      </w:r>
      <w:r w:rsidRPr="009901C8">
        <w:t>50% (up to 90% in Egypt), and it is spreading to Europe and the rest of the world through immigration and IV drug use</w:t>
      </w:r>
      <w:r>
        <w:t>.</w:t>
      </w:r>
    </w:p>
    <w:p w:rsidR="000D4647" w:rsidRDefault="0070104C" w:rsidP="0070104C">
      <w:r w:rsidRPr="009901C8">
        <w:t xml:space="preserve">Until recently, the standard of care treatment for chronic HCV infection for all genotypes was the combination of </w:t>
      </w:r>
      <w:proofErr w:type="spellStart"/>
      <w:r w:rsidRPr="009901C8">
        <w:t>pegylated</w:t>
      </w:r>
      <w:proofErr w:type="spellEnd"/>
      <w:r w:rsidRPr="009901C8">
        <w:t xml:space="preserve"> interferon </w:t>
      </w:r>
      <w:r w:rsidRPr="00E52798">
        <w:t>and ribavirin (</w:t>
      </w:r>
      <w:proofErr w:type="spellStart"/>
      <w:r w:rsidRPr="00E52798">
        <w:t>pegIFN</w:t>
      </w:r>
      <w:proofErr w:type="spellEnd"/>
      <w:r w:rsidRPr="00E52798">
        <w:t>/RBV) for 48 weeks</w:t>
      </w:r>
      <w:r w:rsidRPr="009901C8">
        <w:t xml:space="preserve">. The response to this treatment varies according to HCV genotype and host </w:t>
      </w:r>
      <w:r w:rsidR="00721A33">
        <w:t>interleukin 28B</w:t>
      </w:r>
      <w:r w:rsidR="00721A33" w:rsidRPr="006F35F9">
        <w:rPr>
          <w:highlight w:val="yellow"/>
        </w:rPr>
        <w:t xml:space="preserve"> </w:t>
      </w:r>
      <w:r w:rsidR="00721A33" w:rsidRPr="00721A33">
        <w:t>(</w:t>
      </w:r>
      <w:r w:rsidRPr="00721A33">
        <w:t>IL28B</w:t>
      </w:r>
      <w:r w:rsidR="00721A33" w:rsidRPr="00721A33">
        <w:t>)</w:t>
      </w:r>
      <w:r w:rsidRPr="00721A33">
        <w:t xml:space="preserve"> genotypic</w:t>
      </w:r>
      <w:r w:rsidRPr="009901C8">
        <w:t xml:space="preserve"> subtypes (CC, CT, and TT). Patients with the IL28B CC genotype are able to mount stronger immune responses to the HCV virus, and spontaneous viral clearance rates and responsiveness to antiviral therapy are enhanced. In patients with HCV GT1 infection, sustained viral response (SVR) rates following </w:t>
      </w:r>
      <w:proofErr w:type="spellStart"/>
      <w:r w:rsidRPr="009901C8">
        <w:t>pegIFN</w:t>
      </w:r>
      <w:proofErr w:type="spellEnd"/>
      <w:r w:rsidRPr="009901C8">
        <w:t xml:space="preserve">/RBV therapy are only 45% in </w:t>
      </w:r>
      <w:r>
        <w:t>treatment naïve</w:t>
      </w:r>
      <w:r w:rsidRPr="009901C8">
        <w:t xml:space="preserve"> patients, and significantly lower rates are achieved in prior </w:t>
      </w:r>
      <w:proofErr w:type="spellStart"/>
      <w:r w:rsidRPr="009901C8">
        <w:t>relapsers</w:t>
      </w:r>
      <w:proofErr w:type="spellEnd"/>
      <w:r w:rsidRPr="009901C8">
        <w:t xml:space="preserve"> and non-responders. Moreover, the side effect profile of </w:t>
      </w:r>
      <w:proofErr w:type="spellStart"/>
      <w:r w:rsidRPr="009901C8">
        <w:t>pegIFN</w:t>
      </w:r>
      <w:proofErr w:type="spellEnd"/>
      <w:r w:rsidRPr="009901C8">
        <w:t xml:space="preserve">/RBV is unfavourable with a high incidence of lethargy, fatigue, depression and anaemia. Recently approved DAA combinations such as </w:t>
      </w:r>
      <w:proofErr w:type="spellStart"/>
      <w:r w:rsidRPr="009901C8">
        <w:t>Viekira</w:t>
      </w:r>
      <w:proofErr w:type="spellEnd"/>
      <w:r w:rsidRPr="009901C8">
        <w:t xml:space="preserve"> PAK (</w:t>
      </w:r>
      <w:proofErr w:type="spellStart"/>
      <w:r w:rsidRPr="009901C8">
        <w:t>paritaprevir</w:t>
      </w:r>
      <w:proofErr w:type="spellEnd"/>
      <w:r w:rsidRPr="009901C8">
        <w:t xml:space="preserve">, </w:t>
      </w:r>
      <w:proofErr w:type="spellStart"/>
      <w:r w:rsidRPr="009901C8">
        <w:t>ombitasvir</w:t>
      </w:r>
      <w:proofErr w:type="spellEnd"/>
      <w:r w:rsidRPr="009901C8">
        <w:t xml:space="preserve">, and </w:t>
      </w:r>
      <w:proofErr w:type="spellStart"/>
      <w:r w:rsidRPr="009901C8">
        <w:t>dasabuvir</w:t>
      </w:r>
      <w:proofErr w:type="spellEnd"/>
      <w:r w:rsidRPr="009901C8">
        <w:t xml:space="preserve">) and </w:t>
      </w:r>
      <w:proofErr w:type="spellStart"/>
      <w:r w:rsidRPr="009901C8">
        <w:t>Technivie</w:t>
      </w:r>
      <w:proofErr w:type="spellEnd"/>
      <w:r w:rsidRPr="009901C8">
        <w:t xml:space="preserve"> (</w:t>
      </w:r>
      <w:proofErr w:type="spellStart"/>
      <w:r w:rsidRPr="009901C8">
        <w:t>paritaprevir</w:t>
      </w:r>
      <w:proofErr w:type="spellEnd"/>
      <w:r w:rsidRPr="009901C8">
        <w:t xml:space="preserve"> and </w:t>
      </w:r>
      <w:proofErr w:type="spellStart"/>
      <w:r w:rsidRPr="009901C8">
        <w:t>ombitasvir</w:t>
      </w:r>
      <w:proofErr w:type="spellEnd"/>
      <w:r w:rsidRPr="009901C8">
        <w:t xml:space="preserve">) achieve high SVR rates in HCV GT1 and GT4 infections without the adverse events associated with </w:t>
      </w:r>
      <w:proofErr w:type="spellStart"/>
      <w:r w:rsidRPr="009901C8">
        <w:t>pegIFN</w:t>
      </w:r>
      <w:proofErr w:type="spellEnd"/>
      <w:r w:rsidRPr="009901C8">
        <w:t xml:space="preserve">. </w:t>
      </w:r>
      <w:proofErr w:type="spellStart"/>
      <w:r>
        <w:t>Harvoni</w:t>
      </w:r>
      <w:proofErr w:type="spellEnd"/>
      <w:r w:rsidRPr="009901C8">
        <w:t xml:space="preserve"> (</w:t>
      </w:r>
      <w:proofErr w:type="spellStart"/>
      <w:r w:rsidRPr="009901C8">
        <w:t>lepidasvir</w:t>
      </w:r>
      <w:proofErr w:type="spellEnd"/>
      <w:r w:rsidRPr="009901C8">
        <w:t xml:space="preserve"> and </w:t>
      </w:r>
      <w:proofErr w:type="spellStart"/>
      <w:r w:rsidRPr="009901C8">
        <w:t>sofosbuvir</w:t>
      </w:r>
      <w:proofErr w:type="spellEnd"/>
      <w:r w:rsidRPr="009901C8">
        <w:t xml:space="preserve">) is well tolerated and effective in HCV GT1 infection, and </w:t>
      </w:r>
      <w:proofErr w:type="spellStart"/>
      <w:r w:rsidRPr="009901C8">
        <w:t>sofosbuvir</w:t>
      </w:r>
      <w:proofErr w:type="spellEnd"/>
      <w:r w:rsidRPr="009901C8">
        <w:t xml:space="preserve"> with </w:t>
      </w:r>
      <w:r w:rsidR="0091489D">
        <w:t>ribavirin</w:t>
      </w:r>
      <w:r w:rsidR="0091489D" w:rsidRPr="009901C8">
        <w:t xml:space="preserve"> </w:t>
      </w:r>
      <w:r w:rsidR="0091489D">
        <w:t>(</w:t>
      </w:r>
      <w:r w:rsidRPr="009901C8">
        <w:t>RBV</w:t>
      </w:r>
      <w:r w:rsidR="0091489D">
        <w:t>)</w:t>
      </w:r>
      <w:r w:rsidRPr="009901C8">
        <w:t xml:space="preserve"> is effective in HCV GT2 and GT3 infections. It is also approved for use GT4 GT5, or GT6-infected patients who are not suitable for </w:t>
      </w:r>
      <w:proofErr w:type="spellStart"/>
      <w:r w:rsidRPr="009901C8">
        <w:t>pegIFN</w:t>
      </w:r>
      <w:proofErr w:type="spellEnd"/>
      <w:r w:rsidRPr="009901C8">
        <w:t xml:space="preserve"> treatment. In the EU, </w:t>
      </w:r>
      <w:proofErr w:type="spellStart"/>
      <w:r>
        <w:t>Harvoni</w:t>
      </w:r>
      <w:proofErr w:type="spellEnd"/>
      <w:r w:rsidRPr="009901C8">
        <w:t xml:space="preserve"> with RBV for 24 weeks is approved for the treatment of GT1 and GT4 infection in patients with decompensated cirrhosis, who are either awaiting liver tra</w:t>
      </w:r>
      <w:r>
        <w:t>nsplantation or during the post</w:t>
      </w:r>
      <w:r>
        <w:noBreakHyphen/>
      </w:r>
      <w:r w:rsidRPr="009901C8">
        <w:t>transplant period. There are no approved treatments for patients with decompensated cirrhosis in the US.</w:t>
      </w:r>
    </w:p>
    <w:p w:rsidR="000D4647" w:rsidRDefault="0070104C" w:rsidP="0070104C">
      <w:proofErr w:type="spellStart"/>
      <w:r w:rsidRPr="009901C8">
        <w:lastRenderedPageBreak/>
        <w:t>Velpatasvir</w:t>
      </w:r>
      <w:proofErr w:type="spellEnd"/>
      <w:r w:rsidRPr="009901C8">
        <w:t xml:space="preserve"> is a novel HCV NS5A inhibitor with potent antivira</w:t>
      </w:r>
      <w:r>
        <w:t xml:space="preserve">l activity in vitro against GT1 to </w:t>
      </w:r>
      <w:r w:rsidRPr="009901C8">
        <w:t xml:space="preserve">6 replicons. </w:t>
      </w:r>
      <w:proofErr w:type="spellStart"/>
      <w:r w:rsidRPr="009901C8">
        <w:t>Velpatasvir</w:t>
      </w:r>
      <w:proofErr w:type="spellEnd"/>
      <w:r w:rsidRPr="009901C8">
        <w:t xml:space="preserve"> and </w:t>
      </w:r>
      <w:proofErr w:type="spellStart"/>
      <w:r w:rsidRPr="009901C8">
        <w:t>sofosbuvir</w:t>
      </w:r>
      <w:proofErr w:type="spellEnd"/>
      <w:r w:rsidRPr="009901C8">
        <w:t xml:space="preserve"> have been formulated in a FDC tablet for once daily use. It is hoped that </w:t>
      </w:r>
      <w:proofErr w:type="spellStart"/>
      <w:r>
        <w:t>Epclusa</w:t>
      </w:r>
      <w:proofErr w:type="spellEnd"/>
      <w:r w:rsidRPr="009901C8">
        <w:t xml:space="preserve"> will offer a well-tolerated, once daily, single dose, 12 week treatment for patients with HCV infection of any genotype, in non-cirrhotic patients and in those with compensated or decompensated cirrhosis</w:t>
      </w:r>
      <w:r w:rsidR="006F35F9">
        <w:t>.</w:t>
      </w:r>
    </w:p>
    <w:p w:rsidR="000D4647" w:rsidRDefault="00605AD4" w:rsidP="00605AD4">
      <w:pPr>
        <w:pStyle w:val="Heading4"/>
      </w:pPr>
      <w:r w:rsidRPr="00605AD4">
        <w:t>Contents of the clinical dossier</w:t>
      </w:r>
    </w:p>
    <w:p w:rsidR="000D4647" w:rsidRDefault="000818DC" w:rsidP="0070104C">
      <w:r>
        <w:t>The submission contain</w:t>
      </w:r>
      <w:r w:rsidR="0070104C">
        <w:t>ed the following clinical information:</w:t>
      </w:r>
    </w:p>
    <w:p w:rsidR="000D4647" w:rsidRDefault="0070104C" w:rsidP="0070104C">
      <w:pPr>
        <w:pStyle w:val="ListBullet"/>
      </w:pPr>
      <w:r w:rsidRPr="0070104C">
        <w:t xml:space="preserve">Fifteen clinical pharmacology studies, including 15 that provided pharmacokinetic data and 4 that provided </w:t>
      </w:r>
      <w:proofErr w:type="spellStart"/>
      <w:r w:rsidRPr="0070104C">
        <w:t>pharmacodynamic</w:t>
      </w:r>
      <w:proofErr w:type="spellEnd"/>
      <w:r w:rsidRPr="0070104C">
        <w:t xml:space="preserve"> data.</w:t>
      </w:r>
    </w:p>
    <w:p w:rsidR="000D4647" w:rsidRDefault="0070104C" w:rsidP="0070104C">
      <w:pPr>
        <w:pStyle w:val="ListBullet"/>
      </w:pPr>
      <w:r w:rsidRPr="0070104C">
        <w:t>Three population pharmacokinetic analyses.</w:t>
      </w:r>
    </w:p>
    <w:p w:rsidR="000D4647" w:rsidRDefault="0070104C" w:rsidP="0070104C">
      <w:pPr>
        <w:pStyle w:val="ListBullet"/>
      </w:pPr>
      <w:r w:rsidRPr="0070104C">
        <w:t>Three pivotal Phase III efficacy/safety studies (GS-US-342-1138, GS-US-342-1139, GS</w:t>
      </w:r>
      <w:r w:rsidRPr="0070104C">
        <w:noBreakHyphen/>
        <w:t>US</w:t>
      </w:r>
      <w:r w:rsidRPr="0070104C">
        <w:noBreakHyphen/>
        <w:t>342-1140)</w:t>
      </w:r>
    </w:p>
    <w:p w:rsidR="000D4647" w:rsidRDefault="0070104C" w:rsidP="0070104C">
      <w:pPr>
        <w:pStyle w:val="ListBullet"/>
      </w:pPr>
      <w:r w:rsidRPr="0070104C">
        <w:t>A pivotal Phase III special population study in patients with decompensated cirrhosis (GS</w:t>
      </w:r>
      <w:r w:rsidRPr="0070104C">
        <w:noBreakHyphen/>
        <w:t>US-342-1137).</w:t>
      </w:r>
    </w:p>
    <w:p w:rsidR="000D4647" w:rsidRDefault="0070104C" w:rsidP="0070104C">
      <w:pPr>
        <w:pStyle w:val="ListBullet"/>
      </w:pPr>
      <w:r w:rsidRPr="0070104C">
        <w:t>Two Phase II dose ranging studies (P7977-0221 and P7977-0422)</w:t>
      </w:r>
    </w:p>
    <w:p w:rsidR="000D4647" w:rsidRDefault="0070104C" w:rsidP="0070104C">
      <w:pPr>
        <w:pStyle w:val="ListBullet"/>
      </w:pPr>
      <w:r w:rsidRPr="0070104C">
        <w:t>Three Phase II studies (GS-US-337-0122, GS-US-342-0102, GS-US-342-0109)</w:t>
      </w:r>
    </w:p>
    <w:p w:rsidR="000D4647" w:rsidRDefault="0070104C" w:rsidP="0070104C">
      <w:pPr>
        <w:pStyle w:val="ListBullet"/>
      </w:pPr>
      <w:r w:rsidRPr="0070104C">
        <w:t>A pooled efficacy and safety analysis of the three pivotal Phase III studies (GS-US-342-1138, GS-US-342-1139, GS-US-342-1140).</w:t>
      </w:r>
    </w:p>
    <w:p w:rsidR="000D4647" w:rsidRDefault="0070104C" w:rsidP="0070104C">
      <w:r>
        <w:t xml:space="preserve">The submission included a </w:t>
      </w:r>
      <w:r w:rsidRPr="009901C8">
        <w:t>clinical overview, summary of clinical efficacy, summary of clinical safety and literature references.</w:t>
      </w:r>
    </w:p>
    <w:p w:rsidR="000D4647" w:rsidRDefault="00605AD4" w:rsidP="00605AD4">
      <w:pPr>
        <w:pStyle w:val="Heading4"/>
      </w:pPr>
      <w:r w:rsidRPr="00605AD4">
        <w:t>Paediatric data</w:t>
      </w:r>
    </w:p>
    <w:p w:rsidR="000D4647" w:rsidRDefault="000818DC" w:rsidP="000818DC">
      <w:r w:rsidRPr="009901C8">
        <w:t>The submission did not include paediatric data</w:t>
      </w:r>
      <w:r>
        <w:t>.</w:t>
      </w:r>
    </w:p>
    <w:p w:rsidR="000D4647" w:rsidRDefault="00605AD4" w:rsidP="00605AD4">
      <w:pPr>
        <w:pStyle w:val="Heading4"/>
      </w:pPr>
      <w:r w:rsidRPr="00605AD4">
        <w:t>Good clinical practice</w:t>
      </w:r>
    </w:p>
    <w:p w:rsidR="000D4647" w:rsidRDefault="000818DC" w:rsidP="000818DC">
      <w:bookmarkStart w:id="77" w:name="_Toc241374282"/>
      <w:r w:rsidRPr="009901C8">
        <w:t xml:space="preserve">All clinical studies were performed according to the principles of ICH </w:t>
      </w:r>
      <w:r w:rsidR="00B92BE6">
        <w:t>Good Clinical Practice</w:t>
      </w:r>
      <w:r w:rsidR="00B92BE6" w:rsidRPr="009901C8">
        <w:t xml:space="preserve"> </w:t>
      </w:r>
      <w:r w:rsidR="00B92BE6">
        <w:t>(</w:t>
      </w:r>
      <w:r w:rsidRPr="009901C8">
        <w:t>GCP</w:t>
      </w:r>
      <w:r w:rsidR="00B92BE6">
        <w:t>)</w:t>
      </w:r>
      <w:r w:rsidRPr="009901C8">
        <w:t>.</w:t>
      </w:r>
      <w:bookmarkEnd w:id="77"/>
    </w:p>
    <w:p w:rsidR="000D4647" w:rsidRDefault="008E7846" w:rsidP="00605AD4">
      <w:pPr>
        <w:pStyle w:val="Heading3"/>
      </w:pPr>
      <w:bookmarkStart w:id="78" w:name="_Toc498681445"/>
      <w:r w:rsidRPr="00254787">
        <w:t>Pharmacokinetics</w:t>
      </w:r>
      <w:bookmarkEnd w:id="67"/>
      <w:bookmarkEnd w:id="74"/>
      <w:bookmarkEnd w:id="75"/>
      <w:bookmarkEnd w:id="76"/>
      <w:bookmarkEnd w:id="78"/>
    </w:p>
    <w:p w:rsidR="000D4647" w:rsidRDefault="00605AD4" w:rsidP="00605AD4">
      <w:pPr>
        <w:pStyle w:val="Heading4"/>
      </w:pPr>
      <w:r>
        <w:t>Studies</w:t>
      </w:r>
      <w:r w:rsidR="000818DC">
        <w:t xml:space="preserve"> providing pharmacokinetic data</w:t>
      </w:r>
    </w:p>
    <w:p w:rsidR="000D4647" w:rsidRDefault="000818DC" w:rsidP="00823FF5">
      <w:pPr>
        <w:pStyle w:val="Comment"/>
        <w:ind w:left="1106" w:hanging="1106"/>
      </w:pPr>
      <w:r w:rsidRPr="00F0240D">
        <w:rPr>
          <w:b/>
        </w:rPr>
        <w:t>Comment:</w:t>
      </w:r>
      <w:r w:rsidRPr="00F0240D">
        <w:t xml:space="preserve"> Many of the PK/</w:t>
      </w:r>
      <w:r w:rsidR="00630FB6" w:rsidRPr="00630FB6">
        <w:t xml:space="preserve"> </w:t>
      </w:r>
      <w:r w:rsidR="00630FB6">
        <w:t>pharmacodynamics</w:t>
      </w:r>
      <w:r w:rsidR="00630FB6" w:rsidRPr="00F0240D">
        <w:t xml:space="preserve"> </w:t>
      </w:r>
      <w:r w:rsidR="00630FB6">
        <w:t>(</w:t>
      </w:r>
      <w:r w:rsidRPr="00F0240D">
        <w:t>PD</w:t>
      </w:r>
      <w:r w:rsidR="00630FB6">
        <w:t>)</w:t>
      </w:r>
      <w:r w:rsidRPr="00F0240D">
        <w:t xml:space="preserve"> studies that form part of the present</w:t>
      </w:r>
      <w:r w:rsidR="000D4647">
        <w:t xml:space="preserve"> </w:t>
      </w:r>
      <w:r w:rsidR="00683641">
        <w:t xml:space="preserve"> </w:t>
      </w:r>
      <w:r w:rsidRPr="00F0240D">
        <w:t xml:space="preserve">submission have been previously evaluated by the TGA as part of the applications for </w:t>
      </w:r>
      <w:proofErr w:type="spellStart"/>
      <w:r>
        <w:t>Harvoni</w:t>
      </w:r>
      <w:proofErr w:type="spellEnd"/>
      <w:r w:rsidRPr="00F0240D">
        <w:t xml:space="preserve"> </w:t>
      </w:r>
      <w:proofErr w:type="spellStart"/>
      <w:r w:rsidRPr="00F0240D">
        <w:t>Ledipasvir</w:t>
      </w:r>
      <w:proofErr w:type="spellEnd"/>
      <w:r w:rsidRPr="00F0240D">
        <w:t xml:space="preserve"> (90</w:t>
      </w:r>
      <w:r w:rsidR="00A82FA1">
        <w:t xml:space="preserve"> mg</w:t>
      </w:r>
      <w:r w:rsidRPr="00F0240D">
        <w:t xml:space="preserve">)/ </w:t>
      </w:r>
      <w:proofErr w:type="spellStart"/>
      <w:r w:rsidRPr="00F0240D">
        <w:t>Sofosbuvir</w:t>
      </w:r>
      <w:proofErr w:type="spellEnd"/>
      <w:r w:rsidRPr="00F0240D">
        <w:t xml:space="preserve"> (400</w:t>
      </w:r>
      <w:r w:rsidR="00A82FA1">
        <w:t xml:space="preserve"> mg</w:t>
      </w:r>
      <w:r w:rsidRPr="00F0240D">
        <w:t xml:space="preserve">) Tablets (PM-2014-00469-1-2) and </w:t>
      </w:r>
      <w:proofErr w:type="spellStart"/>
      <w:r>
        <w:t>Sovaldi</w:t>
      </w:r>
      <w:proofErr w:type="spellEnd"/>
      <w:r w:rsidRPr="00F0240D">
        <w:t xml:space="preserve"> </w:t>
      </w:r>
      <w:proofErr w:type="spellStart"/>
      <w:r w:rsidRPr="00F0240D">
        <w:t>Sofosbuvir</w:t>
      </w:r>
      <w:proofErr w:type="spellEnd"/>
      <w:r w:rsidRPr="00F0240D">
        <w:t xml:space="preserve"> (400</w:t>
      </w:r>
      <w:r w:rsidR="00A82FA1">
        <w:t xml:space="preserve"> mg</w:t>
      </w:r>
      <w:r w:rsidRPr="00F0240D">
        <w:t xml:space="preserve">) Tablets (PM-2013-01283-1-2). Therefore, the current PK/PD evaluation will focus on the previously unevaluated studies, in particular those that examined the proposed FDC, and the evaluator requests that the </w:t>
      </w:r>
      <w:r>
        <w:t>D</w:t>
      </w:r>
      <w:r w:rsidRPr="00F0240D">
        <w:t>elegate please refer to the appropriate CERs when reviewing the previously submitted data.</w:t>
      </w:r>
    </w:p>
    <w:p w:rsidR="000818DC" w:rsidRPr="00F0240D" w:rsidRDefault="000818DC" w:rsidP="00E52798">
      <w:pPr>
        <w:pStyle w:val="Tabletitle0"/>
      </w:pPr>
      <w:r w:rsidRPr="00756A4F">
        <w:lastRenderedPageBreak/>
        <w:t xml:space="preserve">Table </w:t>
      </w:r>
      <w:r w:rsidR="00756A4F" w:rsidRPr="00756A4F">
        <w:t>6</w:t>
      </w:r>
      <w:r w:rsidR="00E52798" w:rsidRPr="00756A4F">
        <w:t>:</w:t>
      </w:r>
      <w:r w:rsidRPr="00756A4F">
        <w:t xml:space="preserve"> </w:t>
      </w:r>
      <w:r w:rsidR="00E52798" w:rsidRPr="00756A4F">
        <w:t>T</w:t>
      </w:r>
      <w:r w:rsidRPr="00756A4F">
        <w:t>he</w:t>
      </w:r>
      <w:r w:rsidRPr="00F0240D">
        <w:t xml:space="preserve"> studies relatin</w:t>
      </w:r>
      <w:r w:rsidR="00E52798">
        <w:t>g to each pharmacokinetic topic</w:t>
      </w:r>
    </w:p>
    <w:tbl>
      <w:tblPr>
        <w:tblStyle w:val="TableTGAblue"/>
        <w:tblW w:w="8897" w:type="dxa"/>
        <w:tblLayout w:type="fixed"/>
        <w:tblLook w:val="04A0" w:firstRow="1" w:lastRow="0" w:firstColumn="1" w:lastColumn="0" w:noHBand="0" w:noVBand="1"/>
        <w:tblDescription w:val="Table 6: The studies relating to each pharmacokinetic topic"/>
      </w:tblPr>
      <w:tblGrid>
        <w:gridCol w:w="1384"/>
        <w:gridCol w:w="1418"/>
        <w:gridCol w:w="1701"/>
        <w:gridCol w:w="4394"/>
      </w:tblGrid>
      <w:tr w:rsidR="000818DC" w:rsidRPr="00F0240D" w:rsidTr="000818DC">
        <w:trPr>
          <w:cnfStyle w:val="100000000000" w:firstRow="1" w:lastRow="0" w:firstColumn="0" w:lastColumn="0" w:oddVBand="0" w:evenVBand="0" w:oddHBand="0" w:evenHBand="0" w:firstRowFirstColumn="0" w:firstRowLastColumn="0" w:lastRowFirstColumn="0" w:lastRowLastColumn="0"/>
          <w:trHeight w:val="608"/>
        </w:trPr>
        <w:tc>
          <w:tcPr>
            <w:tcW w:w="1384" w:type="dxa"/>
          </w:tcPr>
          <w:p w:rsidR="000818DC" w:rsidRPr="00F0240D" w:rsidRDefault="000818DC" w:rsidP="0052092A">
            <w:pPr>
              <w:ind w:left="0" w:right="0"/>
              <w:rPr>
                <w:sz w:val="20"/>
                <w:szCs w:val="20"/>
              </w:rPr>
            </w:pPr>
            <w:r w:rsidRPr="00F0240D">
              <w:rPr>
                <w:sz w:val="20"/>
                <w:szCs w:val="20"/>
              </w:rPr>
              <w:t>PK topic</w:t>
            </w:r>
          </w:p>
        </w:tc>
        <w:tc>
          <w:tcPr>
            <w:tcW w:w="1418" w:type="dxa"/>
          </w:tcPr>
          <w:p w:rsidR="000818DC" w:rsidRPr="00F0240D" w:rsidRDefault="000818DC" w:rsidP="0052092A">
            <w:pPr>
              <w:ind w:left="0" w:right="0"/>
              <w:rPr>
                <w:sz w:val="20"/>
                <w:szCs w:val="20"/>
              </w:rPr>
            </w:pPr>
            <w:r w:rsidRPr="00F0240D">
              <w:rPr>
                <w:sz w:val="20"/>
                <w:szCs w:val="20"/>
              </w:rPr>
              <w:t>Subtopic</w:t>
            </w:r>
          </w:p>
        </w:tc>
        <w:tc>
          <w:tcPr>
            <w:tcW w:w="1701" w:type="dxa"/>
          </w:tcPr>
          <w:p w:rsidR="000818DC" w:rsidRPr="00F0240D" w:rsidRDefault="000818DC" w:rsidP="0052092A">
            <w:pPr>
              <w:ind w:left="0" w:right="0"/>
              <w:rPr>
                <w:sz w:val="20"/>
                <w:szCs w:val="20"/>
              </w:rPr>
            </w:pPr>
            <w:r w:rsidRPr="00F0240D">
              <w:rPr>
                <w:sz w:val="20"/>
                <w:szCs w:val="20"/>
              </w:rPr>
              <w:t>Study ID</w:t>
            </w:r>
          </w:p>
        </w:tc>
        <w:tc>
          <w:tcPr>
            <w:tcW w:w="4394" w:type="dxa"/>
          </w:tcPr>
          <w:p w:rsidR="000818DC" w:rsidRPr="00F0240D" w:rsidRDefault="000818DC" w:rsidP="0052092A">
            <w:pPr>
              <w:ind w:left="0" w:right="0"/>
              <w:rPr>
                <w:sz w:val="20"/>
                <w:szCs w:val="20"/>
              </w:rPr>
            </w:pPr>
            <w:r>
              <w:rPr>
                <w:sz w:val="20"/>
                <w:szCs w:val="20"/>
              </w:rPr>
              <w:t>Primary Aim of the study</w:t>
            </w:r>
          </w:p>
        </w:tc>
      </w:tr>
      <w:tr w:rsidR="000818DC" w:rsidRPr="00F0240D" w:rsidTr="0052092A">
        <w:tc>
          <w:tcPr>
            <w:tcW w:w="1384" w:type="dxa"/>
            <w:vMerge w:val="restart"/>
          </w:tcPr>
          <w:p w:rsidR="000818DC" w:rsidRPr="00F0240D" w:rsidRDefault="000818DC" w:rsidP="0052092A">
            <w:pPr>
              <w:ind w:left="0" w:right="0"/>
              <w:rPr>
                <w:sz w:val="20"/>
                <w:szCs w:val="20"/>
              </w:rPr>
            </w:pPr>
            <w:r w:rsidRPr="00F0240D">
              <w:rPr>
                <w:sz w:val="20"/>
                <w:szCs w:val="20"/>
              </w:rPr>
              <w:t>PK in healthy adults</w:t>
            </w:r>
          </w:p>
        </w:tc>
        <w:tc>
          <w:tcPr>
            <w:tcW w:w="1418" w:type="dxa"/>
          </w:tcPr>
          <w:p w:rsidR="000818DC" w:rsidRPr="00F0240D" w:rsidRDefault="000818DC" w:rsidP="0052092A">
            <w:pPr>
              <w:ind w:left="0" w:right="0"/>
              <w:rPr>
                <w:sz w:val="20"/>
                <w:szCs w:val="20"/>
              </w:rPr>
            </w:pPr>
            <w:r w:rsidRPr="00F0240D">
              <w:rPr>
                <w:sz w:val="20"/>
                <w:szCs w:val="20"/>
              </w:rPr>
              <w:t>PK Single dose†</w:t>
            </w:r>
          </w:p>
        </w:tc>
        <w:tc>
          <w:tcPr>
            <w:tcW w:w="1701" w:type="dxa"/>
          </w:tcPr>
          <w:p w:rsidR="000818DC" w:rsidRPr="00F0240D" w:rsidRDefault="000818DC" w:rsidP="0052092A">
            <w:pPr>
              <w:ind w:left="0" w:right="0"/>
              <w:rPr>
                <w:sz w:val="20"/>
                <w:szCs w:val="20"/>
              </w:rPr>
            </w:pPr>
            <w:r w:rsidRPr="00F0240D">
              <w:rPr>
                <w:sz w:val="20"/>
                <w:szCs w:val="20"/>
              </w:rPr>
              <w:t>GS-US-342-</w:t>
            </w:r>
            <w:r w:rsidRPr="0046558C">
              <w:rPr>
                <w:sz w:val="20"/>
                <w:szCs w:val="20"/>
              </w:rPr>
              <w:t>0104</w:t>
            </w:r>
          </w:p>
        </w:tc>
        <w:tc>
          <w:tcPr>
            <w:tcW w:w="4394" w:type="dxa"/>
          </w:tcPr>
          <w:p w:rsidR="000818DC" w:rsidRPr="00F0240D" w:rsidRDefault="000818DC" w:rsidP="0052092A">
            <w:pPr>
              <w:ind w:left="0" w:right="0"/>
              <w:rPr>
                <w:sz w:val="20"/>
                <w:szCs w:val="20"/>
              </w:rPr>
            </w:pPr>
            <w:r w:rsidRPr="00567626">
              <w:rPr>
                <w:sz w:val="20"/>
                <w:szCs w:val="20"/>
              </w:rPr>
              <w:t xml:space="preserve">Relative </w:t>
            </w:r>
            <w:r w:rsidR="00567626" w:rsidRPr="00567626">
              <w:rPr>
                <w:sz w:val="20"/>
                <w:szCs w:val="20"/>
              </w:rPr>
              <w:t>bioavailability</w:t>
            </w:r>
            <w:r w:rsidRPr="00F0240D">
              <w:rPr>
                <w:sz w:val="20"/>
                <w:szCs w:val="20"/>
              </w:rPr>
              <w:t xml:space="preserve"> of FDC tablets relative to free combination and the effect of food</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Multi-dose</w:t>
            </w:r>
          </w:p>
        </w:tc>
        <w:tc>
          <w:tcPr>
            <w:tcW w:w="1701" w:type="dxa"/>
          </w:tcPr>
          <w:p w:rsidR="000818DC" w:rsidRPr="00F0240D" w:rsidRDefault="000818DC" w:rsidP="0052092A">
            <w:pPr>
              <w:ind w:left="0" w:right="0"/>
              <w:rPr>
                <w:sz w:val="20"/>
                <w:szCs w:val="20"/>
              </w:rPr>
            </w:pPr>
            <w:r w:rsidRPr="00F0240D">
              <w:rPr>
                <w:sz w:val="20"/>
                <w:szCs w:val="20"/>
              </w:rPr>
              <w:t>GS-US-281-0101</w:t>
            </w:r>
          </w:p>
        </w:tc>
        <w:tc>
          <w:tcPr>
            <w:tcW w:w="4394" w:type="dxa"/>
          </w:tcPr>
          <w:p w:rsidR="000818DC" w:rsidRPr="00F0240D" w:rsidRDefault="000818DC" w:rsidP="0052092A">
            <w:pPr>
              <w:ind w:left="0" w:right="0"/>
              <w:rPr>
                <w:sz w:val="20"/>
                <w:szCs w:val="20"/>
              </w:rPr>
            </w:pPr>
            <w:r w:rsidRPr="00F0240D">
              <w:rPr>
                <w:sz w:val="20"/>
                <w:szCs w:val="20"/>
              </w:rPr>
              <w:t>PKs of escalating single and multiple oral doses of VEL</w:t>
            </w:r>
          </w:p>
        </w:tc>
      </w:tr>
      <w:tr w:rsidR="000818DC" w:rsidRPr="00F0240D" w:rsidTr="0052092A">
        <w:tc>
          <w:tcPr>
            <w:tcW w:w="1384" w:type="dxa"/>
            <w:vMerge w:val="restart"/>
          </w:tcPr>
          <w:p w:rsidR="000818DC" w:rsidRPr="00F0240D" w:rsidRDefault="000818DC" w:rsidP="0052092A">
            <w:pPr>
              <w:ind w:left="0" w:right="0"/>
              <w:rPr>
                <w:sz w:val="20"/>
                <w:szCs w:val="20"/>
              </w:rPr>
            </w:pPr>
            <w:r w:rsidRPr="00F0240D">
              <w:rPr>
                <w:sz w:val="20"/>
                <w:szCs w:val="20"/>
              </w:rPr>
              <w:t>Special Populations</w:t>
            </w:r>
          </w:p>
        </w:tc>
        <w:tc>
          <w:tcPr>
            <w:tcW w:w="1418" w:type="dxa"/>
          </w:tcPr>
          <w:p w:rsidR="000818DC" w:rsidRPr="00F0240D" w:rsidRDefault="000818DC" w:rsidP="0052092A">
            <w:pPr>
              <w:ind w:left="0" w:right="0"/>
              <w:rPr>
                <w:sz w:val="20"/>
                <w:szCs w:val="20"/>
              </w:rPr>
            </w:pPr>
            <w:r w:rsidRPr="00F0240D">
              <w:rPr>
                <w:sz w:val="20"/>
                <w:szCs w:val="20"/>
              </w:rPr>
              <w:t>Hepatic Impairment</w:t>
            </w:r>
          </w:p>
        </w:tc>
        <w:tc>
          <w:tcPr>
            <w:tcW w:w="1701" w:type="dxa"/>
          </w:tcPr>
          <w:p w:rsidR="000818DC" w:rsidRPr="00F0240D" w:rsidRDefault="000818DC" w:rsidP="0052092A">
            <w:pPr>
              <w:ind w:left="0" w:right="0"/>
              <w:rPr>
                <w:sz w:val="20"/>
                <w:szCs w:val="20"/>
              </w:rPr>
            </w:pPr>
            <w:r w:rsidRPr="00F0240D">
              <w:rPr>
                <w:sz w:val="20"/>
                <w:szCs w:val="20"/>
              </w:rPr>
              <w:t>GS-US-281-0112</w:t>
            </w:r>
          </w:p>
        </w:tc>
        <w:tc>
          <w:tcPr>
            <w:tcW w:w="4394" w:type="dxa"/>
          </w:tcPr>
          <w:p w:rsidR="000818DC" w:rsidRPr="00F0240D" w:rsidRDefault="000818DC" w:rsidP="0052092A">
            <w:pPr>
              <w:ind w:left="0" w:right="0"/>
              <w:rPr>
                <w:sz w:val="20"/>
                <w:szCs w:val="20"/>
              </w:rPr>
            </w:pPr>
            <w:r>
              <w:rPr>
                <w:sz w:val="20"/>
                <w:szCs w:val="20"/>
              </w:rPr>
              <w:t xml:space="preserve">Single </w:t>
            </w:r>
            <w:r w:rsidRPr="00F0240D">
              <w:rPr>
                <w:sz w:val="20"/>
                <w:szCs w:val="20"/>
              </w:rPr>
              <w:t>dose PKs of VEL in subjects with normal hepatic function, moderate and severe hepatic impairment</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Renal Impairment</w:t>
            </w:r>
          </w:p>
        </w:tc>
        <w:tc>
          <w:tcPr>
            <w:tcW w:w="1701" w:type="dxa"/>
          </w:tcPr>
          <w:p w:rsidR="000818DC" w:rsidRPr="00F0240D" w:rsidRDefault="000818DC" w:rsidP="0052092A">
            <w:pPr>
              <w:ind w:left="0" w:right="0"/>
              <w:rPr>
                <w:sz w:val="20"/>
                <w:szCs w:val="20"/>
              </w:rPr>
            </w:pPr>
            <w:r w:rsidRPr="00F0240D">
              <w:rPr>
                <w:sz w:val="20"/>
                <w:szCs w:val="20"/>
              </w:rPr>
              <w:t>GS-US-281-1056</w:t>
            </w:r>
          </w:p>
        </w:tc>
        <w:tc>
          <w:tcPr>
            <w:tcW w:w="4394" w:type="dxa"/>
          </w:tcPr>
          <w:p w:rsidR="000818DC" w:rsidRPr="00F0240D" w:rsidRDefault="000818DC" w:rsidP="0052092A">
            <w:pPr>
              <w:ind w:left="0" w:right="0"/>
              <w:rPr>
                <w:sz w:val="20"/>
                <w:szCs w:val="20"/>
              </w:rPr>
            </w:pPr>
            <w:r w:rsidRPr="00F0240D">
              <w:rPr>
                <w:sz w:val="20"/>
                <w:szCs w:val="20"/>
              </w:rPr>
              <w:t>Single-dose PKs of VEL in subjects with severe renal impairment and matched healthy subjects</w:t>
            </w:r>
          </w:p>
        </w:tc>
      </w:tr>
      <w:tr w:rsidR="000818DC" w:rsidRPr="00F0240D" w:rsidTr="0052092A">
        <w:tc>
          <w:tcPr>
            <w:tcW w:w="1384" w:type="dxa"/>
          </w:tcPr>
          <w:p w:rsidR="000818DC" w:rsidRPr="00F0240D" w:rsidRDefault="000818DC" w:rsidP="0052092A">
            <w:pPr>
              <w:ind w:left="0" w:right="0"/>
              <w:rPr>
                <w:sz w:val="20"/>
                <w:szCs w:val="20"/>
              </w:rPr>
            </w:pPr>
            <w:r w:rsidRPr="00F0240D">
              <w:rPr>
                <w:sz w:val="20"/>
                <w:szCs w:val="20"/>
              </w:rPr>
              <w:t>Mass Balance</w:t>
            </w:r>
          </w:p>
        </w:tc>
        <w:tc>
          <w:tcPr>
            <w:tcW w:w="1418" w:type="dxa"/>
          </w:tcPr>
          <w:p w:rsidR="000818DC" w:rsidRPr="00F0240D" w:rsidRDefault="000818DC" w:rsidP="0052092A">
            <w:pPr>
              <w:ind w:left="0" w:right="0"/>
              <w:rPr>
                <w:sz w:val="20"/>
                <w:szCs w:val="20"/>
              </w:rPr>
            </w:pPr>
            <w:r w:rsidRPr="00F0240D">
              <w:rPr>
                <w:sz w:val="20"/>
                <w:szCs w:val="20"/>
              </w:rPr>
              <w:t>Healthy subjects</w:t>
            </w:r>
          </w:p>
        </w:tc>
        <w:tc>
          <w:tcPr>
            <w:tcW w:w="1701" w:type="dxa"/>
          </w:tcPr>
          <w:p w:rsidR="000818DC" w:rsidRPr="00F0240D" w:rsidRDefault="000818DC" w:rsidP="0052092A">
            <w:pPr>
              <w:ind w:left="0" w:right="0"/>
              <w:rPr>
                <w:sz w:val="20"/>
                <w:szCs w:val="20"/>
              </w:rPr>
            </w:pPr>
            <w:r w:rsidRPr="00F0240D">
              <w:rPr>
                <w:sz w:val="20"/>
                <w:szCs w:val="20"/>
              </w:rPr>
              <w:t>GS-US-281-1055</w:t>
            </w:r>
          </w:p>
        </w:tc>
        <w:tc>
          <w:tcPr>
            <w:tcW w:w="4394" w:type="dxa"/>
          </w:tcPr>
          <w:p w:rsidR="000818DC" w:rsidRPr="00F0240D" w:rsidRDefault="000818DC" w:rsidP="0052092A">
            <w:pPr>
              <w:ind w:left="0" w:right="0"/>
              <w:rPr>
                <w:sz w:val="20"/>
                <w:szCs w:val="20"/>
              </w:rPr>
            </w:pPr>
            <w:r w:rsidRPr="00F0240D">
              <w:rPr>
                <w:sz w:val="20"/>
                <w:szCs w:val="20"/>
              </w:rPr>
              <w:t xml:space="preserve">Mass balance of VEL using a single dose of radiolabelled </w:t>
            </w:r>
            <w:r w:rsidRPr="00F0240D">
              <w:t>[</w:t>
            </w:r>
            <w:r w:rsidR="00F044A6" w:rsidRPr="00F044A6">
              <w:rPr>
                <w:vertAlign w:val="superscript"/>
              </w:rPr>
              <w:t>14</w:t>
            </w:r>
            <w:r w:rsidR="00F044A6" w:rsidRPr="00604A4F">
              <w:t>C</w:t>
            </w:r>
            <w:r w:rsidRPr="00F0240D">
              <w:t>]</w:t>
            </w:r>
            <w:r w:rsidRPr="00F0240D">
              <w:rPr>
                <w:sz w:val="20"/>
                <w:szCs w:val="20"/>
              </w:rPr>
              <w:t>VEL</w:t>
            </w:r>
          </w:p>
        </w:tc>
      </w:tr>
      <w:tr w:rsidR="000818DC" w:rsidRPr="00F0240D" w:rsidTr="0052092A">
        <w:tc>
          <w:tcPr>
            <w:tcW w:w="1384" w:type="dxa"/>
          </w:tcPr>
          <w:p w:rsidR="000818DC" w:rsidRPr="00F0240D" w:rsidRDefault="000818DC" w:rsidP="0052092A">
            <w:pPr>
              <w:ind w:left="0" w:right="0"/>
              <w:rPr>
                <w:sz w:val="20"/>
                <w:szCs w:val="20"/>
              </w:rPr>
            </w:pPr>
            <w:proofErr w:type="spellStart"/>
            <w:r w:rsidRPr="00F0240D">
              <w:rPr>
                <w:sz w:val="20"/>
                <w:szCs w:val="20"/>
              </w:rPr>
              <w:t>PopPK</w:t>
            </w:r>
            <w:proofErr w:type="spellEnd"/>
          </w:p>
        </w:tc>
        <w:tc>
          <w:tcPr>
            <w:tcW w:w="1418" w:type="dxa"/>
          </w:tcPr>
          <w:p w:rsidR="000818DC" w:rsidRPr="00F0240D" w:rsidRDefault="000818DC" w:rsidP="0052092A">
            <w:pPr>
              <w:ind w:left="0" w:right="0"/>
              <w:rPr>
                <w:sz w:val="20"/>
                <w:szCs w:val="20"/>
              </w:rPr>
            </w:pPr>
            <w:r w:rsidRPr="00F0240D">
              <w:rPr>
                <w:sz w:val="20"/>
                <w:szCs w:val="20"/>
              </w:rPr>
              <w:t xml:space="preserve">Healthy and </w:t>
            </w:r>
            <w:r>
              <w:rPr>
                <w:sz w:val="20"/>
                <w:szCs w:val="20"/>
              </w:rPr>
              <w:t>HCV infected</w:t>
            </w:r>
          </w:p>
        </w:tc>
        <w:tc>
          <w:tcPr>
            <w:tcW w:w="1701" w:type="dxa"/>
          </w:tcPr>
          <w:p w:rsidR="000818DC" w:rsidRPr="00F0240D" w:rsidRDefault="000818DC" w:rsidP="0052092A">
            <w:pPr>
              <w:ind w:left="0" w:right="0"/>
              <w:rPr>
                <w:sz w:val="20"/>
                <w:szCs w:val="20"/>
              </w:rPr>
            </w:pPr>
            <w:r w:rsidRPr="00F0240D">
              <w:rPr>
                <w:sz w:val="20"/>
                <w:szCs w:val="20"/>
              </w:rPr>
              <w:t>15-0001 to 15-0003</w:t>
            </w:r>
          </w:p>
        </w:tc>
        <w:tc>
          <w:tcPr>
            <w:tcW w:w="4394" w:type="dxa"/>
          </w:tcPr>
          <w:p w:rsidR="000818DC" w:rsidRPr="00F0240D" w:rsidRDefault="000818DC" w:rsidP="0052092A">
            <w:pPr>
              <w:ind w:left="0" w:right="0"/>
              <w:rPr>
                <w:sz w:val="20"/>
                <w:szCs w:val="20"/>
              </w:rPr>
            </w:pPr>
            <w:r w:rsidRPr="00F0240D">
              <w:rPr>
                <w:sz w:val="20"/>
                <w:szCs w:val="20"/>
              </w:rPr>
              <w:t xml:space="preserve">Develop </w:t>
            </w:r>
            <w:proofErr w:type="spellStart"/>
            <w:r w:rsidRPr="00F0240D">
              <w:rPr>
                <w:sz w:val="20"/>
                <w:szCs w:val="20"/>
              </w:rPr>
              <w:t>popPK</w:t>
            </w:r>
            <w:proofErr w:type="spellEnd"/>
            <w:r w:rsidRPr="00F0240D">
              <w:rPr>
                <w:sz w:val="20"/>
                <w:szCs w:val="20"/>
              </w:rPr>
              <w:t xml:space="preserve"> models for VEL, SOF, and GS-331007 in healthy and </w:t>
            </w:r>
            <w:r>
              <w:rPr>
                <w:sz w:val="20"/>
                <w:szCs w:val="20"/>
              </w:rPr>
              <w:t>HCV infected</w:t>
            </w:r>
            <w:r w:rsidRPr="00F0240D">
              <w:rPr>
                <w:sz w:val="20"/>
                <w:szCs w:val="20"/>
              </w:rPr>
              <w:t xml:space="preserve"> subjects</w:t>
            </w:r>
          </w:p>
        </w:tc>
      </w:tr>
      <w:tr w:rsidR="000818DC" w:rsidRPr="00F0240D" w:rsidTr="0052092A">
        <w:tc>
          <w:tcPr>
            <w:tcW w:w="1384" w:type="dxa"/>
          </w:tcPr>
          <w:p w:rsidR="000818DC" w:rsidRPr="00F0240D" w:rsidRDefault="000818DC" w:rsidP="0052092A">
            <w:pPr>
              <w:ind w:left="0" w:right="0"/>
              <w:rPr>
                <w:sz w:val="20"/>
                <w:szCs w:val="20"/>
              </w:rPr>
            </w:pPr>
            <w:r w:rsidRPr="00F0240D">
              <w:rPr>
                <w:sz w:val="20"/>
                <w:szCs w:val="20"/>
              </w:rPr>
              <w:t>Target Population§</w:t>
            </w:r>
          </w:p>
        </w:tc>
        <w:tc>
          <w:tcPr>
            <w:tcW w:w="1418" w:type="dxa"/>
          </w:tcPr>
          <w:p w:rsidR="000818DC" w:rsidRPr="00F0240D" w:rsidRDefault="000818DC" w:rsidP="0052092A">
            <w:pPr>
              <w:ind w:left="0" w:right="0"/>
              <w:rPr>
                <w:sz w:val="20"/>
                <w:szCs w:val="20"/>
              </w:rPr>
            </w:pPr>
            <w:r>
              <w:rPr>
                <w:sz w:val="20"/>
                <w:szCs w:val="20"/>
              </w:rPr>
              <w:t>HCV infected</w:t>
            </w:r>
          </w:p>
        </w:tc>
        <w:tc>
          <w:tcPr>
            <w:tcW w:w="1701" w:type="dxa"/>
          </w:tcPr>
          <w:p w:rsidR="000818DC" w:rsidRPr="00F0240D" w:rsidRDefault="000818DC" w:rsidP="0052092A">
            <w:pPr>
              <w:ind w:left="0" w:right="0"/>
              <w:rPr>
                <w:sz w:val="20"/>
                <w:szCs w:val="20"/>
              </w:rPr>
            </w:pPr>
            <w:r w:rsidRPr="00F0240D">
              <w:rPr>
                <w:sz w:val="20"/>
                <w:szCs w:val="20"/>
              </w:rPr>
              <w:t>GS-US-281-0102</w:t>
            </w:r>
          </w:p>
        </w:tc>
        <w:tc>
          <w:tcPr>
            <w:tcW w:w="4394" w:type="dxa"/>
          </w:tcPr>
          <w:p w:rsidR="000818DC" w:rsidRPr="00F0240D" w:rsidRDefault="000818DC" w:rsidP="0052092A">
            <w:pPr>
              <w:ind w:left="0" w:right="0"/>
              <w:rPr>
                <w:sz w:val="20"/>
                <w:szCs w:val="20"/>
              </w:rPr>
            </w:pPr>
            <w:r w:rsidRPr="00F0240D">
              <w:rPr>
                <w:sz w:val="20"/>
                <w:szCs w:val="20"/>
              </w:rPr>
              <w:t>PKs following escalating multiple oral doses of VEL in subjects infected with HCV</w:t>
            </w:r>
          </w:p>
        </w:tc>
      </w:tr>
      <w:tr w:rsidR="000818DC" w:rsidRPr="00F0240D" w:rsidTr="0052092A">
        <w:tc>
          <w:tcPr>
            <w:tcW w:w="1384" w:type="dxa"/>
            <w:vMerge w:val="restart"/>
          </w:tcPr>
          <w:p w:rsidR="000818DC" w:rsidRPr="00F0240D" w:rsidRDefault="000818DC" w:rsidP="0052092A">
            <w:pPr>
              <w:ind w:left="0" w:right="0"/>
              <w:rPr>
                <w:sz w:val="20"/>
                <w:szCs w:val="20"/>
              </w:rPr>
            </w:pPr>
            <w:r w:rsidRPr="00F0240D">
              <w:rPr>
                <w:sz w:val="20"/>
                <w:szCs w:val="20"/>
              </w:rPr>
              <w:t>Drug-drug Interactions</w:t>
            </w:r>
          </w:p>
        </w:tc>
        <w:tc>
          <w:tcPr>
            <w:tcW w:w="1418" w:type="dxa"/>
          </w:tcPr>
          <w:p w:rsidR="000818DC" w:rsidRPr="00F0240D" w:rsidRDefault="000818DC" w:rsidP="00567626">
            <w:pPr>
              <w:ind w:left="0" w:right="0"/>
              <w:rPr>
                <w:sz w:val="20"/>
                <w:szCs w:val="20"/>
              </w:rPr>
            </w:pPr>
            <w:r w:rsidRPr="00F0240D">
              <w:rPr>
                <w:sz w:val="20"/>
                <w:szCs w:val="20"/>
              </w:rPr>
              <w:t xml:space="preserve">FDC and </w:t>
            </w:r>
            <w:r w:rsidR="00567626">
              <w:rPr>
                <w:sz w:val="20"/>
                <w:szCs w:val="20"/>
              </w:rPr>
              <w:t>, ARV</w:t>
            </w:r>
            <w:r w:rsidRPr="00F0240D">
              <w:rPr>
                <w:sz w:val="20"/>
                <w:szCs w:val="20"/>
              </w:rPr>
              <w:t>s</w:t>
            </w:r>
          </w:p>
        </w:tc>
        <w:tc>
          <w:tcPr>
            <w:tcW w:w="1701" w:type="dxa"/>
          </w:tcPr>
          <w:p w:rsidR="000818DC" w:rsidRPr="00F0240D" w:rsidRDefault="000818DC" w:rsidP="0052092A">
            <w:pPr>
              <w:ind w:left="0" w:right="0"/>
              <w:rPr>
                <w:sz w:val="20"/>
                <w:szCs w:val="20"/>
              </w:rPr>
            </w:pPr>
            <w:r w:rsidRPr="00F0240D">
              <w:rPr>
                <w:sz w:val="20"/>
                <w:szCs w:val="20"/>
              </w:rPr>
              <w:t>GS-US-342-1167</w:t>
            </w:r>
          </w:p>
        </w:tc>
        <w:tc>
          <w:tcPr>
            <w:tcW w:w="4394" w:type="dxa"/>
          </w:tcPr>
          <w:p w:rsidR="000818DC" w:rsidRPr="00F0240D" w:rsidRDefault="000818DC" w:rsidP="0052092A">
            <w:pPr>
              <w:ind w:left="0" w:right="0"/>
              <w:rPr>
                <w:sz w:val="20"/>
                <w:szCs w:val="20"/>
              </w:rPr>
            </w:pPr>
            <w:r w:rsidRPr="00F0240D">
              <w:rPr>
                <w:sz w:val="20"/>
                <w:szCs w:val="20"/>
              </w:rPr>
              <w:t xml:space="preserve">PKs of SOF, its metabolites and VEL upon co-administration </w:t>
            </w:r>
            <w:r>
              <w:rPr>
                <w:sz w:val="20"/>
                <w:szCs w:val="20"/>
              </w:rPr>
              <w:t xml:space="preserve">with ATR; EFV/FTC/TDF, </w:t>
            </w:r>
            <w:proofErr w:type="spellStart"/>
            <w:r>
              <w:rPr>
                <w:sz w:val="20"/>
                <w:szCs w:val="20"/>
              </w:rPr>
              <w:t>Complera</w:t>
            </w:r>
            <w:proofErr w:type="spellEnd"/>
            <w:r>
              <w:rPr>
                <w:sz w:val="20"/>
                <w:szCs w:val="20"/>
              </w:rPr>
              <w:t xml:space="preserve">, </w:t>
            </w:r>
            <w:proofErr w:type="spellStart"/>
            <w:r>
              <w:rPr>
                <w:sz w:val="20"/>
                <w:szCs w:val="20"/>
              </w:rPr>
              <w:t>Tivicay</w:t>
            </w:r>
            <w:proofErr w:type="spellEnd"/>
            <w:r w:rsidRPr="00F0240D">
              <w:rPr>
                <w:sz w:val="20"/>
                <w:szCs w:val="20"/>
              </w:rPr>
              <w:t>, or EVG/COBI/FTC/TAF</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p>
        </w:tc>
        <w:tc>
          <w:tcPr>
            <w:tcW w:w="1701" w:type="dxa"/>
          </w:tcPr>
          <w:p w:rsidR="000818DC" w:rsidRPr="00F0240D" w:rsidRDefault="000818DC" w:rsidP="0052092A">
            <w:pPr>
              <w:ind w:left="0" w:right="0"/>
              <w:rPr>
                <w:sz w:val="20"/>
                <w:szCs w:val="20"/>
              </w:rPr>
            </w:pPr>
            <w:r w:rsidRPr="00F0240D">
              <w:rPr>
                <w:sz w:val="20"/>
                <w:szCs w:val="20"/>
              </w:rPr>
              <w:t>GS-US-342-1326</w:t>
            </w:r>
          </w:p>
        </w:tc>
        <w:tc>
          <w:tcPr>
            <w:tcW w:w="4394" w:type="dxa"/>
          </w:tcPr>
          <w:p w:rsidR="000818DC" w:rsidRPr="00F0240D" w:rsidRDefault="000818DC" w:rsidP="0052092A">
            <w:pPr>
              <w:ind w:left="0" w:right="0"/>
              <w:rPr>
                <w:sz w:val="20"/>
                <w:szCs w:val="20"/>
              </w:rPr>
            </w:pPr>
            <w:r w:rsidRPr="00F0240D">
              <w:rPr>
                <w:sz w:val="20"/>
                <w:szCs w:val="20"/>
              </w:rPr>
              <w:t>PKs of SOF, its metabolites and VEL upon co-administration with EVG/COBI/FTC/TDF, DRV + RTV + FTC/TDF, ATV + RTV + FTC/TDF, LPV/RTV + FTC/TDF or RAL + FTC/TDF</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vMerge w:val="restart"/>
          </w:tcPr>
          <w:p w:rsidR="000818DC" w:rsidRPr="00F0240D" w:rsidRDefault="000818DC" w:rsidP="00721A33">
            <w:pPr>
              <w:ind w:left="0" w:right="0"/>
              <w:rPr>
                <w:sz w:val="20"/>
                <w:szCs w:val="20"/>
              </w:rPr>
            </w:pPr>
            <w:r w:rsidRPr="00F0240D">
              <w:rPr>
                <w:sz w:val="20"/>
                <w:szCs w:val="20"/>
              </w:rPr>
              <w:t>FDC and s</w:t>
            </w:r>
          </w:p>
        </w:tc>
        <w:tc>
          <w:tcPr>
            <w:tcW w:w="1701" w:type="dxa"/>
          </w:tcPr>
          <w:p w:rsidR="000818DC" w:rsidRPr="00F0240D" w:rsidRDefault="000818DC" w:rsidP="0052092A">
            <w:pPr>
              <w:ind w:left="0" w:right="0"/>
              <w:rPr>
                <w:sz w:val="20"/>
                <w:szCs w:val="20"/>
              </w:rPr>
            </w:pPr>
            <w:r w:rsidRPr="00F0240D">
              <w:rPr>
                <w:sz w:val="20"/>
                <w:szCs w:val="20"/>
              </w:rPr>
              <w:t>GS-US-342-1709</w:t>
            </w:r>
          </w:p>
        </w:tc>
        <w:tc>
          <w:tcPr>
            <w:tcW w:w="4394" w:type="dxa"/>
          </w:tcPr>
          <w:p w:rsidR="000818DC" w:rsidRPr="00F0240D" w:rsidRDefault="000818DC" w:rsidP="0052092A">
            <w:pPr>
              <w:ind w:left="0" w:right="0"/>
              <w:rPr>
                <w:sz w:val="20"/>
                <w:szCs w:val="20"/>
              </w:rPr>
            </w:pPr>
            <w:r w:rsidRPr="00F0240D">
              <w:rPr>
                <w:sz w:val="20"/>
                <w:szCs w:val="20"/>
              </w:rPr>
              <w:t>PKs of SOF/VEL upon co-administration with a representative PPI and food</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vMerge/>
          </w:tcPr>
          <w:p w:rsidR="000818DC" w:rsidRPr="00F0240D" w:rsidRDefault="000818DC" w:rsidP="0052092A">
            <w:pPr>
              <w:ind w:left="0" w:right="0"/>
              <w:rPr>
                <w:sz w:val="20"/>
                <w:szCs w:val="20"/>
              </w:rPr>
            </w:pPr>
          </w:p>
        </w:tc>
        <w:tc>
          <w:tcPr>
            <w:tcW w:w="1701" w:type="dxa"/>
          </w:tcPr>
          <w:p w:rsidR="000818DC" w:rsidRPr="00F0240D" w:rsidRDefault="000818DC" w:rsidP="0052092A">
            <w:pPr>
              <w:ind w:left="0" w:right="0"/>
              <w:rPr>
                <w:sz w:val="20"/>
                <w:szCs w:val="20"/>
              </w:rPr>
            </w:pPr>
            <w:r w:rsidRPr="00F0240D">
              <w:rPr>
                <w:sz w:val="20"/>
                <w:szCs w:val="20"/>
              </w:rPr>
              <w:t>GS-US-342-1346</w:t>
            </w:r>
          </w:p>
        </w:tc>
        <w:tc>
          <w:tcPr>
            <w:tcW w:w="4394" w:type="dxa"/>
          </w:tcPr>
          <w:p w:rsidR="000818DC" w:rsidRPr="00F0240D" w:rsidRDefault="000818DC" w:rsidP="0052092A">
            <w:pPr>
              <w:ind w:left="0" w:right="0"/>
              <w:rPr>
                <w:sz w:val="20"/>
                <w:szCs w:val="20"/>
              </w:rPr>
            </w:pPr>
            <w:r w:rsidRPr="00F0240D">
              <w:rPr>
                <w:sz w:val="20"/>
                <w:szCs w:val="20"/>
              </w:rPr>
              <w:t>PKs of SOF/VEL upon co-administration with a representative H2RA or PPI.</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VEL and OATP/BCRP/P-</w:t>
            </w:r>
            <w:proofErr w:type="spellStart"/>
            <w:r w:rsidRPr="00F0240D">
              <w:rPr>
                <w:sz w:val="20"/>
                <w:szCs w:val="20"/>
              </w:rPr>
              <w:t>gp</w:t>
            </w:r>
            <w:proofErr w:type="spellEnd"/>
            <w:r w:rsidRPr="00F0240D">
              <w:rPr>
                <w:sz w:val="20"/>
                <w:szCs w:val="20"/>
              </w:rPr>
              <w:t>/CYP substrates, inhibitors and inducers</w:t>
            </w:r>
          </w:p>
        </w:tc>
        <w:tc>
          <w:tcPr>
            <w:tcW w:w="1701" w:type="dxa"/>
          </w:tcPr>
          <w:p w:rsidR="000818DC" w:rsidRPr="00F0240D" w:rsidRDefault="000818DC" w:rsidP="0052092A">
            <w:pPr>
              <w:ind w:left="0" w:right="0"/>
              <w:rPr>
                <w:sz w:val="20"/>
                <w:szCs w:val="20"/>
              </w:rPr>
            </w:pPr>
            <w:r w:rsidRPr="00F0240D">
              <w:rPr>
                <w:sz w:val="20"/>
                <w:szCs w:val="20"/>
              </w:rPr>
              <w:t>GS-US-281-0115</w:t>
            </w:r>
          </w:p>
        </w:tc>
        <w:tc>
          <w:tcPr>
            <w:tcW w:w="4394" w:type="dxa"/>
          </w:tcPr>
          <w:p w:rsidR="000818DC" w:rsidRPr="00F0240D" w:rsidRDefault="000818DC" w:rsidP="0052092A">
            <w:pPr>
              <w:ind w:left="0" w:right="0"/>
              <w:rPr>
                <w:sz w:val="20"/>
                <w:szCs w:val="20"/>
              </w:rPr>
            </w:pPr>
            <w:r w:rsidRPr="00F0240D">
              <w:rPr>
                <w:sz w:val="20"/>
                <w:szCs w:val="20"/>
              </w:rPr>
              <w:t>Effect of VEL on OATP/BCRP and P-</w:t>
            </w:r>
            <w:proofErr w:type="spellStart"/>
            <w:r w:rsidRPr="00F0240D">
              <w:rPr>
                <w:sz w:val="20"/>
                <w:szCs w:val="20"/>
              </w:rPr>
              <w:t>gp</w:t>
            </w:r>
            <w:proofErr w:type="spellEnd"/>
            <w:r w:rsidRPr="00F0240D">
              <w:rPr>
                <w:sz w:val="20"/>
                <w:szCs w:val="20"/>
              </w:rPr>
              <w:t xml:space="preserve"> substrates; CYP3A/CYP2C8/P-</w:t>
            </w:r>
            <w:proofErr w:type="spellStart"/>
            <w:r w:rsidRPr="00F0240D">
              <w:rPr>
                <w:sz w:val="20"/>
                <w:szCs w:val="20"/>
              </w:rPr>
              <w:t>gp</w:t>
            </w:r>
            <w:proofErr w:type="spellEnd"/>
            <w:r w:rsidRPr="00F0240D">
              <w:rPr>
                <w:sz w:val="20"/>
                <w:szCs w:val="20"/>
              </w:rPr>
              <w:t xml:space="preserve"> inducers or inhibitors on the PKs of VEL; selective OATP1B1/</w:t>
            </w:r>
            <w:r>
              <w:rPr>
                <w:sz w:val="20"/>
                <w:szCs w:val="20"/>
              </w:rPr>
              <w:t>1B3 inhibitors and mixed OATP/P</w:t>
            </w:r>
            <w:r>
              <w:rPr>
                <w:sz w:val="20"/>
                <w:szCs w:val="20"/>
              </w:rPr>
              <w:noBreakHyphen/>
            </w:r>
            <w:proofErr w:type="spellStart"/>
            <w:r w:rsidRPr="00F0240D">
              <w:rPr>
                <w:sz w:val="20"/>
                <w:szCs w:val="20"/>
              </w:rPr>
              <w:t>gp</w:t>
            </w:r>
            <w:proofErr w:type="spellEnd"/>
            <w:r w:rsidRPr="00F0240D">
              <w:rPr>
                <w:sz w:val="20"/>
                <w:szCs w:val="20"/>
              </w:rPr>
              <w:t>/MRP2 inhibitors on the PK of VEL; and potent selective CYP3A or CYP2C8 inhibitors on the PK of VEL</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VEL and oral contraceptive</w:t>
            </w:r>
          </w:p>
        </w:tc>
        <w:tc>
          <w:tcPr>
            <w:tcW w:w="1701" w:type="dxa"/>
          </w:tcPr>
          <w:p w:rsidR="000818DC" w:rsidRPr="00F0240D" w:rsidRDefault="000818DC" w:rsidP="0052092A">
            <w:pPr>
              <w:ind w:left="0" w:right="0"/>
              <w:rPr>
                <w:sz w:val="20"/>
                <w:szCs w:val="20"/>
              </w:rPr>
            </w:pPr>
            <w:r w:rsidRPr="00F0240D">
              <w:rPr>
                <w:sz w:val="20"/>
                <w:szCs w:val="20"/>
              </w:rPr>
              <w:t>GS-US-281-1058</w:t>
            </w:r>
          </w:p>
        </w:tc>
        <w:tc>
          <w:tcPr>
            <w:tcW w:w="4394" w:type="dxa"/>
          </w:tcPr>
          <w:p w:rsidR="000818DC" w:rsidRPr="00F0240D" w:rsidRDefault="000818DC" w:rsidP="0052092A">
            <w:pPr>
              <w:ind w:left="0" w:right="0"/>
              <w:rPr>
                <w:sz w:val="20"/>
                <w:szCs w:val="20"/>
              </w:rPr>
            </w:pPr>
            <w:r w:rsidRPr="00F0240D">
              <w:rPr>
                <w:sz w:val="20"/>
                <w:szCs w:val="20"/>
              </w:rPr>
              <w:t>Effect of VEL on the PK of a representative hormonal contraceptive medication</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VEL and PPI/H2RA</w:t>
            </w:r>
          </w:p>
        </w:tc>
        <w:tc>
          <w:tcPr>
            <w:tcW w:w="1701" w:type="dxa"/>
          </w:tcPr>
          <w:p w:rsidR="000818DC" w:rsidRPr="00F0240D" w:rsidRDefault="000818DC" w:rsidP="0052092A">
            <w:pPr>
              <w:ind w:left="0" w:right="0"/>
              <w:rPr>
                <w:sz w:val="20"/>
                <w:szCs w:val="20"/>
              </w:rPr>
            </w:pPr>
            <w:r w:rsidRPr="00F0240D">
              <w:rPr>
                <w:sz w:val="20"/>
                <w:szCs w:val="20"/>
              </w:rPr>
              <w:t>GS-US-281-0119</w:t>
            </w:r>
          </w:p>
        </w:tc>
        <w:tc>
          <w:tcPr>
            <w:tcW w:w="4394" w:type="dxa"/>
          </w:tcPr>
          <w:p w:rsidR="000818DC" w:rsidRPr="00F0240D" w:rsidRDefault="000818DC" w:rsidP="0052092A">
            <w:pPr>
              <w:ind w:left="0" w:right="0"/>
              <w:rPr>
                <w:sz w:val="20"/>
                <w:szCs w:val="20"/>
              </w:rPr>
            </w:pPr>
            <w:r w:rsidRPr="00F0240D">
              <w:rPr>
                <w:sz w:val="20"/>
                <w:szCs w:val="20"/>
              </w:rPr>
              <w:t>PKs of VEL upon co-administration with a representative PPI (omeprazole) or H2RA (famotidine)</w:t>
            </w:r>
          </w:p>
        </w:tc>
      </w:tr>
      <w:tr w:rsidR="000818DC" w:rsidRPr="00F0240D" w:rsidTr="0052092A">
        <w:tc>
          <w:tcPr>
            <w:tcW w:w="1384" w:type="dxa"/>
            <w:vMerge/>
          </w:tcPr>
          <w:p w:rsidR="000818DC" w:rsidRPr="00F0240D" w:rsidRDefault="000818DC" w:rsidP="0052092A">
            <w:pPr>
              <w:ind w:left="0" w:right="0"/>
              <w:rPr>
                <w:sz w:val="20"/>
                <w:szCs w:val="20"/>
              </w:rPr>
            </w:pPr>
          </w:p>
        </w:tc>
        <w:tc>
          <w:tcPr>
            <w:tcW w:w="1418" w:type="dxa"/>
          </w:tcPr>
          <w:p w:rsidR="000818DC" w:rsidRPr="00F0240D" w:rsidRDefault="000818DC" w:rsidP="0052092A">
            <w:pPr>
              <w:ind w:left="0" w:right="0"/>
              <w:rPr>
                <w:sz w:val="20"/>
                <w:szCs w:val="20"/>
              </w:rPr>
            </w:pPr>
            <w:r w:rsidRPr="00F0240D">
              <w:rPr>
                <w:sz w:val="20"/>
                <w:szCs w:val="20"/>
              </w:rPr>
              <w:t>SPF and ARVs</w:t>
            </w:r>
          </w:p>
        </w:tc>
        <w:tc>
          <w:tcPr>
            <w:tcW w:w="1701" w:type="dxa"/>
          </w:tcPr>
          <w:p w:rsidR="000818DC" w:rsidRPr="00F0240D" w:rsidRDefault="000818DC" w:rsidP="0052092A">
            <w:pPr>
              <w:ind w:left="0" w:right="0"/>
              <w:rPr>
                <w:sz w:val="20"/>
                <w:szCs w:val="20"/>
              </w:rPr>
            </w:pPr>
            <w:r w:rsidRPr="00F0240D">
              <w:rPr>
                <w:sz w:val="20"/>
                <w:szCs w:val="20"/>
              </w:rPr>
              <w:t>P7977-1910</w:t>
            </w:r>
          </w:p>
        </w:tc>
        <w:tc>
          <w:tcPr>
            <w:tcW w:w="4394" w:type="dxa"/>
          </w:tcPr>
          <w:p w:rsidR="000818DC" w:rsidRPr="00F0240D" w:rsidRDefault="000818DC" w:rsidP="0052092A">
            <w:pPr>
              <w:ind w:left="0" w:right="0"/>
              <w:rPr>
                <w:sz w:val="20"/>
                <w:szCs w:val="20"/>
              </w:rPr>
            </w:pPr>
            <w:r w:rsidRPr="00F0240D">
              <w:rPr>
                <w:sz w:val="20"/>
                <w:szCs w:val="20"/>
              </w:rPr>
              <w:t>Effect of SOF on the PK parameters of ATV/r, EFV, TDF, FTC, ZDV, 3TC, DRV/r, or RAL in healthy HIV/HCV co-infected subjects</w:t>
            </w:r>
          </w:p>
        </w:tc>
      </w:tr>
    </w:tbl>
    <w:p w:rsidR="000D4647" w:rsidRDefault="000818DC" w:rsidP="000818DC">
      <w:pPr>
        <w:pStyle w:val="TableDescription"/>
      </w:pPr>
      <w:r w:rsidRPr="00D721C7">
        <w:t>† Bioequivalence of different formulations.</w:t>
      </w:r>
      <w:r>
        <w:t xml:space="preserve"> </w:t>
      </w:r>
      <w:r w:rsidRPr="00D721C7">
        <w:t>§ Subjects who would be eligible to receive the drug if approved for the proposed indication.</w:t>
      </w:r>
      <w:r>
        <w:t xml:space="preserve"> </w:t>
      </w:r>
      <w:r w:rsidR="00630FB6">
        <w:t xml:space="preserve">PPIs = proton pump inhibitors; </w:t>
      </w:r>
      <w:proofErr w:type="spellStart"/>
      <w:r w:rsidR="00721A33">
        <w:t>Complera</w:t>
      </w:r>
      <w:proofErr w:type="spellEnd"/>
      <w:r w:rsidR="00721A33">
        <w:t>;</w:t>
      </w:r>
      <w:r w:rsidRPr="00D721C7">
        <w:t xml:space="preserve"> </w:t>
      </w:r>
      <w:r w:rsidRPr="00D721C7">
        <w:rPr>
          <w:rFonts w:eastAsia="TimesNewRoman"/>
        </w:rPr>
        <w:t xml:space="preserve">FTC/RPV/TDF; </w:t>
      </w:r>
      <w:proofErr w:type="spellStart"/>
      <w:r w:rsidRPr="00D721C7">
        <w:rPr>
          <w:rFonts w:eastAsia="TimesNewRoman"/>
        </w:rPr>
        <w:t>Tivicay</w:t>
      </w:r>
      <w:proofErr w:type="spellEnd"/>
      <w:r w:rsidRPr="00D721C7">
        <w:rPr>
          <w:rFonts w:eastAsia="TimesNewRoman"/>
        </w:rPr>
        <w:t xml:space="preserve"> – DTG</w:t>
      </w:r>
      <w:r w:rsidR="00567626">
        <w:rPr>
          <w:rFonts w:eastAsia="TimesNewRoman"/>
        </w:rPr>
        <w:t xml:space="preserve"> </w:t>
      </w:r>
      <w:r w:rsidR="00567626">
        <w:rPr>
          <w:sz w:val="20"/>
          <w:szCs w:val="20"/>
        </w:rPr>
        <w:t>ARV</w:t>
      </w:r>
      <w:r w:rsidR="00567626" w:rsidRPr="00F0240D">
        <w:rPr>
          <w:sz w:val="20"/>
          <w:szCs w:val="20"/>
        </w:rPr>
        <w:t>s</w:t>
      </w:r>
      <w:r w:rsidR="00567626">
        <w:rPr>
          <w:sz w:val="20"/>
          <w:szCs w:val="20"/>
        </w:rPr>
        <w:t xml:space="preserve"> = </w:t>
      </w:r>
      <w:proofErr w:type="spellStart"/>
      <w:r w:rsidR="00567626">
        <w:t>antiretrovirals</w:t>
      </w:r>
      <w:proofErr w:type="spellEnd"/>
      <w:r w:rsidR="00567626">
        <w:t xml:space="preserve"> ATR = </w:t>
      </w:r>
      <w:proofErr w:type="spellStart"/>
      <w:r w:rsidR="00567626">
        <w:t>Atripla</w:t>
      </w:r>
      <w:proofErr w:type="spellEnd"/>
      <w:r w:rsidR="00567626">
        <w:t xml:space="preserve"> ATV = </w:t>
      </w:r>
      <w:proofErr w:type="spellStart"/>
      <w:r w:rsidR="00567626">
        <w:t>atazanavir</w:t>
      </w:r>
      <w:proofErr w:type="spellEnd"/>
      <w:r w:rsidR="00D27280">
        <w:t xml:space="preserve">; COBI = </w:t>
      </w:r>
      <w:proofErr w:type="spellStart"/>
      <w:r w:rsidR="00D27280">
        <w:t>cobicistat</w:t>
      </w:r>
      <w:proofErr w:type="spellEnd"/>
      <w:r w:rsidR="00FF1DF1">
        <w:t>;</w:t>
      </w:r>
      <w:r w:rsidR="00AE4800" w:rsidRPr="00AE4800">
        <w:t xml:space="preserve"> </w:t>
      </w:r>
      <w:r w:rsidR="00AE4800">
        <w:t xml:space="preserve">DRV = </w:t>
      </w:r>
      <w:proofErr w:type="spellStart"/>
      <w:r w:rsidR="00AE4800">
        <w:t>darunavir</w:t>
      </w:r>
      <w:proofErr w:type="spellEnd"/>
      <w:r w:rsidR="00AE4800">
        <w:t xml:space="preserve">; DRV/r = </w:t>
      </w:r>
      <w:proofErr w:type="spellStart"/>
      <w:r w:rsidR="00AE4800">
        <w:t>darunavir</w:t>
      </w:r>
      <w:proofErr w:type="spellEnd"/>
      <w:r w:rsidR="00AE4800">
        <w:t>/ritonavir;</w:t>
      </w:r>
      <w:r w:rsidR="00B92BE6" w:rsidRPr="00B92BE6">
        <w:t xml:space="preserve"> </w:t>
      </w:r>
      <w:r w:rsidR="00AE4800">
        <w:t xml:space="preserve">DTG = </w:t>
      </w:r>
      <w:proofErr w:type="spellStart"/>
      <w:r w:rsidR="00AE4800">
        <w:t>dolutegravir</w:t>
      </w:r>
      <w:proofErr w:type="spellEnd"/>
      <w:r w:rsidR="00AE4800">
        <w:t xml:space="preserve">; EFV = </w:t>
      </w:r>
      <w:proofErr w:type="spellStart"/>
      <w:r w:rsidR="00AE4800">
        <w:t>efavirenz</w:t>
      </w:r>
      <w:proofErr w:type="spellEnd"/>
      <w:r w:rsidR="00AE4800">
        <w:t xml:space="preserve">; EVG = </w:t>
      </w:r>
      <w:proofErr w:type="spellStart"/>
      <w:r w:rsidR="00AE4800">
        <w:t>elvitegravir</w:t>
      </w:r>
      <w:proofErr w:type="spellEnd"/>
      <w:r w:rsidR="00AE4800">
        <w:t xml:space="preserve">; </w:t>
      </w:r>
      <w:r w:rsidR="00B92BE6">
        <w:t xml:space="preserve">FTC= </w:t>
      </w:r>
      <w:proofErr w:type="spellStart"/>
      <w:r w:rsidR="00B92BE6">
        <w:t>emtricitabine</w:t>
      </w:r>
      <w:proofErr w:type="spellEnd"/>
      <w:r w:rsidR="00B92BE6">
        <w:t>;</w:t>
      </w:r>
      <w:r w:rsidR="00FF1DF1">
        <w:t xml:space="preserve"> </w:t>
      </w:r>
      <w:r w:rsidR="0061395D">
        <w:t xml:space="preserve">H2RA = H2-receptor antagonist; </w:t>
      </w:r>
      <w:r w:rsidR="00721A33">
        <w:t xml:space="preserve">LPV = </w:t>
      </w:r>
      <w:proofErr w:type="spellStart"/>
      <w:r w:rsidR="00721A33">
        <w:t>lopinavir</w:t>
      </w:r>
      <w:proofErr w:type="spellEnd"/>
      <w:r w:rsidR="00721A33">
        <w:t xml:space="preserve">; </w:t>
      </w:r>
      <w:r w:rsidR="0091489D">
        <w:t xml:space="preserve">SOF/VEL = </w:t>
      </w:r>
      <w:proofErr w:type="spellStart"/>
      <w:r w:rsidR="0091489D">
        <w:t>sofosbuvir</w:t>
      </w:r>
      <w:proofErr w:type="spellEnd"/>
      <w:r w:rsidR="0091489D">
        <w:t>/</w:t>
      </w:r>
      <w:proofErr w:type="spellStart"/>
      <w:r w:rsidR="0091489D">
        <w:t>velpatasvir</w:t>
      </w:r>
      <w:proofErr w:type="spellEnd"/>
      <w:r w:rsidR="0091489D">
        <w:t xml:space="preserve"> FDC; </w:t>
      </w:r>
      <w:r w:rsidR="00630FB6">
        <w:t xml:space="preserve">RAL = </w:t>
      </w:r>
      <w:proofErr w:type="spellStart"/>
      <w:r w:rsidR="00630FB6">
        <w:t>raltegravir</w:t>
      </w:r>
      <w:proofErr w:type="spellEnd"/>
      <w:r w:rsidR="00630FB6">
        <w:t xml:space="preserve">; </w:t>
      </w:r>
      <w:r w:rsidR="0091489D">
        <w:t xml:space="preserve">RPV = </w:t>
      </w:r>
      <w:proofErr w:type="spellStart"/>
      <w:r w:rsidR="0091489D">
        <w:t>rilpivirine</w:t>
      </w:r>
      <w:proofErr w:type="spellEnd"/>
      <w:r w:rsidR="0091489D">
        <w:t xml:space="preserve">; RTV = ritonavir; TDF = </w:t>
      </w:r>
      <w:proofErr w:type="spellStart"/>
      <w:r w:rsidR="0091489D">
        <w:t>tenofovir</w:t>
      </w:r>
      <w:proofErr w:type="spellEnd"/>
      <w:r w:rsidR="0091489D">
        <w:t xml:space="preserve"> </w:t>
      </w:r>
      <w:proofErr w:type="spellStart"/>
      <w:r w:rsidR="0091489D">
        <w:t>disoproxil</w:t>
      </w:r>
      <w:proofErr w:type="spellEnd"/>
      <w:r w:rsidR="0091489D">
        <w:t xml:space="preserve"> fumarate; TAF = </w:t>
      </w:r>
      <w:proofErr w:type="spellStart"/>
      <w:r w:rsidR="0091489D">
        <w:t>tenofovir</w:t>
      </w:r>
      <w:proofErr w:type="spellEnd"/>
      <w:r w:rsidR="0091489D">
        <w:t xml:space="preserve"> </w:t>
      </w:r>
      <w:proofErr w:type="spellStart"/>
      <w:r w:rsidR="0091489D">
        <w:t>alafenamide</w:t>
      </w:r>
      <w:proofErr w:type="spellEnd"/>
      <w:r w:rsidR="0091489D">
        <w:t xml:space="preserve"> fumarate </w:t>
      </w:r>
      <w:r w:rsidR="00FF1DF1">
        <w:t>ZDV=</w:t>
      </w:r>
      <w:r w:rsidR="00FF1DF1" w:rsidRPr="00FF1DF1">
        <w:t xml:space="preserve"> </w:t>
      </w:r>
      <w:r w:rsidR="00FF1DF1">
        <w:t>zidovudine</w:t>
      </w:r>
    </w:p>
    <w:p w:rsidR="000D4647" w:rsidRDefault="000818DC" w:rsidP="000818DC">
      <w:r w:rsidRPr="00F0240D">
        <w:t>None of the pharmacokinetic studies had deficiencies that excluded their results from consideration.</w:t>
      </w:r>
    </w:p>
    <w:p w:rsidR="000D4647" w:rsidRDefault="000818DC" w:rsidP="000818DC">
      <w:r>
        <w:t>For the full evaluation of the PK/PD please see Attachment 2.</w:t>
      </w:r>
    </w:p>
    <w:p w:rsidR="000D4647" w:rsidRDefault="00605AD4" w:rsidP="00605AD4">
      <w:pPr>
        <w:pStyle w:val="Heading4"/>
      </w:pPr>
      <w:r>
        <w:t>Evaluator’s conclusions on pharmacokinetics</w:t>
      </w:r>
    </w:p>
    <w:p w:rsidR="000D4647" w:rsidRDefault="00567626" w:rsidP="00823FF5">
      <w:pPr>
        <w:pStyle w:val="Heading5"/>
      </w:pPr>
      <w:r>
        <w:t>ADME (absorption/distribution/metabolism/excretion)</w:t>
      </w:r>
    </w:p>
    <w:p w:rsidR="000D4647" w:rsidRDefault="000818DC" w:rsidP="000818DC">
      <w:pPr>
        <w:pStyle w:val="ListBullet"/>
      </w:pPr>
      <w:proofErr w:type="spellStart"/>
      <w:r w:rsidRPr="000818DC">
        <w:t>Epclusa</w:t>
      </w:r>
      <w:proofErr w:type="spellEnd"/>
      <w:r w:rsidRPr="000818DC">
        <w:t xml:space="preserve"> is an oral FDC tablet, which contains 400</w:t>
      </w:r>
      <w:r w:rsidR="00A82FA1">
        <w:t xml:space="preserve"> mg</w:t>
      </w:r>
      <w:r w:rsidRPr="000818DC">
        <w:t xml:space="preserve"> SOF and 100</w:t>
      </w:r>
      <w:r w:rsidR="00A82FA1">
        <w:t xml:space="preserve"> mg</w:t>
      </w:r>
      <w:r w:rsidRPr="000818DC">
        <w:t xml:space="preserve"> VEL that is to be taken once daily with or without food.</w:t>
      </w:r>
    </w:p>
    <w:p w:rsidR="000D4647" w:rsidRDefault="000818DC" w:rsidP="000818DC">
      <w:pPr>
        <w:pStyle w:val="ListBullet"/>
      </w:pPr>
      <w:r w:rsidRPr="000818DC">
        <w:t xml:space="preserve">Following a single oral dose of </w:t>
      </w:r>
      <w:proofErr w:type="spellStart"/>
      <w:r w:rsidRPr="000818DC">
        <w:t>Epclusa</w:t>
      </w:r>
      <w:proofErr w:type="spellEnd"/>
      <w:r w:rsidRPr="000818DC">
        <w:t xml:space="preserve"> in fasted, healthy subjects the </w:t>
      </w:r>
      <w:proofErr w:type="spellStart"/>
      <w:r w:rsidR="00313378" w:rsidRPr="000818DC">
        <w:t>T</w:t>
      </w:r>
      <w:r w:rsidR="00313378" w:rsidRPr="00313378">
        <w:rPr>
          <w:vertAlign w:val="subscript"/>
        </w:rPr>
        <w:t>max</w:t>
      </w:r>
      <w:proofErr w:type="spellEnd"/>
      <w:r w:rsidRPr="000818DC">
        <w:t xml:space="preserve"> values for SOF and VEL occurred at 1 hour and 3 hours, respectively.</w:t>
      </w:r>
    </w:p>
    <w:p w:rsidR="000D4647" w:rsidRDefault="000818DC" w:rsidP="000818DC">
      <w:pPr>
        <w:pStyle w:val="ListBullet"/>
      </w:pPr>
      <w:r w:rsidRPr="000818DC">
        <w:t xml:space="preserve">Plasma exposure to SOF, its metabolites GS-566500 and GS-331007, and VEL were similar but not bioequivalent following administration of either </w:t>
      </w:r>
      <w:proofErr w:type="spellStart"/>
      <w:r w:rsidRPr="000818DC">
        <w:t>Epclusa</w:t>
      </w:r>
      <w:proofErr w:type="spellEnd"/>
      <w:r w:rsidRPr="000818DC">
        <w:t xml:space="preserve"> or the free combination. The </w:t>
      </w:r>
      <w:r w:rsidR="00B92BE6">
        <w:t>geometric least-squares means</w:t>
      </w:r>
      <w:r w:rsidR="00B92BE6" w:rsidRPr="000818DC">
        <w:t xml:space="preserve"> </w:t>
      </w:r>
      <w:r w:rsidR="00B92BE6">
        <w:t>(</w:t>
      </w:r>
      <w:r w:rsidRPr="000818DC">
        <w:t>GLSM</w:t>
      </w:r>
      <w:r w:rsidR="00B92BE6">
        <w:t>)</w:t>
      </w:r>
      <w:r w:rsidRPr="000818DC">
        <w:t xml:space="preserve"> ratios (90% </w:t>
      </w:r>
      <w:r w:rsidR="00567626">
        <w:t>confidence intervals (</w:t>
      </w:r>
      <w:r w:rsidRPr="000818DC">
        <w:t>C</w:t>
      </w:r>
      <w:r w:rsidR="00567626" w:rsidRPr="000818DC">
        <w:t>i</w:t>
      </w:r>
      <w:r w:rsidRPr="000818DC">
        <w:t>s</w:t>
      </w:r>
      <w:r w:rsidR="00567626">
        <w:t>)</w:t>
      </w:r>
      <w:r w:rsidRPr="000818DC">
        <w:t xml:space="preserve">) for SOF </w:t>
      </w:r>
      <w:proofErr w:type="spellStart"/>
      <w:r w:rsidR="00313378" w:rsidRPr="000818DC">
        <w:t>AUC</w:t>
      </w:r>
      <w:r w:rsidR="00313378" w:rsidRPr="00313378">
        <w:rPr>
          <w:vertAlign w:val="subscript"/>
        </w:rPr>
        <w:t>inf</w:t>
      </w:r>
      <w:proofErr w:type="spellEnd"/>
      <w:r w:rsidR="00567626">
        <w:rPr>
          <w:rStyle w:val="FootnoteReference"/>
        </w:rPr>
        <w:footnoteReference w:id="6"/>
      </w:r>
      <w:r w:rsidRPr="000818DC">
        <w:t xml:space="preserve"> and </w:t>
      </w:r>
      <w:proofErr w:type="spellStart"/>
      <w:r w:rsidR="00F044A6" w:rsidRPr="00604A4F">
        <w:t>C</w:t>
      </w:r>
      <w:r w:rsidR="00F044A6" w:rsidRPr="00F044A6">
        <w:rPr>
          <w:vertAlign w:val="subscript"/>
        </w:rPr>
        <w:t>max</w:t>
      </w:r>
      <w:proofErr w:type="spellEnd"/>
      <w:r w:rsidRPr="000818DC">
        <w:t xml:space="preserve"> were 89.5 (78.8, 101.8) and 90.0 (74.7, 108.4), respectively, and for VEL were 103.5 (75.7, 141.7) and 103.0 (74.5, 142.4), respectively.</w:t>
      </w:r>
    </w:p>
    <w:p w:rsidR="000D4647" w:rsidRDefault="000818DC" w:rsidP="000818DC">
      <w:pPr>
        <w:pStyle w:val="ListBullet"/>
      </w:pPr>
      <w:r w:rsidRPr="000818DC">
        <w:t xml:space="preserve">Compared to administration of </w:t>
      </w:r>
      <w:proofErr w:type="spellStart"/>
      <w:r w:rsidR="0091489D">
        <w:t>sofosbuvir</w:t>
      </w:r>
      <w:proofErr w:type="spellEnd"/>
      <w:r w:rsidR="0091489D">
        <w:t>/</w:t>
      </w:r>
      <w:proofErr w:type="spellStart"/>
      <w:r w:rsidR="0091489D">
        <w:t>velpatasvir</w:t>
      </w:r>
      <w:proofErr w:type="spellEnd"/>
      <w:r w:rsidR="0091489D">
        <w:t xml:space="preserve"> FDC</w:t>
      </w:r>
      <w:r w:rsidR="0091489D" w:rsidRPr="000818DC">
        <w:t xml:space="preserve"> </w:t>
      </w:r>
      <w:r w:rsidR="0091489D">
        <w:t>(</w:t>
      </w:r>
      <w:r w:rsidRPr="000818DC">
        <w:t>SOF/VEL</w:t>
      </w:r>
      <w:r w:rsidR="0091489D">
        <w:t>)</w:t>
      </w:r>
      <w:r w:rsidRPr="000818DC">
        <w:t xml:space="preserve"> under fasted conditions, a moderate fat or high fat meal increased SOF </w:t>
      </w:r>
      <w:proofErr w:type="spellStart"/>
      <w:r w:rsidR="00313378" w:rsidRPr="000818DC">
        <w:t>AUC</w:t>
      </w:r>
      <w:r w:rsidR="00313378" w:rsidRPr="00313378">
        <w:rPr>
          <w:vertAlign w:val="subscript"/>
        </w:rPr>
        <w:t>inf</w:t>
      </w:r>
      <w:proofErr w:type="spellEnd"/>
      <w:r w:rsidRPr="000818DC">
        <w:t xml:space="preserve"> by 1.6 fold and 1.78 fold, respectively, whereas, there was little to no change in SOF </w:t>
      </w:r>
      <w:proofErr w:type="spellStart"/>
      <w:r w:rsidR="00F044A6" w:rsidRPr="00604A4F">
        <w:t>C</w:t>
      </w:r>
      <w:r w:rsidR="00F044A6" w:rsidRPr="00F044A6">
        <w:rPr>
          <w:vertAlign w:val="subscript"/>
        </w:rPr>
        <w:t>max</w:t>
      </w:r>
      <w:proofErr w:type="spellEnd"/>
      <w:r w:rsidRPr="000818DC">
        <w:t xml:space="preserve"> (</w:t>
      </w:r>
      <w:r w:rsidR="00C77715">
        <w:t xml:space="preserve">≥ </w:t>
      </w:r>
      <w:r w:rsidRPr="000818DC">
        <w:t xml:space="preserve">11% decrease). For the VEL component, a moderate fat meal increased VEL </w:t>
      </w:r>
      <w:proofErr w:type="spellStart"/>
      <w:r w:rsidR="00313378" w:rsidRPr="000818DC">
        <w:t>AUC</w:t>
      </w:r>
      <w:r w:rsidR="00313378" w:rsidRPr="00313378">
        <w:rPr>
          <w:vertAlign w:val="subscript"/>
        </w:rPr>
        <w:t>inf</w:t>
      </w:r>
      <w:proofErr w:type="spellEnd"/>
      <w:r w:rsidRPr="000818DC">
        <w:t xml:space="preserve"> and </w:t>
      </w:r>
      <w:proofErr w:type="spellStart"/>
      <w:r w:rsidR="00F044A6" w:rsidRPr="00604A4F">
        <w:t>C</w:t>
      </w:r>
      <w:r w:rsidR="00F044A6" w:rsidRPr="00F044A6">
        <w:rPr>
          <w:vertAlign w:val="subscript"/>
        </w:rPr>
        <w:t>max</w:t>
      </w:r>
      <w:proofErr w:type="spellEnd"/>
      <w:r w:rsidRPr="000818DC">
        <w:t xml:space="preserve"> by 1.34 fold and 1.31 fold, respectively and a high fat meal increased these values by 1.22 fold and 1.05 fold, respectively.</w:t>
      </w:r>
    </w:p>
    <w:p w:rsidR="000D4647" w:rsidRDefault="000818DC" w:rsidP="000818DC">
      <w:pPr>
        <w:pStyle w:val="ListBullet"/>
      </w:pPr>
      <w:r w:rsidRPr="000818DC">
        <w:t>Following single doses of 5</w:t>
      </w:r>
      <w:r w:rsidR="00A82FA1">
        <w:t xml:space="preserve"> mg</w:t>
      </w:r>
      <w:r w:rsidRPr="000818DC">
        <w:t xml:space="preserve"> to 450</w:t>
      </w:r>
      <w:r w:rsidR="00A82FA1">
        <w:t xml:space="preserve"> mg</w:t>
      </w:r>
      <w:r w:rsidRPr="000818DC">
        <w:t xml:space="preserve"> VEL, </w:t>
      </w:r>
      <w:proofErr w:type="spellStart"/>
      <w:r w:rsidR="00313378" w:rsidRPr="000818DC">
        <w:t>T</w:t>
      </w:r>
      <w:r w:rsidR="00313378" w:rsidRPr="00313378">
        <w:rPr>
          <w:vertAlign w:val="subscript"/>
        </w:rPr>
        <w:t>max</w:t>
      </w:r>
      <w:proofErr w:type="spellEnd"/>
      <w:r w:rsidRPr="000818DC">
        <w:t xml:space="preserve"> ranged from 1.50 hours to 3.25 hours and VEL exhibited nonlinear PK across the entire dose range with greater than dose proportional increases in AUC and </w:t>
      </w:r>
      <w:proofErr w:type="spellStart"/>
      <w:r w:rsidR="00F044A6" w:rsidRPr="00604A4F">
        <w:t>C</w:t>
      </w:r>
      <w:r w:rsidR="00F044A6" w:rsidRPr="00F044A6">
        <w:rPr>
          <w:vertAlign w:val="subscript"/>
        </w:rPr>
        <w:t>max</w:t>
      </w:r>
      <w:proofErr w:type="spellEnd"/>
      <w:r w:rsidRPr="000818DC">
        <w:t xml:space="preserve"> from doses of 5 to 50</w:t>
      </w:r>
      <w:r w:rsidR="00A82FA1">
        <w:t xml:space="preserve"> mg</w:t>
      </w:r>
      <w:r w:rsidRPr="000818DC">
        <w:t xml:space="preserve"> and less than dose proportional increases in exposure at doses from 50 to 450</w:t>
      </w:r>
      <w:r w:rsidR="00A82FA1">
        <w:t xml:space="preserve"> mg</w:t>
      </w:r>
      <w:r w:rsidRPr="000818DC">
        <w:t>.</w:t>
      </w:r>
    </w:p>
    <w:p w:rsidR="000D4647" w:rsidRDefault="000818DC" w:rsidP="000818DC">
      <w:pPr>
        <w:pStyle w:val="ListBullet"/>
      </w:pPr>
      <w:r w:rsidRPr="000818DC">
        <w:t xml:space="preserve">Following multiple doses, VEL exhibited nonlinear PK across the entire dose range examined with greater than dose proportional increases in AUC and </w:t>
      </w:r>
      <w:proofErr w:type="spellStart"/>
      <w:r w:rsidR="00F044A6" w:rsidRPr="00604A4F">
        <w:t>C</w:t>
      </w:r>
      <w:r w:rsidR="00F044A6" w:rsidRPr="00F044A6">
        <w:rPr>
          <w:vertAlign w:val="subscript"/>
        </w:rPr>
        <w:t>max</w:t>
      </w:r>
      <w:proofErr w:type="spellEnd"/>
      <w:r w:rsidRPr="000818DC">
        <w:t xml:space="preserve"> from doses of 5 to 50</w:t>
      </w:r>
      <w:r w:rsidR="00A82FA1">
        <w:t xml:space="preserve"> mg</w:t>
      </w:r>
      <w:r w:rsidRPr="000818DC">
        <w:t xml:space="preserve"> and less than dose proportional increases in exposure at doses from 50 to 450</w:t>
      </w:r>
      <w:r w:rsidR="00A82FA1">
        <w:t xml:space="preserve"> mg</w:t>
      </w:r>
      <w:r w:rsidRPr="000818DC">
        <w:t>. Little to no accumulation in VEL AUC was identified, for instance following a single dose of 50</w:t>
      </w:r>
      <w:r w:rsidR="00A82FA1">
        <w:t xml:space="preserve"> mg</w:t>
      </w:r>
      <w:r w:rsidRPr="000818DC">
        <w:t xml:space="preserve"> VEL </w:t>
      </w:r>
      <w:proofErr w:type="spellStart"/>
      <w:r w:rsidR="00567626" w:rsidRPr="00D6575E">
        <w:t>AUC</w:t>
      </w:r>
      <w:r w:rsidR="00567626" w:rsidRPr="00567626">
        <w:rPr>
          <w:vertAlign w:val="subscript"/>
        </w:rPr>
        <w:t>last</w:t>
      </w:r>
      <w:proofErr w:type="spellEnd"/>
      <w:r w:rsidR="00567626">
        <w:rPr>
          <w:rStyle w:val="FootnoteReference"/>
        </w:rPr>
        <w:footnoteReference w:id="7"/>
      </w:r>
      <w:r w:rsidRPr="000818DC">
        <w:t xml:space="preserve"> was 2,971 </w:t>
      </w:r>
      <w:proofErr w:type="spellStart"/>
      <w:r w:rsidRPr="000818DC">
        <w:t>ng.h</w:t>
      </w:r>
      <w:proofErr w:type="spellEnd"/>
      <w:r w:rsidRPr="000818DC">
        <w:t>/mL, whereas, following multiple doses 50</w:t>
      </w:r>
      <w:r w:rsidR="00A82FA1">
        <w:t xml:space="preserve"> mg</w:t>
      </w:r>
      <w:r w:rsidRPr="000818DC">
        <w:t xml:space="preserve"> VEL </w:t>
      </w:r>
      <w:proofErr w:type="spellStart"/>
      <w:r w:rsidR="00F044A6" w:rsidRPr="00604A4F">
        <w:t>AU</w:t>
      </w:r>
      <w:r w:rsidR="00FF1DF1" w:rsidRPr="000818DC">
        <w:t>C</w:t>
      </w:r>
      <w:r w:rsidR="00FF1DF1" w:rsidRPr="00FF1DF1">
        <w:rPr>
          <w:vertAlign w:val="subscript"/>
        </w:rPr>
        <w:t>tau</w:t>
      </w:r>
      <w:proofErr w:type="spellEnd"/>
      <w:r w:rsidRPr="000818DC">
        <w:t xml:space="preserve"> was 3033 </w:t>
      </w:r>
      <w:proofErr w:type="spellStart"/>
      <w:r w:rsidRPr="000818DC">
        <w:t>ng.h</w:t>
      </w:r>
      <w:proofErr w:type="spellEnd"/>
      <w:r w:rsidRPr="000818DC">
        <w:t>/</w:t>
      </w:r>
      <w:proofErr w:type="spellStart"/>
      <w:r w:rsidRPr="000818DC">
        <w:t>mL.</w:t>
      </w:r>
      <w:proofErr w:type="spellEnd"/>
    </w:p>
    <w:p w:rsidR="000D4647" w:rsidRDefault="000818DC" w:rsidP="000818DC">
      <w:pPr>
        <w:pStyle w:val="ListBullet"/>
      </w:pPr>
      <w:r w:rsidRPr="000818DC">
        <w:lastRenderedPageBreak/>
        <w:t xml:space="preserve">VEL was widely distributed to the tissues of healthy subjects as the </w:t>
      </w:r>
      <w:proofErr w:type="spellStart"/>
      <w:r w:rsidRPr="000818DC">
        <w:t>Vz</w:t>
      </w:r>
      <w:proofErr w:type="spellEnd"/>
      <w:r w:rsidRPr="000818DC">
        <w:t>/F ranged from 521 L to 678 L. In vitro and clinical trials identified that VEL was highly bound to plasma proteins (</w:t>
      </w:r>
      <w:r w:rsidR="00C77715">
        <w:t xml:space="preserve">≥ </w:t>
      </w:r>
      <w:r w:rsidRPr="000818DC">
        <w:t>99.5%). The whole blood-to-plasma concentration ratio for VEL through 12 hours ranged from 0.517 to 0.670, indicating that total radioactivity was excluded from erythrocytes.</w:t>
      </w:r>
    </w:p>
    <w:p w:rsidR="000D4647" w:rsidRDefault="000818DC" w:rsidP="000818DC">
      <w:pPr>
        <w:pStyle w:val="ListBullet"/>
      </w:pPr>
      <w:r w:rsidRPr="000818DC">
        <w:t>In vitro studies indicated that VEL was slowly metabolised by CYP2B6, CYP2C8 and CYP3A4 and that it was also a substrate for both P-</w:t>
      </w:r>
      <w:proofErr w:type="spellStart"/>
      <w:r w:rsidRPr="000818DC">
        <w:t>gp</w:t>
      </w:r>
      <w:proofErr w:type="spellEnd"/>
      <w:r w:rsidRPr="000818DC">
        <w:t xml:space="preserve"> and BCRP mediated transport.</w:t>
      </w:r>
    </w:p>
    <w:p w:rsidR="000D4647" w:rsidRDefault="000818DC" w:rsidP="000818DC">
      <w:pPr>
        <w:pStyle w:val="ListBullet"/>
      </w:pPr>
      <w:r w:rsidRPr="000818DC">
        <w:t>Following a single oral dose administration of [</w:t>
      </w:r>
      <w:r w:rsidR="00F044A6" w:rsidRPr="00F044A6">
        <w:rPr>
          <w:vertAlign w:val="superscript"/>
        </w:rPr>
        <w:t>14</w:t>
      </w:r>
      <w:r w:rsidR="00F044A6" w:rsidRPr="00604A4F">
        <w:t>C</w:t>
      </w:r>
      <w:r w:rsidRPr="000818DC">
        <w:t xml:space="preserve">] VEL approximately 94% of the radioactive dose was recovered in the faeces, with the major species identified being unchanged VEL, which accounted for a mean of 76.6% of the administered dose, followed by one known oxidative metabolite M18 (hydroxy-VEL-1, 5.9%) and one known </w:t>
      </w:r>
      <w:proofErr w:type="spellStart"/>
      <w:r w:rsidRPr="000818DC">
        <w:t>dealkylated</w:t>
      </w:r>
      <w:proofErr w:type="spellEnd"/>
      <w:r w:rsidRPr="000818DC">
        <w:t xml:space="preserve"> metabolite M19 (</w:t>
      </w:r>
      <w:proofErr w:type="spellStart"/>
      <w:r w:rsidRPr="000818DC">
        <w:t>desmethyl</w:t>
      </w:r>
      <w:proofErr w:type="spellEnd"/>
      <w:r w:rsidRPr="000818DC">
        <w:t>-VEL, 3.0%).</w:t>
      </w:r>
    </w:p>
    <w:p w:rsidR="000D4647" w:rsidRDefault="000818DC" w:rsidP="000818DC">
      <w:pPr>
        <w:pStyle w:val="ListBullet"/>
      </w:pPr>
      <w:r w:rsidRPr="000818DC">
        <w:t>The activity of the VEL metabolites identified in the mass balance study is not discussed but due to the extremely low levels detected in plasma they are unlikely to be pharmacologically active.</w:t>
      </w:r>
    </w:p>
    <w:p w:rsidR="000D4647" w:rsidRDefault="000818DC" w:rsidP="00823FF5">
      <w:pPr>
        <w:pStyle w:val="Heading5"/>
      </w:pPr>
      <w:r w:rsidRPr="00F0240D">
        <w:t>Intra- a</w:t>
      </w:r>
      <w:r>
        <w:t>nd inter-individual variability</w:t>
      </w:r>
    </w:p>
    <w:p w:rsidR="000D4647" w:rsidRDefault="000818DC" w:rsidP="00D6575E">
      <w:r w:rsidRPr="00F0240D">
        <w:t>The inter-individual variability on VEL CL/F</w:t>
      </w:r>
      <w:r w:rsidR="00567626">
        <w:rPr>
          <w:rStyle w:val="FootnoteReference"/>
        </w:rPr>
        <w:footnoteReference w:id="8"/>
      </w:r>
      <w:r w:rsidRPr="00F0240D">
        <w:t xml:space="preserve">, </w:t>
      </w:r>
      <w:proofErr w:type="spellStart"/>
      <w:r w:rsidRPr="00F0240D">
        <w:t>Vc</w:t>
      </w:r>
      <w:proofErr w:type="spellEnd"/>
      <w:r w:rsidRPr="00F0240D">
        <w:t>/F</w:t>
      </w:r>
      <w:r w:rsidR="00FF1DF1">
        <w:rPr>
          <w:rStyle w:val="FootnoteReference"/>
        </w:rPr>
        <w:footnoteReference w:id="9"/>
      </w:r>
      <w:r w:rsidRPr="00F0240D">
        <w:t xml:space="preserve">, </w:t>
      </w:r>
      <w:proofErr w:type="spellStart"/>
      <w:r w:rsidRPr="00F0240D">
        <w:t>Vp</w:t>
      </w:r>
      <w:proofErr w:type="spellEnd"/>
      <w:r w:rsidRPr="00F0240D">
        <w:t>/F</w:t>
      </w:r>
      <w:r w:rsidR="00FF1DF1">
        <w:rPr>
          <w:rStyle w:val="FootnoteReference"/>
        </w:rPr>
        <w:footnoteReference w:id="10"/>
      </w:r>
      <w:r w:rsidRPr="00F0240D">
        <w:t xml:space="preserve"> and </w:t>
      </w:r>
      <w:r w:rsidR="00721A33">
        <w:t>absorption rate constant (</w:t>
      </w:r>
      <w:proofErr w:type="spellStart"/>
      <w:r w:rsidRPr="00F0240D">
        <w:t>Ka</w:t>
      </w:r>
      <w:proofErr w:type="spellEnd"/>
      <w:r w:rsidR="00721A33">
        <w:t>)</w:t>
      </w:r>
      <w:r w:rsidRPr="00F0240D">
        <w:t xml:space="preserve"> in fasted subjects were 50.8%, 68.9%, 50.8% and 54.2%, respectively, whereas, the intra-subject variability was 56.7%. For SOF PKs, the inter-individual variability on </w:t>
      </w:r>
      <w:r w:rsidR="00567626">
        <w:t>clearance</w:t>
      </w:r>
      <w:r w:rsidR="00567626" w:rsidRPr="00F0240D">
        <w:t xml:space="preserve"> </w:t>
      </w:r>
      <w:r w:rsidR="00567626">
        <w:t>(</w:t>
      </w:r>
      <w:r w:rsidRPr="00F0240D">
        <w:t>CL</w:t>
      </w:r>
      <w:r w:rsidR="00567626">
        <w:t>)</w:t>
      </w:r>
      <w:r w:rsidRPr="00F0240D">
        <w:t xml:space="preserve">, </w:t>
      </w:r>
      <w:proofErr w:type="spellStart"/>
      <w:r w:rsidRPr="00F0240D">
        <w:t>Vc</w:t>
      </w:r>
      <w:proofErr w:type="spellEnd"/>
      <w:r w:rsidRPr="00F0240D">
        <w:t xml:space="preserve">/F and </w:t>
      </w:r>
      <w:proofErr w:type="spellStart"/>
      <w:r w:rsidRPr="00F0240D">
        <w:t>Ka</w:t>
      </w:r>
      <w:proofErr w:type="spellEnd"/>
      <w:r w:rsidRPr="00F0240D">
        <w:t xml:space="preserve"> were 48.2%, 94.9% and 4.6%, respectively, whereas, the intra-subject variability was 119.9% and 108.8% in healthy volunteers and in patients, respectively.</w:t>
      </w:r>
    </w:p>
    <w:p w:rsidR="000D4647" w:rsidRDefault="000818DC" w:rsidP="00823FF5">
      <w:pPr>
        <w:pStyle w:val="Heading5"/>
      </w:pPr>
      <w:r w:rsidRPr="00F0240D">
        <w:t>Pharmacokin</w:t>
      </w:r>
      <w:r>
        <w:t>etics in the target population</w:t>
      </w:r>
    </w:p>
    <w:p w:rsidR="000D4647" w:rsidRDefault="000818DC" w:rsidP="000818DC">
      <w:pPr>
        <w:pStyle w:val="ListBullet"/>
      </w:pPr>
      <w:r w:rsidRPr="000818DC">
        <w:t xml:space="preserve">VEL was absorbed quickly following single and multiple oral doses, with a median </w:t>
      </w:r>
      <w:proofErr w:type="spellStart"/>
      <w:r w:rsidR="00313378" w:rsidRPr="000818DC">
        <w:t>T</w:t>
      </w:r>
      <w:r w:rsidR="00313378" w:rsidRPr="00313378">
        <w:rPr>
          <w:vertAlign w:val="subscript"/>
        </w:rPr>
        <w:t>max</w:t>
      </w:r>
      <w:proofErr w:type="spellEnd"/>
      <w:r w:rsidRPr="000818DC">
        <w:t xml:space="preserve"> of between 1.5 hours and 3.0 hours.</w:t>
      </w:r>
    </w:p>
    <w:p w:rsidR="000D4647" w:rsidRDefault="000818DC" w:rsidP="000818DC">
      <w:pPr>
        <w:pStyle w:val="ListBullet"/>
      </w:pPr>
      <w:r w:rsidRPr="000818DC">
        <w:t>Following 100</w:t>
      </w:r>
      <w:r w:rsidR="00A82FA1">
        <w:t xml:space="preserve"> mg</w:t>
      </w:r>
      <w:r w:rsidRPr="000818DC">
        <w:t xml:space="preserve"> VEL the </w:t>
      </w:r>
      <w:proofErr w:type="spellStart"/>
      <w:r w:rsidR="00F044A6" w:rsidRPr="00604A4F">
        <w:t>C</w:t>
      </w:r>
      <w:r w:rsidR="00F044A6" w:rsidRPr="00F044A6">
        <w:rPr>
          <w:vertAlign w:val="subscript"/>
        </w:rPr>
        <w:t>max</w:t>
      </w:r>
      <w:proofErr w:type="spellEnd"/>
      <w:r w:rsidRPr="000818DC">
        <w:t xml:space="preserve"> and </w:t>
      </w:r>
      <w:proofErr w:type="spellStart"/>
      <w:r w:rsidR="00313378" w:rsidRPr="000818DC">
        <w:t>AUC</w:t>
      </w:r>
      <w:r w:rsidR="00313378" w:rsidRPr="00313378">
        <w:rPr>
          <w:vertAlign w:val="subscript"/>
        </w:rPr>
        <w:t>inf</w:t>
      </w:r>
      <w:proofErr w:type="spellEnd"/>
      <w:r w:rsidRPr="000818DC">
        <w:t xml:space="preserve"> were </w:t>
      </w:r>
      <w:proofErr w:type="gramStart"/>
      <w:r w:rsidRPr="000818DC">
        <w:t>372.8 ng/mL</w:t>
      </w:r>
      <w:proofErr w:type="gramEnd"/>
      <w:r w:rsidRPr="000818DC">
        <w:t xml:space="preserve"> and 2727.3 </w:t>
      </w:r>
      <w:proofErr w:type="spellStart"/>
      <w:r w:rsidRPr="000818DC">
        <w:t>ng.h</w:t>
      </w:r>
      <w:proofErr w:type="spellEnd"/>
      <w:r w:rsidRPr="000818DC">
        <w:t>/mL, respectively.</w:t>
      </w:r>
    </w:p>
    <w:p w:rsidR="000D4647" w:rsidRDefault="000818DC" w:rsidP="000818DC">
      <w:pPr>
        <w:pStyle w:val="ListBullet"/>
      </w:pPr>
      <w:r w:rsidRPr="000818DC">
        <w:t>Over the dose range of 25</w:t>
      </w:r>
      <w:r w:rsidR="00A82FA1">
        <w:t xml:space="preserve"> mg</w:t>
      </w:r>
      <w:r w:rsidRPr="000818DC">
        <w:t xml:space="preserve"> to 150</w:t>
      </w:r>
      <w:r w:rsidR="00A82FA1">
        <w:t xml:space="preserve"> mg</w:t>
      </w:r>
      <w:r w:rsidRPr="000818DC">
        <w:t xml:space="preserve"> VEL increases in exposure were near dose proportional, whereas, increases in VEL exposures were generally greater than dose proportional from 5</w:t>
      </w:r>
      <w:r w:rsidR="00A82FA1">
        <w:t xml:space="preserve"> mg</w:t>
      </w:r>
      <w:r w:rsidRPr="000818DC">
        <w:t xml:space="preserve"> to 25</w:t>
      </w:r>
      <w:r w:rsidR="00A82FA1">
        <w:t xml:space="preserve"> mg</w:t>
      </w:r>
      <w:r w:rsidRPr="000818DC">
        <w:t xml:space="preserve">. </w:t>
      </w:r>
      <w:r w:rsidR="00683641">
        <w:t>A m</w:t>
      </w:r>
      <w:r w:rsidR="00683641" w:rsidRPr="000818DC">
        <w:t xml:space="preserve">odest </w:t>
      </w:r>
      <w:r w:rsidRPr="000818DC">
        <w:t>accumulation (less than 1.5 fold) was observed following 3 days of dosing.</w:t>
      </w:r>
    </w:p>
    <w:p w:rsidR="000D4647" w:rsidRDefault="000818DC" w:rsidP="000818DC">
      <w:pPr>
        <w:pStyle w:val="ListBullet"/>
      </w:pPr>
      <w:r w:rsidRPr="000818DC">
        <w:t>VEL plasma PKs were similar between subjects with genotype 1a, 1b, 2, 3, or 4 HCV.</w:t>
      </w:r>
    </w:p>
    <w:p w:rsidR="000D4647" w:rsidRDefault="000818DC" w:rsidP="000818DC">
      <w:pPr>
        <w:pStyle w:val="ListBullet"/>
      </w:pPr>
      <w:r w:rsidRPr="000818DC">
        <w:t>PPK analyses indicated that following once daily administration of SOF 400</w:t>
      </w:r>
      <w:r w:rsidR="00A82FA1">
        <w:t xml:space="preserve"> mg</w:t>
      </w:r>
      <w:r w:rsidRPr="000818DC">
        <w:t xml:space="preserve"> and VEL 100</w:t>
      </w:r>
      <w:r w:rsidR="00A82FA1">
        <w:t xml:space="preserve"> mg</w:t>
      </w:r>
      <w:r w:rsidRPr="000818DC">
        <w:t xml:space="preserve"> as either, a free combination, or FDC, VEL </w:t>
      </w:r>
      <w:proofErr w:type="spellStart"/>
      <w:r w:rsidR="00F044A6" w:rsidRPr="00604A4F">
        <w:t>C</w:t>
      </w:r>
      <w:r w:rsidR="00F044A6" w:rsidRPr="00F044A6">
        <w:rPr>
          <w:vertAlign w:val="subscript"/>
        </w:rPr>
        <w:t>max</w:t>
      </w:r>
      <w:proofErr w:type="spellEnd"/>
      <w:r w:rsidRPr="000818DC">
        <w:t xml:space="preserve"> and </w:t>
      </w:r>
      <w:proofErr w:type="spellStart"/>
      <w:r w:rsidR="00313378" w:rsidRPr="000818DC">
        <w:t>AUC</w:t>
      </w:r>
      <w:r w:rsidR="00313378" w:rsidRPr="00313378">
        <w:rPr>
          <w:vertAlign w:val="subscript"/>
        </w:rPr>
        <w:t>inf</w:t>
      </w:r>
      <w:proofErr w:type="spellEnd"/>
      <w:r w:rsidRPr="000818DC">
        <w:t xml:space="preserve"> were approximately 1.71 fold and 1.59 fold lower in HCV infected subjects than in healthy subjects. By contrast, SOF </w:t>
      </w:r>
      <w:proofErr w:type="spellStart"/>
      <w:r w:rsidR="00F044A6" w:rsidRPr="00604A4F">
        <w:t>C</w:t>
      </w:r>
      <w:r w:rsidR="00F044A6" w:rsidRPr="00F044A6">
        <w:rPr>
          <w:vertAlign w:val="subscript"/>
        </w:rPr>
        <w:t>max</w:t>
      </w:r>
      <w:proofErr w:type="spellEnd"/>
      <w:r w:rsidRPr="000818DC">
        <w:t xml:space="preserve"> and </w:t>
      </w:r>
      <w:proofErr w:type="spellStart"/>
      <w:r w:rsidR="00313378" w:rsidRPr="000818DC">
        <w:t>AUC</w:t>
      </w:r>
      <w:r w:rsidR="00313378" w:rsidRPr="00313378">
        <w:rPr>
          <w:vertAlign w:val="subscript"/>
        </w:rPr>
        <w:t>inf</w:t>
      </w:r>
      <w:proofErr w:type="spellEnd"/>
      <w:r w:rsidRPr="000818DC">
        <w:t xml:space="preserve"> were equivalent in HCV infected and healthy subjects.</w:t>
      </w:r>
    </w:p>
    <w:p w:rsidR="000D4647" w:rsidRDefault="000818DC" w:rsidP="00823FF5">
      <w:pPr>
        <w:pStyle w:val="Heading5"/>
      </w:pPr>
      <w:r w:rsidRPr="00F0240D">
        <w:t>Pharmacokineti</w:t>
      </w:r>
      <w:r>
        <w:t>cs in other special populations</w:t>
      </w:r>
    </w:p>
    <w:p w:rsidR="000D4647" w:rsidRDefault="000818DC" w:rsidP="000818DC">
      <w:pPr>
        <w:pStyle w:val="ListBullet"/>
      </w:pPr>
      <w:r w:rsidRPr="000818DC">
        <w:t xml:space="preserve">VEL </w:t>
      </w:r>
      <w:proofErr w:type="spellStart"/>
      <w:r w:rsidR="00313378" w:rsidRPr="000818DC">
        <w:t>AUC</w:t>
      </w:r>
      <w:r w:rsidR="00313378" w:rsidRPr="00313378">
        <w:rPr>
          <w:vertAlign w:val="subscript"/>
        </w:rPr>
        <w:t>inf</w:t>
      </w:r>
      <w:proofErr w:type="spellEnd"/>
      <w:r w:rsidRPr="000818DC">
        <w:t xml:space="preserve"> values in subjects with normal hepatic function, moderate or severe impairment were relatively similar and ranged from 4104.6 </w:t>
      </w:r>
      <w:proofErr w:type="spellStart"/>
      <w:r w:rsidRPr="000818DC">
        <w:t>ng.h</w:t>
      </w:r>
      <w:proofErr w:type="spellEnd"/>
      <w:r w:rsidRPr="000818DC">
        <w:t xml:space="preserve">/mL to 5403.7 </w:t>
      </w:r>
      <w:proofErr w:type="spellStart"/>
      <w:r w:rsidRPr="000818DC">
        <w:t>ng.h</w:t>
      </w:r>
      <w:proofErr w:type="spellEnd"/>
      <w:r w:rsidRPr="000818DC">
        <w:t xml:space="preserve">/mL, whereas, </w:t>
      </w:r>
      <w:proofErr w:type="spellStart"/>
      <w:r w:rsidR="00F044A6" w:rsidRPr="00604A4F">
        <w:t>C</w:t>
      </w:r>
      <w:r w:rsidR="00F044A6" w:rsidRPr="00F044A6">
        <w:rPr>
          <w:vertAlign w:val="subscript"/>
        </w:rPr>
        <w:t>max</w:t>
      </w:r>
      <w:proofErr w:type="spellEnd"/>
      <w:r w:rsidRPr="000818DC">
        <w:t xml:space="preserve"> decreased from 599.7 ng/mL to 268.4 ng/mL as impairment increased. </w:t>
      </w:r>
      <w:proofErr w:type="gramStart"/>
      <w:r w:rsidRPr="000818DC">
        <w:t>t½</w:t>
      </w:r>
      <w:proofErr w:type="gramEnd"/>
      <w:r w:rsidRPr="000818DC">
        <w:t xml:space="preserve"> values were prolonged for subjects with moderate hepatic impairment </w:t>
      </w:r>
      <w:r w:rsidRPr="000818DC">
        <w:lastRenderedPageBreak/>
        <w:t>(approximately 23 hours) and severe hepatic impairment (approximately 31 hours) compared to subjects with normal hepatic function (approximately 18 hours).</w:t>
      </w:r>
    </w:p>
    <w:p w:rsidR="000D4647" w:rsidRDefault="000818DC" w:rsidP="000818DC">
      <w:pPr>
        <w:pStyle w:val="ListBullet"/>
      </w:pPr>
      <w:r w:rsidRPr="000818DC">
        <w:t xml:space="preserve">VEL </w:t>
      </w:r>
      <w:proofErr w:type="spellStart"/>
      <w:r w:rsidR="00313378" w:rsidRPr="000818DC">
        <w:t>AUC</w:t>
      </w:r>
      <w:r w:rsidR="00313378" w:rsidRPr="00313378">
        <w:rPr>
          <w:vertAlign w:val="subscript"/>
        </w:rPr>
        <w:t>inf</w:t>
      </w:r>
      <w:proofErr w:type="spellEnd"/>
      <w:r w:rsidRPr="000818DC">
        <w:t xml:space="preserve"> was approximately 1.5 fold higher in subjects with severe renal impairment compared to those with normal renal function, whereas, </w:t>
      </w:r>
      <w:proofErr w:type="spellStart"/>
      <w:r w:rsidR="00F044A6" w:rsidRPr="00604A4F">
        <w:t>C</w:t>
      </w:r>
      <w:r w:rsidR="00F044A6" w:rsidRPr="00F044A6">
        <w:rPr>
          <w:vertAlign w:val="subscript"/>
        </w:rPr>
        <w:t>max</w:t>
      </w:r>
      <w:proofErr w:type="spellEnd"/>
      <w:r w:rsidRPr="000818DC">
        <w:t xml:space="preserve"> was approximately 1.11 fold higher.</w:t>
      </w:r>
    </w:p>
    <w:p w:rsidR="000D4647" w:rsidRDefault="000818DC" w:rsidP="000818DC">
      <w:pPr>
        <w:pStyle w:val="ListBullet"/>
      </w:pPr>
      <w:r w:rsidRPr="000818DC">
        <w:t xml:space="preserve">Covariate analysis indicated statistically significant effects of sex, HCV infection, and decompensated cirrhosis on VEL CL/F and </w:t>
      </w:r>
      <w:proofErr w:type="spellStart"/>
      <w:r w:rsidRPr="000818DC">
        <w:t>Vc</w:t>
      </w:r>
      <w:proofErr w:type="spellEnd"/>
      <w:r w:rsidRPr="000818DC">
        <w:t xml:space="preserve">/F and food on VEL </w:t>
      </w:r>
      <w:proofErr w:type="spellStart"/>
      <w:r w:rsidRPr="000818DC">
        <w:t>Ka</w:t>
      </w:r>
      <w:proofErr w:type="spellEnd"/>
      <w:r w:rsidRPr="000818DC">
        <w:t xml:space="preserve">, F1 and lag time. For SOF PKs, the significant covariates on SOF CL/F and </w:t>
      </w:r>
      <w:proofErr w:type="spellStart"/>
      <w:r w:rsidRPr="000818DC">
        <w:t>Vc</w:t>
      </w:r>
      <w:proofErr w:type="spellEnd"/>
      <w:r w:rsidRPr="000818DC">
        <w:t xml:space="preserve">/F were sex and hepatic impairment and food on SOF </w:t>
      </w:r>
      <w:proofErr w:type="spellStart"/>
      <w:r w:rsidRPr="000818DC">
        <w:t>Ka</w:t>
      </w:r>
      <w:proofErr w:type="spellEnd"/>
      <w:r w:rsidRPr="000818DC">
        <w:t>.</w:t>
      </w:r>
    </w:p>
    <w:p w:rsidR="000D4647" w:rsidRDefault="000818DC" w:rsidP="000818DC">
      <w:pPr>
        <w:pStyle w:val="ListBullet"/>
      </w:pPr>
      <w:r w:rsidRPr="000818DC">
        <w:t xml:space="preserve">Age, race, ethnicity, </w:t>
      </w:r>
      <w:r w:rsidR="00D27280">
        <w:t>creatinine clearance</w:t>
      </w:r>
      <w:r w:rsidR="00D27280" w:rsidRPr="000818DC">
        <w:t xml:space="preserve"> </w:t>
      </w:r>
      <w:r w:rsidR="00D27280">
        <w:t>(</w:t>
      </w:r>
      <w:proofErr w:type="spellStart"/>
      <w:r w:rsidRPr="000818DC">
        <w:t>CLcr</w:t>
      </w:r>
      <w:proofErr w:type="spellEnd"/>
      <w:r w:rsidR="00D27280">
        <w:t>)</w:t>
      </w:r>
      <w:r w:rsidRPr="000818DC">
        <w:t xml:space="preserve">, HCV genotype, IL28B genotype, (compensated) cirrhosis, body weight, </w:t>
      </w:r>
      <w:r w:rsidR="00567626">
        <w:t>body mass index (BMI)</w:t>
      </w:r>
      <w:r w:rsidRPr="000818DC">
        <w:t>, and concomitant medications were not considered relevant covariates for the population PK of either VEL or SOF.</w:t>
      </w:r>
    </w:p>
    <w:p w:rsidR="000D4647" w:rsidRDefault="000818DC" w:rsidP="00823FF5">
      <w:pPr>
        <w:pStyle w:val="Heading5"/>
      </w:pPr>
      <w:r>
        <w:t>Interaction between SOF and VEL</w:t>
      </w:r>
    </w:p>
    <w:p w:rsidR="000D4647" w:rsidRDefault="000818DC" w:rsidP="00D6575E">
      <w:r w:rsidRPr="00F0240D">
        <w:t>Co-administration of SOF (400</w:t>
      </w:r>
      <w:r w:rsidR="00A82FA1">
        <w:t xml:space="preserve"> mg</w:t>
      </w:r>
      <w:r w:rsidRPr="00F0240D">
        <w:t>) with VEL (150</w:t>
      </w:r>
      <w:r w:rsidR="00A82FA1">
        <w:t xml:space="preserve"> mg</w:t>
      </w:r>
      <w:r w:rsidRPr="00F0240D">
        <w:t xml:space="preserve">) had little to no effect on VEL </w:t>
      </w:r>
      <w:proofErr w:type="spellStart"/>
      <w:r w:rsidR="00F044A6" w:rsidRPr="00604A4F">
        <w:t>AU</w:t>
      </w:r>
      <w:r w:rsidR="00FF1DF1" w:rsidRPr="000818DC">
        <w:t>C</w:t>
      </w:r>
      <w:r w:rsidR="00FF1DF1" w:rsidRPr="00FF1DF1">
        <w:rPr>
          <w:vertAlign w:val="subscript"/>
        </w:rPr>
        <w:t>tau</w:t>
      </w:r>
      <w:proofErr w:type="spellEnd"/>
      <w:r w:rsidRPr="00F0240D">
        <w:t xml:space="preserve">, </w:t>
      </w:r>
      <w:proofErr w:type="spellStart"/>
      <w:r w:rsidR="00F044A6" w:rsidRPr="00604A4F">
        <w:t>C</w:t>
      </w:r>
      <w:r w:rsidR="00F044A6" w:rsidRPr="00F044A6">
        <w:rPr>
          <w:vertAlign w:val="subscript"/>
        </w:rPr>
        <w:t>max</w:t>
      </w:r>
      <w:proofErr w:type="spellEnd"/>
      <w:r w:rsidRPr="00F0240D">
        <w:t xml:space="preserve">, and </w:t>
      </w:r>
      <w:r w:rsidR="00AE4800">
        <w:t>observed drug concentration at the end of the dosing interval</w:t>
      </w:r>
      <w:r w:rsidR="00AE4800" w:rsidRPr="000818DC">
        <w:t xml:space="preserve"> </w:t>
      </w:r>
      <w:r w:rsidR="00AE4800">
        <w:t>(</w:t>
      </w:r>
      <w:proofErr w:type="spellStart"/>
      <w:r w:rsidR="00FF1DF1" w:rsidRPr="000818DC">
        <w:t>C</w:t>
      </w:r>
      <w:r w:rsidR="00FF1DF1" w:rsidRPr="00FF1DF1">
        <w:rPr>
          <w:vertAlign w:val="subscript"/>
        </w:rPr>
        <w:t>tau</w:t>
      </w:r>
      <w:proofErr w:type="spellEnd"/>
      <w:r w:rsidR="00AE4800">
        <w:t>)</w:t>
      </w:r>
      <w:r w:rsidRPr="00F0240D">
        <w:t xml:space="preserve">. By contrast, SOF plasma exposures increased </w:t>
      </w:r>
      <w:r>
        <w:t>approximately 1.8</w:t>
      </w:r>
      <w:r w:rsidRPr="00F0240D">
        <w:t xml:space="preserve"> (</w:t>
      </w:r>
      <w:proofErr w:type="spellStart"/>
      <w:r w:rsidR="00F044A6" w:rsidRPr="00604A4F">
        <w:t>C</w:t>
      </w:r>
      <w:r w:rsidR="00F044A6" w:rsidRPr="00F044A6">
        <w:rPr>
          <w:vertAlign w:val="subscript"/>
        </w:rPr>
        <w:t>max</w:t>
      </w:r>
      <w:proofErr w:type="spellEnd"/>
      <w:r w:rsidRPr="00F0240D">
        <w:t>) and 2.4</w:t>
      </w:r>
      <w:r>
        <w:t> fold</w:t>
      </w:r>
      <w:r w:rsidRPr="00F0240D">
        <w:t xml:space="preserve"> (AUC) when co-administered with VEL. GS-566500 </w:t>
      </w:r>
      <w:proofErr w:type="spellStart"/>
      <w:r w:rsidR="00F044A6" w:rsidRPr="00604A4F">
        <w:t>C</w:t>
      </w:r>
      <w:r w:rsidR="00F044A6" w:rsidRPr="00F044A6">
        <w:rPr>
          <w:vertAlign w:val="subscript"/>
        </w:rPr>
        <w:t>max</w:t>
      </w:r>
      <w:proofErr w:type="spellEnd"/>
      <w:r w:rsidRPr="00F0240D">
        <w:t xml:space="preserve"> and </w:t>
      </w:r>
      <w:r>
        <w:t>AUC increased approximately 1.6</w:t>
      </w:r>
      <w:r w:rsidRPr="00F0240D">
        <w:t xml:space="preserve"> and 1.8</w:t>
      </w:r>
      <w:r>
        <w:t xml:space="preserve"> fold</w:t>
      </w:r>
      <w:r w:rsidRPr="00F0240D">
        <w:t>, respectively, when SOF w</w:t>
      </w:r>
      <w:r>
        <w:t>as co-administered with VEL. GS</w:t>
      </w:r>
      <w:r>
        <w:noBreakHyphen/>
      </w:r>
      <w:r w:rsidRPr="00F0240D">
        <w:t xml:space="preserve">331007 (the predominant circulating nucleoside metabolite of SOF) </w:t>
      </w:r>
      <w:proofErr w:type="spellStart"/>
      <w:r w:rsidR="00F044A6" w:rsidRPr="00604A4F">
        <w:t>C</w:t>
      </w:r>
      <w:r w:rsidR="00F044A6" w:rsidRPr="00F044A6">
        <w:rPr>
          <w:vertAlign w:val="subscript"/>
        </w:rPr>
        <w:t>max</w:t>
      </w:r>
      <w:proofErr w:type="spellEnd"/>
      <w:r w:rsidRPr="00F0240D">
        <w:t xml:space="preserve"> decreased </w:t>
      </w:r>
      <w:r>
        <w:t xml:space="preserve">approximately </w:t>
      </w:r>
      <w:r w:rsidRPr="00F0240D">
        <w:t>36%, but AUC was unaffected by co-administration of SOF+VEL.</w:t>
      </w:r>
    </w:p>
    <w:p w:rsidR="000D4647" w:rsidRDefault="000818DC" w:rsidP="00823FF5">
      <w:pPr>
        <w:pStyle w:val="Heading5"/>
      </w:pPr>
      <w:r w:rsidRPr="00F0240D">
        <w:t>Effect of antiretrovi</w:t>
      </w:r>
      <w:r>
        <w:t>ral drugs on the PKs of the FDC</w:t>
      </w:r>
    </w:p>
    <w:p w:rsidR="000D4647" w:rsidRDefault="000818DC" w:rsidP="000818DC">
      <w:pPr>
        <w:pStyle w:val="ListBullet"/>
      </w:pPr>
      <w:r w:rsidRPr="000818DC">
        <w:t>The PKs of SOF and its metabolites were within the predetermined lack of PK alteration boundaries of 70% to 143%, following co-administration of the FDC with EFV/FTC/TDF, FTC/RPV/TDF, DTG, RAL + FTC/TDF, EVG/COBI/FTC/TDF or ATV+RTV+FTC/TDF.</w:t>
      </w:r>
      <w:r w:rsidR="0091489D">
        <w:rPr>
          <w:rStyle w:val="FootnoteReference"/>
        </w:rPr>
        <w:footnoteReference w:id="11"/>
      </w:r>
    </w:p>
    <w:p w:rsidR="000D4647" w:rsidRDefault="000818DC" w:rsidP="000818DC">
      <w:pPr>
        <w:pStyle w:val="ListBullet"/>
      </w:pPr>
      <w:r w:rsidRPr="000818DC">
        <w:t>For the VEL component of the FDC, the PKs of VEL were not affected by the co-administration of FTC/RPV/TDF, DTG, RAL + FTC/TDF, EVG/COBI/FTC/TDF, DRV+RTV+FTC/TDF or LPV/RTV+FTC/TDF.</w:t>
      </w:r>
      <w:r w:rsidR="00AE4800">
        <w:rPr>
          <w:rStyle w:val="FootnoteReference"/>
        </w:rPr>
        <w:footnoteReference w:id="12"/>
      </w:r>
    </w:p>
    <w:p w:rsidR="000D4647" w:rsidRDefault="000818DC" w:rsidP="000818DC">
      <w:pPr>
        <w:pStyle w:val="ListBullet"/>
      </w:pPr>
      <w:r w:rsidRPr="000818DC">
        <w:t xml:space="preserve">Co-administration with EVG/COBI/FTC/TAF increased the </w:t>
      </w:r>
      <w:proofErr w:type="spellStart"/>
      <w:r w:rsidR="00F044A6" w:rsidRPr="00604A4F">
        <w:t>AU</w:t>
      </w:r>
      <w:r w:rsidR="00FF1DF1" w:rsidRPr="000818DC">
        <w:t>C</w:t>
      </w:r>
      <w:r w:rsidR="00FF1DF1" w:rsidRPr="00FF1DF1">
        <w:rPr>
          <w:vertAlign w:val="subscript"/>
        </w:rPr>
        <w:t>tau</w:t>
      </w:r>
      <w:proofErr w:type="spellEnd"/>
      <w:r w:rsidRPr="000818DC">
        <w:t xml:space="preserve"> of SOF and GS-331007 by 37% and 48%, respectively, and GS-331007 </w:t>
      </w:r>
      <w:proofErr w:type="spellStart"/>
      <w:r w:rsidR="00FF1DF1" w:rsidRPr="000818DC">
        <w:t>C</w:t>
      </w:r>
      <w:r w:rsidR="00FF1DF1" w:rsidRPr="00FF1DF1">
        <w:rPr>
          <w:vertAlign w:val="subscript"/>
        </w:rPr>
        <w:t>tau</w:t>
      </w:r>
      <w:proofErr w:type="spellEnd"/>
      <w:r w:rsidRPr="000818DC">
        <w:t xml:space="preserve"> increased by 58%, whereas, DRV+RTV+FTC/TDF or LPV/RTV+FTC/TDF resulted in decreased exposure to SOF (approximately 28% and approximately 29%, respectively) with no alteration in the overall exposure of GS-566500 or GS-331007.</w:t>
      </w:r>
    </w:p>
    <w:p w:rsidR="000D4647" w:rsidRDefault="000818DC" w:rsidP="000818DC">
      <w:pPr>
        <w:pStyle w:val="ListBullet"/>
      </w:pPr>
      <w:r w:rsidRPr="000818DC">
        <w:t xml:space="preserve">Co-administration with ATV+RTV+FTC/TDF resulted in an increase in VEL </w:t>
      </w:r>
      <w:proofErr w:type="spellStart"/>
      <w:r w:rsidR="00F044A6" w:rsidRPr="00604A4F">
        <w:t>AU</w:t>
      </w:r>
      <w:r w:rsidR="00FF1DF1" w:rsidRPr="000818DC">
        <w:t>C</w:t>
      </w:r>
      <w:r w:rsidR="00FF1DF1" w:rsidRPr="00FF1DF1">
        <w:rPr>
          <w:vertAlign w:val="subscript"/>
        </w:rPr>
        <w:t>tau</w:t>
      </w:r>
      <w:proofErr w:type="spellEnd"/>
      <w:r w:rsidRPr="000818DC">
        <w:t xml:space="preserve"> (approximately 142%), </w:t>
      </w:r>
      <w:proofErr w:type="spellStart"/>
      <w:r w:rsidR="00F044A6" w:rsidRPr="00604A4F">
        <w:t>C</w:t>
      </w:r>
      <w:r w:rsidR="00F044A6" w:rsidRPr="00F044A6">
        <w:rPr>
          <w:vertAlign w:val="subscript"/>
        </w:rPr>
        <w:t>max</w:t>
      </w:r>
      <w:proofErr w:type="spellEnd"/>
      <w:r w:rsidRPr="000818DC">
        <w:t xml:space="preserve"> (approximately 55%), and </w:t>
      </w:r>
      <w:proofErr w:type="spellStart"/>
      <w:r w:rsidR="00FF1DF1" w:rsidRPr="000818DC">
        <w:t>C</w:t>
      </w:r>
      <w:r w:rsidR="00FF1DF1" w:rsidRPr="00FF1DF1">
        <w:rPr>
          <w:vertAlign w:val="subscript"/>
        </w:rPr>
        <w:t>tau</w:t>
      </w:r>
      <w:proofErr w:type="spellEnd"/>
      <w:r w:rsidRPr="000818DC">
        <w:t xml:space="preserve"> (approximately 301%) and EVG/COBI/FTC/TAF increased VEL </w:t>
      </w:r>
      <w:proofErr w:type="spellStart"/>
      <w:r w:rsidR="00F044A6" w:rsidRPr="00604A4F">
        <w:t>C</w:t>
      </w:r>
      <w:r w:rsidR="00F044A6" w:rsidRPr="00F044A6">
        <w:rPr>
          <w:vertAlign w:val="subscript"/>
        </w:rPr>
        <w:t>max</w:t>
      </w:r>
      <w:proofErr w:type="spellEnd"/>
      <w:r w:rsidRPr="000818DC">
        <w:t xml:space="preserve">, </w:t>
      </w:r>
      <w:proofErr w:type="spellStart"/>
      <w:r w:rsidR="00F044A6" w:rsidRPr="00604A4F">
        <w:t>AU</w:t>
      </w:r>
      <w:r w:rsidR="00FF1DF1" w:rsidRPr="000818DC">
        <w:t>C</w:t>
      </w:r>
      <w:r w:rsidR="00FF1DF1" w:rsidRPr="00FF1DF1">
        <w:rPr>
          <w:vertAlign w:val="subscript"/>
        </w:rPr>
        <w:t>tau</w:t>
      </w:r>
      <w:proofErr w:type="spellEnd"/>
      <w:r w:rsidRPr="000818DC">
        <w:t xml:space="preserve"> and </w:t>
      </w:r>
      <w:proofErr w:type="spellStart"/>
      <w:r w:rsidR="00FF1DF1" w:rsidRPr="000818DC">
        <w:t>C</w:t>
      </w:r>
      <w:r w:rsidR="00FF1DF1" w:rsidRPr="00FF1DF1">
        <w:rPr>
          <w:vertAlign w:val="subscript"/>
        </w:rPr>
        <w:t>tau</w:t>
      </w:r>
      <w:proofErr w:type="spellEnd"/>
      <w:r w:rsidRPr="000818DC">
        <w:t xml:space="preserve"> by 30%, 50% and 60%, respectively. By contrast, VEL </w:t>
      </w:r>
      <w:proofErr w:type="spellStart"/>
      <w:r w:rsidR="00F044A6" w:rsidRPr="00604A4F">
        <w:t>C</w:t>
      </w:r>
      <w:r w:rsidR="00F044A6" w:rsidRPr="00F044A6">
        <w:rPr>
          <w:vertAlign w:val="subscript"/>
        </w:rPr>
        <w:t>max</w:t>
      </w:r>
      <w:proofErr w:type="spellEnd"/>
      <w:r w:rsidRPr="000818DC">
        <w:t xml:space="preserve"> and </w:t>
      </w:r>
      <w:proofErr w:type="spellStart"/>
      <w:r w:rsidR="00F044A6" w:rsidRPr="00604A4F">
        <w:t>AU</w:t>
      </w:r>
      <w:r w:rsidR="00FF1DF1" w:rsidRPr="000818DC">
        <w:t>C</w:t>
      </w:r>
      <w:r w:rsidR="00FF1DF1" w:rsidRPr="00FF1DF1">
        <w:rPr>
          <w:vertAlign w:val="subscript"/>
        </w:rPr>
        <w:t>tau</w:t>
      </w:r>
      <w:proofErr w:type="spellEnd"/>
      <w:r w:rsidRPr="000818DC">
        <w:t xml:space="preserve"> were decreased by 47% and 53%, respectively, when co-administered with EFV/FTC/TDF.</w:t>
      </w:r>
    </w:p>
    <w:p w:rsidR="000D4647" w:rsidRDefault="000818DC" w:rsidP="00823FF5">
      <w:pPr>
        <w:pStyle w:val="Heading5"/>
      </w:pPr>
      <w:r w:rsidRPr="00F0240D">
        <w:t>Effect of FDC on the PK</w:t>
      </w:r>
      <w:r>
        <w:t>s of other antiretroviral drugs</w:t>
      </w:r>
    </w:p>
    <w:p w:rsidR="000D4647" w:rsidRDefault="000818DC" w:rsidP="000818DC">
      <w:pPr>
        <w:pStyle w:val="ListBullet"/>
      </w:pPr>
      <w:r w:rsidRPr="000818DC">
        <w:t>Co-administration of SOF/VEL had no effect on the PKs of EFV, RPV, DTG, EVG, FTC, EVG, DRV, ATV, LPV or RTV.</w:t>
      </w:r>
    </w:p>
    <w:p w:rsidR="000D4647" w:rsidRDefault="000818DC" w:rsidP="000818DC">
      <w:pPr>
        <w:pStyle w:val="ListBullet"/>
      </w:pPr>
      <w:r w:rsidRPr="000818DC">
        <w:lastRenderedPageBreak/>
        <w:t xml:space="preserve">COBI </w:t>
      </w:r>
      <w:proofErr w:type="spellStart"/>
      <w:r w:rsidR="00FF1DF1" w:rsidRPr="000818DC">
        <w:t>C</w:t>
      </w:r>
      <w:r w:rsidR="00FF1DF1" w:rsidRPr="00FF1DF1">
        <w:rPr>
          <w:vertAlign w:val="subscript"/>
        </w:rPr>
        <w:t>tau</w:t>
      </w:r>
      <w:proofErr w:type="spellEnd"/>
      <w:r w:rsidRPr="000818DC">
        <w:t xml:space="preserve"> increased by 103% and approximately 71% when the FDC was co-administered with either EVG/COBI/FTC/TAF or EVG/COBI/FTC/TDF.</w:t>
      </w:r>
    </w:p>
    <w:p w:rsidR="000D4647" w:rsidRDefault="000818DC" w:rsidP="000818DC">
      <w:pPr>
        <w:pStyle w:val="ListBullet"/>
      </w:pPr>
      <w:r w:rsidRPr="000818DC">
        <w:t xml:space="preserve">TAF </w:t>
      </w:r>
      <w:proofErr w:type="spellStart"/>
      <w:r w:rsidR="00F044A6" w:rsidRPr="00604A4F">
        <w:t>C</w:t>
      </w:r>
      <w:r w:rsidR="00F044A6" w:rsidRPr="00F044A6">
        <w:rPr>
          <w:vertAlign w:val="subscript"/>
        </w:rPr>
        <w:t>max</w:t>
      </w:r>
      <w:proofErr w:type="spellEnd"/>
      <w:r w:rsidRPr="000818DC">
        <w:t xml:space="preserve"> decreased by 20% when the FDC was co-administered with EVG/COBI/FTC/TAF.</w:t>
      </w:r>
    </w:p>
    <w:p w:rsidR="000D4647" w:rsidRDefault="00FF1DF1" w:rsidP="000818DC">
      <w:pPr>
        <w:pStyle w:val="ListBullet"/>
      </w:pPr>
      <w:proofErr w:type="spellStart"/>
      <w:r>
        <w:t>Tenofovir</w:t>
      </w:r>
      <w:proofErr w:type="spellEnd"/>
      <w:r w:rsidRPr="000818DC">
        <w:t xml:space="preserve"> </w:t>
      </w:r>
      <w:r>
        <w:t>(</w:t>
      </w:r>
      <w:r w:rsidR="000818DC" w:rsidRPr="000818DC">
        <w:t>TFV</w:t>
      </w:r>
      <w:r>
        <w:t>)</w:t>
      </w:r>
      <w:r w:rsidR="000818DC" w:rsidRPr="000818DC">
        <w:t xml:space="preserve"> </w:t>
      </w:r>
      <w:proofErr w:type="spellStart"/>
      <w:r w:rsidR="00F044A6" w:rsidRPr="00604A4F">
        <w:t>AU</w:t>
      </w:r>
      <w:r w:rsidRPr="000818DC">
        <w:t>C</w:t>
      </w:r>
      <w:r w:rsidRPr="00FF1DF1">
        <w:rPr>
          <w:vertAlign w:val="subscript"/>
        </w:rPr>
        <w:t>tau</w:t>
      </w:r>
      <w:proofErr w:type="spellEnd"/>
      <w:r w:rsidR="000818DC" w:rsidRPr="000818DC">
        <w:t xml:space="preserve">, </w:t>
      </w:r>
      <w:proofErr w:type="spellStart"/>
      <w:r w:rsidR="00F044A6" w:rsidRPr="00604A4F">
        <w:t>C</w:t>
      </w:r>
      <w:r w:rsidR="00F044A6" w:rsidRPr="00F044A6">
        <w:rPr>
          <w:vertAlign w:val="subscript"/>
        </w:rPr>
        <w:t>max</w:t>
      </w:r>
      <w:proofErr w:type="spellEnd"/>
      <w:r w:rsidR="000818DC" w:rsidRPr="000818DC">
        <w:t xml:space="preserve">, and </w:t>
      </w:r>
      <w:proofErr w:type="spellStart"/>
      <w:r w:rsidRPr="000818DC">
        <w:t>C</w:t>
      </w:r>
      <w:r w:rsidRPr="00FF1DF1">
        <w:rPr>
          <w:vertAlign w:val="subscript"/>
        </w:rPr>
        <w:t>tau</w:t>
      </w:r>
      <w:proofErr w:type="spellEnd"/>
      <w:r w:rsidR="000818DC" w:rsidRPr="000818DC">
        <w:t xml:space="preserve"> increased by approximately 81%, 77%, and 121%, respectively, following co-administration of EFV/FTC/TDF with SOF/VEL. Similarly, TFV </w:t>
      </w:r>
      <w:proofErr w:type="spellStart"/>
      <w:r w:rsidR="00F044A6" w:rsidRPr="00604A4F">
        <w:t>AU</w:t>
      </w:r>
      <w:r w:rsidRPr="000818DC">
        <w:t>C</w:t>
      </w:r>
      <w:r w:rsidRPr="00FF1DF1">
        <w:rPr>
          <w:vertAlign w:val="subscript"/>
        </w:rPr>
        <w:t>tau</w:t>
      </w:r>
      <w:proofErr w:type="spellEnd"/>
      <w:r w:rsidR="000818DC" w:rsidRPr="000818DC">
        <w:t xml:space="preserve">, </w:t>
      </w:r>
      <w:proofErr w:type="spellStart"/>
      <w:r w:rsidR="00F044A6" w:rsidRPr="00604A4F">
        <w:t>C</w:t>
      </w:r>
      <w:r w:rsidR="00F044A6" w:rsidRPr="00F044A6">
        <w:rPr>
          <w:vertAlign w:val="subscript"/>
        </w:rPr>
        <w:t>max</w:t>
      </w:r>
      <w:proofErr w:type="spellEnd"/>
      <w:r w:rsidR="000818DC" w:rsidRPr="000818DC">
        <w:t xml:space="preserve">, and </w:t>
      </w:r>
      <w:proofErr w:type="spellStart"/>
      <w:r w:rsidRPr="000818DC">
        <w:t>C</w:t>
      </w:r>
      <w:r w:rsidRPr="00FF1DF1">
        <w:rPr>
          <w:vertAlign w:val="subscript"/>
        </w:rPr>
        <w:t>tau</w:t>
      </w:r>
      <w:proofErr w:type="spellEnd"/>
      <w:r w:rsidR="000818DC" w:rsidRPr="000818DC">
        <w:t xml:space="preserve"> increased approximately 40%, 44%, and 84%, respectively, following co-administration of FTC/RPV/TDF. In addition, TFV </w:t>
      </w:r>
      <w:proofErr w:type="spellStart"/>
      <w:r w:rsidR="00F044A6" w:rsidRPr="00604A4F">
        <w:t>AU</w:t>
      </w:r>
      <w:r w:rsidRPr="000818DC">
        <w:t>C</w:t>
      </w:r>
      <w:r w:rsidRPr="00FF1DF1">
        <w:rPr>
          <w:vertAlign w:val="subscript"/>
        </w:rPr>
        <w:t>tau</w:t>
      </w:r>
      <w:proofErr w:type="spellEnd"/>
      <w:r w:rsidR="000818DC" w:rsidRPr="000818DC">
        <w:t xml:space="preserve"> (range: 39% to 40%), </w:t>
      </w:r>
      <w:proofErr w:type="spellStart"/>
      <w:r w:rsidR="00F044A6" w:rsidRPr="00604A4F">
        <w:t>C</w:t>
      </w:r>
      <w:r w:rsidR="00F044A6" w:rsidRPr="00F044A6">
        <w:rPr>
          <w:vertAlign w:val="subscript"/>
        </w:rPr>
        <w:t>max</w:t>
      </w:r>
      <w:proofErr w:type="spellEnd"/>
      <w:r w:rsidR="000818DC" w:rsidRPr="000818DC">
        <w:t xml:space="preserve"> (range: 36% to 55%), and </w:t>
      </w:r>
      <w:proofErr w:type="spellStart"/>
      <w:r w:rsidRPr="000818DC">
        <w:t>C</w:t>
      </w:r>
      <w:r w:rsidRPr="00FF1DF1">
        <w:rPr>
          <w:vertAlign w:val="subscript"/>
        </w:rPr>
        <w:t>tau</w:t>
      </w:r>
      <w:proofErr w:type="spellEnd"/>
      <w:r w:rsidR="000818DC" w:rsidRPr="000818DC">
        <w:t xml:space="preserve"> (range: 45% to 70%) values were increased following co-administration with EVG/COBI/FTC/TDF, DRV+RTV+FTC/TDF, or RAL+FTC/TDF and an increase in TFV </w:t>
      </w:r>
      <w:proofErr w:type="spellStart"/>
      <w:r w:rsidR="00F044A6" w:rsidRPr="00604A4F">
        <w:t>C</w:t>
      </w:r>
      <w:r w:rsidR="00F044A6" w:rsidRPr="00F044A6">
        <w:rPr>
          <w:vertAlign w:val="subscript"/>
        </w:rPr>
        <w:t>max</w:t>
      </w:r>
      <w:proofErr w:type="spellEnd"/>
      <w:r w:rsidR="000818DC" w:rsidRPr="000818DC">
        <w:t xml:space="preserve"> (approximately 55%) and </w:t>
      </w:r>
      <w:proofErr w:type="spellStart"/>
      <w:r w:rsidRPr="000818DC">
        <w:t>C</w:t>
      </w:r>
      <w:r w:rsidRPr="00FF1DF1">
        <w:rPr>
          <w:vertAlign w:val="subscript"/>
        </w:rPr>
        <w:t>tau</w:t>
      </w:r>
      <w:proofErr w:type="spellEnd"/>
      <w:r w:rsidR="000818DC" w:rsidRPr="000818DC">
        <w:t xml:space="preserve"> (approximately 39%), but no change in AUC, was observed following administration of ATV+RTV+FTC/TDF with SOF/VEL. TFV </w:t>
      </w:r>
      <w:proofErr w:type="spellStart"/>
      <w:r w:rsidR="00F044A6" w:rsidRPr="00604A4F">
        <w:t>C</w:t>
      </w:r>
      <w:r w:rsidR="00F044A6" w:rsidRPr="00F044A6">
        <w:rPr>
          <w:vertAlign w:val="subscript"/>
        </w:rPr>
        <w:t>max</w:t>
      </w:r>
      <w:proofErr w:type="spellEnd"/>
      <w:r w:rsidR="000818DC" w:rsidRPr="000818DC">
        <w:t xml:space="preserve"> also increased (approximately 42%) following administration of LPV/RTV+FTC/TDF with SOF/VEL, whereas, there was no change in either TFV </w:t>
      </w:r>
      <w:proofErr w:type="spellStart"/>
      <w:r w:rsidR="00F044A6" w:rsidRPr="00604A4F">
        <w:t>AU</w:t>
      </w:r>
      <w:r w:rsidRPr="000818DC">
        <w:t>C</w:t>
      </w:r>
      <w:r w:rsidRPr="00FF1DF1">
        <w:rPr>
          <w:vertAlign w:val="subscript"/>
        </w:rPr>
        <w:t>tau</w:t>
      </w:r>
      <w:proofErr w:type="spellEnd"/>
      <w:r w:rsidR="000818DC" w:rsidRPr="000818DC">
        <w:t xml:space="preserve"> or </w:t>
      </w:r>
      <w:proofErr w:type="spellStart"/>
      <w:r w:rsidRPr="000818DC">
        <w:t>C</w:t>
      </w:r>
      <w:r w:rsidRPr="00FF1DF1">
        <w:rPr>
          <w:vertAlign w:val="subscript"/>
        </w:rPr>
        <w:t>tau</w:t>
      </w:r>
      <w:proofErr w:type="spellEnd"/>
      <w:r w:rsidR="000818DC" w:rsidRPr="000818DC">
        <w:t xml:space="preserve"> under these conditions.</w:t>
      </w:r>
    </w:p>
    <w:p w:rsidR="000D4647" w:rsidRDefault="00FF1DF1" w:rsidP="000818DC">
      <w:pPr>
        <w:pStyle w:val="ListBullet"/>
      </w:pPr>
      <w:proofErr w:type="spellStart"/>
      <w:r w:rsidRPr="000818DC">
        <w:t>C</w:t>
      </w:r>
      <w:r w:rsidRPr="00FF1DF1">
        <w:rPr>
          <w:vertAlign w:val="subscript"/>
        </w:rPr>
        <w:t>tau</w:t>
      </w:r>
      <w:proofErr w:type="spellEnd"/>
      <w:r w:rsidR="000818DC" w:rsidRPr="000818DC">
        <w:t xml:space="preserve"> values for ATV and RTV increased by approximately 39% and approximately 29%, respectively, following co-administration of ATV+RTV+FTC/TDF with SOF/VEL.</w:t>
      </w:r>
    </w:p>
    <w:p w:rsidR="000D4647" w:rsidRDefault="000818DC" w:rsidP="00823FF5">
      <w:pPr>
        <w:pStyle w:val="Heading5"/>
      </w:pPr>
      <w:r w:rsidRPr="00F0240D">
        <w:t>Interactio</w:t>
      </w:r>
      <w:r>
        <w:t xml:space="preserve">n between the FDC and </w:t>
      </w:r>
      <w:r w:rsidR="00630FB6">
        <w:t>proton pump inhibitors (</w:t>
      </w:r>
      <w:r>
        <w:t>PPIs</w:t>
      </w:r>
      <w:r w:rsidR="00630FB6">
        <w:t>)</w:t>
      </w:r>
      <w:r>
        <w:t>/H2RA</w:t>
      </w:r>
    </w:p>
    <w:p w:rsidR="000D4647" w:rsidRDefault="000818DC" w:rsidP="00D6575E">
      <w:pPr>
        <w:pStyle w:val="ListBullet"/>
      </w:pPr>
      <w:r w:rsidRPr="00D6575E">
        <w:t xml:space="preserve">Administration of SOF/VEL with food and the PPI omeprazole had no effect on the AUC of SOF or its metabolites GS-566500 and GS-331007, regardless of timing or dose of omeprazole, whereas, SOF </w:t>
      </w:r>
      <w:proofErr w:type="spellStart"/>
      <w:r w:rsidR="00F044A6" w:rsidRPr="00604A4F">
        <w:t>C</w:t>
      </w:r>
      <w:r w:rsidR="00F044A6" w:rsidRPr="00F044A6">
        <w:rPr>
          <w:vertAlign w:val="subscript"/>
        </w:rPr>
        <w:t>max</w:t>
      </w:r>
      <w:proofErr w:type="spellEnd"/>
      <w:r w:rsidRPr="00D6575E">
        <w:t xml:space="preserve"> was 16% to 30% lower. By contrast, VEL </w:t>
      </w:r>
      <w:proofErr w:type="spellStart"/>
      <w:r w:rsidR="00F044A6" w:rsidRPr="00604A4F">
        <w:t>C</w:t>
      </w:r>
      <w:r w:rsidR="00F044A6" w:rsidRPr="00F044A6">
        <w:rPr>
          <w:vertAlign w:val="subscript"/>
        </w:rPr>
        <w:t>max</w:t>
      </w:r>
      <w:proofErr w:type="spellEnd"/>
      <w:r w:rsidRPr="00D6575E">
        <w:t xml:space="preserve"> and </w:t>
      </w:r>
      <w:proofErr w:type="spellStart"/>
      <w:r w:rsidR="00313378" w:rsidRPr="000818DC">
        <w:t>AUC</w:t>
      </w:r>
      <w:r w:rsidR="00313378" w:rsidRPr="00313378">
        <w:rPr>
          <w:vertAlign w:val="subscript"/>
        </w:rPr>
        <w:t>inf</w:t>
      </w:r>
      <w:proofErr w:type="spellEnd"/>
      <w:r w:rsidRPr="00D6575E">
        <w:t xml:space="preserve"> decreased by 33% to 56% and 26% to 53%, respectively, following co-administration of the FDC with food and omeprazole.</w:t>
      </w:r>
    </w:p>
    <w:p w:rsidR="000D4647" w:rsidRDefault="000818DC" w:rsidP="00D6575E">
      <w:pPr>
        <w:pStyle w:val="ListBullet"/>
      </w:pPr>
      <w:r w:rsidRPr="00D6575E">
        <w:t>When SOF/VEL was administered under fasted conditions with omeprazole 20</w:t>
      </w:r>
      <w:r w:rsidR="00A82FA1">
        <w:t xml:space="preserve"> mg</w:t>
      </w:r>
      <w:r w:rsidRPr="00D6575E">
        <w:t xml:space="preserve"> (simultaneous or staggered by 12 hours) the </w:t>
      </w:r>
      <w:proofErr w:type="spellStart"/>
      <w:r w:rsidR="00313378" w:rsidRPr="000818DC">
        <w:t>AUC</w:t>
      </w:r>
      <w:r w:rsidR="00313378" w:rsidRPr="00313378">
        <w:rPr>
          <w:vertAlign w:val="subscript"/>
        </w:rPr>
        <w:t>inf</w:t>
      </w:r>
      <w:proofErr w:type="spellEnd"/>
      <w:r w:rsidRPr="00D6575E">
        <w:t xml:space="preserve"> values for SOF, GS-566500, and VEL, decreased by 29% to 55%, whereas there was no effect on the PKs of GS-331007.</w:t>
      </w:r>
    </w:p>
    <w:p w:rsidR="000D4647" w:rsidRDefault="000818DC" w:rsidP="00D6575E">
      <w:pPr>
        <w:pStyle w:val="ListBullet"/>
      </w:pPr>
      <w:r w:rsidRPr="00D6575E">
        <w:t xml:space="preserve">Administration of SOF/VEL with the </w:t>
      </w:r>
      <w:r w:rsidR="0061395D">
        <w:t>H2-receptor antagonist</w:t>
      </w:r>
      <w:r w:rsidR="0061395D" w:rsidRPr="00D6575E">
        <w:t xml:space="preserve"> </w:t>
      </w:r>
      <w:r w:rsidR="0061395D">
        <w:t>(</w:t>
      </w:r>
      <w:r w:rsidRPr="00D6575E">
        <w:t>H2RA</w:t>
      </w:r>
      <w:r w:rsidR="0061395D">
        <w:t>)</w:t>
      </w:r>
      <w:r w:rsidRPr="00D6575E">
        <w:t xml:space="preserve"> famotidine 40</w:t>
      </w:r>
      <w:r w:rsidR="00A82FA1">
        <w:t xml:space="preserve"> mg</w:t>
      </w:r>
      <w:r w:rsidRPr="00D6575E">
        <w:t xml:space="preserve"> (simultaneously or staggered by 12 hours) had no effect on the AUC values for SOF, GS-566500, GS-331007 or VEL, whereas, there was a small decrease in SOF </w:t>
      </w:r>
      <w:proofErr w:type="spellStart"/>
      <w:r w:rsidR="00F044A6" w:rsidRPr="00604A4F">
        <w:t>C</w:t>
      </w:r>
      <w:r w:rsidR="00F044A6" w:rsidRPr="00F044A6">
        <w:rPr>
          <w:vertAlign w:val="subscript"/>
        </w:rPr>
        <w:t>max</w:t>
      </w:r>
      <w:proofErr w:type="spellEnd"/>
      <w:r w:rsidRPr="00D6575E">
        <w:t xml:space="preserve"> (23%).</w:t>
      </w:r>
    </w:p>
    <w:p w:rsidR="000D4647" w:rsidRDefault="000818DC" w:rsidP="00823FF5">
      <w:pPr>
        <w:pStyle w:val="Heading5"/>
      </w:pPr>
      <w:r w:rsidRPr="00F0240D">
        <w:t>Effect of other drugs o</w:t>
      </w:r>
      <w:r>
        <w:t>n VEL PKs in the absence of SOF</w:t>
      </w:r>
    </w:p>
    <w:p w:rsidR="000D4647" w:rsidRDefault="000818DC" w:rsidP="00D6575E">
      <w:pPr>
        <w:pStyle w:val="ListBullet"/>
      </w:pPr>
      <w:r w:rsidRPr="00D6575E">
        <w:t xml:space="preserve">Co-administration with </w:t>
      </w:r>
      <w:proofErr w:type="spellStart"/>
      <w:r w:rsidRPr="00D6575E">
        <w:t>rifampin</w:t>
      </w:r>
      <w:proofErr w:type="spellEnd"/>
      <w:r w:rsidRPr="00D6575E">
        <w:t>, a strong inducer of CYP3A4/2C8 and P-</w:t>
      </w:r>
      <w:proofErr w:type="spellStart"/>
      <w:r w:rsidRPr="00D6575E">
        <w:t>gp</w:t>
      </w:r>
      <w:proofErr w:type="spellEnd"/>
      <w:r w:rsidRPr="00D6575E">
        <w:t xml:space="preserve">, substantially reduced VEL AUC (approximately 82%) and </w:t>
      </w:r>
      <w:proofErr w:type="spellStart"/>
      <w:r w:rsidR="00F044A6" w:rsidRPr="00604A4F">
        <w:t>C</w:t>
      </w:r>
      <w:r w:rsidR="00F044A6" w:rsidRPr="00F044A6">
        <w:rPr>
          <w:vertAlign w:val="subscript"/>
        </w:rPr>
        <w:t>max</w:t>
      </w:r>
      <w:proofErr w:type="spellEnd"/>
      <w:r w:rsidRPr="00D6575E">
        <w:t xml:space="preserve"> (approximately 71%).</w:t>
      </w:r>
    </w:p>
    <w:p w:rsidR="000D4647" w:rsidRDefault="000818DC" w:rsidP="00D6575E">
      <w:pPr>
        <w:pStyle w:val="ListBullet"/>
      </w:pPr>
      <w:r w:rsidRPr="00D6575E">
        <w:t>Co-administration with ketoconazole, a strong inhibitor of CYP3A4/2C8 and P-</w:t>
      </w:r>
      <w:proofErr w:type="spellStart"/>
      <w:r w:rsidRPr="00D6575E">
        <w:t>gp</w:t>
      </w:r>
      <w:proofErr w:type="spellEnd"/>
      <w:r w:rsidRPr="00D6575E">
        <w:t xml:space="preserve">, increased VEL AUC and </w:t>
      </w:r>
      <w:proofErr w:type="spellStart"/>
      <w:r w:rsidR="00F044A6" w:rsidRPr="00604A4F">
        <w:t>C</w:t>
      </w:r>
      <w:r w:rsidR="00F044A6" w:rsidRPr="00F044A6">
        <w:rPr>
          <w:vertAlign w:val="subscript"/>
        </w:rPr>
        <w:t>max</w:t>
      </w:r>
      <w:proofErr w:type="spellEnd"/>
      <w:r w:rsidRPr="00D6575E">
        <w:t xml:space="preserve"> by approximately 70% and 29%, respectively.</w:t>
      </w:r>
    </w:p>
    <w:p w:rsidR="000D4647" w:rsidRDefault="000818DC" w:rsidP="00D6575E">
      <w:pPr>
        <w:pStyle w:val="ListBullet"/>
      </w:pPr>
      <w:r w:rsidRPr="00D6575E">
        <w:t xml:space="preserve">Administration of single dose </w:t>
      </w:r>
      <w:proofErr w:type="spellStart"/>
      <w:r w:rsidRPr="00D6575E">
        <w:t>rifampin</w:t>
      </w:r>
      <w:proofErr w:type="spellEnd"/>
      <w:r w:rsidRPr="00D6575E">
        <w:t xml:space="preserve">, an inhibitor of OATP, with VEL resulted in an approximate 47% and 28% increase in VEL AUC and </w:t>
      </w:r>
      <w:proofErr w:type="spellStart"/>
      <w:r w:rsidR="00F044A6" w:rsidRPr="00604A4F">
        <w:t>C</w:t>
      </w:r>
      <w:r w:rsidR="00F044A6" w:rsidRPr="00F044A6">
        <w:rPr>
          <w:vertAlign w:val="subscript"/>
        </w:rPr>
        <w:t>max</w:t>
      </w:r>
      <w:proofErr w:type="spellEnd"/>
      <w:r w:rsidRPr="00D6575E">
        <w:t>, respectively.</w:t>
      </w:r>
    </w:p>
    <w:p w:rsidR="000D4647" w:rsidRDefault="000818DC" w:rsidP="00D6575E">
      <w:pPr>
        <w:pStyle w:val="ListBullet"/>
      </w:pPr>
      <w:r w:rsidRPr="00D6575E">
        <w:t xml:space="preserve">VEL AUC and </w:t>
      </w:r>
      <w:proofErr w:type="spellStart"/>
      <w:r w:rsidR="00F044A6" w:rsidRPr="00604A4F">
        <w:t>C</w:t>
      </w:r>
      <w:r w:rsidR="00F044A6" w:rsidRPr="00F044A6">
        <w:rPr>
          <w:vertAlign w:val="subscript"/>
        </w:rPr>
        <w:t>max</w:t>
      </w:r>
      <w:proofErr w:type="spellEnd"/>
      <w:r w:rsidRPr="00D6575E">
        <w:t xml:space="preserve"> were approximately 2 fold and 56% higher, respectively, following co-administration with cyclosporine, a strong inhibitor of OATP/P-</w:t>
      </w:r>
      <w:proofErr w:type="spellStart"/>
      <w:r w:rsidRPr="00D6575E">
        <w:t>gp</w:t>
      </w:r>
      <w:proofErr w:type="spellEnd"/>
      <w:r w:rsidRPr="00D6575E">
        <w:t>/MRP2, as compared to VEL administered alone.</w:t>
      </w:r>
    </w:p>
    <w:p w:rsidR="000D4647" w:rsidRDefault="000818DC" w:rsidP="00D6575E">
      <w:pPr>
        <w:pStyle w:val="ListBullet"/>
      </w:pPr>
      <w:r w:rsidRPr="00D6575E">
        <w:t xml:space="preserve">Hormonal </w:t>
      </w:r>
      <w:r w:rsidR="00630FB6">
        <w:t>oral contraceptive</w:t>
      </w:r>
      <w:r w:rsidRPr="00D6575E">
        <w:t>s do not appear to affect the PKs of VEL.</w:t>
      </w:r>
    </w:p>
    <w:p w:rsidR="000D4647" w:rsidRDefault="000818DC" w:rsidP="00D6575E">
      <w:pPr>
        <w:pStyle w:val="ListBullet"/>
      </w:pPr>
      <w:r w:rsidRPr="00D6575E">
        <w:t xml:space="preserve">Simultaneous administration of famotidine, had no impact on the AUC of VEL as the 90% CIs of the GLS mean ratios were between 70% and 120%, whereas, VEL </w:t>
      </w:r>
      <w:proofErr w:type="spellStart"/>
      <w:r w:rsidR="00F044A6" w:rsidRPr="00604A4F">
        <w:t>C</w:t>
      </w:r>
      <w:r w:rsidR="00F044A6" w:rsidRPr="00F044A6">
        <w:rPr>
          <w:vertAlign w:val="subscript"/>
        </w:rPr>
        <w:t>max</w:t>
      </w:r>
      <w:proofErr w:type="spellEnd"/>
      <w:r w:rsidRPr="00D6575E">
        <w:t xml:space="preserve"> decreased modestly (approximately 14%). By contrast, staggered administration famotidine had little to no impact on the </w:t>
      </w:r>
      <w:proofErr w:type="spellStart"/>
      <w:r w:rsidR="00567626" w:rsidRPr="00D6575E">
        <w:t>AUC</w:t>
      </w:r>
      <w:r w:rsidR="00567626" w:rsidRPr="00567626">
        <w:rPr>
          <w:vertAlign w:val="subscript"/>
        </w:rPr>
        <w:t>last</w:t>
      </w:r>
      <w:proofErr w:type="spellEnd"/>
      <w:r w:rsidRPr="00D6575E">
        <w:t xml:space="preserve">, </w:t>
      </w:r>
      <w:proofErr w:type="spellStart"/>
      <w:r w:rsidR="00313378" w:rsidRPr="000818DC">
        <w:t>AUC</w:t>
      </w:r>
      <w:r w:rsidR="00313378" w:rsidRPr="00313378">
        <w:rPr>
          <w:vertAlign w:val="subscript"/>
        </w:rPr>
        <w:t>inf</w:t>
      </w:r>
      <w:proofErr w:type="spellEnd"/>
      <w:r w:rsidRPr="00D6575E">
        <w:t xml:space="preserve">, and </w:t>
      </w:r>
      <w:proofErr w:type="spellStart"/>
      <w:r w:rsidR="00F044A6" w:rsidRPr="00604A4F">
        <w:t>C</w:t>
      </w:r>
      <w:r w:rsidR="00F044A6" w:rsidRPr="00F044A6">
        <w:rPr>
          <w:vertAlign w:val="subscript"/>
        </w:rPr>
        <w:t>max</w:t>
      </w:r>
      <w:proofErr w:type="spellEnd"/>
      <w:r w:rsidRPr="00D6575E">
        <w:t xml:space="preserve"> of VEL.</w:t>
      </w:r>
    </w:p>
    <w:p w:rsidR="000D4647" w:rsidRDefault="000818DC" w:rsidP="00D6575E">
      <w:pPr>
        <w:pStyle w:val="ListBullet"/>
      </w:pPr>
      <w:r w:rsidRPr="00D6575E">
        <w:t xml:space="preserve">Simultaneous administration of the PPI, omeprazole, with VEL resulted in substantial decreases in the </w:t>
      </w:r>
      <w:proofErr w:type="spellStart"/>
      <w:r w:rsidR="00313378" w:rsidRPr="000818DC">
        <w:t>AUC</w:t>
      </w:r>
      <w:r w:rsidR="00313378" w:rsidRPr="00313378">
        <w:rPr>
          <w:vertAlign w:val="subscript"/>
        </w:rPr>
        <w:t>inf</w:t>
      </w:r>
      <w:proofErr w:type="spellEnd"/>
      <w:r w:rsidRPr="00D6575E">
        <w:t xml:space="preserve"> (approximately 53%) and </w:t>
      </w:r>
      <w:proofErr w:type="spellStart"/>
      <w:r w:rsidR="00F044A6" w:rsidRPr="00604A4F">
        <w:t>C</w:t>
      </w:r>
      <w:r w:rsidR="00F044A6" w:rsidRPr="00F044A6">
        <w:rPr>
          <w:vertAlign w:val="subscript"/>
        </w:rPr>
        <w:t>max</w:t>
      </w:r>
      <w:proofErr w:type="spellEnd"/>
      <w:r w:rsidRPr="00D6575E">
        <w:t xml:space="preserve"> (approximately 55%) values of VEL.</w:t>
      </w:r>
    </w:p>
    <w:p w:rsidR="000D4647" w:rsidRDefault="000818DC" w:rsidP="00823FF5">
      <w:pPr>
        <w:pStyle w:val="Heading5"/>
      </w:pPr>
      <w:r w:rsidRPr="00F0240D">
        <w:lastRenderedPageBreak/>
        <w:t>Effect of VEL on the PKs of ot</w:t>
      </w:r>
      <w:r>
        <w:t>her drugs in the absence of SOF</w:t>
      </w:r>
    </w:p>
    <w:p w:rsidR="000D4647" w:rsidRDefault="000818DC" w:rsidP="00D6575E">
      <w:pPr>
        <w:pStyle w:val="ListBullet"/>
      </w:pPr>
      <w:r w:rsidRPr="00D6575E">
        <w:t xml:space="preserve">Pravastatin AUC and </w:t>
      </w:r>
      <w:proofErr w:type="spellStart"/>
      <w:r w:rsidR="00F044A6" w:rsidRPr="00604A4F">
        <w:t>C</w:t>
      </w:r>
      <w:r w:rsidR="00F044A6" w:rsidRPr="00F044A6">
        <w:rPr>
          <w:vertAlign w:val="subscript"/>
        </w:rPr>
        <w:t>max</w:t>
      </w:r>
      <w:proofErr w:type="spellEnd"/>
      <w:r w:rsidRPr="00D6575E">
        <w:t xml:space="preserve"> were modestly increased by 35% and 28%, respectively, following co-administration with VEL, relative to pravastatin administration alone.</w:t>
      </w:r>
    </w:p>
    <w:p w:rsidR="000D4647" w:rsidRDefault="000818DC" w:rsidP="00D6575E">
      <w:pPr>
        <w:pStyle w:val="ListBullet"/>
      </w:pPr>
      <w:proofErr w:type="spellStart"/>
      <w:r w:rsidRPr="00D6575E">
        <w:t>Rosuvastatin</w:t>
      </w:r>
      <w:proofErr w:type="spellEnd"/>
      <w:r w:rsidRPr="00D6575E">
        <w:t xml:space="preserve"> AUC and </w:t>
      </w:r>
      <w:proofErr w:type="spellStart"/>
      <w:r w:rsidR="00F044A6" w:rsidRPr="00604A4F">
        <w:t>C</w:t>
      </w:r>
      <w:r w:rsidR="00F044A6" w:rsidRPr="00F044A6">
        <w:rPr>
          <w:vertAlign w:val="subscript"/>
        </w:rPr>
        <w:t>max</w:t>
      </w:r>
      <w:proofErr w:type="spellEnd"/>
      <w:r w:rsidRPr="00D6575E">
        <w:t xml:space="preserve"> </w:t>
      </w:r>
      <w:proofErr w:type="gramStart"/>
      <w:r w:rsidRPr="00D6575E">
        <w:t>were</w:t>
      </w:r>
      <w:proofErr w:type="gramEnd"/>
      <w:r w:rsidRPr="00D6575E">
        <w:t xml:space="preserve"> approximately 2.8 fold and approximately 2.6 fold higher, respectively, following co-administration with VEL, relative to </w:t>
      </w:r>
      <w:proofErr w:type="spellStart"/>
      <w:r w:rsidRPr="00D6575E">
        <w:t>rosuvastatin</w:t>
      </w:r>
      <w:proofErr w:type="spellEnd"/>
      <w:r w:rsidRPr="00D6575E">
        <w:t xml:space="preserve"> administration alone.</w:t>
      </w:r>
    </w:p>
    <w:p w:rsidR="000D4647" w:rsidRDefault="000818DC" w:rsidP="00D6575E">
      <w:pPr>
        <w:pStyle w:val="ListBullet"/>
      </w:pPr>
      <w:r w:rsidRPr="00D6575E">
        <w:t xml:space="preserve">Digoxin </w:t>
      </w:r>
      <w:proofErr w:type="spellStart"/>
      <w:r w:rsidR="00567626" w:rsidRPr="00D6575E">
        <w:t>AUC</w:t>
      </w:r>
      <w:r w:rsidR="00567626" w:rsidRPr="00567626">
        <w:rPr>
          <w:vertAlign w:val="subscript"/>
        </w:rPr>
        <w:t>last</w:t>
      </w:r>
      <w:proofErr w:type="spellEnd"/>
      <w:r w:rsidRPr="00D6575E">
        <w:t xml:space="preserve">, </w:t>
      </w:r>
      <w:proofErr w:type="spellStart"/>
      <w:r w:rsidR="00313378" w:rsidRPr="000818DC">
        <w:t>AUC</w:t>
      </w:r>
      <w:r w:rsidR="00313378" w:rsidRPr="00313378">
        <w:rPr>
          <w:vertAlign w:val="subscript"/>
        </w:rPr>
        <w:t>inf</w:t>
      </w:r>
      <w:proofErr w:type="spellEnd"/>
      <w:r w:rsidRPr="00D6575E">
        <w:t xml:space="preserve">, and </w:t>
      </w:r>
      <w:proofErr w:type="spellStart"/>
      <w:r w:rsidR="00F044A6" w:rsidRPr="00604A4F">
        <w:t>C</w:t>
      </w:r>
      <w:r w:rsidR="00F044A6" w:rsidRPr="00F044A6">
        <w:rPr>
          <w:vertAlign w:val="subscript"/>
        </w:rPr>
        <w:t>max</w:t>
      </w:r>
      <w:proofErr w:type="spellEnd"/>
      <w:r w:rsidRPr="00D6575E">
        <w:t xml:space="preserve"> were 60%, 34%, and 88% higher, respectively, following co-administration with VEL, relative to digoxin administration alone.</w:t>
      </w:r>
    </w:p>
    <w:p w:rsidR="000D4647" w:rsidRDefault="000818DC" w:rsidP="00D6575E">
      <w:pPr>
        <w:pStyle w:val="ListBullet"/>
      </w:pPr>
      <w:r w:rsidRPr="00D6575E">
        <w:t xml:space="preserve">VEL had little to no effect on cyclosporine exposure (approximately 10% decrease) or the PKs of a hormonal </w:t>
      </w:r>
      <w:r w:rsidR="00630FB6">
        <w:t>oral contraceptive</w:t>
      </w:r>
      <w:r w:rsidRPr="00D6575E">
        <w:t>.</w:t>
      </w:r>
    </w:p>
    <w:p w:rsidR="000D4647" w:rsidRDefault="000818DC" w:rsidP="00823FF5">
      <w:pPr>
        <w:pStyle w:val="Heading5"/>
      </w:pPr>
      <w:r w:rsidRPr="00F0240D">
        <w:t>Effect of SOF on the PKs of other drugs in the absence of VEL</w:t>
      </w:r>
    </w:p>
    <w:p w:rsidR="000D4647" w:rsidRDefault="000818DC" w:rsidP="00D6575E">
      <w:r w:rsidRPr="00F0240D">
        <w:t>Co-administration of SOF (400</w:t>
      </w:r>
      <w:r w:rsidR="00A82FA1">
        <w:t xml:space="preserve"> mg</w:t>
      </w:r>
      <w:r w:rsidRPr="00F0240D">
        <w:t xml:space="preserve"> </w:t>
      </w:r>
      <w:proofErr w:type="spellStart"/>
      <w:r w:rsidR="00630FB6">
        <w:t>qd</w:t>
      </w:r>
      <w:proofErr w:type="spellEnd"/>
      <w:r w:rsidRPr="00F0240D">
        <w:t>) with range of anti-retroviral therapies including: ATR; EFV</w:t>
      </w:r>
      <w:r>
        <w:t xml:space="preserve"> </w:t>
      </w:r>
      <w:r w:rsidRPr="00F0240D">
        <w:t>+ ZDV/3TC; ATV/r + TVD; DRV/r + TVD; and RAL + TVD</w:t>
      </w:r>
      <w:r w:rsidR="00567626">
        <w:rPr>
          <w:rStyle w:val="FootnoteReference"/>
        </w:rPr>
        <w:footnoteReference w:id="13"/>
      </w:r>
      <w:r w:rsidRPr="00F0240D">
        <w:t xml:space="preserve"> in healthy HIV/HCV co-infected subjects identified only modest changes in the PK parameters of the evaluated </w:t>
      </w:r>
      <w:proofErr w:type="spellStart"/>
      <w:r w:rsidR="00567626">
        <w:t>antiretrovirals</w:t>
      </w:r>
      <w:proofErr w:type="spellEnd"/>
      <w:r w:rsidR="00567626" w:rsidRPr="00F0240D">
        <w:t xml:space="preserve"> </w:t>
      </w:r>
      <w:r w:rsidR="00567626">
        <w:t>(</w:t>
      </w:r>
      <w:r w:rsidRPr="00F0240D">
        <w:t>ARVs</w:t>
      </w:r>
      <w:r w:rsidR="00567626">
        <w:t>)</w:t>
      </w:r>
      <w:r w:rsidRPr="00F0240D">
        <w:t xml:space="preserve">. The largest identified decrease in </w:t>
      </w:r>
      <w:proofErr w:type="spellStart"/>
      <w:r w:rsidR="00F044A6" w:rsidRPr="00604A4F">
        <w:t>C</w:t>
      </w:r>
      <w:r w:rsidR="00F044A6" w:rsidRPr="00F044A6">
        <w:rPr>
          <w:vertAlign w:val="subscript"/>
        </w:rPr>
        <w:t>max</w:t>
      </w:r>
      <w:proofErr w:type="spellEnd"/>
      <w:r w:rsidRPr="00F0240D">
        <w:t xml:space="preserve"> (38%) was for RTV following administration of SOF with DRV/r + TVD, whereas, the largest decrease identified in </w:t>
      </w:r>
      <w:proofErr w:type="spellStart"/>
      <w:r w:rsidR="00F044A6" w:rsidRPr="00604A4F">
        <w:t>AU</w:t>
      </w:r>
      <w:r w:rsidR="00FF1DF1" w:rsidRPr="000818DC">
        <w:t>C</w:t>
      </w:r>
      <w:r w:rsidR="00FF1DF1" w:rsidRPr="00FF1DF1">
        <w:rPr>
          <w:vertAlign w:val="subscript"/>
        </w:rPr>
        <w:t>tau</w:t>
      </w:r>
      <w:proofErr w:type="spellEnd"/>
      <w:r w:rsidRPr="00F0240D">
        <w:t xml:space="preserve"> (21%) was for RTV following the administration of SOF with ATV/r + TVD. Conversely, the largest increases in </w:t>
      </w:r>
      <w:proofErr w:type="spellStart"/>
      <w:r w:rsidR="00F044A6" w:rsidRPr="00604A4F">
        <w:t>C</w:t>
      </w:r>
      <w:r w:rsidR="00F044A6" w:rsidRPr="00F044A6">
        <w:rPr>
          <w:vertAlign w:val="subscript"/>
        </w:rPr>
        <w:t>max</w:t>
      </w:r>
      <w:proofErr w:type="spellEnd"/>
      <w:r w:rsidRPr="00F0240D">
        <w:t xml:space="preserve"> values were identified following co-administration of SOF with ATR (35% increase in TFV) or ATV/r + TVD, which resulted in a 40% increase in TFV </w:t>
      </w:r>
      <w:proofErr w:type="spellStart"/>
      <w:r w:rsidR="00F044A6" w:rsidRPr="00604A4F">
        <w:t>C</w:t>
      </w:r>
      <w:r w:rsidR="00F044A6" w:rsidRPr="00F044A6">
        <w:rPr>
          <w:vertAlign w:val="subscript"/>
        </w:rPr>
        <w:t>max</w:t>
      </w:r>
      <w:proofErr w:type="spellEnd"/>
      <w:r w:rsidRPr="00F0240D">
        <w:t>.</w:t>
      </w:r>
    </w:p>
    <w:p w:rsidR="000D4647" w:rsidRDefault="000818DC" w:rsidP="00823FF5">
      <w:pPr>
        <w:pStyle w:val="Heading5"/>
      </w:pPr>
      <w:r w:rsidRPr="00F0240D">
        <w:t>Effect of other drugs on the PKs of SOF in the absence of VEL</w:t>
      </w:r>
    </w:p>
    <w:p w:rsidR="000D4647" w:rsidRDefault="000818DC" w:rsidP="00D6575E">
      <w:r w:rsidRPr="00F0240D">
        <w:t xml:space="preserve">The largest increases in exposure of SOF, GS-566500, and GS-331007 resulted following co-administration of SOF with ATV/r + TVD, DRV/r + TVD and RAL + TVD. For instance following co-administration of SOF with ATV/r + TVD, DRV/r + TVD or RAL + TVD the </w:t>
      </w:r>
      <w:proofErr w:type="spellStart"/>
      <w:r w:rsidR="00F044A6" w:rsidRPr="00604A4F">
        <w:t>AU</w:t>
      </w:r>
      <w:r w:rsidR="00FF1DF1" w:rsidRPr="000818DC">
        <w:t>C</w:t>
      </w:r>
      <w:r w:rsidR="00FF1DF1" w:rsidRPr="00FF1DF1">
        <w:rPr>
          <w:vertAlign w:val="subscript"/>
        </w:rPr>
        <w:t>tau</w:t>
      </w:r>
      <w:proofErr w:type="spellEnd"/>
      <w:r w:rsidRPr="00F0240D">
        <w:t xml:space="preserve"> values for SOF were increased by 342%, 173%and 221%, respectively.</w:t>
      </w:r>
    </w:p>
    <w:p w:rsidR="000D4647" w:rsidRDefault="000818DC" w:rsidP="001C6BE7">
      <w:pPr>
        <w:pStyle w:val="Heading4"/>
      </w:pPr>
      <w:r w:rsidRPr="00F0240D">
        <w:t>Pop</w:t>
      </w:r>
      <w:r w:rsidR="00630FB6">
        <w:t xml:space="preserve">ulation </w:t>
      </w:r>
      <w:r w:rsidRPr="00F0240D">
        <w:t xml:space="preserve">PK </w:t>
      </w:r>
      <w:r w:rsidR="006540E4" w:rsidRPr="00F0240D">
        <w:t>m</w:t>
      </w:r>
      <w:r w:rsidRPr="00F0240D">
        <w:t>odelling</w:t>
      </w:r>
    </w:p>
    <w:p w:rsidR="000D4647" w:rsidRDefault="000818DC" w:rsidP="00D6575E">
      <w:pPr>
        <w:pStyle w:val="ListBullet"/>
      </w:pPr>
      <w:r w:rsidRPr="00F0240D">
        <w:t xml:space="preserve">The final population PK </w:t>
      </w:r>
      <w:r w:rsidR="00630FB6">
        <w:t>(</w:t>
      </w:r>
      <w:proofErr w:type="spellStart"/>
      <w:r w:rsidR="00630FB6">
        <w:t>PopPK</w:t>
      </w:r>
      <w:proofErr w:type="spellEnd"/>
      <w:r w:rsidR="00630FB6">
        <w:t xml:space="preserve">) </w:t>
      </w:r>
      <w:r w:rsidRPr="00F0240D">
        <w:t xml:space="preserve">model that best described VEL plasma concentration data was a </w:t>
      </w:r>
      <w:r>
        <w:t>2 </w:t>
      </w:r>
      <w:r w:rsidRPr="00D6575E">
        <w:t xml:space="preserve">compartment PK model with first order absorption, an absorption lag time, and first order elimination from the central compartment, with inter-individual variability terms on PK variables </w:t>
      </w:r>
      <w:proofErr w:type="spellStart"/>
      <w:r w:rsidRPr="00D6575E">
        <w:t>Ka</w:t>
      </w:r>
      <w:proofErr w:type="spellEnd"/>
      <w:r w:rsidRPr="00D6575E">
        <w:t xml:space="preserve">, CL/F, </w:t>
      </w:r>
      <w:proofErr w:type="spellStart"/>
      <w:r w:rsidRPr="00D6575E">
        <w:t>Vc</w:t>
      </w:r>
      <w:proofErr w:type="spellEnd"/>
      <w:r w:rsidRPr="00D6575E">
        <w:t xml:space="preserve">/F, and </w:t>
      </w:r>
      <w:proofErr w:type="spellStart"/>
      <w:r w:rsidRPr="00D6575E">
        <w:t>Vp</w:t>
      </w:r>
      <w:proofErr w:type="spellEnd"/>
      <w:r w:rsidRPr="00D6575E">
        <w:t>/F.</w:t>
      </w:r>
    </w:p>
    <w:p w:rsidR="000D4647" w:rsidRDefault="000818DC" w:rsidP="00D6575E">
      <w:pPr>
        <w:pStyle w:val="ListBullet"/>
      </w:pPr>
      <w:r w:rsidRPr="00D6575E">
        <w:t xml:space="preserve">Values of VEL CL/F, </w:t>
      </w:r>
      <w:proofErr w:type="spellStart"/>
      <w:r w:rsidRPr="00D6575E">
        <w:t>Vc</w:t>
      </w:r>
      <w:proofErr w:type="spellEnd"/>
      <w:r w:rsidRPr="00D6575E">
        <w:t xml:space="preserve">/F, </w:t>
      </w:r>
      <w:proofErr w:type="spellStart"/>
      <w:r w:rsidRPr="00D6575E">
        <w:t>Vp</w:t>
      </w:r>
      <w:proofErr w:type="spellEnd"/>
      <w:r w:rsidRPr="00D6575E">
        <w:t xml:space="preserve">/F, Q/F, </w:t>
      </w:r>
      <w:proofErr w:type="spellStart"/>
      <w:r w:rsidRPr="00D6575E">
        <w:t>Ka</w:t>
      </w:r>
      <w:proofErr w:type="spellEnd"/>
      <w:r w:rsidRPr="00D6575E">
        <w:t xml:space="preserve">, and </w:t>
      </w:r>
      <w:r w:rsidR="00FF1DF1">
        <w:t xml:space="preserve">lag-time (time delay between drug administration and first observed concentration above </w:t>
      </w:r>
      <w:r w:rsidR="00721A33">
        <w:t>limit of quantification (</w:t>
      </w:r>
      <w:r w:rsidR="00FF1DF1">
        <w:t>LOQ</w:t>
      </w:r>
      <w:r w:rsidR="00721A33">
        <w:t>)</w:t>
      </w:r>
      <w:r w:rsidR="00FF1DF1">
        <w:t xml:space="preserve"> in plasma) (</w:t>
      </w:r>
      <w:proofErr w:type="spellStart"/>
      <w:r w:rsidRPr="00D6575E">
        <w:t>T</w:t>
      </w:r>
      <w:r w:rsidRPr="00FF1DF1">
        <w:rPr>
          <w:vertAlign w:val="subscript"/>
        </w:rPr>
        <w:t>lag</w:t>
      </w:r>
      <w:proofErr w:type="spellEnd"/>
      <w:r w:rsidR="00FF1DF1">
        <w:t>)</w:t>
      </w:r>
      <w:r w:rsidRPr="00D6575E">
        <w:t xml:space="preserve"> for the ‘typical’ male HCV infected subject weighing 80 kg who was administered SOF/VEL under fasting conditions were estimated to be 46.5 L/hour, 392 L, 219 L, 10.8 L/hour, 0.78 hour-1, and 0.295 hour, respectively.</w:t>
      </w:r>
    </w:p>
    <w:p w:rsidR="000D4647" w:rsidRDefault="000818DC" w:rsidP="00D6575E">
      <w:pPr>
        <w:pStyle w:val="ListBullet"/>
      </w:pPr>
      <w:r w:rsidRPr="00D6575E">
        <w:t xml:space="preserve">The final population PK model that best described SOF plasma concentration data was a 1 compartment PK model with first order absorption, an absorption lag time, and first order elimination from the central compartment, with inter-individual variability terms on PK variables </w:t>
      </w:r>
      <w:proofErr w:type="spellStart"/>
      <w:r w:rsidRPr="00D6575E">
        <w:t>Ka</w:t>
      </w:r>
      <w:proofErr w:type="spellEnd"/>
      <w:r w:rsidRPr="00D6575E">
        <w:t xml:space="preserve">, CL/F, and </w:t>
      </w:r>
      <w:proofErr w:type="spellStart"/>
      <w:r w:rsidRPr="00D6575E">
        <w:t>Vc</w:t>
      </w:r>
      <w:proofErr w:type="spellEnd"/>
      <w:r w:rsidRPr="00D6575E">
        <w:t>/F.</w:t>
      </w:r>
    </w:p>
    <w:p w:rsidR="000D4647" w:rsidRDefault="000818DC" w:rsidP="00D6575E">
      <w:pPr>
        <w:pStyle w:val="ListBullet"/>
      </w:pPr>
      <w:r w:rsidRPr="00D6575E">
        <w:t xml:space="preserve">Values of SOF CL/F, </w:t>
      </w:r>
      <w:proofErr w:type="spellStart"/>
      <w:r w:rsidRPr="00D6575E">
        <w:t>Vc</w:t>
      </w:r>
      <w:proofErr w:type="spellEnd"/>
      <w:r w:rsidRPr="00D6575E">
        <w:t xml:space="preserve">/F, </w:t>
      </w:r>
      <w:proofErr w:type="spellStart"/>
      <w:r w:rsidRPr="00D6575E">
        <w:t>Ka</w:t>
      </w:r>
      <w:proofErr w:type="spellEnd"/>
      <w:r w:rsidRPr="00D6575E">
        <w:t xml:space="preserve">, and </w:t>
      </w:r>
      <w:proofErr w:type="spellStart"/>
      <w:r w:rsidRPr="00D6575E">
        <w:t>Tlag</w:t>
      </w:r>
      <w:proofErr w:type="spellEnd"/>
      <w:r w:rsidRPr="00D6575E">
        <w:t xml:space="preserve"> for the ‘typical’ male HCV infected subject weighing 80 kg who was administered SOF/VEL under fasting conditions were estimated to be 352.4 L/hour, 197.2 L, 1.247 hour-1, and 0.0925 hour, respectively.</w:t>
      </w:r>
    </w:p>
    <w:p w:rsidR="000D4647" w:rsidRDefault="000818DC" w:rsidP="00823FF5">
      <w:pPr>
        <w:pStyle w:val="Heading5"/>
      </w:pPr>
      <w:r w:rsidRPr="00F0240D">
        <w:lastRenderedPageBreak/>
        <w:t>Limitation of PK studies</w:t>
      </w:r>
    </w:p>
    <w:p w:rsidR="000D4647" w:rsidRDefault="000818DC" w:rsidP="00D6575E">
      <w:pPr>
        <w:pStyle w:val="ListBullet"/>
      </w:pPr>
      <w:r w:rsidRPr="00D6575E">
        <w:t xml:space="preserve">The absolute bioavailability of </w:t>
      </w:r>
      <w:proofErr w:type="spellStart"/>
      <w:r w:rsidRPr="00D6575E">
        <w:t>Epclusa</w:t>
      </w:r>
      <w:proofErr w:type="spellEnd"/>
      <w:r w:rsidRPr="00D6575E">
        <w:t xml:space="preserve"> was not determined.</w:t>
      </w:r>
    </w:p>
    <w:p w:rsidR="000D4647" w:rsidRDefault="000818DC" w:rsidP="00D6575E">
      <w:pPr>
        <w:pStyle w:val="ListBullet"/>
      </w:pPr>
      <w:r w:rsidRPr="00D6575E">
        <w:t xml:space="preserve">The effect of timing of </w:t>
      </w:r>
      <w:proofErr w:type="spellStart"/>
      <w:r w:rsidRPr="00D6575E">
        <w:t>Epclusa</w:t>
      </w:r>
      <w:proofErr w:type="spellEnd"/>
      <w:r w:rsidRPr="00D6575E">
        <w:t xml:space="preserve"> administration has not been examined.</w:t>
      </w:r>
    </w:p>
    <w:p w:rsidR="000D4647" w:rsidRDefault="008E7846" w:rsidP="00D6575E">
      <w:pPr>
        <w:pStyle w:val="Heading3"/>
      </w:pPr>
      <w:bookmarkStart w:id="79" w:name="_Toc196046481"/>
      <w:bookmarkStart w:id="80" w:name="_Toc247691520"/>
      <w:bookmarkStart w:id="81" w:name="_Toc314842503"/>
      <w:bookmarkStart w:id="82" w:name="_Toc498681446"/>
      <w:r w:rsidRPr="00254787">
        <w:t>Pharmacodynamics</w:t>
      </w:r>
      <w:bookmarkEnd w:id="68"/>
      <w:bookmarkEnd w:id="79"/>
      <w:bookmarkEnd w:id="80"/>
      <w:bookmarkEnd w:id="81"/>
      <w:bookmarkEnd w:id="82"/>
    </w:p>
    <w:p w:rsidR="000D4647" w:rsidRDefault="00605AD4" w:rsidP="00605AD4">
      <w:pPr>
        <w:pStyle w:val="Heading4"/>
      </w:pPr>
      <w:r>
        <w:t xml:space="preserve">Studies providing </w:t>
      </w:r>
      <w:proofErr w:type="spellStart"/>
      <w:r>
        <w:t>pharmacodynamic</w:t>
      </w:r>
      <w:proofErr w:type="spellEnd"/>
      <w:r>
        <w:t xml:space="preserve"> data</w:t>
      </w:r>
    </w:p>
    <w:p w:rsidR="000D4647" w:rsidRDefault="00A82FA1" w:rsidP="00D6575E">
      <w:r w:rsidRPr="00756A4F">
        <w:t xml:space="preserve">Table </w:t>
      </w:r>
      <w:r w:rsidR="00756A4F" w:rsidRPr="00756A4F">
        <w:t>7</w:t>
      </w:r>
      <w:r w:rsidR="00D6575E" w:rsidRPr="00756A4F">
        <w:t xml:space="preserve"> below shows the studies relating to each </w:t>
      </w:r>
      <w:proofErr w:type="spellStart"/>
      <w:r w:rsidR="00D6575E" w:rsidRPr="00756A4F">
        <w:t>pharmacodynamic</w:t>
      </w:r>
      <w:proofErr w:type="spellEnd"/>
      <w:r w:rsidR="00D6575E" w:rsidRPr="00756A4F">
        <w:t xml:space="preserve"> topic</w:t>
      </w:r>
      <w:r w:rsidR="00756A4F">
        <w:t>.</w:t>
      </w:r>
    </w:p>
    <w:p w:rsidR="00D6575E" w:rsidRPr="00DD7E03" w:rsidRDefault="00D6575E" w:rsidP="00823FF5">
      <w:pPr>
        <w:pStyle w:val="Tabletitle0"/>
      </w:pPr>
      <w:bookmarkStart w:id="83" w:name="_Ref269985397"/>
      <w:bookmarkStart w:id="84" w:name="_Toc290888742"/>
      <w:bookmarkStart w:id="85" w:name="_Toc458678793"/>
      <w:r w:rsidRPr="00756A4F">
        <w:t xml:space="preserve">Table </w:t>
      </w:r>
      <w:bookmarkEnd w:id="83"/>
      <w:r w:rsidR="00756A4F" w:rsidRPr="00756A4F">
        <w:t>7</w:t>
      </w:r>
      <w:r w:rsidRPr="00756A4F">
        <w:t>: Submitted</w:t>
      </w:r>
      <w:r w:rsidRPr="00DD7E03">
        <w:t xml:space="preserve"> </w:t>
      </w:r>
      <w:proofErr w:type="spellStart"/>
      <w:r w:rsidRPr="00DD7E03">
        <w:t>pharmacodynamic</w:t>
      </w:r>
      <w:proofErr w:type="spellEnd"/>
      <w:r w:rsidRPr="00DD7E03">
        <w:t xml:space="preserve"> studies</w:t>
      </w:r>
      <w:bookmarkEnd w:id="84"/>
      <w:bookmarkEnd w:id="85"/>
    </w:p>
    <w:tbl>
      <w:tblPr>
        <w:tblStyle w:val="TableTGAblue"/>
        <w:tblW w:w="8897" w:type="dxa"/>
        <w:tblLayout w:type="fixed"/>
        <w:tblLook w:val="04A0" w:firstRow="1" w:lastRow="0" w:firstColumn="1" w:lastColumn="0" w:noHBand="0" w:noVBand="1"/>
        <w:tblDescription w:val="Table 7: Submitted pharmacodynamic studies"/>
      </w:tblPr>
      <w:tblGrid>
        <w:gridCol w:w="1668"/>
        <w:gridCol w:w="1417"/>
        <w:gridCol w:w="1701"/>
        <w:gridCol w:w="4111"/>
      </w:tblGrid>
      <w:tr w:rsidR="00D6575E" w:rsidRPr="00ED4AF8" w:rsidTr="0052092A">
        <w:trPr>
          <w:cnfStyle w:val="100000000000" w:firstRow="1" w:lastRow="0" w:firstColumn="0" w:lastColumn="0" w:oddVBand="0" w:evenVBand="0" w:oddHBand="0" w:evenHBand="0" w:firstRowFirstColumn="0" w:firstRowLastColumn="0" w:lastRowFirstColumn="0" w:lastRowLastColumn="0"/>
        </w:trPr>
        <w:tc>
          <w:tcPr>
            <w:tcW w:w="1668" w:type="dxa"/>
          </w:tcPr>
          <w:p w:rsidR="00D6575E" w:rsidRPr="00ED4AF8" w:rsidRDefault="00D6575E" w:rsidP="0052092A">
            <w:pPr>
              <w:ind w:left="0"/>
              <w:rPr>
                <w:sz w:val="20"/>
                <w:szCs w:val="20"/>
              </w:rPr>
            </w:pPr>
            <w:r w:rsidRPr="00ED4AF8">
              <w:rPr>
                <w:sz w:val="20"/>
                <w:szCs w:val="20"/>
              </w:rPr>
              <w:t>PD Topic</w:t>
            </w:r>
          </w:p>
        </w:tc>
        <w:tc>
          <w:tcPr>
            <w:tcW w:w="1417" w:type="dxa"/>
          </w:tcPr>
          <w:p w:rsidR="00D6575E" w:rsidRPr="00ED4AF8" w:rsidRDefault="00D6575E" w:rsidP="0052092A">
            <w:pPr>
              <w:ind w:left="0"/>
              <w:rPr>
                <w:sz w:val="20"/>
                <w:szCs w:val="20"/>
              </w:rPr>
            </w:pPr>
            <w:r w:rsidRPr="00ED4AF8">
              <w:rPr>
                <w:sz w:val="20"/>
                <w:szCs w:val="20"/>
              </w:rPr>
              <w:t>Subtopic</w:t>
            </w:r>
          </w:p>
        </w:tc>
        <w:tc>
          <w:tcPr>
            <w:tcW w:w="1701" w:type="dxa"/>
          </w:tcPr>
          <w:p w:rsidR="00D6575E" w:rsidRPr="00ED4AF8" w:rsidRDefault="00D6575E" w:rsidP="0052092A">
            <w:pPr>
              <w:ind w:left="0"/>
              <w:rPr>
                <w:sz w:val="20"/>
                <w:szCs w:val="20"/>
              </w:rPr>
            </w:pPr>
            <w:r w:rsidRPr="00ED4AF8">
              <w:rPr>
                <w:sz w:val="20"/>
                <w:szCs w:val="20"/>
              </w:rPr>
              <w:t>Study ID</w:t>
            </w:r>
          </w:p>
        </w:tc>
        <w:tc>
          <w:tcPr>
            <w:tcW w:w="4111" w:type="dxa"/>
          </w:tcPr>
          <w:p w:rsidR="00D6575E" w:rsidRPr="00ED4AF8" w:rsidRDefault="00D6575E" w:rsidP="0052092A">
            <w:pPr>
              <w:ind w:left="0"/>
              <w:rPr>
                <w:sz w:val="20"/>
                <w:szCs w:val="20"/>
              </w:rPr>
            </w:pPr>
            <w:r w:rsidRPr="00ED4AF8">
              <w:rPr>
                <w:sz w:val="20"/>
                <w:szCs w:val="20"/>
              </w:rPr>
              <w:t>Primary aim of the study</w:t>
            </w:r>
          </w:p>
        </w:tc>
      </w:tr>
      <w:tr w:rsidR="00D6575E" w:rsidRPr="00ED4AF8" w:rsidTr="0052092A">
        <w:tc>
          <w:tcPr>
            <w:tcW w:w="1668" w:type="dxa"/>
          </w:tcPr>
          <w:p w:rsidR="00D6575E" w:rsidRPr="00ED4AF8" w:rsidRDefault="00D6575E" w:rsidP="0052092A">
            <w:pPr>
              <w:ind w:left="0"/>
              <w:rPr>
                <w:sz w:val="20"/>
                <w:szCs w:val="20"/>
              </w:rPr>
            </w:pPr>
            <w:r w:rsidRPr="00ED4AF8">
              <w:rPr>
                <w:sz w:val="20"/>
                <w:szCs w:val="20"/>
              </w:rPr>
              <w:t>Secondary Pharmacology</w:t>
            </w:r>
          </w:p>
        </w:tc>
        <w:tc>
          <w:tcPr>
            <w:tcW w:w="1417" w:type="dxa"/>
          </w:tcPr>
          <w:p w:rsidR="00D6575E" w:rsidRPr="00ED4AF8" w:rsidRDefault="00D6575E" w:rsidP="0052092A">
            <w:pPr>
              <w:ind w:left="0"/>
              <w:rPr>
                <w:sz w:val="20"/>
                <w:szCs w:val="20"/>
              </w:rPr>
            </w:pPr>
            <w:r w:rsidRPr="00ED4AF8">
              <w:rPr>
                <w:sz w:val="20"/>
                <w:szCs w:val="20"/>
              </w:rPr>
              <w:t xml:space="preserve">Effect on </w:t>
            </w:r>
            <w:proofErr w:type="spellStart"/>
            <w:r w:rsidRPr="00ED4AF8">
              <w:rPr>
                <w:sz w:val="20"/>
                <w:szCs w:val="20"/>
              </w:rPr>
              <w:t>QTc</w:t>
            </w:r>
            <w:proofErr w:type="spellEnd"/>
            <w:r w:rsidR="00630FB6">
              <w:rPr>
                <w:rStyle w:val="FootnoteReference"/>
                <w:sz w:val="20"/>
                <w:szCs w:val="20"/>
              </w:rPr>
              <w:footnoteReference w:id="14"/>
            </w:r>
          </w:p>
        </w:tc>
        <w:tc>
          <w:tcPr>
            <w:tcW w:w="1701" w:type="dxa"/>
          </w:tcPr>
          <w:p w:rsidR="00D6575E" w:rsidRPr="00ED4AF8" w:rsidRDefault="00D6575E" w:rsidP="0052092A">
            <w:pPr>
              <w:ind w:left="0"/>
              <w:rPr>
                <w:sz w:val="20"/>
                <w:szCs w:val="20"/>
              </w:rPr>
            </w:pPr>
            <w:r w:rsidRPr="00ED4AF8">
              <w:rPr>
                <w:sz w:val="20"/>
                <w:szCs w:val="20"/>
              </w:rPr>
              <w:t>GS-US-281-1054</w:t>
            </w:r>
          </w:p>
        </w:tc>
        <w:tc>
          <w:tcPr>
            <w:tcW w:w="4111" w:type="dxa"/>
          </w:tcPr>
          <w:p w:rsidR="00D6575E" w:rsidRPr="00ED4AF8" w:rsidRDefault="00D6575E" w:rsidP="0052092A">
            <w:pPr>
              <w:ind w:left="0"/>
              <w:rPr>
                <w:sz w:val="20"/>
                <w:szCs w:val="20"/>
              </w:rPr>
            </w:pPr>
            <w:r w:rsidRPr="00ED4AF8">
              <w:rPr>
                <w:sz w:val="20"/>
                <w:szCs w:val="20"/>
              </w:rPr>
              <w:t xml:space="preserve">Effects of VEL on time matched, baseline adjusted, and placebo corrected </w:t>
            </w:r>
            <w:proofErr w:type="spellStart"/>
            <w:r w:rsidRPr="00ED4AF8">
              <w:rPr>
                <w:sz w:val="20"/>
                <w:szCs w:val="20"/>
              </w:rPr>
              <w:t>QTcF</w:t>
            </w:r>
            <w:proofErr w:type="spellEnd"/>
            <w:r w:rsidRPr="00ED4AF8">
              <w:rPr>
                <w:sz w:val="20"/>
                <w:szCs w:val="20"/>
              </w:rPr>
              <w:t xml:space="preserve"> (corrected QT calculated using </w:t>
            </w:r>
            <w:proofErr w:type="spellStart"/>
            <w:r w:rsidRPr="00ED4AF8">
              <w:rPr>
                <w:sz w:val="20"/>
                <w:szCs w:val="20"/>
              </w:rPr>
              <w:t>Fridericia’s</w:t>
            </w:r>
            <w:proofErr w:type="spellEnd"/>
            <w:r w:rsidRPr="00ED4AF8">
              <w:rPr>
                <w:sz w:val="20"/>
                <w:szCs w:val="20"/>
              </w:rPr>
              <w:t xml:space="preserve"> correction formula).</w:t>
            </w:r>
          </w:p>
        </w:tc>
      </w:tr>
    </w:tbl>
    <w:p w:rsidR="000D4647" w:rsidRDefault="00D6575E" w:rsidP="00D6575E">
      <w:r w:rsidRPr="00DD7E03">
        <w:t xml:space="preserve">None of the </w:t>
      </w:r>
      <w:proofErr w:type="spellStart"/>
      <w:r w:rsidRPr="00DD7E03">
        <w:t>pharmacodynamic</w:t>
      </w:r>
      <w:proofErr w:type="spellEnd"/>
      <w:r w:rsidRPr="00DD7E03">
        <w:t xml:space="preserve"> studies had deficiencies that excluded th</w:t>
      </w:r>
      <w:r>
        <w:t>eir results from consideration.</w:t>
      </w:r>
    </w:p>
    <w:p w:rsidR="000D4647" w:rsidRDefault="00D6575E" w:rsidP="00D6575E">
      <w:r>
        <w:t xml:space="preserve">For the full evaluation of the </w:t>
      </w:r>
      <w:proofErr w:type="spellStart"/>
      <w:r w:rsidRPr="00DD7E03">
        <w:t>pharmacodynamic</w:t>
      </w:r>
      <w:proofErr w:type="spellEnd"/>
      <w:r w:rsidRPr="00DD7E03">
        <w:t xml:space="preserve"> studies</w:t>
      </w:r>
      <w:r>
        <w:t xml:space="preserve"> please see Attachment 2.</w:t>
      </w:r>
    </w:p>
    <w:p w:rsidR="000D4647" w:rsidRDefault="00605AD4" w:rsidP="00605AD4">
      <w:pPr>
        <w:pStyle w:val="Heading4"/>
      </w:pPr>
      <w:r>
        <w:t>Evaluator’s conclusions on pharmacodynamics</w:t>
      </w:r>
    </w:p>
    <w:p w:rsidR="000D4647" w:rsidRDefault="00D6575E" w:rsidP="00D6575E">
      <w:pPr>
        <w:pStyle w:val="Heading5"/>
      </w:pPr>
      <w:r>
        <w:t>Mechanisms of action</w:t>
      </w:r>
    </w:p>
    <w:p w:rsidR="000D4647" w:rsidRDefault="00D6575E" w:rsidP="00D6575E">
      <w:r w:rsidRPr="00DD7E03">
        <w:t xml:space="preserve">SOF is a novel inhibitor of the </w:t>
      </w:r>
      <w:r>
        <w:t xml:space="preserve">HCV NS5B RNA </w:t>
      </w:r>
      <w:r w:rsidRPr="00DD7E03">
        <w:t>dependent RNA polymerase with potent broad genotypic activity in vitro, whereas, VEL is a novel HCV NS5A inhibitor that has demonstrated potent in vitro antiviral activity against genotype 1 to 6 HCV replicons</w:t>
      </w:r>
      <w:r>
        <w:t>.</w:t>
      </w:r>
    </w:p>
    <w:p w:rsidR="000D4647" w:rsidRDefault="00A82FA1" w:rsidP="00D6575E">
      <w:pPr>
        <w:pStyle w:val="Heading5"/>
      </w:pPr>
      <w:r>
        <w:t xml:space="preserve">VEL; </w:t>
      </w:r>
      <w:r w:rsidR="00D6575E">
        <w:t>Antiviral Response</w:t>
      </w:r>
    </w:p>
    <w:p w:rsidR="000D4647" w:rsidRDefault="00D6575E" w:rsidP="00D6575E">
      <w:pPr>
        <w:pStyle w:val="ListBullet"/>
      </w:pPr>
      <w:r w:rsidRPr="00D6575E">
        <w:t>Administration of 3 consecutive daily doses of VEL (5 to 150</w:t>
      </w:r>
      <w:r w:rsidR="00A82FA1">
        <w:t xml:space="preserve"> mg</w:t>
      </w:r>
      <w:r w:rsidRPr="00D6575E">
        <w:t xml:space="preserve">) resulted in rapid reductions in HCV RNA, with median reductions of </w:t>
      </w:r>
      <w:r w:rsidR="00C77715">
        <w:t xml:space="preserve">≥ </w:t>
      </w:r>
      <w:r w:rsidRPr="00D6575E">
        <w:t xml:space="preserve">2 </w:t>
      </w:r>
      <w:r w:rsidR="00A82FA1" w:rsidRPr="00D6575E">
        <w:t>log</w:t>
      </w:r>
      <w:r w:rsidR="00A82FA1" w:rsidRPr="00A82FA1">
        <w:rPr>
          <w:vertAlign w:val="subscript"/>
        </w:rPr>
        <w:t>10</w:t>
      </w:r>
      <w:r w:rsidRPr="00D6575E">
        <w:t xml:space="preserve"> </w:t>
      </w:r>
      <w:r w:rsidR="00721A33">
        <w:t>international units</w:t>
      </w:r>
      <w:r w:rsidR="00A82FA1">
        <w:t> </w:t>
      </w:r>
      <w:r w:rsidR="00721A33">
        <w:t>(IU)</w:t>
      </w:r>
      <w:r w:rsidRPr="00D6575E">
        <w:t>/mL observed within 12 hours across all HCV genotypes.</w:t>
      </w:r>
    </w:p>
    <w:p w:rsidR="000D4647" w:rsidRDefault="00D6575E" w:rsidP="00D6575E">
      <w:pPr>
        <w:pStyle w:val="ListBullet"/>
      </w:pPr>
      <w:r w:rsidRPr="00D6575E">
        <w:t xml:space="preserve">The greatest median change from baseline in HCV RNA in each treatment group was generally observed by 54 hours, and was </w:t>
      </w:r>
      <w:r w:rsidR="00F044A6">
        <w:t xml:space="preserve">&gt; </w:t>
      </w:r>
      <w:r w:rsidRPr="00D6575E">
        <w:t xml:space="preserve">2 </w:t>
      </w:r>
      <w:r w:rsidR="00A82FA1" w:rsidRPr="00D6575E">
        <w:t>log</w:t>
      </w:r>
      <w:r w:rsidR="00A82FA1" w:rsidRPr="00A82FA1">
        <w:rPr>
          <w:vertAlign w:val="subscript"/>
        </w:rPr>
        <w:t>10</w:t>
      </w:r>
      <w:r w:rsidRPr="00D6575E">
        <w:t xml:space="preserve"> IU/mL and 6 of 70 subjects with varying genotypes and VEL doses had reductions in HCV RNA below the </w:t>
      </w:r>
      <w:r w:rsidR="00721A33">
        <w:t>lower limit of quantitation</w:t>
      </w:r>
      <w:r w:rsidR="00721A33" w:rsidRPr="00D6575E">
        <w:t xml:space="preserve"> </w:t>
      </w:r>
      <w:r w:rsidR="00721A33">
        <w:t>(</w:t>
      </w:r>
      <w:r w:rsidRPr="00D6575E">
        <w:t>LLOQ</w:t>
      </w:r>
      <w:r w:rsidR="00721A33">
        <w:t>)</w:t>
      </w:r>
      <w:r w:rsidRPr="00D6575E">
        <w:t>.</w:t>
      </w:r>
    </w:p>
    <w:p w:rsidR="000D4647" w:rsidRDefault="00D6575E" w:rsidP="00D6575E">
      <w:pPr>
        <w:pStyle w:val="ListBullet"/>
      </w:pPr>
      <w:r w:rsidRPr="00D6575E">
        <w:t>Antiviral activity was similar for subjects with genotype 1a and 1b HCV who received VEL 150</w:t>
      </w:r>
      <w:r w:rsidR="00A82FA1">
        <w:t xml:space="preserve"> mg</w:t>
      </w:r>
      <w:r w:rsidRPr="00D6575E">
        <w:t>.</w:t>
      </w:r>
    </w:p>
    <w:p w:rsidR="000D4647" w:rsidRDefault="00A82FA1" w:rsidP="00A64314">
      <w:pPr>
        <w:pStyle w:val="Heading5"/>
      </w:pPr>
      <w:r>
        <w:t>VEL;</w:t>
      </w:r>
      <w:r w:rsidR="00D6575E">
        <w:t xml:space="preserve"> </w:t>
      </w:r>
      <w:proofErr w:type="spellStart"/>
      <w:r w:rsidR="00D6575E">
        <w:t>QTc</w:t>
      </w:r>
      <w:proofErr w:type="spellEnd"/>
    </w:p>
    <w:p w:rsidR="000D4647" w:rsidRDefault="00D6575E" w:rsidP="00D6575E">
      <w:r w:rsidRPr="00DD7E03">
        <w:t>Therapeutic (100</w:t>
      </w:r>
      <w:r w:rsidR="00A82FA1">
        <w:t xml:space="preserve"> mg</w:t>
      </w:r>
      <w:r w:rsidRPr="00DD7E03">
        <w:t xml:space="preserve">) and </w:t>
      </w:r>
      <w:proofErr w:type="spellStart"/>
      <w:r w:rsidRPr="00DD7E03">
        <w:t>supratherapeutic</w:t>
      </w:r>
      <w:proofErr w:type="spellEnd"/>
      <w:r w:rsidRPr="00DD7E03">
        <w:t xml:space="preserve"> doses (500</w:t>
      </w:r>
      <w:r w:rsidR="00A82FA1">
        <w:t xml:space="preserve"> mg</w:t>
      </w:r>
      <w:r w:rsidRPr="00DD7E03">
        <w:t xml:space="preserve">) of VEL in healthy subjects did not prolong either </w:t>
      </w:r>
      <w:r w:rsidR="00A82FA1">
        <w:t xml:space="preserve">QT interval corrected using </w:t>
      </w:r>
      <w:proofErr w:type="spellStart"/>
      <w:r w:rsidR="00A82FA1">
        <w:t>Friderichia’s</w:t>
      </w:r>
      <w:proofErr w:type="spellEnd"/>
      <w:r w:rsidR="00A82FA1">
        <w:t xml:space="preserve"> formula (</w:t>
      </w:r>
      <w:proofErr w:type="spellStart"/>
      <w:r w:rsidRPr="00DD7E03">
        <w:t>QTcF</w:t>
      </w:r>
      <w:proofErr w:type="spellEnd"/>
      <w:r w:rsidR="00A82FA1">
        <w:t>)</w:t>
      </w:r>
      <w:r w:rsidRPr="00DD7E03">
        <w:t xml:space="preserve"> or </w:t>
      </w:r>
      <w:proofErr w:type="spellStart"/>
      <w:r w:rsidRPr="00DD7E03">
        <w:t>QTcN</w:t>
      </w:r>
      <w:proofErr w:type="spellEnd"/>
      <w:r w:rsidRPr="00DD7E03">
        <w:t>. In addition, no clinically significant changes from baseline in PR, QRS</w:t>
      </w:r>
      <w:r w:rsidR="00630FB6">
        <w:rPr>
          <w:rStyle w:val="FootnoteReference"/>
        </w:rPr>
        <w:footnoteReference w:id="15"/>
      </w:r>
      <w:r w:rsidRPr="00DD7E03">
        <w:t xml:space="preserve">, or RR intervals or HR </w:t>
      </w:r>
      <w:r w:rsidRPr="00DD7E03">
        <w:lastRenderedPageBreak/>
        <w:t>were observed following administration of VEL compare</w:t>
      </w:r>
      <w:r>
        <w:t xml:space="preserve">d with placebo and no notable U or T </w:t>
      </w:r>
      <w:r w:rsidRPr="00DD7E03">
        <w:t>w</w:t>
      </w:r>
      <w:r>
        <w:t>ave abnormalities were detected.</w:t>
      </w:r>
    </w:p>
    <w:p w:rsidR="000D4647" w:rsidRDefault="00A82FA1" w:rsidP="00A64314">
      <w:pPr>
        <w:pStyle w:val="Heading5"/>
      </w:pPr>
      <w:r>
        <w:t>VEL;</w:t>
      </w:r>
      <w:r w:rsidR="00D6575E">
        <w:t xml:space="preserve"> RAVs</w:t>
      </w:r>
    </w:p>
    <w:p w:rsidR="000D4647" w:rsidRDefault="00D6575E" w:rsidP="00A64314">
      <w:pPr>
        <w:pStyle w:val="ListBullet"/>
      </w:pPr>
      <w:r w:rsidRPr="00A64314">
        <w:t>RAVs were detected pre-VEL treatment in 22 of 70 subjects.</w:t>
      </w:r>
    </w:p>
    <w:p w:rsidR="000D4647" w:rsidRDefault="00D6575E" w:rsidP="00A64314">
      <w:pPr>
        <w:pStyle w:val="ListBullet"/>
      </w:pPr>
      <w:r w:rsidRPr="00A64314">
        <w:t>In genotype 1a and 3a HCV infected subjects, the pre-treatment presence of NS5A RAVs was associated with a slightly reduced decline in HCV RNA compared with subjects without NS5A RAVs at baseline.</w:t>
      </w:r>
    </w:p>
    <w:p w:rsidR="000D4647" w:rsidRDefault="00D6575E" w:rsidP="00A64314">
      <w:pPr>
        <w:pStyle w:val="ListBullet"/>
      </w:pPr>
      <w:r w:rsidRPr="00A64314">
        <w:t>Following VEL treatment, NS5A RAVs emerged at more positions in the genotype 1a virus than in other genotypes.</w:t>
      </w:r>
    </w:p>
    <w:p w:rsidR="000D4647" w:rsidRDefault="00D6575E" w:rsidP="00A64314">
      <w:pPr>
        <w:pStyle w:val="ListBullet"/>
      </w:pPr>
      <w:r w:rsidRPr="00A64314">
        <w:t>Long-term persistence results showed that NS5A RAVs that were present prior to treatment persisted through the 48 week follow-up period; however, NS5A RAVs that developed during treatment were more likely to disappear during the follow-up period.</w:t>
      </w:r>
    </w:p>
    <w:p w:rsidR="000D4647" w:rsidRDefault="00D6575E" w:rsidP="00A64314">
      <w:pPr>
        <w:pStyle w:val="Heading5"/>
      </w:pPr>
      <w:r w:rsidRPr="00DD7E03">
        <w:t>VEL - Relationship between drug concentrati</w:t>
      </w:r>
      <w:r>
        <w:t xml:space="preserve">on and </w:t>
      </w:r>
      <w:proofErr w:type="spellStart"/>
      <w:r>
        <w:t>pharmacodynamic</w:t>
      </w:r>
      <w:proofErr w:type="spellEnd"/>
      <w:r>
        <w:t xml:space="preserve"> effect</w:t>
      </w:r>
    </w:p>
    <w:p w:rsidR="000D4647" w:rsidRDefault="00AE4800" w:rsidP="00D6575E">
      <w:r>
        <w:t>A</w:t>
      </w:r>
      <w:r w:rsidR="00D6575E" w:rsidRPr="00DD7E03">
        <w:t xml:space="preserve"> </w:t>
      </w:r>
      <w:r>
        <w:t>maximum effect</w:t>
      </w:r>
      <w:r w:rsidRPr="00E555CD">
        <w:t xml:space="preserve"> </w:t>
      </w:r>
      <w:r>
        <w:t>(</w:t>
      </w:r>
      <w:proofErr w:type="spellStart"/>
      <w:r w:rsidR="00D6575E" w:rsidRPr="00E555CD">
        <w:t>E</w:t>
      </w:r>
      <w:r w:rsidR="00D6575E" w:rsidRPr="00B760CD">
        <w:rPr>
          <w:vertAlign w:val="subscript"/>
        </w:rPr>
        <w:t>max</w:t>
      </w:r>
      <w:proofErr w:type="spellEnd"/>
      <w:r>
        <w:t>)</w:t>
      </w:r>
      <w:r w:rsidR="00D6575E" w:rsidRPr="00DD7E03">
        <w:t xml:space="preserve"> model predicted that exposures achieved following administration of VEL doses </w:t>
      </w:r>
      <w:r w:rsidR="00C77715">
        <w:t xml:space="preserve">≥ </w:t>
      </w:r>
      <w:r w:rsidR="00D6575E" w:rsidRPr="00DD7E03">
        <w:t>5</w:t>
      </w:r>
      <w:r w:rsidR="00A82FA1">
        <w:t xml:space="preserve"> mg</w:t>
      </w:r>
      <w:r w:rsidR="00D6575E" w:rsidRPr="00DD7E03">
        <w:t xml:space="preserve"> would provide </w:t>
      </w:r>
      <w:r w:rsidR="00F044A6">
        <w:t xml:space="preserve">&gt; </w:t>
      </w:r>
      <w:r w:rsidR="00D6575E" w:rsidRPr="00DD7E03">
        <w:t xml:space="preserve">95% of maximal antiviral response in subjects with genotype 1 HCV infection. Based on this model, VEL systemic exposures for subjects with genotype 3 HCV infection were predicted to achieve at least 80% of maximal antiviral response at the </w:t>
      </w:r>
      <w:r w:rsidR="00C77715">
        <w:t xml:space="preserve">≥ </w:t>
      </w:r>
      <w:r w:rsidR="00D6575E">
        <w:t>25</w:t>
      </w:r>
      <w:r w:rsidR="00A82FA1">
        <w:t xml:space="preserve"> mg</w:t>
      </w:r>
      <w:r w:rsidR="00D6575E" w:rsidRPr="00DD7E03">
        <w:t xml:space="preserve"> dose.</w:t>
      </w:r>
    </w:p>
    <w:p w:rsidR="000D4647" w:rsidRDefault="00D6575E" w:rsidP="00A64314">
      <w:pPr>
        <w:pStyle w:val="Heading5"/>
      </w:pPr>
      <w:proofErr w:type="spellStart"/>
      <w:r w:rsidRPr="00DD7E03">
        <w:t>Pharmacodynamic</w:t>
      </w:r>
      <w:proofErr w:type="spellEnd"/>
      <w:r w:rsidRPr="00DD7E03">
        <w:t xml:space="preserve"> interactions</w:t>
      </w:r>
    </w:p>
    <w:p w:rsidR="000D4647" w:rsidRDefault="00D6575E" w:rsidP="00A64314">
      <w:pPr>
        <w:pStyle w:val="ListBullet"/>
      </w:pPr>
      <w:r w:rsidRPr="00A64314">
        <w:t>VEL (100</w:t>
      </w:r>
      <w:r w:rsidR="00A82FA1">
        <w:t xml:space="preserve"> mg</w:t>
      </w:r>
      <w:r w:rsidRPr="00A64314">
        <w:t xml:space="preserve"> </w:t>
      </w:r>
      <w:proofErr w:type="spellStart"/>
      <w:r w:rsidR="00630FB6">
        <w:t>qd</w:t>
      </w:r>
      <w:proofErr w:type="spellEnd"/>
      <w:r w:rsidRPr="00A64314">
        <w:t xml:space="preserve">) did not affect the ability of </w:t>
      </w:r>
      <w:r w:rsidR="00630FB6">
        <w:t>oral contraceptive</w:t>
      </w:r>
      <w:r w:rsidRPr="00A64314">
        <w:t xml:space="preserve">s to reduce serum LH, </w:t>
      </w:r>
      <w:r w:rsidR="00B92BE6">
        <w:t>follicle stimulating hormone</w:t>
      </w:r>
      <w:r w:rsidR="00B92BE6" w:rsidRPr="00A64314">
        <w:t xml:space="preserve"> </w:t>
      </w:r>
      <w:r w:rsidR="00B92BE6">
        <w:t>(</w:t>
      </w:r>
      <w:r w:rsidRPr="00A64314">
        <w:t>FSH</w:t>
      </w:r>
      <w:r w:rsidR="00B92BE6">
        <w:t>)</w:t>
      </w:r>
      <w:r w:rsidRPr="00A64314">
        <w:t xml:space="preserve"> and progesterone levels.</w:t>
      </w:r>
    </w:p>
    <w:p w:rsidR="000D4647" w:rsidRDefault="00D6575E" w:rsidP="00A64314">
      <w:pPr>
        <w:pStyle w:val="ListBullet"/>
      </w:pPr>
      <w:r w:rsidRPr="00A64314">
        <w:t xml:space="preserve">In the presence of pre-specified ARV regimens, 7 days treatment with SOF resulted in a rapid decline in HCV RNA level, with a mean reduction in RNA of </w:t>
      </w:r>
      <w:r w:rsidR="00F044A6">
        <w:t xml:space="preserve">&gt; </w:t>
      </w:r>
      <w:r w:rsidRPr="00A64314">
        <w:t xml:space="preserve">4 </w:t>
      </w:r>
      <w:r w:rsidR="00A82FA1" w:rsidRPr="00D6575E">
        <w:t>log</w:t>
      </w:r>
      <w:r w:rsidR="00A82FA1" w:rsidRPr="00A82FA1">
        <w:rPr>
          <w:vertAlign w:val="subscript"/>
        </w:rPr>
        <w:t>10</w:t>
      </w:r>
      <w:r w:rsidRPr="00A64314">
        <w:t xml:space="preserve"> IU/mL over the 7 days. At Day 14 (7 days after stopping SOF dosing), the overall mean </w:t>
      </w:r>
      <w:r w:rsidR="0091489D">
        <w:t>standard deviation</w:t>
      </w:r>
      <w:r w:rsidR="0091489D" w:rsidRPr="00A64314">
        <w:t xml:space="preserve"> </w:t>
      </w:r>
      <w:r w:rsidRPr="00A64314">
        <w:t xml:space="preserve">(SD) change in HCV RNA levels from baseline was -3.08 (1.529) </w:t>
      </w:r>
      <w:r w:rsidR="00A82FA1" w:rsidRPr="00D6575E">
        <w:t>log</w:t>
      </w:r>
      <w:r w:rsidR="00A82FA1" w:rsidRPr="00A82FA1">
        <w:rPr>
          <w:vertAlign w:val="subscript"/>
        </w:rPr>
        <w:t>10</w:t>
      </w:r>
      <w:r w:rsidRPr="00A64314">
        <w:t xml:space="preserve"> IU/mL and early HCV viral kinetics appeared to be independent of HCV genotype and subtype.</w:t>
      </w:r>
    </w:p>
    <w:p w:rsidR="000D4647" w:rsidRDefault="00D6575E" w:rsidP="00A64314">
      <w:pPr>
        <w:pStyle w:val="ListBullet"/>
      </w:pPr>
      <w:r w:rsidRPr="00A64314">
        <w:t>Ninety-one percent of subjects administered SOF+</w:t>
      </w:r>
      <w:r w:rsidR="00630FB6" w:rsidRPr="00630FB6">
        <w:rPr>
          <w:rFonts w:cstheme="minorHAnsi"/>
        </w:rPr>
        <w:t xml:space="preserve"> </w:t>
      </w:r>
      <w:proofErr w:type="spellStart"/>
      <w:r w:rsidR="00630FB6">
        <w:rPr>
          <w:rFonts w:cstheme="minorHAnsi"/>
        </w:rPr>
        <w:t>pegylated</w:t>
      </w:r>
      <w:proofErr w:type="spellEnd"/>
      <w:r w:rsidR="00630FB6">
        <w:rPr>
          <w:rFonts w:cstheme="minorHAnsi"/>
        </w:rPr>
        <w:t xml:space="preserve"> interferon</w:t>
      </w:r>
      <w:r w:rsidR="00630FB6" w:rsidRPr="00A64314">
        <w:t xml:space="preserve"> </w:t>
      </w:r>
      <w:r w:rsidR="00630FB6">
        <w:t>(Peg</w:t>
      </w:r>
      <w:r w:rsidR="00630FB6">
        <w:noBreakHyphen/>
      </w:r>
      <w:r w:rsidRPr="00A64314">
        <w:t>IFN</w:t>
      </w:r>
      <w:r w:rsidR="00630FB6">
        <w:t xml:space="preserve">) </w:t>
      </w:r>
      <w:r w:rsidRPr="00A64314">
        <w:t>+</w:t>
      </w:r>
      <w:r w:rsidR="00630FB6">
        <w:t xml:space="preserve"> </w:t>
      </w:r>
      <w:r w:rsidRPr="00A64314">
        <w:t xml:space="preserve">RBV achieved SVR12 and there was no on-treatment </w:t>
      </w:r>
      <w:proofErr w:type="spellStart"/>
      <w:r w:rsidRPr="00A64314">
        <w:t>virologic</w:t>
      </w:r>
      <w:proofErr w:type="spellEnd"/>
      <w:r w:rsidRPr="00A64314">
        <w:t xml:space="preserve"> failure. There were a total of 2 subjects (8.7%) who relapsed; both of t</w:t>
      </w:r>
      <w:r w:rsidR="00A82FA1">
        <w:t>hese subjects relapsed within 4 </w:t>
      </w:r>
      <w:r w:rsidRPr="00A64314">
        <w:t>weeks of stopping treatment.</w:t>
      </w:r>
    </w:p>
    <w:p w:rsidR="000D4647" w:rsidRDefault="00D6575E" w:rsidP="00A64314">
      <w:pPr>
        <w:pStyle w:val="ListBullet"/>
      </w:pPr>
      <w:r w:rsidRPr="00A64314">
        <w:t xml:space="preserve">Potent and rapid suppression of HCV RNA was observed with a mean 4.88 </w:t>
      </w:r>
      <w:r w:rsidR="00A82FA1" w:rsidRPr="00D6575E">
        <w:t>log</w:t>
      </w:r>
      <w:r w:rsidR="00A82FA1" w:rsidRPr="00A82FA1">
        <w:rPr>
          <w:vertAlign w:val="subscript"/>
        </w:rPr>
        <w:t>10</w:t>
      </w:r>
      <w:r w:rsidRPr="00A64314">
        <w:t xml:space="preserve"> IU/mL decrease in HCV RNA after 1 week of treatment with SOF + Peg-IFN + RBV that was maintained for the duration of the study. By Week 4 and at each subsequent on-treatment assessment, 100% of subjects had HCV RNA </w:t>
      </w:r>
      <w:r w:rsidR="006F35F9">
        <w:t xml:space="preserve">&lt; </w:t>
      </w:r>
      <w:r w:rsidRPr="00A64314">
        <w:t>LLOQ.</w:t>
      </w:r>
    </w:p>
    <w:p w:rsidR="000D4647" w:rsidRDefault="00D6575E" w:rsidP="00D6575E">
      <w:pPr>
        <w:pStyle w:val="ListBullet"/>
      </w:pPr>
      <w:r w:rsidRPr="00A64314">
        <w:t xml:space="preserve">Approximately 57% of subjects had </w:t>
      </w:r>
      <w:r w:rsidR="00567626">
        <w:t>alanine aminotransferase</w:t>
      </w:r>
      <w:r w:rsidR="00567626" w:rsidRPr="00A64314">
        <w:t xml:space="preserve"> </w:t>
      </w:r>
      <w:r w:rsidR="00567626">
        <w:t>(</w:t>
      </w:r>
      <w:r w:rsidRPr="00A64314">
        <w:t>ALT</w:t>
      </w:r>
      <w:r w:rsidR="00567626">
        <w:t>)</w:t>
      </w:r>
      <w:r w:rsidRPr="00A64314">
        <w:t xml:space="preserve"> </w:t>
      </w:r>
      <w:r w:rsidR="00F044A6">
        <w:t xml:space="preserve">&gt; </w:t>
      </w:r>
      <w:r w:rsidR="00FF1DF1">
        <w:t>upper limit of normal</w:t>
      </w:r>
      <w:r w:rsidR="00FF1DF1" w:rsidRPr="00A64314">
        <w:t xml:space="preserve"> </w:t>
      </w:r>
      <w:r w:rsidR="00FF1DF1">
        <w:t>(</w:t>
      </w:r>
      <w:r w:rsidRPr="00A64314">
        <w:t>ULN</w:t>
      </w:r>
      <w:r w:rsidR="00FF1DF1">
        <w:t>)</w:t>
      </w:r>
      <w:r w:rsidRPr="00A64314">
        <w:t xml:space="preserve"> at baseline and most had normalised ALT values during treatment with SOF + Peg-IFN + RBV, coincident w</w:t>
      </w:r>
      <w:r w:rsidR="00A64314">
        <w:t>ith decreases in viral HCV RNA.</w:t>
      </w:r>
    </w:p>
    <w:p w:rsidR="000D4647" w:rsidRDefault="00605AD4" w:rsidP="00605AD4">
      <w:pPr>
        <w:pStyle w:val="Heading3"/>
      </w:pPr>
      <w:bookmarkStart w:id="86" w:name="_Toc498681447"/>
      <w:r>
        <w:t>Dosage selection for the pivotal studies</w:t>
      </w:r>
      <w:bookmarkEnd w:id="86"/>
    </w:p>
    <w:p w:rsidR="000D4647" w:rsidRDefault="00A64314" w:rsidP="00A64314">
      <w:r w:rsidRPr="00FE47BE">
        <w:t xml:space="preserve">The dose of </w:t>
      </w:r>
      <w:proofErr w:type="spellStart"/>
      <w:r w:rsidRPr="00FE47BE">
        <w:t>sofosbuvir</w:t>
      </w:r>
      <w:proofErr w:type="spellEnd"/>
      <w:r w:rsidRPr="00FE47BE">
        <w:t xml:space="preserve"> 400</w:t>
      </w:r>
      <w:r w:rsidR="00A82FA1">
        <w:t xml:space="preserve"> mg</w:t>
      </w:r>
      <w:r w:rsidRPr="00FE47BE">
        <w:t xml:space="preserve"> given once daily with RBV, with or without </w:t>
      </w:r>
      <w:proofErr w:type="spellStart"/>
      <w:r w:rsidRPr="00FE47BE">
        <w:t>pegIFN</w:t>
      </w:r>
      <w:proofErr w:type="spellEnd"/>
      <w:r w:rsidRPr="00FE47BE">
        <w:t xml:space="preserve">, is the approved dose for the treatment of HCV infection. Safety and efficacy have been confirmed in multiple </w:t>
      </w:r>
      <w:r>
        <w:t>Phase II</w:t>
      </w:r>
      <w:r w:rsidRPr="00FE47BE">
        <w:t xml:space="preserve"> and </w:t>
      </w:r>
      <w:r>
        <w:t>Phase III</w:t>
      </w:r>
      <w:r w:rsidRPr="00FE47BE">
        <w:t xml:space="preserve"> studies. For the NCE </w:t>
      </w:r>
      <w:proofErr w:type="spellStart"/>
      <w:r w:rsidRPr="00FE47BE">
        <w:t>velpatasvir</w:t>
      </w:r>
      <w:proofErr w:type="spellEnd"/>
      <w:r w:rsidRPr="00FE47BE">
        <w:t xml:space="preserve">, activity against HCV was demonstrated in the </w:t>
      </w:r>
      <w:r>
        <w:t>Phase II</w:t>
      </w:r>
      <w:r w:rsidRPr="00FE47BE">
        <w:t xml:space="preserve"> study GS-US-281-0102. Doses </w:t>
      </w:r>
      <w:r w:rsidR="00F044A6">
        <w:t xml:space="preserve">&gt; </w:t>
      </w:r>
      <w:r w:rsidRPr="00FE47BE">
        <w:t>25</w:t>
      </w:r>
      <w:r w:rsidR="00A82FA1">
        <w:t xml:space="preserve"> mg</w:t>
      </w:r>
      <w:r w:rsidRPr="00FE47BE">
        <w:t xml:space="preserve"> achieved at least 80% of maximal antiviral response in all HCV genotypes. Favourable safety, efficacy and PK profiles have been shown for the SOF/VEL 400</w:t>
      </w:r>
      <w:r w:rsidR="00A82FA1">
        <w:t xml:space="preserve"> mg</w:t>
      </w:r>
      <w:r w:rsidRPr="00FE47BE">
        <w:t>/100</w:t>
      </w:r>
      <w:r w:rsidR="00A82FA1">
        <w:t xml:space="preserve"> mg</w:t>
      </w:r>
      <w:r w:rsidRPr="00FE47BE">
        <w:t xml:space="preserve"> FDC in </w:t>
      </w:r>
      <w:r>
        <w:t>Phase II</w:t>
      </w:r>
      <w:r w:rsidRPr="00FE47BE">
        <w:t xml:space="preserve"> studies </w:t>
      </w:r>
      <w:r w:rsidRPr="00FE47BE">
        <w:lastRenderedPageBreak/>
        <w:t>involving 237 patients with HCV infection evaluated in Section 7(GS-US-342-0102, GS-US-337-0102</w:t>
      </w:r>
      <w:r>
        <w:t xml:space="preserve"> and </w:t>
      </w:r>
      <w:r w:rsidRPr="00FE47BE">
        <w:t>GS-US-342-0109).</w:t>
      </w:r>
      <w:r>
        <w:t xml:space="preserve"> </w:t>
      </w:r>
      <w:r w:rsidRPr="00FE47BE">
        <w:t xml:space="preserve">In study GS-US-281-0112, systemic exposure to </w:t>
      </w:r>
      <w:proofErr w:type="spellStart"/>
      <w:r w:rsidRPr="00FE47BE">
        <w:t>velpatasvir</w:t>
      </w:r>
      <w:proofErr w:type="spellEnd"/>
      <w:r w:rsidRPr="00FE47BE">
        <w:t xml:space="preserve"> 100</w:t>
      </w:r>
      <w:r w:rsidR="00A82FA1">
        <w:t xml:space="preserve"> mg</w:t>
      </w:r>
      <w:r w:rsidRPr="00FE47BE">
        <w:t xml:space="preserve"> was similar in patients with normal hepatic function and those with moderate or severe hepatic dysfunction</w:t>
      </w:r>
      <w:r>
        <w:t>.</w:t>
      </w:r>
    </w:p>
    <w:p w:rsidR="000D4647" w:rsidRDefault="008E7846" w:rsidP="008E7846">
      <w:pPr>
        <w:pStyle w:val="Heading3"/>
      </w:pPr>
      <w:bookmarkStart w:id="87" w:name="_Toc163441372"/>
      <w:bookmarkStart w:id="88" w:name="_Toc196046485"/>
      <w:bookmarkStart w:id="89" w:name="_Toc247691521"/>
      <w:bookmarkStart w:id="90" w:name="_Toc314842504"/>
      <w:bookmarkStart w:id="91" w:name="_Toc498681448"/>
      <w:r w:rsidRPr="00254787">
        <w:t>Efficacy</w:t>
      </w:r>
      <w:bookmarkEnd w:id="87"/>
      <w:bookmarkEnd w:id="88"/>
      <w:bookmarkEnd w:id="89"/>
      <w:bookmarkEnd w:id="90"/>
      <w:bookmarkEnd w:id="91"/>
    </w:p>
    <w:p w:rsidR="000D4647" w:rsidRDefault="00605AD4" w:rsidP="00605AD4">
      <w:pPr>
        <w:pStyle w:val="Heading4"/>
      </w:pPr>
      <w:bookmarkStart w:id="92" w:name="_Toc184439992"/>
      <w:bookmarkStart w:id="93" w:name="_Toc184440279"/>
      <w:bookmarkStart w:id="94" w:name="_Toc184444657"/>
      <w:bookmarkStart w:id="95" w:name="_Toc196046487"/>
      <w:r>
        <w:t>Studies providing efficacy data</w:t>
      </w:r>
    </w:p>
    <w:p w:rsidR="000D4647" w:rsidRDefault="00A64314" w:rsidP="00A64314">
      <w:r>
        <w:t>The following studies were evaluated:</w:t>
      </w:r>
    </w:p>
    <w:p w:rsidR="000D4647" w:rsidRDefault="00A64314" w:rsidP="00A64314">
      <w:r>
        <w:t>Pivotal efficacy studies</w:t>
      </w:r>
    </w:p>
    <w:p w:rsidR="000D4647" w:rsidRDefault="00A64314" w:rsidP="00A64314">
      <w:pPr>
        <w:pStyle w:val="ListBullet"/>
      </w:pPr>
      <w:bookmarkStart w:id="96" w:name="_Ref243301615"/>
      <w:bookmarkStart w:id="97" w:name="_Ref271040927"/>
      <w:bookmarkStart w:id="98" w:name="_Ref271040932"/>
      <w:bookmarkStart w:id="99" w:name="_Toc272414653"/>
      <w:bookmarkStart w:id="100" w:name="_Toc290888501"/>
      <w:bookmarkStart w:id="101" w:name="_Toc458678696"/>
      <w:r w:rsidRPr="00FE47BE">
        <w:t>Study GS-US-342-1137 (ASTRAL-4)</w:t>
      </w:r>
      <w:bookmarkEnd w:id="96"/>
      <w:bookmarkEnd w:id="97"/>
      <w:bookmarkEnd w:id="98"/>
      <w:bookmarkEnd w:id="99"/>
      <w:bookmarkEnd w:id="100"/>
      <w:bookmarkEnd w:id="101"/>
    </w:p>
    <w:p w:rsidR="000D4647" w:rsidRDefault="00A64314" w:rsidP="00A64314">
      <w:pPr>
        <w:pStyle w:val="ListBullet"/>
      </w:pPr>
      <w:bookmarkStart w:id="102" w:name="_Toc290888502"/>
      <w:bookmarkStart w:id="103" w:name="_Toc458678697"/>
      <w:r w:rsidRPr="00FE47BE">
        <w:t xml:space="preserve">Study </w:t>
      </w:r>
      <w:bookmarkEnd w:id="102"/>
      <w:r w:rsidRPr="00FE47BE">
        <w:t>GS-US-342-1138 (ASTRAL-1)</w:t>
      </w:r>
      <w:bookmarkEnd w:id="103"/>
    </w:p>
    <w:p w:rsidR="000D4647" w:rsidRDefault="00A64314" w:rsidP="00A64314">
      <w:pPr>
        <w:pStyle w:val="ListBullet"/>
      </w:pPr>
      <w:r w:rsidRPr="00FE47BE">
        <w:t>Study GS-US-342-1139 (ASTRAL-2)</w:t>
      </w:r>
    </w:p>
    <w:p w:rsidR="000D4647" w:rsidRDefault="00A64314" w:rsidP="00A64314">
      <w:pPr>
        <w:pStyle w:val="ListBullet"/>
      </w:pPr>
      <w:r w:rsidRPr="00FE47BE">
        <w:t>Study GS-US-342-1140 (ASTRAL-3)</w:t>
      </w:r>
    </w:p>
    <w:p w:rsidR="000D4647" w:rsidRDefault="00A64314" w:rsidP="00A64314">
      <w:bookmarkStart w:id="104" w:name="_Ref271037188"/>
      <w:bookmarkStart w:id="105" w:name="_Ref271037210"/>
      <w:bookmarkStart w:id="106" w:name="_Toc272414655"/>
      <w:bookmarkStart w:id="107" w:name="_Toc290888503"/>
      <w:bookmarkStart w:id="108" w:name="_Toc458678700"/>
      <w:r w:rsidRPr="00FE47BE">
        <w:t>Other efficacy studies</w:t>
      </w:r>
      <w:bookmarkEnd w:id="104"/>
      <w:bookmarkEnd w:id="105"/>
      <w:bookmarkEnd w:id="106"/>
      <w:bookmarkEnd w:id="107"/>
      <w:bookmarkEnd w:id="108"/>
    </w:p>
    <w:p w:rsidR="000D4647" w:rsidRDefault="00A64314" w:rsidP="00A64314">
      <w:pPr>
        <w:pStyle w:val="ListBullet"/>
      </w:pPr>
      <w:bookmarkStart w:id="109" w:name="_Toc290888504"/>
      <w:bookmarkStart w:id="110" w:name="_Toc458678701"/>
      <w:r w:rsidRPr="00FE47BE">
        <w:t>Study GS-US-337-0122</w:t>
      </w:r>
      <w:bookmarkEnd w:id="109"/>
      <w:r w:rsidRPr="00FE47BE">
        <w:t xml:space="preserve"> (ELECTRON-2)</w:t>
      </w:r>
      <w:bookmarkEnd w:id="110"/>
    </w:p>
    <w:p w:rsidR="000D4647" w:rsidRDefault="00A64314" w:rsidP="00A64314">
      <w:pPr>
        <w:pStyle w:val="ListBullet"/>
      </w:pPr>
      <w:bookmarkStart w:id="111" w:name="_Toc290888505"/>
      <w:bookmarkStart w:id="112" w:name="_Toc458678702"/>
      <w:r w:rsidRPr="00FE47BE">
        <w:t>Study GS-US-342-0102</w:t>
      </w:r>
      <w:bookmarkEnd w:id="111"/>
      <w:bookmarkEnd w:id="112"/>
    </w:p>
    <w:p w:rsidR="000D4647" w:rsidRDefault="00A64314" w:rsidP="00A64314">
      <w:pPr>
        <w:pStyle w:val="ListBullet"/>
      </w:pPr>
      <w:bookmarkStart w:id="113" w:name="_Toc290888506"/>
      <w:bookmarkStart w:id="114" w:name="_Toc458678703"/>
      <w:r w:rsidRPr="00FE47BE">
        <w:t>Study GS-US-342-0109</w:t>
      </w:r>
      <w:bookmarkEnd w:id="113"/>
      <w:bookmarkEnd w:id="114"/>
    </w:p>
    <w:p w:rsidR="000D4647" w:rsidRDefault="00A64314" w:rsidP="00A64314">
      <w:bookmarkStart w:id="115" w:name="_Toc458678704"/>
      <w:r w:rsidRPr="00FE47BE">
        <w:t>Analyses performed across trials</w:t>
      </w:r>
      <w:bookmarkEnd w:id="115"/>
    </w:p>
    <w:p w:rsidR="000D4647" w:rsidRDefault="00A64314" w:rsidP="00A64314">
      <w:r w:rsidRPr="00FE47BE">
        <w:t xml:space="preserve">A pooled efficacy analysis of the pivotal </w:t>
      </w:r>
      <w:r>
        <w:t>Phase III</w:t>
      </w:r>
      <w:r w:rsidRPr="00FE47BE">
        <w:t xml:space="preserve"> studies GS-US-342-1138, GS-US-342-1139, GS-US-342-1140 was performed in patient groups who received SOF /VEL for 12 weeks.</w:t>
      </w:r>
    </w:p>
    <w:p w:rsidR="000D4647" w:rsidRDefault="00A64314" w:rsidP="00A64314">
      <w:r>
        <w:t>For the full details of the evaluation please see Attachment 2.</w:t>
      </w:r>
    </w:p>
    <w:p w:rsidR="000D4647" w:rsidRDefault="00605AD4" w:rsidP="00605AD4">
      <w:pPr>
        <w:pStyle w:val="Heading4"/>
      </w:pPr>
      <w:r>
        <w:t>Evaluator’s conclusions on efficacy</w:t>
      </w:r>
    </w:p>
    <w:p w:rsidR="000D4647" w:rsidRDefault="00A64314" w:rsidP="00A64314">
      <w:r w:rsidRPr="00744E14">
        <w:t xml:space="preserve">In the </w:t>
      </w:r>
      <w:r>
        <w:t>Phase II</w:t>
      </w:r>
      <w:r w:rsidRPr="00744E14">
        <w:t xml:space="preserve"> studies, SOF + VEL regimens were compared at different doses and for different durations of treatment (8, 12 or 24 weeks). </w:t>
      </w:r>
      <w:r>
        <w:t>Treatment naïve</w:t>
      </w:r>
      <w:r w:rsidRPr="00744E14">
        <w:t xml:space="preserve"> and treatment experienced patients included all genotypes, and those with or without cirrhosis. The SOF + VEL regimens were given with or without RBV, and compared with LDV</w:t>
      </w:r>
      <w:r w:rsidR="00721A33">
        <w:rPr>
          <w:rStyle w:val="FootnoteReference"/>
        </w:rPr>
        <w:footnoteReference w:id="16"/>
      </w:r>
      <w:r w:rsidRPr="00744E14">
        <w:t>/SOF (</w:t>
      </w:r>
      <w:proofErr w:type="spellStart"/>
      <w:r>
        <w:t>Harvoni</w:t>
      </w:r>
      <w:proofErr w:type="spellEnd"/>
      <w:r>
        <w:t xml:space="preserve">) and other SOF </w:t>
      </w:r>
      <w:r w:rsidRPr="00744E14">
        <w:t>containing regimens. High efficacy rates were observed in patient groups treated for 8 weeks, and in patients given VEL 25</w:t>
      </w:r>
      <w:r w:rsidR="00A82FA1">
        <w:t xml:space="preserve"> mg</w:t>
      </w:r>
      <w:r w:rsidRPr="00744E14">
        <w:t>. However, the best SVR12 rates were obtained in patients given SOF + VEL 100</w:t>
      </w:r>
      <w:r w:rsidR="00A82FA1">
        <w:t xml:space="preserve"> mg</w:t>
      </w:r>
      <w:r w:rsidRPr="00744E14">
        <w:t xml:space="preserve"> for 12 weeks, particularly in patients with GT3 infection. The SVR12 rates were 100.0% in </w:t>
      </w:r>
      <w:r>
        <w:t>treatment naïve</w:t>
      </w:r>
      <w:r w:rsidRPr="00744E14">
        <w:t xml:space="preserve"> GT1 patients without cirrhosis, and 100.0% in </w:t>
      </w:r>
      <w:r>
        <w:t>treatment experienced</w:t>
      </w:r>
      <w:r w:rsidRPr="00744E14">
        <w:t xml:space="preserve"> patients. The SVR12 rate was 92.6% in </w:t>
      </w:r>
      <w:r>
        <w:t>treatment naïve</w:t>
      </w:r>
      <w:r w:rsidRPr="00744E14">
        <w:t xml:space="preserve">, GT3 patients without cirrhosis; 100% in </w:t>
      </w:r>
      <w:r>
        <w:t>treatment experienced</w:t>
      </w:r>
      <w:r w:rsidRPr="00744E14">
        <w:t xml:space="preserve">, GT3 patients without cirrhosis; and 88.5% in </w:t>
      </w:r>
      <w:r>
        <w:t>treatment experienced</w:t>
      </w:r>
      <w:r w:rsidRPr="00744E14">
        <w:t xml:space="preserve">, GT3 patients with cirrhosis. All patients with genotype 2, 4, 5, or 6 were </w:t>
      </w:r>
      <w:r>
        <w:t>treatment naïve</w:t>
      </w:r>
      <w:r w:rsidRPr="00744E14">
        <w:t xml:space="preserve"> without cirrhosis and none had </w:t>
      </w:r>
      <w:proofErr w:type="spellStart"/>
      <w:r w:rsidRPr="00744E14">
        <w:t>virologic</w:t>
      </w:r>
      <w:proofErr w:type="spellEnd"/>
      <w:r w:rsidRPr="00744E14">
        <w:t xml:space="preserve"> failure</w:t>
      </w:r>
      <w:r>
        <w:t>.</w:t>
      </w:r>
    </w:p>
    <w:p w:rsidR="000D4647" w:rsidRDefault="00A64314" w:rsidP="00A64314">
      <w:r w:rsidRPr="00744E14">
        <w:t xml:space="preserve">The SOF/VEL combination was given for 12 weeks to a total of 1035 patients in the </w:t>
      </w:r>
      <w:r w:rsidR="00A82FA1">
        <w:t>Phase </w:t>
      </w:r>
      <w:r>
        <w:t>III</w:t>
      </w:r>
      <w:r w:rsidRPr="00744E14">
        <w:t xml:space="preserve"> studies, and the SVR12 rates ranged from 95</w:t>
      </w:r>
      <w:r w:rsidR="00A82FA1">
        <w:t>.3% to 100%. Only 35 GT5 and 41 </w:t>
      </w:r>
      <w:r w:rsidRPr="00744E14">
        <w:t xml:space="preserve">GT6 patients were studied but the results in these patients were comparable to the overall population. In studies GS-US-342-1138, GS-US-342-1139, and GS-US-342-1140, there were no on-treatment </w:t>
      </w:r>
      <w:proofErr w:type="spellStart"/>
      <w:r w:rsidRPr="00744E14">
        <w:t>virologic</w:t>
      </w:r>
      <w:proofErr w:type="spellEnd"/>
      <w:r w:rsidRPr="00744E14">
        <w:t xml:space="preserve"> failures in patients given SOF/VEL for 12 weeks. </w:t>
      </w:r>
      <w:r w:rsidRPr="00744E14">
        <w:lastRenderedPageBreak/>
        <w:t>Overall, viral relapse was reported in only 13/1035 patients, in two (0.6%) patients with GT1 infection, and in 11 (4%) patients with GT3 infection. Overall, SVR4 rates were comparable to the SVR12 rates; however, full SVR24</w:t>
      </w:r>
      <w:r w:rsidR="0091489D">
        <w:rPr>
          <w:rStyle w:val="FootnoteReference"/>
        </w:rPr>
        <w:footnoteReference w:id="17"/>
      </w:r>
      <w:r w:rsidRPr="00744E14">
        <w:t xml:space="preserve"> data were not available for the interim analyses. Patients with decompensated cirrhosis were evaluated in GS-US-342-1137. The overall SVR12 rate in 90 patients treated with SOF/VEL for 12 weeks was 83.3% (range 50% to 100.0%) compared with 94.3% (range 84.6% to 100%) in patients treated with SOF/VEL + RBV for 12 weeks, and 85.6% (range 50% to 100%) in patients treated with SOF/VEL for 24 weeks.</w:t>
      </w:r>
      <w:r>
        <w:t xml:space="preserve"> </w:t>
      </w:r>
      <w:r w:rsidRPr="00744E14">
        <w:t xml:space="preserve">Patients with GT3 infection were least likely to achieve SVR12 (50%, 84.6%, and 50% in the respective treatment groups). Overall </w:t>
      </w:r>
      <w:proofErr w:type="spellStart"/>
      <w:r w:rsidRPr="00744E14">
        <w:t>virologic</w:t>
      </w:r>
      <w:proofErr w:type="spellEnd"/>
      <w:r w:rsidRPr="00744E14">
        <w:t xml:space="preserve"> failure was also common in GT3 patients treated with SOF/VEL for 12 weeks (42.9%).</w:t>
      </w:r>
    </w:p>
    <w:p w:rsidR="000D4647" w:rsidRDefault="00A64314" w:rsidP="00A64314">
      <w:r w:rsidRPr="00744E14">
        <w:t xml:space="preserve">Subgroups in the </w:t>
      </w:r>
      <w:r>
        <w:t>Phase III</w:t>
      </w:r>
      <w:r w:rsidRPr="00744E14">
        <w:t xml:space="preserve"> studies were analysed according to age, gender, race, region, baseline HCV RNA, baseline BMI, prior HCV treatment, IL28B genotype, NS5A RAVs, and cirrhosis. In patients treated with SOF/VEL for 12 weeks in studies GS-US-342-1138, GS-US-342-1139, and GS-US-342-1140, there were no meaningful differences in SVR12 and all subgroups achieved SVR12 rates </w:t>
      </w:r>
      <w:r w:rsidR="00F044A6">
        <w:t xml:space="preserve">&gt; </w:t>
      </w:r>
      <w:r w:rsidRPr="00744E14">
        <w:t xml:space="preserve">95%. SVR12 rates were </w:t>
      </w:r>
      <w:r w:rsidR="00F044A6">
        <w:t xml:space="preserve">&gt; </w:t>
      </w:r>
      <w:r w:rsidRPr="00744E14">
        <w:t xml:space="preserve">91% across all genotypes in patients with cirrhosis, and </w:t>
      </w:r>
      <w:r w:rsidR="00F044A6">
        <w:t xml:space="preserve">&gt; </w:t>
      </w:r>
      <w:r w:rsidRPr="00744E14">
        <w:t>90% in patients w</w:t>
      </w:r>
      <w:r>
        <w:t>ith prior treatment experience.</w:t>
      </w:r>
    </w:p>
    <w:p w:rsidR="000D4647" w:rsidRDefault="008E7846" w:rsidP="008E7846">
      <w:pPr>
        <w:pStyle w:val="Heading3"/>
      </w:pPr>
      <w:bookmarkStart w:id="116" w:name="_Toc163441378"/>
      <w:bookmarkStart w:id="117" w:name="_Toc196046495"/>
      <w:bookmarkStart w:id="118" w:name="_Toc247691522"/>
      <w:bookmarkStart w:id="119" w:name="_Toc314842505"/>
      <w:bookmarkStart w:id="120" w:name="_Toc498681449"/>
      <w:bookmarkEnd w:id="92"/>
      <w:bookmarkEnd w:id="93"/>
      <w:bookmarkEnd w:id="94"/>
      <w:bookmarkEnd w:id="95"/>
      <w:r w:rsidRPr="002E238E">
        <w:t>Safety</w:t>
      </w:r>
      <w:bookmarkEnd w:id="116"/>
      <w:bookmarkEnd w:id="117"/>
      <w:bookmarkEnd w:id="118"/>
      <w:bookmarkEnd w:id="119"/>
      <w:bookmarkEnd w:id="120"/>
    </w:p>
    <w:p w:rsidR="000D4647" w:rsidRDefault="00EB2D4C" w:rsidP="00EB2D4C">
      <w:r>
        <w:t>For the full evaluation of the safety data please see Attachment 2.</w:t>
      </w:r>
    </w:p>
    <w:p w:rsidR="000D4647" w:rsidRDefault="00605AD4" w:rsidP="00605AD4">
      <w:pPr>
        <w:pStyle w:val="Heading4"/>
      </w:pPr>
      <w:bookmarkStart w:id="121" w:name="_Toc247691524"/>
      <w:bookmarkStart w:id="122" w:name="_Toc314842508"/>
      <w:bookmarkStart w:id="123" w:name="_Toc196046504"/>
      <w:bookmarkStart w:id="124" w:name="_Toc163441390"/>
      <w:r w:rsidRPr="00605AD4">
        <w:t>Studies providing safety data</w:t>
      </w:r>
    </w:p>
    <w:p w:rsidR="000D4647" w:rsidRDefault="00A64314" w:rsidP="00A64314">
      <w:r w:rsidRPr="00744E14">
        <w:t>The following pivotal studies provided evaluable safety data:</w:t>
      </w:r>
    </w:p>
    <w:p w:rsidR="000D4647" w:rsidRDefault="00A64314" w:rsidP="00A64314">
      <w:pPr>
        <w:pStyle w:val="ListBullet"/>
      </w:pPr>
      <w:r w:rsidRPr="00A64314">
        <w:t>Study GS-US-342-1137 (ASTRAL-4)</w:t>
      </w:r>
    </w:p>
    <w:p w:rsidR="000D4647" w:rsidRDefault="00A64314" w:rsidP="00A64314">
      <w:pPr>
        <w:pStyle w:val="ListBullet"/>
      </w:pPr>
      <w:r w:rsidRPr="00A64314">
        <w:t>Study GS-US-342-1138 (ASTRAL-1)</w:t>
      </w:r>
    </w:p>
    <w:p w:rsidR="000D4647" w:rsidRDefault="00A64314" w:rsidP="00A64314">
      <w:pPr>
        <w:pStyle w:val="ListBullet"/>
      </w:pPr>
      <w:r w:rsidRPr="00A64314">
        <w:t>Study GS-US-342-1139 (ASTRAL-2)</w:t>
      </w:r>
    </w:p>
    <w:p w:rsidR="000D4647" w:rsidRDefault="00A64314" w:rsidP="00A64314">
      <w:pPr>
        <w:pStyle w:val="ListBullet"/>
      </w:pPr>
      <w:r>
        <w:t>Study GS-US-342-1140 (ASTRAL-3)</w:t>
      </w:r>
    </w:p>
    <w:p w:rsidR="000D4647" w:rsidRDefault="00605AD4" w:rsidP="00605AD4">
      <w:pPr>
        <w:pStyle w:val="Heading4"/>
      </w:pPr>
      <w:r w:rsidRPr="00605AD4">
        <w:t>Patient exposure</w:t>
      </w:r>
    </w:p>
    <w:p w:rsidR="000D4647" w:rsidRDefault="00A64314" w:rsidP="00A64314">
      <w:r w:rsidRPr="00744E14">
        <w:t>A total of 2</w:t>
      </w:r>
      <w:r>
        <w:t>,</w:t>
      </w:r>
      <w:r w:rsidRPr="00744E14">
        <w:t xml:space="preserve">603 patients received at least one dose of SOF and VEL as individual agents or as the FDC tablet </w:t>
      </w:r>
      <w:r w:rsidRPr="00756A4F">
        <w:t>(</w:t>
      </w:r>
      <w:r w:rsidR="00756A4F" w:rsidRPr="00756A4F">
        <w:t>Table 8</w:t>
      </w:r>
      <w:r w:rsidRPr="00756A4F">
        <w:t>). Of these</w:t>
      </w:r>
      <w:r w:rsidRPr="00744E14">
        <w:t>, a total of 1</w:t>
      </w:r>
      <w:r>
        <w:t>,</w:t>
      </w:r>
      <w:r w:rsidRPr="00744E14">
        <w:t xml:space="preserve">302 patients received the SOF/VEL FDC for a minimum of 12 weeks; 802 patients received SOF + VEL in three </w:t>
      </w:r>
      <w:r>
        <w:t>Phase II</w:t>
      </w:r>
      <w:r w:rsidRPr="00744E14">
        <w:t xml:space="preserve"> studies; and 499 patients received SOF/VEL in five </w:t>
      </w:r>
      <w:r>
        <w:t>Phase I</w:t>
      </w:r>
      <w:r w:rsidRPr="00744E14">
        <w:t xml:space="preserve"> studies. In GS-US-342-1137, a total of 267 patients with decompensated cirrhosis received SOF/VEL (SOF/VEL for 12 weeks, n</w:t>
      </w:r>
      <w:r w:rsidR="00A82FA1">
        <w:t xml:space="preserve"> </w:t>
      </w:r>
      <w:r w:rsidRPr="00744E14">
        <w:t>=</w:t>
      </w:r>
      <w:r w:rsidR="00A82FA1">
        <w:t xml:space="preserve"> </w:t>
      </w:r>
      <w:r w:rsidRPr="00744E14">
        <w:t>90; SOF/VEL + RBV for 12 weeks, n</w:t>
      </w:r>
      <w:r w:rsidR="00A82FA1">
        <w:t xml:space="preserve"> </w:t>
      </w:r>
      <w:r w:rsidRPr="00744E14">
        <w:t>=</w:t>
      </w:r>
      <w:r w:rsidR="00A82FA1">
        <w:t xml:space="preserve"> </w:t>
      </w:r>
      <w:r w:rsidRPr="00744E14">
        <w:t>87; or SOF/VEL for 24 weeks, n</w:t>
      </w:r>
      <w:r w:rsidR="00A82FA1">
        <w:t xml:space="preserve"> </w:t>
      </w:r>
      <w:r w:rsidRPr="00744E14">
        <w:t>=</w:t>
      </w:r>
      <w:r w:rsidR="00A82FA1">
        <w:t xml:space="preserve"> </w:t>
      </w:r>
      <w:r w:rsidRPr="00744E14">
        <w:t>90).</w:t>
      </w:r>
    </w:p>
    <w:p w:rsidR="000D4647" w:rsidRDefault="00756A4F" w:rsidP="00A64314">
      <w:pPr>
        <w:pStyle w:val="Tabletitle0"/>
      </w:pPr>
      <w:r w:rsidRPr="00756A4F">
        <w:lastRenderedPageBreak/>
        <w:t>Table 8:</w:t>
      </w:r>
      <w:r>
        <w:t xml:space="preserve"> </w:t>
      </w:r>
      <w:r w:rsidR="00A64314">
        <w:t>SOF/VEL exposure in Phase I, Phase II, and Phase III studies</w:t>
      </w:r>
    </w:p>
    <w:p w:rsidR="000D4647" w:rsidRDefault="00EB2D4C" w:rsidP="00A64314">
      <w:r>
        <w:rPr>
          <w:noProof/>
          <w:lang w:eastAsia="en-AU"/>
        </w:rPr>
        <w:drawing>
          <wp:inline distT="0" distB="0" distL="0" distR="0" wp14:anchorId="10E9A263" wp14:editId="6E076397">
            <wp:extent cx="5283944" cy="5771693"/>
            <wp:effectExtent l="0" t="0" r="0" b="635"/>
            <wp:docPr id="15" name="Picture 15" descr="Table 8: SOF/VEL exposure in Phase I, Phase II, an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86143" cy="5774095"/>
                    </a:xfrm>
                    <a:prstGeom prst="rect">
                      <a:avLst/>
                    </a:prstGeom>
                  </pic:spPr>
                </pic:pic>
              </a:graphicData>
            </a:graphic>
          </wp:inline>
        </w:drawing>
      </w:r>
    </w:p>
    <w:p w:rsidR="000D4647" w:rsidRDefault="00605AD4" w:rsidP="00605AD4">
      <w:pPr>
        <w:pStyle w:val="Heading4"/>
      </w:pPr>
      <w:r w:rsidRPr="00605AD4">
        <w:t>Safety issues with the potential for major regulatory impact</w:t>
      </w:r>
    </w:p>
    <w:p w:rsidR="000D4647" w:rsidRDefault="00EB2D4C" w:rsidP="00EB2D4C">
      <w:pPr>
        <w:pStyle w:val="Heading5"/>
      </w:pPr>
      <w:r w:rsidRPr="00744E14">
        <w:t>Liver toxicity</w:t>
      </w:r>
    </w:p>
    <w:p w:rsidR="000D4647" w:rsidRDefault="00EB2D4C" w:rsidP="00EB2D4C">
      <w:r w:rsidRPr="00744E14">
        <w:t xml:space="preserve">Grade 3 or 4 liver chemistry abnormalities </w:t>
      </w:r>
      <w:r>
        <w:t>were provided</w:t>
      </w:r>
      <w:r w:rsidRPr="00744E14">
        <w:t xml:space="preserve">. No safety signals were detected. In the integrated </w:t>
      </w:r>
      <w:r>
        <w:t>Phase III</w:t>
      </w:r>
      <w:r w:rsidRPr="00744E14">
        <w:t xml:space="preserve"> study analysis, one patient (</w:t>
      </w:r>
      <w:r w:rsidR="006F35F9">
        <w:t xml:space="preserve">&lt; </w:t>
      </w:r>
      <w:r w:rsidRPr="00744E14">
        <w:t>0.1%) in the SOF/VEL 12 week group had a Grade 3 or 4 ALT abnormality compared with eight (6.9%) in the placebo group. There w</w:t>
      </w:r>
      <w:r w:rsidR="00A82FA1">
        <w:t>as</w:t>
      </w:r>
      <w:r w:rsidRPr="00744E14">
        <w:t xml:space="preserve"> no Grade 3 or 4 total bilirubin elevations in the SOF/VEL or placebo groups. An independent adjudication committee assessed predefined criteria for </w:t>
      </w:r>
      <w:r w:rsidR="00AE4800">
        <w:t>drug induced liver injury</w:t>
      </w:r>
      <w:r w:rsidR="00AE4800" w:rsidRPr="00744E14">
        <w:t xml:space="preserve"> </w:t>
      </w:r>
      <w:r w:rsidR="00AE4800">
        <w:t>(</w:t>
      </w:r>
      <w:r w:rsidRPr="00744E14">
        <w:t>DILI</w:t>
      </w:r>
      <w:r w:rsidR="00AE4800">
        <w:t>)</w:t>
      </w:r>
      <w:r w:rsidRPr="00744E14">
        <w:t xml:space="preserve">. A total of 56 cases were reviewed in the </w:t>
      </w:r>
      <w:r>
        <w:t>Phase II</w:t>
      </w:r>
      <w:r w:rsidRPr="00744E14">
        <w:t xml:space="preserve"> and </w:t>
      </w:r>
      <w:r>
        <w:t>Phase III</w:t>
      </w:r>
      <w:r w:rsidRPr="00744E14">
        <w:t xml:space="preserve"> safety populations but only one case of potential DILI was identified. This was a </w:t>
      </w:r>
      <w:r>
        <w:t>Phase II</w:t>
      </w:r>
      <w:r w:rsidRPr="00744E14">
        <w:t xml:space="preserve"> study, female patient who received SOF + VEL 25</w:t>
      </w:r>
      <w:r w:rsidR="00A82FA1">
        <w:t xml:space="preserve"> mg</w:t>
      </w:r>
      <w:r w:rsidRPr="00744E14">
        <w:t xml:space="preserve"> + RBV who developed unexplained increases in ALT and </w:t>
      </w:r>
      <w:r w:rsidR="00567626">
        <w:t>aspartate aminotransferase</w:t>
      </w:r>
      <w:r w:rsidR="00567626" w:rsidRPr="00744E14">
        <w:t xml:space="preserve"> </w:t>
      </w:r>
      <w:r w:rsidR="00567626">
        <w:t>(</w:t>
      </w:r>
      <w:r w:rsidRPr="00744E14">
        <w:t>AST</w:t>
      </w:r>
      <w:r w:rsidR="00567626">
        <w:t>)</w:t>
      </w:r>
      <w:r w:rsidRPr="00744E14">
        <w:t>. The LFT abnormalities were associated with starting anti-hypertensive therapy and they resolved when the antihypertensive therapy was stopped.</w:t>
      </w:r>
    </w:p>
    <w:p w:rsidR="000D4647" w:rsidRDefault="00EB2D4C" w:rsidP="00EB2D4C">
      <w:pPr>
        <w:pStyle w:val="Heading5"/>
      </w:pPr>
      <w:bookmarkStart w:id="125" w:name="_Toc272414682"/>
      <w:bookmarkStart w:id="126" w:name="_Toc290888546"/>
      <w:bookmarkStart w:id="127" w:name="_Toc458678745"/>
      <w:r w:rsidRPr="00744E14">
        <w:lastRenderedPageBreak/>
        <w:t>Haematological toxicity</w:t>
      </w:r>
      <w:bookmarkEnd w:id="125"/>
      <w:bookmarkEnd w:id="126"/>
      <w:bookmarkEnd w:id="127"/>
    </w:p>
    <w:p w:rsidR="000D4647" w:rsidRDefault="00EB2D4C" w:rsidP="00EB2D4C">
      <w:r w:rsidRPr="00744E14">
        <w:t xml:space="preserve">With the exception of the well understood toxicity profile of RBV, no haematological safety signals were detected. There were no cases of pancytopenia. In the SOF/VEL group of integrated </w:t>
      </w:r>
      <w:r>
        <w:t>Phase III</w:t>
      </w:r>
      <w:r w:rsidRPr="00744E14">
        <w:t xml:space="preserve"> safety analysis, the only Grade 3 events were decreased lymphocytes (0.5%), neutrophils (0.4%), and platelets (0.2%). There w</w:t>
      </w:r>
      <w:r w:rsidR="00A82FA1">
        <w:t>as</w:t>
      </w:r>
      <w:r w:rsidRPr="00744E14">
        <w:t xml:space="preserve"> no Grade 3 or 4 events in the placebo group.</w:t>
      </w:r>
    </w:p>
    <w:p w:rsidR="000D4647" w:rsidRDefault="00EB2D4C" w:rsidP="00EB2D4C">
      <w:pPr>
        <w:pStyle w:val="Heading5"/>
      </w:pPr>
      <w:bookmarkStart w:id="128" w:name="_Toc272414683"/>
      <w:bookmarkStart w:id="129" w:name="_Toc290888547"/>
      <w:bookmarkStart w:id="130" w:name="_Toc458678746"/>
      <w:r w:rsidRPr="00744E14">
        <w:t>Serious skin reactions</w:t>
      </w:r>
      <w:bookmarkEnd w:id="128"/>
      <w:bookmarkEnd w:id="129"/>
      <w:bookmarkEnd w:id="130"/>
    </w:p>
    <w:p w:rsidR="000D4647" w:rsidRDefault="00EB2D4C" w:rsidP="00EB2D4C">
      <w:r w:rsidRPr="00744E14">
        <w:t xml:space="preserve">No serious skin reactions were reported in the integrated </w:t>
      </w:r>
      <w:r>
        <w:t>Phase III</w:t>
      </w:r>
      <w:r w:rsidRPr="00744E14">
        <w:t xml:space="preserve"> study analysis. One patient in the SOF + RBV 24 week group was hospitalised due to a generalised eczematous reaction but study treatment was not interrupted.</w:t>
      </w:r>
    </w:p>
    <w:p w:rsidR="000D4647" w:rsidRDefault="00EB2D4C" w:rsidP="00EB2D4C">
      <w:pPr>
        <w:pStyle w:val="Heading5"/>
      </w:pPr>
      <w:bookmarkStart w:id="131" w:name="_Toc272414684"/>
      <w:bookmarkStart w:id="132" w:name="_Toc290888548"/>
      <w:bookmarkStart w:id="133" w:name="_Toc458678747"/>
      <w:r w:rsidRPr="00744E14">
        <w:t>Cardiovascular safety</w:t>
      </w:r>
      <w:bookmarkEnd w:id="131"/>
      <w:bookmarkEnd w:id="132"/>
      <w:bookmarkEnd w:id="133"/>
    </w:p>
    <w:p w:rsidR="000D4647" w:rsidRDefault="00EB2D4C" w:rsidP="00EB2D4C">
      <w:r w:rsidRPr="00744E14">
        <w:t xml:space="preserve">No significant safety signals were detected in the </w:t>
      </w:r>
      <w:r>
        <w:t>Phase III</w:t>
      </w:r>
      <w:r w:rsidRPr="00744E14">
        <w:t xml:space="preserve"> program. In the integrated </w:t>
      </w:r>
      <w:r>
        <w:t>Phase III</w:t>
      </w:r>
      <w:r w:rsidRPr="00744E14">
        <w:t xml:space="preserve"> study analysis, one patient in the SOF/VEL 12 week group had a Grade 3 </w:t>
      </w:r>
      <w:r w:rsidR="00567626">
        <w:t>adverse event</w:t>
      </w:r>
      <w:r w:rsidR="00567626" w:rsidRPr="00744E14">
        <w:t xml:space="preserve"> </w:t>
      </w:r>
      <w:r w:rsidR="00567626">
        <w:t>(</w:t>
      </w:r>
      <w:r w:rsidRPr="00744E14">
        <w:t>AE</w:t>
      </w:r>
      <w:r w:rsidR="00567626">
        <w:t>)</w:t>
      </w:r>
      <w:r w:rsidRPr="00744E14">
        <w:t xml:space="preserve"> of ischaemic cardiomyopathy. The event resolved and it was considered unrelated to drug treatment. Bradycardia at the start of treatment has been observed in previous studies of </w:t>
      </w:r>
      <w:proofErr w:type="spellStart"/>
      <w:r w:rsidRPr="00744E14">
        <w:t>sofosbuvir</w:t>
      </w:r>
      <w:proofErr w:type="spellEnd"/>
      <w:r w:rsidRPr="00744E14">
        <w:t xml:space="preserve"> and other DAAs. In the integrated </w:t>
      </w:r>
      <w:r>
        <w:t>Phase III</w:t>
      </w:r>
      <w:r w:rsidRPr="00744E14">
        <w:t xml:space="preserve"> studies, 7.9% of patients had cardiac disease at baseline. However, similar percentages of patients using beta-blockers, calcium channel blockers, or neither treatment had cardiac AEs d</w:t>
      </w:r>
      <w:r w:rsidR="00AE4800">
        <w:t xml:space="preserve">uring treatment. Four treatment </w:t>
      </w:r>
      <w:r w:rsidRPr="00744E14">
        <w:t xml:space="preserve">emergent </w:t>
      </w:r>
      <w:r w:rsidR="00AE4800">
        <w:t>electrocardiogram</w:t>
      </w:r>
      <w:r w:rsidR="00AE4800" w:rsidRPr="00744E14">
        <w:t xml:space="preserve"> </w:t>
      </w:r>
      <w:r w:rsidR="00AE4800">
        <w:t>(</w:t>
      </w:r>
      <w:r w:rsidRPr="00744E14">
        <w:t>ECG</w:t>
      </w:r>
      <w:r w:rsidR="00AE4800">
        <w:t>)</w:t>
      </w:r>
      <w:r w:rsidRPr="00744E14">
        <w:t xml:space="preserve"> abnormalities events were noted, one case each of </w:t>
      </w:r>
      <w:proofErr w:type="spellStart"/>
      <w:r w:rsidRPr="00744E14">
        <w:t>QTc</w:t>
      </w:r>
      <w:proofErr w:type="spellEnd"/>
      <w:r w:rsidRPr="00744E14">
        <w:t xml:space="preserve"> prolongation, extra</w:t>
      </w:r>
      <w:r>
        <w:t>-</w:t>
      </w:r>
      <w:r w:rsidRPr="00744E14">
        <w:t xml:space="preserve">systoles, atrial fibrillation, and supraventricular tachycardia. Three events were in the SOF/VEL 12 week group and one was </w:t>
      </w:r>
      <w:r>
        <w:t>in the SOF + RBV 12 week group.</w:t>
      </w:r>
    </w:p>
    <w:p w:rsidR="000D4647" w:rsidRDefault="00605AD4" w:rsidP="00605AD4">
      <w:pPr>
        <w:pStyle w:val="Heading4"/>
      </w:pPr>
      <w:r w:rsidRPr="00605AD4">
        <w:t>Evaluator’s conclusions on safety</w:t>
      </w:r>
    </w:p>
    <w:p w:rsidR="000D4647" w:rsidRDefault="00EB2D4C" w:rsidP="00EB2D4C">
      <w:r w:rsidRPr="002C3ED3">
        <w:t xml:space="preserve">No specific safety concerns have been identified in the SOF/VEL development program. In the integrated safety analysis, the overall rates of AEs were comparable in patients given SOF/VEL for 12 weeks and in patients given placebo. The most commonly reported AEs in the SOF/VEL and placebo groups were headache (28.6% </w:t>
      </w:r>
      <w:r>
        <w:t>versus</w:t>
      </w:r>
      <w:r w:rsidRPr="002C3ED3">
        <w:t xml:space="preserve"> 28.4%), fatigue (21.0% </w:t>
      </w:r>
      <w:r>
        <w:t>versus</w:t>
      </w:r>
      <w:r w:rsidRPr="002C3ED3">
        <w:t xml:space="preserve"> 19.8%), nausea (13.0% </w:t>
      </w:r>
      <w:r>
        <w:t>versus</w:t>
      </w:r>
      <w:r w:rsidRPr="002C3ED3">
        <w:t xml:space="preserve"> 11.2%) and </w:t>
      </w:r>
      <w:proofErr w:type="spellStart"/>
      <w:r w:rsidRPr="002C3ED3">
        <w:t>nasopharyngitis</w:t>
      </w:r>
      <w:proofErr w:type="spellEnd"/>
      <w:r w:rsidRPr="002C3ED3">
        <w:t xml:space="preserve"> (11.7% </w:t>
      </w:r>
      <w:r>
        <w:t>versus</w:t>
      </w:r>
      <w:r w:rsidRPr="002C3ED3">
        <w:t xml:space="preserve"> 10.3%). Most AEs were mild to moderate in severity and the pattern of AEs was similar in all subgroups, irrespective of gender, race, age, and other factors. In the SOF/VEL group, Grade 3 AEs were reported in 3% of patients, most commonly headache and anxiety, with only 0.7% considered drug related. Only two Grade 4 AEs were reported in the SOF/VEL group and neither was considered drug related. In patients treated with SOF/VEL, </w:t>
      </w:r>
      <w:r w:rsidR="0091489D">
        <w:t>serious adverse events</w:t>
      </w:r>
      <w:r w:rsidR="0091489D" w:rsidRPr="002C3ED3">
        <w:t xml:space="preserve"> </w:t>
      </w:r>
      <w:r w:rsidR="0091489D">
        <w:t>(</w:t>
      </w:r>
      <w:r w:rsidRPr="002C3ED3">
        <w:t>SAEs</w:t>
      </w:r>
      <w:r w:rsidR="0091489D">
        <w:t>)</w:t>
      </w:r>
      <w:r w:rsidRPr="002C3ED3">
        <w:t xml:space="preserve"> were reported in 2.2% of patients. Only three deaths were reported, each occurring </w:t>
      </w:r>
      <w:r>
        <w:t>post treatment</w:t>
      </w:r>
      <w:r w:rsidRPr="002C3ED3">
        <w:t xml:space="preserve"> and </w:t>
      </w:r>
      <w:r>
        <w:t xml:space="preserve">were </w:t>
      </w:r>
      <w:r w:rsidRPr="002C3ED3">
        <w:t>considered unrelated to drug treatment. Laboratory abnormalities were reported less frequently in the SOF/VEL group compared with placebo. Grade 3 AEs were reported in 6.5% and 10.3% of the respective groups, and Grade 4 AEs were reported in 1.0% and 1.7% of the respective groups. Five patients had Grade 4 lipase elevations in the SOF/VEL group but all were asymptomatic and transient.</w:t>
      </w:r>
    </w:p>
    <w:p w:rsidR="000D4647" w:rsidRDefault="00EB2D4C" w:rsidP="00605AD4">
      <w:r w:rsidRPr="002C3ED3">
        <w:t>AEs of special interest were identified based on historical treatment regimens including regimens containing RBV, Peg</w:t>
      </w:r>
      <w:r w:rsidR="00630FB6">
        <w:t>-</w:t>
      </w:r>
      <w:r w:rsidRPr="002C3ED3">
        <w:t xml:space="preserve">IFN, and other DAAs. These included serious skin rash, </w:t>
      </w:r>
      <w:proofErr w:type="spellStart"/>
      <w:r w:rsidRPr="002C3ED3">
        <w:t>pancytopaenia</w:t>
      </w:r>
      <w:proofErr w:type="spellEnd"/>
      <w:r w:rsidRPr="002C3ED3">
        <w:t>, depression and other psychiatric events, pancreatitis, rhabdomyolysis and renal failure. In addition, bradycardia has been observed with DAAs following initiation of treatment. However, with the exception of a single AE of depression, no events of special interest were observed. As would be expected, AEs occurred more commonly in the SOF + RBV compared with the SOF/VEL and placebo groups</w:t>
      </w:r>
      <w:r>
        <w:t>.</w:t>
      </w:r>
    </w:p>
    <w:p w:rsidR="000D4647" w:rsidRDefault="00605AD4" w:rsidP="00605AD4">
      <w:pPr>
        <w:pStyle w:val="Heading3"/>
        <w:rPr>
          <w:rFonts w:eastAsia="Cambria"/>
        </w:rPr>
      </w:pPr>
      <w:bookmarkStart w:id="134" w:name="_Toc498681450"/>
      <w:r w:rsidRPr="00605AD4">
        <w:rPr>
          <w:rFonts w:eastAsia="Cambria"/>
        </w:rPr>
        <w:lastRenderedPageBreak/>
        <w:t>First Round Benefit-Risk Assessment</w:t>
      </w:r>
      <w:bookmarkEnd w:id="134"/>
    </w:p>
    <w:p w:rsidR="000D4647" w:rsidRDefault="00605AD4" w:rsidP="00605AD4">
      <w:pPr>
        <w:pStyle w:val="Heading4"/>
      </w:pPr>
      <w:r w:rsidRPr="00605AD4">
        <w:t>First round assessment of benefits</w:t>
      </w:r>
    </w:p>
    <w:p w:rsidR="000D4647" w:rsidRDefault="00EB2D4C" w:rsidP="00EB2D4C">
      <w:r w:rsidRPr="002C3ED3">
        <w:t>The benefits of SOF/VEL in the proposed usage are:</w:t>
      </w:r>
    </w:p>
    <w:p w:rsidR="000D4647" w:rsidRDefault="00EB2D4C" w:rsidP="00EB2D4C">
      <w:pPr>
        <w:pStyle w:val="ListBullet"/>
      </w:pPr>
      <w:r w:rsidRPr="00EB2D4C">
        <w:t>Very high efficacy rates in non-cirrhotic patients of all HCV genotypes</w:t>
      </w:r>
    </w:p>
    <w:p w:rsidR="000D4647" w:rsidRDefault="00EB2D4C" w:rsidP="00EB2D4C">
      <w:pPr>
        <w:pStyle w:val="ListBullet"/>
      </w:pPr>
      <w:r w:rsidRPr="00EB2D4C">
        <w:t>Effective in patients with compensated or decompensated cirrhosis</w:t>
      </w:r>
    </w:p>
    <w:p w:rsidR="000D4647" w:rsidRDefault="00EB2D4C" w:rsidP="00EB2D4C">
      <w:pPr>
        <w:pStyle w:val="ListBullet"/>
      </w:pPr>
      <w:r w:rsidRPr="00EB2D4C">
        <w:t>Effective in all patients, irrespective of age, gender, race, BMI, and hepatic function</w:t>
      </w:r>
    </w:p>
    <w:p w:rsidR="000D4647" w:rsidRDefault="00EB2D4C" w:rsidP="00EB2D4C">
      <w:pPr>
        <w:pStyle w:val="ListBullet"/>
      </w:pPr>
      <w:r w:rsidRPr="00EB2D4C">
        <w:t>Improves underlying hepatic dysfunction</w:t>
      </w:r>
    </w:p>
    <w:p w:rsidR="000D4647" w:rsidRDefault="00EB2D4C" w:rsidP="00EB2D4C">
      <w:pPr>
        <w:pStyle w:val="ListBullet"/>
      </w:pPr>
      <w:r w:rsidRPr="00EB2D4C">
        <w:t>Simple, once daily treatment regimen</w:t>
      </w:r>
    </w:p>
    <w:p w:rsidR="000D4647" w:rsidRDefault="00EB2D4C" w:rsidP="00EB2D4C">
      <w:pPr>
        <w:pStyle w:val="ListBullet"/>
      </w:pPr>
      <w:r w:rsidRPr="00EB2D4C">
        <w:t>Well tolerated with an adverse event profile comparable to placebo</w:t>
      </w:r>
    </w:p>
    <w:p w:rsidR="000D4647" w:rsidRDefault="00EB2D4C" w:rsidP="00EB2D4C">
      <w:pPr>
        <w:pStyle w:val="ListBullet"/>
      </w:pPr>
      <w:r w:rsidRPr="00EB2D4C">
        <w:t xml:space="preserve">The safety profile of </w:t>
      </w:r>
      <w:proofErr w:type="spellStart"/>
      <w:r w:rsidRPr="00EB2D4C">
        <w:t>sofosbuvir</w:t>
      </w:r>
      <w:proofErr w:type="spellEnd"/>
      <w:r w:rsidRPr="00EB2D4C">
        <w:t xml:space="preserve"> is well established</w:t>
      </w:r>
    </w:p>
    <w:p w:rsidR="000D4647" w:rsidRDefault="00EB2D4C" w:rsidP="00EB2D4C">
      <w:pPr>
        <w:pStyle w:val="ListBullet"/>
      </w:pPr>
      <w:r w:rsidRPr="00EB2D4C">
        <w:t>Potential use in patients before or after liver transplantation</w:t>
      </w:r>
    </w:p>
    <w:p w:rsidR="000D4647" w:rsidRDefault="00EB2D4C" w:rsidP="00EB2D4C">
      <w:pPr>
        <w:pStyle w:val="ListBullet"/>
      </w:pPr>
      <w:r w:rsidRPr="00EB2D4C">
        <w:t xml:space="preserve">While a controlled clinical trial cannot be conducted, SOF/VEL will inevitably reduce the incidence of cirrhosis, </w:t>
      </w:r>
      <w:r w:rsidR="00721A33">
        <w:t>hepatocellular carcinoma</w:t>
      </w:r>
      <w:r w:rsidR="00721A33" w:rsidRPr="00EB2D4C">
        <w:t xml:space="preserve"> </w:t>
      </w:r>
      <w:r w:rsidR="00721A33">
        <w:t>(</w:t>
      </w:r>
      <w:r w:rsidRPr="00EB2D4C">
        <w:t>HCC</w:t>
      </w:r>
      <w:r w:rsidR="00721A33">
        <w:t>)</w:t>
      </w:r>
      <w:r w:rsidRPr="00EB2D4C">
        <w:t xml:space="preserve"> and liver-related deaths in patients with chronic HCV who achieve SVR12.</w:t>
      </w:r>
    </w:p>
    <w:p w:rsidR="000D4647" w:rsidRDefault="00605AD4" w:rsidP="00605AD4">
      <w:pPr>
        <w:pStyle w:val="Heading4"/>
      </w:pPr>
      <w:r w:rsidRPr="00605AD4">
        <w:t>First round assessment of risks</w:t>
      </w:r>
    </w:p>
    <w:p w:rsidR="000D4647" w:rsidRDefault="00EB2D4C" w:rsidP="00EB2D4C">
      <w:r w:rsidRPr="002C3ED3">
        <w:t>The risks of SOF/VEL in the proposed usage are:</w:t>
      </w:r>
    </w:p>
    <w:p w:rsidR="000D4647" w:rsidRDefault="00EB2D4C" w:rsidP="00EB2D4C">
      <w:pPr>
        <w:pStyle w:val="ListBullet"/>
      </w:pPr>
      <w:r w:rsidRPr="00EB2D4C">
        <w:t xml:space="preserve">No specific safety signals have been identified but uncommon ADRs relating to </w:t>
      </w:r>
      <w:proofErr w:type="spellStart"/>
      <w:r w:rsidRPr="00EB2D4C">
        <w:t>velpatasvir</w:t>
      </w:r>
      <w:proofErr w:type="spellEnd"/>
      <w:r w:rsidRPr="00EB2D4C">
        <w:t xml:space="preserve"> may emerge</w:t>
      </w:r>
    </w:p>
    <w:p w:rsidR="000D4647" w:rsidRDefault="00EB2D4C" w:rsidP="00EB2D4C">
      <w:pPr>
        <w:pStyle w:val="ListBullet"/>
      </w:pPr>
      <w:r w:rsidRPr="00EB2D4C">
        <w:t>SOF/VEL has not been studied in patients with severe renal impairment or in patients with HCV/HIV co-infection</w:t>
      </w:r>
    </w:p>
    <w:p w:rsidR="000D4647" w:rsidRDefault="00EB2D4C" w:rsidP="00EB2D4C">
      <w:pPr>
        <w:pStyle w:val="ListBullet"/>
      </w:pPr>
      <w:r w:rsidRPr="00EB2D4C">
        <w:t>Unidentified drug-drug interactions may emerge</w:t>
      </w:r>
    </w:p>
    <w:p w:rsidR="000D4647" w:rsidRDefault="00EB2D4C" w:rsidP="00EB2D4C">
      <w:pPr>
        <w:pStyle w:val="ListBullet"/>
      </w:pPr>
      <w:r w:rsidRPr="00EB2D4C">
        <w:t>Treatment emergent viral resistance in a very small percentage of patients.</w:t>
      </w:r>
    </w:p>
    <w:p w:rsidR="000D4647" w:rsidRDefault="00605AD4" w:rsidP="00605AD4">
      <w:pPr>
        <w:pStyle w:val="Heading4"/>
      </w:pPr>
      <w:r w:rsidRPr="00605AD4">
        <w:t>First round assessment of benefit-risk balance</w:t>
      </w:r>
    </w:p>
    <w:p w:rsidR="000D4647" w:rsidRDefault="00EB2D4C" w:rsidP="00EB2D4C">
      <w:r w:rsidRPr="002C3ED3">
        <w:t>The benefit-risk balance of SOF/VEL, given the proposed usage, is favourable.</w:t>
      </w:r>
    </w:p>
    <w:p w:rsidR="000D4647" w:rsidRDefault="00EB2D4C" w:rsidP="00EB2D4C">
      <w:r w:rsidRPr="002C3ED3">
        <w:t>SOF/VEL given for 12 weeks provide</w:t>
      </w:r>
      <w:r>
        <w:t xml:space="preserve">s outstanding SVR12 rates of 90 to </w:t>
      </w:r>
      <w:r w:rsidRPr="002C3ED3">
        <w:t xml:space="preserve">100% in HCV patients with or without cirrhosis, irrespective of genotype and prior treatment experience. </w:t>
      </w:r>
      <w:proofErr w:type="spellStart"/>
      <w:r w:rsidRPr="002C3ED3">
        <w:t>Virologic</w:t>
      </w:r>
      <w:proofErr w:type="spellEnd"/>
      <w:r w:rsidRPr="002C3ED3">
        <w:t xml:space="preserve"> failure (mainly relapse) is uncommon and reported mostly in patients with GT3 infection. SOF/VEL is given as a simple once daily dose and it obviates the need for potentially toxic RBV, Peg</w:t>
      </w:r>
      <w:r w:rsidR="00630FB6">
        <w:t>-</w:t>
      </w:r>
      <w:r w:rsidRPr="002C3ED3">
        <w:t xml:space="preserve">IFN, or other DAA therapies. SOF/VEL with RBV is also extremely effective in patients with decompensated cirrhosis. In this vulnerable population, high SVR12 rates are associated with improved liver function in a significant proportion of patients. It is effective in all subgroups irrespective of age, gender, and race, including those with impaired hepatic function. SOF/VEL is well tolerated and no specific ADRs have been identified. The safety profile of </w:t>
      </w:r>
      <w:proofErr w:type="spellStart"/>
      <w:r w:rsidRPr="002C3ED3">
        <w:t>sofosbuvir</w:t>
      </w:r>
      <w:proofErr w:type="spellEnd"/>
      <w:r w:rsidRPr="002C3ED3">
        <w:t xml:space="preserve"> is well established but uncommon ADRs to </w:t>
      </w:r>
      <w:proofErr w:type="spellStart"/>
      <w:r w:rsidRPr="002C3ED3">
        <w:t>velpatasvir</w:t>
      </w:r>
      <w:proofErr w:type="spellEnd"/>
      <w:r w:rsidRPr="002C3ED3">
        <w:t xml:space="preserve"> may emerge</w:t>
      </w:r>
      <w:r>
        <w:t>.</w:t>
      </w:r>
    </w:p>
    <w:p w:rsidR="000D4647" w:rsidRDefault="00605AD4" w:rsidP="00605AD4">
      <w:pPr>
        <w:pStyle w:val="Heading3"/>
        <w:rPr>
          <w:rFonts w:eastAsia="Cambria"/>
        </w:rPr>
      </w:pPr>
      <w:bookmarkStart w:id="135" w:name="_Toc498681451"/>
      <w:r w:rsidRPr="00605AD4">
        <w:rPr>
          <w:rFonts w:eastAsia="Cambria"/>
        </w:rPr>
        <w:t>First Round Recommendation Regarding Authorisation</w:t>
      </w:r>
      <w:bookmarkEnd w:id="135"/>
    </w:p>
    <w:p w:rsidR="000D4647" w:rsidRDefault="00EB2D4C" w:rsidP="00EB2D4C">
      <w:r w:rsidRPr="002C3ED3">
        <w:t>Authorisation is recommended for the proposed indication:</w:t>
      </w:r>
    </w:p>
    <w:p w:rsidR="000D4647" w:rsidRDefault="00EB2D4C" w:rsidP="00EB2D4C">
      <w:pPr>
        <w:ind w:left="567"/>
        <w:rPr>
          <w:i/>
        </w:rPr>
      </w:pPr>
      <w:r w:rsidRPr="002C3ED3">
        <w:rPr>
          <w:i/>
        </w:rPr>
        <w:lastRenderedPageBreak/>
        <w:t>“</w:t>
      </w:r>
      <w:proofErr w:type="spellStart"/>
      <w:r>
        <w:rPr>
          <w:i/>
        </w:rPr>
        <w:t>Epclusa</w:t>
      </w:r>
      <w:proofErr w:type="spellEnd"/>
      <w:r w:rsidRPr="002C3ED3">
        <w:rPr>
          <w:i/>
        </w:rPr>
        <w:t xml:space="preserve"> (</w:t>
      </w:r>
      <w:proofErr w:type="spellStart"/>
      <w:r w:rsidRPr="002C3ED3">
        <w:rPr>
          <w:i/>
        </w:rPr>
        <w:t>sofosbuvir</w:t>
      </w:r>
      <w:proofErr w:type="spellEnd"/>
      <w:r w:rsidRPr="002C3ED3">
        <w:rPr>
          <w:i/>
        </w:rPr>
        <w:t>/</w:t>
      </w:r>
      <w:proofErr w:type="spellStart"/>
      <w:r w:rsidRPr="002C3ED3">
        <w:rPr>
          <w:i/>
        </w:rPr>
        <w:t>velpatasvir</w:t>
      </w:r>
      <w:proofErr w:type="spellEnd"/>
      <w:r w:rsidRPr="002C3ED3">
        <w:rPr>
          <w:i/>
        </w:rPr>
        <w:t xml:space="preserve"> fixed dose combination) is indicated for the treatment of chronic hepatitis C vi</w:t>
      </w:r>
      <w:r>
        <w:rPr>
          <w:i/>
        </w:rPr>
        <w:t>rus (HCV) infection in adults”.</w:t>
      </w:r>
    </w:p>
    <w:p w:rsidR="000D4647" w:rsidRDefault="00605AD4" w:rsidP="00605AD4">
      <w:pPr>
        <w:pStyle w:val="Heading3"/>
        <w:rPr>
          <w:rFonts w:eastAsia="Cambria"/>
        </w:rPr>
      </w:pPr>
      <w:bookmarkStart w:id="136" w:name="_Toc498681452"/>
      <w:r w:rsidRPr="00605AD4">
        <w:rPr>
          <w:rFonts w:eastAsia="Cambria"/>
        </w:rPr>
        <w:t>Clinical Questions</w:t>
      </w:r>
      <w:r w:rsidR="00EB2D4C">
        <w:rPr>
          <w:rFonts w:eastAsia="Cambria"/>
        </w:rPr>
        <w:t xml:space="preserve"> and </w:t>
      </w:r>
      <w:r w:rsidRPr="00605AD4">
        <w:rPr>
          <w:rFonts w:eastAsia="Cambria"/>
        </w:rPr>
        <w:t>Second Round Evaluation of clinical data submitted in response to questions</w:t>
      </w:r>
      <w:bookmarkEnd w:id="136"/>
    </w:p>
    <w:p w:rsidR="000D4647" w:rsidRDefault="006136D7" w:rsidP="006136D7">
      <w:r>
        <w:t xml:space="preserve">For details of the </w:t>
      </w:r>
      <w:r w:rsidR="00EB2D4C">
        <w:t xml:space="preserve">clinical questions raised, </w:t>
      </w:r>
      <w:r>
        <w:t>sponsor’s responses and the evaluation of these responses please see Attachment 2.</w:t>
      </w:r>
    </w:p>
    <w:p w:rsidR="000D4647" w:rsidRDefault="00605AD4" w:rsidP="00546154">
      <w:pPr>
        <w:pStyle w:val="Heading3"/>
        <w:rPr>
          <w:rFonts w:eastAsia="Cambria"/>
        </w:rPr>
      </w:pPr>
      <w:bookmarkStart w:id="137" w:name="_Toc498681453"/>
      <w:r w:rsidRPr="00605AD4">
        <w:rPr>
          <w:rFonts w:eastAsia="Cambria"/>
        </w:rPr>
        <w:t>Second Round Benefit-Risk Assessment</w:t>
      </w:r>
      <w:bookmarkEnd w:id="137"/>
    </w:p>
    <w:p w:rsidR="000D4647" w:rsidRDefault="00EB2D4C" w:rsidP="00EB2D4C">
      <w:r w:rsidRPr="00AB2712">
        <w:t>No change to the first round assessment.</w:t>
      </w:r>
    </w:p>
    <w:p w:rsidR="000D4647" w:rsidRDefault="008E7846" w:rsidP="00546154">
      <w:pPr>
        <w:pStyle w:val="Heading2"/>
      </w:pPr>
      <w:bookmarkStart w:id="138" w:name="_Toc498681454"/>
      <w:r w:rsidRPr="00E41208">
        <w:t xml:space="preserve">V. Pharmacovigilance </w:t>
      </w:r>
      <w:r>
        <w:t>f</w:t>
      </w:r>
      <w:r w:rsidRPr="00E41208">
        <w:t>indings</w:t>
      </w:r>
      <w:bookmarkEnd w:id="121"/>
      <w:bookmarkEnd w:id="122"/>
      <w:bookmarkEnd w:id="138"/>
    </w:p>
    <w:p w:rsidR="000D4647" w:rsidRDefault="00386150" w:rsidP="008E7846">
      <w:pPr>
        <w:pStyle w:val="Heading3"/>
        <w:rPr>
          <w:lang w:eastAsia="en-AU"/>
        </w:rPr>
      </w:pPr>
      <w:bookmarkStart w:id="139" w:name="_Toc247691526"/>
      <w:bookmarkStart w:id="140" w:name="_Toc314842509"/>
      <w:bookmarkStart w:id="141" w:name="_Toc498681455"/>
      <w:r>
        <w:rPr>
          <w:lang w:eastAsia="en-AU"/>
        </w:rPr>
        <w:t>Risk m</w:t>
      </w:r>
      <w:r w:rsidR="008E7846">
        <w:rPr>
          <w:lang w:eastAsia="en-AU"/>
        </w:rPr>
        <w:t xml:space="preserve">anagement </w:t>
      </w:r>
      <w:r>
        <w:rPr>
          <w:lang w:eastAsia="en-AU"/>
        </w:rPr>
        <w:t>p</w:t>
      </w:r>
      <w:r w:rsidR="008E7846">
        <w:rPr>
          <w:lang w:eastAsia="en-AU"/>
        </w:rPr>
        <w:t>lan</w:t>
      </w:r>
      <w:bookmarkEnd w:id="139"/>
      <w:bookmarkEnd w:id="140"/>
      <w:bookmarkEnd w:id="141"/>
    </w:p>
    <w:p w:rsidR="000D4647" w:rsidRDefault="001E489F" w:rsidP="001E489F">
      <w:r w:rsidRPr="001E489F">
        <w:t>Gilead Sciences International Ltd has submitted EU-RMP version 0.1 (11 November 2015; DLP 26 August 2015) and ASA version 0.1 (December 2015) in support of this application.</w:t>
      </w:r>
      <w:r w:rsidR="00F044A6">
        <w:t xml:space="preserve"> </w:t>
      </w:r>
      <w:r w:rsidRPr="001E489F">
        <w:t xml:space="preserve">In response to the round 1 RMP evaluation, the </w:t>
      </w:r>
      <w:r w:rsidR="00C77715">
        <w:t>sponsor</w:t>
      </w:r>
      <w:r w:rsidRPr="001E489F">
        <w:t xml:space="preserve"> submitted revised versions of the EU RMP (version 0.2, date 21 April 2016, DLP 26 August 2015) and the ASA (version 0.2, date July 2016), which addressed the recommendation of the RMP Evaluator.</w:t>
      </w:r>
    </w:p>
    <w:p w:rsidR="000D4647" w:rsidRDefault="001E489F" w:rsidP="005F29E7">
      <w:r w:rsidRPr="001E489F">
        <w:t>The proposed Summary of Safety Concerns and their associated risk monitoring and mitigation strategies are summarised below</w:t>
      </w:r>
      <w:r w:rsidR="005F29E7">
        <w:t xml:space="preserve"> </w:t>
      </w:r>
      <w:r w:rsidR="005F29E7" w:rsidRPr="00756A4F">
        <w:t xml:space="preserve">in </w:t>
      </w:r>
      <w:r w:rsidR="00756A4F" w:rsidRPr="00756A4F">
        <w:t>Table 9</w:t>
      </w:r>
      <w:r w:rsidR="00756A4F">
        <w:t>.</w:t>
      </w:r>
    </w:p>
    <w:p w:rsidR="00EF0B4A" w:rsidRDefault="00756A4F" w:rsidP="00A82FA1">
      <w:pPr>
        <w:pStyle w:val="TableTitle"/>
      </w:pPr>
      <w:r w:rsidRPr="00756A4F">
        <w:t>Table 9</w:t>
      </w:r>
      <w:r w:rsidR="00EF0B4A" w:rsidRPr="00756A4F">
        <w:t>: Proposed summary of safety concerns and risk minimisation strategies</w:t>
      </w:r>
    </w:p>
    <w:tbl>
      <w:tblPr>
        <w:tblStyle w:val="TableTGAblue"/>
        <w:tblW w:w="8627" w:type="dxa"/>
        <w:tblLayout w:type="fixed"/>
        <w:tblLook w:val="04A0" w:firstRow="1" w:lastRow="0" w:firstColumn="1" w:lastColumn="0" w:noHBand="0" w:noVBand="1"/>
        <w:tblDescription w:val="Table 9: Proposed summary of safety concerns and risk minimisation strategies"/>
      </w:tblPr>
      <w:tblGrid>
        <w:gridCol w:w="1371"/>
        <w:gridCol w:w="2668"/>
        <w:gridCol w:w="1124"/>
        <w:gridCol w:w="1264"/>
        <w:gridCol w:w="983"/>
        <w:gridCol w:w="1217"/>
      </w:tblGrid>
      <w:tr w:rsidR="00EF0B4A" w:rsidRPr="005F29E7" w:rsidTr="00823FF5">
        <w:trPr>
          <w:cnfStyle w:val="100000000000" w:firstRow="1" w:lastRow="0" w:firstColumn="0" w:lastColumn="0" w:oddVBand="0" w:evenVBand="0" w:oddHBand="0" w:evenHBand="0" w:firstRowFirstColumn="0" w:firstRowLastColumn="0" w:lastRowFirstColumn="0" w:lastRowLastColumn="0"/>
          <w:trHeight w:val="124"/>
        </w:trPr>
        <w:tc>
          <w:tcPr>
            <w:tcW w:w="4039" w:type="dxa"/>
            <w:gridSpan w:val="2"/>
            <w:vMerge w:val="restart"/>
          </w:tcPr>
          <w:p w:rsidR="005F29E7" w:rsidRPr="005F29E7" w:rsidRDefault="005F29E7" w:rsidP="005F29E7">
            <w:pPr>
              <w:ind w:left="0" w:right="0"/>
              <w:rPr>
                <w:sz w:val="20"/>
                <w:szCs w:val="20"/>
              </w:rPr>
            </w:pPr>
            <w:r w:rsidRPr="005F29E7">
              <w:rPr>
                <w:sz w:val="20"/>
                <w:szCs w:val="20"/>
              </w:rPr>
              <w:t>Summary of safety concerns</w:t>
            </w:r>
          </w:p>
        </w:tc>
        <w:tc>
          <w:tcPr>
            <w:tcW w:w="2388" w:type="dxa"/>
            <w:gridSpan w:val="2"/>
          </w:tcPr>
          <w:p w:rsidR="005F29E7" w:rsidRPr="005F29E7" w:rsidRDefault="005F29E7" w:rsidP="005F29E7">
            <w:pPr>
              <w:ind w:left="0" w:right="0"/>
              <w:rPr>
                <w:sz w:val="20"/>
                <w:szCs w:val="20"/>
              </w:rPr>
            </w:pPr>
            <w:r w:rsidRPr="005F29E7">
              <w:rPr>
                <w:sz w:val="20"/>
                <w:szCs w:val="20"/>
              </w:rPr>
              <w:t>Pharmacovigilance</w:t>
            </w:r>
          </w:p>
        </w:tc>
        <w:tc>
          <w:tcPr>
            <w:tcW w:w="2200" w:type="dxa"/>
            <w:gridSpan w:val="2"/>
          </w:tcPr>
          <w:p w:rsidR="005F29E7" w:rsidRPr="005F29E7" w:rsidRDefault="005F29E7" w:rsidP="005F29E7">
            <w:pPr>
              <w:ind w:left="0" w:right="0"/>
              <w:rPr>
                <w:sz w:val="20"/>
                <w:szCs w:val="20"/>
              </w:rPr>
            </w:pPr>
            <w:r w:rsidRPr="005F29E7">
              <w:rPr>
                <w:sz w:val="20"/>
                <w:szCs w:val="20"/>
              </w:rPr>
              <w:t>Risk Minimisation</w:t>
            </w:r>
          </w:p>
        </w:tc>
      </w:tr>
      <w:tr w:rsidR="00EF0B4A" w:rsidRPr="005F29E7" w:rsidTr="00823FF5">
        <w:trPr>
          <w:trHeight w:val="142"/>
        </w:trPr>
        <w:tc>
          <w:tcPr>
            <w:tcW w:w="4039" w:type="dxa"/>
            <w:gridSpan w:val="2"/>
            <w:vMerge/>
          </w:tcPr>
          <w:p w:rsidR="005F29E7" w:rsidRPr="005F29E7" w:rsidRDefault="005F29E7" w:rsidP="005F29E7">
            <w:pPr>
              <w:ind w:left="0" w:right="0"/>
              <w:rPr>
                <w:sz w:val="20"/>
                <w:szCs w:val="20"/>
              </w:rPr>
            </w:pPr>
          </w:p>
        </w:tc>
        <w:tc>
          <w:tcPr>
            <w:tcW w:w="1124" w:type="dxa"/>
          </w:tcPr>
          <w:p w:rsidR="005F29E7" w:rsidRPr="005F29E7" w:rsidRDefault="005F29E7" w:rsidP="005F29E7">
            <w:pPr>
              <w:ind w:left="0" w:right="0"/>
              <w:rPr>
                <w:sz w:val="20"/>
                <w:szCs w:val="20"/>
              </w:rPr>
            </w:pPr>
            <w:r w:rsidRPr="005F29E7">
              <w:rPr>
                <w:sz w:val="20"/>
                <w:szCs w:val="20"/>
              </w:rPr>
              <w:t>Routine</w:t>
            </w:r>
          </w:p>
        </w:tc>
        <w:tc>
          <w:tcPr>
            <w:tcW w:w="1264" w:type="dxa"/>
          </w:tcPr>
          <w:p w:rsidR="005F29E7" w:rsidRPr="005F29E7" w:rsidRDefault="005F29E7" w:rsidP="005F29E7">
            <w:pPr>
              <w:ind w:left="0" w:right="0"/>
              <w:rPr>
                <w:sz w:val="20"/>
                <w:szCs w:val="20"/>
              </w:rPr>
            </w:pPr>
            <w:r w:rsidRPr="005F29E7">
              <w:rPr>
                <w:sz w:val="20"/>
                <w:szCs w:val="20"/>
              </w:rPr>
              <w:t>Additional</w:t>
            </w:r>
          </w:p>
        </w:tc>
        <w:tc>
          <w:tcPr>
            <w:tcW w:w="983" w:type="dxa"/>
          </w:tcPr>
          <w:p w:rsidR="005F29E7" w:rsidRPr="005F29E7" w:rsidRDefault="005F29E7" w:rsidP="005F29E7">
            <w:pPr>
              <w:ind w:left="0" w:right="0"/>
              <w:rPr>
                <w:sz w:val="20"/>
                <w:szCs w:val="20"/>
              </w:rPr>
            </w:pPr>
            <w:r w:rsidRPr="005F29E7">
              <w:rPr>
                <w:sz w:val="20"/>
                <w:szCs w:val="20"/>
              </w:rPr>
              <w:t>Routine</w:t>
            </w:r>
          </w:p>
        </w:tc>
        <w:tc>
          <w:tcPr>
            <w:tcW w:w="1217" w:type="dxa"/>
          </w:tcPr>
          <w:p w:rsidR="005F29E7" w:rsidRPr="005F29E7" w:rsidRDefault="005F29E7" w:rsidP="005F29E7">
            <w:pPr>
              <w:ind w:left="0" w:right="0"/>
              <w:rPr>
                <w:sz w:val="20"/>
                <w:szCs w:val="20"/>
              </w:rPr>
            </w:pPr>
            <w:r w:rsidRPr="005F29E7">
              <w:rPr>
                <w:sz w:val="20"/>
                <w:szCs w:val="20"/>
              </w:rPr>
              <w:t>Additional</w:t>
            </w:r>
          </w:p>
        </w:tc>
      </w:tr>
      <w:tr w:rsidR="00EF0B4A" w:rsidRPr="005F29E7" w:rsidTr="000D4647">
        <w:trPr>
          <w:trHeight w:val="130"/>
        </w:trPr>
        <w:tc>
          <w:tcPr>
            <w:tcW w:w="1371" w:type="dxa"/>
          </w:tcPr>
          <w:p w:rsidR="005F29E7" w:rsidRPr="005F29E7" w:rsidRDefault="005F29E7" w:rsidP="005F29E7">
            <w:pPr>
              <w:ind w:left="0" w:right="0"/>
              <w:rPr>
                <w:sz w:val="20"/>
                <w:szCs w:val="20"/>
              </w:rPr>
            </w:pPr>
            <w:r w:rsidRPr="005F29E7">
              <w:rPr>
                <w:sz w:val="20"/>
                <w:szCs w:val="20"/>
              </w:rPr>
              <w:t>Important identified risks</w:t>
            </w:r>
          </w:p>
        </w:tc>
        <w:tc>
          <w:tcPr>
            <w:tcW w:w="2668" w:type="dxa"/>
          </w:tcPr>
          <w:p w:rsidR="005F29E7" w:rsidRPr="005F29E7" w:rsidRDefault="005F29E7" w:rsidP="005F29E7">
            <w:pPr>
              <w:ind w:left="0" w:right="0"/>
              <w:rPr>
                <w:sz w:val="20"/>
                <w:szCs w:val="20"/>
              </w:rPr>
            </w:pPr>
            <w:r w:rsidRPr="005F29E7">
              <w:rPr>
                <w:sz w:val="20"/>
                <w:szCs w:val="20"/>
              </w:rPr>
              <w:t>Severe bradycardia and heart block when used with concomitant amiodarone1</w:t>
            </w:r>
          </w:p>
        </w:tc>
        <w:tc>
          <w:tcPr>
            <w:tcW w:w="1124"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64" w:type="dxa"/>
          </w:tcPr>
          <w:p w:rsidR="005F29E7" w:rsidRPr="005F29E7" w:rsidRDefault="005F29E7" w:rsidP="000D4647">
            <w:pPr>
              <w:ind w:left="0" w:right="0"/>
              <w:jc w:val="center"/>
              <w:rPr>
                <w:sz w:val="20"/>
                <w:szCs w:val="20"/>
              </w:rPr>
            </w:pPr>
            <w:r w:rsidRPr="005F29E7">
              <w:rPr>
                <w:sz w:val="20"/>
                <w:szCs w:val="20"/>
              </w:rPr>
              <w:sym w:font="Wingdings" w:char="F0FC"/>
            </w:r>
          </w:p>
        </w:tc>
        <w:tc>
          <w:tcPr>
            <w:tcW w:w="983"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17" w:type="dxa"/>
          </w:tcPr>
          <w:p w:rsidR="005F29E7" w:rsidRPr="005F29E7" w:rsidRDefault="005F29E7" w:rsidP="000D4647">
            <w:pPr>
              <w:ind w:left="0" w:right="0"/>
              <w:jc w:val="center"/>
              <w:rPr>
                <w:sz w:val="20"/>
                <w:szCs w:val="20"/>
              </w:rPr>
            </w:pPr>
            <w:r w:rsidRPr="005F29E7">
              <w:rPr>
                <w:sz w:val="20"/>
                <w:szCs w:val="20"/>
              </w:rPr>
              <w:t>–</w:t>
            </w:r>
          </w:p>
        </w:tc>
      </w:tr>
      <w:tr w:rsidR="00EF0B4A" w:rsidRPr="005F29E7" w:rsidTr="000D4647">
        <w:trPr>
          <w:trHeight w:val="116"/>
        </w:trPr>
        <w:tc>
          <w:tcPr>
            <w:tcW w:w="1371" w:type="dxa"/>
            <w:vMerge w:val="restart"/>
          </w:tcPr>
          <w:p w:rsidR="005F29E7" w:rsidRPr="005F29E7" w:rsidRDefault="005F29E7" w:rsidP="005F29E7">
            <w:pPr>
              <w:ind w:left="0" w:right="0"/>
              <w:rPr>
                <w:sz w:val="20"/>
                <w:szCs w:val="20"/>
              </w:rPr>
            </w:pPr>
            <w:r w:rsidRPr="005F29E7">
              <w:rPr>
                <w:sz w:val="20"/>
                <w:szCs w:val="20"/>
              </w:rPr>
              <w:t>Important potential risks</w:t>
            </w:r>
          </w:p>
        </w:tc>
        <w:tc>
          <w:tcPr>
            <w:tcW w:w="2668" w:type="dxa"/>
          </w:tcPr>
          <w:p w:rsidR="005F29E7" w:rsidRPr="005F29E7" w:rsidRDefault="005F29E7" w:rsidP="005F29E7">
            <w:pPr>
              <w:ind w:left="0" w:right="0"/>
              <w:rPr>
                <w:sz w:val="20"/>
                <w:szCs w:val="20"/>
              </w:rPr>
            </w:pPr>
            <w:r w:rsidRPr="005F29E7">
              <w:rPr>
                <w:sz w:val="20"/>
                <w:szCs w:val="20"/>
              </w:rPr>
              <w:t>Drug-drug interaction with moderate and potent P-</w:t>
            </w:r>
            <w:proofErr w:type="spellStart"/>
            <w:r w:rsidRPr="005F29E7">
              <w:rPr>
                <w:sz w:val="20"/>
                <w:szCs w:val="20"/>
              </w:rPr>
              <w:t>gp</w:t>
            </w:r>
            <w:proofErr w:type="spellEnd"/>
            <w:r w:rsidRPr="005F29E7">
              <w:rPr>
                <w:sz w:val="20"/>
                <w:szCs w:val="20"/>
              </w:rPr>
              <w:t xml:space="preserve"> inducers2</w:t>
            </w:r>
          </w:p>
        </w:tc>
        <w:tc>
          <w:tcPr>
            <w:tcW w:w="1124"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64" w:type="dxa"/>
          </w:tcPr>
          <w:p w:rsidR="005F29E7" w:rsidRPr="005F29E7" w:rsidRDefault="005F29E7" w:rsidP="000D4647">
            <w:pPr>
              <w:ind w:left="0" w:right="0"/>
              <w:jc w:val="center"/>
              <w:rPr>
                <w:sz w:val="20"/>
                <w:szCs w:val="20"/>
              </w:rPr>
            </w:pPr>
            <w:r w:rsidRPr="005F29E7">
              <w:rPr>
                <w:sz w:val="20"/>
                <w:szCs w:val="20"/>
              </w:rPr>
              <w:t>–</w:t>
            </w:r>
          </w:p>
        </w:tc>
        <w:tc>
          <w:tcPr>
            <w:tcW w:w="983"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17" w:type="dxa"/>
          </w:tcPr>
          <w:p w:rsidR="005F29E7" w:rsidRPr="005F29E7" w:rsidRDefault="005F29E7" w:rsidP="000D4647">
            <w:pPr>
              <w:ind w:left="0" w:right="0"/>
              <w:jc w:val="center"/>
              <w:rPr>
                <w:sz w:val="20"/>
                <w:szCs w:val="20"/>
              </w:rPr>
            </w:pPr>
            <w:r w:rsidRPr="005F29E7">
              <w:rPr>
                <w:sz w:val="20"/>
                <w:szCs w:val="20"/>
              </w:rPr>
              <w:t>–</w:t>
            </w:r>
          </w:p>
        </w:tc>
      </w:tr>
      <w:tr w:rsidR="00EF0B4A" w:rsidRPr="005F29E7" w:rsidTr="000D4647">
        <w:trPr>
          <w:trHeight w:val="106"/>
        </w:trPr>
        <w:tc>
          <w:tcPr>
            <w:tcW w:w="1371" w:type="dxa"/>
            <w:vMerge/>
          </w:tcPr>
          <w:p w:rsidR="005F29E7" w:rsidRPr="005F29E7" w:rsidRDefault="005F29E7" w:rsidP="005F29E7">
            <w:pPr>
              <w:ind w:left="0" w:right="0"/>
              <w:rPr>
                <w:sz w:val="20"/>
                <w:szCs w:val="20"/>
              </w:rPr>
            </w:pPr>
          </w:p>
        </w:tc>
        <w:tc>
          <w:tcPr>
            <w:tcW w:w="2668" w:type="dxa"/>
          </w:tcPr>
          <w:p w:rsidR="000D4647" w:rsidRDefault="005F29E7" w:rsidP="005F29E7">
            <w:pPr>
              <w:rPr>
                <w:sz w:val="20"/>
                <w:szCs w:val="20"/>
              </w:rPr>
            </w:pPr>
            <w:r w:rsidRPr="005F29E7">
              <w:rPr>
                <w:sz w:val="20"/>
                <w:szCs w:val="20"/>
              </w:rPr>
              <w:t>Drug-drug interaction with moderate and potent inducers of CYP2B6, CYP2C8, or</w:t>
            </w:r>
          </w:p>
          <w:p w:rsidR="005F29E7" w:rsidRPr="005F29E7" w:rsidRDefault="005F29E7" w:rsidP="005F29E7">
            <w:pPr>
              <w:ind w:left="0" w:right="0"/>
              <w:rPr>
                <w:sz w:val="20"/>
                <w:szCs w:val="20"/>
              </w:rPr>
            </w:pPr>
            <w:r w:rsidRPr="005F29E7">
              <w:rPr>
                <w:sz w:val="20"/>
                <w:szCs w:val="20"/>
              </w:rPr>
              <w:t>CYP3A4</w:t>
            </w:r>
          </w:p>
        </w:tc>
        <w:tc>
          <w:tcPr>
            <w:tcW w:w="1124"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64" w:type="dxa"/>
          </w:tcPr>
          <w:p w:rsidR="005F29E7" w:rsidRPr="005F29E7" w:rsidRDefault="005F29E7" w:rsidP="000D4647">
            <w:pPr>
              <w:ind w:left="0" w:right="0"/>
              <w:jc w:val="center"/>
              <w:rPr>
                <w:sz w:val="20"/>
                <w:szCs w:val="20"/>
              </w:rPr>
            </w:pPr>
            <w:r w:rsidRPr="005F29E7">
              <w:rPr>
                <w:sz w:val="20"/>
                <w:szCs w:val="20"/>
              </w:rPr>
              <w:t>–</w:t>
            </w:r>
          </w:p>
        </w:tc>
        <w:tc>
          <w:tcPr>
            <w:tcW w:w="983"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17" w:type="dxa"/>
          </w:tcPr>
          <w:p w:rsidR="005F29E7" w:rsidRPr="005F29E7" w:rsidRDefault="005F29E7" w:rsidP="000D4647">
            <w:pPr>
              <w:ind w:left="0" w:right="0"/>
              <w:jc w:val="center"/>
              <w:rPr>
                <w:sz w:val="20"/>
                <w:szCs w:val="20"/>
              </w:rPr>
            </w:pPr>
            <w:r w:rsidRPr="005F29E7">
              <w:rPr>
                <w:sz w:val="20"/>
                <w:szCs w:val="20"/>
              </w:rPr>
              <w:t>–</w:t>
            </w:r>
          </w:p>
        </w:tc>
      </w:tr>
      <w:tr w:rsidR="00EF0B4A" w:rsidRPr="005F29E7" w:rsidTr="000D4647">
        <w:trPr>
          <w:trHeight w:val="106"/>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Drug-drug interaction with PPIs</w:t>
            </w:r>
          </w:p>
        </w:tc>
        <w:tc>
          <w:tcPr>
            <w:tcW w:w="1124"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64" w:type="dxa"/>
          </w:tcPr>
          <w:p w:rsidR="005F29E7" w:rsidRPr="005F29E7" w:rsidRDefault="005F29E7" w:rsidP="000D4647">
            <w:pPr>
              <w:ind w:left="0" w:right="0"/>
              <w:jc w:val="center"/>
              <w:rPr>
                <w:sz w:val="20"/>
                <w:szCs w:val="20"/>
              </w:rPr>
            </w:pPr>
            <w:r w:rsidRPr="005F29E7">
              <w:rPr>
                <w:sz w:val="20"/>
                <w:szCs w:val="20"/>
              </w:rPr>
              <w:t>–</w:t>
            </w:r>
          </w:p>
        </w:tc>
        <w:tc>
          <w:tcPr>
            <w:tcW w:w="983"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17" w:type="dxa"/>
          </w:tcPr>
          <w:p w:rsidR="005F29E7" w:rsidRPr="005F29E7" w:rsidRDefault="005F29E7" w:rsidP="000D4647">
            <w:pPr>
              <w:ind w:left="0" w:right="0"/>
              <w:jc w:val="center"/>
              <w:rPr>
                <w:sz w:val="20"/>
                <w:szCs w:val="20"/>
              </w:rPr>
            </w:pPr>
            <w:r w:rsidRPr="005F29E7">
              <w:rPr>
                <w:sz w:val="20"/>
                <w:szCs w:val="20"/>
              </w:rPr>
              <w:t>–</w:t>
            </w:r>
          </w:p>
        </w:tc>
      </w:tr>
      <w:tr w:rsidR="00EF0B4A" w:rsidRPr="005F29E7" w:rsidTr="000D4647">
        <w:trPr>
          <w:trHeight w:val="106"/>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Drug-drug interaction with TDF</w:t>
            </w:r>
          </w:p>
        </w:tc>
        <w:tc>
          <w:tcPr>
            <w:tcW w:w="1124"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64" w:type="dxa"/>
          </w:tcPr>
          <w:p w:rsidR="005F29E7" w:rsidRPr="005F29E7" w:rsidRDefault="005F29E7" w:rsidP="000D4647">
            <w:pPr>
              <w:ind w:left="0" w:right="0"/>
              <w:jc w:val="center"/>
              <w:rPr>
                <w:sz w:val="20"/>
                <w:szCs w:val="20"/>
              </w:rPr>
            </w:pPr>
            <w:r w:rsidRPr="005F29E7">
              <w:rPr>
                <w:sz w:val="20"/>
                <w:szCs w:val="20"/>
              </w:rPr>
              <w:sym w:font="Wingdings" w:char="F0FC"/>
            </w:r>
          </w:p>
        </w:tc>
        <w:tc>
          <w:tcPr>
            <w:tcW w:w="983" w:type="dxa"/>
          </w:tcPr>
          <w:p w:rsidR="005F29E7" w:rsidRPr="005F29E7" w:rsidRDefault="005F29E7" w:rsidP="000D4647">
            <w:pPr>
              <w:ind w:left="0" w:right="0"/>
              <w:jc w:val="center"/>
              <w:rPr>
                <w:sz w:val="20"/>
                <w:szCs w:val="20"/>
              </w:rPr>
            </w:pPr>
            <w:r w:rsidRPr="005F29E7">
              <w:rPr>
                <w:sz w:val="20"/>
                <w:szCs w:val="20"/>
              </w:rPr>
              <w:sym w:font="Wingdings" w:char="F0FC"/>
            </w:r>
          </w:p>
        </w:tc>
        <w:tc>
          <w:tcPr>
            <w:tcW w:w="1217" w:type="dxa"/>
          </w:tcPr>
          <w:p w:rsidR="005F29E7" w:rsidRPr="005F29E7" w:rsidRDefault="005F29E7" w:rsidP="000D4647">
            <w:pPr>
              <w:ind w:left="0" w:right="0"/>
              <w:jc w:val="center"/>
              <w:rPr>
                <w:sz w:val="20"/>
                <w:szCs w:val="20"/>
              </w:rPr>
            </w:pPr>
            <w:r w:rsidRPr="005F29E7">
              <w:rPr>
                <w:sz w:val="20"/>
                <w:szCs w:val="20"/>
              </w:rPr>
              <w:t>–</w:t>
            </w:r>
          </w:p>
        </w:tc>
      </w:tr>
      <w:tr w:rsidR="00EF0B4A" w:rsidRPr="005F29E7" w:rsidTr="00823FF5">
        <w:trPr>
          <w:trHeight w:val="106"/>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 xml:space="preserve">Drug-drug interaction with </w:t>
            </w:r>
            <w:proofErr w:type="spellStart"/>
            <w:r w:rsidRPr="005F29E7">
              <w:rPr>
                <w:sz w:val="20"/>
                <w:szCs w:val="20"/>
              </w:rPr>
              <w:lastRenderedPageBreak/>
              <w:t>rosuvastatin</w:t>
            </w:r>
            <w:proofErr w:type="spellEnd"/>
          </w:p>
        </w:tc>
        <w:tc>
          <w:tcPr>
            <w:tcW w:w="1124" w:type="dxa"/>
            <w:vAlign w:val="center"/>
          </w:tcPr>
          <w:p w:rsidR="005F29E7" w:rsidRPr="005F29E7" w:rsidRDefault="00EF0B4A" w:rsidP="00EF0B4A">
            <w:pPr>
              <w:ind w:left="0" w:right="0"/>
              <w:jc w:val="center"/>
              <w:rPr>
                <w:sz w:val="20"/>
                <w:szCs w:val="20"/>
              </w:rPr>
            </w:pPr>
            <w:r>
              <w:rPr>
                <w:sz w:val="20"/>
                <w:szCs w:val="20"/>
              </w:rPr>
              <w:lastRenderedPageBreak/>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t>–</w:t>
            </w:r>
          </w:p>
        </w:tc>
        <w:tc>
          <w:tcPr>
            <w:tcW w:w="983" w:type="dxa"/>
            <w:vAlign w:val="center"/>
          </w:tcPr>
          <w:p w:rsidR="005F29E7" w:rsidRPr="005F29E7" w:rsidRDefault="00EF0B4A" w:rsidP="00EF0B4A">
            <w:pPr>
              <w:ind w:left="0" w:right="0"/>
              <w:jc w:val="center"/>
              <w:rPr>
                <w:sz w:val="20"/>
                <w:szCs w:val="20"/>
              </w:rPr>
            </w:pPr>
            <w:r>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106"/>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Drug-drug interaction with digoxin</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t>–</w:t>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169"/>
        </w:trPr>
        <w:tc>
          <w:tcPr>
            <w:tcW w:w="1371" w:type="dxa"/>
            <w:vMerge w:val="restart"/>
          </w:tcPr>
          <w:p w:rsidR="005F29E7" w:rsidRPr="005F29E7" w:rsidRDefault="005F29E7" w:rsidP="005F29E7">
            <w:pPr>
              <w:ind w:left="0" w:right="0"/>
              <w:rPr>
                <w:sz w:val="20"/>
                <w:szCs w:val="20"/>
              </w:rPr>
            </w:pPr>
            <w:r w:rsidRPr="005F29E7">
              <w:rPr>
                <w:sz w:val="20"/>
                <w:szCs w:val="20"/>
              </w:rPr>
              <w:t>Missing information</w:t>
            </w:r>
          </w:p>
        </w:tc>
        <w:tc>
          <w:tcPr>
            <w:tcW w:w="2668" w:type="dxa"/>
          </w:tcPr>
          <w:p w:rsidR="005F29E7" w:rsidRPr="005F29E7" w:rsidRDefault="005F29E7" w:rsidP="005F29E7">
            <w:pPr>
              <w:ind w:left="0" w:right="0"/>
              <w:rPr>
                <w:sz w:val="20"/>
                <w:szCs w:val="20"/>
              </w:rPr>
            </w:pPr>
            <w:r w:rsidRPr="005F29E7">
              <w:rPr>
                <w:sz w:val="20"/>
                <w:szCs w:val="20"/>
              </w:rPr>
              <w:t>Safety in children</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97"/>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Safety in pregnant or breastfeeding women</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97"/>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 xml:space="preserve">Safety in patients with HCV/HIV </w:t>
            </w:r>
            <w:proofErr w:type="spellStart"/>
            <w:r w:rsidRPr="005F29E7">
              <w:rPr>
                <w:sz w:val="20"/>
                <w:szCs w:val="20"/>
              </w:rPr>
              <w:t>coninfection</w:t>
            </w:r>
            <w:proofErr w:type="spellEnd"/>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97"/>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 xml:space="preserve">Safety in patients with HCV/HBV </w:t>
            </w:r>
            <w:proofErr w:type="spellStart"/>
            <w:r w:rsidRPr="005F29E7">
              <w:rPr>
                <w:sz w:val="20"/>
                <w:szCs w:val="20"/>
              </w:rPr>
              <w:t>coninfection</w:t>
            </w:r>
            <w:proofErr w:type="spellEnd"/>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t>–</w:t>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97"/>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Safety in post-transplant patients</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t>–</w:t>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97"/>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Safety in HCV patients with severe renal impairment or end-stage renal disease</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r w:rsidR="00EF0B4A" w:rsidRPr="005F29E7" w:rsidTr="00823FF5">
        <w:trPr>
          <w:trHeight w:val="362"/>
        </w:trPr>
        <w:tc>
          <w:tcPr>
            <w:tcW w:w="1371" w:type="dxa"/>
            <w:vMerge/>
          </w:tcPr>
          <w:p w:rsidR="005F29E7" w:rsidRPr="005F29E7" w:rsidRDefault="005F29E7" w:rsidP="005F29E7">
            <w:pPr>
              <w:ind w:left="0" w:right="0"/>
              <w:rPr>
                <w:sz w:val="20"/>
                <w:szCs w:val="20"/>
              </w:rPr>
            </w:pPr>
          </w:p>
        </w:tc>
        <w:tc>
          <w:tcPr>
            <w:tcW w:w="2668" w:type="dxa"/>
          </w:tcPr>
          <w:p w:rsidR="005F29E7" w:rsidRPr="005F29E7" w:rsidRDefault="005F29E7" w:rsidP="005F29E7">
            <w:pPr>
              <w:ind w:left="0" w:right="0"/>
              <w:rPr>
                <w:sz w:val="20"/>
                <w:szCs w:val="20"/>
              </w:rPr>
            </w:pPr>
            <w:r w:rsidRPr="005F29E7">
              <w:rPr>
                <w:sz w:val="20"/>
                <w:szCs w:val="20"/>
              </w:rPr>
              <w:t>Development of resistance</w:t>
            </w:r>
          </w:p>
        </w:tc>
        <w:tc>
          <w:tcPr>
            <w:tcW w:w="112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64"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983" w:type="dxa"/>
            <w:vAlign w:val="center"/>
          </w:tcPr>
          <w:p w:rsidR="005F29E7" w:rsidRPr="005F29E7" w:rsidRDefault="005F29E7" w:rsidP="00EF0B4A">
            <w:pPr>
              <w:ind w:left="0" w:right="0"/>
              <w:jc w:val="center"/>
              <w:rPr>
                <w:sz w:val="20"/>
                <w:szCs w:val="20"/>
              </w:rPr>
            </w:pPr>
            <w:r w:rsidRPr="005F29E7">
              <w:rPr>
                <w:sz w:val="20"/>
                <w:szCs w:val="20"/>
              </w:rPr>
              <w:sym w:font="Wingdings" w:char="F0FC"/>
            </w:r>
          </w:p>
        </w:tc>
        <w:tc>
          <w:tcPr>
            <w:tcW w:w="1217" w:type="dxa"/>
            <w:vAlign w:val="center"/>
          </w:tcPr>
          <w:p w:rsidR="005F29E7" w:rsidRPr="005F29E7" w:rsidRDefault="005F29E7" w:rsidP="00EF0B4A">
            <w:pPr>
              <w:ind w:left="0" w:right="0"/>
              <w:jc w:val="center"/>
              <w:rPr>
                <w:sz w:val="20"/>
                <w:szCs w:val="20"/>
              </w:rPr>
            </w:pPr>
            <w:r w:rsidRPr="005F29E7">
              <w:rPr>
                <w:sz w:val="20"/>
                <w:szCs w:val="20"/>
              </w:rPr>
              <w:t>–</w:t>
            </w:r>
          </w:p>
        </w:tc>
      </w:tr>
    </w:tbl>
    <w:p w:rsidR="000D4647" w:rsidRDefault="00EF0B4A" w:rsidP="00EF0B4A">
      <w:pPr>
        <w:pStyle w:val="TableDescription"/>
      </w:pPr>
      <w:r w:rsidRPr="00F314FF">
        <w:rPr>
          <w:vertAlign w:val="superscript"/>
        </w:rPr>
        <w:t>1</w:t>
      </w:r>
      <w:r>
        <w:t xml:space="preserve"> = Updated from an important potential risk in response to the round 1 evaluation of the RMP </w:t>
      </w:r>
      <w:r>
        <w:rPr>
          <w:vertAlign w:val="superscript"/>
        </w:rPr>
        <w:t>2</w:t>
      </w:r>
      <w:r>
        <w:t> = Updated to include moderate as well as potent P-</w:t>
      </w:r>
      <w:proofErr w:type="spellStart"/>
      <w:r>
        <w:t>gp</w:t>
      </w:r>
      <w:proofErr w:type="spellEnd"/>
      <w:r>
        <w:t xml:space="preserve"> inducers in response to the European RMP evaluation, which satisfactorily addressed the TGA recommendation to include drug interactions with anticonvulsants.</w:t>
      </w:r>
    </w:p>
    <w:p w:rsidR="000D4647" w:rsidRDefault="00EF0B4A" w:rsidP="00EF0B4A">
      <w:r w:rsidRPr="00EF0B4A">
        <w:t xml:space="preserve">The additional pharmacovigilance activities are follow up studies to address selected important identified and potential risks and missing information, as indicated in </w:t>
      </w:r>
      <w:r w:rsidR="00756A4F">
        <w:t>T</w:t>
      </w:r>
      <w:r w:rsidRPr="00EF0B4A">
        <w:t xml:space="preserve">able </w:t>
      </w:r>
      <w:r w:rsidR="00756A4F">
        <w:t xml:space="preserve">9 </w:t>
      </w:r>
      <w:r w:rsidRPr="00EF0B4A">
        <w:t>above. Most of thes</w:t>
      </w:r>
      <w:r>
        <w:t>e studies are already underway.</w:t>
      </w:r>
    </w:p>
    <w:p w:rsidR="000D4647" w:rsidRDefault="00EF0B4A" w:rsidP="00EF0B4A">
      <w:pPr>
        <w:pStyle w:val="Heading4"/>
      </w:pPr>
      <w:bookmarkStart w:id="142" w:name="_Toc461527742"/>
      <w:r w:rsidRPr="00EF0B4A">
        <w:t>New and outstanding recommendations</w:t>
      </w:r>
      <w:bookmarkEnd w:id="142"/>
    </w:p>
    <w:p w:rsidR="000D4647" w:rsidRDefault="00EF0B4A" w:rsidP="00EF0B4A">
      <w:r w:rsidRPr="00EF0B4A">
        <w:t>No new RMP issues have been identified during the second round of evaluation</w:t>
      </w:r>
      <w:r w:rsidR="007419D9">
        <w:t>.</w:t>
      </w:r>
    </w:p>
    <w:p w:rsidR="000D4647" w:rsidRDefault="00EF0B4A" w:rsidP="00EF0B4A">
      <w:pPr>
        <w:pStyle w:val="Heading3"/>
      </w:pPr>
      <w:bookmarkStart w:id="143" w:name="_Toc498681456"/>
      <w:r w:rsidRPr="00EF0B4A">
        <w:t>Recommendation</w:t>
      </w:r>
      <w:bookmarkEnd w:id="143"/>
    </w:p>
    <w:p w:rsidR="000D4647" w:rsidRDefault="00EF0B4A" w:rsidP="00EF0B4A">
      <w:r w:rsidRPr="00EF0B4A">
        <w:t xml:space="preserve">The </w:t>
      </w:r>
      <w:r w:rsidR="00C77715">
        <w:t>sponsor</w:t>
      </w:r>
      <w:r w:rsidRPr="00EF0B4A">
        <w:t xml:space="preserve"> should update the wording in the PI document to reflect the addition of ‘drug-drug interaction with moderate P-</w:t>
      </w:r>
      <w:proofErr w:type="spellStart"/>
      <w:r w:rsidRPr="00EF0B4A">
        <w:t>gp</w:t>
      </w:r>
      <w:proofErr w:type="spellEnd"/>
      <w:r w:rsidRPr="00EF0B4A">
        <w:t xml:space="preserve"> inducers’ to the safety profile.</w:t>
      </w:r>
    </w:p>
    <w:p w:rsidR="000D4647" w:rsidRDefault="00EF0B4A" w:rsidP="00EF0B4A">
      <w:pPr>
        <w:pStyle w:val="Heading4"/>
      </w:pPr>
      <w:bookmarkStart w:id="144" w:name="_Toc461527743"/>
      <w:r w:rsidRPr="00EF0B4A">
        <w:t>Wording for conditions of registration</w:t>
      </w:r>
      <w:bookmarkEnd w:id="144"/>
    </w:p>
    <w:p w:rsidR="000D4647" w:rsidRDefault="00EF0B4A" w:rsidP="00EF0B4A">
      <w:r w:rsidRPr="00EF0B4A">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7419D9">
        <w:t>.</w:t>
      </w:r>
    </w:p>
    <w:p w:rsidR="000D4647" w:rsidRDefault="00EF0B4A" w:rsidP="00EF0B4A">
      <w:r w:rsidRPr="00EF0B4A">
        <w:t>The suggested wording is:</w:t>
      </w:r>
    </w:p>
    <w:p w:rsidR="000D4647" w:rsidRDefault="00EF0B4A" w:rsidP="00EF0B4A">
      <w:pPr>
        <w:ind w:left="720"/>
        <w:rPr>
          <w:i/>
        </w:rPr>
      </w:pPr>
      <w:r w:rsidRPr="00EF0B4A">
        <w:rPr>
          <w:i/>
        </w:rPr>
        <w:t>Implement EU-RMP (version 0.2; date 21 April 2016, DLP 26 August 2015) with Australian Specific Annex (version 0.2, date July 2016) and any future updates as a condition of registration.</w:t>
      </w:r>
    </w:p>
    <w:p w:rsidR="000D4647" w:rsidRDefault="008E7846" w:rsidP="008E7846">
      <w:pPr>
        <w:pStyle w:val="Heading2"/>
      </w:pPr>
      <w:bookmarkStart w:id="145" w:name="_Toc247691527"/>
      <w:bookmarkStart w:id="146" w:name="_Toc314842510"/>
      <w:bookmarkStart w:id="147" w:name="_Toc498681457"/>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3"/>
      <w:bookmarkEnd w:id="145"/>
      <w:bookmarkEnd w:id="146"/>
      <w:bookmarkEnd w:id="147"/>
    </w:p>
    <w:p w:rsidR="000D4647" w:rsidRDefault="008E7846" w:rsidP="008E7846">
      <w:bookmarkStart w:id="148" w:name="_Toc247691528"/>
      <w:r>
        <w:t xml:space="preserve">The submission was summarised in the following </w:t>
      </w:r>
      <w:r w:rsidRPr="00EF5C48">
        <w:t xml:space="preserve">Delegate’s </w:t>
      </w:r>
      <w:r>
        <w:t>overview</w:t>
      </w:r>
      <w:r w:rsidRPr="00EF5C48">
        <w:t xml:space="preserve"> and recommendation</w:t>
      </w:r>
      <w:r>
        <w:t>s</w:t>
      </w:r>
      <w:r w:rsidR="0073309E">
        <w:t>.</w:t>
      </w:r>
    </w:p>
    <w:p w:rsidR="000D4647" w:rsidRDefault="008E7846" w:rsidP="001A02C5">
      <w:pPr>
        <w:pStyle w:val="Heading3"/>
      </w:pPr>
      <w:bookmarkStart w:id="149" w:name="_Toc314842511"/>
      <w:bookmarkStart w:id="150" w:name="_Toc498681458"/>
      <w:r>
        <w:t>Quality</w:t>
      </w:r>
      <w:bookmarkEnd w:id="148"/>
      <w:bookmarkEnd w:id="149"/>
      <w:bookmarkEnd w:id="150"/>
    </w:p>
    <w:p w:rsidR="000D4647" w:rsidRDefault="001A02C5" w:rsidP="001A02C5">
      <w:bookmarkStart w:id="151" w:name="_Toc314842512"/>
      <w:r w:rsidRPr="001A02C5">
        <w:t>There are no outstanding quality issues. The submission did not require referral to the Pharmaceutical Subcommittee.</w:t>
      </w:r>
    </w:p>
    <w:p w:rsidR="000D4647" w:rsidRDefault="008E7846" w:rsidP="008E7846">
      <w:pPr>
        <w:pStyle w:val="Heading3"/>
      </w:pPr>
      <w:bookmarkStart w:id="152" w:name="_Toc498681459"/>
      <w:r>
        <w:t>Nonclinical</w:t>
      </w:r>
      <w:bookmarkEnd w:id="151"/>
      <w:bookmarkEnd w:id="152"/>
    </w:p>
    <w:p w:rsidR="000D4647" w:rsidRDefault="001A02C5" w:rsidP="001A02C5">
      <w:bookmarkStart w:id="153" w:name="_Toc247691530"/>
      <w:bookmarkStart w:id="154" w:name="_Toc314842513"/>
      <w:r w:rsidRPr="001A02C5">
        <w:t>There are no nonclinical objections to the registration. Australian Pregnancy category B1 is considered appropriate. Recommendations for PI have been provided.</w:t>
      </w:r>
    </w:p>
    <w:p w:rsidR="000D4647" w:rsidRDefault="008E7846" w:rsidP="008E7846">
      <w:pPr>
        <w:pStyle w:val="Heading3"/>
      </w:pPr>
      <w:bookmarkStart w:id="155" w:name="_Toc498681460"/>
      <w:r>
        <w:t>Clinical</w:t>
      </w:r>
      <w:bookmarkEnd w:id="153"/>
      <w:bookmarkEnd w:id="154"/>
      <w:bookmarkEnd w:id="155"/>
    </w:p>
    <w:p w:rsidR="000D4647" w:rsidRDefault="004B6558" w:rsidP="004B6558">
      <w:bookmarkStart w:id="156" w:name="_Toc314842514"/>
      <w:r w:rsidRPr="004B6558">
        <w:t xml:space="preserve">The clinical dossier </w:t>
      </w:r>
      <w:r w:rsidR="00A82FA1">
        <w:t>in this s</w:t>
      </w:r>
      <w:r w:rsidRPr="004B6558">
        <w:t xml:space="preserve">ubmission was comprised of 15 PK studies, 4 PD studies, 3 </w:t>
      </w:r>
      <w:proofErr w:type="spellStart"/>
      <w:r w:rsidRPr="004B6558">
        <w:t>PopPK</w:t>
      </w:r>
      <w:proofErr w:type="spellEnd"/>
      <w:r w:rsidRPr="004B6558">
        <w:t xml:space="preserve"> reports, 4 pivotal Pha</w:t>
      </w:r>
      <w:r w:rsidR="00E16107">
        <w:t>se III efficacy studies (ASTRAL-</w:t>
      </w:r>
      <w:r w:rsidRPr="004B6558">
        <w:t xml:space="preserve">1, </w:t>
      </w:r>
      <w:r w:rsidR="00E16107">
        <w:t>ASTRAL-</w:t>
      </w:r>
      <w:r w:rsidRPr="004B6558">
        <w:t xml:space="preserve">2, </w:t>
      </w:r>
      <w:r w:rsidR="00E16107">
        <w:t>ASTRAL-</w:t>
      </w:r>
      <w:r w:rsidRPr="004B6558">
        <w:t xml:space="preserve">3 and </w:t>
      </w:r>
      <w:r w:rsidR="00E16107">
        <w:t>ASTRAL-</w:t>
      </w:r>
      <w:r w:rsidRPr="004B6558">
        <w:t>4) and 5 Phase II s</w:t>
      </w:r>
      <w:r w:rsidR="00A82FA1">
        <w:t>tudies (0221 and 0422; 0122, 0102 and</w:t>
      </w:r>
      <w:r w:rsidRPr="004B6558">
        <w:t xml:space="preserve"> 0109). A pooled analy</w:t>
      </w:r>
      <w:r w:rsidR="00E16107">
        <w:t>sis of Phase III studies ASTRAL-</w:t>
      </w:r>
      <w:r w:rsidRPr="004B6558">
        <w:t xml:space="preserve">1, </w:t>
      </w:r>
      <w:r w:rsidR="00E16107">
        <w:t>ASTRAL-</w:t>
      </w:r>
      <w:r w:rsidRPr="004B6558">
        <w:t xml:space="preserve">2 </w:t>
      </w:r>
      <w:r w:rsidR="00A82FA1">
        <w:t>and</w:t>
      </w:r>
      <w:r w:rsidRPr="004B6558">
        <w:t xml:space="preserve"> </w:t>
      </w:r>
      <w:r w:rsidR="00E16107">
        <w:t>ASTRAL-</w:t>
      </w:r>
      <w:r w:rsidRPr="004B6558">
        <w:t>3 was also provided. Some of the PK/PD studies in this submission have been previously evaluated in relation to SOF.</w:t>
      </w:r>
    </w:p>
    <w:p w:rsidR="000D4647" w:rsidRDefault="00A82FA1" w:rsidP="004B6558">
      <w:r>
        <w:t>This o</w:t>
      </w:r>
      <w:r w:rsidR="004B6558" w:rsidRPr="004B6558">
        <w:t xml:space="preserve">verview mainly focusses on the efficacy analysis of the 4 pivotal studies. Please refer to the Clinical Evaluation Report (CER) </w:t>
      </w:r>
      <w:r>
        <w:t>(Attachment 2)</w:t>
      </w:r>
      <w:r w:rsidR="0073309E">
        <w:t xml:space="preserve"> </w:t>
      </w:r>
      <w:r w:rsidR="004B6558" w:rsidRPr="004B6558">
        <w:t>for additional details.</w:t>
      </w:r>
    </w:p>
    <w:p w:rsidR="000D4647" w:rsidRDefault="004B6558" w:rsidP="004B6558">
      <w:pPr>
        <w:pStyle w:val="Heading4"/>
      </w:pPr>
      <w:r w:rsidRPr="004B6558">
        <w:t xml:space="preserve">Pharmacodynamics </w:t>
      </w:r>
      <w:r w:rsidR="00A82FA1">
        <w:t>and</w:t>
      </w:r>
      <w:r w:rsidRPr="004B6558">
        <w:t xml:space="preserve"> </w:t>
      </w:r>
      <w:r w:rsidR="00A82FA1" w:rsidRPr="004B6558">
        <w:t>p</w:t>
      </w:r>
      <w:r w:rsidRPr="004B6558">
        <w:t>harmacokinetics</w:t>
      </w:r>
    </w:p>
    <w:p w:rsidR="000D4647" w:rsidRDefault="004B6558" w:rsidP="004B6558">
      <w:r w:rsidRPr="004B6558">
        <w:t>SOF is a nucleotide pro-drug that undergoes intracellular metabolism to form active triphosphate (GS-461203), which can be incorporated by HCV NS5B and acts as a chain terminator.</w:t>
      </w:r>
    </w:p>
    <w:p w:rsidR="000D4647" w:rsidRDefault="004B6558" w:rsidP="004B6558">
      <w:r w:rsidRPr="004B6558">
        <w:t>VEL is a novel HCV NS5A inhibitor that has shown in vitro activity against genotype 1 to 6 HCV replicons. VEL lacks activity against the HCV NS3/4A protease, NS5B polymerase, or the HCV internal ribosomal entry site.</w:t>
      </w:r>
    </w:p>
    <w:p w:rsidR="000D4647" w:rsidRDefault="004B6558" w:rsidP="004B6558">
      <w:r w:rsidRPr="004B6558">
        <w:t>SOF (and its inactive circulating metabolite GS-331007) behaved dose proportionally over 200-1200</w:t>
      </w:r>
      <w:r w:rsidR="00A82FA1">
        <w:t xml:space="preserve"> mg</w:t>
      </w:r>
      <w:r w:rsidRPr="004B6558">
        <w:t xml:space="preserve"> range. VEL exhibited nonl</w:t>
      </w:r>
      <w:r w:rsidR="00A82FA1">
        <w:t xml:space="preserve">inear PK with greater than dose </w:t>
      </w:r>
      <w:r w:rsidRPr="004B6558">
        <w:t xml:space="preserve">proportional increase in AUC and </w:t>
      </w:r>
      <w:proofErr w:type="spellStart"/>
      <w:r w:rsidR="00F044A6" w:rsidRPr="00604A4F">
        <w:t>C</w:t>
      </w:r>
      <w:r w:rsidR="00F044A6" w:rsidRPr="00F044A6">
        <w:rPr>
          <w:vertAlign w:val="subscript"/>
        </w:rPr>
        <w:t>max</w:t>
      </w:r>
      <w:proofErr w:type="spellEnd"/>
      <w:r w:rsidR="00A82FA1">
        <w:t xml:space="preserve"> in 5 to </w:t>
      </w:r>
      <w:r w:rsidRPr="004B6558">
        <w:t>50</w:t>
      </w:r>
      <w:r w:rsidR="00A82FA1">
        <w:t xml:space="preserve"> mg</w:t>
      </w:r>
      <w:r w:rsidRPr="004B6558">
        <w:t xml:space="preserve"> dose range and l</w:t>
      </w:r>
      <w:r w:rsidR="00A82FA1">
        <w:t xml:space="preserve">ess than dose </w:t>
      </w:r>
      <w:r w:rsidRPr="004B6558">
        <w:t>proport</w:t>
      </w:r>
      <w:r w:rsidR="00A82FA1">
        <w:t xml:space="preserve">ional increase at doses from 50 to </w:t>
      </w:r>
      <w:r w:rsidRPr="004B6558">
        <w:t>450</w:t>
      </w:r>
      <w:r w:rsidR="00A82FA1">
        <w:t xml:space="preserve"> mg</w:t>
      </w:r>
      <w:r w:rsidRPr="004B6558">
        <w:t xml:space="preserve"> following single or multiple dosing. SOF is extensively metabolised in liver and excreted via kidneys. VEL is mainly eliminated unchanged in faeces via the biliary route.</w:t>
      </w:r>
    </w:p>
    <w:p w:rsidR="004B6558" w:rsidRDefault="00756A4F" w:rsidP="004B6558">
      <w:pPr>
        <w:pStyle w:val="TableTitle"/>
      </w:pPr>
      <w:r w:rsidRPr="00756A4F">
        <w:t>Table 10:</w:t>
      </w:r>
      <w:r w:rsidR="00A82FA1" w:rsidRPr="00756A4F">
        <w:t xml:space="preserve"> Pharmacokinetics of SOF and VEL</w:t>
      </w:r>
    </w:p>
    <w:tbl>
      <w:tblPr>
        <w:tblStyle w:val="TableTGAblue"/>
        <w:tblW w:w="0" w:type="auto"/>
        <w:tblLook w:val="04A0" w:firstRow="1" w:lastRow="0" w:firstColumn="1" w:lastColumn="0" w:noHBand="0" w:noVBand="1"/>
        <w:tblDescription w:val="Table 10: Pharmacokinetics of SOF and VEL"/>
      </w:tblPr>
      <w:tblGrid>
        <w:gridCol w:w="1560"/>
        <w:gridCol w:w="3260"/>
        <w:gridCol w:w="3685"/>
      </w:tblGrid>
      <w:tr w:rsidR="004B6558" w:rsidRPr="004B6558" w:rsidTr="004B6558">
        <w:trPr>
          <w:cnfStyle w:val="100000000000" w:firstRow="1" w:lastRow="0" w:firstColumn="0" w:lastColumn="0" w:oddVBand="0" w:evenVBand="0" w:oddHBand="0" w:evenHBand="0" w:firstRowFirstColumn="0" w:firstRowLastColumn="0" w:lastRowFirstColumn="0" w:lastRowLastColumn="0"/>
        </w:trPr>
        <w:tc>
          <w:tcPr>
            <w:tcW w:w="1560" w:type="dxa"/>
          </w:tcPr>
          <w:p w:rsidR="004B6558" w:rsidRPr="004B6558" w:rsidRDefault="004B6558" w:rsidP="004B6558"/>
        </w:tc>
        <w:tc>
          <w:tcPr>
            <w:tcW w:w="3260" w:type="dxa"/>
          </w:tcPr>
          <w:p w:rsidR="004B6558" w:rsidRPr="004B6558" w:rsidRDefault="004B6558" w:rsidP="004B6558">
            <w:r w:rsidRPr="004B6558">
              <w:t>SOF</w:t>
            </w:r>
          </w:p>
        </w:tc>
        <w:tc>
          <w:tcPr>
            <w:tcW w:w="3685" w:type="dxa"/>
          </w:tcPr>
          <w:p w:rsidR="004B6558" w:rsidRPr="004B6558" w:rsidRDefault="004B6558" w:rsidP="004B6558">
            <w:r w:rsidRPr="004B6558">
              <w:t>VEL</w:t>
            </w:r>
          </w:p>
        </w:tc>
      </w:tr>
      <w:tr w:rsidR="004B6558" w:rsidRPr="004B6558" w:rsidTr="004B6558">
        <w:tc>
          <w:tcPr>
            <w:tcW w:w="1560" w:type="dxa"/>
          </w:tcPr>
          <w:p w:rsidR="004B6558" w:rsidRPr="004B6558" w:rsidRDefault="004B6558" w:rsidP="004B6558"/>
        </w:tc>
        <w:tc>
          <w:tcPr>
            <w:tcW w:w="3260" w:type="dxa"/>
          </w:tcPr>
          <w:p w:rsidR="004B6558" w:rsidRPr="004B6558" w:rsidRDefault="004B6558" w:rsidP="004B6558">
            <w:r w:rsidRPr="004B6558">
              <w:t>Prominent first pass effect; intracellular conversion to active form (GS-461203); subsequent metabolism to GS-331007 as the main circulating metabolite to be excreted via urine.</w:t>
            </w:r>
          </w:p>
        </w:tc>
        <w:tc>
          <w:tcPr>
            <w:tcW w:w="3685" w:type="dxa"/>
          </w:tcPr>
          <w:p w:rsidR="004B6558" w:rsidRPr="004B6558" w:rsidRDefault="004B6558" w:rsidP="004B6558">
            <w:r w:rsidRPr="004B6558">
              <w:t>Biliary excretion is the major route of elimination with 77% unchanged compound in faeces, but also products of slow metabolism by CYP2B6, CYP2C8, CYP3A4; urinary excretion is negligible.</w:t>
            </w:r>
          </w:p>
        </w:tc>
      </w:tr>
      <w:tr w:rsidR="004B6558" w:rsidRPr="004B6558" w:rsidTr="004B6558">
        <w:tc>
          <w:tcPr>
            <w:tcW w:w="1560" w:type="dxa"/>
          </w:tcPr>
          <w:p w:rsidR="004B6558" w:rsidRPr="004B6558" w:rsidRDefault="004B6558" w:rsidP="004B6558">
            <w:r w:rsidRPr="004B6558">
              <w:lastRenderedPageBreak/>
              <w:t>Protein binding</w:t>
            </w:r>
          </w:p>
        </w:tc>
        <w:tc>
          <w:tcPr>
            <w:tcW w:w="3260" w:type="dxa"/>
          </w:tcPr>
          <w:p w:rsidR="004B6558" w:rsidRPr="004B6558" w:rsidRDefault="007419D9" w:rsidP="004B6558">
            <w:r>
              <w:t>approximately</w:t>
            </w:r>
            <w:r w:rsidR="004B6558" w:rsidRPr="004B6558">
              <w:t>65%</w:t>
            </w:r>
          </w:p>
        </w:tc>
        <w:tc>
          <w:tcPr>
            <w:tcW w:w="3685" w:type="dxa"/>
          </w:tcPr>
          <w:p w:rsidR="004B6558" w:rsidRPr="004B6558" w:rsidRDefault="00F044A6" w:rsidP="004B6558">
            <w:r>
              <w:t xml:space="preserve">&gt; </w:t>
            </w:r>
            <w:r w:rsidR="004B6558" w:rsidRPr="004B6558">
              <w:t>99.5%</w:t>
            </w:r>
          </w:p>
        </w:tc>
      </w:tr>
      <w:tr w:rsidR="004B6558" w:rsidRPr="004B6558" w:rsidTr="004B6558">
        <w:tc>
          <w:tcPr>
            <w:tcW w:w="1560" w:type="dxa"/>
          </w:tcPr>
          <w:p w:rsidR="004B6558" w:rsidRPr="004B6558" w:rsidRDefault="00313378" w:rsidP="004B6558">
            <w:proofErr w:type="spellStart"/>
            <w:r w:rsidRPr="000818DC">
              <w:t>T</w:t>
            </w:r>
            <w:r w:rsidRPr="00313378">
              <w:rPr>
                <w:vertAlign w:val="subscript"/>
              </w:rPr>
              <w:t>max</w:t>
            </w:r>
            <w:proofErr w:type="spellEnd"/>
            <w:r w:rsidR="004B6558" w:rsidRPr="004B6558">
              <w:t xml:space="preserve"> (median)</w:t>
            </w:r>
          </w:p>
        </w:tc>
        <w:tc>
          <w:tcPr>
            <w:tcW w:w="3260" w:type="dxa"/>
          </w:tcPr>
          <w:p w:rsidR="004B6558" w:rsidRPr="004B6558" w:rsidRDefault="004B6558" w:rsidP="004B6558">
            <w:r w:rsidRPr="004B6558">
              <w:t>1 h</w:t>
            </w:r>
          </w:p>
        </w:tc>
        <w:tc>
          <w:tcPr>
            <w:tcW w:w="3685" w:type="dxa"/>
          </w:tcPr>
          <w:p w:rsidR="004B6558" w:rsidRPr="004B6558" w:rsidRDefault="004B6558" w:rsidP="004B6558">
            <w:r w:rsidRPr="004B6558">
              <w:t>3 h</w:t>
            </w:r>
          </w:p>
        </w:tc>
      </w:tr>
      <w:tr w:rsidR="004B6558" w:rsidRPr="004B6558" w:rsidTr="004B6558">
        <w:tc>
          <w:tcPr>
            <w:tcW w:w="1560" w:type="dxa"/>
          </w:tcPr>
          <w:p w:rsidR="004B6558" w:rsidRPr="004B6558" w:rsidRDefault="00F044A6" w:rsidP="004B6558">
            <w:proofErr w:type="spellStart"/>
            <w:r w:rsidRPr="00604A4F">
              <w:t>C</w:t>
            </w:r>
            <w:r w:rsidRPr="00F044A6">
              <w:rPr>
                <w:vertAlign w:val="subscript"/>
              </w:rPr>
              <w:t>max</w:t>
            </w:r>
            <w:proofErr w:type="spellEnd"/>
            <w:r w:rsidR="004B6558" w:rsidRPr="004B6558">
              <w:t xml:space="preserve"> (median)</w:t>
            </w:r>
          </w:p>
        </w:tc>
        <w:tc>
          <w:tcPr>
            <w:tcW w:w="3260" w:type="dxa"/>
          </w:tcPr>
          <w:p w:rsidR="004B6558" w:rsidRPr="004B6558" w:rsidRDefault="004B6558" w:rsidP="004B6558">
            <w:r w:rsidRPr="004B6558">
              <w:t>3 h (GS-331007)</w:t>
            </w:r>
          </w:p>
        </w:tc>
        <w:tc>
          <w:tcPr>
            <w:tcW w:w="3685" w:type="dxa"/>
          </w:tcPr>
          <w:p w:rsidR="004B6558" w:rsidRPr="004B6558" w:rsidRDefault="004B6558" w:rsidP="004B6558">
            <w:r w:rsidRPr="004B6558">
              <w:t>3 h</w:t>
            </w:r>
          </w:p>
        </w:tc>
      </w:tr>
      <w:tr w:rsidR="004B6558" w:rsidRPr="004B6558" w:rsidTr="004B6558">
        <w:tc>
          <w:tcPr>
            <w:tcW w:w="1560" w:type="dxa"/>
          </w:tcPr>
          <w:p w:rsidR="004B6558" w:rsidRPr="004B6558" w:rsidRDefault="004B6558" w:rsidP="004B6558">
            <w:r w:rsidRPr="004B6558">
              <w:t>t½ (median)</w:t>
            </w:r>
          </w:p>
        </w:tc>
        <w:tc>
          <w:tcPr>
            <w:tcW w:w="3260" w:type="dxa"/>
          </w:tcPr>
          <w:p w:rsidR="004B6558" w:rsidRPr="004B6558" w:rsidRDefault="004B6558" w:rsidP="004B6558">
            <w:r w:rsidRPr="004B6558">
              <w:t>0.5 h (SOF); 25 h (GS-331007)</w:t>
            </w:r>
          </w:p>
        </w:tc>
        <w:tc>
          <w:tcPr>
            <w:tcW w:w="3685" w:type="dxa"/>
          </w:tcPr>
          <w:p w:rsidR="004B6558" w:rsidRPr="004B6558" w:rsidRDefault="004B6558" w:rsidP="004B6558">
            <w:r w:rsidRPr="004B6558">
              <w:t>15 h</w:t>
            </w:r>
          </w:p>
        </w:tc>
      </w:tr>
    </w:tbl>
    <w:p w:rsidR="000D4647" w:rsidRDefault="00756A4F" w:rsidP="004B6558">
      <w:pPr>
        <w:pStyle w:val="Heading5"/>
        <w:rPr>
          <w:rFonts w:eastAsia="TimesNewRoman"/>
        </w:rPr>
      </w:pPr>
      <w:bookmarkStart w:id="157" w:name="_Toc241374292"/>
      <w:bookmarkStart w:id="158" w:name="_Ref271189131"/>
      <w:bookmarkStart w:id="159" w:name="_Ref271189136"/>
      <w:bookmarkStart w:id="160" w:name="_Toc272414625"/>
      <w:bookmarkStart w:id="161" w:name="_Toc290888474"/>
      <w:bookmarkStart w:id="162" w:name="_Toc290888625"/>
      <w:bookmarkStart w:id="163" w:name="_Toc458678668"/>
      <w:r>
        <w:rPr>
          <w:rFonts w:eastAsia="TimesNewRoman"/>
        </w:rPr>
        <w:t>Bioavailability</w:t>
      </w:r>
    </w:p>
    <w:p w:rsidR="000D4647" w:rsidRDefault="004B6558" w:rsidP="004B6558">
      <w:r w:rsidRPr="004B6558">
        <w:t>The absolute bioavailability of SOF/VEL FDC was not determined.</w:t>
      </w:r>
    </w:p>
    <w:p w:rsidR="000D4647" w:rsidRDefault="004B6558" w:rsidP="004B6558">
      <w:r w:rsidRPr="004B6558">
        <w:t>Interaction between SOF and VEL: Co-administration of SOF (400</w:t>
      </w:r>
      <w:r w:rsidR="00A82FA1">
        <w:t xml:space="preserve"> mg</w:t>
      </w:r>
      <w:r w:rsidRPr="004B6558">
        <w:t>) with VEL (150</w:t>
      </w:r>
      <w:r w:rsidR="00A82FA1">
        <w:t xml:space="preserve"> mg</w:t>
      </w:r>
      <w:r w:rsidRPr="004B6558">
        <w:t xml:space="preserve">) had no effect on VEL exposure (AUC or </w:t>
      </w:r>
      <w:proofErr w:type="spellStart"/>
      <w:r w:rsidR="00F044A6" w:rsidRPr="00604A4F">
        <w:t>C</w:t>
      </w:r>
      <w:r w:rsidR="00F044A6" w:rsidRPr="00F044A6">
        <w:rPr>
          <w:vertAlign w:val="subscript"/>
        </w:rPr>
        <w:t>max</w:t>
      </w:r>
      <w:proofErr w:type="spellEnd"/>
      <w:r w:rsidRPr="004B6558">
        <w:t>), whereas SOF plasma exposures increased approximately 1.8 (</w:t>
      </w:r>
      <w:proofErr w:type="spellStart"/>
      <w:r w:rsidR="00F044A6" w:rsidRPr="00604A4F">
        <w:t>C</w:t>
      </w:r>
      <w:r w:rsidR="00F044A6" w:rsidRPr="00F044A6">
        <w:rPr>
          <w:vertAlign w:val="subscript"/>
        </w:rPr>
        <w:t>max</w:t>
      </w:r>
      <w:proofErr w:type="spellEnd"/>
      <w:r w:rsidRPr="004B6558">
        <w:t xml:space="preserve">) and 2.4 (AUC) fold. The GS-331007 </w:t>
      </w:r>
      <w:proofErr w:type="spellStart"/>
      <w:r w:rsidR="00F044A6" w:rsidRPr="00604A4F">
        <w:t>C</w:t>
      </w:r>
      <w:r w:rsidR="00F044A6" w:rsidRPr="00F044A6">
        <w:rPr>
          <w:vertAlign w:val="subscript"/>
        </w:rPr>
        <w:t>max</w:t>
      </w:r>
      <w:proofErr w:type="spellEnd"/>
      <w:r w:rsidRPr="004B6558">
        <w:t xml:space="preserve"> decreased approximately 36%, but AUC was unaffected.</w:t>
      </w:r>
    </w:p>
    <w:p w:rsidR="000D4647" w:rsidRDefault="004B6558" w:rsidP="004B6558">
      <w:pPr>
        <w:pStyle w:val="Heading5"/>
      </w:pPr>
      <w:r w:rsidRPr="004B6558">
        <w:t>HCV patients</w:t>
      </w:r>
    </w:p>
    <w:p w:rsidR="000D4647" w:rsidRDefault="004B6558" w:rsidP="004B6558">
      <w:r w:rsidRPr="004B6558">
        <w:t xml:space="preserve">Based on population PK analyses, SOF and GS-331007 AUC0-24 and </w:t>
      </w:r>
      <w:proofErr w:type="spellStart"/>
      <w:r w:rsidR="00F044A6" w:rsidRPr="00604A4F">
        <w:t>C</w:t>
      </w:r>
      <w:r w:rsidR="00F044A6" w:rsidRPr="00F044A6">
        <w:rPr>
          <w:vertAlign w:val="subscript"/>
        </w:rPr>
        <w:t>max</w:t>
      </w:r>
      <w:proofErr w:type="spellEnd"/>
      <w:r w:rsidRPr="004B6558">
        <w:t xml:space="preserve"> were similar in healthy adults and HCV patients. VEL AUC0-24 and </w:t>
      </w:r>
      <w:proofErr w:type="spellStart"/>
      <w:r w:rsidR="00F044A6" w:rsidRPr="00604A4F">
        <w:t>C</w:t>
      </w:r>
      <w:r w:rsidR="00F044A6" w:rsidRPr="00F044A6">
        <w:rPr>
          <w:vertAlign w:val="subscript"/>
        </w:rPr>
        <w:t>max</w:t>
      </w:r>
      <w:proofErr w:type="spellEnd"/>
      <w:r w:rsidRPr="004B6558">
        <w:t xml:space="preserve"> were 37% lower and 41% lower respectively in HCV-infected patients compared to healthy adults</w:t>
      </w:r>
    </w:p>
    <w:p w:rsidR="000D4647" w:rsidRDefault="004B6558" w:rsidP="004B6558">
      <w:pPr>
        <w:pStyle w:val="Heading5"/>
      </w:pPr>
      <w:r w:rsidRPr="004B6558">
        <w:t>Food effect</w:t>
      </w:r>
    </w:p>
    <w:p w:rsidR="000D4647" w:rsidRDefault="004B6558" w:rsidP="004B6558">
      <w:r w:rsidRPr="004B6558">
        <w:t xml:space="preserve">A single dose of </w:t>
      </w:r>
      <w:proofErr w:type="spellStart"/>
      <w:r w:rsidR="007419D9">
        <w:t>Epclusa</w:t>
      </w:r>
      <w:proofErr w:type="spellEnd"/>
      <w:r w:rsidRPr="004B6558">
        <w:t xml:space="preserve"> with a moderate or high fat meal increased SOF exposure (AUC) by 60% </w:t>
      </w:r>
      <w:r w:rsidR="00A82FA1">
        <w:t>and</w:t>
      </w:r>
      <w:r w:rsidRPr="004B6558">
        <w:t xml:space="preserve"> 78% respectively, but did not affect its </w:t>
      </w:r>
      <w:proofErr w:type="spellStart"/>
      <w:r w:rsidR="00F044A6" w:rsidRPr="00604A4F">
        <w:t>C</w:t>
      </w:r>
      <w:r w:rsidR="00F044A6" w:rsidRPr="00F044A6">
        <w:rPr>
          <w:vertAlign w:val="subscript"/>
        </w:rPr>
        <w:t>max</w:t>
      </w:r>
      <w:proofErr w:type="spellEnd"/>
      <w:r w:rsidRPr="004B6558">
        <w:t xml:space="preserve">. The GS-331007 AUC was not affected, but there was 25% and 37% decrease in </w:t>
      </w:r>
      <w:proofErr w:type="spellStart"/>
      <w:r w:rsidR="00F044A6" w:rsidRPr="00604A4F">
        <w:t>C</w:t>
      </w:r>
      <w:r w:rsidR="00F044A6" w:rsidRPr="00F044A6">
        <w:rPr>
          <w:vertAlign w:val="subscript"/>
        </w:rPr>
        <w:t>max</w:t>
      </w:r>
      <w:proofErr w:type="spellEnd"/>
      <w:r w:rsidRPr="004B6558">
        <w:t xml:space="preserve">. For VEL, moderate or high fat meal resulted in 34% and 21% increase in AUC respectively, and 31% and 5% increase in </w:t>
      </w:r>
      <w:proofErr w:type="spellStart"/>
      <w:r w:rsidR="00F044A6" w:rsidRPr="00604A4F">
        <w:t>C</w:t>
      </w:r>
      <w:r w:rsidR="00F044A6" w:rsidRPr="00F044A6">
        <w:rPr>
          <w:vertAlign w:val="subscript"/>
        </w:rPr>
        <w:t>max</w:t>
      </w:r>
      <w:proofErr w:type="spellEnd"/>
      <w:r w:rsidRPr="004B6558">
        <w:t xml:space="preserve"> respectively.</w:t>
      </w:r>
    </w:p>
    <w:p w:rsidR="000D4647" w:rsidRDefault="004B6558" w:rsidP="004B6558">
      <w:pPr>
        <w:pStyle w:val="Heading5"/>
      </w:pPr>
      <w:r w:rsidRPr="004B6558">
        <w:t>Renal impairment</w:t>
      </w:r>
    </w:p>
    <w:p w:rsidR="000D4647" w:rsidRDefault="004B6558" w:rsidP="004B6558">
      <w:r w:rsidRPr="004B6558">
        <w:t>Following single dose (400</w:t>
      </w:r>
      <w:r w:rsidR="00A82FA1">
        <w:t xml:space="preserve"> mg</w:t>
      </w:r>
      <w:r w:rsidRPr="004B6558">
        <w:t>) SOF AUC was 61%, 107% and 171% higher in mild, moderate, and severe renal impairment, while the GS-331007 AUC was 55%, 88%, and 451% higher respectively compared to HCV patients with normal renal function. The metabolite GS-331007 is removed by haemodialysis with an extraction coefficient of approximately 53%. Renal impairment does not affect exposure to VEL.</w:t>
      </w:r>
    </w:p>
    <w:p w:rsidR="000D4647" w:rsidRDefault="00A82FA1" w:rsidP="00A82FA1">
      <w:pPr>
        <w:pStyle w:val="Heading5"/>
      </w:pPr>
      <w:r>
        <w:t>Hepatic impairment</w:t>
      </w:r>
    </w:p>
    <w:p w:rsidR="000D4647" w:rsidRDefault="004B6558" w:rsidP="004B6558">
      <w:r w:rsidRPr="004B6558">
        <w:t>Following multiple dosing, SOF AUC was 126% and 143% higher in moderate and severe hepatic impairment, while the GS-331007 AUC was 18% and 9% higher respectively. Following a single (100</w:t>
      </w:r>
      <w:r w:rsidR="00A82FA1">
        <w:t xml:space="preserve"> mg</w:t>
      </w:r>
      <w:r w:rsidRPr="004B6558">
        <w:t>) dose, VEL AUC was similar in patients with moderate or severe hepatic impairment compared to subjects with normal hepatic function.</w:t>
      </w:r>
    </w:p>
    <w:p w:rsidR="000D4647" w:rsidRDefault="004B6558" w:rsidP="004B6558">
      <w:pPr>
        <w:pStyle w:val="Heading5"/>
      </w:pPr>
      <w:r w:rsidRPr="004B6558">
        <w:t xml:space="preserve">Drug-drug interactions: </w:t>
      </w:r>
    </w:p>
    <w:p w:rsidR="000D4647" w:rsidRDefault="004B6558" w:rsidP="004B6558">
      <w:r w:rsidRPr="004B6558">
        <w:t>SOF and VEL are substrates of drug transporters P-</w:t>
      </w:r>
      <w:proofErr w:type="spellStart"/>
      <w:r w:rsidRPr="004B6558">
        <w:t>gp</w:t>
      </w:r>
      <w:proofErr w:type="spellEnd"/>
      <w:r w:rsidRPr="004B6558">
        <w:t xml:space="preserve"> and BCRP.</w:t>
      </w:r>
    </w:p>
    <w:p w:rsidR="000D4647" w:rsidRDefault="004B6558" w:rsidP="004B6558">
      <w:r w:rsidRPr="004B6558">
        <w:t>SOF and GS-331007 are not inhibitors of P-</w:t>
      </w:r>
      <w:proofErr w:type="spellStart"/>
      <w:r w:rsidRPr="004B6558">
        <w:t>gp</w:t>
      </w:r>
      <w:proofErr w:type="spellEnd"/>
      <w:r w:rsidRPr="004B6558">
        <w:t xml:space="preserve">, BCRP, OATP1B1, OATP1B3, and OCT1. The metabolite GS-331007 is not an inhibitor of OAT1, OAT3, OCT2, and MATE1. SOF and GS-331007 are not inhibitors or inducers of CYP450 or </w:t>
      </w:r>
      <w:r w:rsidR="00FF1DF1">
        <w:t>uridine glucuronosyltransferase (UGT)</w:t>
      </w:r>
      <w:r w:rsidR="00FF1DF1" w:rsidRPr="004B6558">
        <w:t xml:space="preserve"> </w:t>
      </w:r>
      <w:r w:rsidRPr="004B6558">
        <w:t>UGT1A1 enzymes.</w:t>
      </w:r>
    </w:p>
    <w:p w:rsidR="000D4647" w:rsidRDefault="004B6558" w:rsidP="004B6558">
      <w:r w:rsidRPr="004B6558">
        <w:lastRenderedPageBreak/>
        <w:t>VEL is an inhibitor of P-</w:t>
      </w:r>
      <w:proofErr w:type="spellStart"/>
      <w:r w:rsidRPr="004B6558">
        <w:t>gp</w:t>
      </w:r>
      <w:proofErr w:type="spellEnd"/>
      <w:r w:rsidRPr="004B6558">
        <w:t>, BCRP, OATP1B1, and OATP1B3. At clinically relevant levels, VEL does not inhibit hepatic transporters OATP1A2 or OCT1, renal transporters OCT2, OAT1, OAT3 or MATE1, or CYP450 or UGT1A1 enzymes.</w:t>
      </w:r>
    </w:p>
    <w:p w:rsidR="000D4647" w:rsidRDefault="004B6558" w:rsidP="004B6558">
      <w:r w:rsidRPr="004B6558">
        <w:t>A range of drug-drug interaction s</w:t>
      </w:r>
      <w:r w:rsidR="00A82FA1">
        <w:t xml:space="preserve">tudies (including </w:t>
      </w:r>
      <w:proofErr w:type="spellStart"/>
      <w:r w:rsidR="00A82FA1">
        <w:t>rosuvastatin</w:t>
      </w:r>
      <w:proofErr w:type="spellEnd"/>
      <w:r w:rsidR="00A82FA1">
        <w:t>;</w:t>
      </w:r>
      <w:r w:rsidRPr="004B6558">
        <w:t xml:space="preserve"> risk of rhabdomyolysis) were performed. Please see </w:t>
      </w:r>
      <w:bookmarkEnd w:id="157"/>
      <w:bookmarkEnd w:id="158"/>
      <w:bookmarkEnd w:id="159"/>
      <w:bookmarkEnd w:id="160"/>
      <w:bookmarkEnd w:id="161"/>
      <w:bookmarkEnd w:id="162"/>
      <w:bookmarkEnd w:id="163"/>
      <w:r w:rsidR="00A82FA1">
        <w:t>Attachment 2</w:t>
      </w:r>
      <w:r w:rsidRPr="004B6558">
        <w:t xml:space="preserve"> including sponsor’s response to </w:t>
      </w:r>
      <w:r w:rsidR="00A82FA1">
        <w:t>questions in r</w:t>
      </w:r>
      <w:r w:rsidRPr="004B6558">
        <w:t>ound 2. Drugs that are potent inducers of P-</w:t>
      </w:r>
      <w:proofErr w:type="spellStart"/>
      <w:r w:rsidRPr="004B6558">
        <w:t>gp</w:t>
      </w:r>
      <w:proofErr w:type="spellEnd"/>
      <w:r w:rsidRPr="004B6558">
        <w:t xml:space="preserve"> and/or moderate to potent inducers of CYP2B6, CYP2C8, or CYP3A4 (</w:t>
      </w:r>
      <w:r w:rsidR="00A82FA1">
        <w:t>for example</w:t>
      </w:r>
      <w:r w:rsidRPr="004B6558">
        <w:t xml:space="preserve">, </w:t>
      </w:r>
      <w:proofErr w:type="spellStart"/>
      <w:r w:rsidRPr="004B6558">
        <w:t>rifampin</w:t>
      </w:r>
      <w:proofErr w:type="spellEnd"/>
      <w:r w:rsidRPr="004B6558">
        <w:t xml:space="preserve">, St. John’s wort, carbamazepine) may decrease plasma concentrations of </w:t>
      </w:r>
      <w:proofErr w:type="spellStart"/>
      <w:r w:rsidRPr="004B6558">
        <w:t>sofosbuvir</w:t>
      </w:r>
      <w:proofErr w:type="spellEnd"/>
      <w:r w:rsidRPr="004B6558">
        <w:t xml:space="preserve"> and/or </w:t>
      </w:r>
      <w:proofErr w:type="spellStart"/>
      <w:r w:rsidRPr="004B6558">
        <w:t>velpatasvir</w:t>
      </w:r>
      <w:proofErr w:type="spellEnd"/>
      <w:r w:rsidRPr="004B6558">
        <w:t xml:space="preserve"> leading to reduced therapeutic effect of </w:t>
      </w:r>
      <w:proofErr w:type="spellStart"/>
      <w:r w:rsidR="007419D9">
        <w:t>Epclusa</w:t>
      </w:r>
      <w:proofErr w:type="spellEnd"/>
      <w:r w:rsidRPr="004B6558">
        <w:t>.</w:t>
      </w:r>
    </w:p>
    <w:p w:rsidR="000D4647" w:rsidRDefault="004B6558" w:rsidP="004B6558">
      <w:r w:rsidRPr="004B6558">
        <w:t>Co</w:t>
      </w:r>
      <w:r w:rsidR="00A82FA1">
        <w:t>-</w:t>
      </w:r>
      <w:r w:rsidRPr="004B6558">
        <w:t>administration with drugs that inhibit P-</w:t>
      </w:r>
      <w:proofErr w:type="spellStart"/>
      <w:r w:rsidRPr="004B6558">
        <w:t>gp</w:t>
      </w:r>
      <w:proofErr w:type="spellEnd"/>
      <w:r w:rsidRPr="004B6558">
        <w:t xml:space="preserve"> and/or BCRP may increase </w:t>
      </w:r>
      <w:proofErr w:type="spellStart"/>
      <w:r w:rsidRPr="004B6558">
        <w:t>sofosbuvir</w:t>
      </w:r>
      <w:proofErr w:type="spellEnd"/>
      <w:r w:rsidRPr="004B6558">
        <w:t xml:space="preserve"> and/or </w:t>
      </w:r>
      <w:proofErr w:type="spellStart"/>
      <w:r w:rsidRPr="004B6558">
        <w:t>velpatasvir</w:t>
      </w:r>
      <w:proofErr w:type="spellEnd"/>
      <w:r w:rsidRPr="004B6558">
        <w:t xml:space="preserve"> plasma concentrations without increasing GS-331007 plasma concentration. Drugs that inhibit CYP2B6, CYP2C8, or CYP3A4 may increase plasma concentration of </w:t>
      </w:r>
      <w:proofErr w:type="spellStart"/>
      <w:r w:rsidRPr="004B6558">
        <w:t>velpatasvir</w:t>
      </w:r>
      <w:proofErr w:type="spellEnd"/>
      <w:r w:rsidRPr="004B6558">
        <w:t>.</w:t>
      </w:r>
    </w:p>
    <w:p w:rsidR="000D4647" w:rsidRDefault="004B6558" w:rsidP="006D5C49">
      <w:pPr>
        <w:pStyle w:val="Heading4"/>
      </w:pPr>
      <w:r w:rsidRPr="004B6558">
        <w:t>Clinical Efficacy</w:t>
      </w:r>
    </w:p>
    <w:p w:rsidR="000D4647" w:rsidRDefault="004B6558" w:rsidP="006D5C49">
      <w:pPr>
        <w:pStyle w:val="Heading5"/>
      </w:pPr>
      <w:bookmarkStart w:id="164" w:name="_Ref271214453"/>
      <w:bookmarkStart w:id="165" w:name="_Toc272414649"/>
      <w:bookmarkStart w:id="166" w:name="_Toc290888497"/>
      <w:bookmarkStart w:id="167" w:name="_Toc458678692"/>
      <w:r w:rsidRPr="004B6558">
        <w:t>D</w:t>
      </w:r>
      <w:bookmarkEnd w:id="164"/>
      <w:bookmarkEnd w:id="165"/>
      <w:bookmarkEnd w:id="166"/>
      <w:bookmarkEnd w:id="167"/>
      <w:r w:rsidRPr="004B6558">
        <w:t>ose selection</w:t>
      </w:r>
    </w:p>
    <w:p w:rsidR="000D4647" w:rsidRDefault="004B6558" w:rsidP="004B6558">
      <w:r w:rsidRPr="004B6558">
        <w:t>The 400</w:t>
      </w:r>
      <w:r w:rsidR="00A82FA1">
        <w:t xml:space="preserve"> mg</w:t>
      </w:r>
      <w:r w:rsidRPr="004B6558">
        <w:t xml:space="preserve"> once daily SOF is the currently approved dose of this drug. Although there was evidence of interaction with co-administered VEL, no other dose level was considered. For VEL, based on Phase I </w:t>
      </w:r>
      <w:r w:rsidR="00A82FA1">
        <w:t>and</w:t>
      </w:r>
      <w:r w:rsidRPr="004B6558">
        <w:t xml:space="preserve"> II data, the 100</w:t>
      </w:r>
      <w:r w:rsidR="00A82FA1">
        <w:t xml:space="preserve"> mg</w:t>
      </w:r>
      <w:r w:rsidRPr="004B6558">
        <w:t xml:space="preserve"> daily is considered a pragmatic choice from doses </w:t>
      </w:r>
      <w:r w:rsidR="00F044A6">
        <w:t xml:space="preserve">&gt; </w:t>
      </w:r>
      <w:r w:rsidRPr="004B6558">
        <w:t>25</w:t>
      </w:r>
      <w:r w:rsidR="00A82FA1">
        <w:t xml:space="preserve"> mg</w:t>
      </w:r>
      <w:r w:rsidRPr="004B6558">
        <w:t xml:space="preserve"> to maximise efficacy.</w:t>
      </w:r>
    </w:p>
    <w:p w:rsidR="000D4647" w:rsidRDefault="004B6558" w:rsidP="006D5C49">
      <w:pPr>
        <w:pStyle w:val="Heading5"/>
      </w:pPr>
      <w:bookmarkStart w:id="168" w:name="_Ref271037274"/>
      <w:bookmarkStart w:id="169" w:name="_Toc272414652"/>
      <w:bookmarkStart w:id="170" w:name="_Toc290888500"/>
      <w:bookmarkStart w:id="171" w:name="_Toc458678695"/>
      <w:r w:rsidRPr="004B6558">
        <w:t>Pivotal efficacy studies</w:t>
      </w:r>
      <w:bookmarkEnd w:id="168"/>
      <w:bookmarkEnd w:id="169"/>
      <w:bookmarkEnd w:id="170"/>
      <w:bookmarkEnd w:id="171"/>
    </w:p>
    <w:p w:rsidR="000D4647" w:rsidRDefault="004B6558" w:rsidP="004B6558">
      <w:r w:rsidRPr="004B6558">
        <w:t xml:space="preserve">Four randomised clinical trials (ASTTRAL 1, 2, 3 and 4) form the pivotal evidence of efficacy of </w:t>
      </w:r>
      <w:proofErr w:type="spellStart"/>
      <w:r w:rsidR="007419D9">
        <w:t>Epclusa</w:t>
      </w:r>
      <w:proofErr w:type="spellEnd"/>
      <w:r w:rsidRPr="004B6558">
        <w:t>.</w:t>
      </w:r>
    </w:p>
    <w:p w:rsidR="000D4647" w:rsidRDefault="00E16107" w:rsidP="004B6558">
      <w:r>
        <w:t>ASTRAL-</w:t>
      </w:r>
      <w:r w:rsidR="004B6558" w:rsidRPr="004B6558">
        <w:t xml:space="preserve">1 was conducted mainly in HCV genotype 1 patients but also included </w:t>
      </w:r>
      <w:r>
        <w:t>genotypes 2, 4, 5 and 6. ASTRAL-</w:t>
      </w:r>
      <w:r w:rsidR="004B6558" w:rsidRPr="004B6558">
        <w:t xml:space="preserve">2 and </w:t>
      </w:r>
      <w:r>
        <w:t>ASTRAL-</w:t>
      </w:r>
      <w:r w:rsidR="004B6558" w:rsidRPr="004B6558">
        <w:t xml:space="preserve">3 were conducted in HCV genotype 2 and 3 patients respectively. The population in these 3 trials consisted of patients who were </w:t>
      </w:r>
      <w:r w:rsidR="00C77715">
        <w:t>treatment naïve</w:t>
      </w:r>
      <w:r w:rsidR="004B6558" w:rsidRPr="004B6558">
        <w:t xml:space="preserve"> (TN) or </w:t>
      </w:r>
      <w:r w:rsidR="00C77715">
        <w:t>treatment experienced</w:t>
      </w:r>
      <w:r w:rsidR="004B6558" w:rsidRPr="004B6558">
        <w:t xml:space="preserve"> (TE</w:t>
      </w:r>
      <w:r w:rsidR="00C77715">
        <w:t>) (</w:t>
      </w:r>
      <w:r w:rsidR="007419D9">
        <w:t>approximately</w:t>
      </w:r>
      <w:r w:rsidR="004B6558" w:rsidRPr="004B6558">
        <w:t>20%), with cirrhosis and compensated liver function (</w:t>
      </w:r>
      <w:r w:rsidR="007419D9">
        <w:t>approximately</w:t>
      </w:r>
      <w:r w:rsidR="004B6558" w:rsidRPr="004B6558">
        <w:t>20%) or without cirrhosis.</w:t>
      </w:r>
    </w:p>
    <w:p w:rsidR="000D4647" w:rsidRDefault="00E16107" w:rsidP="004B6558">
      <w:r>
        <w:t>In ASTRAL-</w:t>
      </w:r>
      <w:r w:rsidR="004B6558" w:rsidRPr="004B6558">
        <w:t>1, patients were stratified by HCV genotype (except GT5) and cirrho</w:t>
      </w:r>
      <w:r>
        <w:t>sis at randomisation. In ASTRAL-</w:t>
      </w:r>
      <w:r w:rsidR="004B6558" w:rsidRPr="004B6558">
        <w:t xml:space="preserve">2 and </w:t>
      </w:r>
      <w:r>
        <w:t>ASTRAL-</w:t>
      </w:r>
      <w:r w:rsidR="004B6558" w:rsidRPr="004B6558">
        <w:t xml:space="preserve">3, patients were stratified by cirrhosis and prior treatment experience at randomisation. The patient inclusion/exclusion </w:t>
      </w:r>
      <w:r>
        <w:t>criteria were similar in ASTRAL-</w:t>
      </w:r>
      <w:r w:rsidR="004B6558" w:rsidRPr="004B6558">
        <w:t xml:space="preserve">1, </w:t>
      </w:r>
      <w:r>
        <w:t>ASTRAL-</w:t>
      </w:r>
      <w:r w:rsidR="004B6558" w:rsidRPr="004B6558">
        <w:t xml:space="preserve">2, </w:t>
      </w:r>
      <w:r>
        <w:t>and ASTRAL-</w:t>
      </w:r>
      <w:r w:rsidR="004B6558" w:rsidRPr="004B6558">
        <w:t>3 (except in regard to the HCV genotypes).</w:t>
      </w:r>
    </w:p>
    <w:p w:rsidR="000D4647" w:rsidRDefault="00E16107" w:rsidP="004B6558">
      <w:r>
        <w:t>ASTRAL-</w:t>
      </w:r>
      <w:r w:rsidR="004B6558" w:rsidRPr="004B6558">
        <w:t xml:space="preserve">4 was conducted in patients TN or TE patients with decompensated liver disease and included all HCV genotypes. In this trial, baseline hepatic </w:t>
      </w:r>
      <w:r w:rsidR="00D27280">
        <w:t>Child-Pugh-</w:t>
      </w:r>
      <w:proofErr w:type="spellStart"/>
      <w:r w:rsidR="00D27280">
        <w:t>Turcotte</w:t>
      </w:r>
      <w:proofErr w:type="spellEnd"/>
      <w:r w:rsidR="00D27280" w:rsidRPr="004B6558">
        <w:t xml:space="preserve"> </w:t>
      </w:r>
      <w:r w:rsidR="00D27280">
        <w:t>(</w:t>
      </w:r>
      <w:r w:rsidR="004B6558" w:rsidRPr="004B6558">
        <w:t>CPT</w:t>
      </w:r>
      <w:r w:rsidR="00D27280">
        <w:t>)</w:t>
      </w:r>
      <w:r w:rsidR="004B6558" w:rsidRPr="004B6558">
        <w:t xml:space="preserve"> class B was present in </w:t>
      </w:r>
      <w:r w:rsidR="007419D9">
        <w:t>approximately</w:t>
      </w:r>
      <w:r w:rsidR="004B6558" w:rsidRPr="004B6558">
        <w:t>90% patients. Mild to moderate ascites was present in 77.5% patients and severe ascites in 2.6% patients. At baseline, 38.2% patients had no encephalopathy and 61.8% had Grade 1-2 encephalopathy. No patients had severe encephalopathy. Approximately 55% patients were non-responders to previous therapies, mostly peg-IFN based regimens.</w:t>
      </w:r>
    </w:p>
    <w:p w:rsidR="000D4647" w:rsidRDefault="004B6558" w:rsidP="004B6558">
      <w:r w:rsidRPr="004B6558">
        <w:t>All four trials were in adult population an</w:t>
      </w:r>
      <w:r w:rsidR="00E16107">
        <w:t>d included both genders. ASTRAL-</w:t>
      </w:r>
      <w:r w:rsidRPr="004B6558">
        <w:t xml:space="preserve">1 was randomised, </w:t>
      </w:r>
      <w:r w:rsidR="00C77715">
        <w:t>double blind</w:t>
      </w:r>
      <w:r w:rsidRPr="004B6558">
        <w:t xml:space="preserve">, </w:t>
      </w:r>
      <w:r w:rsidR="00C77715">
        <w:t>placebo controlled</w:t>
      </w:r>
      <w:r w:rsidRPr="004B6558">
        <w:t xml:space="preserve"> study designed as a su</w:t>
      </w:r>
      <w:r w:rsidR="00E16107">
        <w:t>periority trial, whereas ASTRAL-</w:t>
      </w:r>
      <w:r w:rsidRPr="004B6558">
        <w:t xml:space="preserve">2 and </w:t>
      </w:r>
      <w:r w:rsidR="00E16107">
        <w:t>ASTRAL-</w:t>
      </w:r>
      <w:r w:rsidRPr="004B6558">
        <w:t xml:space="preserve">3 were randomised, active (but not optimally) controlled, </w:t>
      </w:r>
      <w:r w:rsidR="00C77715">
        <w:t>open label</w:t>
      </w:r>
      <w:r w:rsidRPr="004B6558">
        <w:t xml:space="preserve"> studies designed as non-inferiority trials. Overall, baseline features were generally comparable in the treatment grou</w:t>
      </w:r>
      <w:r w:rsidR="00E16107">
        <w:t>ps in respective trials. ASTRAL-</w:t>
      </w:r>
      <w:r w:rsidRPr="004B6558">
        <w:t>4 was a randomised, active controlled superiority trial.</w:t>
      </w:r>
    </w:p>
    <w:p w:rsidR="000D4647" w:rsidRDefault="007419D9" w:rsidP="004B6558">
      <w:proofErr w:type="spellStart"/>
      <w:r>
        <w:t>Epclusa</w:t>
      </w:r>
      <w:proofErr w:type="spellEnd"/>
      <w:r w:rsidR="004B6558" w:rsidRPr="004B6558">
        <w:t xml:space="preserve"> (400/100</w:t>
      </w:r>
      <w:r w:rsidR="00A82FA1">
        <w:t xml:space="preserve"> mg</w:t>
      </w:r>
      <w:r w:rsidR="004B6558" w:rsidRPr="004B6558">
        <w:t>) FDC tablets were taken without regard for food. Dose modification for SOF/VEL was not permitted but RBV dose modification or discontinuation was permitted at the discretion of the investigator where relevant. The treatment groups, number of patients and durat</w:t>
      </w:r>
      <w:r w:rsidR="00C77715">
        <w:t xml:space="preserve">ion of treatment were as shown </w:t>
      </w:r>
      <w:r w:rsidR="00C77715" w:rsidRPr="00756A4F">
        <w:t xml:space="preserve">in Table </w:t>
      </w:r>
      <w:r w:rsidR="00756A4F" w:rsidRPr="00756A4F">
        <w:t>11</w:t>
      </w:r>
      <w:r w:rsidR="00C77715" w:rsidRPr="00756A4F">
        <w:t>.</w:t>
      </w:r>
    </w:p>
    <w:p w:rsidR="000D4647" w:rsidRDefault="00C77715" w:rsidP="00C77715">
      <w:pPr>
        <w:pStyle w:val="Tabletitle0"/>
      </w:pPr>
      <w:r w:rsidRPr="00756A4F">
        <w:lastRenderedPageBreak/>
        <w:t xml:space="preserve">Table </w:t>
      </w:r>
      <w:r w:rsidR="00756A4F" w:rsidRPr="00756A4F">
        <w:t>11</w:t>
      </w:r>
      <w:r w:rsidRPr="00756A4F">
        <w:t>: Pivotal studies treatment groups, number of patients and duration of</w:t>
      </w:r>
      <w:r>
        <w:t xml:space="preserve"> treatment</w:t>
      </w:r>
    </w:p>
    <w:p w:rsidR="000D4647" w:rsidRDefault="006D5C49" w:rsidP="004B6558">
      <w:r>
        <w:rPr>
          <w:noProof/>
          <w:lang w:eastAsia="en-AU"/>
        </w:rPr>
        <w:drawing>
          <wp:inline distT="0" distB="0" distL="0" distR="0" wp14:anchorId="2C847777" wp14:editId="70E7E160">
            <wp:extent cx="4967020" cy="2501553"/>
            <wp:effectExtent l="0" t="0" r="5080" b="0"/>
            <wp:docPr id="1" name="Picture 1" descr="Table 11: Pivotal studies treatment groups, number of patients and dur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77447" cy="2506804"/>
                    </a:xfrm>
                    <a:prstGeom prst="rect">
                      <a:avLst/>
                    </a:prstGeom>
                  </pic:spPr>
                </pic:pic>
              </a:graphicData>
            </a:graphic>
          </wp:inline>
        </w:drawing>
      </w:r>
    </w:p>
    <w:p w:rsidR="000D4647" w:rsidRDefault="006D5C49" w:rsidP="006D5C49">
      <w:r w:rsidRPr="006D5C49">
        <w:t>The trial set-up and</w:t>
      </w:r>
      <w:r w:rsidR="00C77715">
        <w:t xml:space="preserve"> procedures, including efficacy and </w:t>
      </w:r>
      <w:r w:rsidRPr="006D5C49">
        <w:t>safety outcomes, were similar in the 4 trials. The primary efficacy outcome was the proportion of patients achieving SVR12. All trials are ongoing with only interim reports in this dossier. PK sub-studies were also carried out within these trials.</w:t>
      </w:r>
    </w:p>
    <w:p w:rsidR="000D4647" w:rsidRDefault="00C77715" w:rsidP="00C77715">
      <w:pPr>
        <w:pStyle w:val="Heading5"/>
      </w:pPr>
      <w:r>
        <w:t>Results</w:t>
      </w:r>
    </w:p>
    <w:p w:rsidR="000D4647" w:rsidRDefault="00E16107" w:rsidP="006D5C49">
      <w:pPr>
        <w:pStyle w:val="Heading6"/>
      </w:pPr>
      <w:r>
        <w:t>ASTRAL-</w:t>
      </w:r>
      <w:r w:rsidR="00C77715">
        <w:t>1</w:t>
      </w:r>
    </w:p>
    <w:p w:rsidR="000D4647" w:rsidRDefault="00E16107" w:rsidP="006D5C49">
      <w:r>
        <w:t>In ASTRAL-</w:t>
      </w:r>
      <w:r w:rsidR="006D5C49" w:rsidRPr="006D5C49">
        <w:t>1, SVR12 rate in SOF/VEL group was to be compared with a hypothetical performance goal of 85% for the successful demonstration of efficacy. SVR12 was 99.0% (95%CI 97.9%, 99.6%), which was statistically superior to the pre-specified performance goal of 85% (</w:t>
      </w:r>
      <w:r w:rsidR="00C77715">
        <w:t>p &lt;</w:t>
      </w:r>
      <w:r w:rsidR="006F35F9">
        <w:t xml:space="preserve"> </w:t>
      </w:r>
      <w:r w:rsidR="006D5C49" w:rsidRPr="006D5C49">
        <w:t xml:space="preserve">0.001) following 12 weeks of treatment. The SVR12 rates were comparable in all genotypic and demographic subgroups. SVR12 was achieved in 99.2% cirrhotic patients and 99.5% </w:t>
      </w:r>
      <w:r w:rsidR="00C77715">
        <w:t>treatment experienced</w:t>
      </w:r>
      <w:r w:rsidR="006D5C49" w:rsidRPr="006D5C49">
        <w:t xml:space="preserve"> patients. No patient in the placebo group achieved SVR12. In SOF/VEL group at Weeks 4 and Week 8, 90.5% and 99.7% patients respectively had HCV RNA </w:t>
      </w:r>
      <w:r w:rsidR="006F35F9">
        <w:t xml:space="preserve">&lt; </w:t>
      </w:r>
      <w:r w:rsidR="006D5C49" w:rsidRPr="006D5C49">
        <w:t xml:space="preserve">lower limit of quantification (LLOQ). Mean HCV RNA levels declined rapidly by -5.12 to -4.82 </w:t>
      </w:r>
      <w:r w:rsidR="00A82FA1" w:rsidRPr="00D6575E">
        <w:t>log</w:t>
      </w:r>
      <w:r w:rsidR="00A82FA1" w:rsidRPr="00A82FA1">
        <w:rPr>
          <w:vertAlign w:val="subscript"/>
        </w:rPr>
        <w:t>10</w:t>
      </w:r>
      <w:r w:rsidR="006D5C49" w:rsidRPr="006D5C49">
        <w:t xml:space="preserve"> IU/mL from baseline to the end of treatment across the study genotypes.</w:t>
      </w:r>
    </w:p>
    <w:p w:rsidR="000D4647" w:rsidRDefault="006D5C49" w:rsidP="006D5C49">
      <w:r w:rsidRPr="006D5C49">
        <w:t>N</w:t>
      </w:r>
      <w:r w:rsidR="00C77715">
        <w:t>o patient in SOF/VEL group had o</w:t>
      </w:r>
      <w:r w:rsidRPr="006D5C49">
        <w:t xml:space="preserve">n-treatment </w:t>
      </w:r>
      <w:proofErr w:type="spellStart"/>
      <w:r w:rsidR="00C77715">
        <w:t>virologic</w:t>
      </w:r>
      <w:proofErr w:type="spellEnd"/>
      <w:r w:rsidR="00C77715">
        <w:t xml:space="preserve"> failure. A total of 6 out of </w:t>
      </w:r>
      <w:r w:rsidRPr="006D5C49">
        <w:t xml:space="preserve">624 (1%) patients did not achieve SVR12. Two had </w:t>
      </w:r>
      <w:proofErr w:type="spellStart"/>
      <w:r w:rsidRPr="006D5C49">
        <w:t>virologic</w:t>
      </w:r>
      <w:proofErr w:type="spellEnd"/>
      <w:r w:rsidRPr="006D5C49">
        <w:t xml:space="preserve"> relapse and 4 patients did not achieve SVR12 due to other reasons. The 2 relapsed patients (GT1) had NS5A RAVs at baseline and both developed additional NS5A RAVs at relapse. There were no </w:t>
      </w:r>
      <w:proofErr w:type="spellStart"/>
      <w:r w:rsidRPr="006D5C49">
        <w:t>virologic</w:t>
      </w:r>
      <w:proofErr w:type="spellEnd"/>
      <w:r w:rsidRPr="006D5C49">
        <w:t xml:space="preserve"> failures in patients with GT 2, 4, 5, or 6. In </w:t>
      </w:r>
      <w:r w:rsidR="00C77715">
        <w:t>the second round clinical</w:t>
      </w:r>
      <w:r w:rsidRPr="006D5C49">
        <w:t xml:space="preserve"> evaluation, summary results for SVR24 were reported as </w:t>
      </w:r>
      <w:r w:rsidR="00C77715">
        <w:t xml:space="preserve">shown </w:t>
      </w:r>
      <w:r w:rsidR="00C77715" w:rsidRPr="00756A4F">
        <w:t xml:space="preserve">in Table </w:t>
      </w:r>
      <w:r w:rsidR="00756A4F" w:rsidRPr="00756A4F">
        <w:t>12</w:t>
      </w:r>
      <w:r w:rsidR="00C77715" w:rsidRPr="00756A4F">
        <w:t>.</w:t>
      </w:r>
    </w:p>
    <w:p w:rsidR="000D4647" w:rsidRDefault="00756A4F" w:rsidP="00C77715">
      <w:pPr>
        <w:pStyle w:val="Tabletitle0"/>
      </w:pPr>
      <w:r>
        <w:lastRenderedPageBreak/>
        <w:t>Table 12</w:t>
      </w:r>
      <w:r w:rsidR="00E16107">
        <w:t>: ASTRAL-</w:t>
      </w:r>
      <w:r w:rsidR="00C77715">
        <w:t xml:space="preserve">1; </w:t>
      </w:r>
      <w:r w:rsidR="00C77715" w:rsidRPr="006D5C49">
        <w:t>summary results for SVR24</w:t>
      </w:r>
    </w:p>
    <w:p w:rsidR="000D4647" w:rsidRDefault="006D5C49" w:rsidP="004B6558">
      <w:r>
        <w:rPr>
          <w:noProof/>
          <w:lang w:eastAsia="en-AU"/>
        </w:rPr>
        <w:drawing>
          <wp:inline distT="0" distB="0" distL="0" distR="0" wp14:anchorId="0ABE1537" wp14:editId="3940A3B1">
            <wp:extent cx="5400040" cy="2846560"/>
            <wp:effectExtent l="0" t="0" r="0" b="0"/>
            <wp:docPr id="2" name="Picture 2" descr="Table 12: ASTRAL-1; summary results for SV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40000"/>
                              </a14:imgEffect>
                            </a14:imgLayer>
                          </a14:imgProps>
                        </a:ext>
                      </a:extLst>
                    </a:blip>
                    <a:stretch>
                      <a:fillRect/>
                    </a:stretch>
                  </pic:blipFill>
                  <pic:spPr>
                    <a:xfrm>
                      <a:off x="0" y="0"/>
                      <a:ext cx="5400040" cy="2846560"/>
                    </a:xfrm>
                    <a:prstGeom prst="rect">
                      <a:avLst/>
                    </a:prstGeom>
                  </pic:spPr>
                </pic:pic>
              </a:graphicData>
            </a:graphic>
          </wp:inline>
        </w:drawing>
      </w:r>
    </w:p>
    <w:p w:rsidR="000D4647" w:rsidRDefault="006D5C49" w:rsidP="006D5C49">
      <w:bookmarkStart w:id="172" w:name="_Toc458678698"/>
      <w:r w:rsidRPr="006D5C49">
        <w:t>SVR12 response was highly predictive of SVR24.</w:t>
      </w:r>
    </w:p>
    <w:p w:rsidR="000D4647" w:rsidRDefault="00E16107" w:rsidP="006D5C49">
      <w:pPr>
        <w:pStyle w:val="Heading6"/>
      </w:pPr>
      <w:r>
        <w:t>ASTRAL-</w:t>
      </w:r>
      <w:r w:rsidR="006D5C49" w:rsidRPr="006D5C49">
        <w:t>2</w:t>
      </w:r>
      <w:bookmarkEnd w:id="172"/>
    </w:p>
    <w:p w:rsidR="000D4647" w:rsidRDefault="006D5C49" w:rsidP="006D5C49">
      <w:r w:rsidRPr="006D5C49">
        <w:t>SVR12 rates were as follows:</w:t>
      </w:r>
    </w:p>
    <w:p w:rsidR="000D4647" w:rsidRDefault="006D5C49" w:rsidP="00C77715">
      <w:pPr>
        <w:pStyle w:val="ListBullet"/>
      </w:pPr>
      <w:r w:rsidRPr="006D5C49">
        <w:t>SOF/VEL for 12 weeks = 99.3% (95%CI 95.9%, 100%)</w:t>
      </w:r>
    </w:p>
    <w:p w:rsidR="000D4647" w:rsidRDefault="006D5C49" w:rsidP="00C77715">
      <w:pPr>
        <w:pStyle w:val="ListBullet"/>
      </w:pPr>
      <w:r w:rsidRPr="006D5C49">
        <w:t>SOF+RBV for 12 weeks = 93.9% (95%CI 88.4%, 97.3%)</w:t>
      </w:r>
    </w:p>
    <w:p w:rsidR="000D4647" w:rsidRDefault="006D5C49" w:rsidP="006D5C49">
      <w:r w:rsidRPr="006D5C49">
        <w:t>Non-inferiority was demonstrated based on pre-specified -10% level. In this instance, the treatment differe</w:t>
      </w:r>
      <w:r w:rsidR="00C77715">
        <w:t>nce between the two</w:t>
      </w:r>
      <w:r w:rsidRPr="006D5C49">
        <w:t xml:space="preserve"> groups was 5.2% (95%CI 0.2%, 10.3%) indicating statistically superior (</w:t>
      </w:r>
      <w:r w:rsidR="00C77715">
        <w:t xml:space="preserve">p = </w:t>
      </w:r>
      <w:r w:rsidRPr="006D5C49">
        <w:t xml:space="preserve">0.018) result in SOF/VEL group compared with SOF+RBV group. Response in subgroups was consistent with the overall population. In </w:t>
      </w:r>
      <w:proofErr w:type="gramStart"/>
      <w:r w:rsidRPr="006D5C49">
        <w:t>both treatment</w:t>
      </w:r>
      <w:proofErr w:type="gramEnd"/>
      <w:r w:rsidRPr="006D5C49">
        <w:t xml:space="preserve"> groups, 90.2% and 100% patients had HCV RNA </w:t>
      </w:r>
      <w:r w:rsidR="006F35F9">
        <w:t xml:space="preserve">&lt; </w:t>
      </w:r>
      <w:r w:rsidRPr="006D5C49">
        <w:t xml:space="preserve">LLOQ at Weeks 4 and 8 respectively. Mean HCV RNA levels declined rapidly by -5.32 and -5.04 </w:t>
      </w:r>
      <w:r w:rsidR="00A82FA1" w:rsidRPr="00D6575E">
        <w:t>log</w:t>
      </w:r>
      <w:r w:rsidR="00A82FA1" w:rsidRPr="00A82FA1">
        <w:rPr>
          <w:vertAlign w:val="subscript"/>
        </w:rPr>
        <w:t>10</w:t>
      </w:r>
      <w:r w:rsidRPr="006D5C49">
        <w:t xml:space="preserve"> IU/mL from baseline to end of treatment in the SOF/VEL and SOF +RBV groups.</w:t>
      </w:r>
    </w:p>
    <w:p w:rsidR="000D4647" w:rsidRDefault="006D5C49" w:rsidP="006D5C49">
      <w:r w:rsidRPr="006D5C49">
        <w:t>In SOF/VEL group, one patient (0.7%) failed to achieve SV</w:t>
      </w:r>
      <w:r w:rsidR="00C77715">
        <w:t>R12. No patient had on-treatment</w:t>
      </w:r>
      <w:r w:rsidRPr="006D5C49">
        <w:t xml:space="preserve"> </w:t>
      </w:r>
      <w:proofErr w:type="spellStart"/>
      <w:r w:rsidRPr="006D5C49">
        <w:t>virologic</w:t>
      </w:r>
      <w:proofErr w:type="spellEnd"/>
      <w:r w:rsidRPr="006D5C49">
        <w:t xml:space="preserve"> failure or relapse. In SOF+RBV group, eight patients (6.1%) failed to achieve SVR12, of which 6 experienced relapse. Two patients had NS5B RAVs detectable at baseline. In </w:t>
      </w:r>
      <w:r w:rsidR="00C77715">
        <w:t>the second round clinical evaluation</w:t>
      </w:r>
      <w:r w:rsidRPr="006D5C49">
        <w:t xml:space="preserve">, summary results for SVR24 were reported as </w:t>
      </w:r>
      <w:r w:rsidR="00C77715">
        <w:t xml:space="preserve">shown in Table </w:t>
      </w:r>
      <w:r w:rsidR="00756A4F">
        <w:t>13</w:t>
      </w:r>
      <w:r w:rsidR="00C77715">
        <w:t>.</w:t>
      </w:r>
    </w:p>
    <w:p w:rsidR="000D4647" w:rsidRDefault="00E16107" w:rsidP="00C77715">
      <w:pPr>
        <w:pStyle w:val="Tabletitle0"/>
      </w:pPr>
      <w:r>
        <w:t xml:space="preserve">Table </w:t>
      </w:r>
      <w:r w:rsidR="00756A4F">
        <w:t>13</w:t>
      </w:r>
      <w:r>
        <w:t>: ASTRAL-</w:t>
      </w:r>
      <w:r w:rsidR="00C77715">
        <w:t xml:space="preserve">2 </w:t>
      </w:r>
      <w:r w:rsidR="00C77715" w:rsidRPr="006D5C49">
        <w:t>summary results for SVR24</w:t>
      </w:r>
    </w:p>
    <w:p w:rsidR="000D4647" w:rsidRDefault="006D5C49" w:rsidP="004B6558">
      <w:r>
        <w:rPr>
          <w:noProof/>
          <w:lang w:eastAsia="en-AU"/>
        </w:rPr>
        <w:drawing>
          <wp:inline distT="0" distB="0" distL="0" distR="0" wp14:anchorId="7FD4866D" wp14:editId="17360E98">
            <wp:extent cx="5400040" cy="1500588"/>
            <wp:effectExtent l="0" t="0" r="0" b="4445"/>
            <wp:docPr id="3" name="Picture 3" descr="Table 13: ASTRAL-2 summary results for SV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20000"/>
                              </a14:imgEffect>
                            </a14:imgLayer>
                          </a14:imgProps>
                        </a:ext>
                      </a:extLst>
                    </a:blip>
                    <a:stretch>
                      <a:fillRect/>
                    </a:stretch>
                  </pic:blipFill>
                  <pic:spPr>
                    <a:xfrm>
                      <a:off x="0" y="0"/>
                      <a:ext cx="5400040" cy="1500588"/>
                    </a:xfrm>
                    <a:prstGeom prst="rect">
                      <a:avLst/>
                    </a:prstGeom>
                  </pic:spPr>
                </pic:pic>
              </a:graphicData>
            </a:graphic>
          </wp:inline>
        </w:drawing>
      </w:r>
    </w:p>
    <w:p w:rsidR="000D4647" w:rsidRDefault="006D5C49" w:rsidP="006D5C49">
      <w:bookmarkStart w:id="173" w:name="_Toc458678699"/>
      <w:r w:rsidRPr="006D5C49">
        <w:t>SVR12 response was highly predictive of SVR24.</w:t>
      </w:r>
    </w:p>
    <w:p w:rsidR="000D4647" w:rsidRDefault="00E16107" w:rsidP="006D5C49">
      <w:pPr>
        <w:pStyle w:val="Heading6"/>
      </w:pPr>
      <w:r>
        <w:lastRenderedPageBreak/>
        <w:t>ASTRAL-</w:t>
      </w:r>
      <w:r w:rsidR="006D5C49" w:rsidRPr="006D5C49">
        <w:t>3</w:t>
      </w:r>
      <w:bookmarkEnd w:id="173"/>
    </w:p>
    <w:p w:rsidR="000D4647" w:rsidRDefault="006D5C49" w:rsidP="006D5C49">
      <w:r w:rsidRPr="006D5C49">
        <w:t>SVR12 rates were as follows:</w:t>
      </w:r>
    </w:p>
    <w:p w:rsidR="000D4647" w:rsidRDefault="006D5C49" w:rsidP="00C77715">
      <w:pPr>
        <w:pStyle w:val="ListBullet"/>
      </w:pPr>
      <w:r w:rsidRPr="006D5C49">
        <w:t>SOF/VEL for 12 weeks = 95.3% (95%CI 92.1%, 97.5%)</w:t>
      </w:r>
    </w:p>
    <w:p w:rsidR="000D4647" w:rsidRDefault="006D5C49" w:rsidP="00C77715">
      <w:pPr>
        <w:pStyle w:val="ListBullet"/>
      </w:pPr>
      <w:r w:rsidRPr="006D5C49">
        <w:t>SOF+RBV for 24 weeks = 80.4% (95%CI 75.2%, 84.9%)</w:t>
      </w:r>
      <w:r w:rsidR="0073309E">
        <w:t>.</w:t>
      </w:r>
    </w:p>
    <w:p w:rsidR="000D4647" w:rsidRDefault="006D5C49" w:rsidP="006D5C49">
      <w:r w:rsidRPr="006D5C49">
        <w:t>The treatment difference was 14.8% (95%CI 9.6%, 20.0%) indicative of statistical (</w:t>
      </w:r>
      <w:r w:rsidR="00C77715">
        <w:t>p &lt; </w:t>
      </w:r>
      <w:r w:rsidRPr="006D5C49">
        <w:t xml:space="preserve">0.001) and clinical superiority of SOF/VEL (12 weeks) over SOF+RBV (24 weeks). Response in sub-groups was consistent with the overall population. SVR12 rates in cirrhotic patients and </w:t>
      </w:r>
      <w:r w:rsidR="00C77715">
        <w:t>treatment experienced</w:t>
      </w:r>
      <w:r w:rsidRPr="006D5C49">
        <w:t xml:space="preserve"> patients were 91.3% and 90.1% respectively in SOF/VEL group compared to 66.3% and 63.4% respectively in SOF+RBV (24 weeks) group. In SOF/VEL group, HCV RNA </w:t>
      </w:r>
      <w:r w:rsidR="006F35F9">
        <w:t xml:space="preserve">&lt; </w:t>
      </w:r>
      <w:r w:rsidRPr="006D5C49">
        <w:t xml:space="preserve">LLOQ was reported in 91.7% and 99.6% patients at Weeks 4 and 8, respectively compared to 88.2% and 99.3% respectively in SOF+RBV (24 weeks) group. Mean HCV RNA levels declined by -5.14 and -4.79 </w:t>
      </w:r>
      <w:r w:rsidR="00A82FA1" w:rsidRPr="00D6575E">
        <w:t>log</w:t>
      </w:r>
      <w:r w:rsidR="00A82FA1" w:rsidRPr="00A82FA1">
        <w:rPr>
          <w:vertAlign w:val="subscript"/>
        </w:rPr>
        <w:t>10</w:t>
      </w:r>
      <w:r w:rsidRPr="006D5C49">
        <w:t xml:space="preserve"> IU/mL from baseline to the end of treatment in SOF/VEL and SOF +RBV groups.</w:t>
      </w:r>
    </w:p>
    <w:p w:rsidR="000D4647" w:rsidRDefault="006D5C49" w:rsidP="006D5C49">
      <w:r w:rsidRPr="006D5C49">
        <w:t>In SOF/VEL (12 weeks) group 13</w:t>
      </w:r>
      <w:r w:rsidR="00C77715">
        <w:t xml:space="preserve"> out of </w:t>
      </w:r>
      <w:r w:rsidRPr="006D5C49">
        <w:t>277 (4.7%) patients failed to achieve SVR12. Of the</w:t>
      </w:r>
      <w:r w:rsidR="00C77715">
        <w:t>se, no patient had on-treatment</w:t>
      </w:r>
      <w:r w:rsidRPr="006D5C49">
        <w:t xml:space="preserve"> </w:t>
      </w:r>
      <w:proofErr w:type="spellStart"/>
      <w:r w:rsidRPr="006D5C49">
        <w:t>virologic</w:t>
      </w:r>
      <w:proofErr w:type="spellEnd"/>
      <w:r w:rsidRPr="006D5C49">
        <w:t xml:space="preserve"> failure, 11 patients experienced relapse and two patients were lost to follow-up. One patient had GT3 infection at baseline but GT1 infection at the point of </w:t>
      </w:r>
      <w:proofErr w:type="spellStart"/>
      <w:r w:rsidRPr="006D5C49">
        <w:t>virologic</w:t>
      </w:r>
      <w:proofErr w:type="spellEnd"/>
      <w:r w:rsidRPr="006D5C49">
        <w:t xml:space="preserve"> failure (new infection?). NS5A RAV Y93H mutation emerged in the 10 remaining patients.</w:t>
      </w:r>
    </w:p>
    <w:p w:rsidR="000D4647" w:rsidRDefault="006D5C49" w:rsidP="006D5C49">
      <w:r w:rsidRPr="006D5C49">
        <w:t>In t</w:t>
      </w:r>
      <w:r w:rsidR="00C77715">
        <w:t xml:space="preserve">he SOF+RBV (24 weeks) group, 54 out of </w:t>
      </w:r>
      <w:r w:rsidRPr="006D5C49">
        <w:t xml:space="preserve">275 (19.6%) patients failed to </w:t>
      </w:r>
      <w:r w:rsidR="00C77715">
        <w:t>achieve SVR12. One patient had on-treatment</w:t>
      </w:r>
      <w:r w:rsidRPr="006D5C49">
        <w:t xml:space="preserve"> </w:t>
      </w:r>
      <w:proofErr w:type="spellStart"/>
      <w:r w:rsidRPr="006D5C49">
        <w:t>virologic</w:t>
      </w:r>
      <w:proofErr w:type="spellEnd"/>
      <w:r w:rsidRPr="006D5C49">
        <w:t xml:space="preserve"> failure, 38 patients relapsed, and 15 patients did not achieve SVR12 for reasons other than </w:t>
      </w:r>
      <w:proofErr w:type="spellStart"/>
      <w:r w:rsidRPr="006D5C49">
        <w:t>virologic</w:t>
      </w:r>
      <w:proofErr w:type="spellEnd"/>
      <w:r w:rsidRPr="006D5C49">
        <w:t xml:space="preserve"> failure. Seven patients had </w:t>
      </w:r>
      <w:r w:rsidR="00C77715">
        <w:t>treatment emergent</w:t>
      </w:r>
      <w:r w:rsidRPr="006D5C49">
        <w:t xml:space="preserve"> NS5B RAVs.</w:t>
      </w:r>
    </w:p>
    <w:p w:rsidR="000D4647" w:rsidRDefault="006D5C49" w:rsidP="006D5C49">
      <w:r w:rsidRPr="006D5C49">
        <w:t xml:space="preserve">In </w:t>
      </w:r>
      <w:r w:rsidR="00C77715">
        <w:t>the second round clinical evaluation</w:t>
      </w:r>
      <w:r w:rsidRPr="006D5C49">
        <w:t xml:space="preserve">, summary results of SVR24 were reported as </w:t>
      </w:r>
      <w:r w:rsidR="00C77715" w:rsidRPr="00756A4F">
        <w:t xml:space="preserve">shown in Table </w:t>
      </w:r>
      <w:r w:rsidR="00756A4F" w:rsidRPr="00756A4F">
        <w:t>14</w:t>
      </w:r>
      <w:r w:rsidR="00C77715" w:rsidRPr="00756A4F">
        <w:t>.</w:t>
      </w:r>
    </w:p>
    <w:p w:rsidR="000D4647" w:rsidRDefault="00E16107" w:rsidP="00C77715">
      <w:pPr>
        <w:pStyle w:val="Tabletitle0"/>
      </w:pPr>
      <w:r>
        <w:t xml:space="preserve">Table </w:t>
      </w:r>
      <w:r w:rsidR="00756A4F">
        <w:t>14</w:t>
      </w:r>
      <w:r>
        <w:t>: ASTRAL-</w:t>
      </w:r>
      <w:r w:rsidR="00C77715">
        <w:t xml:space="preserve">3 </w:t>
      </w:r>
      <w:r w:rsidR="00C77715" w:rsidRPr="006D5C49">
        <w:t>summary results of SVR24</w:t>
      </w:r>
    </w:p>
    <w:p w:rsidR="000D4647" w:rsidRDefault="006D5C49" w:rsidP="004B6558">
      <w:r>
        <w:rPr>
          <w:noProof/>
          <w:lang w:eastAsia="en-AU"/>
        </w:rPr>
        <w:drawing>
          <wp:inline distT="0" distB="0" distL="0" distR="0" wp14:anchorId="0FDA8E9A" wp14:editId="4E9D51F5">
            <wp:extent cx="5400040" cy="1534050"/>
            <wp:effectExtent l="0" t="0" r="0" b="9525"/>
            <wp:docPr id="4" name="Picture 4" descr="Table 14: ASTRAL-3 summary results of SV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400040" cy="1534050"/>
                    </a:xfrm>
                    <a:prstGeom prst="rect">
                      <a:avLst/>
                    </a:prstGeom>
                  </pic:spPr>
                </pic:pic>
              </a:graphicData>
            </a:graphic>
          </wp:inline>
        </w:drawing>
      </w:r>
    </w:p>
    <w:p w:rsidR="000D4647" w:rsidRDefault="006D5C49" w:rsidP="006D5C49">
      <w:r w:rsidRPr="006D5C49">
        <w:t>SVR12 response was highly predictive of SVR24.</w:t>
      </w:r>
    </w:p>
    <w:p w:rsidR="000D4647" w:rsidRDefault="006D5C49" w:rsidP="006D5C49">
      <w:pPr>
        <w:pStyle w:val="Heading6"/>
      </w:pPr>
      <w:r w:rsidRPr="006D5C49">
        <w:t>Pooled effi</w:t>
      </w:r>
      <w:r w:rsidR="00E16107">
        <w:t>cacy analysis (SVR12) of ASTRAL-</w:t>
      </w:r>
      <w:r w:rsidRPr="006D5C49">
        <w:t xml:space="preserve">1, </w:t>
      </w:r>
      <w:r w:rsidR="00E16107">
        <w:t>ASTRAL-</w:t>
      </w:r>
      <w:r w:rsidRPr="006D5C49">
        <w:t xml:space="preserve">2 and </w:t>
      </w:r>
      <w:r w:rsidR="00E16107">
        <w:t>ASTRAL-</w:t>
      </w:r>
      <w:r w:rsidRPr="006D5C49">
        <w:t>3</w:t>
      </w:r>
    </w:p>
    <w:p w:rsidR="000D4647" w:rsidRDefault="006D5C49" w:rsidP="006D5C49">
      <w:r w:rsidRPr="006D5C49">
        <w:t>In the poo</w:t>
      </w:r>
      <w:r w:rsidR="00E16107">
        <w:t>led efficacy analysis of ASTRAL-</w:t>
      </w:r>
      <w:r w:rsidRPr="006D5C49">
        <w:t xml:space="preserve">1, </w:t>
      </w:r>
      <w:r w:rsidR="00E16107">
        <w:t>ASTRAL-</w:t>
      </w:r>
      <w:r w:rsidRPr="006D5C49">
        <w:t xml:space="preserve">2 and </w:t>
      </w:r>
      <w:r w:rsidR="00E16107">
        <w:t>ASTRAL-</w:t>
      </w:r>
      <w:r w:rsidRPr="006D5C49">
        <w:t>3, a total of 1</w:t>
      </w:r>
      <w:r w:rsidR="00C77715">
        <w:t>,</w:t>
      </w:r>
      <w:r w:rsidRPr="006D5C49">
        <w:t>038 patients were randomised and 1</w:t>
      </w:r>
      <w:r w:rsidR="00C77715">
        <w:t>,</w:t>
      </w:r>
      <w:r w:rsidRPr="006D5C49">
        <w:t>035 received at least one dose of SOF/ VEL. The mean duration of exposure to study drug was 12 weeks.</w:t>
      </w:r>
    </w:p>
    <w:p w:rsidR="000D4647" w:rsidRDefault="006D5C49" w:rsidP="006D5C49">
      <w:r w:rsidRPr="006D5C49">
        <w:t xml:space="preserve">Overall, the mean age was 53 years and majority of patients were aged </w:t>
      </w:r>
      <w:r w:rsidR="006F35F9">
        <w:t xml:space="preserve">&lt; </w:t>
      </w:r>
      <w:r w:rsidRPr="006D5C49">
        <w:t>65 years (88.1%).</w:t>
      </w:r>
    </w:p>
    <w:p w:rsidR="000D4647" w:rsidRDefault="006D5C49" w:rsidP="006D5C49">
      <w:r w:rsidRPr="006D5C49">
        <w:t>Overall, by HCV genotype, the patients were GT1 (31.7%), GT2 (23.0%), GT3 (26.8%), GT4 (11.2%), GT5 (3.4%), or GT6 (4.0%).</w:t>
      </w:r>
    </w:p>
    <w:p w:rsidR="000D4647" w:rsidRDefault="006D5C49" w:rsidP="006D5C49">
      <w:r w:rsidRPr="006D5C49">
        <w:t xml:space="preserve">Overall, 71.9% patients were </w:t>
      </w:r>
      <w:r w:rsidR="00C77715">
        <w:t>treatment naïve</w:t>
      </w:r>
      <w:r w:rsidRPr="006D5C49">
        <w:t xml:space="preserve">, 28.1% were </w:t>
      </w:r>
      <w:r w:rsidR="00C77715">
        <w:t>treatment experienced</w:t>
      </w:r>
      <w:r w:rsidRPr="006D5C49">
        <w:t>, and most were non-cirrhotic (78.6%). IL28B genotypic sub-types were CC (33.4%), CT (52.9%), or TT (13.1%).</w:t>
      </w:r>
    </w:p>
    <w:p w:rsidR="000D4647" w:rsidRDefault="006D5C49" w:rsidP="006D5C49">
      <w:r w:rsidRPr="006D5C49">
        <w:lastRenderedPageBreak/>
        <w:t xml:space="preserve">Mean baseline HCV RNA was 6.3 </w:t>
      </w:r>
      <w:r w:rsidR="00A82FA1" w:rsidRPr="00D6575E">
        <w:t>log</w:t>
      </w:r>
      <w:r w:rsidR="00A82FA1" w:rsidRPr="00A82FA1">
        <w:rPr>
          <w:vertAlign w:val="subscript"/>
        </w:rPr>
        <w:t>10</w:t>
      </w:r>
      <w:r w:rsidRPr="006D5C49">
        <w:t xml:space="preserve"> IU/mL, and 73.7% patients had HCV RNA </w:t>
      </w:r>
      <w:r w:rsidR="00C77715">
        <w:t>≥ 800,000 </w:t>
      </w:r>
      <w:r w:rsidRPr="006D5C49">
        <w:t>IU/</w:t>
      </w:r>
      <w:proofErr w:type="spellStart"/>
      <w:r w:rsidRPr="006D5C49">
        <w:t>mL.</w:t>
      </w:r>
      <w:proofErr w:type="spellEnd"/>
      <w:r w:rsidRPr="006D5C49">
        <w:t xml:space="preserve"> ALT </w:t>
      </w:r>
      <w:r w:rsidR="00F044A6">
        <w:t xml:space="preserve">&gt; </w:t>
      </w:r>
      <w:r w:rsidRPr="006D5C49">
        <w:t xml:space="preserve">1.5 x ULN was present in 49.8% patients. Mean </w:t>
      </w:r>
      <w:r w:rsidR="00AE4800">
        <w:t>estimated glomerular filtration rate</w:t>
      </w:r>
      <w:r w:rsidR="00AE4800" w:rsidRPr="006D5C49">
        <w:t xml:space="preserve"> </w:t>
      </w:r>
      <w:r w:rsidR="00AE4800">
        <w:t>(</w:t>
      </w:r>
      <w:proofErr w:type="spellStart"/>
      <w:r w:rsidRPr="006D5C49">
        <w:t>eGFR</w:t>
      </w:r>
      <w:proofErr w:type="spellEnd"/>
      <w:r w:rsidR="00AE4800">
        <w:t>)</w:t>
      </w:r>
      <w:r w:rsidRPr="006D5C49">
        <w:t xml:space="preserve"> was 109.4 mL/min.</w:t>
      </w:r>
    </w:p>
    <w:p w:rsidR="000D4647" w:rsidRDefault="006D5C49" w:rsidP="006D5C49">
      <w:r w:rsidRPr="006D5C49">
        <w:t xml:space="preserve">The results for SVR12 in the pooled analysis, by genotype, for treatment with SOF/VEL for 12 weeks treatment, are shown </w:t>
      </w:r>
      <w:r w:rsidRPr="00756A4F">
        <w:t>below</w:t>
      </w:r>
      <w:r w:rsidR="00C77715" w:rsidRPr="00756A4F">
        <w:t xml:space="preserve"> (Table </w:t>
      </w:r>
      <w:r w:rsidR="00756A4F" w:rsidRPr="00756A4F">
        <w:t>15</w:t>
      </w:r>
      <w:r w:rsidR="00C77715" w:rsidRPr="00756A4F">
        <w:t>)</w:t>
      </w:r>
      <w:r w:rsidRPr="00756A4F">
        <w:t>.</w:t>
      </w:r>
      <w:r w:rsidRPr="006D5C49">
        <w:t xml:space="preserve"> Overall, SVR12 was achieved by 98.1% patients (range 95.3% to 100.0%).</w:t>
      </w:r>
    </w:p>
    <w:p w:rsidR="000D4647" w:rsidRDefault="00C77715" w:rsidP="00C77715">
      <w:pPr>
        <w:pStyle w:val="Tabletitle0"/>
      </w:pPr>
      <w:r>
        <w:t xml:space="preserve">Table </w:t>
      </w:r>
      <w:r w:rsidR="00756A4F">
        <w:t>15</w:t>
      </w:r>
      <w:r>
        <w:t xml:space="preserve">: </w:t>
      </w:r>
      <w:r w:rsidR="006D5C49" w:rsidRPr="006D5C49">
        <w:t>SVR12 by genotype in the p</w:t>
      </w:r>
      <w:r w:rsidR="00E16107">
        <w:t>ooled efficacy analysis (ASTRAL-</w:t>
      </w:r>
      <w:r w:rsidR="006D5C49" w:rsidRPr="006D5C49">
        <w:t xml:space="preserve">1, </w:t>
      </w:r>
      <w:r w:rsidR="00E16107">
        <w:t>ASTRAL-</w:t>
      </w:r>
      <w:r w:rsidR="006D5C49" w:rsidRPr="006D5C49">
        <w:t xml:space="preserve">2 and </w:t>
      </w:r>
      <w:r w:rsidR="00E16107">
        <w:t>ASTRAL-</w:t>
      </w:r>
      <w:r w:rsidR="006D5C49" w:rsidRPr="006D5C49">
        <w:t>3)</w:t>
      </w:r>
    </w:p>
    <w:p w:rsidR="000D4647" w:rsidRDefault="006D5C49" w:rsidP="004B6558">
      <w:r>
        <w:rPr>
          <w:noProof/>
          <w:lang w:eastAsia="en-AU"/>
        </w:rPr>
        <w:drawing>
          <wp:inline distT="0" distB="0" distL="0" distR="0" wp14:anchorId="045DFDB2" wp14:editId="24DA5967">
            <wp:extent cx="5400040" cy="1223086"/>
            <wp:effectExtent l="0" t="0" r="0" b="0"/>
            <wp:docPr id="5" name="Picture 5" descr="Table 15: SVR12 by genotype in the pooled efficacy analysis (ASTRAL-1, ASTRAL-2 and ASTR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223086"/>
                    </a:xfrm>
                    <a:prstGeom prst="rect">
                      <a:avLst/>
                    </a:prstGeom>
                  </pic:spPr>
                </pic:pic>
              </a:graphicData>
            </a:graphic>
          </wp:inline>
        </w:drawing>
      </w:r>
    </w:p>
    <w:p w:rsidR="000D4647" w:rsidRDefault="006D5C49" w:rsidP="006D5C49">
      <w:r w:rsidRPr="006D5C49">
        <w:t>Overall, SVR12 was achieved in 96.4% patients with cirrhosis (range 91.3% to 100%) and 97.3% patients with prior treatment experience (range 90.1% to 100%). SVR4 rates (98.6%; range 96.8% to 100%) were similar to SVR12.</w:t>
      </w:r>
    </w:p>
    <w:p w:rsidR="000D4647" w:rsidRDefault="006D5C49" w:rsidP="006D5C49">
      <w:r w:rsidRPr="006D5C49">
        <w:t xml:space="preserve">Rapid viral suppression was observed in all genotypes. At Week 4, 90.8% patients (range 89.3% to 92.7%) had HCV RNA </w:t>
      </w:r>
      <w:r w:rsidR="006F35F9">
        <w:t xml:space="preserve">&lt; </w:t>
      </w:r>
      <w:r w:rsidRPr="006D5C49">
        <w:t>LLOQ.</w:t>
      </w:r>
    </w:p>
    <w:p w:rsidR="000D4647" w:rsidRDefault="006D5C49" w:rsidP="006D5C49">
      <w:r w:rsidRPr="006D5C49">
        <w:t xml:space="preserve">Overall, </w:t>
      </w:r>
      <w:proofErr w:type="spellStart"/>
      <w:r w:rsidRPr="006D5C49">
        <w:t>virologic</w:t>
      </w:r>
      <w:proofErr w:type="spellEnd"/>
      <w:r w:rsidRPr="006D5C49">
        <w:t xml:space="preserve"> failure occurred in 1.3% of patients, mostly in those w</w:t>
      </w:r>
      <w:r w:rsidR="00C77715">
        <w:t>ith GT3 infection. No cases of on-treatment</w:t>
      </w:r>
      <w:r w:rsidRPr="006D5C49">
        <w:t xml:space="preserve"> </w:t>
      </w:r>
      <w:proofErr w:type="spellStart"/>
      <w:r w:rsidRPr="006D5C49">
        <w:t>virologic</w:t>
      </w:r>
      <w:proofErr w:type="spellEnd"/>
      <w:r w:rsidRPr="006D5C49">
        <w:t xml:space="preserve"> failure </w:t>
      </w:r>
      <w:r w:rsidR="00BE0146">
        <w:t>were</w:t>
      </w:r>
      <w:r w:rsidRPr="006D5C49">
        <w:t xml:space="preserve"> reported (SOF/VEL for 12 weeks). All </w:t>
      </w:r>
      <w:proofErr w:type="spellStart"/>
      <w:r w:rsidRPr="006D5C49">
        <w:t>virologic</w:t>
      </w:r>
      <w:proofErr w:type="spellEnd"/>
      <w:r w:rsidRPr="006D5C49">
        <w:t xml:space="preserve"> failures were due to relapse. V</w:t>
      </w:r>
      <w:r w:rsidR="00C77715">
        <w:t xml:space="preserve">iral relapse was reported in 13 out of </w:t>
      </w:r>
      <w:r w:rsidRPr="006D5C49">
        <w:t>1</w:t>
      </w:r>
      <w:r w:rsidR="00C77715">
        <w:t>,</w:t>
      </w:r>
      <w:r w:rsidRPr="006D5C49">
        <w:t xml:space="preserve">035 patients. Of these, 2 patients were GT1 and in 11 were GT3 including one GT3 patient at baseline who had GT1 infection </w:t>
      </w:r>
      <w:r w:rsidR="00C77715">
        <w:t>post treatment</w:t>
      </w:r>
      <w:r w:rsidRPr="006D5C49">
        <w:t xml:space="preserve">. The NS5A RAVs Y93H and Y93N conferred high level resistance to VEL in 11 patients. No SOF NS5B resistance was observed in patients who had </w:t>
      </w:r>
      <w:proofErr w:type="spellStart"/>
      <w:r w:rsidRPr="006D5C49">
        <w:t>virologic</w:t>
      </w:r>
      <w:proofErr w:type="spellEnd"/>
      <w:r w:rsidRPr="006D5C49">
        <w:t xml:space="preserve"> failure.</w:t>
      </w:r>
    </w:p>
    <w:p w:rsidR="000D4647" w:rsidRDefault="006D5C49" w:rsidP="006D5C49">
      <w:r w:rsidRPr="006D5C49">
        <w:t xml:space="preserve">SVR12 response by baseline NS5A RAVs was as </w:t>
      </w:r>
      <w:r w:rsidR="00C77715">
        <w:t xml:space="preserve">shown in Table </w:t>
      </w:r>
      <w:r w:rsidR="00756A4F">
        <w:t>16</w:t>
      </w:r>
      <w:r w:rsidR="00C77715">
        <w:t xml:space="preserve"> (</w:t>
      </w:r>
      <w:r w:rsidR="00E16107">
        <w:t>ASTRAL-</w:t>
      </w:r>
      <w:r w:rsidR="00E16107" w:rsidRPr="006D5C49">
        <w:t xml:space="preserve">1, </w:t>
      </w:r>
      <w:r w:rsidR="00E16107">
        <w:t>ASTRAL-</w:t>
      </w:r>
      <w:r w:rsidR="00E16107" w:rsidRPr="006D5C49">
        <w:t xml:space="preserve">2 and </w:t>
      </w:r>
      <w:r w:rsidR="00E16107">
        <w:t>ASTRAL-</w:t>
      </w:r>
      <w:r w:rsidR="00E16107" w:rsidRPr="006D5C49">
        <w:t>3</w:t>
      </w:r>
      <w:r w:rsidR="00C77715">
        <w:t>).</w:t>
      </w:r>
    </w:p>
    <w:p w:rsidR="000D4647" w:rsidRDefault="00C77715" w:rsidP="00C77715">
      <w:pPr>
        <w:pStyle w:val="Tabletitle0"/>
      </w:pPr>
      <w:r>
        <w:t xml:space="preserve">Table </w:t>
      </w:r>
      <w:r w:rsidR="00756A4F">
        <w:t>16</w:t>
      </w:r>
      <w:r>
        <w:t xml:space="preserve">: </w:t>
      </w:r>
      <w:r w:rsidR="00E16107">
        <w:t>ASTRAL-1, ASTRAL-2 and ASTRAL-3</w:t>
      </w:r>
      <w:r>
        <w:t xml:space="preserve">; </w:t>
      </w:r>
      <w:r w:rsidRPr="006D5C49">
        <w:t>SVR12 response by baseline NS5A RAVs</w:t>
      </w:r>
    </w:p>
    <w:p w:rsidR="000D4647" w:rsidRDefault="006D5C49" w:rsidP="004B6558">
      <w:r>
        <w:rPr>
          <w:noProof/>
          <w:lang w:eastAsia="en-AU"/>
        </w:rPr>
        <w:drawing>
          <wp:inline distT="0" distB="0" distL="0" distR="0" wp14:anchorId="67A47FAF" wp14:editId="2CC3506A">
            <wp:extent cx="4974604" cy="1177748"/>
            <wp:effectExtent l="0" t="0" r="0" b="3810"/>
            <wp:docPr id="6" name="Picture 6" descr="Table 16: ASTRAL-1, ASTRAL-2 and ASTRAL-3; SVR12 response by baseline NS5A R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4975915" cy="1178058"/>
                    </a:xfrm>
                    <a:prstGeom prst="rect">
                      <a:avLst/>
                    </a:prstGeom>
                  </pic:spPr>
                </pic:pic>
              </a:graphicData>
            </a:graphic>
          </wp:inline>
        </w:drawing>
      </w:r>
    </w:p>
    <w:p w:rsidR="000D4647" w:rsidRDefault="00E16107" w:rsidP="006D5C49">
      <w:pPr>
        <w:pStyle w:val="Heading6"/>
      </w:pPr>
      <w:r>
        <w:t>ASTRAL-</w:t>
      </w:r>
      <w:r w:rsidR="00C77715">
        <w:t>4</w:t>
      </w:r>
    </w:p>
    <w:p w:rsidR="000D4647" w:rsidRDefault="006D5C49" w:rsidP="006D5C49">
      <w:r w:rsidRPr="006D5C49">
        <w:t>SVR12 rates were as follows:</w:t>
      </w:r>
    </w:p>
    <w:p w:rsidR="000D4647" w:rsidRDefault="006D5C49" w:rsidP="00C77715">
      <w:pPr>
        <w:pStyle w:val="ListBullet"/>
      </w:pPr>
      <w:r w:rsidRPr="006D5C49">
        <w:t>Group 1 = SOF/VEL for 12 weeks = 83.3% (95%CI 74.0%, 90.4%)</w:t>
      </w:r>
    </w:p>
    <w:p w:rsidR="000D4647" w:rsidRDefault="006D5C49" w:rsidP="00C77715">
      <w:pPr>
        <w:pStyle w:val="ListBullet"/>
      </w:pPr>
      <w:r w:rsidRPr="006D5C49">
        <w:t>Group 2 = SOF/VEL+RBV for 12 weeks = 94.3% (95%CI 87.1%, 98.1%)</w:t>
      </w:r>
    </w:p>
    <w:p w:rsidR="000D4647" w:rsidRDefault="006D5C49" w:rsidP="00C77715">
      <w:pPr>
        <w:pStyle w:val="ListBullet"/>
      </w:pPr>
      <w:r w:rsidRPr="006D5C49">
        <w:t>Group 3 = SOF/VEL for 24 weeks = 85.6% (95%CI 76.6%, 92.1%)</w:t>
      </w:r>
      <w:r w:rsidR="0073309E">
        <w:t>.</w:t>
      </w:r>
    </w:p>
    <w:p w:rsidR="000D4647" w:rsidRDefault="006D5C49" w:rsidP="006D5C49">
      <w:r w:rsidRPr="006D5C49">
        <w:t>SVR12 rates were statistically significantly superior (</w:t>
      </w:r>
      <w:r w:rsidR="00C77715">
        <w:t>p &lt;</w:t>
      </w:r>
      <w:r w:rsidR="006F35F9">
        <w:t xml:space="preserve"> </w:t>
      </w:r>
      <w:r w:rsidRPr="006D5C49">
        <w:t xml:space="preserve">0.001) to the assumed spontaneous rate of 1% in all 3 groups. Efficacy was to be claimed if the SVR12 response rate was at least 40%. This was achieved in all 3 groups but no advantage was </w:t>
      </w:r>
      <w:r w:rsidRPr="006D5C49">
        <w:lastRenderedPageBreak/>
        <w:t>demonstrated with addition of RBV to SOF/VEL or 24 weeks treatment with SOF/VEL compared to SOF/VEL for 12 weeks.</w:t>
      </w:r>
    </w:p>
    <w:p w:rsidR="000D4647" w:rsidRDefault="006D5C49" w:rsidP="006D5C49">
      <w:r w:rsidRPr="006D5C49">
        <w:t xml:space="preserve">There were no notable differences between the subgroups but numbers were too small for meaningful comparisons. At Week 4, 80.5% to 91.0% patients had HCV RNA </w:t>
      </w:r>
      <w:r w:rsidR="006F35F9">
        <w:t xml:space="preserve">&lt; </w:t>
      </w:r>
      <w:r w:rsidRPr="006D5C49">
        <w:t xml:space="preserve">LLOQ and all but two patients were suppressed at Week 8. Mean HCV RNA levels declined by approximately -4.5 </w:t>
      </w:r>
      <w:r w:rsidR="00A82FA1" w:rsidRPr="00D6575E">
        <w:t>log</w:t>
      </w:r>
      <w:r w:rsidR="00A82FA1" w:rsidRPr="00A82FA1">
        <w:rPr>
          <w:vertAlign w:val="subscript"/>
        </w:rPr>
        <w:t>10</w:t>
      </w:r>
      <w:r w:rsidRPr="006D5C49">
        <w:t xml:space="preserve"> IU/mL from baseline to the end of treatment in all treatment groups and genotypes.</w:t>
      </w:r>
    </w:p>
    <w:p w:rsidR="000D4647" w:rsidRDefault="00C77715" w:rsidP="006D5C49">
      <w:r>
        <w:t>The m</w:t>
      </w:r>
      <w:r w:rsidR="006D5C49" w:rsidRPr="006D5C49">
        <w:t>ajority of patients in this trial had GT1 (77.5%) or GT3 infection (14.6%).</w:t>
      </w:r>
    </w:p>
    <w:p w:rsidR="000D4647" w:rsidRDefault="006D5C49" w:rsidP="006D5C49">
      <w:r w:rsidRPr="006D5C49">
        <w:t>In patients with HCV GT1 infection (n</w:t>
      </w:r>
      <w:r w:rsidR="00C77715">
        <w:t xml:space="preserve"> </w:t>
      </w:r>
      <w:r w:rsidRPr="006D5C49">
        <w:t>=</w:t>
      </w:r>
      <w:r w:rsidR="00C77715">
        <w:t xml:space="preserve"> </w:t>
      </w:r>
      <w:r w:rsidRPr="006D5C49">
        <w:t xml:space="preserve">207), SVR12 was achieved by 88.2% (95%CI 78.1%, 94.8%) patients in Group 1, 95.6% (95%CI 87.6%, 99.1%) in Group 2 and 91.5% (95%CI 82.5%, 96.8%) in Group 3. There were no notable differences in SVR12 rates between patients with GT1a and GT1b infection (88.0% </w:t>
      </w:r>
      <w:r w:rsidR="00C77715">
        <w:t>versus</w:t>
      </w:r>
      <w:r w:rsidRPr="006D5C49">
        <w:t xml:space="preserve"> 88.9%).</w:t>
      </w:r>
    </w:p>
    <w:p w:rsidR="000D4647" w:rsidRDefault="006D5C49" w:rsidP="006D5C49">
      <w:r w:rsidRPr="006D5C49">
        <w:t>In patients with GT3 infection (</w:t>
      </w:r>
      <w:r w:rsidR="00C77715">
        <w:t xml:space="preserve">n = </w:t>
      </w:r>
      <w:r w:rsidRPr="006D5C49">
        <w:t>39), SVR12 was achieved by 50% (95%CI 23.0%, 77.0%) patients in Group 1, 84.6% (95%CI 54.6%, 98.1%) in Group 2 and 50.0% (95%CI 21.1%, 78.9%) in Group 3.</w:t>
      </w:r>
    </w:p>
    <w:p w:rsidR="000D4647" w:rsidRDefault="006D5C49" w:rsidP="006D5C49">
      <w:r w:rsidRPr="006D5C49">
        <w:t>There were only small numbers of patients with GT2, GT4, and GT6 infection but all achieved SVR12. One exception was a patient with HCV GT2 in Group 3 who died 39 days after receiving 28 days of treatment.</w:t>
      </w:r>
    </w:p>
    <w:p w:rsidR="000D4647" w:rsidRDefault="006D5C49" w:rsidP="006D5C49">
      <w:r w:rsidRPr="006D5C49">
        <w:t xml:space="preserve">Approximately half of the patients who achieved SVR12 had improved liver function assessed by CPT and </w:t>
      </w:r>
      <w:r w:rsidR="00721A33">
        <w:t>Model for End-stage Liver Disease (</w:t>
      </w:r>
      <w:r w:rsidRPr="006D5C49">
        <w:t>MELD</w:t>
      </w:r>
      <w:r w:rsidR="00721A33">
        <w:t>)</w:t>
      </w:r>
      <w:r w:rsidRPr="006D5C49">
        <w:t xml:space="preserve"> scores (most commonly increased serum albumin and decreased total bilirubin). Overall, CPT scores were improved in 47.2% patients and remained unchanged in 43.2% patients. Worsening occurred in 9.6% patients. Overall, MELD scores were improved in 55.5% patients and remained unchanged in 19.7% patients. Worsening occurred in 24.9% patients. A total of 84% patients with baseline MELD </w:t>
      </w:r>
      <w:r w:rsidR="00C77715">
        <w:t xml:space="preserve">≥ </w:t>
      </w:r>
      <w:r w:rsidRPr="006D5C49">
        <w:t>15 improved and 8% worsened.</w:t>
      </w:r>
    </w:p>
    <w:p w:rsidR="000D4647" w:rsidRDefault="006D5C49" w:rsidP="006D5C49">
      <w:r w:rsidRPr="006D5C49">
        <w:t xml:space="preserve">A total of 256 patients had a </w:t>
      </w:r>
      <w:proofErr w:type="spellStart"/>
      <w:r w:rsidRPr="006D5C49">
        <w:t>virologic</w:t>
      </w:r>
      <w:proofErr w:type="spellEnd"/>
      <w:r w:rsidRPr="006D5C49">
        <w:t xml:space="preserve"> outcome (86, 85 and 85 in Groups 1, 2 and 3 respectively). A total of 22 patients (9%) ex</w:t>
      </w:r>
      <w:r w:rsidR="00C77715">
        <w:t xml:space="preserve">perienced </w:t>
      </w:r>
      <w:proofErr w:type="spellStart"/>
      <w:r w:rsidR="00C77715">
        <w:t>virologic</w:t>
      </w:r>
      <w:proofErr w:type="spellEnd"/>
      <w:r w:rsidR="00C77715">
        <w:t xml:space="preserve"> failure (2 on-treatment</w:t>
      </w:r>
      <w:r w:rsidRPr="006D5C49">
        <w:t xml:space="preserve"> failure and 20 relapsed). Mutations at NS5A position 93 (mainly Y93H) were observed in 19/22 (86%) patients at the time of </w:t>
      </w:r>
      <w:proofErr w:type="spellStart"/>
      <w:r w:rsidRPr="006D5C49">
        <w:t>virologic</w:t>
      </w:r>
      <w:proofErr w:type="spellEnd"/>
      <w:r w:rsidRPr="006D5C49">
        <w:t xml:space="preserve"> failur</w:t>
      </w:r>
      <w:r w:rsidR="00C77715">
        <w:t xml:space="preserve">e. NS5B mutations occurred in 5 out of </w:t>
      </w:r>
      <w:r w:rsidRPr="006D5C49">
        <w:t xml:space="preserve">22 (23%) patients at the time of </w:t>
      </w:r>
      <w:proofErr w:type="spellStart"/>
      <w:r w:rsidRPr="006D5C49">
        <w:t>virologic</w:t>
      </w:r>
      <w:proofErr w:type="spellEnd"/>
      <w:r w:rsidRPr="006D5C49">
        <w:t xml:space="preserve"> failure.</w:t>
      </w:r>
    </w:p>
    <w:p w:rsidR="000D4647" w:rsidRDefault="006D5C49" w:rsidP="006D5C49">
      <w:r w:rsidRPr="006D5C49">
        <w:t>In Group 1, 12.2% patient</w:t>
      </w:r>
      <w:r w:rsidR="00C77715">
        <w:t>s relapsed but no patients had o</w:t>
      </w:r>
      <w:r w:rsidRPr="006D5C49">
        <w:t xml:space="preserve">n-treatment </w:t>
      </w:r>
      <w:proofErr w:type="spellStart"/>
      <w:r w:rsidRPr="006D5C49">
        <w:t>virologic</w:t>
      </w:r>
      <w:proofErr w:type="spellEnd"/>
      <w:r w:rsidRPr="006D5C49">
        <w:t xml:space="preserve"> failure. In Group 2, 2.4% patients relapsed and one patient had </w:t>
      </w:r>
      <w:r w:rsidR="00C77715">
        <w:t>on-treatment</w:t>
      </w:r>
      <w:r w:rsidRPr="006D5C49">
        <w:t xml:space="preserve"> </w:t>
      </w:r>
      <w:proofErr w:type="spellStart"/>
      <w:r w:rsidRPr="006D5C49">
        <w:t>virologic</w:t>
      </w:r>
      <w:proofErr w:type="spellEnd"/>
      <w:r w:rsidRPr="006D5C49">
        <w:t xml:space="preserve"> failure. In Group 3, 8.0% patients relapsed and one patient had </w:t>
      </w:r>
      <w:r w:rsidR="00C77715">
        <w:t>on-treatment</w:t>
      </w:r>
      <w:r w:rsidRPr="006D5C49">
        <w:t xml:space="preserve"> </w:t>
      </w:r>
      <w:proofErr w:type="spellStart"/>
      <w:r w:rsidRPr="006D5C49">
        <w:t>virologic</w:t>
      </w:r>
      <w:proofErr w:type="spellEnd"/>
      <w:r w:rsidRPr="006D5C49">
        <w:t xml:space="preserve"> failure.</w:t>
      </w:r>
    </w:p>
    <w:p w:rsidR="000D4647" w:rsidRDefault="006D5C49" w:rsidP="006D5C49">
      <w:r w:rsidRPr="006D5C49">
        <w:t xml:space="preserve">In GT1 patients, overall </w:t>
      </w:r>
      <w:proofErr w:type="spellStart"/>
      <w:r w:rsidRPr="006D5C49">
        <w:t>virologic</w:t>
      </w:r>
      <w:proofErr w:type="spellEnd"/>
      <w:r w:rsidRPr="006D5C49">
        <w:t xml:space="preserve"> failure occurred in 7.4%, 1.5%, and 4.2% patients in Groups 1, 2, and 3 respectively.</w:t>
      </w:r>
    </w:p>
    <w:p w:rsidR="000D4647" w:rsidRDefault="006D5C49" w:rsidP="006D5C49">
      <w:r w:rsidRPr="006D5C49">
        <w:t xml:space="preserve">In GT3 patients, </w:t>
      </w:r>
      <w:proofErr w:type="spellStart"/>
      <w:r w:rsidRPr="006D5C49">
        <w:t>virologic</w:t>
      </w:r>
      <w:proofErr w:type="spellEnd"/>
      <w:r w:rsidRPr="006D5C49">
        <w:t xml:space="preserve"> failure occurred in 42.9%, 15.4%, and 41.7% patients in Groups 1, 2, and 3 respectively.</w:t>
      </w:r>
    </w:p>
    <w:p w:rsidR="000D4647" w:rsidRDefault="006D5C49" w:rsidP="006D5C49">
      <w:r w:rsidRPr="006D5C49">
        <w:t xml:space="preserve">There were no </w:t>
      </w:r>
      <w:proofErr w:type="spellStart"/>
      <w:r w:rsidRPr="006D5C49">
        <w:t>virologic</w:t>
      </w:r>
      <w:proofErr w:type="spellEnd"/>
      <w:r w:rsidRPr="006D5C49">
        <w:t xml:space="preserve"> failures in patients with GT2, GT4, or GT6 infected patients. </w:t>
      </w:r>
      <w:proofErr w:type="spellStart"/>
      <w:r w:rsidRPr="006D5C49">
        <w:t>Virologic</w:t>
      </w:r>
      <w:proofErr w:type="spellEnd"/>
      <w:r w:rsidRPr="006D5C49">
        <w:t xml:space="preserve"> outcomes could not be assessed in 11 patients, 7 patients died, and a further four patients were lost to follow-up. No patients with GT5 infection were treated in this trial.</w:t>
      </w:r>
    </w:p>
    <w:p w:rsidR="000D4647" w:rsidRDefault="006D5C49" w:rsidP="006D5C49">
      <w:r w:rsidRPr="006D5C49">
        <w:t xml:space="preserve">In </w:t>
      </w:r>
      <w:r w:rsidR="00C77715">
        <w:t>the second round clinical evaluation</w:t>
      </w:r>
      <w:r w:rsidRPr="006D5C49">
        <w:t xml:space="preserve">, summary results of SVR24 were reported as </w:t>
      </w:r>
      <w:r w:rsidR="00C77715" w:rsidRPr="00756A4F">
        <w:t xml:space="preserve">shown in Table </w:t>
      </w:r>
      <w:r w:rsidR="00756A4F" w:rsidRPr="00756A4F">
        <w:t>17</w:t>
      </w:r>
      <w:r w:rsidR="00C77715" w:rsidRPr="00756A4F">
        <w:t>.</w:t>
      </w:r>
    </w:p>
    <w:p w:rsidR="000D4647" w:rsidRDefault="00E16107" w:rsidP="00C77715">
      <w:pPr>
        <w:pStyle w:val="Tabletitle0"/>
      </w:pPr>
      <w:r>
        <w:lastRenderedPageBreak/>
        <w:t xml:space="preserve">Table </w:t>
      </w:r>
      <w:r w:rsidR="00756A4F">
        <w:t>17</w:t>
      </w:r>
      <w:r>
        <w:t>: ASTRAL-</w:t>
      </w:r>
      <w:r w:rsidR="00C77715">
        <w:t xml:space="preserve">4 </w:t>
      </w:r>
      <w:r w:rsidR="00C77715" w:rsidRPr="006D5C49">
        <w:t>summary results of SVR24</w:t>
      </w:r>
    </w:p>
    <w:p w:rsidR="000D4647" w:rsidRDefault="006D5C49" w:rsidP="004B6558">
      <w:r>
        <w:rPr>
          <w:noProof/>
          <w:lang w:eastAsia="en-AU"/>
        </w:rPr>
        <w:drawing>
          <wp:inline distT="0" distB="0" distL="0" distR="0" wp14:anchorId="5BF0C54D" wp14:editId="3ECE1029">
            <wp:extent cx="5025542" cy="1522159"/>
            <wp:effectExtent l="0" t="0" r="3810" b="1905"/>
            <wp:docPr id="7" name="Picture 7" descr="Table 17: ASTRAL-4 summary results of SV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Lst>
                    </a:blip>
                    <a:stretch>
                      <a:fillRect/>
                    </a:stretch>
                  </pic:blipFill>
                  <pic:spPr>
                    <a:xfrm>
                      <a:off x="0" y="0"/>
                      <a:ext cx="5026867" cy="1522560"/>
                    </a:xfrm>
                    <a:prstGeom prst="rect">
                      <a:avLst/>
                    </a:prstGeom>
                  </pic:spPr>
                </pic:pic>
              </a:graphicData>
            </a:graphic>
          </wp:inline>
        </w:drawing>
      </w:r>
    </w:p>
    <w:p w:rsidR="000D4647" w:rsidRDefault="006D5C49" w:rsidP="006D5C49">
      <w:r w:rsidRPr="006D5C49">
        <w:t xml:space="preserve">SVR12 response was highly predictive of SVR24. SVR12 response by baseline NS5A RAVs was as </w:t>
      </w:r>
      <w:r w:rsidR="00E16107">
        <w:t xml:space="preserve">shown in Table </w:t>
      </w:r>
      <w:r w:rsidR="00756A4F">
        <w:t>18</w:t>
      </w:r>
      <w:r w:rsidR="00E16107">
        <w:t xml:space="preserve"> (ASTRAL-</w:t>
      </w:r>
      <w:r w:rsidR="00C77715">
        <w:t>4).</w:t>
      </w:r>
    </w:p>
    <w:p w:rsidR="000D4647" w:rsidRDefault="00756A4F" w:rsidP="00C77715">
      <w:pPr>
        <w:pStyle w:val="Tabletitle0"/>
      </w:pPr>
      <w:r>
        <w:t>Table 18</w:t>
      </w:r>
      <w:r w:rsidR="00E16107">
        <w:t>: ASTRAL-</w:t>
      </w:r>
      <w:r w:rsidR="00C77715">
        <w:t xml:space="preserve">4 </w:t>
      </w:r>
      <w:r w:rsidR="00C77715" w:rsidRPr="006D5C49">
        <w:t>SVR12 response by baseline NS5A RAVs</w:t>
      </w:r>
    </w:p>
    <w:p w:rsidR="000D4647" w:rsidRDefault="006D5C49" w:rsidP="004B6558">
      <w:r>
        <w:rPr>
          <w:noProof/>
          <w:lang w:eastAsia="en-AU"/>
        </w:rPr>
        <w:drawing>
          <wp:inline distT="0" distB="0" distL="0" distR="0" wp14:anchorId="024ED209" wp14:editId="24DC4E48">
            <wp:extent cx="4988966" cy="1152899"/>
            <wp:effectExtent l="0" t="0" r="2540" b="9525"/>
            <wp:docPr id="8" name="Picture 8" descr="Table 18: ASTRAL-4 SVR12 response by baseline NS5A R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990281" cy="1153203"/>
                    </a:xfrm>
                    <a:prstGeom prst="rect">
                      <a:avLst/>
                    </a:prstGeom>
                  </pic:spPr>
                </pic:pic>
              </a:graphicData>
            </a:graphic>
          </wp:inline>
        </w:drawing>
      </w:r>
    </w:p>
    <w:p w:rsidR="000D4647" w:rsidRDefault="006D5C49" w:rsidP="006D5C49">
      <w:pPr>
        <w:pStyle w:val="Heading5"/>
      </w:pPr>
      <w:r w:rsidRPr="006D5C49">
        <w:t>Clinical Safety</w:t>
      </w:r>
    </w:p>
    <w:p w:rsidR="000D4647" w:rsidRDefault="006D5C49" w:rsidP="006D5C49">
      <w:r w:rsidRPr="006D5C49">
        <w:t>A total of 2603 patients received at least one dose of SOF and VEL as individual agents or as FDC. Of these, 1302 patients received SOF/VEL FDC for a minimum of 12 weeks, 802 received SOF+VEL in Phase II studies and 499 received SOF/VEL in Phase I studies. In the Phase III studies, the cumulative total exposure to study drugs was mean 12 weeks for SOF/VEL (12 weeks), mean 11.9 weeks for placebo, mean 12.1 weeks for SOF+RBV (12 weeks) and mean 23.2 weeks for SOF+RBV (24 weeks).</w:t>
      </w:r>
      <w:bookmarkStart w:id="174" w:name="_Toc272414681"/>
      <w:bookmarkStart w:id="175" w:name="_Toc290888545"/>
      <w:bookmarkStart w:id="176" w:name="_Toc458678744"/>
    </w:p>
    <w:p w:rsidR="000D4647" w:rsidRDefault="006D5C49" w:rsidP="006D5C49">
      <w:r w:rsidRPr="006D5C49">
        <w:t xml:space="preserve">In the integrated safety analysis, the most commonly reported AEs in the SOF/VEL and placebo groups were headache (28.6% </w:t>
      </w:r>
      <w:r w:rsidR="00C77715">
        <w:t>versus</w:t>
      </w:r>
      <w:r w:rsidRPr="006D5C49">
        <w:t xml:space="preserve"> 28.4%), fatigue (21.0% </w:t>
      </w:r>
      <w:r w:rsidR="00C77715">
        <w:t>versus</w:t>
      </w:r>
      <w:r w:rsidRPr="006D5C49">
        <w:t xml:space="preserve"> 19.8%), nausea (13.0% </w:t>
      </w:r>
      <w:r w:rsidR="00C77715">
        <w:t>versus</w:t>
      </w:r>
      <w:r w:rsidRPr="006D5C49">
        <w:t xml:space="preserve"> 11.2%) and </w:t>
      </w:r>
      <w:proofErr w:type="spellStart"/>
      <w:r w:rsidRPr="006D5C49">
        <w:t>nasopharyngitis</w:t>
      </w:r>
      <w:proofErr w:type="spellEnd"/>
      <w:r w:rsidRPr="006D5C49">
        <w:t xml:space="preserve"> (11.7% </w:t>
      </w:r>
      <w:r w:rsidR="00C77715">
        <w:t>versus</w:t>
      </w:r>
      <w:r w:rsidRPr="006D5C49">
        <w:t xml:space="preserve"> 10.3%). The pattern of AEs was similar in subgroups. In the SOF/VEL group, Grade 3 AEs were reported in 3% of patients, most commonly headache and anxiety, with 0.7% considered </w:t>
      </w:r>
      <w:r w:rsidR="00C77715">
        <w:t>drug related</w:t>
      </w:r>
      <w:r w:rsidRPr="006D5C49">
        <w:t xml:space="preserve">. Two Grade 4 AEs were reported in the SOF/VEL group. In patients treated with SOF/VEL, SAEs were reported in 2.2% patients. Three deaths were reported, each occurring </w:t>
      </w:r>
      <w:r w:rsidR="00C77715">
        <w:t>post treatment</w:t>
      </w:r>
      <w:r w:rsidRPr="006D5C49">
        <w:t xml:space="preserve"> and considered unrelated to study treatment. AEs occurred more commonly in the SOF+RBV compared with the SOF/VEL and placebo groups.</w:t>
      </w:r>
    </w:p>
    <w:p w:rsidR="000D4647" w:rsidRDefault="006D5C49" w:rsidP="006D5C49">
      <w:r w:rsidRPr="006D5C49">
        <w:t>Laboratory abnormalities were reported less frequently in the SOF/VEL group compared with placebo. Grade 3 AEs were reported in 6.5% and 10.3% of the respective groups, and Grade 4 AEs were reported in 1.0% and 1.7% of the respective groups. Five patients had Grade 4 lipase elevations in the SOF/VEL group but all were asymptomatic and transient.</w:t>
      </w:r>
    </w:p>
    <w:p w:rsidR="000D4647" w:rsidRDefault="006D5C49" w:rsidP="006D5C49">
      <w:r w:rsidRPr="006D5C49">
        <w:t>In a dedicated QT study in healthy volunteers therapeutic (100</w:t>
      </w:r>
      <w:r w:rsidR="00A82FA1">
        <w:t xml:space="preserve"> mg</w:t>
      </w:r>
      <w:r w:rsidR="00C77715">
        <w:t xml:space="preserve">) and supra </w:t>
      </w:r>
      <w:r w:rsidRPr="006D5C49">
        <w:t>therapeutic doses (500</w:t>
      </w:r>
      <w:r w:rsidR="00A82FA1">
        <w:t xml:space="preserve"> mg</w:t>
      </w:r>
      <w:r w:rsidRPr="006D5C49">
        <w:t>) of VEL did not prolong QT interval. No clinically significant changes from baseline in PR, QRS, or RR or HR were observed.</w:t>
      </w:r>
    </w:p>
    <w:p w:rsidR="000D4647" w:rsidRDefault="006D5C49" w:rsidP="006D5C49">
      <w:r w:rsidRPr="006D5C49">
        <w:t>AEs of special interest included hepatotoxicity, haematological toxicity, serious skin rash, cardiovascular toxicity (bradycardia) and psychiatric events. In addition, pancreatitis, rhabdomyolysis (drug interactions), renal failure and other drug-drug interactions were of interest.</w:t>
      </w:r>
    </w:p>
    <w:bookmarkEnd w:id="174"/>
    <w:bookmarkEnd w:id="175"/>
    <w:bookmarkEnd w:id="176"/>
    <w:p w:rsidR="000D4647" w:rsidRDefault="006D5C49" w:rsidP="006D5C49">
      <w:r w:rsidRPr="006D5C49">
        <w:lastRenderedPageBreak/>
        <w:t>In the integrated Phase III study analysis, one patient (</w:t>
      </w:r>
      <w:r w:rsidR="006F35F9">
        <w:t xml:space="preserve">&lt; </w:t>
      </w:r>
      <w:r w:rsidRPr="006D5C49">
        <w:t xml:space="preserve">0.1%) in SOF/VEL 12 week group had a Grade 3 or 4 ALT abnormality compared with eight (6.9%) in placebo group. There </w:t>
      </w:r>
      <w:r w:rsidR="00C77715">
        <w:t>was</w:t>
      </w:r>
      <w:r w:rsidRPr="006D5C49">
        <w:t xml:space="preserve"> no Grade 3 or 4 total bilirubin elevations in either group. A total of 56 cases were reviewed in the Phase II and III safety populations and one case of potential </w:t>
      </w:r>
      <w:r w:rsidR="00C77715" w:rsidRPr="006D5C49">
        <w:t xml:space="preserve">drug induced liver injury </w:t>
      </w:r>
      <w:r w:rsidRPr="006D5C49">
        <w:t>was identified. This was in a female patient in a Phase II study who received SOF+VEL</w:t>
      </w:r>
      <w:r w:rsidR="00C77715">
        <w:t xml:space="preserve"> </w:t>
      </w:r>
      <w:r w:rsidRPr="006D5C49">
        <w:t>25</w:t>
      </w:r>
      <w:r w:rsidR="00A82FA1">
        <w:t xml:space="preserve"> mg</w:t>
      </w:r>
      <w:r w:rsidRPr="006D5C49">
        <w:t xml:space="preserve"> + RBV and developed increase in ALT/AST. The rise was associated with anti-hypertensive therapy and resolved when antihypertensive therapy was stopped.</w:t>
      </w:r>
    </w:p>
    <w:p w:rsidR="000D4647" w:rsidRDefault="006D5C49" w:rsidP="006D5C49">
      <w:r w:rsidRPr="006D5C49">
        <w:t xml:space="preserve">No unexpected haematological signals were detected. There were no cases of </w:t>
      </w:r>
      <w:r w:rsidR="00C77715" w:rsidRPr="006D5C49">
        <w:t>pancytopenia</w:t>
      </w:r>
      <w:r w:rsidRPr="006D5C49">
        <w:t xml:space="preserve">. In the SOF/VEL group of integrated Phase III safety analysis, the only Grade 3 events were decreased lymphocytes (0.5%), neutrophils (0.4%), and platelets (0.2%). There </w:t>
      </w:r>
      <w:r w:rsidR="00C77715" w:rsidRPr="006D5C49">
        <w:t>was</w:t>
      </w:r>
      <w:r w:rsidRPr="006D5C49">
        <w:t xml:space="preserve"> no Grade 3 or 4 events in the placebo group.</w:t>
      </w:r>
    </w:p>
    <w:p w:rsidR="000D4647" w:rsidRDefault="006D5C49" w:rsidP="006D5C49">
      <w:r w:rsidRPr="006D5C49">
        <w:t>No serious skin reactions were reported in the integrated Phase III study analysis. One patient in the SOF+RBV (24 week) group was hospitalised due to a generalised eczematous reaction but study treatment was not interrupted.</w:t>
      </w:r>
    </w:p>
    <w:p w:rsidR="000D4647" w:rsidRDefault="006D5C49" w:rsidP="006D5C49">
      <w:r w:rsidRPr="006D5C49">
        <w:t xml:space="preserve">One patient in the SOF/VEL (12 week) group had a Grade 3 AE of ischaemic cardiomyopathy in the integrated Phase III study analysis. The event resolved and was considered unrelated to the study treatment. In the integrated Phase </w:t>
      </w:r>
      <w:r w:rsidR="00C77715">
        <w:t>III</w:t>
      </w:r>
      <w:r w:rsidRPr="006D5C49">
        <w:t xml:space="preserve"> studies, 7.9% of patients had cardiac disease at baseline. Four </w:t>
      </w:r>
      <w:r w:rsidR="00C77715">
        <w:t>treatment emergent</w:t>
      </w:r>
      <w:r w:rsidRPr="006D5C49">
        <w:t xml:space="preserve"> ECG abnormalities were reported, one case each of </w:t>
      </w:r>
      <w:proofErr w:type="spellStart"/>
      <w:r w:rsidRPr="006D5C49">
        <w:t>QTc</w:t>
      </w:r>
      <w:proofErr w:type="spellEnd"/>
      <w:r w:rsidRPr="006D5C49">
        <w:t xml:space="preserve"> prolongation, </w:t>
      </w:r>
      <w:proofErr w:type="spellStart"/>
      <w:r w:rsidRPr="006D5C49">
        <w:t>extrasystoles</w:t>
      </w:r>
      <w:proofErr w:type="spellEnd"/>
      <w:r w:rsidRPr="006D5C49">
        <w:t>, atrial fibrillation, and supraventricular tachycardia. Three events were in the SOF/VEL 12 week group and one was in the SOF+RBV 12 week group.</w:t>
      </w:r>
    </w:p>
    <w:p w:rsidR="000D4647" w:rsidRDefault="006D5C49" w:rsidP="006D5C49">
      <w:r w:rsidRPr="006D5C49">
        <w:t>One psychiatric event of depression was reported in the integrated Phase III study analysis. There were no cases of pancreatitis, rhabdomyolysis, myopathy, or renal failure</w:t>
      </w:r>
      <w:r w:rsidR="007419D9">
        <w:t>.</w:t>
      </w:r>
    </w:p>
    <w:p w:rsidR="000D4647" w:rsidRDefault="00386150" w:rsidP="007B6132">
      <w:pPr>
        <w:pStyle w:val="Heading3"/>
        <w:rPr>
          <w:lang w:eastAsia="en-AU"/>
        </w:rPr>
      </w:pPr>
      <w:bookmarkStart w:id="177" w:name="_Toc498681461"/>
      <w:r>
        <w:rPr>
          <w:lang w:eastAsia="en-AU"/>
        </w:rPr>
        <w:t>Risk m</w:t>
      </w:r>
      <w:r w:rsidR="008E7846">
        <w:rPr>
          <w:lang w:eastAsia="en-AU"/>
        </w:rPr>
        <w:t xml:space="preserve">anagement </w:t>
      </w:r>
      <w:r>
        <w:rPr>
          <w:lang w:eastAsia="en-AU"/>
        </w:rPr>
        <w:t>p</w:t>
      </w:r>
      <w:r w:rsidR="008E7846">
        <w:rPr>
          <w:lang w:eastAsia="en-AU"/>
        </w:rPr>
        <w:t>lan</w:t>
      </w:r>
      <w:bookmarkEnd w:id="156"/>
      <w:bookmarkEnd w:id="177"/>
    </w:p>
    <w:p w:rsidR="000D4647" w:rsidRDefault="004B6558" w:rsidP="004B6558">
      <w:bookmarkStart w:id="178" w:name="_Toc247691531"/>
      <w:bookmarkStart w:id="179" w:name="_Toc314842515"/>
      <w:bookmarkStart w:id="180" w:name="_Toc196046505"/>
      <w:bookmarkStart w:id="181" w:name="_Toc196046949"/>
      <w:r w:rsidRPr="004B6558">
        <w:t>The EU-RMP (version 0.2; date 21 April 2016, DLP 26 August 2015) with Australian Specific Annex (version 0.2, date July 2016) and any future updates apply to this submission. ACSOM advice was not sought for this submission.</w:t>
      </w:r>
    </w:p>
    <w:p w:rsidR="000D4647" w:rsidRDefault="004B6558" w:rsidP="004B6558">
      <w:r w:rsidRPr="004B6558">
        <w:t xml:space="preserve">Routine pharmacovigilance is proposed. A clinical registry will reportedly be set up to monitor </w:t>
      </w:r>
      <w:r w:rsidR="00C77715">
        <w:t>treatment emergent</w:t>
      </w:r>
      <w:r w:rsidRPr="004B6558">
        <w:t xml:space="preserve"> viral mutations. The sponsor </w:t>
      </w:r>
      <w:r w:rsidR="00C77715">
        <w:t>was</w:t>
      </w:r>
      <w:r w:rsidRPr="004B6558">
        <w:t xml:space="preserve"> requested to include details of this registry in its Pre-ACPM response.</w:t>
      </w:r>
    </w:p>
    <w:p w:rsidR="000D4647" w:rsidRDefault="00ED4B00" w:rsidP="00ED4B00">
      <w:pPr>
        <w:pStyle w:val="Heading3"/>
      </w:pPr>
      <w:bookmarkStart w:id="182" w:name="_Toc498681462"/>
      <w:bookmarkEnd w:id="178"/>
      <w:bookmarkEnd w:id="179"/>
      <w:r>
        <w:t>Delegate’s considerations</w:t>
      </w:r>
      <w:bookmarkEnd w:id="182"/>
    </w:p>
    <w:p w:rsidR="000D4647" w:rsidRDefault="000A0CF9" w:rsidP="000A0CF9">
      <w:r w:rsidRPr="000A0CF9">
        <w:t xml:space="preserve">The dossier for this </w:t>
      </w:r>
      <w:r w:rsidR="00C77715">
        <w:t>s</w:t>
      </w:r>
      <w:r w:rsidRPr="000A0CF9">
        <w:t>ubmission represented full clinical drug development program. All TGA evaluation areas (</w:t>
      </w:r>
      <w:r w:rsidR="00C77715">
        <w:t>Quality</w:t>
      </w:r>
      <w:r w:rsidRPr="000A0CF9">
        <w:t>, Toxicology, Clinical, and RMP) recommend approval.</w:t>
      </w:r>
    </w:p>
    <w:p w:rsidR="000D4647" w:rsidRDefault="000A0CF9" w:rsidP="000A0CF9">
      <w:r w:rsidRPr="000A0CF9">
        <w:t xml:space="preserve">The pivotal clinical efficacy studies demonstrated very high efficacy (SVR12 </w:t>
      </w:r>
      <w:r w:rsidR="00F044A6">
        <w:t xml:space="preserve">&gt; </w:t>
      </w:r>
      <w:r w:rsidRPr="000A0CF9">
        <w:t>95%) following 12 weeks of treatment with SOF/VEL (400/100</w:t>
      </w:r>
      <w:r w:rsidR="00A82FA1">
        <w:t xml:space="preserve"> mg</w:t>
      </w:r>
      <w:r w:rsidRPr="000A0CF9">
        <w:t xml:space="preserve"> once daily) across all HCV genotypes in patients with compensated liver disease with or without cirrhosis and in previously treated or new patients. The SVR12 was sustained through to SVR24 indicating effective clinical cure. The response was homogenous across various demographic and prognostic subgroups. There were no </w:t>
      </w:r>
      <w:r w:rsidR="00C77715">
        <w:t>on-treatment</w:t>
      </w:r>
      <w:r w:rsidRPr="000A0CF9">
        <w:t xml:space="preserve"> failures and </w:t>
      </w:r>
      <w:proofErr w:type="spellStart"/>
      <w:r w:rsidRPr="000A0CF9">
        <w:t>virologic</w:t>
      </w:r>
      <w:proofErr w:type="spellEnd"/>
      <w:r w:rsidRPr="000A0CF9">
        <w:t xml:space="preserve"> failure due to relapse was low (most commonly in GT3 patients). The number of participating patients (GT1 </w:t>
      </w:r>
      <w:r w:rsidR="00F044A6">
        <w:t xml:space="preserve">&gt; </w:t>
      </w:r>
      <w:r w:rsidRPr="000A0CF9">
        <w:t xml:space="preserve">300, GT2 </w:t>
      </w:r>
      <w:r w:rsidR="00F044A6">
        <w:t xml:space="preserve">&gt; </w:t>
      </w:r>
      <w:r w:rsidRPr="000A0CF9">
        <w:t xml:space="preserve">200, GT3 </w:t>
      </w:r>
      <w:r w:rsidR="00F044A6">
        <w:t xml:space="preserve">&gt; </w:t>
      </w:r>
      <w:r w:rsidRPr="000A0CF9">
        <w:t xml:space="preserve">250, GT4 </w:t>
      </w:r>
      <w:r w:rsidR="00F044A6">
        <w:t xml:space="preserve">&gt; </w:t>
      </w:r>
      <w:r w:rsidRPr="000A0CF9">
        <w:t>100) was reasonable to allow valid efficacy conclusions. The number of GT5 (</w:t>
      </w:r>
      <w:r w:rsidR="00C77715">
        <w:t xml:space="preserve">n = </w:t>
      </w:r>
      <w:r w:rsidRPr="000A0CF9">
        <w:t>35) and GT6 (</w:t>
      </w:r>
      <w:r w:rsidR="00C77715">
        <w:t xml:space="preserve">n = </w:t>
      </w:r>
      <w:r w:rsidRPr="000A0CF9">
        <w:t>41) was low but is consistent with the prevalence of these genotypes.</w:t>
      </w:r>
    </w:p>
    <w:p w:rsidR="000D4647" w:rsidRDefault="000A0CF9" w:rsidP="000A0CF9">
      <w:r w:rsidRPr="000A0CF9">
        <w:t xml:space="preserve">It is noted that SOF/VEL+RBV for 12 weeks was not tested in </w:t>
      </w:r>
      <w:r w:rsidR="00E16107">
        <w:t xml:space="preserve">ASTRAL-1, ASTRAL-2 and ASTRAL-3 </w:t>
      </w:r>
      <w:r w:rsidRPr="000A0CF9">
        <w:t xml:space="preserve">studies. This is of no concern for GT 1 and 2 patients and the reported SVR12 response rates were near 100% but may have been a more useful comparator in the </w:t>
      </w:r>
      <w:r w:rsidRPr="000A0CF9">
        <w:lastRenderedPageBreak/>
        <w:t>trea</w:t>
      </w:r>
      <w:r w:rsidR="00E16107">
        <w:t>tment of GT3 patients in ASTRAL-</w:t>
      </w:r>
      <w:r w:rsidRPr="000A0CF9">
        <w:t>3. SOF/VEL+RBV (12 weeks) is proposed in patients with decompensated liver disease (all genotypes)</w:t>
      </w:r>
      <w:r w:rsidR="00E16107">
        <w:t xml:space="preserve"> based on the results of ASTRAL-</w:t>
      </w:r>
      <w:r w:rsidRPr="000A0CF9">
        <w:t>4 trial.</w:t>
      </w:r>
    </w:p>
    <w:p w:rsidR="000D4647" w:rsidRDefault="000A0CF9" w:rsidP="000A0CF9">
      <w:r w:rsidRPr="000A0CF9">
        <w:t xml:space="preserve">No studies have yet been reported in patients with HBV or HIV co-infections and in children. Shorter duration of treatment </w:t>
      </w:r>
      <w:r w:rsidR="00A82FA1">
        <w:t>for example</w:t>
      </w:r>
      <w:r w:rsidRPr="000A0CF9">
        <w:t xml:space="preserve"> 8 weeks was not examined in Phase III studies.</w:t>
      </w:r>
    </w:p>
    <w:p w:rsidR="000D4647" w:rsidRDefault="000A0CF9" w:rsidP="000A0CF9">
      <w:r w:rsidRPr="000A0CF9">
        <w:t xml:space="preserve">The adverse effects profile was acceptable based on limited safety database at present. Routine pharmacovigilance is proposed. The sponsor is asked to provide more information on the proposed clinical registry. The potential for drug-drug interactions is noted. The information in the PI is consistent with the clinical studies, including precautions about use with amiodarone (bradycardia) and </w:t>
      </w:r>
      <w:proofErr w:type="spellStart"/>
      <w:r w:rsidRPr="000A0CF9">
        <w:t>rosuvastatin</w:t>
      </w:r>
      <w:proofErr w:type="spellEnd"/>
      <w:r w:rsidRPr="000A0CF9">
        <w:t xml:space="preserve"> (rhabdomyolysis).</w:t>
      </w:r>
    </w:p>
    <w:p w:rsidR="000D4647" w:rsidRDefault="00C77715" w:rsidP="000A0CF9">
      <w:r>
        <w:t>All four</w:t>
      </w:r>
      <w:r w:rsidR="000A0CF9" w:rsidRPr="000A0CF9">
        <w:t xml:space="preserve"> pivotal studies are ongoing and final clinical study reports should be provided to the TGA when available. Future trials are identified as ASTRAL-5 in HCV/HIV coinfection, GS-US-342-1143 in paediatric population and GS-US-334-0154 in patients with severe renal failure with HCV GT1/GT3 infection.</w:t>
      </w:r>
    </w:p>
    <w:p w:rsidR="000D4647" w:rsidRDefault="000A0CF9" w:rsidP="000A0CF9">
      <w:r w:rsidRPr="000A0CF9">
        <w:t>Overall, the risk-balance is considered supportive of approval. In particular, clinical need is noted for HCV GT3 patients and patients with decompensated liver disease. Authorisation is recommended for the pan</w:t>
      </w:r>
      <w:r w:rsidR="00C77715">
        <w:t>-</w:t>
      </w:r>
      <w:r w:rsidRPr="000A0CF9">
        <w:t>genotype indication</w:t>
      </w:r>
      <w:r w:rsidR="00C77715">
        <w:t>:</w:t>
      </w:r>
    </w:p>
    <w:p w:rsidR="000D4647" w:rsidRDefault="000A0CF9" w:rsidP="000A0CF9">
      <w:pPr>
        <w:ind w:left="720"/>
        <w:rPr>
          <w:i/>
        </w:rPr>
      </w:pPr>
      <w:r w:rsidRPr="000A0CF9">
        <w:rPr>
          <w:i/>
        </w:rPr>
        <w:t>“</w:t>
      </w:r>
      <w:proofErr w:type="spellStart"/>
      <w:r w:rsidR="007419D9">
        <w:rPr>
          <w:i/>
        </w:rPr>
        <w:t>Epclusa</w:t>
      </w:r>
      <w:proofErr w:type="spellEnd"/>
      <w:r w:rsidRPr="000A0CF9">
        <w:rPr>
          <w:i/>
        </w:rPr>
        <w:t xml:space="preserve"> (</w:t>
      </w:r>
      <w:proofErr w:type="spellStart"/>
      <w:r w:rsidRPr="000A0CF9">
        <w:rPr>
          <w:i/>
        </w:rPr>
        <w:t>sofosbuvir</w:t>
      </w:r>
      <w:proofErr w:type="spellEnd"/>
      <w:r w:rsidRPr="000A0CF9">
        <w:rPr>
          <w:i/>
        </w:rPr>
        <w:t>/</w:t>
      </w:r>
      <w:proofErr w:type="spellStart"/>
      <w:r w:rsidRPr="000A0CF9">
        <w:rPr>
          <w:i/>
        </w:rPr>
        <w:t>velpatasvir</w:t>
      </w:r>
      <w:proofErr w:type="spellEnd"/>
      <w:r w:rsidRPr="000A0CF9">
        <w:rPr>
          <w:i/>
        </w:rPr>
        <w:t xml:space="preserve"> fixed dose combination) is indicated for the treatment of chronic hepatitis C v</w:t>
      </w:r>
      <w:r w:rsidR="00C77715">
        <w:rPr>
          <w:i/>
        </w:rPr>
        <w:t>irus (HCV) infection in adults”</w:t>
      </w:r>
    </w:p>
    <w:p w:rsidR="000D4647" w:rsidRDefault="00C77715" w:rsidP="00C77715">
      <w:proofErr w:type="gramStart"/>
      <w:r w:rsidRPr="00C77715">
        <w:t>and</w:t>
      </w:r>
      <w:proofErr w:type="gramEnd"/>
      <w:r w:rsidRPr="00C77715">
        <w:t xml:space="preserve"> the dosing regimen as proposed by the sponsor</w:t>
      </w:r>
      <w:r>
        <w:t>.</w:t>
      </w:r>
    </w:p>
    <w:p w:rsidR="000D4647" w:rsidRDefault="00E16107" w:rsidP="00E16107">
      <w:pPr>
        <w:pStyle w:val="TableTitle"/>
      </w:pPr>
      <w:r>
        <w:t xml:space="preserve">Table </w:t>
      </w:r>
      <w:r w:rsidR="00756A4F">
        <w:t>19</w:t>
      </w:r>
      <w:r>
        <w:t xml:space="preserve">: </w:t>
      </w:r>
      <w:r w:rsidRPr="00742A20">
        <w:t>Recommended Treatment Regimen Regardless of HCV Genotype</w:t>
      </w:r>
    </w:p>
    <w:p w:rsidR="000D4647" w:rsidRDefault="00E16107" w:rsidP="00E16107">
      <w:r>
        <w:rPr>
          <w:noProof/>
          <w:lang w:eastAsia="en-AU"/>
        </w:rPr>
        <w:drawing>
          <wp:inline distT="0" distB="0" distL="0" distR="0" wp14:anchorId="32B3DDAD" wp14:editId="394C0533">
            <wp:extent cx="5149900" cy="1102056"/>
            <wp:effectExtent l="0" t="0" r="0" b="3175"/>
            <wp:docPr id="14" name="Picture 14" descr="Table 19: Recommended Treatment Regimen Regardless of HCV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51257" cy="1102346"/>
                    </a:xfrm>
                    <a:prstGeom prst="rect">
                      <a:avLst/>
                    </a:prstGeom>
                  </pic:spPr>
                </pic:pic>
              </a:graphicData>
            </a:graphic>
          </wp:inline>
        </w:drawing>
      </w:r>
    </w:p>
    <w:p w:rsidR="000D4647" w:rsidRDefault="000A0CF9" w:rsidP="000A0CF9">
      <w:pPr>
        <w:spacing w:line="240" w:lineRule="auto"/>
        <w:jc w:val="both"/>
      </w:pPr>
      <w:r>
        <w:t>Use without dose adjustment in severe hepatic impairment is also supported by data.</w:t>
      </w:r>
    </w:p>
    <w:p w:rsidR="000D4647" w:rsidRDefault="00D23139" w:rsidP="00BE0146">
      <w:pPr>
        <w:pStyle w:val="Heading4"/>
      </w:pPr>
      <w:r w:rsidRPr="00D23139">
        <w:t>Proposed action</w:t>
      </w:r>
    </w:p>
    <w:p w:rsidR="000D4647" w:rsidRDefault="00C77715" w:rsidP="000A0CF9">
      <w:r>
        <w:t>The Delegate had</w:t>
      </w:r>
      <w:r w:rsidR="000A0CF9" w:rsidRPr="000A0CF9">
        <w:t xml:space="preserve"> no reason to say, at this time, that the application for </w:t>
      </w:r>
      <w:proofErr w:type="spellStart"/>
      <w:r w:rsidR="007419D9">
        <w:t>Epclusa</w:t>
      </w:r>
      <w:proofErr w:type="spellEnd"/>
      <w:r w:rsidR="000A0CF9" w:rsidRPr="000A0CF9">
        <w:t xml:space="preserve"> should not be approved for registration.</w:t>
      </w:r>
    </w:p>
    <w:p w:rsidR="000D4647" w:rsidRDefault="00D23139" w:rsidP="00BE0146">
      <w:pPr>
        <w:pStyle w:val="Heading4"/>
      </w:pPr>
      <w:r w:rsidRPr="00D23139">
        <w:t>Request for ACPM advice</w:t>
      </w:r>
    </w:p>
    <w:p w:rsidR="000D4647" w:rsidRDefault="000A0CF9" w:rsidP="000A0CF9">
      <w:r w:rsidRPr="000A0CF9">
        <w:t xml:space="preserve">The ACPM </w:t>
      </w:r>
      <w:r w:rsidR="00C77715">
        <w:t>was</w:t>
      </w:r>
      <w:r w:rsidRPr="000A0CF9">
        <w:t xml:space="preserve"> requested to provide advice on the following specific issues:</w:t>
      </w:r>
    </w:p>
    <w:p w:rsidR="000D4647" w:rsidRDefault="000A0CF9" w:rsidP="000A0CF9">
      <w:pPr>
        <w:pStyle w:val="Numberbullet0"/>
      </w:pPr>
      <w:r w:rsidRPr="000A0CF9">
        <w:t xml:space="preserve">Does the Committee support the overall adequacy of the data package to allow use of </w:t>
      </w:r>
      <w:proofErr w:type="spellStart"/>
      <w:r w:rsidR="007419D9">
        <w:t>Epclusa</w:t>
      </w:r>
      <w:proofErr w:type="spellEnd"/>
      <w:r w:rsidRPr="000A0CF9">
        <w:t xml:space="preserve"> (400/100 once daily for 12 weeks) in all HCV genotypes and the proposed dosing regimen in patients with compensated liver disease (without RBV) and decompensated liver disease (with RBV)?</w:t>
      </w:r>
    </w:p>
    <w:p w:rsidR="000D4647" w:rsidRDefault="000A0CF9" w:rsidP="000A0CF9">
      <w:r w:rsidRPr="000A0CF9">
        <w:t>The Committee is also requested to provide advice on any other issues that it thinks may be relevant to a decision on whether or not to approve this application.</w:t>
      </w:r>
    </w:p>
    <w:p w:rsidR="000D4647" w:rsidRDefault="00D23139" w:rsidP="00ED4B00">
      <w:pPr>
        <w:pStyle w:val="Heading3"/>
      </w:pPr>
      <w:bookmarkStart w:id="183" w:name="_Toc498681463"/>
      <w:r w:rsidRPr="00D23139">
        <w:lastRenderedPageBreak/>
        <w:t xml:space="preserve">Response from </w:t>
      </w:r>
      <w:r w:rsidR="00C77715">
        <w:t>sponsor</w:t>
      </w:r>
      <w:bookmarkEnd w:id="183"/>
    </w:p>
    <w:p w:rsidR="000D4647" w:rsidRDefault="00742A20" w:rsidP="00742A20">
      <w:r w:rsidRPr="00742A20">
        <w:t xml:space="preserve">Gilead welcomes the Delegate’s recommendation that the application to register </w:t>
      </w:r>
      <w:proofErr w:type="spellStart"/>
      <w:r w:rsidR="007419D9">
        <w:t>Epclusa</w:t>
      </w:r>
      <w:proofErr w:type="spellEnd"/>
      <w:r w:rsidRPr="00742A20">
        <w:t xml:space="preserve"> tablets should be approved for the pan</w:t>
      </w:r>
      <w:r w:rsidR="00C77715">
        <w:t>-</w:t>
      </w:r>
      <w:r w:rsidRPr="00742A20">
        <w:t>genotypic indication and the dosing</w:t>
      </w:r>
      <w:r w:rsidR="00C77715">
        <w:t xml:space="preserve"> regimen as proposed by Gilead:</w:t>
      </w:r>
    </w:p>
    <w:p w:rsidR="000D4647" w:rsidRDefault="00742A20" w:rsidP="00742A20">
      <w:pPr>
        <w:ind w:left="720"/>
        <w:rPr>
          <w:i/>
        </w:rPr>
      </w:pPr>
      <w:r w:rsidRPr="00742A20">
        <w:rPr>
          <w:i/>
        </w:rPr>
        <w:t>“</w:t>
      </w:r>
      <w:proofErr w:type="spellStart"/>
      <w:r w:rsidR="007419D9">
        <w:rPr>
          <w:i/>
        </w:rPr>
        <w:t>Epclusa</w:t>
      </w:r>
      <w:proofErr w:type="spellEnd"/>
      <w:r w:rsidRPr="00742A20">
        <w:rPr>
          <w:i/>
        </w:rPr>
        <w:t xml:space="preserve"> (</w:t>
      </w:r>
      <w:proofErr w:type="spellStart"/>
      <w:r w:rsidRPr="00742A20">
        <w:rPr>
          <w:i/>
        </w:rPr>
        <w:t>sofosbuvir</w:t>
      </w:r>
      <w:proofErr w:type="spellEnd"/>
      <w:r w:rsidRPr="00742A20">
        <w:rPr>
          <w:i/>
        </w:rPr>
        <w:t>/</w:t>
      </w:r>
      <w:proofErr w:type="spellStart"/>
      <w:r w:rsidRPr="00742A20">
        <w:rPr>
          <w:i/>
        </w:rPr>
        <w:t>velpatasvir</w:t>
      </w:r>
      <w:proofErr w:type="spellEnd"/>
      <w:r w:rsidRPr="00742A20">
        <w:rPr>
          <w:i/>
        </w:rPr>
        <w:t xml:space="preserve"> fixed dose combination) is indicated for the treatment of chronic hepatitis C virus (HCV) infection in adults”.</w:t>
      </w:r>
    </w:p>
    <w:p w:rsidR="000D4647" w:rsidRDefault="00E16107" w:rsidP="00ED4B00">
      <w:pPr>
        <w:pStyle w:val="Heading4"/>
      </w:pPr>
      <w:r>
        <w:t>Summary</w:t>
      </w:r>
    </w:p>
    <w:p w:rsidR="000D4647" w:rsidRDefault="00742A20" w:rsidP="00742A20">
      <w:r w:rsidRPr="00742A20">
        <w:t>Chronic Hepatitis C Virus (HCV) infection is a serious, pr</w:t>
      </w:r>
      <w:r w:rsidR="00E16107">
        <w:t xml:space="preserve">ogressive, and potentially life </w:t>
      </w:r>
      <w:r w:rsidRPr="00742A20">
        <w:t>threatening disease and a major public health concern globally. Worldwide, an estimated 180 million people have HCV</w:t>
      </w:r>
      <w:r w:rsidR="00E16107">
        <w:t>.</w:t>
      </w:r>
      <w:r w:rsidR="00E16107">
        <w:rPr>
          <w:rStyle w:val="FootnoteReference"/>
        </w:rPr>
        <w:footnoteReference w:id="18"/>
      </w:r>
      <w:r w:rsidRPr="00742A20">
        <w:t xml:space="preserve"> The prevalence of HCV in Australia is estimated to be approximately 1.3%</w:t>
      </w:r>
      <w:r w:rsidR="00E16107">
        <w:t>.</w:t>
      </w:r>
      <w:r w:rsidR="00E16107">
        <w:rPr>
          <w:rStyle w:val="FootnoteReference"/>
        </w:rPr>
        <w:footnoteReference w:id="19"/>
      </w:r>
    </w:p>
    <w:p w:rsidR="000D4647" w:rsidRDefault="00742A20" w:rsidP="00742A20">
      <w:r w:rsidRPr="00742A20">
        <w:t>Recently, there has been a transformation in the treatment of HCV infection with the developme</w:t>
      </w:r>
      <w:r w:rsidR="00E16107">
        <w:t>nt of DAAs</w:t>
      </w:r>
      <w:r w:rsidRPr="00742A20">
        <w:t xml:space="preserve"> targeting viral proteins essential to viral replication. Recen</w:t>
      </w:r>
      <w:r w:rsidR="00E16107">
        <w:t xml:space="preserve">tly approved DAA </w:t>
      </w:r>
      <w:r w:rsidRPr="00742A20">
        <w:t xml:space="preserve">based treatment regimens are generally well tolerated and result in high </w:t>
      </w:r>
      <w:r w:rsidR="00E16107">
        <w:t>SVR</w:t>
      </w:r>
      <w:r w:rsidRPr="00742A20">
        <w:t xml:space="preserve"> rates at 12 weeks following completion of all treatment across most, but not all, patient populations. Most DAA development has focused on DAAs that are active against genotype 1 HCV infection as this is the most prevalent HCV genotype in developed countries. However, in Australia genotype 3 infection accounts for approximately 30% of chronic HCV infection and these patients tend to have lower response rates (especially patients with cirrhosis) and a faster progression of liver disease than patients with other HCV genotypes</w:t>
      </w:r>
      <w:r w:rsidR="007419D9">
        <w:t>.</w:t>
      </w:r>
    </w:p>
    <w:p w:rsidR="000D4647" w:rsidRDefault="00742A20" w:rsidP="00742A20">
      <w:r w:rsidRPr="00742A20">
        <w:t>Gilead considers that the goal of HCV drug development is to maximise SVR12 rates and provide a cure for HCV infection for all patient p</w:t>
      </w:r>
      <w:r w:rsidR="00E16107">
        <w:t xml:space="preserve">opulations with a safe and well </w:t>
      </w:r>
      <w:r w:rsidRPr="00742A20">
        <w:t xml:space="preserve">tolerated regimen. In support of this goal Gilead has developed </w:t>
      </w:r>
      <w:proofErr w:type="spellStart"/>
      <w:r w:rsidR="007419D9">
        <w:t>Epclusa</w:t>
      </w:r>
      <w:proofErr w:type="spellEnd"/>
      <w:r w:rsidRPr="00742A20">
        <w:t xml:space="preserve">, a fixed dose combination of 2 potent DAAs, </w:t>
      </w:r>
      <w:proofErr w:type="spellStart"/>
      <w:r w:rsidRPr="00742A20">
        <w:t>sofosbuvir</w:t>
      </w:r>
      <w:proofErr w:type="spellEnd"/>
      <w:r w:rsidRPr="00742A20">
        <w:t xml:space="preserve"> (SOF) and </w:t>
      </w:r>
      <w:proofErr w:type="spellStart"/>
      <w:r w:rsidRPr="00742A20">
        <w:t>velpatasvir</w:t>
      </w:r>
      <w:proofErr w:type="spellEnd"/>
      <w:r w:rsidRPr="00742A20">
        <w:t xml:space="preserve">. </w:t>
      </w:r>
      <w:proofErr w:type="spellStart"/>
      <w:r w:rsidR="007419D9">
        <w:t>Epclusa</w:t>
      </w:r>
      <w:proofErr w:type="spellEnd"/>
      <w:r w:rsidRPr="00742A20">
        <w:t xml:space="preserve"> represents the third </w:t>
      </w:r>
      <w:proofErr w:type="spellStart"/>
      <w:r w:rsidRPr="00742A20">
        <w:t>sofosbuvir</w:t>
      </w:r>
      <w:proofErr w:type="spellEnd"/>
      <w:r w:rsidRPr="00742A20">
        <w:t xml:space="preserve">-based regimen that Gilead has developed for the treatment of HCV infection after </w:t>
      </w:r>
      <w:proofErr w:type="spellStart"/>
      <w:r w:rsidR="007419D9">
        <w:t>Sovaldi</w:t>
      </w:r>
      <w:proofErr w:type="spellEnd"/>
      <w:r w:rsidRPr="00742A20">
        <w:t xml:space="preserve"> and </w:t>
      </w:r>
      <w:proofErr w:type="spellStart"/>
      <w:r w:rsidR="007419D9">
        <w:t>Harvoni</w:t>
      </w:r>
      <w:proofErr w:type="spellEnd"/>
      <w:r w:rsidRPr="00742A20">
        <w:t xml:space="preserve"> and it is the first, 1</w:t>
      </w:r>
      <w:r w:rsidR="006F35F9">
        <w:t>2 week</w:t>
      </w:r>
      <w:r w:rsidRPr="00742A20">
        <w:t>, once daily, all oral pan</w:t>
      </w:r>
      <w:r w:rsidR="00E16107">
        <w:t xml:space="preserve"> </w:t>
      </w:r>
      <w:r w:rsidRPr="00742A20">
        <w:t>genotypic treatment option for all HCV patients</w:t>
      </w:r>
      <w:r w:rsidR="0073309E">
        <w:t>.</w:t>
      </w:r>
    </w:p>
    <w:p w:rsidR="000D4647" w:rsidRDefault="00742A20" w:rsidP="00742A20">
      <w:r w:rsidRPr="00742A20">
        <w:t xml:space="preserve">Importantly, </w:t>
      </w:r>
      <w:proofErr w:type="spellStart"/>
      <w:r w:rsidR="007419D9">
        <w:t>Epclusa</w:t>
      </w:r>
      <w:proofErr w:type="spellEnd"/>
      <w:r w:rsidRPr="00742A20">
        <w:t xml:space="preserve"> addresses an unmet medical need for patients with decompensated cirrhosis as there are no currently available treatment options for HCV infected patients with decompensated cirrhosis in Australia. The large number of patients with decompensated liver disease, the small number of patients able to obtain a liver transplant, and the limited prognosis because of the universal recurrence of infection in those who receive a liver transplant, highlight the need for efficacious and safe therapies for patients infected with all HCV genotypes with decompensated cirrhosis. </w:t>
      </w:r>
      <w:proofErr w:type="spellStart"/>
      <w:r w:rsidR="007419D9">
        <w:t>Epclusa</w:t>
      </w:r>
      <w:proofErr w:type="spellEnd"/>
      <w:r w:rsidR="00E16107">
        <w:t xml:space="preserve"> </w:t>
      </w:r>
      <w:r w:rsidRPr="00742A20">
        <w:t>+</w:t>
      </w:r>
      <w:r w:rsidR="00E16107">
        <w:t xml:space="preserve"> </w:t>
      </w:r>
      <w:r w:rsidRPr="00742A20">
        <w:t>Ribavirin (RBV) for 12 weeks will provide a safe and effective regimen for the treatment of HCV infection in all patients with decompensated disease</w:t>
      </w:r>
      <w:r w:rsidR="007419D9">
        <w:t>.</w:t>
      </w:r>
    </w:p>
    <w:p w:rsidR="000D4647" w:rsidRDefault="007419D9" w:rsidP="00742A20">
      <w:proofErr w:type="spellStart"/>
      <w:r>
        <w:t>Epclusa</w:t>
      </w:r>
      <w:proofErr w:type="spellEnd"/>
      <w:r w:rsidR="00742A20" w:rsidRPr="00742A20">
        <w:t xml:space="preserve"> therefore represents a significant treatment advance in the rapidly evolvin</w:t>
      </w:r>
      <w:r w:rsidR="00742A20">
        <w:t xml:space="preserve">g field of </w:t>
      </w:r>
      <w:r w:rsidR="00742A20" w:rsidRPr="00742A20">
        <w:t>HCV treatment, and Gilead is encouraged by the Delegate highlighti</w:t>
      </w:r>
      <w:r w:rsidR="00742A20">
        <w:t xml:space="preserve">ng the importance and clinical </w:t>
      </w:r>
      <w:r w:rsidR="00742A20" w:rsidRPr="00742A20">
        <w:t xml:space="preserve">need of </w:t>
      </w:r>
      <w:proofErr w:type="spellStart"/>
      <w:r>
        <w:t>Epclusa</w:t>
      </w:r>
      <w:proofErr w:type="spellEnd"/>
      <w:r w:rsidR="00742A20" w:rsidRPr="00742A20">
        <w:t xml:space="preserve"> for genotype 3 patients and patients with decompensated liver disease.</w:t>
      </w:r>
    </w:p>
    <w:p w:rsidR="000D4647" w:rsidRDefault="007419D9" w:rsidP="00742A20">
      <w:proofErr w:type="spellStart"/>
      <w:r>
        <w:t>Epclusa</w:t>
      </w:r>
      <w:proofErr w:type="spellEnd"/>
      <w:r w:rsidR="00742A20" w:rsidRPr="00742A20">
        <w:t xml:space="preserve"> is currently approved for the treatment of HCV infection in the USA, European Union, Switzerland, Canada and New Zealand</w:t>
      </w:r>
      <w:r>
        <w:t>.</w:t>
      </w:r>
    </w:p>
    <w:p w:rsidR="000D4647" w:rsidRDefault="00E16107" w:rsidP="00ED4B00">
      <w:pPr>
        <w:pStyle w:val="Heading4"/>
      </w:pPr>
      <w:r>
        <w:lastRenderedPageBreak/>
        <w:t>Discussion of Delegate’s comments</w:t>
      </w:r>
    </w:p>
    <w:p w:rsidR="000D4647" w:rsidRDefault="00742A20" w:rsidP="00742A20">
      <w:r w:rsidRPr="00742A20">
        <w:t>The Delegate’s comments are presented in bold print, and are followed by Gilead’s response.</w:t>
      </w:r>
    </w:p>
    <w:p w:rsidR="000D4647" w:rsidRDefault="00742A20" w:rsidP="00ED4B00">
      <w:pPr>
        <w:rPr>
          <w:b/>
          <w:i/>
        </w:rPr>
      </w:pPr>
      <w:r w:rsidRPr="00ED4B00">
        <w:rPr>
          <w:b/>
          <w:i/>
        </w:rPr>
        <w:t>ACPM ad</w:t>
      </w:r>
      <w:r w:rsidR="00E16107" w:rsidRPr="00ED4B00">
        <w:rPr>
          <w:b/>
          <w:i/>
        </w:rPr>
        <w:t>vice sought by the TGA Delegate</w:t>
      </w:r>
    </w:p>
    <w:p w:rsidR="000D4647" w:rsidRDefault="00742A20" w:rsidP="00ED4B00">
      <w:pPr>
        <w:pStyle w:val="Numberbullet0"/>
        <w:numPr>
          <w:ilvl w:val="0"/>
          <w:numId w:val="41"/>
        </w:numPr>
        <w:rPr>
          <w:b/>
          <w:i/>
        </w:rPr>
      </w:pPr>
      <w:r w:rsidRPr="00ED4B00">
        <w:rPr>
          <w:b/>
          <w:i/>
        </w:rPr>
        <w:t xml:space="preserve">Does the Committee support the overall adequacy of the data package to allow use of </w:t>
      </w:r>
      <w:proofErr w:type="spellStart"/>
      <w:r w:rsidR="007419D9" w:rsidRPr="00ED4B00">
        <w:rPr>
          <w:b/>
          <w:i/>
        </w:rPr>
        <w:t>Epclusa</w:t>
      </w:r>
      <w:proofErr w:type="spellEnd"/>
      <w:r w:rsidRPr="00ED4B00">
        <w:rPr>
          <w:b/>
          <w:i/>
        </w:rPr>
        <w:t xml:space="preserve"> (400/100 once daily for 12 weeks) in all HCV genotypes and the proposed dosing regimen in patients with compensated liver disease (without RBV) and decompensated liver disease (with RBV)</w:t>
      </w:r>
      <w:r w:rsidR="007419D9" w:rsidRPr="00ED4B00">
        <w:rPr>
          <w:b/>
          <w:i/>
        </w:rPr>
        <w:t>.</w:t>
      </w:r>
    </w:p>
    <w:p w:rsidR="000D4647" w:rsidRDefault="00742A20" w:rsidP="00742A20">
      <w:r w:rsidRPr="00742A20">
        <w:t>Gilead considers that the goal of HCV drug development is to maximise the SVR12 rates and provide a cure for HCV infection for all patient populations with a safe and well-tolerated regimen</w:t>
      </w:r>
      <w:r w:rsidR="007419D9">
        <w:t>.</w:t>
      </w:r>
    </w:p>
    <w:p w:rsidR="000D4647" w:rsidRDefault="00742A20" w:rsidP="00742A20">
      <w:r w:rsidRPr="00742A20">
        <w:t xml:space="preserve">The application to register </w:t>
      </w:r>
      <w:proofErr w:type="spellStart"/>
      <w:r w:rsidR="007419D9">
        <w:t>Epclusa</w:t>
      </w:r>
      <w:proofErr w:type="spellEnd"/>
      <w:r w:rsidRPr="00742A20">
        <w:t xml:space="preserve"> was supported by data from four international </w:t>
      </w:r>
      <w:r w:rsidR="00ED4B00">
        <w:t>Phase </w:t>
      </w:r>
      <w:r w:rsidR="00E16107">
        <w:t>III</w:t>
      </w:r>
      <w:r w:rsidRPr="00742A20">
        <w:t xml:space="preserve"> studies, GS-US-342-1138 (ASTRAL-1), G</w:t>
      </w:r>
      <w:r w:rsidR="00E16107">
        <w:t>S-US-342-1139 (ASTRAL</w:t>
      </w:r>
      <w:r w:rsidR="00E16107">
        <w:noBreakHyphen/>
      </w:r>
      <w:r w:rsidRPr="00742A20">
        <w:t xml:space="preserve">2), GS-US-342-1140 (ASTRAL-3) and GS-US-342-1137 (ASTRAL-4). The </w:t>
      </w:r>
      <w:r w:rsidR="00E16107">
        <w:t>Phase III</w:t>
      </w:r>
      <w:r w:rsidRPr="00742A20">
        <w:t xml:space="preserve"> program was designed to evaluate the efficacy and safety of treatment of </w:t>
      </w:r>
      <w:proofErr w:type="spellStart"/>
      <w:r w:rsidR="007419D9">
        <w:t>Epclusa</w:t>
      </w:r>
      <w:proofErr w:type="spellEnd"/>
      <w:r w:rsidRPr="00742A20">
        <w:t xml:space="preserve"> in a diverse patient population with respect to HCV genotypes and subtypes, demographic characteristic</w:t>
      </w:r>
      <w:r w:rsidR="00E16107">
        <w:t>s</w:t>
      </w:r>
      <w:r w:rsidRPr="00742A20">
        <w:t xml:space="preserve">, and geographical regions. This data summarized below supports the use of </w:t>
      </w:r>
      <w:proofErr w:type="spellStart"/>
      <w:r w:rsidR="007419D9">
        <w:t>Epclusa</w:t>
      </w:r>
      <w:proofErr w:type="spellEnd"/>
      <w:r w:rsidRPr="00742A20">
        <w:t xml:space="preserve"> in all HCV genotypes and the proposed dosing regimen in patients with compensated liver disease (without RBV) and decompensated liver disease (with RBV).</w:t>
      </w:r>
    </w:p>
    <w:p w:rsidR="000D4647" w:rsidRPr="000D4647" w:rsidRDefault="00E16107" w:rsidP="000D4647">
      <w:pPr>
        <w:pStyle w:val="Heading5"/>
        <w:rPr>
          <w:rFonts w:eastAsiaTheme="minorHAnsi"/>
          <w:b w:val="0"/>
        </w:rPr>
      </w:pPr>
      <w:r w:rsidRPr="000D4647">
        <w:rPr>
          <w:rFonts w:eastAsiaTheme="minorHAnsi"/>
          <w:b w:val="0"/>
        </w:rPr>
        <w:t>Patients with Genotype 1 to</w:t>
      </w:r>
      <w:r w:rsidR="00ED4B00" w:rsidRPr="000D4647">
        <w:rPr>
          <w:rFonts w:eastAsiaTheme="minorHAnsi"/>
          <w:b w:val="0"/>
        </w:rPr>
        <w:t xml:space="preserve"> 6 HCV</w:t>
      </w:r>
    </w:p>
    <w:p w:rsidR="000D4647" w:rsidRDefault="00742A20" w:rsidP="00742A20">
      <w:r w:rsidRPr="00742A20">
        <w:t xml:space="preserve">In the ASTRAL-1, ASTRAL-2 and ASTRAL-3 studies, 1,035 patients with genotype 1-6 chronic HCV infection, without cirrhosis or with compensated cirrhosis received 12 weeks of </w:t>
      </w:r>
      <w:proofErr w:type="spellStart"/>
      <w:r w:rsidR="007419D9">
        <w:t>Epclusa</w:t>
      </w:r>
      <w:proofErr w:type="spellEnd"/>
      <w:r w:rsidR="007419D9">
        <w:t>.</w:t>
      </w:r>
    </w:p>
    <w:p w:rsidR="000D4647" w:rsidRDefault="00742A20" w:rsidP="00742A20">
      <w:r w:rsidRPr="00742A20">
        <w:t xml:space="preserve">Of the 1,035 patients treated with </w:t>
      </w:r>
      <w:proofErr w:type="spellStart"/>
      <w:r w:rsidR="007419D9">
        <w:t>Epclusa</w:t>
      </w:r>
      <w:proofErr w:type="spellEnd"/>
      <w:r w:rsidRPr="00742A20">
        <w:t xml:space="preserve"> for 12 weeks in the ASTRAL-1, ASTRAL-2 and ASTRAL-3 studies, 1,015 (98%) achieved SVR12</w:t>
      </w:r>
      <w:r w:rsidR="007419D9">
        <w:t>.</w:t>
      </w:r>
    </w:p>
    <w:p w:rsidR="000D4647" w:rsidRDefault="00742A20" w:rsidP="00742A20">
      <w:r w:rsidRPr="00742A20">
        <w:t xml:space="preserve">The SVR12 rates achieved with </w:t>
      </w:r>
      <w:proofErr w:type="spellStart"/>
      <w:r w:rsidR="007419D9">
        <w:t>Epclusa</w:t>
      </w:r>
      <w:proofErr w:type="spellEnd"/>
      <w:r w:rsidRPr="00742A20">
        <w:t xml:space="preserve"> are comparable with or greater than the SVR12 rates achieved with currently available treatment options across genotype 1 to 6 HCV infections. In patients with genotype 1 HCV infection, treatment with </w:t>
      </w:r>
      <w:proofErr w:type="spellStart"/>
      <w:r w:rsidR="007419D9">
        <w:t>Epclusa</w:t>
      </w:r>
      <w:proofErr w:type="spellEnd"/>
      <w:r w:rsidRPr="00742A20">
        <w:t xml:space="preserve"> provided SVR12 rates greater than 95% in all patient subgroups including those with cirrhosis or with prior treatment failure</w:t>
      </w:r>
      <w:r w:rsidR="007419D9">
        <w:t>.</w:t>
      </w:r>
    </w:p>
    <w:p w:rsidR="000D4647" w:rsidRDefault="00742A20" w:rsidP="00742A20">
      <w:r w:rsidRPr="00742A20">
        <w:t xml:space="preserve">There were no </w:t>
      </w:r>
      <w:proofErr w:type="spellStart"/>
      <w:r w:rsidRPr="00742A20">
        <w:t>virologic</w:t>
      </w:r>
      <w:proofErr w:type="spellEnd"/>
      <w:r w:rsidRPr="00742A20">
        <w:t xml:space="preserve"> failures among any of the patients with genotype 2 HCV infection who received </w:t>
      </w:r>
      <w:proofErr w:type="spellStart"/>
      <w:r w:rsidR="007419D9">
        <w:t>Epclusa</w:t>
      </w:r>
      <w:proofErr w:type="spellEnd"/>
      <w:r w:rsidRPr="00742A20">
        <w:t xml:space="preserve"> in ASTRAL-1 and ASTRAL-2, and in ASTRAL-2 the SVR12 rate for patients with genotype 2 HCV infection who received </w:t>
      </w:r>
      <w:proofErr w:type="spellStart"/>
      <w:r w:rsidR="007419D9">
        <w:t>Epclusa</w:t>
      </w:r>
      <w:proofErr w:type="spellEnd"/>
      <w:r w:rsidRPr="00742A20">
        <w:t xml:space="preserve"> for 12 weeks was statistically superior to the SVR12 rate achieved by patie</w:t>
      </w:r>
      <w:r w:rsidR="00ED4B00">
        <w:t>nts who received SOF+RBV for 12 </w:t>
      </w:r>
      <w:r w:rsidRPr="00742A20">
        <w:t>weeks</w:t>
      </w:r>
      <w:r w:rsidR="007419D9">
        <w:t>.</w:t>
      </w:r>
    </w:p>
    <w:p w:rsidR="000D4647" w:rsidRDefault="00742A20" w:rsidP="00742A20">
      <w:r w:rsidRPr="00742A20">
        <w:t xml:space="preserve">The SVR12 rate achieved in patients with genotype 3 HCV infection who received </w:t>
      </w:r>
      <w:proofErr w:type="spellStart"/>
      <w:r w:rsidR="007419D9">
        <w:t>Epclusa</w:t>
      </w:r>
      <w:proofErr w:type="spellEnd"/>
      <w:r w:rsidRPr="00742A20">
        <w:t xml:space="preserve"> for 12 weeks was statistically superior to the SVR12 rate for patients who received SOF+RBV for 24 weeks</w:t>
      </w:r>
      <w:r w:rsidR="007419D9">
        <w:t>.</w:t>
      </w:r>
    </w:p>
    <w:p w:rsidR="000D4647" w:rsidRDefault="00742A20" w:rsidP="00742A20">
      <w:r w:rsidRPr="00742A20">
        <w:t xml:space="preserve">Patients with genotype 3 HCV infection with cirrhosis have had suboptimal response rates to prior DAA based regimens; however, in the ASTRAL-3 study, the SVR12 rate among patients with cirrhosis was 91.3%. Across all subgroups, the SVR12 rates achieved with 12 weeks of </w:t>
      </w:r>
      <w:proofErr w:type="spellStart"/>
      <w:r w:rsidR="007419D9">
        <w:t>Epclusa</w:t>
      </w:r>
      <w:proofErr w:type="spellEnd"/>
      <w:r w:rsidR="00ED4B00">
        <w:t xml:space="preserve"> </w:t>
      </w:r>
      <w:r w:rsidRPr="00742A20">
        <w:t xml:space="preserve">treatment were similar to those achieved with 12 weeks of the IFN-containing regimen of </w:t>
      </w:r>
      <w:proofErr w:type="spellStart"/>
      <w:r w:rsidRPr="00742A20">
        <w:t>SOF+Peg-IFN+RBV</w:t>
      </w:r>
      <w:proofErr w:type="spellEnd"/>
      <w:r w:rsidR="007419D9">
        <w:t>.</w:t>
      </w:r>
    </w:p>
    <w:p w:rsidR="000D4647" w:rsidRDefault="00742A20" w:rsidP="00742A20">
      <w:r w:rsidRPr="00742A20">
        <w:t xml:space="preserve">There were no </w:t>
      </w:r>
      <w:proofErr w:type="spellStart"/>
      <w:r w:rsidRPr="00742A20">
        <w:t>virologic</w:t>
      </w:r>
      <w:proofErr w:type="spellEnd"/>
      <w:r w:rsidRPr="00742A20">
        <w:t xml:space="preserve"> failures among the patients with genotype 4, 5, or 6 HCV </w:t>
      </w:r>
      <w:proofErr w:type="gramStart"/>
      <w:r w:rsidRPr="00742A20">
        <w:t>infection</w:t>
      </w:r>
      <w:proofErr w:type="gramEnd"/>
      <w:r w:rsidRPr="00742A20">
        <w:t xml:space="preserve"> who received </w:t>
      </w:r>
      <w:proofErr w:type="spellStart"/>
      <w:r w:rsidR="007419D9">
        <w:t>Epclusa</w:t>
      </w:r>
      <w:proofErr w:type="spellEnd"/>
      <w:r w:rsidRPr="00742A20">
        <w:t xml:space="preserve"> for 12 weeks</w:t>
      </w:r>
      <w:r w:rsidR="007419D9">
        <w:t>.</w:t>
      </w:r>
    </w:p>
    <w:p w:rsidR="000D4647" w:rsidRPr="000D4647" w:rsidRDefault="00742A20" w:rsidP="000D4647">
      <w:pPr>
        <w:pStyle w:val="Heading5"/>
        <w:rPr>
          <w:rFonts w:eastAsiaTheme="minorHAnsi"/>
          <w:b w:val="0"/>
        </w:rPr>
      </w:pPr>
      <w:r w:rsidRPr="000D4647">
        <w:rPr>
          <w:rFonts w:eastAsiaTheme="minorHAnsi"/>
          <w:b w:val="0"/>
        </w:rPr>
        <w:lastRenderedPageBreak/>
        <w:t xml:space="preserve">Patients with </w:t>
      </w:r>
      <w:r w:rsidR="00ED4B00" w:rsidRPr="000D4647">
        <w:rPr>
          <w:rFonts w:eastAsiaTheme="minorHAnsi"/>
          <w:b w:val="0"/>
        </w:rPr>
        <w:t>decompensated HCV liver disease</w:t>
      </w:r>
    </w:p>
    <w:p w:rsidR="000D4647" w:rsidRDefault="00742A20" w:rsidP="00742A20">
      <w:r w:rsidRPr="00742A20">
        <w:t>There are currently no available DAAs in Australia including specific dosing for treating decompensated HCV liver disease</w:t>
      </w:r>
      <w:r w:rsidR="007419D9">
        <w:t>.</w:t>
      </w:r>
    </w:p>
    <w:p w:rsidR="000D4647" w:rsidRDefault="00742A20" w:rsidP="00742A20">
      <w:r w:rsidRPr="00742A20">
        <w:t>The ASTRAL-4 study randomiz</w:t>
      </w:r>
      <w:r w:rsidR="00ED4B00">
        <w:t xml:space="preserve">ed 267 patients with genotype 1 to </w:t>
      </w:r>
      <w:r w:rsidRPr="00742A20">
        <w:t xml:space="preserve">6 HCV </w:t>
      </w:r>
      <w:proofErr w:type="gramStart"/>
      <w:r w:rsidRPr="00742A20">
        <w:t>infection</w:t>
      </w:r>
      <w:proofErr w:type="gramEnd"/>
      <w:r w:rsidRPr="00742A20">
        <w:t xml:space="preserve">, with decompensated cirrhosis (Child-Pugh B), to receive 12 weeks of </w:t>
      </w:r>
      <w:proofErr w:type="spellStart"/>
      <w:r w:rsidR="007419D9">
        <w:t>Epclusa</w:t>
      </w:r>
      <w:proofErr w:type="spellEnd"/>
      <w:r w:rsidRPr="00742A20">
        <w:t xml:space="preserve"> with or without RBV or 24 weeks of </w:t>
      </w:r>
      <w:proofErr w:type="spellStart"/>
      <w:r w:rsidR="007419D9">
        <w:t>Epclusa</w:t>
      </w:r>
      <w:proofErr w:type="spellEnd"/>
      <w:r w:rsidRPr="00742A20">
        <w:t>. The primary endpoint for all studies was SVR12</w:t>
      </w:r>
      <w:r w:rsidR="007419D9">
        <w:t>.</w:t>
      </w:r>
    </w:p>
    <w:p w:rsidR="000D4647" w:rsidRDefault="00742A20" w:rsidP="00742A20">
      <w:r w:rsidRPr="00742A20">
        <w:t xml:space="preserve">In ASTRAL-4, patients with decompensated cirrhosis receiving </w:t>
      </w:r>
      <w:proofErr w:type="spellStart"/>
      <w:r w:rsidR="007419D9">
        <w:t>Epclusa</w:t>
      </w:r>
      <w:proofErr w:type="spellEnd"/>
      <w:r w:rsidR="00ED4B00">
        <w:t xml:space="preserve"> with RBV for 12 </w:t>
      </w:r>
      <w:r w:rsidRPr="00742A20">
        <w:t xml:space="preserve">weeks achieved a high SVR12 rate (94%) and a lower </w:t>
      </w:r>
      <w:proofErr w:type="spellStart"/>
      <w:r w:rsidRPr="00742A20">
        <w:t>virologic</w:t>
      </w:r>
      <w:proofErr w:type="spellEnd"/>
      <w:r w:rsidRPr="00742A20">
        <w:t xml:space="preserve"> failure rate compared to those who received </w:t>
      </w:r>
      <w:proofErr w:type="spellStart"/>
      <w:r w:rsidR="007419D9">
        <w:t>Epclusa</w:t>
      </w:r>
      <w:proofErr w:type="spellEnd"/>
      <w:r w:rsidRPr="00742A20">
        <w:t xml:space="preserve"> for 12 weeks or 24 weeks (83% and 86 %, respectively)</w:t>
      </w:r>
      <w:r w:rsidR="007419D9">
        <w:t>.</w:t>
      </w:r>
    </w:p>
    <w:p w:rsidR="000D4647" w:rsidRDefault="00742A20" w:rsidP="00742A20">
      <w:r w:rsidRPr="00742A20">
        <w:t xml:space="preserve">The response rates among patients with genotype 1 or 3 HCV infection who received </w:t>
      </w:r>
      <w:proofErr w:type="spellStart"/>
      <w:r w:rsidR="007419D9">
        <w:t>Epclusa</w:t>
      </w:r>
      <w:proofErr w:type="spellEnd"/>
      <w:r w:rsidR="00ED4B00">
        <w:t xml:space="preserve"> </w:t>
      </w:r>
      <w:r w:rsidRPr="00742A20">
        <w:t>+</w:t>
      </w:r>
      <w:r w:rsidR="00ED4B00">
        <w:t xml:space="preserve"> </w:t>
      </w:r>
      <w:r w:rsidRPr="00742A20">
        <w:t>RBV for 12 weeks were comparable with the highest response rates reported to date for DAA based regimens in patients with decompensated cirrhosis. A large proportion of the patients who achieved SVR12 with a 1</w:t>
      </w:r>
      <w:r w:rsidR="006F35F9">
        <w:t>2 week</w:t>
      </w:r>
      <w:r w:rsidRPr="00742A20">
        <w:t xml:space="preserve"> regimen of </w:t>
      </w:r>
      <w:proofErr w:type="spellStart"/>
      <w:r w:rsidR="007419D9">
        <w:t>Epclusa</w:t>
      </w:r>
      <w:proofErr w:type="spellEnd"/>
      <w:r w:rsidRPr="00742A20">
        <w:t xml:space="preserve"> had improvements in CPT score and MELD score. A longer period of posttreatment observation than was performed in ASTRAL-4 will be necessary to determine whether the improvements in CPT score or MELD score translate to improvement in liver function and long-term outcomes</w:t>
      </w:r>
      <w:r w:rsidR="007419D9">
        <w:t>.</w:t>
      </w:r>
    </w:p>
    <w:p w:rsidR="000D4647" w:rsidRPr="000D4647" w:rsidRDefault="00ED4B00" w:rsidP="000D4647">
      <w:pPr>
        <w:pStyle w:val="Heading5"/>
        <w:rPr>
          <w:rFonts w:eastAsiaTheme="minorHAnsi"/>
          <w:b w:val="0"/>
        </w:rPr>
      </w:pPr>
      <w:r w:rsidRPr="000D4647">
        <w:rPr>
          <w:rFonts w:eastAsiaTheme="minorHAnsi"/>
          <w:b w:val="0"/>
        </w:rPr>
        <w:t>Conclusion</w:t>
      </w:r>
    </w:p>
    <w:p w:rsidR="000D4647" w:rsidRDefault="00742A20" w:rsidP="00742A20">
      <w:r w:rsidRPr="00742A20">
        <w:t xml:space="preserve">The pivotal ASTRAL studies demonstrated very high efficacy (SVR12 </w:t>
      </w:r>
      <w:r w:rsidR="00F044A6">
        <w:t xml:space="preserve">&gt; </w:t>
      </w:r>
      <w:r w:rsidR="00ED4B00">
        <w:t>95%) following 12 </w:t>
      </w:r>
      <w:r w:rsidRPr="00742A20">
        <w:t xml:space="preserve">weeks of treatment with </w:t>
      </w:r>
      <w:proofErr w:type="spellStart"/>
      <w:r w:rsidR="007419D9">
        <w:t>Epclusa</w:t>
      </w:r>
      <w:proofErr w:type="spellEnd"/>
      <w:r w:rsidRPr="00742A20">
        <w:t xml:space="preserve"> across all HCV genotypes in patients with compensated liver disease with or without cirrhosis. The SVR12 was sustained through to SVR24 indicating effective clinical cure</w:t>
      </w:r>
      <w:r w:rsidR="007419D9">
        <w:t>.</w:t>
      </w:r>
    </w:p>
    <w:p w:rsidR="000D4647" w:rsidRDefault="00742A20" w:rsidP="00742A20">
      <w:r w:rsidRPr="00742A20">
        <w:t xml:space="preserve">The clinical study results strongly support the use of </w:t>
      </w:r>
      <w:proofErr w:type="spellStart"/>
      <w:r w:rsidR="007419D9">
        <w:t>Epclusa</w:t>
      </w:r>
      <w:proofErr w:type="spellEnd"/>
      <w:r w:rsidRPr="00742A20">
        <w:t xml:space="preserve"> for treatment of all HCV genotypes and the proposed dosing regimen in patients with compensated liver disease (without RBV) and decompensated liver disease (with RBV). </w:t>
      </w:r>
      <w:proofErr w:type="spellStart"/>
      <w:r w:rsidR="007419D9">
        <w:t>Epclusa</w:t>
      </w:r>
      <w:proofErr w:type="spellEnd"/>
      <w:r w:rsidRPr="00742A20">
        <w:t xml:space="preserve"> represents a significant treatment advance in the rapidly evolving field of</w:t>
      </w:r>
      <w:r w:rsidR="00ED4B00">
        <w:t xml:space="preserve"> HCV treatment as the first all</w:t>
      </w:r>
      <w:r w:rsidR="00ED4B00">
        <w:noBreakHyphen/>
      </w:r>
      <w:r w:rsidRPr="00742A20">
        <w:t>oral, pan</w:t>
      </w:r>
      <w:r w:rsidR="00ED4B00">
        <w:t xml:space="preserve"> </w:t>
      </w:r>
      <w:r w:rsidRPr="00742A20">
        <w:t>genotypic single tablet regimen for the trea</w:t>
      </w:r>
      <w:r w:rsidR="00ED4B00">
        <w:t xml:space="preserve">tment of adults with genotype 1 to </w:t>
      </w:r>
      <w:r w:rsidRPr="00742A20">
        <w:t>6 chronic HCV infection</w:t>
      </w:r>
      <w:r w:rsidR="007419D9">
        <w:t>.</w:t>
      </w:r>
    </w:p>
    <w:p w:rsidR="000D4647" w:rsidRDefault="00742A20" w:rsidP="000D4647">
      <w:pPr>
        <w:pStyle w:val="Heading4"/>
        <w:rPr>
          <w:rFonts w:eastAsiaTheme="minorHAnsi"/>
        </w:rPr>
      </w:pPr>
      <w:r w:rsidRPr="00742A20">
        <w:rPr>
          <w:rFonts w:eastAsiaTheme="minorHAnsi"/>
        </w:rPr>
        <w:t>Summary of other issues raise</w:t>
      </w:r>
      <w:r w:rsidR="00ED4B00">
        <w:rPr>
          <w:rFonts w:eastAsiaTheme="minorHAnsi"/>
        </w:rPr>
        <w:t>d by the TGA Delegate</w:t>
      </w:r>
    </w:p>
    <w:p w:rsidR="000D4647" w:rsidRPr="000D4647" w:rsidRDefault="00742A20" w:rsidP="00742A20">
      <w:pPr>
        <w:rPr>
          <w:i/>
        </w:rPr>
      </w:pPr>
      <w:r w:rsidRPr="000D4647">
        <w:rPr>
          <w:i/>
        </w:rPr>
        <w:t xml:space="preserve">Routine pharmacovigilance is proposed. A clinical registry will reportedly be set up to monitor </w:t>
      </w:r>
      <w:r w:rsidR="00C77715" w:rsidRPr="000D4647">
        <w:rPr>
          <w:i/>
        </w:rPr>
        <w:t>treatment emergent</w:t>
      </w:r>
      <w:r w:rsidRPr="000D4647">
        <w:rPr>
          <w:i/>
        </w:rPr>
        <w:t xml:space="preserve"> viral mutations. The sponsor is requested to include details of this regi</w:t>
      </w:r>
      <w:r w:rsidR="00BB7C3C" w:rsidRPr="000D4647">
        <w:rPr>
          <w:i/>
        </w:rPr>
        <w:t>stry in its Pre-ACPM response</w:t>
      </w:r>
      <w:r w:rsidR="007419D9" w:rsidRPr="000D4647">
        <w:rPr>
          <w:i/>
        </w:rPr>
        <w:t>.</w:t>
      </w:r>
    </w:p>
    <w:p w:rsidR="000D4647" w:rsidRDefault="00742A20" w:rsidP="00742A20">
      <w:r w:rsidRPr="00742A20">
        <w:t xml:space="preserve">Long term follow-up of NS5A resistance in patients who failed therapy with </w:t>
      </w:r>
      <w:proofErr w:type="spellStart"/>
      <w:r w:rsidR="007419D9">
        <w:t>Epclusa</w:t>
      </w:r>
      <w:proofErr w:type="spellEnd"/>
      <w:r w:rsidRPr="00742A20">
        <w:t xml:space="preserve"> was not available during the </w:t>
      </w:r>
      <w:r w:rsidR="00E16107">
        <w:t>Phase II</w:t>
      </w:r>
      <w:r w:rsidRPr="00742A20">
        <w:t xml:space="preserve"> and </w:t>
      </w:r>
      <w:r w:rsidR="00E16107">
        <w:t>Phase III</w:t>
      </w:r>
      <w:r w:rsidRPr="00742A20">
        <w:t xml:space="preserve"> clinical trials. Data on development of resistance will be collected from Study GS-US-248-0123. Study GS-US-248-0123 is a long term follow-up registry study of patients who did not achieve sustained </w:t>
      </w:r>
      <w:proofErr w:type="spellStart"/>
      <w:r w:rsidRPr="00742A20">
        <w:t>virologic</w:t>
      </w:r>
      <w:proofErr w:type="spellEnd"/>
      <w:r w:rsidRPr="00742A20">
        <w:t xml:space="preserve"> response after treatment with a Gilead oral antiviral containi</w:t>
      </w:r>
      <w:r w:rsidR="00ED4B00">
        <w:t xml:space="preserve">ng regimen in a previous Gilead </w:t>
      </w:r>
      <w:r w:rsidRPr="00742A20">
        <w:t xml:space="preserve">sponsored hepatitis C study. This study will evaluate HCV viral sequences and the persistence or evolution of </w:t>
      </w:r>
      <w:r w:rsidR="00C77715">
        <w:t>treatment emergent</w:t>
      </w:r>
      <w:r w:rsidRPr="00742A20">
        <w:t xml:space="preserve"> viral mutations.</w:t>
      </w:r>
    </w:p>
    <w:p w:rsidR="000D4647" w:rsidRDefault="00BB7C3C" w:rsidP="00BB7C3C">
      <w:r w:rsidRPr="00BB7C3C">
        <w:t xml:space="preserve">As outlined in Version 0.2 of the </w:t>
      </w:r>
      <w:r w:rsidR="00ED4B00">
        <w:t>ASA</w:t>
      </w:r>
      <w:r w:rsidRPr="00BB7C3C">
        <w:t xml:space="preserve"> to the EU- RMP, the final study report is due for completion in July 2020 and Gilead will provide the final study report to TGA when complete</w:t>
      </w:r>
      <w:r w:rsidR="007419D9">
        <w:t>.</w:t>
      </w:r>
    </w:p>
    <w:p w:rsidR="000D4647" w:rsidRDefault="00BB7C3C" w:rsidP="00BB7C3C">
      <w:pPr>
        <w:keepNext/>
        <w:rPr>
          <w:b/>
          <w:i/>
        </w:rPr>
      </w:pPr>
      <w:r w:rsidRPr="00BB7C3C">
        <w:rPr>
          <w:b/>
          <w:i/>
        </w:rPr>
        <w:lastRenderedPageBreak/>
        <w:t xml:space="preserve">Review of </w:t>
      </w:r>
      <w:r w:rsidR="00ED4B00">
        <w:rPr>
          <w:b/>
          <w:i/>
        </w:rPr>
        <w:t>PI</w:t>
      </w:r>
      <w:r w:rsidRPr="00BB7C3C">
        <w:rPr>
          <w:b/>
          <w:i/>
        </w:rPr>
        <w:t>: Note FDA advisory (</w:t>
      </w:r>
      <w:proofErr w:type="spellStart"/>
      <w:r w:rsidRPr="00BB7C3C">
        <w:rPr>
          <w:b/>
          <w:i/>
        </w:rPr>
        <w:t>MedWatch</w:t>
      </w:r>
      <w:proofErr w:type="spellEnd"/>
      <w:r w:rsidRPr="00BB7C3C">
        <w:rPr>
          <w:b/>
          <w:i/>
        </w:rPr>
        <w:t>/</w:t>
      </w:r>
      <w:proofErr w:type="spellStart"/>
      <w:r w:rsidRPr="00BB7C3C">
        <w:rPr>
          <w:b/>
          <w:i/>
        </w:rPr>
        <w:t>SafetyAlertforDAAs</w:t>
      </w:r>
      <w:proofErr w:type="spellEnd"/>
      <w:r w:rsidRPr="00BB7C3C">
        <w:rPr>
          <w:b/>
          <w:i/>
        </w:rPr>
        <w:t>) in regard to the risk of hepatitis B reactivation in association with the use of DAAs. The sponsor is requested to provide comment and proposal for inclusion of appropriate text in the Australian PI</w:t>
      </w:r>
      <w:r w:rsidR="007419D9">
        <w:rPr>
          <w:b/>
          <w:i/>
        </w:rPr>
        <w:t>.</w:t>
      </w:r>
    </w:p>
    <w:p w:rsidR="000D4647" w:rsidRDefault="00BB7C3C" w:rsidP="00BB7C3C">
      <w:r w:rsidRPr="00BB7C3C">
        <w:t>The FDA Drug Safety C</w:t>
      </w:r>
      <w:r w:rsidR="00ED4B00">
        <w:t>ommunication notification from 4 October 2016 describes 24 </w:t>
      </w:r>
      <w:r w:rsidRPr="00BB7C3C">
        <w:t xml:space="preserve">reported cases of suspected HBV reactivation. Gilead’s analysis of </w:t>
      </w:r>
      <w:r w:rsidR="00ED4B00">
        <w:t>these cases is presented below.</w:t>
      </w:r>
    </w:p>
    <w:p w:rsidR="000D4647" w:rsidRDefault="00BB7C3C" w:rsidP="00BB7C3C">
      <w:r w:rsidRPr="00BB7C3C">
        <w:t>Of the 24 suspected cases of HBV reactivation, 20 cases occurred in patients with possible chronic HBV/HCV coinfection (</w:t>
      </w:r>
      <w:r w:rsidR="0061395D">
        <w:t>hepatitis B surface antigen</w:t>
      </w:r>
      <w:r w:rsidR="0061395D" w:rsidRPr="00BB7C3C">
        <w:t xml:space="preserve"> </w:t>
      </w:r>
      <w:r w:rsidR="0061395D">
        <w:t>(</w:t>
      </w:r>
      <w:proofErr w:type="spellStart"/>
      <w:r w:rsidRPr="00BB7C3C">
        <w:t>HBsAg</w:t>
      </w:r>
      <w:proofErr w:type="spellEnd"/>
      <w:r w:rsidR="0061395D">
        <w:t>)</w:t>
      </w:r>
      <w:r w:rsidRPr="00BB7C3C">
        <w:t xml:space="preserve"> positive or HBV viremia at baseline) and 4 cases occurred in patients with identified occult or resolved HBV infection (</w:t>
      </w:r>
      <w:proofErr w:type="spellStart"/>
      <w:r w:rsidRPr="00BB7C3C">
        <w:t>HBsAg</w:t>
      </w:r>
      <w:proofErr w:type="spellEnd"/>
      <w:r w:rsidRPr="00BB7C3C">
        <w:t xml:space="preserve"> negative)</w:t>
      </w:r>
      <w:r w:rsidR="007419D9">
        <w:t>.</w:t>
      </w:r>
    </w:p>
    <w:p w:rsidR="000D4647" w:rsidRDefault="00BB7C3C" w:rsidP="00BB7C3C">
      <w:r w:rsidRPr="00BB7C3C">
        <w:t xml:space="preserve">Of the 20 cases of HBV reactivation, 8 were cases of clinical HBV reactivation and included 2 fatal cases. The 2 fatal cases reported both occurred in </w:t>
      </w:r>
      <w:proofErr w:type="spellStart"/>
      <w:r w:rsidRPr="00BB7C3C">
        <w:t>HBsAg</w:t>
      </w:r>
      <w:proofErr w:type="spellEnd"/>
      <w:r w:rsidRPr="00BB7C3C">
        <w:t xml:space="preserve"> positive patients, but notably both were Japanese patients who were treated with </w:t>
      </w:r>
      <w:proofErr w:type="spellStart"/>
      <w:r w:rsidRPr="00BB7C3C">
        <w:t>daclatasvir</w:t>
      </w:r>
      <w:proofErr w:type="spellEnd"/>
      <w:r w:rsidRPr="00BB7C3C">
        <w:t xml:space="preserve"> and </w:t>
      </w:r>
      <w:proofErr w:type="spellStart"/>
      <w:r w:rsidRPr="00BB7C3C">
        <w:t>asunaprevir</w:t>
      </w:r>
      <w:proofErr w:type="spellEnd"/>
      <w:r w:rsidRPr="00BB7C3C">
        <w:t xml:space="preserve"> for HCV infection and had met criteria for initiation of HBV treatment per EASL, AASLD and APASL HBV treatment guidelines.</w:t>
      </w:r>
      <w:r w:rsidR="00ED4B00">
        <w:rPr>
          <w:rStyle w:val="FootnoteReference"/>
        </w:rPr>
        <w:footnoteReference w:id="20"/>
      </w:r>
      <w:r w:rsidRPr="00BB7C3C">
        <w:t xml:space="preserve"> One of the patients with a fatal outcome had discontinued </w:t>
      </w:r>
      <w:proofErr w:type="spellStart"/>
      <w:r w:rsidRPr="00BB7C3C">
        <w:t>entecavir</w:t>
      </w:r>
      <w:proofErr w:type="spellEnd"/>
      <w:r w:rsidRPr="00BB7C3C">
        <w:t xml:space="preserve"> therapy for HBV infection, a well described risk factor for HBV reactivation, prior to initiating </w:t>
      </w:r>
      <w:proofErr w:type="spellStart"/>
      <w:r w:rsidRPr="00BB7C3C">
        <w:t>daclatasvir</w:t>
      </w:r>
      <w:proofErr w:type="spellEnd"/>
      <w:r w:rsidRPr="00BB7C3C">
        <w:t xml:space="preserve"> and </w:t>
      </w:r>
      <w:proofErr w:type="spellStart"/>
      <w:r w:rsidRPr="00BB7C3C">
        <w:t>asunaprevir</w:t>
      </w:r>
      <w:proofErr w:type="spellEnd"/>
      <w:r w:rsidRPr="00BB7C3C">
        <w:t>. The second patient with a fatal outcome had underlying cirrhosis and active HBV viremia</w:t>
      </w:r>
      <w:r w:rsidR="007419D9">
        <w:t>.</w:t>
      </w:r>
    </w:p>
    <w:p w:rsidR="000D4647" w:rsidRDefault="00BB7C3C" w:rsidP="00BB7C3C">
      <w:r w:rsidRPr="00BB7C3C">
        <w:t xml:space="preserve">The remaining 12 cases in </w:t>
      </w:r>
      <w:proofErr w:type="spellStart"/>
      <w:r w:rsidRPr="00BB7C3C">
        <w:t>HBsAg</w:t>
      </w:r>
      <w:proofErr w:type="spellEnd"/>
      <w:r w:rsidRPr="00BB7C3C">
        <w:t xml:space="preserve"> positive patients describe silent reactivation (increased HBV replication with no evidence of clinical or biochemical flare). Most of these cases did not meet criteria for initiation of HBV treatment according to HBV guidelines. Fluctuations in HBV replication have been well described in patients with HBV </w:t>
      </w:r>
      <w:proofErr w:type="spellStart"/>
      <w:r w:rsidRPr="00BB7C3C">
        <w:t>monoinfection</w:t>
      </w:r>
      <w:proofErr w:type="spellEnd"/>
      <w:r w:rsidR="00ED4B00">
        <w:rPr>
          <w:rStyle w:val="FootnoteReference"/>
        </w:rPr>
        <w:footnoteReference w:id="21"/>
      </w:r>
      <w:proofErr w:type="gramStart"/>
      <w:r w:rsidR="0049105B">
        <w:t xml:space="preserve">, </w:t>
      </w:r>
      <w:proofErr w:type="gramEnd"/>
      <w:r w:rsidR="0049105B">
        <w:rPr>
          <w:rStyle w:val="FootnoteReference"/>
        </w:rPr>
        <w:footnoteReference w:id="22"/>
      </w:r>
      <w:r w:rsidR="0049105B">
        <w:t xml:space="preserve">, </w:t>
      </w:r>
      <w:r w:rsidR="0049105B">
        <w:rPr>
          <w:rStyle w:val="FootnoteReference"/>
        </w:rPr>
        <w:footnoteReference w:id="23"/>
      </w:r>
      <w:r w:rsidRPr="00BB7C3C">
        <w:t>{10682, 14155, 38352}, and in patients with HBV/HCV coinfection during and after IFN based treatments</w:t>
      </w:r>
      <w:r w:rsidR="00ED4B00">
        <w:t>.</w:t>
      </w:r>
      <w:r w:rsidR="00ED4B00">
        <w:rPr>
          <w:rStyle w:val="FootnoteReference"/>
        </w:rPr>
        <w:footnoteReference w:id="24"/>
      </w:r>
      <w:r w:rsidR="00011651">
        <w:t xml:space="preserve">, </w:t>
      </w:r>
      <w:r w:rsidR="00011651">
        <w:rPr>
          <w:rStyle w:val="FootnoteReference"/>
        </w:rPr>
        <w:footnoteReference w:id="25"/>
      </w:r>
      <w:r w:rsidR="00011651">
        <w:t xml:space="preserve">, </w:t>
      </w:r>
      <w:r w:rsidR="00011651">
        <w:rPr>
          <w:rStyle w:val="FootnoteReference"/>
        </w:rPr>
        <w:footnoteReference w:id="26"/>
      </w:r>
      <w:r w:rsidR="00011651">
        <w:t xml:space="preserve">, </w:t>
      </w:r>
      <w:r w:rsidR="00011651">
        <w:rPr>
          <w:rStyle w:val="FootnoteReference"/>
        </w:rPr>
        <w:footnoteReference w:id="27"/>
      </w:r>
    </w:p>
    <w:p w:rsidR="000D4647" w:rsidRDefault="00BB7C3C" w:rsidP="00BB7C3C">
      <w:r w:rsidRPr="00BB7C3C">
        <w:t>Of the 4 cases that occurred in patients with identified occult or resolved HBV infection (</w:t>
      </w:r>
      <w:proofErr w:type="spellStart"/>
      <w:r w:rsidRPr="00BB7C3C">
        <w:t>HBsAg</w:t>
      </w:r>
      <w:proofErr w:type="spellEnd"/>
      <w:r w:rsidRPr="00BB7C3C">
        <w:t xml:space="preserve"> negative), the most serious case occurred in a </w:t>
      </w:r>
      <w:r w:rsidRPr="009064FB">
        <w:t xml:space="preserve">patient with an underlying history of treated </w:t>
      </w:r>
      <w:proofErr w:type="spellStart"/>
      <w:r w:rsidRPr="009064FB">
        <w:t>Burkitt’s</w:t>
      </w:r>
      <w:proofErr w:type="spellEnd"/>
      <w:r w:rsidRPr="009064FB">
        <w:t xml:space="preserve"> lymphoma and </w:t>
      </w:r>
      <w:r w:rsidR="0073309E" w:rsidRPr="009064FB">
        <w:t>non-alcoholic</w:t>
      </w:r>
      <w:r w:rsidR="009064FB" w:rsidRPr="009064FB">
        <w:t xml:space="preserve"> steatohepatitis (</w:t>
      </w:r>
      <w:r w:rsidRPr="009064FB">
        <w:t>NASH</w:t>
      </w:r>
      <w:r w:rsidR="009064FB" w:rsidRPr="009064FB">
        <w:t>)</w:t>
      </w:r>
      <w:r w:rsidRPr="009064FB">
        <w:t xml:space="preserve"> who</w:t>
      </w:r>
      <w:r w:rsidRPr="00BB7C3C">
        <w:t xml:space="preserve"> eventually developed liver failure resulting in liver transplantation. A second case of reactivation occurred in a patient who was </w:t>
      </w:r>
      <w:proofErr w:type="spellStart"/>
      <w:r w:rsidRPr="00BB7C3C">
        <w:t>HBsAg</w:t>
      </w:r>
      <w:proofErr w:type="spellEnd"/>
      <w:r w:rsidRPr="00BB7C3C">
        <w:t xml:space="preserve">-, </w:t>
      </w:r>
      <w:proofErr w:type="spellStart"/>
      <w:r w:rsidRPr="00BB7C3C">
        <w:t>HBcAb</w:t>
      </w:r>
      <w:proofErr w:type="spellEnd"/>
      <w:r w:rsidRPr="00BB7C3C">
        <w:t>+ who had recently discontinued tenofovir disoproxil fumarate treatment a few months earlier. These 2 cases of HBV reactivation would have warranted close monitoring and/or HBV treatment according to the HBV treatment guidelines</w:t>
      </w:r>
      <w:r w:rsidR="007419D9">
        <w:t>.</w:t>
      </w:r>
    </w:p>
    <w:p w:rsidR="000D4647" w:rsidRDefault="00BB7C3C" w:rsidP="00BB7C3C">
      <w:r w:rsidRPr="00BB7C3C">
        <w:t>Based on our analysis of these events and the analysis described in the responses to questions issued by the EU Pharmacovigilance Risk Assessment Committee (PRAC), Gilead concludes that there is insufficient evidence to associate HBV reactivation with treatment of HCV infection in HBV/HCV co-infected patients. HBV reactivation can occur during the natural course of chronic HBV infection, even in HBV mono</w:t>
      </w:r>
      <w:r w:rsidR="00BD1AC0">
        <w:t>-</w:t>
      </w:r>
      <w:r w:rsidRPr="00BB7C3C">
        <w:t xml:space="preserve">infected patients. As such, </w:t>
      </w:r>
      <w:r w:rsidRPr="00BB7C3C">
        <w:lastRenderedPageBreak/>
        <w:t>monitoring for HBV and treatment of HBV in HBV infected patients (whether mono</w:t>
      </w:r>
      <w:r w:rsidR="00BD1AC0">
        <w:t>-</w:t>
      </w:r>
      <w:r w:rsidRPr="00BB7C3C">
        <w:t>infected or co</w:t>
      </w:r>
      <w:r w:rsidR="00BD1AC0">
        <w:t>-</w:t>
      </w:r>
      <w:r w:rsidRPr="00BB7C3C">
        <w:t>infected with HCV) should be a matter for good clinical practice for physicians treating patients with viral hepatitis.</w:t>
      </w:r>
    </w:p>
    <w:p w:rsidR="000D4647" w:rsidRDefault="00BB7C3C" w:rsidP="00BB7C3C">
      <w:r w:rsidRPr="00BB7C3C">
        <w:t xml:space="preserve">Gilead therefore proposes that the following PRECAUTION be included in the </w:t>
      </w:r>
      <w:proofErr w:type="spellStart"/>
      <w:r w:rsidR="007419D9">
        <w:t>Epclusa</w:t>
      </w:r>
      <w:proofErr w:type="spellEnd"/>
      <w:r w:rsidR="00BD1AC0">
        <w:t xml:space="preserve"> Product Information (PI):</w:t>
      </w:r>
    </w:p>
    <w:p w:rsidR="000D4647" w:rsidRDefault="00BD1AC0" w:rsidP="00BB7C3C">
      <w:pPr>
        <w:ind w:left="720"/>
      </w:pPr>
      <w:r>
        <w:t>Hepatitis B Virus Reactivation</w:t>
      </w:r>
    </w:p>
    <w:p w:rsidR="000D4647" w:rsidRDefault="00BB7C3C" w:rsidP="00BB7C3C">
      <w:pPr>
        <w:ind w:left="720"/>
      </w:pPr>
      <w:r w:rsidRPr="00BB7C3C">
        <w:t xml:space="preserve">Cases of hepatitis B virus (HBV) reactivation have been reported during treatment with HCV direct-acting antivirals, including sofosbuvir-containing regimens. HBV screening should be performed in all patients before initiation of treatment with </w:t>
      </w:r>
      <w:r w:rsidR="007419D9">
        <w:t>Epclusa</w:t>
      </w:r>
      <w:r w:rsidRPr="00BB7C3C">
        <w:t>. HCV/HBV co-infected patients are at risk of HBV reactivation, and should therefore be monitored and managed according to current clinical guidelines</w:t>
      </w:r>
      <w:r w:rsidR="007419D9">
        <w:t>.</w:t>
      </w:r>
    </w:p>
    <w:p w:rsidR="000D4647" w:rsidRDefault="00BB7C3C" w:rsidP="00BB7C3C">
      <w:r w:rsidRPr="00BB7C3C">
        <w:t xml:space="preserve">In addition, Gilead proposes that the current text in the </w:t>
      </w:r>
      <w:r w:rsidR="007419D9">
        <w:t>Epclusa</w:t>
      </w:r>
      <w:r w:rsidRPr="00BB7C3C">
        <w:t xml:space="preserve"> Consumer Medicine Information (CMI) be modified as follows: </w:t>
      </w:r>
    </w:p>
    <w:p w:rsidR="000D4647" w:rsidRDefault="00BB7C3C" w:rsidP="00BB7C3C">
      <w:pPr>
        <w:ind w:left="720"/>
      </w:pPr>
      <w:r w:rsidRPr="00BB7C3C">
        <w:t xml:space="preserve">Tell your doctor if you have, or have had, any of the following medical conditions: </w:t>
      </w:r>
    </w:p>
    <w:p w:rsidR="000D4647" w:rsidRDefault="00BB7C3C" w:rsidP="00BB7C3C">
      <w:pPr>
        <w:ind w:left="720"/>
      </w:pPr>
      <w:r w:rsidRPr="00BB7C3C">
        <w:t>Have a current or previous infection with the hepatitis B virus, since your doctor may want to monitor you more closely</w:t>
      </w:r>
      <w:r w:rsidR="007419D9">
        <w:t>.</w:t>
      </w:r>
    </w:p>
    <w:p w:rsidR="000D4647" w:rsidRDefault="00BB7C3C" w:rsidP="00BB7C3C">
      <w:r w:rsidRPr="00BB7C3C">
        <w:t>The updated PI and CMI are hereby provided in section 1.3 of this response.</w:t>
      </w:r>
    </w:p>
    <w:p w:rsidR="000D4647" w:rsidRDefault="008E7846" w:rsidP="00BE0146">
      <w:pPr>
        <w:pStyle w:val="Heading3"/>
      </w:pPr>
      <w:bookmarkStart w:id="184" w:name="_Toc498681464"/>
      <w:r>
        <w:t xml:space="preserve">Advisory </w:t>
      </w:r>
      <w:r w:rsidR="00BD1AC0">
        <w:t>committee considerations</w:t>
      </w:r>
      <w:bookmarkEnd w:id="184"/>
    </w:p>
    <w:p w:rsidR="000D4647"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0D4647" w:rsidRDefault="00332B05" w:rsidP="00332B05">
      <w:r w:rsidRPr="00332B05">
        <w:t>The ACPM resolved to recommend to the TGA delegate of the Secretary that:</w:t>
      </w:r>
    </w:p>
    <w:p w:rsidR="000D4647" w:rsidRDefault="00332B05" w:rsidP="00332B05">
      <w:r w:rsidRPr="00332B05">
        <w:t>The ACPM, taking into account the submitted evidence o</w:t>
      </w:r>
      <w:r>
        <w:t xml:space="preserve">f efficacy, safety and quality, </w:t>
      </w:r>
      <w:r w:rsidRPr="00332B05">
        <w:t xml:space="preserve">agreed with the Delegate and considered </w:t>
      </w:r>
      <w:r w:rsidR="007419D9">
        <w:t>Epclusa</w:t>
      </w:r>
      <w:r w:rsidRPr="00332B05">
        <w:t xml:space="preserve"> ne</w:t>
      </w:r>
      <w:r>
        <w:t xml:space="preserve">w fixed dose combination tablet </w:t>
      </w:r>
      <w:r w:rsidR="00691D0D">
        <w:t>containing 400</w:t>
      </w:r>
      <w:r w:rsidR="00A82FA1">
        <w:t xml:space="preserve"> mg</w:t>
      </w:r>
      <w:r w:rsidR="00691D0D">
        <w:t xml:space="preserve"> of sofosbuvir and 100</w:t>
      </w:r>
      <w:r w:rsidR="00A82FA1">
        <w:t xml:space="preserve"> mg</w:t>
      </w:r>
      <w:r w:rsidRPr="00332B05">
        <w:t xml:space="preserve"> velpata</w:t>
      </w:r>
      <w:r>
        <w:t>svir to have an overall</w:t>
      </w:r>
      <w:r w:rsidR="00691D0D">
        <w:t xml:space="preserve"> </w:t>
      </w:r>
      <w:r>
        <w:t xml:space="preserve">positive </w:t>
      </w:r>
      <w:r w:rsidRPr="00332B05">
        <w:t>benefit-risk profile. However, the ACPM p</w:t>
      </w:r>
      <w:r w:rsidR="00BD1AC0">
        <w:t>referred the amended indication:</w:t>
      </w:r>
    </w:p>
    <w:p w:rsidR="000D4647" w:rsidRDefault="007419D9" w:rsidP="00332B05">
      <w:pPr>
        <w:ind w:left="720"/>
        <w:rPr>
          <w:i/>
        </w:rPr>
      </w:pPr>
      <w:proofErr w:type="spellStart"/>
      <w:r>
        <w:rPr>
          <w:i/>
        </w:rPr>
        <w:t>Epclusa</w:t>
      </w:r>
      <w:proofErr w:type="spellEnd"/>
      <w:r w:rsidR="00332B05" w:rsidRPr="00332B05">
        <w:rPr>
          <w:i/>
        </w:rPr>
        <w:t xml:space="preserve"> (</w:t>
      </w:r>
      <w:proofErr w:type="spellStart"/>
      <w:r w:rsidR="00691D0D" w:rsidRPr="00332B05">
        <w:rPr>
          <w:i/>
        </w:rPr>
        <w:t>sofosbuvir</w:t>
      </w:r>
      <w:proofErr w:type="spellEnd"/>
      <w:r w:rsidR="00332B05" w:rsidRPr="00332B05">
        <w:rPr>
          <w:i/>
        </w:rPr>
        <w:t>/</w:t>
      </w:r>
      <w:proofErr w:type="spellStart"/>
      <w:r w:rsidR="00691D0D">
        <w:rPr>
          <w:i/>
        </w:rPr>
        <w:t>velpatasvir</w:t>
      </w:r>
      <w:proofErr w:type="spellEnd"/>
      <w:r w:rsidR="00691D0D">
        <w:rPr>
          <w:i/>
        </w:rPr>
        <w:t xml:space="preserve"> </w:t>
      </w:r>
      <w:r w:rsidR="00332B05" w:rsidRPr="00332B05">
        <w:rPr>
          <w:i/>
        </w:rPr>
        <w:t>fixed dose combination) is</w:t>
      </w:r>
      <w:r w:rsidR="00691D0D">
        <w:rPr>
          <w:i/>
        </w:rPr>
        <w:t xml:space="preserve"> in</w:t>
      </w:r>
      <w:r w:rsidR="00691D0D" w:rsidRPr="00332B05">
        <w:rPr>
          <w:i/>
        </w:rPr>
        <w:t>dicated</w:t>
      </w:r>
      <w:r w:rsidR="00691D0D">
        <w:rPr>
          <w:i/>
        </w:rPr>
        <w:t xml:space="preserve"> </w:t>
      </w:r>
      <w:r w:rsidR="00332B05" w:rsidRPr="00332B05">
        <w:rPr>
          <w:i/>
        </w:rPr>
        <w:t>for the treatment of chronic hepatitis C virus (</w:t>
      </w:r>
      <w:r w:rsidR="00691D0D">
        <w:rPr>
          <w:i/>
        </w:rPr>
        <w:t>HCV)</w:t>
      </w:r>
      <w:r w:rsidR="00332B05" w:rsidRPr="00332B05">
        <w:rPr>
          <w:i/>
        </w:rPr>
        <w:t xml:space="preserve"> infection </w:t>
      </w:r>
      <w:r w:rsidR="00691D0D">
        <w:rPr>
          <w:i/>
        </w:rPr>
        <w:t>(g</w:t>
      </w:r>
      <w:r w:rsidR="00332B05" w:rsidRPr="00332B05">
        <w:rPr>
          <w:i/>
        </w:rPr>
        <w:t>enotype I, 2,3,4,5 or 6) in adults.</w:t>
      </w:r>
    </w:p>
    <w:p w:rsidR="000D4647" w:rsidRDefault="007419D9" w:rsidP="00332B05">
      <w:pPr>
        <w:ind w:left="720"/>
        <w:rPr>
          <w:i/>
        </w:rPr>
      </w:pPr>
      <w:proofErr w:type="spellStart"/>
      <w:r>
        <w:rPr>
          <w:i/>
        </w:rPr>
        <w:t>Epclusa</w:t>
      </w:r>
      <w:proofErr w:type="spellEnd"/>
      <w:r w:rsidR="00332B05" w:rsidRPr="00332B05">
        <w:rPr>
          <w:i/>
        </w:rPr>
        <w:t xml:space="preserve"> (</w:t>
      </w:r>
      <w:proofErr w:type="spellStart"/>
      <w:r w:rsidR="00691D0D" w:rsidRPr="00332B05">
        <w:rPr>
          <w:i/>
        </w:rPr>
        <w:t>Sofosbuvir</w:t>
      </w:r>
      <w:proofErr w:type="spellEnd"/>
      <w:r w:rsidR="00332B05" w:rsidRPr="00332B05">
        <w:rPr>
          <w:i/>
        </w:rPr>
        <w:t>/</w:t>
      </w:r>
      <w:proofErr w:type="spellStart"/>
      <w:r w:rsidR="00691D0D" w:rsidRPr="00332B05">
        <w:rPr>
          <w:i/>
        </w:rPr>
        <w:t>velpatasvir</w:t>
      </w:r>
      <w:proofErr w:type="spellEnd"/>
      <w:r w:rsidR="00691D0D">
        <w:rPr>
          <w:i/>
        </w:rPr>
        <w:t>) to be used al</w:t>
      </w:r>
      <w:r w:rsidR="00332B05" w:rsidRPr="00332B05">
        <w:rPr>
          <w:i/>
        </w:rPr>
        <w:t>one</w:t>
      </w:r>
      <w:r w:rsidR="00691D0D">
        <w:rPr>
          <w:i/>
        </w:rPr>
        <w:t xml:space="preserve"> </w:t>
      </w:r>
      <w:r w:rsidR="00332B05" w:rsidRPr="00332B05">
        <w:rPr>
          <w:i/>
        </w:rPr>
        <w:t>in individuals without cirrhosis or with compensated cirrhosis</w:t>
      </w:r>
    </w:p>
    <w:p w:rsidR="000D4647" w:rsidRDefault="007419D9" w:rsidP="00332B05">
      <w:pPr>
        <w:ind w:left="720"/>
        <w:rPr>
          <w:i/>
        </w:rPr>
      </w:pPr>
      <w:proofErr w:type="spellStart"/>
      <w:r>
        <w:rPr>
          <w:i/>
        </w:rPr>
        <w:t>Epclusa</w:t>
      </w:r>
      <w:proofErr w:type="spellEnd"/>
      <w:r w:rsidR="00332B05" w:rsidRPr="00332B05">
        <w:rPr>
          <w:i/>
        </w:rPr>
        <w:t xml:space="preserve"> (</w:t>
      </w:r>
      <w:proofErr w:type="spellStart"/>
      <w:r w:rsidR="00691D0D" w:rsidRPr="00332B05">
        <w:rPr>
          <w:i/>
        </w:rPr>
        <w:t>Sofosbuvir</w:t>
      </w:r>
      <w:proofErr w:type="spellEnd"/>
      <w:r w:rsidR="00332B05" w:rsidRPr="00332B05">
        <w:rPr>
          <w:i/>
        </w:rPr>
        <w:t>/</w:t>
      </w:r>
      <w:r w:rsidR="00691D0D" w:rsidRPr="00691D0D">
        <w:rPr>
          <w:i/>
        </w:rPr>
        <w:t xml:space="preserve"> </w:t>
      </w:r>
      <w:proofErr w:type="spellStart"/>
      <w:r w:rsidR="00691D0D" w:rsidRPr="00332B05">
        <w:rPr>
          <w:i/>
        </w:rPr>
        <w:t>velpatasvir</w:t>
      </w:r>
      <w:proofErr w:type="spellEnd"/>
      <w:r w:rsidR="00332B05" w:rsidRPr="00332B05">
        <w:rPr>
          <w:i/>
        </w:rPr>
        <w:t xml:space="preserve">) to be used in combination with </w:t>
      </w:r>
      <w:r w:rsidR="00691D0D" w:rsidRPr="00332B05">
        <w:rPr>
          <w:i/>
        </w:rPr>
        <w:t>ribavirin</w:t>
      </w:r>
      <w:r w:rsidR="00332B05" w:rsidRPr="00332B05">
        <w:rPr>
          <w:i/>
        </w:rPr>
        <w:t xml:space="preserve"> in </w:t>
      </w:r>
      <w:r w:rsidR="00691D0D" w:rsidRPr="00332B05">
        <w:rPr>
          <w:i/>
        </w:rPr>
        <w:t>individuals</w:t>
      </w:r>
      <w:r w:rsidR="00332B05" w:rsidRPr="00332B05">
        <w:rPr>
          <w:i/>
        </w:rPr>
        <w:t xml:space="preserve"> with </w:t>
      </w:r>
      <w:r w:rsidR="00691D0D" w:rsidRPr="00332B05">
        <w:rPr>
          <w:i/>
        </w:rPr>
        <w:t>decompensated</w:t>
      </w:r>
      <w:r w:rsidR="00332B05" w:rsidRPr="00332B05">
        <w:rPr>
          <w:i/>
        </w:rPr>
        <w:t xml:space="preserve"> cirrhosis</w:t>
      </w:r>
    </w:p>
    <w:p w:rsidR="000D4647" w:rsidRDefault="00332B05" w:rsidP="00332B05">
      <w:r w:rsidRPr="00332B05">
        <w:t>In making this recommendation the ACPM noted</w:t>
      </w:r>
      <w:r w:rsidR="00BD1AC0">
        <w:t>:</w:t>
      </w:r>
    </w:p>
    <w:p w:rsidR="000D4647" w:rsidRDefault="00332B05" w:rsidP="00332B05">
      <w:pPr>
        <w:pStyle w:val="ListBullet"/>
      </w:pPr>
      <w:r w:rsidRPr="00332B05">
        <w:t>the potential for cross-resistance with medicines in the relevant classes</w:t>
      </w:r>
    </w:p>
    <w:p w:rsidR="000D4647" w:rsidRDefault="00332B05" w:rsidP="00332B05">
      <w:pPr>
        <w:pStyle w:val="ListBullet"/>
      </w:pPr>
      <w:r w:rsidRPr="00332B05">
        <w:t>the reduced efficacy in genotype 3 patients in ASTR</w:t>
      </w:r>
      <w:r>
        <w:t xml:space="preserve">AL-3 trial compared to efficacy </w:t>
      </w:r>
      <w:r w:rsidRPr="00332B05">
        <w:t>against genotype I in ASTRAL-I trial but that t</w:t>
      </w:r>
      <w:r>
        <w:t xml:space="preserve">he ASTRAL-4 study provided some </w:t>
      </w:r>
      <w:r w:rsidRPr="00332B05">
        <w:t>indirect support for co- treatment with ribavirin in genotype 3 patients</w:t>
      </w:r>
    </w:p>
    <w:p w:rsidR="000D4647" w:rsidRDefault="00332B05" w:rsidP="00332B05">
      <w:pPr>
        <w:pStyle w:val="ListBullet"/>
      </w:pPr>
      <w:proofErr w:type="gramStart"/>
      <w:r w:rsidRPr="00332B05">
        <w:t>no</w:t>
      </w:r>
      <w:proofErr w:type="gramEnd"/>
      <w:r w:rsidRPr="00332B05">
        <w:t xml:space="preserve"> data were provided in paediatric patients but a study is currently underway</w:t>
      </w:r>
      <w:r w:rsidR="00BD1AC0">
        <w:t>.</w:t>
      </w:r>
    </w:p>
    <w:p w:rsidR="000D4647" w:rsidRDefault="00332B05" w:rsidP="00BE0146">
      <w:pPr>
        <w:pStyle w:val="Heading4"/>
      </w:pPr>
      <w:r w:rsidRPr="00332B05">
        <w:t>Proposed conditions of registration</w:t>
      </w:r>
    </w:p>
    <w:p w:rsidR="000D4647" w:rsidRDefault="00BD1AC0" w:rsidP="00332B05">
      <w:r>
        <w:t>The ACPM agreed with the D</w:t>
      </w:r>
      <w:r w:rsidR="00332B05" w:rsidRPr="00332B05">
        <w:t>elegate on the proposed</w:t>
      </w:r>
      <w:r w:rsidR="00332B05">
        <w:t xml:space="preserve"> conditions of registration and </w:t>
      </w:r>
      <w:r w:rsidR="00332B05" w:rsidRPr="00332B05">
        <w:t>advised on the inclusion of the following:</w:t>
      </w:r>
    </w:p>
    <w:p w:rsidR="000D4647" w:rsidRDefault="00332B05" w:rsidP="00332B05">
      <w:pPr>
        <w:pStyle w:val="ListBullet"/>
      </w:pPr>
      <w:r w:rsidRPr="00332B05">
        <w:lastRenderedPageBreak/>
        <w:t>Subject to satisfactory implementation of the Ris</w:t>
      </w:r>
      <w:r>
        <w:t xml:space="preserve">k Management Plan most recently </w:t>
      </w:r>
      <w:r w:rsidR="00BD1AC0">
        <w:t>negotiated by the TGA</w:t>
      </w:r>
    </w:p>
    <w:p w:rsidR="000D4647" w:rsidRDefault="00332B05" w:rsidP="00332B05">
      <w:pPr>
        <w:pStyle w:val="ListBullet"/>
      </w:pPr>
      <w:r w:rsidRPr="00332B05">
        <w:t>Negotiation of Product Information and Consum</w:t>
      </w:r>
      <w:r>
        <w:t xml:space="preserve">er Medicines Information to the </w:t>
      </w:r>
      <w:r w:rsidRPr="00332B05">
        <w:t>satisfaction of the TGA.</w:t>
      </w:r>
    </w:p>
    <w:p w:rsidR="000D4647" w:rsidRDefault="00332B05" w:rsidP="00BE0146">
      <w:pPr>
        <w:pStyle w:val="Heading4"/>
      </w:pPr>
      <w:r w:rsidRPr="00332B05">
        <w:t>Proposed Product</w:t>
      </w:r>
      <w:r>
        <w:t xml:space="preserve"> I</w:t>
      </w:r>
      <w:r w:rsidRPr="00332B05">
        <w:t>nformation (PI)/Consumer Medicine</w:t>
      </w:r>
      <w:r>
        <w:t xml:space="preserve"> I</w:t>
      </w:r>
      <w:r w:rsidRPr="00332B05">
        <w:t>nformation</w:t>
      </w:r>
      <w:r>
        <w:t xml:space="preserve"> (CMI) </w:t>
      </w:r>
      <w:r w:rsidRPr="00332B05">
        <w:t>amendments</w:t>
      </w:r>
    </w:p>
    <w:p w:rsidR="000D4647" w:rsidRDefault="00BD1AC0" w:rsidP="00332B05">
      <w:r>
        <w:t>The ACPM agreed with the D</w:t>
      </w:r>
      <w:r w:rsidR="00332B05" w:rsidRPr="00332B05">
        <w:t>elegate to the pro</w:t>
      </w:r>
      <w:r w:rsidR="00332B05">
        <w:t xml:space="preserve">posed amendments to the Product </w:t>
      </w:r>
      <w:r w:rsidR="00332B05" w:rsidRPr="00332B05">
        <w:t>Information (PI) and Consumer Medicine Information (C</w:t>
      </w:r>
      <w:r w:rsidR="00691D0D">
        <w:t>MI</w:t>
      </w:r>
      <w:r w:rsidR="00332B05">
        <w:t xml:space="preserve">) and specifically advised on </w:t>
      </w:r>
      <w:r w:rsidR="00332B05" w:rsidRPr="00332B05">
        <w:t>the inclusion of the following:</w:t>
      </w:r>
    </w:p>
    <w:p w:rsidR="000D4647" w:rsidRDefault="00332B05" w:rsidP="00332B05">
      <w:pPr>
        <w:pStyle w:val="ListBullet"/>
      </w:pPr>
      <w:r w:rsidRPr="00332B05">
        <w:t xml:space="preserve">The inclusion with the </w:t>
      </w:r>
      <w:r w:rsidR="00BD1AC0" w:rsidRPr="00332B05">
        <w:t>indication</w:t>
      </w:r>
      <w:r w:rsidRPr="00332B05">
        <w:t xml:space="preserve"> of (as above) HCV genotypes.</w:t>
      </w:r>
    </w:p>
    <w:p w:rsidR="000D4647" w:rsidRDefault="00332B05" w:rsidP="00332B05">
      <w:pPr>
        <w:pStyle w:val="ListBullet"/>
      </w:pPr>
      <w:r w:rsidRPr="00332B05">
        <w:t>The inclusion in tabular format showing virolog</w:t>
      </w:r>
      <w:r>
        <w:t xml:space="preserve">ic failure outcomes observed by </w:t>
      </w:r>
      <w:r w:rsidRPr="00332B05">
        <w:t>genotype to inform prescribers particularly as indicativ</w:t>
      </w:r>
      <w:r>
        <w:t xml:space="preserve">e of effect of adding ribavirin </w:t>
      </w:r>
      <w:r w:rsidRPr="00332B05">
        <w:t>in genotype 3 patients.</w:t>
      </w:r>
    </w:p>
    <w:p w:rsidR="000D4647" w:rsidRDefault="00332B05" w:rsidP="00332B05">
      <w:pPr>
        <w:pStyle w:val="ListBullet"/>
      </w:pPr>
      <w:r w:rsidRPr="00332B05">
        <w:t xml:space="preserve">The inclusion of a statement in the DOSAGE </w:t>
      </w:r>
      <w:r w:rsidR="00A82FA1">
        <w:t>and</w:t>
      </w:r>
      <w:r w:rsidR="00BD1AC0">
        <w:t xml:space="preserve"> </w:t>
      </w:r>
      <w:r w:rsidRPr="00332B05">
        <w:t>ADMINISTRATION section to the</w:t>
      </w:r>
      <w:r>
        <w:t xml:space="preserve"> </w:t>
      </w:r>
      <w:r w:rsidRPr="00332B05">
        <w:t>effect that addition of ribavirin may be considered f</w:t>
      </w:r>
      <w:r>
        <w:t xml:space="preserve">or genotype 3 infected patients </w:t>
      </w:r>
      <w:r w:rsidRPr="00332B05">
        <w:t>with compensated cirrhosis.</w:t>
      </w:r>
    </w:p>
    <w:p w:rsidR="000D4647" w:rsidRDefault="00BD1AC0" w:rsidP="00332B05">
      <w:pPr>
        <w:pStyle w:val="ListBullet"/>
      </w:pPr>
      <w:r>
        <w:t>A</w:t>
      </w:r>
      <w:r w:rsidR="00332B05" w:rsidRPr="00332B05">
        <w:t xml:space="preserve"> statement in the PRECAUTIONS section of the PI a</w:t>
      </w:r>
      <w:r w:rsidR="00691D0D">
        <w:t>nd relevant sections of the CMI</w:t>
      </w:r>
      <w:r w:rsidR="00332B05">
        <w:t xml:space="preserve"> </w:t>
      </w:r>
      <w:r w:rsidR="00332B05" w:rsidRPr="00332B05">
        <w:t>on the potential for Hepatitis B virus reactivation in patients that are HCV/HBV co</w:t>
      </w:r>
      <w:r>
        <w:noBreakHyphen/>
      </w:r>
      <w:r w:rsidR="00332B05" w:rsidRPr="00332B05">
        <w:t>infected.</w:t>
      </w:r>
    </w:p>
    <w:p w:rsidR="000D4647" w:rsidRDefault="00BD1AC0" w:rsidP="00BE0146">
      <w:pPr>
        <w:pStyle w:val="Heading4"/>
      </w:pPr>
      <w:r>
        <w:t>Specific a</w:t>
      </w:r>
      <w:r w:rsidR="00332B05" w:rsidRPr="00332B05">
        <w:t>dvice</w:t>
      </w:r>
    </w:p>
    <w:p w:rsidR="000D4647" w:rsidRDefault="00332B05" w:rsidP="00332B05">
      <w:r w:rsidRPr="00332B05">
        <w:t>The ACPM advised th</w:t>
      </w:r>
      <w:r w:rsidR="00BD1AC0">
        <w:t>e following in response to the D</w:t>
      </w:r>
      <w:r w:rsidRPr="00332B05">
        <w:t>elega</w:t>
      </w:r>
      <w:r>
        <w:t xml:space="preserve">te's specific questions on this </w:t>
      </w:r>
      <w:r w:rsidRPr="00332B05">
        <w:t>submission:</w:t>
      </w:r>
    </w:p>
    <w:p w:rsidR="000D4647" w:rsidRDefault="00332B05" w:rsidP="00332B05">
      <w:pPr>
        <w:pStyle w:val="Numberbullet0"/>
        <w:numPr>
          <w:ilvl w:val="0"/>
          <w:numId w:val="38"/>
        </w:numPr>
        <w:rPr>
          <w:i/>
        </w:rPr>
      </w:pPr>
      <w:r w:rsidRPr="00332B05">
        <w:rPr>
          <w:i/>
        </w:rPr>
        <w:t xml:space="preserve">Does the Committee support the overall adequacy of the data package to allow use of </w:t>
      </w:r>
      <w:r w:rsidR="007419D9">
        <w:rPr>
          <w:i/>
        </w:rPr>
        <w:t>Epclusa</w:t>
      </w:r>
      <w:r w:rsidRPr="00332B05">
        <w:rPr>
          <w:i/>
        </w:rPr>
        <w:t xml:space="preserve"> (4001100 once daily for 12 weeks) in all HCV genotypes and the proposed dosing regimen in patients with compensated liver disease (without RBV) and decompensated liver disease (with RBV)?</w:t>
      </w:r>
    </w:p>
    <w:p w:rsidR="000D4647" w:rsidRDefault="00332B05" w:rsidP="00332B05">
      <w:r w:rsidRPr="00332B05">
        <w:t xml:space="preserve">The ACPM considered the </w:t>
      </w:r>
      <w:r w:rsidR="009E3545">
        <w:t>efficacy, data</w:t>
      </w:r>
      <w:r w:rsidRPr="00332B05">
        <w:t xml:space="preserve"> </w:t>
      </w:r>
      <w:r w:rsidR="009E3545" w:rsidRPr="00332B05">
        <w:t>package</w:t>
      </w:r>
      <w:r w:rsidRPr="00332B05">
        <w:t xml:space="preserve"> to support use of </w:t>
      </w:r>
      <w:r w:rsidR="007419D9">
        <w:t>Epclusa</w:t>
      </w:r>
      <w:r w:rsidRPr="00332B05">
        <w:t xml:space="preserve"> (</w:t>
      </w:r>
      <w:r w:rsidR="009E3545" w:rsidRPr="00332B05">
        <w:t>sofosbuvir</w:t>
      </w:r>
      <w:r w:rsidR="009E3545">
        <w:t xml:space="preserve"> 400/</w:t>
      </w:r>
      <w:r>
        <w:t xml:space="preserve"> </w:t>
      </w:r>
      <w:r w:rsidR="009E3545">
        <w:t>velpa</w:t>
      </w:r>
      <w:r w:rsidR="009E3545" w:rsidRPr="00332B05">
        <w:t>tasvir</w:t>
      </w:r>
      <w:r w:rsidR="009E3545">
        <w:t xml:space="preserve"> 100 once da</w:t>
      </w:r>
      <w:r w:rsidRPr="00332B05">
        <w:t xml:space="preserve">ily for 12 weeks) in </w:t>
      </w:r>
      <w:r w:rsidR="009E3545">
        <w:t>all</w:t>
      </w:r>
      <w:r w:rsidRPr="00332B05">
        <w:t xml:space="preserve"> </w:t>
      </w:r>
      <w:r>
        <w:t>genotypes of</w:t>
      </w:r>
      <w:r w:rsidR="009E3545">
        <w:t xml:space="preserve"> </w:t>
      </w:r>
      <w:r>
        <w:t>HCV</w:t>
      </w:r>
      <w:r w:rsidR="009E3545">
        <w:t xml:space="preserve"> </w:t>
      </w:r>
      <w:r>
        <w:t xml:space="preserve">in </w:t>
      </w:r>
      <w:r w:rsidR="009E3545">
        <w:t>patients</w:t>
      </w:r>
      <w:r>
        <w:t xml:space="preserve"> with </w:t>
      </w:r>
      <w:r w:rsidR="009E3545">
        <w:t>com</w:t>
      </w:r>
      <w:r w:rsidR="009E3545" w:rsidRPr="00332B05">
        <w:t>pensated</w:t>
      </w:r>
      <w:r w:rsidRPr="00332B05">
        <w:t xml:space="preserve"> liver </w:t>
      </w:r>
      <w:r w:rsidR="009E3545" w:rsidRPr="00332B05">
        <w:t>disease</w:t>
      </w:r>
      <w:r w:rsidR="009E3545">
        <w:t xml:space="preserve"> (with a</w:t>
      </w:r>
      <w:r w:rsidRPr="00332B05">
        <w:t xml:space="preserve">nd without cirrhosis) </w:t>
      </w:r>
      <w:r w:rsidR="009E3545" w:rsidRPr="00332B05">
        <w:t>and</w:t>
      </w:r>
      <w:r w:rsidRPr="00332B05">
        <w:t xml:space="preserve"> </w:t>
      </w:r>
      <w:r w:rsidR="009E3545">
        <w:t>decompensated</w:t>
      </w:r>
      <w:r>
        <w:t xml:space="preserve"> liver </w:t>
      </w:r>
      <w:r w:rsidR="009E3545">
        <w:t>disease</w:t>
      </w:r>
      <w:r>
        <w:t xml:space="preserve"> (in </w:t>
      </w:r>
      <w:r w:rsidR="009E3545" w:rsidRPr="00332B05">
        <w:t>combination</w:t>
      </w:r>
      <w:r w:rsidRPr="00332B05">
        <w:t xml:space="preserve"> with </w:t>
      </w:r>
      <w:r w:rsidR="009E3545" w:rsidRPr="00332B05">
        <w:t>ribavirin</w:t>
      </w:r>
      <w:r w:rsidRPr="00332B05">
        <w:t>). However, the committee note</w:t>
      </w:r>
      <w:r w:rsidR="009E3545">
        <w:t>d the lower level of efficacy</w:t>
      </w:r>
      <w:r>
        <w:t xml:space="preserve"> in </w:t>
      </w:r>
      <w:r w:rsidR="009E3545" w:rsidRPr="00332B05">
        <w:t>patients</w:t>
      </w:r>
      <w:r w:rsidR="009E3545">
        <w:t xml:space="preserve"> diagnosed with g</w:t>
      </w:r>
      <w:r w:rsidRPr="00332B05">
        <w:t>eno</w:t>
      </w:r>
      <w:r w:rsidR="009E3545">
        <w:t>ty</w:t>
      </w:r>
      <w:r w:rsidRPr="00332B05">
        <w:t>pe 3 HCV</w:t>
      </w:r>
      <w:r w:rsidR="009E3545">
        <w:t xml:space="preserve"> especially </w:t>
      </w:r>
      <w:r w:rsidRPr="00332B05">
        <w:t>with cir</w:t>
      </w:r>
      <w:r w:rsidR="009E3545">
        <w:t>rhosis (ASTRAL-</w:t>
      </w:r>
      <w:r>
        <w:t>3</w:t>
      </w:r>
      <w:r w:rsidR="009E3545">
        <w:t>) as</w:t>
      </w:r>
      <w:r>
        <w:t xml:space="preserve"> well</w:t>
      </w:r>
      <w:r w:rsidR="009E3545">
        <w:t xml:space="preserve"> a</w:t>
      </w:r>
      <w:r>
        <w:t xml:space="preserve">s </w:t>
      </w:r>
      <w:r w:rsidRPr="00332B05">
        <w:t xml:space="preserve">with </w:t>
      </w:r>
      <w:r w:rsidR="009E3545" w:rsidRPr="00332B05">
        <w:t>decompensated</w:t>
      </w:r>
      <w:r w:rsidR="009E3545">
        <w:t xml:space="preserve"> </w:t>
      </w:r>
      <w:r w:rsidRPr="00332B05">
        <w:t xml:space="preserve">liver </w:t>
      </w:r>
      <w:r w:rsidR="009E3545" w:rsidRPr="00332B05">
        <w:t>disease</w:t>
      </w:r>
      <w:r w:rsidR="009E3545">
        <w:t xml:space="preserve"> (A</w:t>
      </w:r>
      <w:r w:rsidRPr="00332B05">
        <w:t>STR</w:t>
      </w:r>
      <w:r w:rsidR="009E3545">
        <w:t>AL-4)</w:t>
      </w:r>
      <w:r w:rsidRPr="00332B05">
        <w:t xml:space="preserve">. One study </w:t>
      </w:r>
      <w:r w:rsidR="009E3545">
        <w:t>(A</w:t>
      </w:r>
      <w:r w:rsidR="009E3545" w:rsidRPr="00332B05">
        <w:t>STR</w:t>
      </w:r>
      <w:r w:rsidR="009E3545">
        <w:t>AL-4)</w:t>
      </w:r>
      <w:r>
        <w:t xml:space="preserve"> provided some support </w:t>
      </w:r>
      <w:r w:rsidR="009E3545">
        <w:t>for the a</w:t>
      </w:r>
      <w:r w:rsidRPr="00332B05">
        <w:t xml:space="preserve">ddition of </w:t>
      </w:r>
      <w:r w:rsidR="009E3545" w:rsidRPr="00332B05">
        <w:t>ribavirin</w:t>
      </w:r>
      <w:r w:rsidRPr="00332B05">
        <w:t xml:space="preserve"> to </w:t>
      </w:r>
      <w:r w:rsidR="009E3545">
        <w:t xml:space="preserve">treatment </w:t>
      </w:r>
      <w:r w:rsidRPr="00332B05">
        <w:t xml:space="preserve">for these </w:t>
      </w:r>
      <w:r w:rsidR="009E3545" w:rsidRPr="00332B05">
        <w:t>pa</w:t>
      </w:r>
      <w:r w:rsidR="009E3545">
        <w:t>tients a</w:t>
      </w:r>
      <w:r>
        <w:t xml:space="preserve">nd the ACPM recommended </w:t>
      </w:r>
      <w:r w:rsidR="009E3545">
        <w:t>a</w:t>
      </w:r>
      <w:r w:rsidRPr="00332B05">
        <w:t xml:space="preserve">ddition of </w:t>
      </w:r>
      <w:r w:rsidR="009E3545" w:rsidRPr="00332B05">
        <w:t>ribavirin</w:t>
      </w:r>
      <w:r w:rsidR="009E3545">
        <w:t xml:space="preserve"> </w:t>
      </w:r>
      <w:r w:rsidRPr="00332B05">
        <w:t xml:space="preserve">for </w:t>
      </w:r>
      <w:r w:rsidR="009E3545">
        <w:t>all pa</w:t>
      </w:r>
      <w:r w:rsidRPr="00332B05">
        <w:t xml:space="preserve">tients with </w:t>
      </w:r>
      <w:r w:rsidR="009E3545" w:rsidRPr="00332B05">
        <w:t>d</w:t>
      </w:r>
      <w:r w:rsidR="009E3545">
        <w:t>ecompensated liv</w:t>
      </w:r>
      <w:r>
        <w:t xml:space="preserve">er </w:t>
      </w:r>
      <w:r w:rsidR="009E3545">
        <w:t>disease and a</w:t>
      </w:r>
      <w:r>
        <w:t xml:space="preserve"> </w:t>
      </w:r>
      <w:r w:rsidR="009E3545">
        <w:t xml:space="preserve">recommendation </w:t>
      </w:r>
      <w:r w:rsidRPr="00332B05">
        <w:t xml:space="preserve">for </w:t>
      </w:r>
      <w:r w:rsidR="009E3545" w:rsidRPr="00332B05">
        <w:t>consideration</w:t>
      </w:r>
      <w:r w:rsidRPr="00332B05">
        <w:t xml:space="preserve"> by prescribers of </w:t>
      </w:r>
      <w:r w:rsidR="009E3545" w:rsidRPr="00332B05">
        <w:t>ribavi</w:t>
      </w:r>
      <w:r w:rsidR="009E3545">
        <w:t>rin</w:t>
      </w:r>
      <w:r>
        <w:t xml:space="preserve"> co-</w:t>
      </w:r>
      <w:r w:rsidR="009E3545">
        <w:t>treatment for a</w:t>
      </w:r>
      <w:r>
        <w:t xml:space="preserve">ny </w:t>
      </w:r>
      <w:r w:rsidR="009E3545">
        <w:t>patient</w:t>
      </w:r>
      <w:r>
        <w:t xml:space="preserve"> </w:t>
      </w:r>
      <w:r w:rsidR="009E3545">
        <w:t>with genotype 3.</w:t>
      </w:r>
    </w:p>
    <w:p w:rsidR="000D4647" w:rsidRDefault="00332B05" w:rsidP="00332B05">
      <w:r w:rsidRPr="00332B05">
        <w:t>The ACPM</w:t>
      </w:r>
      <w:r w:rsidR="009E3545">
        <w:t xml:space="preserve"> </w:t>
      </w:r>
      <w:r w:rsidR="009E3545" w:rsidRPr="00332B05">
        <w:t>further</w:t>
      </w:r>
      <w:r w:rsidRPr="00332B05">
        <w:t xml:space="preserve"> </w:t>
      </w:r>
      <w:r w:rsidR="009E3545" w:rsidRPr="00332B05">
        <w:t>advised</w:t>
      </w:r>
      <w:r w:rsidRPr="00332B05">
        <w:t xml:space="preserve"> thot it considered the product </w:t>
      </w:r>
      <w:r w:rsidR="009E3545">
        <w:t>packaging</w:t>
      </w:r>
      <w:r>
        <w:t xml:space="preserve"> (bottle presentation) </w:t>
      </w:r>
      <w:r w:rsidR="009E3545">
        <w:t>may n</w:t>
      </w:r>
      <w:r w:rsidRPr="00332B05">
        <w:t xml:space="preserve">ot </w:t>
      </w:r>
      <w:r w:rsidR="009E3545">
        <w:t>as</w:t>
      </w:r>
      <w:r w:rsidRPr="00332B05">
        <w:t>sist</w:t>
      </w:r>
      <w:r w:rsidR="009E3545">
        <w:t xml:space="preserve"> </w:t>
      </w:r>
      <w:r w:rsidR="009E3545" w:rsidRPr="00332B05">
        <w:t>patient</w:t>
      </w:r>
      <w:r w:rsidR="00691D0D">
        <w:t xml:space="preserve"> com</w:t>
      </w:r>
      <w:r w:rsidR="00691D0D" w:rsidRPr="00332B05">
        <w:t>pliance</w:t>
      </w:r>
      <w:r w:rsidRPr="00332B05">
        <w:t>. The committee recommen</w:t>
      </w:r>
      <w:r>
        <w:t xml:space="preserve">ded </w:t>
      </w:r>
      <w:r w:rsidR="00691D0D">
        <w:t>consideration</w:t>
      </w:r>
      <w:r>
        <w:t xml:space="preserve"> of a suitably </w:t>
      </w:r>
      <w:r w:rsidR="00691D0D">
        <w:t>m</w:t>
      </w:r>
      <w:r w:rsidR="00691D0D" w:rsidRPr="00332B05">
        <w:t>arked</w:t>
      </w:r>
      <w:r w:rsidR="00691D0D">
        <w:t xml:space="preserve"> </w:t>
      </w:r>
      <w:r w:rsidRPr="00332B05">
        <w:t>foil</w:t>
      </w:r>
      <w:r w:rsidR="00691D0D">
        <w:t xml:space="preserve"> pa</w:t>
      </w:r>
      <w:r w:rsidRPr="00332B05">
        <w:t>ck</w:t>
      </w:r>
      <w:r w:rsidR="00691D0D">
        <w:t xml:space="preserve"> for da</w:t>
      </w:r>
      <w:r w:rsidRPr="00332B05">
        <w:t>ily dosing.</w:t>
      </w:r>
    </w:p>
    <w:p w:rsidR="000D4647" w:rsidRDefault="00691D0D" w:rsidP="00332B05">
      <w:r>
        <w:t>Participation in the Notional</w:t>
      </w:r>
      <w:r w:rsidR="00332B05" w:rsidRPr="00332B05">
        <w:t xml:space="preserve"> </w:t>
      </w:r>
      <w:r w:rsidRPr="00332B05">
        <w:t>Treatment</w:t>
      </w:r>
      <w:r w:rsidR="00332B05" w:rsidRPr="00332B05">
        <w:t xml:space="preserve"> </w:t>
      </w:r>
      <w:r w:rsidRPr="00332B05">
        <w:t>Surveillance</w:t>
      </w:r>
      <w:r w:rsidR="00332B05" w:rsidRPr="00332B05">
        <w:t xml:space="preserve"> is recommended.</w:t>
      </w:r>
    </w:p>
    <w:p w:rsidR="000D4647" w:rsidRDefault="00332B05" w:rsidP="00691D0D">
      <w:r w:rsidRPr="00332B05">
        <w:t xml:space="preserve">The ACPM advised that implementation by the </w:t>
      </w:r>
      <w:r w:rsidR="00C77715">
        <w:t>sponsor</w:t>
      </w:r>
      <w:r w:rsidRPr="00332B05">
        <w:t xml:space="preserve"> </w:t>
      </w:r>
      <w:r>
        <w:t xml:space="preserve">of the recommendations outlined </w:t>
      </w:r>
      <w:r w:rsidRPr="00332B05">
        <w:t xml:space="preserve">above to the satisfaction of the TGA, in addition to the </w:t>
      </w:r>
      <w:r>
        <w:t xml:space="preserve">evidence of efficacy and safety </w:t>
      </w:r>
      <w:r w:rsidRPr="00332B05">
        <w:t>provided would support the safe and</w:t>
      </w:r>
      <w:r w:rsidR="00691D0D">
        <w:t xml:space="preserve"> effective use of this product.</w:t>
      </w:r>
    </w:p>
    <w:p w:rsidR="000D4647" w:rsidRDefault="008E7846" w:rsidP="0022310A">
      <w:pPr>
        <w:pStyle w:val="Heading3"/>
        <w:pageBreakBefore/>
      </w:pPr>
      <w:bookmarkStart w:id="185" w:name="_Toc247691532"/>
      <w:bookmarkStart w:id="186" w:name="_Toc314842516"/>
      <w:bookmarkStart w:id="187" w:name="_Toc498681465"/>
      <w:bookmarkEnd w:id="124"/>
      <w:bookmarkEnd w:id="180"/>
      <w:bookmarkEnd w:id="181"/>
      <w:r>
        <w:lastRenderedPageBreak/>
        <w:t>Outcome</w:t>
      </w:r>
      <w:bookmarkEnd w:id="185"/>
      <w:bookmarkEnd w:id="186"/>
      <w:bookmarkEnd w:id="187"/>
    </w:p>
    <w:p w:rsidR="000D4647" w:rsidRDefault="00D23139" w:rsidP="00D23139">
      <w:bookmarkStart w:id="188" w:name="_Toc247691533"/>
      <w:bookmarkStart w:id="189" w:name="_Toc314842517"/>
      <w:r w:rsidRPr="00D23139">
        <w:t xml:space="preserve">Based on a review of quality, safety and efficacy, TGA approved the registration of </w:t>
      </w:r>
      <w:r w:rsidR="00280975">
        <w:rPr>
          <w:rFonts w:eastAsiaTheme="minorHAnsi" w:cs="Cambria"/>
        </w:rPr>
        <w:t>EPCLUSA (400 mg sofosbuvir/100 mg velpatasvir) tablet (bottle)</w:t>
      </w:r>
      <w:r w:rsidRPr="00D23139">
        <w:t>, indicated for:</w:t>
      </w:r>
    </w:p>
    <w:p w:rsidR="000D4647" w:rsidRDefault="00BD1AC0" w:rsidP="00BD1AC0">
      <w:pPr>
        <w:autoSpaceDE w:val="0"/>
        <w:autoSpaceDN w:val="0"/>
        <w:adjustRightInd w:val="0"/>
        <w:spacing w:before="0" w:after="0" w:line="240" w:lineRule="auto"/>
        <w:ind w:left="720"/>
        <w:rPr>
          <w:rFonts w:eastAsiaTheme="minorHAnsi" w:cs="Cambria"/>
          <w:i/>
        </w:rPr>
      </w:pPr>
      <w:r w:rsidRPr="00BD1AC0">
        <w:rPr>
          <w:rFonts w:eastAsiaTheme="minorHAnsi" w:cs="Cambria"/>
          <w:i/>
        </w:rPr>
        <w:t>EPCLUSA (</w:t>
      </w:r>
      <w:proofErr w:type="spellStart"/>
      <w:r w:rsidRPr="00BD1AC0">
        <w:rPr>
          <w:rFonts w:eastAsiaTheme="minorHAnsi" w:cs="Cambria"/>
          <w:i/>
        </w:rPr>
        <w:t>sofosbuvir</w:t>
      </w:r>
      <w:proofErr w:type="spellEnd"/>
      <w:r w:rsidRPr="00BD1AC0">
        <w:rPr>
          <w:rFonts w:eastAsiaTheme="minorHAnsi" w:cs="Cambria"/>
          <w:i/>
        </w:rPr>
        <w:t>/</w:t>
      </w:r>
      <w:proofErr w:type="spellStart"/>
      <w:r w:rsidRPr="00BD1AC0">
        <w:rPr>
          <w:rFonts w:eastAsiaTheme="minorHAnsi" w:cs="Cambria"/>
          <w:i/>
        </w:rPr>
        <w:t>velpatasvir</w:t>
      </w:r>
      <w:proofErr w:type="spellEnd"/>
      <w:r w:rsidRPr="00BD1AC0">
        <w:rPr>
          <w:rFonts w:eastAsiaTheme="minorHAnsi" w:cs="Cambria"/>
          <w:i/>
        </w:rPr>
        <w:t xml:space="preserve"> fixed-dose combination) is indicated for the treatment of chronic hepatitis C virus (HCV) infection (genotype 1, 2, 3, 4, 5 or 6) in adults.</w:t>
      </w:r>
    </w:p>
    <w:p w:rsidR="000D4647" w:rsidRDefault="00BD1AC0" w:rsidP="00280975">
      <w:pPr>
        <w:autoSpaceDE w:val="0"/>
        <w:autoSpaceDN w:val="0"/>
        <w:adjustRightInd w:val="0"/>
        <w:spacing w:before="0" w:after="0" w:line="240" w:lineRule="auto"/>
        <w:ind w:left="720"/>
        <w:rPr>
          <w:rFonts w:eastAsiaTheme="minorHAnsi" w:cs="Cambria"/>
          <w:i/>
        </w:rPr>
      </w:pPr>
      <w:r w:rsidRPr="00BD1AC0">
        <w:rPr>
          <w:rFonts w:eastAsiaTheme="minorHAnsi" w:cs="Cambria"/>
          <w:i/>
        </w:rPr>
        <w:t>(</w:t>
      </w:r>
      <w:proofErr w:type="gramStart"/>
      <w:r w:rsidRPr="00BD1AC0">
        <w:rPr>
          <w:rFonts w:eastAsiaTheme="minorHAnsi" w:cs="Cambria"/>
          <w:i/>
        </w:rPr>
        <w:t>see</w:t>
      </w:r>
      <w:proofErr w:type="gramEnd"/>
      <w:r w:rsidRPr="00BD1AC0">
        <w:rPr>
          <w:rFonts w:eastAsiaTheme="minorHAnsi" w:cs="Cambria"/>
          <w:i/>
        </w:rPr>
        <w:t xml:space="preserve"> DOSAGE AND ADMINISTRATION section for the recommended regimens for different patient subgroups).</w:t>
      </w:r>
    </w:p>
    <w:p w:rsidR="000D4647" w:rsidRDefault="00D23139" w:rsidP="00280975">
      <w:pPr>
        <w:pStyle w:val="Heading4"/>
      </w:pPr>
      <w:r w:rsidRPr="00D23139">
        <w:t>Specific conditions of registration applying to these goods</w:t>
      </w:r>
    </w:p>
    <w:p w:rsidR="000D4647" w:rsidRDefault="00280975" w:rsidP="00280975">
      <w:r w:rsidRPr="00280975">
        <w:t>The EPCLUSA containing fixed-dose combination of (400 mg sofosbuvir/100 mg</w:t>
      </w:r>
      <w:r>
        <w:t xml:space="preserve"> </w:t>
      </w:r>
      <w:r w:rsidRPr="00280975">
        <w:t>velpatasvir) Risk Management Plan (RMP): Impleme</w:t>
      </w:r>
      <w:r>
        <w:t xml:space="preserve">nt EU-RMP (version 0.2; date 21 </w:t>
      </w:r>
      <w:r w:rsidRPr="00280975">
        <w:t>April 2016, DLP 26 August 2015) with Australian Specifi</w:t>
      </w:r>
      <w:r>
        <w:t xml:space="preserve">c Annex (version 0.2, date July </w:t>
      </w:r>
      <w:r w:rsidRPr="00280975">
        <w:t>2016), included with submission PM-2015-03984-1-2</w:t>
      </w:r>
      <w:r>
        <w:t xml:space="preserve">, and any subsequent revisions, </w:t>
      </w:r>
      <w:r>
        <w:rPr>
          <w:rFonts w:eastAsiaTheme="minorHAnsi" w:cs="Cambria"/>
        </w:rPr>
        <w:t>as agreed with the TGA will be implemented in Australia.</w:t>
      </w:r>
    </w:p>
    <w:p w:rsidR="000D4647" w:rsidRDefault="00A80B5B" w:rsidP="00D23139">
      <w:pPr>
        <w:pStyle w:val="Heading2"/>
      </w:pPr>
      <w:bookmarkStart w:id="190" w:name="_Toc498681466"/>
      <w:proofErr w:type="gramStart"/>
      <w:r>
        <w:t>Attachment 1.</w:t>
      </w:r>
      <w:proofErr w:type="gramEnd"/>
      <w:r>
        <w:t xml:space="preserve"> </w:t>
      </w:r>
      <w:r w:rsidR="008E7846">
        <w:t xml:space="preserve">Product </w:t>
      </w:r>
      <w:r w:rsidR="00AA0ED0">
        <w:t>I</w:t>
      </w:r>
      <w:r w:rsidR="008E7846">
        <w:t>nformation</w:t>
      </w:r>
      <w:bookmarkEnd w:id="188"/>
      <w:bookmarkEnd w:id="189"/>
      <w:bookmarkEnd w:id="190"/>
    </w:p>
    <w:p w:rsidR="000D4647" w:rsidRDefault="006136D7" w:rsidP="00C80137">
      <w:pPr>
        <w:rPr>
          <w:color w:val="000000"/>
          <w:lang w:eastAsia="en-AU"/>
        </w:rPr>
      </w:pPr>
      <w:r w:rsidRPr="002B3624">
        <w:t xml:space="preserve">The </w:t>
      </w:r>
      <w:r>
        <w:t>PI</w:t>
      </w:r>
      <w:r w:rsidRPr="002B3624">
        <w:t xml:space="preserve"> for </w:t>
      </w:r>
      <w:proofErr w:type="spellStart"/>
      <w:r w:rsidR="00691D0D">
        <w:t>Epclusa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6F35F9">
        <w:t xml:space="preserve">&lt; </w:t>
      </w:r>
      <w:hyperlink r:id="rId36" w:history="1">
        <w:r w:rsidR="007C6B9B" w:rsidRPr="007C6B9B">
          <w:rPr>
            <w:rStyle w:val="Hyperlink"/>
          </w:rPr>
          <w:t>https://www.tga.gov.au/product-information-pi</w:t>
        </w:r>
      </w:hyperlink>
      <w:proofErr w:type="gramStart"/>
      <w:r w:rsidR="00F044A6">
        <w:t xml:space="preserve">&gt; </w:t>
      </w:r>
      <w:r w:rsidR="00691D0D">
        <w:t>.</w:t>
      </w:r>
      <w:proofErr w:type="gramEnd"/>
    </w:p>
    <w:p w:rsidR="000D4647" w:rsidRDefault="00C80137" w:rsidP="00923442">
      <w:pPr>
        <w:pStyle w:val="Heading2"/>
        <w:rPr>
          <w:lang w:eastAsia="en-AU"/>
        </w:rPr>
      </w:pPr>
      <w:bookmarkStart w:id="191" w:name="_Toc498681467"/>
      <w:proofErr w:type="gramStart"/>
      <w:r>
        <w:rPr>
          <w:lang w:eastAsia="en-AU"/>
        </w:rPr>
        <w:t>Attachment 2.</w:t>
      </w:r>
      <w:proofErr w:type="gramEnd"/>
      <w:r w:rsidR="00A80B5B">
        <w:rPr>
          <w:lang w:eastAsia="en-AU"/>
        </w:rPr>
        <w:t xml:space="preserve"> </w:t>
      </w:r>
      <w:r>
        <w:rPr>
          <w:lang w:eastAsia="en-AU"/>
        </w:rPr>
        <w:t>Extract from the Clinical Evaluation Report</w:t>
      </w:r>
      <w:bookmarkEnd w:id="191"/>
    </w:p>
    <w:p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0D4647" w:rsidRDefault="001C32CD" w:rsidP="00A05FA4">
            <w:pPr>
              <w:pStyle w:val="Address"/>
            </w:pPr>
            <w:r w:rsidRPr="00487162">
              <w:t>PO Box 100 Woden ACT 2606 Australia</w:t>
            </w:r>
          </w:p>
          <w:p w:rsidR="000D4647" w:rsidRDefault="001C32CD" w:rsidP="00A05FA4">
            <w:pPr>
              <w:pStyle w:val="Address"/>
            </w:pPr>
            <w:r w:rsidRPr="00487162">
              <w:t xml:space="preserve">Email: </w:t>
            </w:r>
            <w:hyperlink r:id="rId41" w:history="1">
              <w:r w:rsidRPr="004C239D">
                <w:rPr>
                  <w:rStyle w:val="Hyperlink"/>
                </w:rPr>
                <w:t>info@tga.gov.au</w:t>
              </w:r>
            </w:hyperlink>
            <w:r w:rsidR="00F044A6">
              <w:t xml:space="preserve"> </w:t>
            </w:r>
            <w:r w:rsidRPr="00487162">
              <w:t>Phone: 1800 020 653</w:t>
            </w:r>
            <w:r w:rsidR="00F044A6">
              <w:t xml:space="preserve"> </w:t>
            </w:r>
            <w:r w:rsidRPr="00487162">
              <w:t>Fax: 02 6232 8605</w:t>
            </w:r>
          </w:p>
          <w:p w:rsidR="001C32CD" w:rsidRPr="004C239D" w:rsidRDefault="000D4647"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rsidR="00774E1D" w:rsidRPr="008A5E0B" w:rsidRDefault="00774E1D" w:rsidP="00923442"/>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647" w:rsidRDefault="000D4647" w:rsidP="00C40A36">
      <w:pPr>
        <w:spacing w:after="0"/>
      </w:pPr>
      <w:r>
        <w:separator/>
      </w:r>
    </w:p>
  </w:endnote>
  <w:endnote w:type="continuationSeparator" w:id="0">
    <w:p w:rsidR="000D4647" w:rsidRDefault="000D464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D4647" w:rsidRPr="00487162" w:rsidTr="00DB750B">
      <w:trPr>
        <w:trHeight w:val="269"/>
      </w:trPr>
      <w:tc>
        <w:tcPr>
          <w:tcW w:w="7371" w:type="dxa"/>
          <w:tcMar>
            <w:top w:w="142" w:type="dxa"/>
            <w:bottom w:w="0" w:type="dxa"/>
          </w:tcMar>
        </w:tcPr>
        <w:p w:rsidR="000D4647" w:rsidRPr="00487162" w:rsidRDefault="000D4647" w:rsidP="00823FF5">
          <w:pPr>
            <w:pStyle w:val="Footer"/>
          </w:pPr>
          <w:r w:rsidRPr="0070104C">
            <w:t>Epclusa - Sofosbuvir / Velpatasvir - Gilead Sciences Pty Ltd - PM-2015-03984-1-2</w:t>
          </w:r>
          <w:r>
            <w:t xml:space="preserve"> -</w:t>
          </w:r>
          <w:r w:rsidRPr="0070104C">
            <w:t xml:space="preserve"> </w:t>
          </w:r>
          <w:r>
            <w:t>FINAL- 8 November 2017</w:t>
          </w:r>
        </w:p>
      </w:tc>
      <w:tc>
        <w:tcPr>
          <w:tcW w:w="1490" w:type="dxa"/>
          <w:tcMar>
            <w:top w:w="142" w:type="dxa"/>
            <w:bottom w:w="0" w:type="dxa"/>
          </w:tcMar>
        </w:tcPr>
        <w:p w:rsidR="000D4647" w:rsidRPr="00487162" w:rsidRDefault="000D4647" w:rsidP="00DB750B">
          <w:pPr>
            <w:pStyle w:val="Footer"/>
            <w:jc w:val="right"/>
          </w:pPr>
          <w:r w:rsidRPr="00487162">
            <w:t xml:space="preserve">Page </w:t>
          </w:r>
          <w:r>
            <w:fldChar w:fldCharType="begin"/>
          </w:r>
          <w:r>
            <w:instrText xml:space="preserve"> PAGE  \* Arabic </w:instrText>
          </w:r>
          <w:r>
            <w:fldChar w:fldCharType="separate"/>
          </w:r>
          <w:r w:rsidR="00624332">
            <w:rPr>
              <w:noProof/>
            </w:rPr>
            <w:t>2</w:t>
          </w:r>
          <w:r>
            <w:fldChar w:fldCharType="end"/>
          </w:r>
          <w:r w:rsidRPr="00487162">
            <w:t xml:space="preserve"> of </w:t>
          </w:r>
          <w:fldSimple w:instr=" NUMPAGES  \* Arabic ">
            <w:r w:rsidR="00624332">
              <w:rPr>
                <w:noProof/>
              </w:rPr>
              <w:t>60</w:t>
            </w:r>
          </w:fldSimple>
        </w:p>
      </w:tc>
    </w:tr>
  </w:tbl>
  <w:p w:rsidR="000D4647" w:rsidRDefault="000D464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D4647" w:rsidRPr="00487162" w:rsidTr="00E45619">
      <w:trPr>
        <w:trHeight w:val="269"/>
      </w:trPr>
      <w:tc>
        <w:tcPr>
          <w:tcW w:w="4519" w:type="dxa"/>
          <w:tcBorders>
            <w:top w:val="single" w:sz="4" w:space="0" w:color="auto"/>
          </w:tcBorders>
          <w:tcMar>
            <w:top w:w="142" w:type="dxa"/>
            <w:bottom w:w="0" w:type="dxa"/>
          </w:tcMar>
        </w:tcPr>
        <w:p w:rsidR="000D4647" w:rsidRPr="00487162" w:rsidRDefault="000D4647" w:rsidP="00FE1DEE">
          <w:pPr>
            <w:pStyle w:val="Footer"/>
          </w:pPr>
          <w:r w:rsidRPr="00487162">
            <w:t>Document title, Part #, Section # - Section title</w:t>
          </w:r>
        </w:p>
        <w:p w:rsidR="000D4647" w:rsidRPr="00487162" w:rsidRDefault="000D4647" w:rsidP="00FE1DEE">
          <w:pPr>
            <w:pStyle w:val="Footer"/>
          </w:pPr>
          <w:r w:rsidRPr="00487162">
            <w:t>V1.0 October 2010</w:t>
          </w:r>
        </w:p>
      </w:tc>
      <w:tc>
        <w:tcPr>
          <w:tcW w:w="4342" w:type="dxa"/>
          <w:tcBorders>
            <w:top w:val="single" w:sz="4" w:space="0" w:color="auto"/>
          </w:tcBorders>
          <w:tcMar>
            <w:top w:w="142" w:type="dxa"/>
            <w:bottom w:w="0" w:type="dxa"/>
          </w:tcMar>
        </w:tcPr>
        <w:p w:rsidR="000D4647" w:rsidRPr="00487162" w:rsidRDefault="000D464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0D4647" w:rsidRDefault="000D46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Pr="001C32CD" w:rsidRDefault="000D464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D4647" w:rsidTr="0010601F">
      <w:trPr>
        <w:trHeight w:val="108"/>
      </w:trPr>
      <w:tc>
        <w:tcPr>
          <w:tcW w:w="8875" w:type="dxa"/>
          <w:gridSpan w:val="2"/>
          <w:tcBorders>
            <w:bottom w:val="single" w:sz="4" w:space="0" w:color="auto"/>
          </w:tcBorders>
          <w:tcMar>
            <w:right w:w="284" w:type="dxa"/>
          </w:tcMar>
        </w:tcPr>
        <w:p w:rsidR="000D4647" w:rsidRDefault="000D4647" w:rsidP="006E08B3">
          <w:pPr>
            <w:pStyle w:val="Heading3"/>
          </w:pPr>
          <w:r>
            <w:t>Copyright</w:t>
          </w:r>
        </w:p>
        <w:p w:rsidR="000D4647" w:rsidRDefault="000D4647" w:rsidP="006E08B3">
          <w:r>
            <w:rPr>
              <w:rFonts w:cs="Arial"/>
            </w:rPr>
            <w:t>©</w:t>
          </w:r>
          <w:r>
            <w:t xml:space="preserve"> Commonwealth of Australia [add year]</w:t>
          </w:r>
        </w:p>
        <w:p w:rsidR="000D4647" w:rsidRDefault="000D4647" w:rsidP="006E08B3"/>
        <w:p w:rsidR="000D4647" w:rsidRDefault="000D464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D4647" w:rsidRDefault="000D4647" w:rsidP="006E08B3"/>
        <w:p w:rsidR="000D4647" w:rsidRDefault="000D4647" w:rsidP="006E08B3">
          <w:pPr>
            <w:pStyle w:val="Heading3"/>
          </w:pPr>
          <w:r>
            <w:t>Confidentiality</w:t>
          </w:r>
        </w:p>
        <w:p w:rsidR="000D4647" w:rsidRDefault="000D464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D4647" w:rsidRDefault="000D4647" w:rsidP="006E08B3"/>
        <w:p w:rsidR="000D4647" w:rsidRDefault="000D4647" w:rsidP="006E08B3">
          <w:r>
            <w:t>For submission made by individuals, all personal details, other than your name, will be removed from your submission before it is published on the TGA’s Internet site.</w:t>
          </w:r>
        </w:p>
        <w:p w:rsidR="000D4647" w:rsidRDefault="000D4647" w:rsidP="006E08B3"/>
        <w:p w:rsidR="000D4647" w:rsidRDefault="000D464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D4647" w:rsidTr="0010601F">
      <w:trPr>
        <w:trHeight w:val="417"/>
      </w:trPr>
      <w:tc>
        <w:tcPr>
          <w:tcW w:w="4519" w:type="dxa"/>
          <w:tcBorders>
            <w:top w:val="single" w:sz="4" w:space="0" w:color="auto"/>
          </w:tcBorders>
          <w:tcMar>
            <w:top w:w="142" w:type="dxa"/>
            <w:bottom w:w="0" w:type="dxa"/>
          </w:tcMar>
        </w:tcPr>
        <w:p w:rsidR="000D4647" w:rsidRDefault="000D4647" w:rsidP="006E08B3">
          <w:r>
            <w:t>Document title, Part #, Section # - Section title</w:t>
          </w:r>
        </w:p>
        <w:p w:rsidR="000D4647" w:rsidRDefault="000D4647" w:rsidP="006E08B3">
          <w:r>
            <w:t>V1.0 October 2010</w:t>
          </w:r>
        </w:p>
      </w:tc>
      <w:tc>
        <w:tcPr>
          <w:tcW w:w="4356" w:type="dxa"/>
          <w:tcBorders>
            <w:top w:val="single" w:sz="4" w:space="0" w:color="auto"/>
          </w:tcBorders>
          <w:tcMar>
            <w:top w:w="142" w:type="dxa"/>
            <w:bottom w:w="0" w:type="dxa"/>
          </w:tcMar>
        </w:tcPr>
        <w:p w:rsidR="000D4647" w:rsidRDefault="000D464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0D4647" w:rsidRDefault="000D46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647" w:rsidRDefault="000D4647" w:rsidP="00C40A36">
      <w:pPr>
        <w:spacing w:after="0"/>
      </w:pPr>
      <w:r>
        <w:separator/>
      </w:r>
    </w:p>
  </w:footnote>
  <w:footnote w:type="continuationSeparator" w:id="0">
    <w:p w:rsidR="000D4647" w:rsidRDefault="000D4647" w:rsidP="00C40A36">
      <w:pPr>
        <w:spacing w:after="0"/>
      </w:pPr>
      <w:r>
        <w:continuationSeparator/>
      </w:r>
    </w:p>
  </w:footnote>
  <w:footnote w:id="1">
    <w:p w:rsidR="000D4647" w:rsidRDefault="000D4647" w:rsidP="001637F4">
      <w:pPr>
        <w:pStyle w:val="FootnoteText"/>
      </w:pPr>
      <w:r>
        <w:rPr>
          <w:rStyle w:val="FootnoteReference"/>
        </w:rPr>
        <w:footnoteRef/>
      </w:r>
      <w:r>
        <w:t xml:space="preserve"> ICH </w:t>
      </w:r>
      <w:proofErr w:type="gramStart"/>
      <w:r>
        <w:t>M3(</w:t>
      </w:r>
      <w:proofErr w:type="gramEnd"/>
      <w:r>
        <w:t xml:space="preserve">R2) Guideline: Guidance on nonclinical safety studies for the conduct of human clinical trials and marketing authorization for pharmaceuticals. </w:t>
      </w:r>
      <w:proofErr w:type="gramStart"/>
      <w:r>
        <w:t>Questions &amp; answers (2012).</w:t>
      </w:r>
      <w:proofErr w:type="gramEnd"/>
    </w:p>
    <w:p w:rsidR="000D4647" w:rsidRDefault="000D4647" w:rsidP="001637F4">
      <w:pPr>
        <w:pStyle w:val="FootnoteText"/>
      </w:pPr>
    </w:p>
  </w:footnote>
  <w:footnote w:id="2">
    <w:p w:rsidR="000D4647" w:rsidRPr="000F1723" w:rsidRDefault="000D4647">
      <w:pPr>
        <w:pStyle w:val="FootnoteText"/>
        <w:rPr>
          <w:lang w:val="en-US"/>
        </w:rPr>
      </w:pPr>
      <w:r w:rsidRPr="00B25E3E">
        <w:rPr>
          <w:rStyle w:val="FootnoteReference"/>
        </w:rPr>
        <w:footnoteRef/>
      </w:r>
      <w:r w:rsidRPr="00B25E3E">
        <w:t xml:space="preserve"> ICH S2(R1) Guidance</w:t>
      </w:r>
      <w:r>
        <w:t xml:space="preserve"> on genotoxicity testing and data interpretation for pharmaceuticals intended for human use</w:t>
      </w:r>
    </w:p>
  </w:footnote>
  <w:footnote w:id="3">
    <w:p w:rsidR="000D4647" w:rsidRPr="00153E2E" w:rsidRDefault="000D4647">
      <w:pPr>
        <w:pStyle w:val="FootnoteText"/>
      </w:pPr>
      <w:r>
        <w:rPr>
          <w:rStyle w:val="FootnoteReference"/>
        </w:rPr>
        <w:footnoteRef/>
      </w:r>
      <w:r>
        <w:t xml:space="preserve">Pregnancy </w:t>
      </w:r>
      <w:r w:rsidRPr="00153E2E">
        <w:t>Category B1</w:t>
      </w:r>
      <w:r w:rsidRPr="00153E2E">
        <w:rPr>
          <w:i/>
        </w:rPr>
        <w:t>: 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r w:rsidRPr="00153E2E">
        <w:t>.</w:t>
      </w:r>
    </w:p>
  </w:footnote>
  <w:footnote w:id="4">
    <w:p w:rsidR="000D4647" w:rsidRPr="006F35F9" w:rsidRDefault="000D4647">
      <w:pPr>
        <w:pStyle w:val="FootnoteText"/>
        <w:rPr>
          <w:lang w:val="en-US"/>
        </w:rPr>
      </w:pPr>
      <w:r>
        <w:rPr>
          <w:rStyle w:val="FootnoteReference"/>
        </w:rPr>
        <w:footnoteRef/>
      </w:r>
      <w:r>
        <w:t xml:space="preserve"> </w:t>
      </w:r>
      <w:r>
        <w:rPr>
          <w:lang w:val="en-US"/>
        </w:rPr>
        <w:t>Pregnancy Category X</w:t>
      </w:r>
      <w:r w:rsidRPr="006F35F9">
        <w:rPr>
          <w:i/>
        </w:rPr>
        <w:t>: Drugs which have such a high risk of causing permanent damage to the fetus that they should not be used in pregnancy or when there is a possibility of pregnancy.</w:t>
      </w:r>
    </w:p>
  </w:footnote>
  <w:footnote w:id="5">
    <w:p w:rsidR="000D4647" w:rsidRDefault="000D4647" w:rsidP="00153E2E">
      <w:pPr>
        <w:pStyle w:val="FootnoteText"/>
      </w:pPr>
      <w:r>
        <w:rPr>
          <w:rStyle w:val="FootnoteReference"/>
        </w:rPr>
        <w:footnoteRef/>
      </w:r>
      <w:r>
        <w:t xml:space="preserve"> ICH Photosafety Evaluation of Pharmaceuticals S10 (13 Nov 2013).</w:t>
      </w:r>
    </w:p>
  </w:footnote>
  <w:footnote w:id="6">
    <w:p w:rsidR="000D4647" w:rsidRPr="00567626" w:rsidRDefault="000D4647">
      <w:pPr>
        <w:pStyle w:val="FootnoteText"/>
        <w:rPr>
          <w:lang w:val="en-US"/>
        </w:rPr>
      </w:pPr>
      <w:r>
        <w:rPr>
          <w:rStyle w:val="FootnoteReference"/>
        </w:rPr>
        <w:footnoteRef/>
      </w:r>
      <w:r>
        <w:t xml:space="preserve"> </w:t>
      </w:r>
      <w:proofErr w:type="spellStart"/>
      <w:r>
        <w:t>AUC</w:t>
      </w:r>
      <w:r>
        <w:rPr>
          <w:vertAlign w:val="subscript"/>
        </w:rPr>
        <w:t>inf</w:t>
      </w:r>
      <w:proofErr w:type="spellEnd"/>
      <w:r>
        <w:rPr>
          <w:vertAlign w:val="subscript"/>
        </w:rPr>
        <w:t xml:space="preserve"> = </w:t>
      </w:r>
      <w:r>
        <w:t>area under the plasma concentration versus time curve extrapolated to infinite time, calculated as AUC</w:t>
      </w:r>
      <w:r>
        <w:rPr>
          <w:vertAlign w:val="subscript"/>
        </w:rPr>
        <w:t>0-last</w:t>
      </w:r>
      <w:r>
        <w:t xml:space="preserve"> + (C</w:t>
      </w:r>
      <w:r>
        <w:rPr>
          <w:vertAlign w:val="subscript"/>
        </w:rPr>
        <w:t>last</w:t>
      </w:r>
      <w:r>
        <w:t>/</w:t>
      </w:r>
      <w:proofErr w:type="spellStart"/>
      <w:r>
        <w:t>λ</w:t>
      </w:r>
      <w:r>
        <w:rPr>
          <w:vertAlign w:val="subscript"/>
        </w:rPr>
        <w:t>z</w:t>
      </w:r>
      <w:proofErr w:type="spellEnd"/>
      <w:r>
        <w:t>)</w:t>
      </w:r>
    </w:p>
  </w:footnote>
  <w:footnote w:id="7">
    <w:p w:rsidR="000D4647" w:rsidRPr="00567626" w:rsidRDefault="000D4647">
      <w:pPr>
        <w:pStyle w:val="FootnoteText"/>
        <w:rPr>
          <w:lang w:val="en-US"/>
        </w:rPr>
      </w:pPr>
      <w:r>
        <w:rPr>
          <w:rStyle w:val="FootnoteReference"/>
        </w:rPr>
        <w:footnoteRef/>
      </w:r>
      <w:r>
        <w:t xml:space="preserve"> </w:t>
      </w:r>
      <w:proofErr w:type="spellStart"/>
      <w:r w:rsidRPr="00D6575E">
        <w:t>AUC</w:t>
      </w:r>
      <w:r w:rsidRPr="00567626">
        <w:rPr>
          <w:vertAlign w:val="subscript"/>
        </w:rPr>
        <w:t>last</w:t>
      </w:r>
      <w:proofErr w:type="spellEnd"/>
      <w:r>
        <w:rPr>
          <w:vertAlign w:val="subscript"/>
        </w:rPr>
        <w:t xml:space="preserve"> </w:t>
      </w:r>
      <w:r>
        <w:rPr>
          <w:lang w:val="en-US"/>
        </w:rPr>
        <w:t xml:space="preserve">= </w:t>
      </w:r>
      <w:r>
        <w:t>area under the plasma concentration versus time curve from time zero to the last quantifiable concentration</w:t>
      </w:r>
    </w:p>
  </w:footnote>
  <w:footnote w:id="8">
    <w:p w:rsidR="000D4647" w:rsidRPr="00567626" w:rsidRDefault="000D4647">
      <w:pPr>
        <w:pStyle w:val="FootnoteText"/>
        <w:rPr>
          <w:lang w:val="en-US"/>
        </w:rPr>
      </w:pPr>
      <w:r>
        <w:rPr>
          <w:rStyle w:val="FootnoteReference"/>
        </w:rPr>
        <w:footnoteRef/>
      </w:r>
      <w:r>
        <w:t xml:space="preserve"> </w:t>
      </w:r>
      <w:r>
        <w:rPr>
          <w:lang w:val="en-US"/>
        </w:rPr>
        <w:t xml:space="preserve">CL/F = </w:t>
      </w:r>
      <w:r>
        <w:t>apparent oral clearance after administration of the drug: CL/F = Dose/</w:t>
      </w:r>
      <w:proofErr w:type="spellStart"/>
      <w:r>
        <w:t>AUC</w:t>
      </w:r>
      <w:r>
        <w:rPr>
          <w:vertAlign w:val="subscript"/>
        </w:rPr>
        <w:t>inf</w:t>
      </w:r>
      <w:proofErr w:type="spellEnd"/>
      <w:r>
        <w:t>, where “Dose” is the dose of the drug</w:t>
      </w:r>
    </w:p>
  </w:footnote>
  <w:footnote w:id="9">
    <w:p w:rsidR="000D4647" w:rsidRPr="00FF1DF1" w:rsidRDefault="000D4647">
      <w:pPr>
        <w:pStyle w:val="FootnoteText"/>
        <w:rPr>
          <w:lang w:val="en-US"/>
        </w:rPr>
      </w:pPr>
      <w:r>
        <w:rPr>
          <w:rStyle w:val="FootnoteReference"/>
        </w:rPr>
        <w:footnoteRef/>
      </w:r>
      <w:r>
        <w:t xml:space="preserve"> </w:t>
      </w:r>
      <w:proofErr w:type="spellStart"/>
      <w:r w:rsidRPr="00FF1DF1">
        <w:t>Vc</w:t>
      </w:r>
      <w:proofErr w:type="spellEnd"/>
      <w:r w:rsidRPr="00FF1DF1">
        <w:t>/F</w:t>
      </w:r>
      <w:r>
        <w:t>,= apparent volume of distribution in central compartment after oral dosing</w:t>
      </w:r>
    </w:p>
  </w:footnote>
  <w:footnote w:id="10">
    <w:p w:rsidR="000D4647" w:rsidRPr="00FF1DF1" w:rsidRDefault="000D4647">
      <w:pPr>
        <w:pStyle w:val="FootnoteText"/>
        <w:rPr>
          <w:lang w:val="en-US"/>
        </w:rPr>
      </w:pPr>
      <w:r>
        <w:rPr>
          <w:rStyle w:val="FootnoteReference"/>
        </w:rPr>
        <w:footnoteRef/>
      </w:r>
      <w:r>
        <w:t xml:space="preserve"> </w:t>
      </w:r>
      <w:proofErr w:type="spellStart"/>
      <w:r>
        <w:t>Vp</w:t>
      </w:r>
      <w:proofErr w:type="spellEnd"/>
      <w:r>
        <w:t>/F = apparent volume of distribution in peripheral compartment after oral dosing</w:t>
      </w:r>
    </w:p>
  </w:footnote>
  <w:footnote w:id="11">
    <w:p w:rsidR="000D4647" w:rsidRPr="00567626" w:rsidRDefault="000D4647" w:rsidP="0091489D">
      <w:pPr>
        <w:pStyle w:val="FootnoteText"/>
        <w:rPr>
          <w:lang w:val="en-US"/>
        </w:rPr>
      </w:pPr>
      <w:r>
        <w:rPr>
          <w:rStyle w:val="FootnoteReference"/>
        </w:rPr>
        <w:footnoteRef/>
      </w:r>
      <w:r>
        <w:t xml:space="preserve"> </w:t>
      </w:r>
      <w:r>
        <w:rPr>
          <w:lang w:val="en-US"/>
        </w:rPr>
        <w:t>ATV =</w:t>
      </w:r>
      <w:r w:rsidRPr="00567626">
        <w:t xml:space="preserve"> </w:t>
      </w:r>
      <w:r>
        <w:t>atazanavir; COBI = cobicistat;</w:t>
      </w:r>
      <w:r w:rsidRPr="0091489D">
        <w:t xml:space="preserve"> </w:t>
      </w:r>
      <w:r>
        <w:t xml:space="preserve">DTG = dolutegravir; EFV = efavirenz; EVG = elvitegravir; FTC = </w:t>
      </w:r>
      <w:proofErr w:type="spellStart"/>
      <w:r>
        <w:t>emtricitabine</w:t>
      </w:r>
      <w:proofErr w:type="spellEnd"/>
      <w:r>
        <w:t xml:space="preserve">; LPV = </w:t>
      </w:r>
      <w:proofErr w:type="spellStart"/>
      <w:r>
        <w:t>lopinavir</w:t>
      </w:r>
      <w:proofErr w:type="spellEnd"/>
      <w:r>
        <w:t xml:space="preserve">; RAL = </w:t>
      </w:r>
      <w:proofErr w:type="spellStart"/>
      <w:r>
        <w:t>raltegravir</w:t>
      </w:r>
      <w:proofErr w:type="spellEnd"/>
      <w:r>
        <w:t xml:space="preserve">; RPV = </w:t>
      </w:r>
      <w:proofErr w:type="spellStart"/>
      <w:r>
        <w:t>rilpivirine</w:t>
      </w:r>
      <w:proofErr w:type="spellEnd"/>
      <w:r>
        <w:t>; RTV = ritonavir; TDF = tenofovir disoproxil fumarate</w:t>
      </w:r>
    </w:p>
  </w:footnote>
  <w:footnote w:id="12">
    <w:p w:rsidR="000D4647" w:rsidRPr="00AE4800" w:rsidRDefault="000D4647">
      <w:pPr>
        <w:pStyle w:val="FootnoteText"/>
        <w:rPr>
          <w:lang w:val="en-US"/>
        </w:rPr>
      </w:pPr>
      <w:r>
        <w:rPr>
          <w:rStyle w:val="FootnoteReference"/>
        </w:rPr>
        <w:footnoteRef/>
      </w:r>
      <w:r>
        <w:t xml:space="preserve"> </w:t>
      </w:r>
      <w:r>
        <w:rPr>
          <w:lang w:val="en-US"/>
        </w:rPr>
        <w:t xml:space="preserve">DRV = </w:t>
      </w:r>
      <w:r>
        <w:t>darunavir</w:t>
      </w:r>
    </w:p>
  </w:footnote>
  <w:footnote w:id="13">
    <w:p w:rsidR="000D4647" w:rsidRPr="00567626" w:rsidRDefault="000D4647">
      <w:pPr>
        <w:pStyle w:val="FootnoteText"/>
        <w:rPr>
          <w:lang w:val="en-US"/>
        </w:rPr>
      </w:pPr>
      <w:r>
        <w:rPr>
          <w:rStyle w:val="FootnoteReference"/>
        </w:rPr>
        <w:footnoteRef/>
      </w:r>
      <w:r>
        <w:t xml:space="preserve"> </w:t>
      </w:r>
      <w:r>
        <w:rPr>
          <w:lang w:val="en-US"/>
        </w:rPr>
        <w:t xml:space="preserve">ATR = </w:t>
      </w:r>
      <w:r>
        <w:t>Atripla</w:t>
      </w:r>
      <w:r>
        <w:rPr>
          <w:lang w:val="en-US"/>
        </w:rPr>
        <w:t xml:space="preserve"> </w:t>
      </w:r>
      <w:r>
        <w:t>DRV/r</w:t>
      </w:r>
      <w:r>
        <w:rPr>
          <w:lang w:val="en-US"/>
        </w:rPr>
        <w:t xml:space="preserve"> = </w:t>
      </w:r>
      <w:r>
        <w:t>darunavir/ritonavir</w:t>
      </w:r>
      <w:r>
        <w:rPr>
          <w:lang w:val="en-US"/>
        </w:rPr>
        <w:t xml:space="preserve"> EFV = ZDV = </w:t>
      </w:r>
      <w:r>
        <w:t>zidovudine</w:t>
      </w:r>
      <w:r>
        <w:rPr>
          <w:lang w:val="en-US"/>
        </w:rPr>
        <w:t xml:space="preserve"> ; 3TC = </w:t>
      </w:r>
      <w:r>
        <w:t>lamivudine; ATV =r = TVD = DRV = RAL = raltegravir</w:t>
      </w:r>
    </w:p>
  </w:footnote>
  <w:footnote w:id="14">
    <w:p w:rsidR="000D4647" w:rsidRPr="00630FB6" w:rsidRDefault="000D4647">
      <w:pPr>
        <w:pStyle w:val="FootnoteText"/>
        <w:rPr>
          <w:lang w:val="en-US"/>
        </w:rPr>
      </w:pPr>
      <w:r>
        <w:rPr>
          <w:rStyle w:val="FootnoteReference"/>
        </w:rPr>
        <w:footnoteRef/>
      </w:r>
      <w:r>
        <w:t xml:space="preserve"> </w:t>
      </w:r>
      <w:r>
        <w:rPr>
          <w:lang w:val="en-US"/>
        </w:rPr>
        <w:t xml:space="preserve">QT = </w:t>
      </w:r>
      <w:r>
        <w:t>electrocardiographic interval between the beginning of the Q wave and termination of the T wave, representing the time for both ventricular depolarization and repolarization to occur</w:t>
      </w:r>
    </w:p>
  </w:footnote>
  <w:footnote w:id="15">
    <w:p w:rsidR="000D4647" w:rsidRPr="00630FB6" w:rsidRDefault="000D4647">
      <w:pPr>
        <w:pStyle w:val="FootnoteText"/>
        <w:rPr>
          <w:lang w:val="en-US"/>
        </w:rPr>
      </w:pPr>
      <w:r>
        <w:rPr>
          <w:rStyle w:val="FootnoteReference"/>
        </w:rPr>
        <w:footnoteRef/>
      </w:r>
      <w:r>
        <w:t xml:space="preserve"> QRS = electrocardiographic deflection between the beginning of the Q wave and termination of the S wave, representing time for ventricular depolarization</w:t>
      </w:r>
    </w:p>
  </w:footnote>
  <w:footnote w:id="16">
    <w:p w:rsidR="000D4647" w:rsidRPr="00721A33" w:rsidRDefault="000D4647">
      <w:pPr>
        <w:pStyle w:val="FootnoteText"/>
        <w:rPr>
          <w:lang w:val="en-US"/>
        </w:rPr>
      </w:pPr>
      <w:r>
        <w:rPr>
          <w:rStyle w:val="FootnoteReference"/>
        </w:rPr>
        <w:footnoteRef/>
      </w:r>
      <w:r>
        <w:t xml:space="preserve"> </w:t>
      </w:r>
      <w:r>
        <w:rPr>
          <w:lang w:val="en-US"/>
        </w:rPr>
        <w:t xml:space="preserve">LDV = </w:t>
      </w:r>
      <w:r>
        <w:rPr>
          <w:rFonts w:cstheme="minorHAnsi"/>
        </w:rPr>
        <w:t>ledipasvir</w:t>
      </w:r>
    </w:p>
  </w:footnote>
  <w:footnote w:id="17">
    <w:p w:rsidR="000D4647" w:rsidRPr="0091489D" w:rsidRDefault="000D4647">
      <w:pPr>
        <w:pStyle w:val="FootnoteText"/>
        <w:rPr>
          <w:lang w:val="en-US"/>
        </w:rPr>
      </w:pPr>
      <w:r>
        <w:rPr>
          <w:rStyle w:val="FootnoteReference"/>
        </w:rPr>
        <w:footnoteRef/>
      </w:r>
      <w:r>
        <w:t xml:space="preserve"> SVR4= sustained virologic response 4 weeks post-dosing; SVR12 = sustained virologic response 12 weeks post-dosing; SVR24 = sustained virologic response 24 weeks post-dosing</w:t>
      </w:r>
    </w:p>
  </w:footnote>
  <w:footnote w:id="18">
    <w:p w:rsidR="000D4647" w:rsidRPr="0049105B" w:rsidRDefault="000D4647">
      <w:pPr>
        <w:pStyle w:val="FootnoteText"/>
        <w:rPr>
          <w:szCs w:val="18"/>
          <w:lang w:val="en-US"/>
        </w:rPr>
      </w:pPr>
      <w:r>
        <w:rPr>
          <w:rStyle w:val="FootnoteReference"/>
        </w:rPr>
        <w:footnoteRef/>
      </w:r>
      <w:r>
        <w:t xml:space="preserve"> </w:t>
      </w:r>
      <w:proofErr w:type="spellStart"/>
      <w:r>
        <w:t>Ghany</w:t>
      </w:r>
      <w:proofErr w:type="spellEnd"/>
      <w:r>
        <w:t xml:space="preserve"> MG, et al Diagnosis, management, and treatment of hepatitis C: an update. </w:t>
      </w:r>
      <w:r>
        <w:rPr>
          <w:i/>
        </w:rPr>
        <w:t>Hepatology</w:t>
      </w:r>
      <w:r>
        <w:t xml:space="preserve"> 2009; 49: 1335-</w:t>
      </w:r>
      <w:r w:rsidRPr="0049105B">
        <w:rPr>
          <w:szCs w:val="18"/>
        </w:rPr>
        <w:t>1374.</w:t>
      </w:r>
    </w:p>
  </w:footnote>
  <w:footnote w:id="19">
    <w:p w:rsidR="000D4647" w:rsidRPr="0049105B" w:rsidRDefault="000D4647" w:rsidP="0049105B">
      <w:pPr>
        <w:pStyle w:val="Default"/>
        <w:rPr>
          <w:rFonts w:ascii="Cambria" w:eastAsia="Cambria" w:hAnsi="Cambria"/>
          <w:color w:val="auto"/>
          <w:sz w:val="18"/>
          <w:szCs w:val="20"/>
          <w:lang w:eastAsia="en-US"/>
        </w:rPr>
      </w:pPr>
      <w:r w:rsidRPr="009064FB">
        <w:rPr>
          <w:rStyle w:val="FootnoteReference"/>
          <w:rFonts w:ascii="Cambria" w:eastAsia="Cambria" w:hAnsi="Cambria"/>
          <w:color w:val="auto"/>
          <w:sz w:val="18"/>
          <w:szCs w:val="20"/>
          <w:lang w:eastAsia="en-US"/>
        </w:rPr>
        <w:footnoteRef/>
      </w:r>
      <w:r w:rsidRPr="009064FB">
        <w:rPr>
          <w:rStyle w:val="FootnoteReference"/>
          <w:rFonts w:ascii="Cambria" w:eastAsia="Cambria" w:hAnsi="Cambria"/>
          <w:color w:val="auto"/>
          <w:sz w:val="18"/>
          <w:szCs w:val="20"/>
          <w:lang w:eastAsia="en-US"/>
        </w:rPr>
        <w:t xml:space="preserve"> </w:t>
      </w:r>
      <w:r w:rsidRPr="0049105B">
        <w:rPr>
          <w:rFonts w:ascii="Cambria" w:eastAsia="Cambria" w:hAnsi="Cambria"/>
          <w:color w:val="auto"/>
          <w:sz w:val="18"/>
          <w:szCs w:val="20"/>
          <w:lang w:eastAsia="en-US"/>
        </w:rPr>
        <w:t xml:space="preserve">Dore GJ, </w:t>
      </w:r>
      <w:r>
        <w:rPr>
          <w:rFonts w:ascii="Cambria" w:eastAsia="Cambria" w:hAnsi="Cambria"/>
          <w:color w:val="auto"/>
          <w:sz w:val="18"/>
          <w:szCs w:val="20"/>
          <w:lang w:eastAsia="en-US"/>
        </w:rPr>
        <w:t>et al</w:t>
      </w:r>
      <w:r w:rsidRPr="0049105B">
        <w:rPr>
          <w:rFonts w:ascii="Cambria" w:eastAsia="Cambria" w:hAnsi="Cambria"/>
          <w:color w:val="auto"/>
          <w:sz w:val="18"/>
          <w:szCs w:val="20"/>
          <w:lang w:eastAsia="en-US"/>
        </w:rPr>
        <w:t>. Epidemiology of hepatitis C virus infection in Australia</w:t>
      </w:r>
      <w:r w:rsidRPr="0049105B">
        <w:rPr>
          <w:rFonts w:ascii="Cambria" w:eastAsia="Cambria" w:hAnsi="Cambria"/>
          <w:i/>
          <w:color w:val="auto"/>
          <w:sz w:val="18"/>
          <w:szCs w:val="20"/>
          <w:lang w:eastAsia="en-US"/>
        </w:rPr>
        <w:t xml:space="preserve">. J </w:t>
      </w:r>
      <w:proofErr w:type="spellStart"/>
      <w:r w:rsidRPr="0049105B">
        <w:rPr>
          <w:rFonts w:ascii="Cambria" w:eastAsia="Cambria" w:hAnsi="Cambria"/>
          <w:i/>
          <w:color w:val="auto"/>
          <w:sz w:val="18"/>
          <w:szCs w:val="20"/>
          <w:lang w:eastAsia="en-US"/>
        </w:rPr>
        <w:t>Clin</w:t>
      </w:r>
      <w:proofErr w:type="spellEnd"/>
      <w:r w:rsidRPr="0049105B">
        <w:rPr>
          <w:rFonts w:ascii="Cambria" w:eastAsia="Cambria" w:hAnsi="Cambria"/>
          <w:i/>
          <w:color w:val="auto"/>
          <w:sz w:val="18"/>
          <w:szCs w:val="20"/>
          <w:lang w:eastAsia="en-US"/>
        </w:rPr>
        <w:t xml:space="preserve"> </w:t>
      </w:r>
      <w:proofErr w:type="spellStart"/>
      <w:r w:rsidRPr="0049105B">
        <w:rPr>
          <w:rFonts w:ascii="Cambria" w:eastAsia="Cambria" w:hAnsi="Cambria"/>
          <w:i/>
          <w:color w:val="auto"/>
          <w:sz w:val="18"/>
          <w:szCs w:val="20"/>
          <w:lang w:eastAsia="en-US"/>
        </w:rPr>
        <w:t>Virol</w:t>
      </w:r>
      <w:proofErr w:type="spellEnd"/>
      <w:r>
        <w:rPr>
          <w:rFonts w:ascii="Cambria" w:eastAsia="Cambria" w:hAnsi="Cambria"/>
          <w:color w:val="auto"/>
          <w:sz w:val="18"/>
          <w:szCs w:val="20"/>
          <w:lang w:eastAsia="en-US"/>
        </w:rPr>
        <w:t xml:space="preserve"> 2003; 26: 171-184</w:t>
      </w:r>
    </w:p>
  </w:footnote>
  <w:footnote w:id="20">
    <w:p w:rsidR="000D4647" w:rsidRPr="00ED4B00" w:rsidRDefault="000D4647">
      <w:pPr>
        <w:pStyle w:val="FootnoteText"/>
        <w:rPr>
          <w:lang w:val="en-US"/>
        </w:rPr>
      </w:pPr>
      <w:r>
        <w:rPr>
          <w:rStyle w:val="FootnoteReference"/>
        </w:rPr>
        <w:footnoteRef/>
      </w:r>
      <w:r>
        <w:t xml:space="preserve"> </w:t>
      </w:r>
      <w:r w:rsidRPr="009064FB">
        <w:t>per European Association for the Study of the Liver</w:t>
      </w:r>
      <w:r>
        <w:t xml:space="preserve"> (</w:t>
      </w:r>
      <w:r w:rsidRPr="009064FB">
        <w:t>E</w:t>
      </w:r>
      <w:r w:rsidRPr="00BB7C3C">
        <w:t>ASL</w:t>
      </w:r>
      <w:r>
        <w:t>)</w:t>
      </w:r>
      <w:r w:rsidRPr="00BB7C3C">
        <w:t>,</w:t>
      </w:r>
      <w:r>
        <w:t xml:space="preserve"> </w:t>
      </w:r>
      <w:r w:rsidRPr="00BB7C3C">
        <w:t xml:space="preserve"> </w:t>
      </w:r>
      <w:r>
        <w:t xml:space="preserve">American </w:t>
      </w:r>
      <w:r w:rsidRPr="009064FB">
        <w:t>Association for the Study of Liver</w:t>
      </w:r>
      <w:r>
        <w:t xml:space="preserve"> Diseases (</w:t>
      </w:r>
      <w:r w:rsidRPr="00BB7C3C">
        <w:t>AASLD</w:t>
      </w:r>
      <w:r>
        <w:t>)</w:t>
      </w:r>
      <w:r w:rsidRPr="00BB7C3C">
        <w:t xml:space="preserve"> and </w:t>
      </w:r>
      <w:r>
        <w:t>Asian Pacific Association for the Study of the Liver (</w:t>
      </w:r>
      <w:r w:rsidRPr="00BB7C3C">
        <w:t>APASL</w:t>
      </w:r>
      <w:r>
        <w:t>)</w:t>
      </w:r>
      <w:r w:rsidRPr="00BB7C3C">
        <w:t xml:space="preserve"> HBV treatment guidelines</w:t>
      </w:r>
    </w:p>
  </w:footnote>
  <w:footnote w:id="21">
    <w:p w:rsidR="000D4647" w:rsidRPr="0049105B" w:rsidRDefault="000D4647">
      <w:pPr>
        <w:pStyle w:val="FootnoteText"/>
      </w:pPr>
      <w:r>
        <w:rPr>
          <w:rStyle w:val="FootnoteReference"/>
        </w:rPr>
        <w:footnoteRef/>
      </w:r>
      <w:r>
        <w:t xml:space="preserve">  </w:t>
      </w:r>
      <w:proofErr w:type="spellStart"/>
      <w:r w:rsidRPr="0049105B">
        <w:t>Brunetto</w:t>
      </w:r>
      <w:proofErr w:type="spellEnd"/>
      <w:r w:rsidRPr="0049105B">
        <w:t xml:space="preserve"> MR, et al. Outcome of </w:t>
      </w:r>
      <w:proofErr w:type="spellStart"/>
      <w:r w:rsidRPr="0049105B">
        <w:t>anHBe</w:t>
      </w:r>
      <w:proofErr w:type="spellEnd"/>
      <w:r w:rsidRPr="0049105B">
        <w:t xml:space="preserve"> positive chronic hepatitis B in alpha-interferon treated and untreated patients: a long </w:t>
      </w:r>
      <w:proofErr w:type="spellStart"/>
      <w:proofErr w:type="gramStart"/>
      <w:r w:rsidRPr="0049105B">
        <w:t>te</w:t>
      </w:r>
      <w:proofErr w:type="spellEnd"/>
      <w:proofErr w:type="gramEnd"/>
      <w:r w:rsidRPr="0049105B">
        <w:t xml:space="preserve"> cohort study. </w:t>
      </w:r>
      <w:r w:rsidRPr="0049105B">
        <w:rPr>
          <w:i/>
        </w:rPr>
        <w:t xml:space="preserve">J </w:t>
      </w:r>
      <w:proofErr w:type="spellStart"/>
      <w:r w:rsidRPr="0049105B">
        <w:rPr>
          <w:i/>
        </w:rPr>
        <w:t>Hepatol</w:t>
      </w:r>
      <w:proofErr w:type="spellEnd"/>
      <w:r w:rsidRPr="0049105B">
        <w:t xml:space="preserve"> 2002;</w:t>
      </w:r>
      <w:r>
        <w:t xml:space="preserve"> 36</w:t>
      </w:r>
      <w:r w:rsidRPr="0049105B">
        <w:t>:</w:t>
      </w:r>
      <w:r>
        <w:t xml:space="preserve"> </w:t>
      </w:r>
      <w:r w:rsidRPr="0049105B">
        <w:t>263-</w:t>
      </w:r>
      <w:r>
        <w:t>270.</w:t>
      </w:r>
    </w:p>
  </w:footnote>
  <w:footnote w:id="22">
    <w:p w:rsidR="000D4647" w:rsidRPr="0049105B" w:rsidRDefault="000D4647" w:rsidP="0049105B">
      <w:pPr>
        <w:pStyle w:val="FootnoteText"/>
      </w:pPr>
      <w:r>
        <w:rPr>
          <w:rStyle w:val="FootnoteReference"/>
        </w:rPr>
        <w:footnoteRef/>
      </w:r>
      <w:r>
        <w:t xml:space="preserve"> </w:t>
      </w:r>
      <w:proofErr w:type="spellStart"/>
      <w:r w:rsidRPr="0049105B">
        <w:t>Liaw</w:t>
      </w:r>
      <w:proofErr w:type="spellEnd"/>
      <w:r w:rsidRPr="0049105B">
        <w:t xml:space="preserve"> YF, Chu CM. Hepatitis B virus infection</w:t>
      </w:r>
      <w:r>
        <w:t xml:space="preserve">. </w:t>
      </w:r>
      <w:r w:rsidRPr="0049105B">
        <w:rPr>
          <w:i/>
        </w:rPr>
        <w:t>Lancet</w:t>
      </w:r>
      <w:r>
        <w:t xml:space="preserve"> 2009; 373: 582-592.</w:t>
      </w:r>
    </w:p>
  </w:footnote>
  <w:footnote w:id="23">
    <w:p w:rsidR="000D4647" w:rsidRPr="0049105B" w:rsidRDefault="000D4647" w:rsidP="0049105B">
      <w:pPr>
        <w:pStyle w:val="FootnoteText"/>
      </w:pPr>
      <w:r>
        <w:rPr>
          <w:rStyle w:val="FootnoteReference"/>
        </w:rPr>
        <w:footnoteRef/>
      </w:r>
      <w:r>
        <w:t xml:space="preserve"> </w:t>
      </w:r>
      <w:r w:rsidRPr="0049105B">
        <w:t xml:space="preserve">Chang ML, </w:t>
      </w:r>
      <w:proofErr w:type="spellStart"/>
      <w:r w:rsidRPr="0049105B">
        <w:t>Liaw</w:t>
      </w:r>
      <w:proofErr w:type="spellEnd"/>
      <w:r w:rsidRPr="0049105B">
        <w:t xml:space="preserve"> YF. Hepatitis B flares in chronic hepatitis B: pathogenesis, natural course, and management. </w:t>
      </w:r>
      <w:r w:rsidRPr="0049105B">
        <w:rPr>
          <w:i/>
        </w:rPr>
        <w:t xml:space="preserve">J </w:t>
      </w:r>
      <w:proofErr w:type="spellStart"/>
      <w:r w:rsidRPr="0049105B">
        <w:rPr>
          <w:i/>
        </w:rPr>
        <w:t>Hepatol</w:t>
      </w:r>
      <w:proofErr w:type="spellEnd"/>
      <w:r w:rsidRPr="0049105B">
        <w:t xml:space="preserve"> 2014;</w:t>
      </w:r>
      <w:r>
        <w:t xml:space="preserve"> </w:t>
      </w:r>
      <w:r w:rsidRPr="0049105B">
        <w:t>61:</w:t>
      </w:r>
      <w:r>
        <w:t xml:space="preserve"> </w:t>
      </w:r>
      <w:r w:rsidRPr="0049105B">
        <w:t>1407-</w:t>
      </w:r>
      <w:r>
        <w:t>1417.</w:t>
      </w:r>
    </w:p>
  </w:footnote>
  <w:footnote w:id="24">
    <w:p w:rsidR="000D4647" w:rsidRPr="00011651" w:rsidRDefault="000D4647">
      <w:pPr>
        <w:pStyle w:val="FootnoteText"/>
      </w:pPr>
      <w:r>
        <w:rPr>
          <w:rStyle w:val="FootnoteReference"/>
        </w:rPr>
        <w:footnoteRef/>
      </w:r>
      <w:r>
        <w:t xml:space="preserve"> </w:t>
      </w:r>
      <w:proofErr w:type="spellStart"/>
      <w:r w:rsidRPr="00011651">
        <w:t>Yalcin</w:t>
      </w:r>
      <w:proofErr w:type="spellEnd"/>
      <w:r w:rsidRPr="00011651">
        <w:t xml:space="preserve"> K, </w:t>
      </w:r>
      <w:r>
        <w:t>et al</w:t>
      </w:r>
      <w:r w:rsidRPr="00011651">
        <w:t xml:space="preserve">. A severe hepatitis flare in an HBV-HCV coinfected patient during combination therapy with alpha-interferon and ribavirin. </w:t>
      </w:r>
      <w:r w:rsidRPr="00011651">
        <w:rPr>
          <w:i/>
        </w:rPr>
        <w:t xml:space="preserve">J </w:t>
      </w:r>
      <w:proofErr w:type="spellStart"/>
      <w:r w:rsidRPr="00011651">
        <w:rPr>
          <w:i/>
        </w:rPr>
        <w:t>Gastroenterol</w:t>
      </w:r>
      <w:proofErr w:type="spellEnd"/>
      <w:r w:rsidRPr="00011651">
        <w:t xml:space="preserve"> 2003;</w:t>
      </w:r>
      <w:r>
        <w:t xml:space="preserve"> 38</w:t>
      </w:r>
      <w:r w:rsidRPr="00011651">
        <w:t>:</w:t>
      </w:r>
      <w:r>
        <w:t xml:space="preserve"> 796-800.</w:t>
      </w:r>
    </w:p>
  </w:footnote>
  <w:footnote w:id="25">
    <w:p w:rsidR="000D4647" w:rsidRPr="00011651" w:rsidRDefault="000D4647" w:rsidP="00011651">
      <w:pPr>
        <w:pStyle w:val="FootnoteText"/>
      </w:pPr>
      <w:r>
        <w:rPr>
          <w:rStyle w:val="FootnoteReference"/>
        </w:rPr>
        <w:footnoteRef/>
      </w:r>
      <w:r>
        <w:t xml:space="preserve"> </w:t>
      </w:r>
      <w:r w:rsidRPr="00011651">
        <w:t xml:space="preserve">Liu JY, et al. The influence of hepatitis B virus on antiviral treatment with interferon and ribavirin in Asian patients with hepatitis C virus/hepatitis B virus coinfection: a meta-analysis. </w:t>
      </w:r>
      <w:proofErr w:type="gramStart"/>
      <w:r w:rsidRPr="00011651">
        <w:rPr>
          <w:i/>
        </w:rPr>
        <w:t>Virology journal</w:t>
      </w:r>
      <w:r w:rsidRPr="00011651">
        <w:t xml:space="preserve"> 2012;</w:t>
      </w:r>
      <w:r>
        <w:t xml:space="preserve"> </w:t>
      </w:r>
      <w:r w:rsidRPr="00011651">
        <w:t>9:</w:t>
      </w:r>
      <w:r>
        <w:t xml:space="preserve"> 186.</w:t>
      </w:r>
      <w:proofErr w:type="gramEnd"/>
    </w:p>
  </w:footnote>
  <w:footnote w:id="26">
    <w:p w:rsidR="000D4647" w:rsidRPr="00011651" w:rsidRDefault="000D4647" w:rsidP="00011651">
      <w:pPr>
        <w:pStyle w:val="FootnoteText"/>
      </w:pPr>
      <w:r>
        <w:rPr>
          <w:rStyle w:val="FootnoteReference"/>
        </w:rPr>
        <w:footnoteRef/>
      </w:r>
      <w:r>
        <w:t xml:space="preserve"> </w:t>
      </w:r>
      <w:r w:rsidRPr="00011651">
        <w:t xml:space="preserve">Yu ML, et al. Sustained hepatitis C virus clearance and increased hepatitis B surface antigen </w:t>
      </w:r>
      <w:proofErr w:type="spellStart"/>
      <w:r w:rsidRPr="00011651">
        <w:t>seroclearance</w:t>
      </w:r>
      <w:proofErr w:type="spellEnd"/>
      <w:r w:rsidRPr="00011651">
        <w:t xml:space="preserve"> in patients with </w:t>
      </w:r>
      <w:r w:rsidRPr="00011651">
        <w:rPr>
          <w:rFonts w:ascii="Times New Roman" w:hAnsi="Times New Roman"/>
          <w:color w:val="000000"/>
        </w:rPr>
        <w:t xml:space="preserve">dual chronic hepatitis C and B during posttreatment follow-up. </w:t>
      </w:r>
      <w:r w:rsidRPr="00011651">
        <w:rPr>
          <w:rFonts w:ascii="Times New Roman" w:hAnsi="Times New Roman"/>
          <w:i/>
          <w:color w:val="000000"/>
        </w:rPr>
        <w:t>Hepatology</w:t>
      </w:r>
      <w:r w:rsidRPr="00011651">
        <w:rPr>
          <w:rFonts w:ascii="Times New Roman" w:hAnsi="Times New Roman"/>
          <w:color w:val="000000"/>
        </w:rPr>
        <w:t xml:space="preserve"> </w:t>
      </w:r>
      <w:r w:rsidRPr="00011651">
        <w:t>2013;</w:t>
      </w:r>
      <w:r>
        <w:t xml:space="preserve"> 57</w:t>
      </w:r>
      <w:r w:rsidRPr="00011651">
        <w:t>:</w:t>
      </w:r>
      <w:r>
        <w:t xml:space="preserve"> </w:t>
      </w:r>
      <w:r w:rsidRPr="00011651">
        <w:t>2135-</w:t>
      </w:r>
      <w:r>
        <w:t>21</w:t>
      </w:r>
      <w:r w:rsidRPr="00011651">
        <w:t>42</w:t>
      </w:r>
      <w:r>
        <w:rPr>
          <w:rFonts w:ascii="Times New Roman" w:hAnsi="Times New Roman"/>
          <w:color w:val="000000"/>
        </w:rPr>
        <w:t>.</w:t>
      </w:r>
    </w:p>
  </w:footnote>
  <w:footnote w:id="27">
    <w:p w:rsidR="000D4647" w:rsidRPr="00923442" w:rsidRDefault="000D4647" w:rsidP="00923442">
      <w:pPr>
        <w:pStyle w:val="Default"/>
        <w:rPr>
          <w:rFonts w:ascii="Cambria" w:eastAsia="Cambria" w:hAnsi="Cambria"/>
          <w:sz w:val="18"/>
          <w:szCs w:val="20"/>
        </w:rPr>
      </w:pPr>
      <w:r w:rsidRPr="00011651">
        <w:rPr>
          <w:rStyle w:val="FootnoteTextChar"/>
          <w:vertAlign w:val="superscript"/>
        </w:rPr>
        <w:footnoteRef/>
      </w:r>
      <w:r w:rsidRPr="00011651">
        <w:rPr>
          <w:rStyle w:val="FootnoteTextChar"/>
          <w:vertAlign w:val="superscript"/>
        </w:rPr>
        <w:t xml:space="preserve"> </w:t>
      </w:r>
      <w:proofErr w:type="spellStart"/>
      <w:r w:rsidRPr="00011651">
        <w:rPr>
          <w:rStyle w:val="FootnoteTextChar"/>
          <w:lang w:eastAsia="en-US"/>
        </w:rPr>
        <w:t>Vigano</w:t>
      </w:r>
      <w:proofErr w:type="spellEnd"/>
      <w:r w:rsidRPr="00011651">
        <w:rPr>
          <w:rStyle w:val="FootnoteTextChar"/>
          <w:lang w:eastAsia="en-US"/>
        </w:rPr>
        <w:t xml:space="preserve"> M, et al. The course of inactive hepatitis B in hepatitis-C-coinfected patients treated with interferon and ribavirin. </w:t>
      </w:r>
      <w:proofErr w:type="spellStart"/>
      <w:r w:rsidRPr="00011651">
        <w:rPr>
          <w:rStyle w:val="FootnoteTextChar"/>
          <w:i/>
          <w:lang w:eastAsia="en-US"/>
        </w:rPr>
        <w:t>Antivir</w:t>
      </w:r>
      <w:proofErr w:type="spellEnd"/>
      <w:r w:rsidRPr="00011651">
        <w:rPr>
          <w:rStyle w:val="FootnoteTextChar"/>
          <w:i/>
          <w:lang w:eastAsia="en-US"/>
        </w:rPr>
        <w:t xml:space="preserve"> </w:t>
      </w:r>
      <w:proofErr w:type="spellStart"/>
      <w:r w:rsidRPr="00011651">
        <w:rPr>
          <w:rStyle w:val="FootnoteTextChar"/>
          <w:i/>
          <w:lang w:eastAsia="en-US"/>
        </w:rPr>
        <w:t>Ther</w:t>
      </w:r>
      <w:proofErr w:type="spellEnd"/>
      <w:r>
        <w:rPr>
          <w:rStyle w:val="FootnoteTextChar"/>
          <w:lang w:eastAsia="en-US"/>
        </w:rPr>
        <w:t xml:space="preserve">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pPr>
      <w:rPr>
        <w:noProof/>
        <w:lang w:eastAsia="en-AU"/>
      </w:rPr>
    </w:pPr>
    <w:r w:rsidRPr="00347824">
      <w:rPr>
        <w:noProof/>
        <w:lang w:eastAsia="en-AU"/>
      </w:rPr>
      <w:drawing>
        <wp:anchor distT="0" distB="0" distL="114300" distR="114300" simplePos="0" relativeHeight="251659264" behindDoc="1" locked="0" layoutInCell="1" allowOverlap="1" wp14:anchorId="08E1A67A" wp14:editId="53BC5D2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D4647" w:rsidRDefault="000D4647"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647" w:rsidRDefault="000D4647" w:rsidP="006E08B3">
    <w:r>
      <w:t>Therapeutic Goods Administration</w:t>
    </w:r>
  </w:p>
  <w:p w:rsidR="000D4647" w:rsidRDefault="000D464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500B82"/>
    <w:lvl w:ilvl="0">
      <w:start w:val="1"/>
      <w:numFmt w:val="decimal"/>
      <w:lvlText w:val="%1."/>
      <w:lvlJc w:val="left"/>
      <w:pPr>
        <w:tabs>
          <w:tab w:val="num" w:pos="1492"/>
        </w:tabs>
        <w:ind w:left="1492" w:hanging="360"/>
      </w:pPr>
    </w:lvl>
  </w:abstractNum>
  <w:abstractNum w:abstractNumId="1">
    <w:nsid w:val="FFFFFF7D"/>
    <w:multiLevelType w:val="singleLevel"/>
    <w:tmpl w:val="CBB2F612"/>
    <w:lvl w:ilvl="0">
      <w:start w:val="1"/>
      <w:numFmt w:val="decimal"/>
      <w:lvlText w:val="%1."/>
      <w:lvlJc w:val="left"/>
      <w:pPr>
        <w:tabs>
          <w:tab w:val="num" w:pos="1209"/>
        </w:tabs>
        <w:ind w:left="1209" w:hanging="360"/>
      </w:pPr>
    </w:lvl>
  </w:abstractNum>
  <w:abstractNum w:abstractNumId="2">
    <w:nsid w:val="FFFFFF7E"/>
    <w:multiLevelType w:val="singleLevel"/>
    <w:tmpl w:val="085895B6"/>
    <w:lvl w:ilvl="0">
      <w:start w:val="1"/>
      <w:numFmt w:val="decimal"/>
      <w:lvlText w:val="%1."/>
      <w:lvlJc w:val="left"/>
      <w:pPr>
        <w:tabs>
          <w:tab w:val="num" w:pos="926"/>
        </w:tabs>
        <w:ind w:left="926" w:hanging="360"/>
      </w:pPr>
    </w:lvl>
  </w:abstractNum>
  <w:abstractNum w:abstractNumId="3">
    <w:nsid w:val="FFFFFF7F"/>
    <w:multiLevelType w:val="singleLevel"/>
    <w:tmpl w:val="944A5616"/>
    <w:lvl w:ilvl="0">
      <w:start w:val="1"/>
      <w:numFmt w:val="decimal"/>
      <w:lvlText w:val="%1."/>
      <w:lvlJc w:val="left"/>
      <w:pPr>
        <w:tabs>
          <w:tab w:val="num" w:pos="643"/>
        </w:tabs>
        <w:ind w:left="643" w:hanging="360"/>
      </w:pPr>
    </w:lvl>
  </w:abstractNum>
  <w:abstractNum w:abstractNumId="4">
    <w:nsid w:val="FFFFFF80"/>
    <w:multiLevelType w:val="singleLevel"/>
    <w:tmpl w:val="2EA283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B238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100627FA"/>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D136834"/>
    <w:multiLevelType w:val="hybridMultilevel"/>
    <w:tmpl w:val="E4CE6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836B68"/>
    <w:multiLevelType w:val="hybridMultilevel"/>
    <w:tmpl w:val="0C265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F1B5A2D"/>
    <w:multiLevelType w:val="hybridMultilevel"/>
    <w:tmpl w:val="83A25822"/>
    <w:lvl w:ilvl="0" w:tplc="3AE605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8633E9B"/>
    <w:multiLevelType w:val="hybridMultilevel"/>
    <w:tmpl w:val="0764E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5"/>
  </w:num>
  <w:num w:numId="28">
    <w:abstractNumId w:val="17"/>
  </w:num>
  <w:num w:numId="29">
    <w:abstractNumId w:val="18"/>
  </w:num>
  <w:num w:numId="30">
    <w:abstractNumId w:val="1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4"/>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75"/>
    <w:rsid w:val="00002031"/>
    <w:rsid w:val="00004734"/>
    <w:rsid w:val="00006B22"/>
    <w:rsid w:val="00011651"/>
    <w:rsid w:val="0001276A"/>
    <w:rsid w:val="000246AE"/>
    <w:rsid w:val="00025C67"/>
    <w:rsid w:val="00044772"/>
    <w:rsid w:val="00046854"/>
    <w:rsid w:val="0005559E"/>
    <w:rsid w:val="000604D6"/>
    <w:rsid w:val="000734D8"/>
    <w:rsid w:val="00077775"/>
    <w:rsid w:val="00077E53"/>
    <w:rsid w:val="000818DC"/>
    <w:rsid w:val="00090471"/>
    <w:rsid w:val="00096AA7"/>
    <w:rsid w:val="000A0CF9"/>
    <w:rsid w:val="000A3AED"/>
    <w:rsid w:val="000B3532"/>
    <w:rsid w:val="000B3A75"/>
    <w:rsid w:val="000C00C2"/>
    <w:rsid w:val="000C690F"/>
    <w:rsid w:val="000D1295"/>
    <w:rsid w:val="000D1E75"/>
    <w:rsid w:val="000D391B"/>
    <w:rsid w:val="000D3D6D"/>
    <w:rsid w:val="000D4647"/>
    <w:rsid w:val="000D4FC7"/>
    <w:rsid w:val="000E6196"/>
    <w:rsid w:val="000F1723"/>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6B1"/>
    <w:rsid w:val="00153E2E"/>
    <w:rsid w:val="00154EBB"/>
    <w:rsid w:val="00156316"/>
    <w:rsid w:val="00161181"/>
    <w:rsid w:val="00162D14"/>
    <w:rsid w:val="001637F4"/>
    <w:rsid w:val="00165389"/>
    <w:rsid w:val="0017693F"/>
    <w:rsid w:val="0018110E"/>
    <w:rsid w:val="00181684"/>
    <w:rsid w:val="001843C6"/>
    <w:rsid w:val="001850E0"/>
    <w:rsid w:val="001A02C5"/>
    <w:rsid w:val="001A2158"/>
    <w:rsid w:val="001A525F"/>
    <w:rsid w:val="001B09F9"/>
    <w:rsid w:val="001B5C90"/>
    <w:rsid w:val="001B6448"/>
    <w:rsid w:val="001C32CD"/>
    <w:rsid w:val="001C6BE7"/>
    <w:rsid w:val="001D2984"/>
    <w:rsid w:val="001E07CF"/>
    <w:rsid w:val="001E489F"/>
    <w:rsid w:val="001E59F1"/>
    <w:rsid w:val="001F2CEE"/>
    <w:rsid w:val="001F49EB"/>
    <w:rsid w:val="001F6CBA"/>
    <w:rsid w:val="00201D4E"/>
    <w:rsid w:val="002076C9"/>
    <w:rsid w:val="00220B8A"/>
    <w:rsid w:val="0022310A"/>
    <w:rsid w:val="002257F3"/>
    <w:rsid w:val="00233456"/>
    <w:rsid w:val="002339A5"/>
    <w:rsid w:val="00257848"/>
    <w:rsid w:val="00262FA3"/>
    <w:rsid w:val="0027084A"/>
    <w:rsid w:val="00280975"/>
    <w:rsid w:val="00286434"/>
    <w:rsid w:val="00286C59"/>
    <w:rsid w:val="00291957"/>
    <w:rsid w:val="002942D1"/>
    <w:rsid w:val="0029501A"/>
    <w:rsid w:val="002A3721"/>
    <w:rsid w:val="002B1638"/>
    <w:rsid w:val="002B3624"/>
    <w:rsid w:val="002D0952"/>
    <w:rsid w:val="002E40B3"/>
    <w:rsid w:val="002E4C9A"/>
    <w:rsid w:val="002F11F8"/>
    <w:rsid w:val="002F3F56"/>
    <w:rsid w:val="002F44B5"/>
    <w:rsid w:val="00311AC0"/>
    <w:rsid w:val="00313378"/>
    <w:rsid w:val="003176FC"/>
    <w:rsid w:val="0032583B"/>
    <w:rsid w:val="00327883"/>
    <w:rsid w:val="00332B05"/>
    <w:rsid w:val="00335504"/>
    <w:rsid w:val="00340C18"/>
    <w:rsid w:val="003442FD"/>
    <w:rsid w:val="00347824"/>
    <w:rsid w:val="00350567"/>
    <w:rsid w:val="003521E8"/>
    <w:rsid w:val="00370CE3"/>
    <w:rsid w:val="003728F3"/>
    <w:rsid w:val="0037496E"/>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334C7"/>
    <w:rsid w:val="00440A2D"/>
    <w:rsid w:val="00441C3F"/>
    <w:rsid w:val="004564A7"/>
    <w:rsid w:val="004617BF"/>
    <w:rsid w:val="00463658"/>
    <w:rsid w:val="004637A0"/>
    <w:rsid w:val="004722CC"/>
    <w:rsid w:val="004831B3"/>
    <w:rsid w:val="0049105B"/>
    <w:rsid w:val="004936E4"/>
    <w:rsid w:val="00494E60"/>
    <w:rsid w:val="00497487"/>
    <w:rsid w:val="004A6189"/>
    <w:rsid w:val="004A7390"/>
    <w:rsid w:val="004B6558"/>
    <w:rsid w:val="004B7B76"/>
    <w:rsid w:val="004C239D"/>
    <w:rsid w:val="004C2DCA"/>
    <w:rsid w:val="004C61D2"/>
    <w:rsid w:val="004F0C4A"/>
    <w:rsid w:val="004F0F38"/>
    <w:rsid w:val="004F47D6"/>
    <w:rsid w:val="00501921"/>
    <w:rsid w:val="0052092A"/>
    <w:rsid w:val="00530354"/>
    <w:rsid w:val="0053625B"/>
    <w:rsid w:val="005434C6"/>
    <w:rsid w:val="00543B39"/>
    <w:rsid w:val="00546154"/>
    <w:rsid w:val="00550096"/>
    <w:rsid w:val="00555280"/>
    <w:rsid w:val="00557FF9"/>
    <w:rsid w:val="00562327"/>
    <w:rsid w:val="00567626"/>
    <w:rsid w:val="005711D5"/>
    <w:rsid w:val="00576378"/>
    <w:rsid w:val="00577130"/>
    <w:rsid w:val="00577945"/>
    <w:rsid w:val="00577E38"/>
    <w:rsid w:val="00585322"/>
    <w:rsid w:val="005857C6"/>
    <w:rsid w:val="00592F6E"/>
    <w:rsid w:val="00593AD1"/>
    <w:rsid w:val="005A68B6"/>
    <w:rsid w:val="005C5570"/>
    <w:rsid w:val="005C79A4"/>
    <w:rsid w:val="005D5442"/>
    <w:rsid w:val="005F29E7"/>
    <w:rsid w:val="00603F32"/>
    <w:rsid w:val="00604A4F"/>
    <w:rsid w:val="00605AD4"/>
    <w:rsid w:val="006136D7"/>
    <w:rsid w:val="0061395D"/>
    <w:rsid w:val="00624332"/>
    <w:rsid w:val="00625A6E"/>
    <w:rsid w:val="00630FB6"/>
    <w:rsid w:val="00632398"/>
    <w:rsid w:val="00640FC3"/>
    <w:rsid w:val="00642020"/>
    <w:rsid w:val="00651EE8"/>
    <w:rsid w:val="0065337B"/>
    <w:rsid w:val="006540E4"/>
    <w:rsid w:val="0065419D"/>
    <w:rsid w:val="006604D8"/>
    <w:rsid w:val="00664A5B"/>
    <w:rsid w:val="0066735C"/>
    <w:rsid w:val="006763D2"/>
    <w:rsid w:val="00680C08"/>
    <w:rsid w:val="00683641"/>
    <w:rsid w:val="006916A0"/>
    <w:rsid w:val="00691D0D"/>
    <w:rsid w:val="006931B1"/>
    <w:rsid w:val="006A15C0"/>
    <w:rsid w:val="006C3E2A"/>
    <w:rsid w:val="006C642F"/>
    <w:rsid w:val="006D03E5"/>
    <w:rsid w:val="006D5C49"/>
    <w:rsid w:val="006D5D3E"/>
    <w:rsid w:val="006E08B3"/>
    <w:rsid w:val="006F17AC"/>
    <w:rsid w:val="006F25B8"/>
    <w:rsid w:val="006F35F9"/>
    <w:rsid w:val="006F572E"/>
    <w:rsid w:val="0070104C"/>
    <w:rsid w:val="007046D6"/>
    <w:rsid w:val="00705DB0"/>
    <w:rsid w:val="00721A33"/>
    <w:rsid w:val="00722B57"/>
    <w:rsid w:val="007278A7"/>
    <w:rsid w:val="00730F8A"/>
    <w:rsid w:val="0073309E"/>
    <w:rsid w:val="00735A8C"/>
    <w:rsid w:val="007419D9"/>
    <w:rsid w:val="0074253D"/>
    <w:rsid w:val="00742A20"/>
    <w:rsid w:val="0074429B"/>
    <w:rsid w:val="00756A4F"/>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AF7"/>
    <w:rsid w:val="007C6B9B"/>
    <w:rsid w:val="00805D27"/>
    <w:rsid w:val="00806DCB"/>
    <w:rsid w:val="00821776"/>
    <w:rsid w:val="00823FF5"/>
    <w:rsid w:val="008321F5"/>
    <w:rsid w:val="00832369"/>
    <w:rsid w:val="00834660"/>
    <w:rsid w:val="00836BC2"/>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064FB"/>
    <w:rsid w:val="0091489D"/>
    <w:rsid w:val="00920330"/>
    <w:rsid w:val="009219D7"/>
    <w:rsid w:val="00922D53"/>
    <w:rsid w:val="00923442"/>
    <w:rsid w:val="00923B70"/>
    <w:rsid w:val="00924482"/>
    <w:rsid w:val="00930237"/>
    <w:rsid w:val="00937C17"/>
    <w:rsid w:val="00940A89"/>
    <w:rsid w:val="00942A46"/>
    <w:rsid w:val="00946EA5"/>
    <w:rsid w:val="00963C08"/>
    <w:rsid w:val="009752A5"/>
    <w:rsid w:val="0098585A"/>
    <w:rsid w:val="009A4CED"/>
    <w:rsid w:val="009A690D"/>
    <w:rsid w:val="009B1D12"/>
    <w:rsid w:val="009B416B"/>
    <w:rsid w:val="009C4BD5"/>
    <w:rsid w:val="009D5475"/>
    <w:rsid w:val="009D7B77"/>
    <w:rsid w:val="009E0BB0"/>
    <w:rsid w:val="009E3545"/>
    <w:rsid w:val="009E3FBB"/>
    <w:rsid w:val="009F7353"/>
    <w:rsid w:val="00A04F85"/>
    <w:rsid w:val="00A05FA4"/>
    <w:rsid w:val="00A102E4"/>
    <w:rsid w:val="00A12C42"/>
    <w:rsid w:val="00A14DF7"/>
    <w:rsid w:val="00A3246D"/>
    <w:rsid w:val="00A36FA7"/>
    <w:rsid w:val="00A44DDB"/>
    <w:rsid w:val="00A475B7"/>
    <w:rsid w:val="00A47AF7"/>
    <w:rsid w:val="00A47C3E"/>
    <w:rsid w:val="00A50226"/>
    <w:rsid w:val="00A60BAD"/>
    <w:rsid w:val="00A64314"/>
    <w:rsid w:val="00A80B5B"/>
    <w:rsid w:val="00A82FA1"/>
    <w:rsid w:val="00A84E36"/>
    <w:rsid w:val="00A964D1"/>
    <w:rsid w:val="00AA0ED0"/>
    <w:rsid w:val="00AC2B40"/>
    <w:rsid w:val="00AC2BB2"/>
    <w:rsid w:val="00AC2C3C"/>
    <w:rsid w:val="00AC512D"/>
    <w:rsid w:val="00AD0083"/>
    <w:rsid w:val="00AD3935"/>
    <w:rsid w:val="00AE18C4"/>
    <w:rsid w:val="00AE4800"/>
    <w:rsid w:val="00AE65EB"/>
    <w:rsid w:val="00AE67A7"/>
    <w:rsid w:val="00AF1D94"/>
    <w:rsid w:val="00AF60C5"/>
    <w:rsid w:val="00B009C6"/>
    <w:rsid w:val="00B01548"/>
    <w:rsid w:val="00B13EBD"/>
    <w:rsid w:val="00B21D29"/>
    <w:rsid w:val="00B25034"/>
    <w:rsid w:val="00B25E3E"/>
    <w:rsid w:val="00B33588"/>
    <w:rsid w:val="00B33863"/>
    <w:rsid w:val="00B3721D"/>
    <w:rsid w:val="00B37D17"/>
    <w:rsid w:val="00B4175E"/>
    <w:rsid w:val="00B452CE"/>
    <w:rsid w:val="00B54C25"/>
    <w:rsid w:val="00B76B91"/>
    <w:rsid w:val="00B77EB1"/>
    <w:rsid w:val="00B811C6"/>
    <w:rsid w:val="00B855B0"/>
    <w:rsid w:val="00B92BE6"/>
    <w:rsid w:val="00B92E08"/>
    <w:rsid w:val="00BA7CDC"/>
    <w:rsid w:val="00BB7C3C"/>
    <w:rsid w:val="00BC622A"/>
    <w:rsid w:val="00BD1AC0"/>
    <w:rsid w:val="00BE0146"/>
    <w:rsid w:val="00BE0A78"/>
    <w:rsid w:val="00BE79F0"/>
    <w:rsid w:val="00BF046D"/>
    <w:rsid w:val="00BF1190"/>
    <w:rsid w:val="00BF5D04"/>
    <w:rsid w:val="00C009AA"/>
    <w:rsid w:val="00C1164D"/>
    <w:rsid w:val="00C16861"/>
    <w:rsid w:val="00C346AB"/>
    <w:rsid w:val="00C404A6"/>
    <w:rsid w:val="00C40A36"/>
    <w:rsid w:val="00C44419"/>
    <w:rsid w:val="00C45E7B"/>
    <w:rsid w:val="00C471B1"/>
    <w:rsid w:val="00C6316B"/>
    <w:rsid w:val="00C634A9"/>
    <w:rsid w:val="00C64586"/>
    <w:rsid w:val="00C70D53"/>
    <w:rsid w:val="00C71032"/>
    <w:rsid w:val="00C73D0B"/>
    <w:rsid w:val="00C772FF"/>
    <w:rsid w:val="00C77715"/>
    <w:rsid w:val="00C80137"/>
    <w:rsid w:val="00C801AF"/>
    <w:rsid w:val="00C80256"/>
    <w:rsid w:val="00C94CD4"/>
    <w:rsid w:val="00C9747E"/>
    <w:rsid w:val="00CB6BC0"/>
    <w:rsid w:val="00CC1B7C"/>
    <w:rsid w:val="00CC727F"/>
    <w:rsid w:val="00CF15C3"/>
    <w:rsid w:val="00CF2B6F"/>
    <w:rsid w:val="00CF2F3E"/>
    <w:rsid w:val="00CF58B6"/>
    <w:rsid w:val="00D0062D"/>
    <w:rsid w:val="00D017ED"/>
    <w:rsid w:val="00D040D3"/>
    <w:rsid w:val="00D04C65"/>
    <w:rsid w:val="00D201D2"/>
    <w:rsid w:val="00D224FE"/>
    <w:rsid w:val="00D23139"/>
    <w:rsid w:val="00D27280"/>
    <w:rsid w:val="00D425BB"/>
    <w:rsid w:val="00D6493E"/>
    <w:rsid w:val="00D6575E"/>
    <w:rsid w:val="00D7195D"/>
    <w:rsid w:val="00D7301E"/>
    <w:rsid w:val="00D7458B"/>
    <w:rsid w:val="00D83AE1"/>
    <w:rsid w:val="00D855D4"/>
    <w:rsid w:val="00D902C9"/>
    <w:rsid w:val="00D93466"/>
    <w:rsid w:val="00DA1124"/>
    <w:rsid w:val="00DB6124"/>
    <w:rsid w:val="00DB750B"/>
    <w:rsid w:val="00DB75B7"/>
    <w:rsid w:val="00DC6E02"/>
    <w:rsid w:val="00DD28CD"/>
    <w:rsid w:val="00DE02AE"/>
    <w:rsid w:val="00DF1D7F"/>
    <w:rsid w:val="00DF4BE4"/>
    <w:rsid w:val="00E02FB4"/>
    <w:rsid w:val="00E13CB5"/>
    <w:rsid w:val="00E13FC7"/>
    <w:rsid w:val="00E16107"/>
    <w:rsid w:val="00E20571"/>
    <w:rsid w:val="00E235F7"/>
    <w:rsid w:val="00E23659"/>
    <w:rsid w:val="00E239D4"/>
    <w:rsid w:val="00E26130"/>
    <w:rsid w:val="00E40B22"/>
    <w:rsid w:val="00E44ED1"/>
    <w:rsid w:val="00E45619"/>
    <w:rsid w:val="00E4588F"/>
    <w:rsid w:val="00E46DA3"/>
    <w:rsid w:val="00E51BB1"/>
    <w:rsid w:val="00E52798"/>
    <w:rsid w:val="00E624A5"/>
    <w:rsid w:val="00E64BA4"/>
    <w:rsid w:val="00E7344E"/>
    <w:rsid w:val="00E82665"/>
    <w:rsid w:val="00EB0798"/>
    <w:rsid w:val="00EB2D4C"/>
    <w:rsid w:val="00EB40AD"/>
    <w:rsid w:val="00EB586E"/>
    <w:rsid w:val="00EB5FC8"/>
    <w:rsid w:val="00EC463D"/>
    <w:rsid w:val="00EC7A85"/>
    <w:rsid w:val="00ED2922"/>
    <w:rsid w:val="00ED29B5"/>
    <w:rsid w:val="00ED3CAD"/>
    <w:rsid w:val="00ED4B00"/>
    <w:rsid w:val="00ED5A41"/>
    <w:rsid w:val="00EE1DE8"/>
    <w:rsid w:val="00EE27C2"/>
    <w:rsid w:val="00EF0B4A"/>
    <w:rsid w:val="00EF4BAD"/>
    <w:rsid w:val="00EF59DC"/>
    <w:rsid w:val="00F033EC"/>
    <w:rsid w:val="00F044A6"/>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C1FCA"/>
    <w:rsid w:val="00FC25E4"/>
    <w:rsid w:val="00FC4EF7"/>
    <w:rsid w:val="00FD0824"/>
    <w:rsid w:val="00FD119B"/>
    <w:rsid w:val="00FD1EDC"/>
    <w:rsid w:val="00FE1DEE"/>
    <w:rsid w:val="00FF090F"/>
    <w:rsid w:val="00FF1DF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0104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4B655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6D5C49"/>
    <w:pPr>
      <w:adjustRightInd w:val="0"/>
      <w:snapToGrid w:val="0"/>
      <w:spacing w:before="180" w:after="180"/>
      <w:ind w:left="720"/>
      <w:contextualSpacing/>
    </w:pPr>
    <w:rPr>
      <w:rFonts w:eastAsia="MS Mincho"/>
      <w:szCs w:val="20"/>
      <w:lang w:eastAsia="ja-JP"/>
    </w:rPr>
  </w:style>
  <w:style w:type="paragraph" w:customStyle="1" w:styleId="Comment1">
    <w:name w:val="Comment 1"/>
    <w:basedOn w:val="Normal"/>
    <w:next w:val="Normal"/>
    <w:qFormat/>
    <w:rsid w:val="006D5C4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A-Head6">
    <w:name w:val="A-Head 6"/>
    <w:basedOn w:val="Normal"/>
    <w:rsid w:val="00604A4F"/>
    <w:pPr>
      <w:spacing w:before="60" w:after="0" w:line="240" w:lineRule="auto"/>
    </w:pPr>
    <w:rPr>
      <w:rFonts w:ascii="Arial" w:eastAsia="Times New Roman" w:hAnsi="Arial"/>
      <w:b/>
      <w:szCs w:val="20"/>
    </w:rPr>
  </w:style>
  <w:style w:type="paragraph" w:customStyle="1" w:styleId="Standard">
    <w:name w:val="Standard"/>
    <w:basedOn w:val="Normal"/>
    <w:link w:val="StandardChar"/>
    <w:qFormat/>
    <w:rsid w:val="001637F4"/>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1637F4"/>
    <w:rPr>
      <w:rFonts w:ascii="Cambria" w:eastAsia="Times New Roman" w:hAnsi="Cambria" w:cs="Times New Roman"/>
      <w:snapToGrid w:val="0"/>
      <w:kern w:val="16"/>
      <w:szCs w:val="24"/>
    </w:rPr>
  </w:style>
  <w:style w:type="paragraph" w:customStyle="1" w:styleId="Bulletpoint">
    <w:name w:val="Bullet point"/>
    <w:basedOn w:val="Standard"/>
    <w:rsid w:val="001637F4"/>
    <w:pPr>
      <w:numPr>
        <w:numId w:val="30"/>
      </w:numPr>
      <w:tabs>
        <w:tab w:val="clear" w:pos="369"/>
        <w:tab w:val="left" w:pos="397"/>
        <w:tab w:val="num" w:pos="511"/>
      </w:tabs>
      <w:spacing w:after="180"/>
      <w:ind w:left="0" w:firstLine="0"/>
    </w:pPr>
  </w:style>
  <w:style w:type="paragraph" w:customStyle="1" w:styleId="SectionHeading">
    <w:name w:val="Section Heading"/>
    <w:basedOn w:val="Normal"/>
    <w:next w:val="Normal"/>
    <w:link w:val="SectionHeadingCharChar"/>
    <w:rsid w:val="001637F4"/>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1637F4"/>
    <w:rPr>
      <w:rFonts w:ascii="Cambria" w:eastAsia="Times New Roman" w:hAnsi="Cambria" w:cs="Times New Roman"/>
      <w:b/>
      <w:caps/>
      <w:snapToGrid w:val="0"/>
      <w:kern w:val="16"/>
      <w:sz w:val="24"/>
      <w:szCs w:val="24"/>
    </w:rPr>
  </w:style>
  <w:style w:type="paragraph" w:customStyle="1" w:styleId="WhiteSpace">
    <w:name w:val="White Space"/>
    <w:basedOn w:val="Standard"/>
    <w:next w:val="Standard"/>
    <w:link w:val="WhiteSpaceChar"/>
    <w:rsid w:val="001637F4"/>
    <w:pPr>
      <w:spacing w:after="0"/>
    </w:pPr>
    <w:rPr>
      <w:sz w:val="16"/>
      <w:szCs w:val="16"/>
    </w:rPr>
  </w:style>
  <w:style w:type="paragraph" w:customStyle="1" w:styleId="AssessmentSubsection">
    <w:name w:val="Assessment Subsection"/>
    <w:basedOn w:val="Standard"/>
    <w:next w:val="Standard"/>
    <w:rsid w:val="001637F4"/>
    <w:pPr>
      <w:keepNext/>
      <w:spacing w:after="110"/>
      <w:outlineLvl w:val="2"/>
    </w:pPr>
    <w:rPr>
      <w:b/>
      <w:i/>
    </w:rPr>
  </w:style>
  <w:style w:type="character" w:customStyle="1" w:styleId="WhiteSpaceChar">
    <w:name w:val="White Space Char"/>
    <w:basedOn w:val="DefaultParagraphFont"/>
    <w:link w:val="WhiteSpace"/>
    <w:rsid w:val="001637F4"/>
    <w:rPr>
      <w:rFonts w:ascii="Cambria" w:eastAsia="Times New Roman" w:hAnsi="Cambria" w:cs="Times New Roman"/>
      <w:snapToGrid w:val="0"/>
      <w:kern w:val="16"/>
      <w:sz w:val="16"/>
      <w:szCs w:val="16"/>
    </w:rPr>
  </w:style>
  <w:style w:type="character" w:customStyle="1" w:styleId="TableTitleChar">
    <w:name w:val="Table Title Char"/>
    <w:basedOn w:val="DefaultParagraphFont"/>
    <w:link w:val="TableTitle"/>
    <w:rsid w:val="001637F4"/>
    <w:rPr>
      <w:rFonts w:ascii="Cambria" w:eastAsia="Cambria" w:hAnsi="Cambria" w:cs="Times New Roman"/>
      <w:b/>
    </w:rPr>
  </w:style>
  <w:style w:type="character" w:customStyle="1" w:styleId="TabletextChar">
    <w:name w:val="Table text Char"/>
    <w:basedOn w:val="DefaultParagraphFont"/>
    <w:link w:val="Tabletext"/>
    <w:rsid w:val="001637F4"/>
    <w:rPr>
      <w:rFonts w:ascii="Cambria" w:eastAsia="Cambria" w:hAnsi="Cambria" w:cs="Times New Roman"/>
      <w:sz w:val="19"/>
    </w:rPr>
  </w:style>
  <w:style w:type="paragraph" w:customStyle="1" w:styleId="TableHeader">
    <w:name w:val="Table Header"/>
    <w:basedOn w:val="Normal"/>
    <w:rsid w:val="001637F4"/>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1637F4"/>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1637F4"/>
    <w:rPr>
      <w:rFonts w:ascii="Cambria" w:eastAsia="Times New Roman" w:hAnsi="Cambria" w:cs="Times New Roman"/>
      <w:snapToGrid w:val="0"/>
      <w:kern w:val="16"/>
      <w:sz w:val="18"/>
      <w:szCs w:val="19"/>
    </w:rPr>
  </w:style>
  <w:style w:type="paragraph" w:customStyle="1" w:styleId="AssessmentSubsection2">
    <w:name w:val="Assessment Subsection 2"/>
    <w:basedOn w:val="AssessmentSubsection"/>
    <w:next w:val="Standard"/>
    <w:rsid w:val="001637F4"/>
    <w:pPr>
      <w:outlineLvl w:val="3"/>
    </w:pPr>
    <w:rPr>
      <w:b w:val="0"/>
    </w:rPr>
  </w:style>
  <w:style w:type="paragraph" w:styleId="NormalWeb">
    <w:name w:val="Normal (Web)"/>
    <w:basedOn w:val="Normal"/>
    <w:uiPriority w:val="99"/>
    <w:semiHidden/>
    <w:unhideWhenUsed/>
    <w:rsid w:val="00153E2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title0">
    <w:name w:val="Table title"/>
    <w:basedOn w:val="Normal"/>
    <w:next w:val="Normal"/>
    <w:rsid w:val="000D4647"/>
    <w:pPr>
      <w:keepNext/>
      <w:spacing w:after="180"/>
    </w:pPr>
    <w:rPr>
      <w:rFonts w:cstheme="minorBidi"/>
      <w:b/>
    </w:rPr>
  </w:style>
  <w:style w:type="paragraph" w:customStyle="1" w:styleId="Bulletlist">
    <w:name w:val="Bullet list"/>
    <w:basedOn w:val="Normal"/>
    <w:link w:val="BulletlistChar"/>
    <w:qFormat/>
    <w:rsid w:val="001E489F"/>
    <w:pPr>
      <w:numPr>
        <w:numId w:val="3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1E489F"/>
    <w:rPr>
      <w:rFonts w:ascii="Cambria" w:eastAsia="Times New Roman" w:hAnsi="Cambria" w:cs="Times New Roman"/>
      <w:snapToGrid w:val="0"/>
      <w:kern w:val="2"/>
      <w:sz w:val="23"/>
    </w:rPr>
  </w:style>
  <w:style w:type="character" w:customStyle="1" w:styleId="apple-converted-space">
    <w:name w:val="apple-converted-space"/>
    <w:basedOn w:val="DefaultParagraphFont"/>
    <w:rsid w:val="007278A7"/>
  </w:style>
  <w:style w:type="character" w:styleId="Emphasis">
    <w:name w:val="Emphasis"/>
    <w:basedOn w:val="DefaultParagraphFont"/>
    <w:uiPriority w:val="20"/>
    <w:qFormat/>
    <w:rsid w:val="007278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70104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4B655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6D5C49"/>
    <w:pPr>
      <w:adjustRightInd w:val="0"/>
      <w:snapToGrid w:val="0"/>
      <w:spacing w:before="180" w:after="180"/>
      <w:ind w:left="720"/>
      <w:contextualSpacing/>
    </w:pPr>
    <w:rPr>
      <w:rFonts w:eastAsia="MS Mincho"/>
      <w:szCs w:val="20"/>
      <w:lang w:eastAsia="ja-JP"/>
    </w:rPr>
  </w:style>
  <w:style w:type="paragraph" w:customStyle="1" w:styleId="Comment1">
    <w:name w:val="Comment 1"/>
    <w:basedOn w:val="Normal"/>
    <w:next w:val="Normal"/>
    <w:qFormat/>
    <w:rsid w:val="006D5C4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A-Head6">
    <w:name w:val="A-Head 6"/>
    <w:basedOn w:val="Normal"/>
    <w:rsid w:val="00604A4F"/>
    <w:pPr>
      <w:spacing w:before="60" w:after="0" w:line="240" w:lineRule="auto"/>
    </w:pPr>
    <w:rPr>
      <w:rFonts w:ascii="Arial" w:eastAsia="Times New Roman" w:hAnsi="Arial"/>
      <w:b/>
      <w:szCs w:val="20"/>
    </w:rPr>
  </w:style>
  <w:style w:type="paragraph" w:customStyle="1" w:styleId="Standard">
    <w:name w:val="Standard"/>
    <w:basedOn w:val="Normal"/>
    <w:link w:val="StandardChar"/>
    <w:qFormat/>
    <w:rsid w:val="001637F4"/>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1637F4"/>
    <w:rPr>
      <w:rFonts w:ascii="Cambria" w:eastAsia="Times New Roman" w:hAnsi="Cambria" w:cs="Times New Roman"/>
      <w:snapToGrid w:val="0"/>
      <w:kern w:val="16"/>
      <w:szCs w:val="24"/>
    </w:rPr>
  </w:style>
  <w:style w:type="paragraph" w:customStyle="1" w:styleId="Bulletpoint">
    <w:name w:val="Bullet point"/>
    <w:basedOn w:val="Standard"/>
    <w:rsid w:val="001637F4"/>
    <w:pPr>
      <w:numPr>
        <w:numId w:val="30"/>
      </w:numPr>
      <w:tabs>
        <w:tab w:val="clear" w:pos="369"/>
        <w:tab w:val="left" w:pos="397"/>
        <w:tab w:val="num" w:pos="511"/>
      </w:tabs>
      <w:spacing w:after="180"/>
      <w:ind w:left="0" w:firstLine="0"/>
    </w:pPr>
  </w:style>
  <w:style w:type="paragraph" w:customStyle="1" w:styleId="SectionHeading">
    <w:name w:val="Section Heading"/>
    <w:basedOn w:val="Normal"/>
    <w:next w:val="Normal"/>
    <w:link w:val="SectionHeadingCharChar"/>
    <w:rsid w:val="001637F4"/>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1637F4"/>
    <w:rPr>
      <w:rFonts w:ascii="Cambria" w:eastAsia="Times New Roman" w:hAnsi="Cambria" w:cs="Times New Roman"/>
      <w:b/>
      <w:caps/>
      <w:snapToGrid w:val="0"/>
      <w:kern w:val="16"/>
      <w:sz w:val="24"/>
      <w:szCs w:val="24"/>
    </w:rPr>
  </w:style>
  <w:style w:type="paragraph" w:customStyle="1" w:styleId="WhiteSpace">
    <w:name w:val="White Space"/>
    <w:basedOn w:val="Standard"/>
    <w:next w:val="Standard"/>
    <w:link w:val="WhiteSpaceChar"/>
    <w:rsid w:val="001637F4"/>
    <w:pPr>
      <w:spacing w:after="0"/>
    </w:pPr>
    <w:rPr>
      <w:sz w:val="16"/>
      <w:szCs w:val="16"/>
    </w:rPr>
  </w:style>
  <w:style w:type="paragraph" w:customStyle="1" w:styleId="AssessmentSubsection">
    <w:name w:val="Assessment Subsection"/>
    <w:basedOn w:val="Standard"/>
    <w:next w:val="Standard"/>
    <w:rsid w:val="001637F4"/>
    <w:pPr>
      <w:keepNext/>
      <w:spacing w:after="110"/>
      <w:outlineLvl w:val="2"/>
    </w:pPr>
    <w:rPr>
      <w:b/>
      <w:i/>
    </w:rPr>
  </w:style>
  <w:style w:type="character" w:customStyle="1" w:styleId="WhiteSpaceChar">
    <w:name w:val="White Space Char"/>
    <w:basedOn w:val="DefaultParagraphFont"/>
    <w:link w:val="WhiteSpace"/>
    <w:rsid w:val="001637F4"/>
    <w:rPr>
      <w:rFonts w:ascii="Cambria" w:eastAsia="Times New Roman" w:hAnsi="Cambria" w:cs="Times New Roman"/>
      <w:snapToGrid w:val="0"/>
      <w:kern w:val="16"/>
      <w:sz w:val="16"/>
      <w:szCs w:val="16"/>
    </w:rPr>
  </w:style>
  <w:style w:type="character" w:customStyle="1" w:styleId="TableTitleChar">
    <w:name w:val="Table Title Char"/>
    <w:basedOn w:val="DefaultParagraphFont"/>
    <w:link w:val="TableTitle"/>
    <w:rsid w:val="001637F4"/>
    <w:rPr>
      <w:rFonts w:ascii="Cambria" w:eastAsia="Cambria" w:hAnsi="Cambria" w:cs="Times New Roman"/>
      <w:b/>
    </w:rPr>
  </w:style>
  <w:style w:type="character" w:customStyle="1" w:styleId="TabletextChar">
    <w:name w:val="Table text Char"/>
    <w:basedOn w:val="DefaultParagraphFont"/>
    <w:link w:val="Tabletext"/>
    <w:rsid w:val="001637F4"/>
    <w:rPr>
      <w:rFonts w:ascii="Cambria" w:eastAsia="Cambria" w:hAnsi="Cambria" w:cs="Times New Roman"/>
      <w:sz w:val="19"/>
    </w:rPr>
  </w:style>
  <w:style w:type="paragraph" w:customStyle="1" w:styleId="TableHeader">
    <w:name w:val="Table Header"/>
    <w:basedOn w:val="Normal"/>
    <w:rsid w:val="001637F4"/>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1637F4"/>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1637F4"/>
    <w:rPr>
      <w:rFonts w:ascii="Cambria" w:eastAsia="Times New Roman" w:hAnsi="Cambria" w:cs="Times New Roman"/>
      <w:snapToGrid w:val="0"/>
      <w:kern w:val="16"/>
      <w:sz w:val="18"/>
      <w:szCs w:val="19"/>
    </w:rPr>
  </w:style>
  <w:style w:type="paragraph" w:customStyle="1" w:styleId="AssessmentSubsection2">
    <w:name w:val="Assessment Subsection 2"/>
    <w:basedOn w:val="AssessmentSubsection"/>
    <w:next w:val="Standard"/>
    <w:rsid w:val="001637F4"/>
    <w:pPr>
      <w:outlineLvl w:val="3"/>
    </w:pPr>
    <w:rPr>
      <w:b w:val="0"/>
    </w:rPr>
  </w:style>
  <w:style w:type="paragraph" w:styleId="NormalWeb">
    <w:name w:val="Normal (Web)"/>
    <w:basedOn w:val="Normal"/>
    <w:uiPriority w:val="99"/>
    <w:semiHidden/>
    <w:unhideWhenUsed/>
    <w:rsid w:val="00153E2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title0">
    <w:name w:val="Table title"/>
    <w:basedOn w:val="Normal"/>
    <w:next w:val="Normal"/>
    <w:rsid w:val="000D4647"/>
    <w:pPr>
      <w:keepNext/>
      <w:spacing w:after="180"/>
    </w:pPr>
    <w:rPr>
      <w:rFonts w:cstheme="minorBidi"/>
      <w:b/>
    </w:rPr>
  </w:style>
  <w:style w:type="paragraph" w:customStyle="1" w:styleId="Bulletlist">
    <w:name w:val="Bullet list"/>
    <w:basedOn w:val="Normal"/>
    <w:link w:val="BulletlistChar"/>
    <w:qFormat/>
    <w:rsid w:val="001E489F"/>
    <w:pPr>
      <w:numPr>
        <w:numId w:val="39"/>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1E489F"/>
    <w:rPr>
      <w:rFonts w:ascii="Cambria" w:eastAsia="Times New Roman" w:hAnsi="Cambria" w:cs="Times New Roman"/>
      <w:snapToGrid w:val="0"/>
      <w:kern w:val="2"/>
      <w:sz w:val="23"/>
    </w:rPr>
  </w:style>
  <w:style w:type="character" w:customStyle="1" w:styleId="apple-converted-space">
    <w:name w:val="apple-converted-space"/>
    <w:basedOn w:val="DefaultParagraphFont"/>
    <w:rsid w:val="007278A7"/>
  </w:style>
  <w:style w:type="character" w:styleId="Emphasis">
    <w:name w:val="Emphasis"/>
    <w:basedOn w:val="DefaultParagraphFont"/>
    <w:uiPriority w:val="20"/>
    <w:qFormat/>
    <w:rsid w:val="007278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33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hdphoto" Target="media/hdphoto7.wdp"/><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microsoft.com/office/2007/relationships/hdphoto" Target="media/hdphoto6.wdp"/><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hyperlink" Target="https://www.tga.gov.au/product-information-pi"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39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E8F48-5787-49F2-94FD-B603D8BE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28</TotalTime>
  <Pages>60</Pages>
  <Words>20134</Words>
  <Characters>113159</Characters>
  <Application>Microsoft Office Word</Application>
  <DocSecurity>0</DocSecurity>
  <Lines>2057</Lines>
  <Paragraphs>859</Paragraphs>
  <ScaleCrop>false</ScaleCrop>
  <HeadingPairs>
    <vt:vector size="2" baseType="variant">
      <vt:variant>
        <vt:lpstr>Title</vt:lpstr>
      </vt:variant>
      <vt:variant>
        <vt:i4>1</vt:i4>
      </vt:variant>
    </vt:vector>
  </HeadingPairs>
  <TitlesOfParts>
    <vt:vector size="1" baseType="lpstr">
      <vt:lpstr>Australian Public Assessment Report for: Sofosbuvir / Velpatasvir</vt:lpstr>
    </vt:vector>
  </TitlesOfParts>
  <Company/>
  <LinksUpToDate>false</LinksUpToDate>
  <CharactersWithSpaces>132434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Sofosbuvir / Velpatasvir</dc:title>
  <dc:subject>prescription medicine</dc:subject>
  <dc:creator>Therapeutic Goods Administration</dc:creator>
  <cp:keywords>auspar</cp:keywords>
  <cp:lastModifiedBy>Therapeutic Goods Administration (TGA) </cp:lastModifiedBy>
  <cp:revision>5</cp:revision>
  <cp:lastPrinted>2015-09-22T23:39:00Z</cp:lastPrinted>
  <dcterms:created xsi:type="dcterms:W3CDTF">2017-11-08T04:44:00Z</dcterms:created>
  <dcterms:modified xsi:type="dcterms:W3CDTF">2017-11-17T00:28:00Z</dcterms:modified>
  <cp:category>external publication</cp:category>
</cp:coreProperties>
</file>