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DD" w:rsidRPr="008B7865" w:rsidRDefault="007254DD" w:rsidP="007254DD">
      <w:pPr>
        <w:widowControl w:val="0"/>
        <w:jc w:val="center"/>
        <w:rPr>
          <w:rFonts w:ascii="Times New Roman" w:hAnsi="Times New Roman"/>
          <w:b/>
          <w:noProof/>
          <w:sz w:val="24"/>
          <w:szCs w:val="24"/>
        </w:rPr>
      </w:pPr>
      <w:r w:rsidRPr="008B7865">
        <w:rPr>
          <w:rFonts w:ascii="Times New Roman" w:hAnsi="Times New Roman"/>
          <w:b/>
          <w:noProof/>
          <w:sz w:val="24"/>
          <w:szCs w:val="24"/>
        </w:rPr>
        <w:t>Product Information</w:t>
      </w:r>
    </w:p>
    <w:p w:rsidR="007254DD" w:rsidRPr="008B7865" w:rsidRDefault="007254DD" w:rsidP="007254DD">
      <w:pPr>
        <w:widowControl w:val="0"/>
        <w:jc w:val="center"/>
        <w:rPr>
          <w:rFonts w:ascii="Times New Roman" w:hAnsi="Times New Roman"/>
          <w:b/>
          <w:noProof/>
          <w:sz w:val="24"/>
          <w:szCs w:val="24"/>
        </w:rPr>
      </w:pPr>
    </w:p>
    <w:p w:rsidR="007D2219" w:rsidRPr="007D2219" w:rsidRDefault="00D21279" w:rsidP="007D2219">
      <w:pPr>
        <w:widowControl w:val="0"/>
        <w:rPr>
          <w:rFonts w:ascii="Times New Roman" w:hAnsi="Times New Roman"/>
          <w:b/>
          <w:noProof/>
          <w:sz w:val="24"/>
          <w:szCs w:val="24"/>
        </w:rPr>
      </w:pPr>
      <w:r>
        <w:rPr>
          <w:rFonts w:ascii="Times New Roman" w:hAnsi="Times New Roman"/>
          <w:b/>
          <w:noProof/>
          <w:sz w:val="24"/>
          <w:szCs w:val="24"/>
          <w:lang w:val="en-US"/>
        </w:rPr>
        <w:t>SOVALDI</w:t>
      </w:r>
      <w:r w:rsidRPr="00D21279">
        <w:rPr>
          <w:rFonts w:ascii="Times New Roman Bold" w:hAnsi="Times New Roman Bold"/>
          <w:b/>
          <w:noProof/>
          <w:sz w:val="24"/>
          <w:szCs w:val="24"/>
          <w:vertAlign w:val="superscript"/>
          <w:lang w:val="en-US"/>
        </w:rPr>
        <w:t>®</w:t>
      </w:r>
      <w:r w:rsidR="007D2219" w:rsidRPr="007D2219">
        <w:rPr>
          <w:rFonts w:ascii="Times New Roman" w:hAnsi="Times New Roman"/>
          <w:b/>
          <w:noProof/>
          <w:sz w:val="24"/>
          <w:szCs w:val="24"/>
          <w:lang w:val="en-US"/>
        </w:rPr>
        <w:t xml:space="preserve"> (</w:t>
      </w:r>
      <w:r w:rsidR="00683599">
        <w:rPr>
          <w:rFonts w:ascii="Times New Roman" w:hAnsi="Times New Roman"/>
          <w:b/>
          <w:bCs/>
          <w:noProof/>
          <w:sz w:val="24"/>
          <w:szCs w:val="24"/>
        </w:rPr>
        <w:t>sofosbuvir)</w:t>
      </w:r>
      <w:r w:rsidR="007D2219" w:rsidRPr="007D2219">
        <w:rPr>
          <w:rFonts w:ascii="Times New Roman" w:hAnsi="Times New Roman"/>
          <w:b/>
          <w:noProof/>
          <w:sz w:val="24"/>
          <w:szCs w:val="24"/>
          <w:lang w:val="en-US"/>
        </w:rPr>
        <w:t xml:space="preserve"> tablets</w:t>
      </w:r>
    </w:p>
    <w:p w:rsidR="007254DD" w:rsidRPr="008B7865" w:rsidRDefault="007254DD" w:rsidP="007254DD">
      <w:pPr>
        <w:widowControl w:val="0"/>
        <w:jc w:val="both"/>
        <w:rPr>
          <w:rFonts w:ascii="Times New Roman" w:hAnsi="Times New Roman"/>
          <w:bCs/>
          <w:noProof/>
          <w:color w:val="FF0000"/>
          <w:sz w:val="24"/>
          <w:szCs w:val="24"/>
        </w:rPr>
      </w:pPr>
      <w:bookmarkStart w:id="0" w:name="_GoBack"/>
      <w:bookmarkEnd w:id="0"/>
    </w:p>
    <w:p w:rsidR="009F536A" w:rsidRPr="008B7865" w:rsidRDefault="009F536A" w:rsidP="007254DD">
      <w:pPr>
        <w:widowControl w:val="0"/>
        <w:jc w:val="both"/>
        <w:rPr>
          <w:rFonts w:ascii="Times New Roman" w:hAnsi="Times New Roman"/>
          <w:bCs/>
          <w:noProof/>
          <w:color w:val="FF0000"/>
          <w:sz w:val="24"/>
          <w:szCs w:val="24"/>
        </w:rPr>
      </w:pPr>
    </w:p>
    <w:p w:rsidR="007254DD" w:rsidRPr="008B7865" w:rsidRDefault="007254DD" w:rsidP="007254DD">
      <w:pPr>
        <w:widowControl w:val="0"/>
        <w:jc w:val="both"/>
        <w:rPr>
          <w:rFonts w:ascii="Times New Roman" w:hAnsi="Times New Roman"/>
          <w:noProof/>
          <w:sz w:val="24"/>
          <w:szCs w:val="24"/>
        </w:rPr>
      </w:pPr>
      <w:r w:rsidRPr="008B7865">
        <w:rPr>
          <w:rFonts w:ascii="Times New Roman" w:hAnsi="Times New Roman"/>
          <w:b/>
          <w:noProof/>
          <w:sz w:val="24"/>
          <w:szCs w:val="24"/>
        </w:rPr>
        <w:t>NAME OF THE MEDICINE</w:t>
      </w:r>
    </w:p>
    <w:p w:rsidR="00A31D2F" w:rsidRPr="008B7865" w:rsidRDefault="00D21279" w:rsidP="007254DD">
      <w:pPr>
        <w:jc w:val="both"/>
        <w:rPr>
          <w:rFonts w:ascii="Times New Roman" w:hAnsi="Times New Roman"/>
          <w:noProof/>
          <w:sz w:val="24"/>
          <w:szCs w:val="24"/>
        </w:rPr>
      </w:pPr>
      <w:r>
        <w:rPr>
          <w:rFonts w:ascii="Times New Roman" w:hAnsi="Times New Roman"/>
          <w:noProof/>
          <w:sz w:val="24"/>
          <w:szCs w:val="24"/>
          <w:lang w:val="en-US"/>
        </w:rPr>
        <w:t>SOVALDI</w:t>
      </w:r>
      <w:r w:rsidR="00E07F0F" w:rsidRPr="007D2219">
        <w:rPr>
          <w:rFonts w:ascii="Times New Roman" w:hAnsi="Times New Roman"/>
          <w:noProof/>
          <w:sz w:val="24"/>
          <w:szCs w:val="24"/>
          <w:lang w:val="en-US"/>
        </w:rPr>
        <w:t xml:space="preserve"> </w:t>
      </w:r>
      <w:r w:rsidR="007D2219" w:rsidRPr="007D2219">
        <w:rPr>
          <w:rFonts w:ascii="Times New Roman" w:hAnsi="Times New Roman"/>
          <w:noProof/>
          <w:sz w:val="24"/>
          <w:szCs w:val="24"/>
          <w:lang w:val="en-US"/>
        </w:rPr>
        <w:t>(</w:t>
      </w:r>
      <w:r w:rsidR="00683599">
        <w:rPr>
          <w:rFonts w:ascii="Times New Roman" w:hAnsi="Times New Roman"/>
          <w:noProof/>
          <w:sz w:val="24"/>
          <w:szCs w:val="24"/>
          <w:lang w:val="en-US"/>
        </w:rPr>
        <w:t>400 mg sofosbuvir</w:t>
      </w:r>
      <w:r w:rsidR="007D2219" w:rsidRPr="007D2219">
        <w:rPr>
          <w:rFonts w:ascii="Times New Roman" w:hAnsi="Times New Roman"/>
          <w:noProof/>
          <w:sz w:val="24"/>
          <w:szCs w:val="24"/>
        </w:rPr>
        <w:t>)</w:t>
      </w:r>
      <w:r w:rsidR="007D2219" w:rsidRPr="007D2219">
        <w:rPr>
          <w:rFonts w:ascii="Times New Roman" w:hAnsi="Times New Roman"/>
          <w:b/>
          <w:noProof/>
          <w:sz w:val="24"/>
          <w:szCs w:val="24"/>
          <w:lang w:val="en-US"/>
        </w:rPr>
        <w:t xml:space="preserve"> </w:t>
      </w:r>
      <w:r w:rsidR="007D2219" w:rsidRPr="007D2219">
        <w:rPr>
          <w:rFonts w:ascii="Times New Roman" w:hAnsi="Times New Roman"/>
          <w:noProof/>
          <w:sz w:val="24"/>
          <w:szCs w:val="24"/>
          <w:lang w:val="en-US"/>
        </w:rPr>
        <w:t>tablets</w:t>
      </w:r>
      <w:r w:rsidR="007254DD" w:rsidRPr="008B7865">
        <w:rPr>
          <w:rFonts w:ascii="Times New Roman" w:hAnsi="Times New Roman"/>
          <w:noProof/>
          <w:sz w:val="24"/>
          <w:szCs w:val="24"/>
        </w:rPr>
        <w:t xml:space="preserve">.  </w:t>
      </w:r>
    </w:p>
    <w:p w:rsidR="00A31D2F" w:rsidRPr="008B7865" w:rsidRDefault="00A31D2F" w:rsidP="007254DD">
      <w:pPr>
        <w:jc w:val="both"/>
        <w:rPr>
          <w:rFonts w:ascii="Times New Roman" w:hAnsi="Times New Roman"/>
          <w:noProof/>
          <w:sz w:val="24"/>
          <w:szCs w:val="24"/>
        </w:rPr>
      </w:pPr>
    </w:p>
    <w:p w:rsidR="007254DD" w:rsidRPr="008B7865" w:rsidRDefault="00FB788D" w:rsidP="007254DD">
      <w:pPr>
        <w:jc w:val="both"/>
        <w:rPr>
          <w:rFonts w:ascii="Times New Roman" w:hAnsi="Times New Roman"/>
          <w:noProof/>
          <w:sz w:val="24"/>
          <w:szCs w:val="24"/>
        </w:rPr>
      </w:pPr>
      <w:r>
        <w:rPr>
          <w:rFonts w:ascii="Times New Roman" w:hAnsi="Times New Roman"/>
          <w:noProof/>
          <w:sz w:val="24"/>
          <w:szCs w:val="24"/>
          <w:lang w:val="en-US"/>
        </w:rPr>
        <w:t xml:space="preserve">The active substance in </w:t>
      </w:r>
      <w:r w:rsidR="00D21279">
        <w:rPr>
          <w:rFonts w:ascii="Times New Roman" w:hAnsi="Times New Roman"/>
          <w:noProof/>
          <w:sz w:val="24"/>
          <w:szCs w:val="24"/>
          <w:lang w:val="en-US"/>
        </w:rPr>
        <w:t>SOVALDI</w:t>
      </w:r>
      <w:r w:rsidR="00E07F0F" w:rsidRPr="007D2219">
        <w:rPr>
          <w:rFonts w:ascii="Times New Roman" w:hAnsi="Times New Roman"/>
          <w:noProof/>
          <w:sz w:val="24"/>
          <w:szCs w:val="24"/>
          <w:lang w:val="en-US"/>
        </w:rPr>
        <w:t xml:space="preserve"> </w:t>
      </w:r>
      <w:r w:rsidR="007D2219" w:rsidRPr="007D2219">
        <w:rPr>
          <w:rFonts w:ascii="Times New Roman" w:hAnsi="Times New Roman"/>
          <w:noProof/>
          <w:sz w:val="24"/>
          <w:szCs w:val="24"/>
          <w:lang w:val="en-US"/>
        </w:rPr>
        <w:t xml:space="preserve">tablets </w:t>
      </w:r>
      <w:r w:rsidR="00F52C36">
        <w:rPr>
          <w:rFonts w:ascii="Times New Roman" w:hAnsi="Times New Roman"/>
          <w:noProof/>
          <w:sz w:val="24"/>
          <w:szCs w:val="24"/>
          <w:lang w:val="en-US"/>
        </w:rPr>
        <w:t>is</w:t>
      </w:r>
      <w:r w:rsidR="007D2219" w:rsidRPr="007D2219">
        <w:rPr>
          <w:rFonts w:ascii="Times New Roman" w:hAnsi="Times New Roman"/>
          <w:noProof/>
          <w:sz w:val="24"/>
          <w:szCs w:val="24"/>
          <w:lang w:val="en-US"/>
        </w:rPr>
        <w:t xml:space="preserve"> </w:t>
      </w:r>
      <w:r w:rsidR="00683599">
        <w:rPr>
          <w:rFonts w:ascii="Times New Roman" w:hAnsi="Times New Roman"/>
          <w:bCs/>
          <w:noProof/>
          <w:sz w:val="24"/>
          <w:szCs w:val="24"/>
        </w:rPr>
        <w:t xml:space="preserve">sofosbuvir.  </w:t>
      </w:r>
    </w:p>
    <w:p w:rsidR="007254DD" w:rsidRPr="008B7865" w:rsidRDefault="007254DD" w:rsidP="007254DD">
      <w:pPr>
        <w:rPr>
          <w:rFonts w:ascii="Times New Roman" w:hAnsi="Times New Roman"/>
          <w:sz w:val="24"/>
          <w:szCs w:val="24"/>
        </w:rPr>
      </w:pPr>
    </w:p>
    <w:p w:rsidR="00A7132A" w:rsidRPr="008B7865" w:rsidRDefault="00683599" w:rsidP="00A7132A">
      <w:pPr>
        <w:jc w:val="both"/>
        <w:rPr>
          <w:rFonts w:ascii="Times New Roman" w:hAnsi="Times New Roman"/>
          <w:sz w:val="24"/>
          <w:szCs w:val="24"/>
        </w:rPr>
      </w:pPr>
      <w:proofErr w:type="spellStart"/>
      <w:r>
        <w:rPr>
          <w:rFonts w:ascii="Times New Roman" w:hAnsi="Times New Roman"/>
          <w:sz w:val="24"/>
          <w:szCs w:val="24"/>
          <w:lang w:val="en-US"/>
        </w:rPr>
        <w:t>Sofosbuvir</w:t>
      </w:r>
      <w:proofErr w:type="spellEnd"/>
      <w:r>
        <w:rPr>
          <w:rFonts w:ascii="Times New Roman" w:hAnsi="Times New Roman"/>
          <w:sz w:val="24"/>
          <w:szCs w:val="24"/>
          <w:lang w:val="en-US"/>
        </w:rPr>
        <w:t xml:space="preserve"> is a nucleotide inhibitor of </w:t>
      </w:r>
      <w:r w:rsidR="006B3AFB">
        <w:rPr>
          <w:rFonts w:ascii="Times New Roman" w:hAnsi="Times New Roman"/>
          <w:sz w:val="24"/>
          <w:szCs w:val="24"/>
          <w:lang w:val="en-US"/>
        </w:rPr>
        <w:t>HCV N</w:t>
      </w:r>
      <w:r>
        <w:rPr>
          <w:rFonts w:ascii="Times New Roman" w:hAnsi="Times New Roman"/>
          <w:sz w:val="24"/>
          <w:szCs w:val="24"/>
          <w:lang w:val="en-US"/>
        </w:rPr>
        <w:t xml:space="preserve">S5B RNA-dependent RNA polymerase.  </w:t>
      </w:r>
      <w:r w:rsidR="00D306D0" w:rsidRPr="00A078FC">
        <w:rPr>
          <w:rFonts w:ascii="Times New Roman" w:hAnsi="Times New Roman"/>
          <w:sz w:val="24"/>
          <w:szCs w:val="24"/>
          <w:lang w:val="en-US"/>
        </w:rPr>
        <w:t xml:space="preserve"> </w:t>
      </w:r>
    </w:p>
    <w:p w:rsidR="007254DD" w:rsidRPr="008B7865" w:rsidRDefault="007254DD" w:rsidP="007254DD">
      <w:pPr>
        <w:jc w:val="both"/>
        <w:rPr>
          <w:rFonts w:ascii="Times New Roman" w:hAnsi="Times New Roman"/>
          <w:sz w:val="24"/>
          <w:szCs w:val="24"/>
        </w:rPr>
      </w:pPr>
    </w:p>
    <w:p w:rsidR="009F536A" w:rsidRPr="008B7865" w:rsidRDefault="009F536A" w:rsidP="007254DD">
      <w:pPr>
        <w:jc w:val="both"/>
        <w:rPr>
          <w:rFonts w:ascii="Times New Roman" w:hAnsi="Times New Roman"/>
          <w:noProof/>
          <w:sz w:val="24"/>
          <w:szCs w:val="24"/>
        </w:rPr>
      </w:pPr>
    </w:p>
    <w:p w:rsidR="007254DD" w:rsidRPr="008B7865" w:rsidRDefault="007254DD" w:rsidP="007254DD">
      <w:pPr>
        <w:jc w:val="both"/>
        <w:rPr>
          <w:rFonts w:ascii="Times New Roman" w:hAnsi="Times New Roman"/>
          <w:b/>
          <w:noProof/>
          <w:sz w:val="24"/>
          <w:szCs w:val="24"/>
        </w:rPr>
      </w:pPr>
      <w:r w:rsidRPr="008B7865">
        <w:rPr>
          <w:rFonts w:ascii="Times New Roman" w:hAnsi="Times New Roman"/>
          <w:b/>
          <w:noProof/>
          <w:sz w:val="24"/>
          <w:szCs w:val="24"/>
        </w:rPr>
        <w:t>DESCRIPTION</w:t>
      </w:r>
    </w:p>
    <w:p w:rsidR="00B65496" w:rsidRPr="00683599" w:rsidRDefault="00B65496" w:rsidP="00A5393D">
      <w:pPr>
        <w:jc w:val="both"/>
        <w:rPr>
          <w:rFonts w:ascii="Times New Roman" w:hAnsi="Times New Roman"/>
          <w:sz w:val="24"/>
          <w:szCs w:val="24"/>
          <w:highlight w:val="yellow"/>
          <w:lang w:val="en-US"/>
        </w:rPr>
      </w:pPr>
      <w:r w:rsidRPr="00060FA8">
        <w:rPr>
          <w:rFonts w:ascii="Times New Roman" w:hAnsi="Times New Roman"/>
          <w:sz w:val="24"/>
          <w:szCs w:val="24"/>
        </w:rPr>
        <w:t xml:space="preserve">The chemical name of </w:t>
      </w:r>
      <w:proofErr w:type="spellStart"/>
      <w:r w:rsidR="00922011" w:rsidRPr="00060FA8">
        <w:rPr>
          <w:rFonts w:ascii="Times New Roman" w:hAnsi="Times New Roman"/>
          <w:sz w:val="24"/>
          <w:szCs w:val="24"/>
        </w:rPr>
        <w:t>sofosbuvir</w:t>
      </w:r>
      <w:proofErr w:type="spellEnd"/>
      <w:r w:rsidRPr="00060FA8">
        <w:rPr>
          <w:rFonts w:ascii="Times New Roman" w:hAnsi="Times New Roman"/>
          <w:sz w:val="24"/>
          <w:szCs w:val="24"/>
        </w:rPr>
        <w:t xml:space="preserve"> is </w:t>
      </w:r>
      <w:r w:rsidR="00922011" w:rsidRPr="00060FA8">
        <w:rPr>
          <w:rFonts w:ascii="Times New Roman" w:hAnsi="Times New Roman"/>
          <w:sz w:val="24"/>
          <w:szCs w:val="24"/>
          <w:lang w:val="en-US"/>
        </w:rPr>
        <w:t>(S)-Isopropyl 2-((S)-(((2R</w:t>
      </w:r>
      <w:proofErr w:type="gramStart"/>
      <w:r w:rsidR="00922011" w:rsidRPr="00060FA8">
        <w:rPr>
          <w:rFonts w:ascii="Times New Roman" w:hAnsi="Times New Roman"/>
          <w:sz w:val="24"/>
          <w:szCs w:val="24"/>
          <w:lang w:val="en-US"/>
        </w:rPr>
        <w:t>,3R,4R,5R</w:t>
      </w:r>
      <w:proofErr w:type="gramEnd"/>
      <w:r w:rsidR="00922011" w:rsidRPr="00060FA8">
        <w:rPr>
          <w:rFonts w:ascii="Times New Roman" w:hAnsi="Times New Roman"/>
          <w:sz w:val="24"/>
          <w:szCs w:val="24"/>
          <w:lang w:val="en-US"/>
        </w:rPr>
        <w:t>)-5-(2,4-dioxo-3,4-dihydropyrimidin-1(2H)-yl)-4-fluoro-3-hydroxy-4-methyltetrahydrofuran-2-yl)methoxy)</w:t>
      </w:r>
      <w:r w:rsidR="00060FA8" w:rsidRPr="00060FA8">
        <w:rPr>
          <w:rFonts w:ascii="Times New Roman" w:hAnsi="Times New Roman"/>
          <w:sz w:val="24"/>
          <w:szCs w:val="24"/>
          <w:lang w:val="en-US"/>
        </w:rPr>
        <w:t>-</w:t>
      </w:r>
      <w:r w:rsidR="00922011" w:rsidRPr="00060FA8">
        <w:rPr>
          <w:rFonts w:ascii="Times New Roman" w:hAnsi="Times New Roman"/>
          <w:sz w:val="24"/>
          <w:szCs w:val="24"/>
          <w:lang w:val="en-US"/>
        </w:rPr>
        <w:t>(phenoxy)phosphorylamino)propanoate</w:t>
      </w:r>
      <w:r w:rsidR="00AA3442" w:rsidRPr="00060FA8">
        <w:rPr>
          <w:rFonts w:ascii="Times New Roman" w:hAnsi="Times New Roman"/>
          <w:sz w:val="24"/>
          <w:szCs w:val="24"/>
          <w:lang w:val="en-US"/>
        </w:rPr>
        <w:t>.</w:t>
      </w:r>
      <w:r w:rsidR="00C1385E" w:rsidRPr="00060FA8">
        <w:rPr>
          <w:rFonts w:ascii="Times New Roman" w:hAnsi="Times New Roman"/>
          <w:sz w:val="24"/>
          <w:szCs w:val="24"/>
          <w:lang w:val="en-US"/>
        </w:rPr>
        <w:t xml:space="preserve">  It</w:t>
      </w:r>
      <w:r w:rsidR="00C1385E" w:rsidRPr="00922011">
        <w:rPr>
          <w:rFonts w:ascii="Times New Roman" w:hAnsi="Times New Roman"/>
          <w:sz w:val="24"/>
          <w:szCs w:val="24"/>
          <w:lang w:val="en-US"/>
        </w:rPr>
        <w:t xml:space="preserve"> has a molecular formula of </w:t>
      </w:r>
      <w:r w:rsidR="00922011" w:rsidRPr="00922011">
        <w:rPr>
          <w:rFonts w:ascii="Times New Roman" w:hAnsi="Times New Roman"/>
          <w:sz w:val="24"/>
        </w:rPr>
        <w:t>C</w:t>
      </w:r>
      <w:r w:rsidR="00922011" w:rsidRPr="00922011">
        <w:rPr>
          <w:rFonts w:ascii="Times New Roman" w:hAnsi="Times New Roman"/>
          <w:sz w:val="24"/>
          <w:vertAlign w:val="subscript"/>
        </w:rPr>
        <w:t>22</w:t>
      </w:r>
      <w:r w:rsidR="00922011" w:rsidRPr="00922011">
        <w:rPr>
          <w:rFonts w:ascii="Times New Roman" w:hAnsi="Times New Roman"/>
          <w:sz w:val="24"/>
        </w:rPr>
        <w:t>H</w:t>
      </w:r>
      <w:r w:rsidR="00922011" w:rsidRPr="00922011">
        <w:rPr>
          <w:rFonts w:ascii="Times New Roman" w:hAnsi="Times New Roman"/>
          <w:sz w:val="24"/>
          <w:vertAlign w:val="subscript"/>
        </w:rPr>
        <w:t>29</w:t>
      </w:r>
      <w:r w:rsidR="00922011" w:rsidRPr="00922011">
        <w:rPr>
          <w:rFonts w:ascii="Times New Roman" w:hAnsi="Times New Roman"/>
          <w:sz w:val="24"/>
        </w:rPr>
        <w:t>FN</w:t>
      </w:r>
      <w:r w:rsidR="00922011" w:rsidRPr="00922011">
        <w:rPr>
          <w:rFonts w:ascii="Times New Roman" w:hAnsi="Times New Roman"/>
          <w:sz w:val="24"/>
          <w:vertAlign w:val="subscript"/>
        </w:rPr>
        <w:t>3</w:t>
      </w:r>
      <w:r w:rsidR="00922011" w:rsidRPr="00922011">
        <w:rPr>
          <w:rFonts w:ascii="Times New Roman" w:hAnsi="Times New Roman"/>
          <w:sz w:val="24"/>
        </w:rPr>
        <w:t>O</w:t>
      </w:r>
      <w:r w:rsidR="00922011" w:rsidRPr="00922011">
        <w:rPr>
          <w:rFonts w:ascii="Times New Roman" w:hAnsi="Times New Roman"/>
          <w:sz w:val="24"/>
          <w:vertAlign w:val="subscript"/>
        </w:rPr>
        <w:t>9</w:t>
      </w:r>
      <w:r w:rsidR="00922011" w:rsidRPr="00922011">
        <w:rPr>
          <w:rFonts w:ascii="Times New Roman" w:hAnsi="Times New Roman"/>
          <w:sz w:val="24"/>
        </w:rPr>
        <w:t>P</w:t>
      </w:r>
      <w:r w:rsidR="00C1385E" w:rsidRPr="00922011">
        <w:rPr>
          <w:rFonts w:ascii="Times New Roman" w:hAnsi="Times New Roman"/>
          <w:sz w:val="24"/>
          <w:szCs w:val="24"/>
          <w:vertAlign w:val="subscript"/>
          <w:lang w:val="en-US"/>
        </w:rPr>
        <w:t xml:space="preserve"> </w:t>
      </w:r>
      <w:r w:rsidR="00C1385E" w:rsidRPr="00922011">
        <w:rPr>
          <w:rFonts w:ascii="Times New Roman" w:hAnsi="Times New Roman"/>
          <w:sz w:val="24"/>
          <w:szCs w:val="24"/>
          <w:lang w:val="en-US"/>
        </w:rPr>
        <w:t xml:space="preserve">and a molecular weight of </w:t>
      </w:r>
      <w:r w:rsidR="00922011" w:rsidRPr="00922011">
        <w:rPr>
          <w:rFonts w:ascii="Times New Roman" w:hAnsi="Times New Roman"/>
          <w:sz w:val="24"/>
          <w:szCs w:val="24"/>
          <w:lang w:val="en-US"/>
        </w:rPr>
        <w:t>529.45</w:t>
      </w:r>
      <w:r w:rsidR="00C1385E" w:rsidRPr="00922011">
        <w:rPr>
          <w:rFonts w:ascii="Times New Roman" w:hAnsi="Times New Roman"/>
          <w:sz w:val="24"/>
          <w:szCs w:val="24"/>
          <w:lang w:val="en-US"/>
        </w:rPr>
        <w:t>.  It has the following structural formula</w:t>
      </w:r>
      <w:r w:rsidRPr="00922011">
        <w:rPr>
          <w:rFonts w:ascii="Times New Roman" w:hAnsi="Times New Roman"/>
          <w:sz w:val="24"/>
          <w:szCs w:val="24"/>
          <w:lang w:val="en-US"/>
        </w:rPr>
        <w:t>.</w:t>
      </w:r>
      <w:r w:rsidRPr="00683599">
        <w:rPr>
          <w:rFonts w:ascii="Times New Roman" w:hAnsi="Times New Roman"/>
          <w:sz w:val="24"/>
          <w:szCs w:val="24"/>
          <w:highlight w:val="yellow"/>
          <w:lang w:val="en-US"/>
        </w:rPr>
        <w:t xml:space="preserve">  </w:t>
      </w:r>
    </w:p>
    <w:p w:rsidR="00B65496" w:rsidRPr="00683599" w:rsidRDefault="00B65496" w:rsidP="00A5393D">
      <w:pPr>
        <w:jc w:val="both"/>
        <w:rPr>
          <w:rFonts w:ascii="Times New Roman" w:hAnsi="Times New Roman"/>
          <w:sz w:val="24"/>
          <w:szCs w:val="24"/>
          <w:highlight w:val="yellow"/>
          <w:lang w:val="en-US"/>
        </w:rPr>
      </w:pPr>
    </w:p>
    <w:p w:rsidR="00B65496" w:rsidRPr="00683599" w:rsidRDefault="00946408" w:rsidP="00A5393D">
      <w:pPr>
        <w:jc w:val="both"/>
        <w:rPr>
          <w:rFonts w:ascii="Times New Roman" w:hAnsi="Times New Roman"/>
          <w:sz w:val="24"/>
          <w:szCs w:val="24"/>
          <w:highlight w:val="yellow"/>
        </w:rPr>
      </w:pPr>
      <w:r w:rsidRPr="00030AB5">
        <w:rPr>
          <w:sz w:val="24"/>
        </w:rPr>
        <w:object w:dxaOrig="3589" w:dyaOrig="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Sofosbuvir" style="width:213pt;height:126pt" o:ole="">
            <v:imagedata r:id="rId9" o:title=""/>
          </v:shape>
          <o:OLEObject Type="Embed" ProgID="ChemDraw.Document.6.0" ShapeID="_x0000_i1025" DrawAspect="Content" ObjectID="_1470831716" r:id="rId10"/>
        </w:object>
      </w:r>
    </w:p>
    <w:p w:rsidR="00B65496" w:rsidRPr="00683599" w:rsidRDefault="00B65496" w:rsidP="00A5393D">
      <w:pPr>
        <w:jc w:val="both"/>
        <w:rPr>
          <w:rFonts w:ascii="Times New Roman" w:hAnsi="Times New Roman"/>
          <w:b/>
          <w:sz w:val="24"/>
          <w:szCs w:val="24"/>
          <w:highlight w:val="yellow"/>
        </w:rPr>
      </w:pPr>
    </w:p>
    <w:p w:rsidR="00B65496" w:rsidRPr="00922011" w:rsidRDefault="00B65496" w:rsidP="00A5393D">
      <w:pPr>
        <w:jc w:val="both"/>
        <w:rPr>
          <w:rFonts w:ascii="Times New Roman" w:hAnsi="Times New Roman"/>
          <w:sz w:val="24"/>
          <w:szCs w:val="24"/>
          <w:highlight w:val="yellow"/>
        </w:rPr>
      </w:pPr>
      <w:r w:rsidRPr="00922011">
        <w:rPr>
          <w:rFonts w:ascii="Times New Roman" w:hAnsi="Times New Roman"/>
          <w:sz w:val="24"/>
          <w:szCs w:val="24"/>
        </w:rPr>
        <w:t xml:space="preserve">CAS registry number: </w:t>
      </w:r>
      <w:r w:rsidR="00922011" w:rsidRPr="00922011">
        <w:rPr>
          <w:rFonts w:ascii="Times New Roman" w:hAnsi="Times New Roman"/>
          <w:sz w:val="24"/>
          <w:szCs w:val="24"/>
        </w:rPr>
        <w:t>1190307-88-0</w:t>
      </w:r>
    </w:p>
    <w:p w:rsidR="00B65496" w:rsidRPr="005042FB" w:rsidRDefault="00B65496" w:rsidP="00A5393D">
      <w:pPr>
        <w:jc w:val="both"/>
        <w:rPr>
          <w:rFonts w:ascii="Times New Roman" w:hAnsi="Times New Roman"/>
          <w:b/>
          <w:sz w:val="24"/>
          <w:szCs w:val="24"/>
        </w:rPr>
      </w:pPr>
    </w:p>
    <w:p w:rsidR="001B7160" w:rsidRPr="00A078FC" w:rsidRDefault="005042FB" w:rsidP="00A5393D">
      <w:pPr>
        <w:jc w:val="both"/>
        <w:rPr>
          <w:rFonts w:ascii="Times New Roman" w:hAnsi="Times New Roman"/>
          <w:sz w:val="24"/>
          <w:szCs w:val="24"/>
          <w:lang w:val="en-US"/>
        </w:rPr>
      </w:pPr>
      <w:proofErr w:type="spellStart"/>
      <w:r w:rsidRPr="005042FB">
        <w:rPr>
          <w:rFonts w:ascii="Times New Roman" w:hAnsi="Times New Roman"/>
          <w:sz w:val="24"/>
          <w:szCs w:val="24"/>
          <w:shd w:val="clear" w:color="auto" w:fill="FFFFFF"/>
        </w:rPr>
        <w:t>Sofosbuvir</w:t>
      </w:r>
      <w:proofErr w:type="spellEnd"/>
      <w:r w:rsidR="00B65496" w:rsidRPr="005042FB">
        <w:rPr>
          <w:rFonts w:ascii="Times New Roman" w:hAnsi="Times New Roman"/>
          <w:sz w:val="24"/>
          <w:szCs w:val="24"/>
          <w:shd w:val="clear" w:color="auto" w:fill="FFFFFF"/>
          <w:lang w:val="en-US"/>
        </w:rPr>
        <w:t xml:space="preserve"> is a white to </w:t>
      </w:r>
      <w:r w:rsidRPr="005042FB">
        <w:rPr>
          <w:rFonts w:ascii="Times New Roman" w:hAnsi="Times New Roman"/>
          <w:sz w:val="24"/>
          <w:szCs w:val="24"/>
          <w:shd w:val="clear" w:color="auto" w:fill="FFFFFF"/>
          <w:lang w:val="en-US"/>
        </w:rPr>
        <w:t>off-white powder</w:t>
      </w:r>
      <w:r w:rsidR="00B65496" w:rsidRPr="005042FB">
        <w:rPr>
          <w:rFonts w:ascii="Times New Roman" w:hAnsi="Times New Roman"/>
          <w:sz w:val="24"/>
          <w:szCs w:val="24"/>
          <w:shd w:val="clear" w:color="auto" w:fill="FFFFFF"/>
          <w:lang w:val="en-US"/>
        </w:rPr>
        <w:t xml:space="preserve"> with a solubility of </w:t>
      </w:r>
      <w:r w:rsidRPr="005042FB">
        <w:rPr>
          <w:rFonts w:ascii="Times New Roman" w:hAnsi="Times New Roman"/>
          <w:sz w:val="24"/>
          <w:szCs w:val="24"/>
          <w:shd w:val="clear" w:color="auto" w:fill="FFFFFF"/>
          <w:lang w:val="en-US"/>
        </w:rPr>
        <w:t>≥ 2</w:t>
      </w:r>
      <w:r w:rsidR="00B601D6">
        <w:rPr>
          <w:rFonts w:ascii="Times New Roman" w:hAnsi="Times New Roman"/>
          <w:sz w:val="24"/>
          <w:szCs w:val="24"/>
          <w:shd w:val="clear" w:color="auto" w:fill="FFFFFF"/>
          <w:lang w:val="en-US"/>
        </w:rPr>
        <w:t xml:space="preserve"> mg</w:t>
      </w:r>
      <w:r w:rsidR="00B65496" w:rsidRPr="005042FB">
        <w:rPr>
          <w:rFonts w:ascii="Times New Roman" w:hAnsi="Times New Roman"/>
          <w:sz w:val="24"/>
          <w:szCs w:val="24"/>
          <w:shd w:val="clear" w:color="auto" w:fill="FFFFFF"/>
          <w:lang w:val="en-US"/>
        </w:rPr>
        <w:t xml:space="preserve">/mL </w:t>
      </w:r>
      <w:r w:rsidRPr="005042FB">
        <w:rPr>
          <w:rFonts w:ascii="Times New Roman" w:hAnsi="Times New Roman"/>
          <w:sz w:val="24"/>
          <w:szCs w:val="24"/>
          <w:shd w:val="clear" w:color="auto" w:fill="FFFFFF"/>
          <w:lang w:val="en-US"/>
        </w:rPr>
        <w:t>across the pH range of 2-7.7 at 37 °C</w:t>
      </w:r>
      <w:r w:rsidRPr="005042FB">
        <w:rPr>
          <w:rFonts w:ascii="Times New Roman" w:hAnsi="Times New Roman"/>
          <w:sz w:val="24"/>
          <w:szCs w:val="24"/>
          <w:lang w:val="en-US"/>
        </w:rPr>
        <w:t>. The partition coefficient (</w:t>
      </w:r>
      <w:r w:rsidR="00A20A28">
        <w:rPr>
          <w:rFonts w:ascii="Times New Roman" w:hAnsi="Times New Roman"/>
          <w:sz w:val="24"/>
          <w:szCs w:val="24"/>
          <w:lang w:val="en-US"/>
        </w:rPr>
        <w:t>log P</w:t>
      </w:r>
      <w:r w:rsidRPr="005042FB">
        <w:rPr>
          <w:rFonts w:ascii="Times New Roman" w:hAnsi="Times New Roman"/>
          <w:sz w:val="24"/>
          <w:szCs w:val="24"/>
          <w:lang w:val="en-US"/>
        </w:rPr>
        <w:t xml:space="preserve">) for </w:t>
      </w:r>
      <w:proofErr w:type="spellStart"/>
      <w:r w:rsidRPr="005042FB">
        <w:rPr>
          <w:rFonts w:ascii="Times New Roman" w:hAnsi="Times New Roman"/>
          <w:sz w:val="24"/>
          <w:szCs w:val="24"/>
          <w:lang w:val="en-US"/>
        </w:rPr>
        <w:t>sofosbuvir</w:t>
      </w:r>
      <w:proofErr w:type="spellEnd"/>
      <w:r w:rsidRPr="005042FB">
        <w:rPr>
          <w:rFonts w:ascii="Times New Roman" w:hAnsi="Times New Roman"/>
          <w:sz w:val="24"/>
          <w:szCs w:val="24"/>
          <w:lang w:val="en-US"/>
        </w:rPr>
        <w:t xml:space="preserve"> is 1.62 and the </w:t>
      </w:r>
      <w:proofErr w:type="spellStart"/>
      <w:r w:rsidRPr="005042FB">
        <w:rPr>
          <w:rFonts w:ascii="Times New Roman" w:hAnsi="Times New Roman"/>
          <w:sz w:val="24"/>
          <w:szCs w:val="24"/>
          <w:lang w:val="en-US"/>
        </w:rPr>
        <w:t>pKa</w:t>
      </w:r>
      <w:proofErr w:type="spellEnd"/>
      <w:r w:rsidRPr="005042FB">
        <w:rPr>
          <w:rFonts w:ascii="Times New Roman" w:hAnsi="Times New Roman"/>
          <w:sz w:val="24"/>
          <w:szCs w:val="24"/>
          <w:lang w:val="en-US"/>
        </w:rPr>
        <w:t xml:space="preserve"> is 9.3</w:t>
      </w:r>
      <w:r w:rsidR="009D5863">
        <w:rPr>
          <w:rFonts w:ascii="Times New Roman" w:hAnsi="Times New Roman"/>
          <w:sz w:val="24"/>
          <w:szCs w:val="24"/>
          <w:lang w:val="en-US"/>
        </w:rPr>
        <w:t>.</w:t>
      </w:r>
    </w:p>
    <w:p w:rsidR="00F56095" w:rsidRPr="005042FB" w:rsidRDefault="00F56095" w:rsidP="00A5393D">
      <w:pPr>
        <w:rPr>
          <w:rFonts w:ascii="Times New Roman" w:hAnsi="Times New Roman"/>
          <w:sz w:val="24"/>
          <w:szCs w:val="24"/>
          <w:lang w:val="en-US"/>
        </w:rPr>
      </w:pPr>
    </w:p>
    <w:p w:rsidR="001B7160" w:rsidRDefault="001B7160" w:rsidP="00A5393D">
      <w:pPr>
        <w:jc w:val="both"/>
        <w:rPr>
          <w:rFonts w:ascii="Times New Roman" w:hAnsi="Times New Roman"/>
          <w:sz w:val="24"/>
          <w:szCs w:val="24"/>
        </w:rPr>
      </w:pPr>
    </w:p>
    <w:p w:rsidR="007254DD" w:rsidRPr="008B7865" w:rsidRDefault="00D21279" w:rsidP="00A5393D">
      <w:pPr>
        <w:jc w:val="both"/>
        <w:rPr>
          <w:rFonts w:ascii="Times New Roman" w:hAnsi="Times New Roman"/>
          <w:noProof/>
          <w:color w:val="FF0000"/>
          <w:sz w:val="24"/>
          <w:szCs w:val="24"/>
          <w:u w:val="single"/>
        </w:rPr>
      </w:pPr>
      <w:r>
        <w:rPr>
          <w:rFonts w:ascii="Times New Roman" w:hAnsi="Times New Roman"/>
          <w:b/>
          <w:noProof/>
          <w:sz w:val="24"/>
          <w:szCs w:val="24"/>
        </w:rPr>
        <w:t>SOVALDI</w:t>
      </w:r>
      <w:r w:rsidR="00E07F0F" w:rsidRPr="008B7865">
        <w:rPr>
          <w:rFonts w:ascii="Times New Roman" w:hAnsi="Times New Roman"/>
          <w:b/>
          <w:noProof/>
          <w:sz w:val="24"/>
          <w:szCs w:val="24"/>
        </w:rPr>
        <w:t xml:space="preserve"> </w:t>
      </w:r>
      <w:r w:rsidR="007254DD" w:rsidRPr="008B7865">
        <w:rPr>
          <w:rFonts w:ascii="Times New Roman" w:hAnsi="Times New Roman"/>
          <w:noProof/>
          <w:sz w:val="24"/>
          <w:szCs w:val="24"/>
        </w:rPr>
        <w:t xml:space="preserve">tablets contain the following ingredients as </w:t>
      </w:r>
      <w:r w:rsidR="007254DD" w:rsidRPr="008B7865">
        <w:rPr>
          <w:rFonts w:ascii="Times New Roman" w:hAnsi="Times New Roman"/>
          <w:noProof/>
          <w:sz w:val="24"/>
          <w:szCs w:val="24"/>
          <w:u w:val="single"/>
        </w:rPr>
        <w:t>excipients:</w:t>
      </w:r>
    </w:p>
    <w:p w:rsidR="001276D0" w:rsidRDefault="007254DD" w:rsidP="00A5393D">
      <w:pPr>
        <w:jc w:val="both"/>
        <w:rPr>
          <w:rFonts w:ascii="Times New Roman" w:hAnsi="Times New Roman"/>
          <w:noProof/>
          <w:sz w:val="24"/>
          <w:szCs w:val="24"/>
          <w:lang w:val="en-US"/>
        </w:rPr>
      </w:pPr>
      <w:r w:rsidRPr="008B7865">
        <w:rPr>
          <w:rFonts w:ascii="Times New Roman" w:hAnsi="Times New Roman"/>
          <w:i/>
          <w:noProof/>
          <w:sz w:val="24"/>
          <w:szCs w:val="24"/>
        </w:rPr>
        <w:t>Tablet core:</w:t>
      </w:r>
      <w:r w:rsidR="006E4032">
        <w:rPr>
          <w:rFonts w:ascii="Times New Roman" w:hAnsi="Times New Roman"/>
          <w:i/>
          <w:noProof/>
          <w:sz w:val="24"/>
          <w:szCs w:val="24"/>
        </w:rPr>
        <w:t xml:space="preserve"> </w:t>
      </w:r>
      <w:r w:rsidR="00683599">
        <w:rPr>
          <w:rFonts w:ascii="Times New Roman" w:hAnsi="Times New Roman"/>
          <w:noProof/>
          <w:sz w:val="24"/>
          <w:szCs w:val="24"/>
        </w:rPr>
        <w:t xml:space="preserve">mannitol, </w:t>
      </w:r>
      <w:r w:rsidR="00AA3442">
        <w:rPr>
          <w:rFonts w:ascii="Times New Roman" w:hAnsi="Times New Roman"/>
          <w:noProof/>
          <w:sz w:val="24"/>
          <w:szCs w:val="24"/>
          <w:lang w:val="en-US"/>
        </w:rPr>
        <w:t>microcrystalline cellulose</w:t>
      </w:r>
      <w:r w:rsidR="006D0B4A">
        <w:rPr>
          <w:rFonts w:ascii="Times New Roman" w:hAnsi="Times New Roman"/>
          <w:noProof/>
          <w:sz w:val="24"/>
          <w:szCs w:val="24"/>
          <w:lang w:val="en-US"/>
        </w:rPr>
        <w:t>,</w:t>
      </w:r>
      <w:r w:rsidR="00683599">
        <w:rPr>
          <w:rFonts w:ascii="Times New Roman" w:hAnsi="Times New Roman"/>
          <w:noProof/>
          <w:sz w:val="24"/>
          <w:szCs w:val="24"/>
        </w:rPr>
        <w:t xml:space="preserve"> </w:t>
      </w:r>
      <w:r w:rsidR="006E4032">
        <w:rPr>
          <w:rFonts w:ascii="Times New Roman" w:hAnsi="Times New Roman"/>
          <w:noProof/>
          <w:sz w:val="24"/>
          <w:szCs w:val="24"/>
        </w:rPr>
        <w:t>crosc</w:t>
      </w:r>
      <w:r w:rsidR="009409A5">
        <w:rPr>
          <w:rFonts w:ascii="Times New Roman" w:hAnsi="Times New Roman"/>
          <w:noProof/>
          <w:sz w:val="24"/>
          <w:szCs w:val="24"/>
        </w:rPr>
        <w:t xml:space="preserve">armellose sodium, </w:t>
      </w:r>
      <w:r w:rsidR="00683599">
        <w:rPr>
          <w:rFonts w:ascii="Times New Roman" w:hAnsi="Times New Roman"/>
          <w:noProof/>
          <w:sz w:val="24"/>
          <w:szCs w:val="24"/>
        </w:rPr>
        <w:t xml:space="preserve">silicon dioxide and </w:t>
      </w:r>
      <w:r w:rsidR="006E4032">
        <w:rPr>
          <w:rFonts w:ascii="Times New Roman" w:hAnsi="Times New Roman"/>
          <w:noProof/>
          <w:sz w:val="24"/>
          <w:szCs w:val="24"/>
        </w:rPr>
        <w:t xml:space="preserve">magnesium </w:t>
      </w:r>
      <w:r w:rsidR="001276D0">
        <w:rPr>
          <w:rFonts w:ascii="Times New Roman" w:hAnsi="Times New Roman"/>
          <w:noProof/>
          <w:sz w:val="24"/>
          <w:szCs w:val="24"/>
        </w:rPr>
        <w:t>s</w:t>
      </w:r>
      <w:r w:rsidR="006E4032">
        <w:rPr>
          <w:rFonts w:ascii="Times New Roman" w:hAnsi="Times New Roman"/>
          <w:noProof/>
          <w:sz w:val="24"/>
          <w:szCs w:val="24"/>
        </w:rPr>
        <w:t>tearate</w:t>
      </w:r>
      <w:r w:rsidR="00683599">
        <w:rPr>
          <w:rFonts w:ascii="Times New Roman" w:hAnsi="Times New Roman"/>
          <w:noProof/>
          <w:sz w:val="24"/>
          <w:szCs w:val="24"/>
          <w:lang w:val="en-US"/>
        </w:rPr>
        <w:t>.</w:t>
      </w:r>
    </w:p>
    <w:p w:rsidR="007254DD" w:rsidRPr="00E21D68" w:rsidRDefault="007254DD" w:rsidP="00A5393D">
      <w:pPr>
        <w:jc w:val="both"/>
        <w:rPr>
          <w:rFonts w:ascii="Times New Roman" w:hAnsi="Times New Roman"/>
          <w:iCs/>
          <w:noProof/>
          <w:sz w:val="24"/>
          <w:szCs w:val="24"/>
        </w:rPr>
      </w:pPr>
      <w:r w:rsidRPr="00E21D68">
        <w:rPr>
          <w:rFonts w:ascii="Times New Roman" w:hAnsi="Times New Roman"/>
          <w:i/>
          <w:noProof/>
          <w:sz w:val="24"/>
          <w:szCs w:val="24"/>
        </w:rPr>
        <w:t>Film</w:t>
      </w:r>
      <w:r w:rsidRPr="00E21D68">
        <w:rPr>
          <w:rFonts w:ascii="Times New Roman" w:hAnsi="Times New Roman"/>
          <w:i/>
          <w:noProof/>
          <w:sz w:val="24"/>
          <w:szCs w:val="24"/>
        </w:rPr>
        <w:noBreakHyphen/>
        <w:t xml:space="preserve">coating: </w:t>
      </w:r>
      <w:r w:rsidR="00FB788D" w:rsidRPr="00E21D68">
        <w:rPr>
          <w:lang w:val="en-US"/>
        </w:rPr>
        <w:t xml:space="preserve"> </w:t>
      </w:r>
      <w:r w:rsidR="00FB788D" w:rsidRPr="00E21D68">
        <w:rPr>
          <w:rFonts w:ascii="Times New Roman" w:hAnsi="Times New Roman"/>
          <w:noProof/>
          <w:sz w:val="24"/>
          <w:szCs w:val="24"/>
          <w:lang w:val="en-US"/>
        </w:rPr>
        <w:t xml:space="preserve">polyvinyl alcohol, </w:t>
      </w:r>
      <w:r w:rsidR="002A3531">
        <w:rPr>
          <w:rFonts w:ascii="Times New Roman" w:hAnsi="Times New Roman"/>
          <w:noProof/>
          <w:sz w:val="24"/>
          <w:szCs w:val="24"/>
          <w:lang w:val="en-US"/>
        </w:rPr>
        <w:t xml:space="preserve"> titanium dioxide, macrogol</w:t>
      </w:r>
      <w:r w:rsidR="00C1700D">
        <w:rPr>
          <w:rFonts w:ascii="Times New Roman" w:hAnsi="Times New Roman"/>
          <w:noProof/>
          <w:sz w:val="24"/>
          <w:szCs w:val="24"/>
          <w:lang w:val="en-US"/>
        </w:rPr>
        <w:t xml:space="preserve"> </w:t>
      </w:r>
      <w:r w:rsidR="00D2096A">
        <w:rPr>
          <w:rFonts w:ascii="Times New Roman" w:hAnsi="Times New Roman"/>
          <w:noProof/>
          <w:sz w:val="24"/>
          <w:szCs w:val="24"/>
          <w:lang w:val="en-US"/>
        </w:rPr>
        <w:t>3350</w:t>
      </w:r>
      <w:r w:rsidR="002A3531">
        <w:rPr>
          <w:rFonts w:ascii="Times New Roman" w:hAnsi="Times New Roman"/>
          <w:noProof/>
          <w:sz w:val="24"/>
          <w:szCs w:val="24"/>
          <w:lang w:val="en-US"/>
        </w:rPr>
        <w:t xml:space="preserve">, </w:t>
      </w:r>
      <w:r w:rsidR="00AA3442">
        <w:rPr>
          <w:rFonts w:ascii="Times New Roman" w:hAnsi="Times New Roman"/>
          <w:noProof/>
          <w:sz w:val="24"/>
          <w:szCs w:val="24"/>
          <w:lang w:val="en-US"/>
        </w:rPr>
        <w:t>talc purified</w:t>
      </w:r>
      <w:r w:rsidR="00C634B3">
        <w:rPr>
          <w:rFonts w:ascii="Times New Roman" w:hAnsi="Times New Roman"/>
          <w:noProof/>
          <w:sz w:val="24"/>
          <w:szCs w:val="24"/>
          <w:lang w:val="en-US"/>
        </w:rPr>
        <w:t>,</w:t>
      </w:r>
      <w:r w:rsidR="007E05D5">
        <w:rPr>
          <w:rFonts w:ascii="Times New Roman" w:hAnsi="Times New Roman"/>
          <w:noProof/>
          <w:sz w:val="24"/>
          <w:szCs w:val="24"/>
          <w:lang w:val="en-US"/>
        </w:rPr>
        <w:t xml:space="preserve"> </w:t>
      </w:r>
      <w:r w:rsidR="002A3531">
        <w:rPr>
          <w:rFonts w:ascii="Times New Roman" w:hAnsi="Times New Roman"/>
          <w:noProof/>
          <w:sz w:val="24"/>
          <w:szCs w:val="24"/>
          <w:lang w:val="en-US"/>
        </w:rPr>
        <w:t xml:space="preserve">and </w:t>
      </w:r>
      <w:r w:rsidR="00FB788D" w:rsidRPr="00E21D68">
        <w:rPr>
          <w:rFonts w:ascii="Times New Roman" w:hAnsi="Times New Roman"/>
          <w:noProof/>
          <w:sz w:val="24"/>
          <w:szCs w:val="24"/>
          <w:lang w:val="en-US"/>
        </w:rPr>
        <w:t>iron oxide</w:t>
      </w:r>
      <w:r w:rsidR="00386F7F">
        <w:rPr>
          <w:rFonts w:ascii="Times New Roman" w:hAnsi="Times New Roman"/>
          <w:noProof/>
          <w:sz w:val="24"/>
          <w:szCs w:val="24"/>
          <w:lang w:val="en-US"/>
        </w:rPr>
        <w:t xml:space="preserve"> yellow</w:t>
      </w:r>
      <w:r w:rsidR="00B601D6">
        <w:rPr>
          <w:rFonts w:ascii="Times New Roman" w:hAnsi="Times New Roman"/>
          <w:noProof/>
          <w:sz w:val="24"/>
          <w:szCs w:val="24"/>
          <w:lang w:val="en-US"/>
        </w:rPr>
        <w:t>.</w:t>
      </w:r>
    </w:p>
    <w:p w:rsidR="007254DD" w:rsidRPr="00E21D68" w:rsidRDefault="007254DD" w:rsidP="00A5393D">
      <w:pPr>
        <w:jc w:val="both"/>
        <w:rPr>
          <w:rFonts w:ascii="Times New Roman" w:hAnsi="Times New Roman"/>
          <w:noProof/>
          <w:color w:val="FF0000"/>
          <w:sz w:val="24"/>
          <w:szCs w:val="24"/>
        </w:rPr>
      </w:pPr>
    </w:p>
    <w:p w:rsidR="007254DD" w:rsidRPr="008B7865" w:rsidRDefault="007254DD" w:rsidP="00A5393D">
      <w:pPr>
        <w:jc w:val="both"/>
        <w:rPr>
          <w:rFonts w:ascii="Times New Roman" w:hAnsi="Times New Roman"/>
          <w:noProof/>
          <w:sz w:val="24"/>
          <w:szCs w:val="24"/>
        </w:rPr>
      </w:pPr>
      <w:r w:rsidRPr="00E21D68">
        <w:rPr>
          <w:rFonts w:ascii="Times New Roman" w:hAnsi="Times New Roman"/>
          <w:noProof/>
          <w:sz w:val="24"/>
          <w:szCs w:val="24"/>
        </w:rPr>
        <w:t xml:space="preserve">Each </w:t>
      </w:r>
      <w:r w:rsidR="00D21279">
        <w:rPr>
          <w:rFonts w:ascii="Times New Roman" w:hAnsi="Times New Roman"/>
          <w:noProof/>
          <w:sz w:val="24"/>
          <w:szCs w:val="24"/>
        </w:rPr>
        <w:t>SOVALDI</w:t>
      </w:r>
      <w:r w:rsidR="00E07F0F" w:rsidRPr="00E21D68">
        <w:rPr>
          <w:rFonts w:ascii="Times New Roman" w:hAnsi="Times New Roman"/>
          <w:noProof/>
          <w:sz w:val="24"/>
          <w:szCs w:val="24"/>
        </w:rPr>
        <w:t xml:space="preserve"> </w:t>
      </w:r>
      <w:r w:rsidRPr="00E21D68">
        <w:rPr>
          <w:rFonts w:ascii="Times New Roman" w:hAnsi="Times New Roman"/>
          <w:noProof/>
          <w:sz w:val="24"/>
          <w:szCs w:val="24"/>
        </w:rPr>
        <w:t xml:space="preserve">tablet is </w:t>
      </w:r>
      <w:r w:rsidR="00A534A2" w:rsidRPr="00E21D68">
        <w:rPr>
          <w:rFonts w:ascii="Times New Roman" w:hAnsi="Times New Roman"/>
          <w:noProof/>
          <w:sz w:val="24"/>
          <w:szCs w:val="24"/>
        </w:rPr>
        <w:t>film-coated</w:t>
      </w:r>
      <w:r w:rsidRPr="00E21D68">
        <w:rPr>
          <w:rFonts w:ascii="Times New Roman" w:hAnsi="Times New Roman"/>
          <w:noProof/>
          <w:sz w:val="24"/>
          <w:szCs w:val="24"/>
        </w:rPr>
        <w:t xml:space="preserve"> and </w:t>
      </w:r>
      <w:r w:rsidR="002A3531">
        <w:rPr>
          <w:rFonts w:ascii="Times New Roman" w:hAnsi="Times New Roman"/>
          <w:noProof/>
          <w:sz w:val="24"/>
          <w:szCs w:val="24"/>
        </w:rPr>
        <w:t>yellow</w:t>
      </w:r>
      <w:r w:rsidRPr="00E21D68">
        <w:rPr>
          <w:rFonts w:ascii="Times New Roman" w:hAnsi="Times New Roman"/>
          <w:noProof/>
          <w:sz w:val="24"/>
          <w:szCs w:val="24"/>
        </w:rPr>
        <w:t xml:space="preserve"> in colour.  </w:t>
      </w:r>
      <w:r w:rsidR="00831BD4">
        <w:rPr>
          <w:rFonts w:ascii="Times New Roman" w:hAnsi="Times New Roman"/>
          <w:noProof/>
          <w:sz w:val="24"/>
          <w:szCs w:val="24"/>
        </w:rPr>
        <w:t xml:space="preserve">The </w:t>
      </w:r>
      <w:r w:rsidR="002A3531">
        <w:rPr>
          <w:rFonts w:ascii="Times New Roman" w:hAnsi="Times New Roman"/>
          <w:noProof/>
          <w:sz w:val="24"/>
          <w:szCs w:val="24"/>
        </w:rPr>
        <w:t>tablets are</w:t>
      </w:r>
      <w:r w:rsidRPr="00E21D68">
        <w:rPr>
          <w:rFonts w:ascii="Times New Roman" w:hAnsi="Times New Roman"/>
          <w:noProof/>
          <w:sz w:val="24"/>
          <w:szCs w:val="24"/>
        </w:rPr>
        <w:t xml:space="preserve"> </w:t>
      </w:r>
      <w:r w:rsidR="002A3531">
        <w:rPr>
          <w:rFonts w:ascii="Times New Roman" w:hAnsi="Times New Roman"/>
          <w:noProof/>
          <w:sz w:val="24"/>
          <w:szCs w:val="24"/>
        </w:rPr>
        <w:t xml:space="preserve">capsule </w:t>
      </w:r>
      <w:r w:rsidR="00E23D5F">
        <w:rPr>
          <w:rFonts w:ascii="Times New Roman" w:hAnsi="Times New Roman"/>
          <w:noProof/>
          <w:sz w:val="24"/>
          <w:szCs w:val="24"/>
        </w:rPr>
        <w:t>shaped</w:t>
      </w:r>
      <w:r w:rsidRPr="00E21D68">
        <w:rPr>
          <w:rFonts w:ascii="Times New Roman" w:hAnsi="Times New Roman"/>
          <w:noProof/>
          <w:sz w:val="24"/>
          <w:szCs w:val="24"/>
        </w:rPr>
        <w:t xml:space="preserve"> debossed with </w:t>
      </w:r>
      <w:r w:rsidR="00B601D6">
        <w:rPr>
          <w:rFonts w:ascii="Times New Roman" w:hAnsi="Times New Roman"/>
          <w:noProof/>
          <w:sz w:val="24"/>
          <w:szCs w:val="24"/>
        </w:rPr>
        <w:t>“</w:t>
      </w:r>
      <w:r w:rsidR="001B7160" w:rsidRPr="00E21D68">
        <w:rPr>
          <w:rFonts w:ascii="Times New Roman" w:hAnsi="Times New Roman"/>
          <w:noProof/>
          <w:sz w:val="24"/>
          <w:szCs w:val="24"/>
        </w:rPr>
        <w:t>GSI</w:t>
      </w:r>
      <w:r w:rsidR="00B601D6">
        <w:rPr>
          <w:rFonts w:ascii="Times New Roman" w:hAnsi="Times New Roman"/>
          <w:noProof/>
          <w:sz w:val="24"/>
          <w:szCs w:val="24"/>
        </w:rPr>
        <w:t>”</w:t>
      </w:r>
      <w:r w:rsidRPr="00E21D68">
        <w:rPr>
          <w:rFonts w:ascii="Times New Roman" w:hAnsi="Times New Roman"/>
          <w:noProof/>
          <w:sz w:val="24"/>
          <w:szCs w:val="24"/>
        </w:rPr>
        <w:t xml:space="preserve"> on one side and</w:t>
      </w:r>
      <w:r w:rsidR="00A078FC" w:rsidRPr="00E21D68">
        <w:rPr>
          <w:rFonts w:ascii="Times New Roman" w:hAnsi="Times New Roman"/>
          <w:noProof/>
          <w:sz w:val="24"/>
          <w:szCs w:val="24"/>
        </w:rPr>
        <w:t xml:space="preserve"> </w:t>
      </w:r>
      <w:r w:rsidR="00FB788D" w:rsidRPr="00E21D68">
        <w:rPr>
          <w:rFonts w:ascii="Times New Roman" w:hAnsi="Times New Roman"/>
          <w:sz w:val="24"/>
          <w:szCs w:val="24"/>
        </w:rPr>
        <w:t>the number “</w:t>
      </w:r>
      <w:r w:rsidR="002A3531">
        <w:rPr>
          <w:rFonts w:ascii="Times New Roman" w:hAnsi="Times New Roman"/>
          <w:sz w:val="24"/>
          <w:szCs w:val="24"/>
        </w:rPr>
        <w:t>7977</w:t>
      </w:r>
      <w:r w:rsidR="00FB788D" w:rsidRPr="00E21D68">
        <w:rPr>
          <w:rFonts w:ascii="Times New Roman" w:hAnsi="Times New Roman"/>
          <w:sz w:val="24"/>
          <w:szCs w:val="24"/>
        </w:rPr>
        <w:t>”</w:t>
      </w:r>
      <w:r w:rsidR="00A078FC" w:rsidRPr="00E21D68">
        <w:rPr>
          <w:rFonts w:ascii="Times New Roman" w:hAnsi="Times New Roman"/>
          <w:sz w:val="24"/>
          <w:szCs w:val="24"/>
        </w:rPr>
        <w:t xml:space="preserve"> </w:t>
      </w:r>
      <w:r w:rsidR="00FB788D" w:rsidRPr="00E21D68">
        <w:rPr>
          <w:rFonts w:ascii="Times New Roman" w:hAnsi="Times New Roman"/>
          <w:sz w:val="24"/>
          <w:szCs w:val="24"/>
        </w:rPr>
        <w:t>on the other side</w:t>
      </w:r>
      <w:r w:rsidR="002A3531">
        <w:rPr>
          <w:rFonts w:ascii="Times New Roman" w:hAnsi="Times New Roman"/>
          <w:noProof/>
          <w:sz w:val="24"/>
          <w:szCs w:val="24"/>
        </w:rPr>
        <w:t xml:space="preserve">.  </w:t>
      </w:r>
      <w:r w:rsidRPr="00E21D68">
        <w:rPr>
          <w:rFonts w:ascii="Times New Roman" w:hAnsi="Times New Roman"/>
          <w:noProof/>
          <w:sz w:val="24"/>
          <w:szCs w:val="24"/>
        </w:rPr>
        <w:t xml:space="preserve">The tablets are supplied in bottles with </w:t>
      </w:r>
      <w:r w:rsidR="00A078FC" w:rsidRPr="00E21D68">
        <w:rPr>
          <w:rFonts w:ascii="Times New Roman" w:hAnsi="Times New Roman"/>
          <w:noProof/>
          <w:sz w:val="24"/>
          <w:szCs w:val="24"/>
        </w:rPr>
        <w:t>child res</w:t>
      </w:r>
      <w:r w:rsidR="00A078FC" w:rsidRPr="00A078FC">
        <w:rPr>
          <w:rFonts w:ascii="Times New Roman" w:hAnsi="Times New Roman"/>
          <w:noProof/>
          <w:sz w:val="24"/>
          <w:szCs w:val="24"/>
        </w:rPr>
        <w:t>istant</w:t>
      </w:r>
      <w:r w:rsidRPr="008B7865">
        <w:rPr>
          <w:rFonts w:ascii="Times New Roman" w:hAnsi="Times New Roman"/>
          <w:noProof/>
          <w:sz w:val="24"/>
          <w:szCs w:val="24"/>
        </w:rPr>
        <w:t xml:space="preserve"> closures.</w:t>
      </w:r>
    </w:p>
    <w:p w:rsidR="007254DD" w:rsidRPr="008B7865" w:rsidRDefault="007254DD" w:rsidP="00A5393D">
      <w:pPr>
        <w:jc w:val="both"/>
        <w:rPr>
          <w:rFonts w:ascii="Times New Roman" w:hAnsi="Times New Roman"/>
          <w:noProof/>
          <w:color w:val="FF0000"/>
          <w:sz w:val="24"/>
          <w:szCs w:val="24"/>
        </w:rPr>
      </w:pPr>
    </w:p>
    <w:p w:rsidR="00074F9A" w:rsidRDefault="00074F9A" w:rsidP="00B74D17">
      <w:pPr>
        <w:jc w:val="both"/>
        <w:rPr>
          <w:rFonts w:ascii="Times New Roman" w:hAnsi="Times New Roman"/>
          <w:b/>
          <w:noProof/>
          <w:sz w:val="24"/>
          <w:szCs w:val="24"/>
        </w:rPr>
      </w:pPr>
    </w:p>
    <w:p w:rsidR="007254DD" w:rsidRPr="008B7865" w:rsidRDefault="007254DD" w:rsidP="00B74D17">
      <w:pPr>
        <w:jc w:val="both"/>
        <w:rPr>
          <w:rFonts w:ascii="Times New Roman" w:hAnsi="Times New Roman"/>
          <w:b/>
          <w:noProof/>
          <w:sz w:val="24"/>
          <w:szCs w:val="24"/>
        </w:rPr>
      </w:pPr>
      <w:r w:rsidRPr="008B7865">
        <w:rPr>
          <w:rFonts w:ascii="Times New Roman" w:hAnsi="Times New Roman"/>
          <w:b/>
          <w:noProof/>
          <w:sz w:val="24"/>
          <w:szCs w:val="24"/>
        </w:rPr>
        <w:lastRenderedPageBreak/>
        <w:t>PHARMACOLOGY</w:t>
      </w:r>
    </w:p>
    <w:p w:rsidR="00945815" w:rsidRPr="00B4183C" w:rsidRDefault="00945815" w:rsidP="00B74D17">
      <w:pPr>
        <w:jc w:val="both"/>
        <w:rPr>
          <w:rFonts w:ascii="Times New Roman" w:hAnsi="Times New Roman"/>
          <w:noProof/>
          <w:sz w:val="24"/>
          <w:szCs w:val="24"/>
          <w:lang w:val="en-GB"/>
        </w:rPr>
      </w:pPr>
      <w:r w:rsidRPr="00B4183C">
        <w:rPr>
          <w:rFonts w:ascii="Times New Roman" w:hAnsi="Times New Roman"/>
          <w:i/>
          <w:noProof/>
          <w:sz w:val="24"/>
          <w:szCs w:val="24"/>
        </w:rPr>
        <w:t>Pharmacotherapeutic group:</w:t>
      </w:r>
      <w:r w:rsidRPr="00B4183C">
        <w:rPr>
          <w:rFonts w:ascii="Times New Roman" w:hAnsi="Times New Roman"/>
          <w:noProof/>
          <w:sz w:val="24"/>
          <w:szCs w:val="24"/>
        </w:rPr>
        <w:t xml:space="preserve"> </w:t>
      </w:r>
      <w:r w:rsidR="00B4183C" w:rsidRPr="00B4183C">
        <w:rPr>
          <w:rFonts w:ascii="Times New Roman" w:hAnsi="Times New Roman"/>
          <w:noProof/>
          <w:sz w:val="24"/>
          <w:szCs w:val="24"/>
          <w:lang w:val="en-GB"/>
        </w:rPr>
        <w:t>Antivirals for systemic use; direct acting antivirals, other antivirals, ATC code:</w:t>
      </w:r>
      <w:r w:rsidR="005B414A">
        <w:rPr>
          <w:rFonts w:ascii="Times New Roman" w:hAnsi="Times New Roman"/>
          <w:noProof/>
          <w:sz w:val="24"/>
          <w:szCs w:val="24"/>
          <w:lang w:val="en-GB"/>
        </w:rPr>
        <w:t xml:space="preserve"> </w:t>
      </w:r>
      <w:r w:rsidR="008B7E7E">
        <w:rPr>
          <w:rFonts w:ascii="Times New Roman" w:hAnsi="Times New Roman"/>
          <w:noProof/>
          <w:sz w:val="24"/>
          <w:szCs w:val="24"/>
          <w:lang w:val="en-GB"/>
        </w:rPr>
        <w:t>J05A</w:t>
      </w:r>
      <w:r w:rsidR="007F5FCA">
        <w:rPr>
          <w:rFonts w:ascii="Times New Roman" w:hAnsi="Times New Roman"/>
          <w:noProof/>
          <w:sz w:val="24"/>
          <w:szCs w:val="24"/>
          <w:lang w:val="en-GB"/>
        </w:rPr>
        <w:t>X15</w:t>
      </w:r>
      <w:r w:rsidR="005B414A">
        <w:rPr>
          <w:rFonts w:ascii="Times New Roman" w:hAnsi="Times New Roman"/>
          <w:noProof/>
          <w:sz w:val="24"/>
          <w:szCs w:val="24"/>
          <w:lang w:val="en-GB"/>
        </w:rPr>
        <w:t xml:space="preserve">. </w:t>
      </w:r>
    </w:p>
    <w:p w:rsidR="007254DD" w:rsidRPr="008B7865" w:rsidRDefault="007254DD" w:rsidP="00B74D17">
      <w:pPr>
        <w:jc w:val="both"/>
        <w:rPr>
          <w:rFonts w:ascii="Times New Roman" w:hAnsi="Times New Roman"/>
          <w:i/>
          <w:noProof/>
          <w:color w:val="FF0000"/>
          <w:sz w:val="24"/>
          <w:szCs w:val="24"/>
        </w:rPr>
      </w:pPr>
    </w:p>
    <w:p w:rsidR="007254DD" w:rsidRDefault="007254DD" w:rsidP="00B74D17">
      <w:pPr>
        <w:jc w:val="both"/>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E41805" w:rsidRDefault="00E41805" w:rsidP="00A5393D">
      <w:pPr>
        <w:pStyle w:val="Text10"/>
      </w:pPr>
      <w:proofErr w:type="spellStart"/>
      <w:r w:rsidRPr="00921683">
        <w:t>Sofosbuvir</w:t>
      </w:r>
      <w:proofErr w:type="spellEnd"/>
      <w:r w:rsidRPr="00921683">
        <w:t xml:space="preserve"> is a pan-genotypic inhibitor of the HCV NS5B RNA-dependent RNA polymerase, which is essential for viral replication. </w:t>
      </w:r>
      <w:proofErr w:type="spellStart"/>
      <w:r w:rsidRPr="00921683">
        <w:t>Sofosbuvir</w:t>
      </w:r>
      <w:proofErr w:type="spellEnd"/>
      <w:r w:rsidRPr="00921683">
        <w:t xml:space="preserve"> is a nucleotide </w:t>
      </w:r>
      <w:proofErr w:type="spellStart"/>
      <w:r w:rsidRPr="00921683">
        <w:t>prodrug</w:t>
      </w:r>
      <w:proofErr w:type="spellEnd"/>
      <w:r w:rsidRPr="00921683">
        <w:t xml:space="preserve"> that undergoes intracellular metabolism to form the pharmacologically active </w:t>
      </w:r>
      <w:proofErr w:type="spellStart"/>
      <w:r w:rsidRPr="00442F70">
        <w:t>uridine</w:t>
      </w:r>
      <w:proofErr w:type="spellEnd"/>
      <w:r w:rsidRPr="00442F70">
        <w:t xml:space="preserve"> analog triphosphate</w:t>
      </w:r>
      <w:r w:rsidRPr="00921683">
        <w:t xml:space="preserve"> (GS</w:t>
      </w:r>
      <w:r>
        <w:noBreakHyphen/>
      </w:r>
      <w:r w:rsidRPr="00921683">
        <w:t>461203), which can be incorporated by HCV NS5B an</w:t>
      </w:r>
      <w:r>
        <w:t>d acts as a chain terminator.</w:t>
      </w:r>
      <w:r w:rsidRPr="00921683">
        <w:t xml:space="preserve"> In a biochemical assay, GS-461203 inhibited the polymerase activity of the recombinant NS5B from HCV genotype </w:t>
      </w:r>
      <w:r w:rsidRPr="00AD31AA">
        <w:t>1b</w:t>
      </w:r>
      <w:r w:rsidRPr="00921683">
        <w:t>, 2a, 3a and 4a with an IC</w:t>
      </w:r>
      <w:r w:rsidRPr="002C5297">
        <w:rPr>
          <w:vertAlign w:val="subscript"/>
        </w:rPr>
        <w:t>50</w:t>
      </w:r>
      <w:r w:rsidRPr="00921683">
        <w:t xml:space="preserve"> value ranging from 0.7 to 2.6 </w:t>
      </w:r>
      <w:r>
        <w:sym w:font="Symbol" w:char="F06D"/>
      </w:r>
      <w:r w:rsidRPr="00921683">
        <w:t>M. GS</w:t>
      </w:r>
      <w:r>
        <w:noBreakHyphen/>
      </w:r>
      <w:r w:rsidRPr="00921683">
        <w:t>461203 is not an inhibitor of human DNA and RNA polymerases nor an inhibitor o</w:t>
      </w:r>
      <w:r>
        <w:t>f mitochondrial RNA polymerase</w:t>
      </w:r>
      <w:r w:rsidR="008B7E7E">
        <w:rPr>
          <w:i/>
        </w:rPr>
        <w:t xml:space="preserve"> in vitro</w:t>
      </w:r>
      <w:r>
        <w:t>.</w:t>
      </w:r>
    </w:p>
    <w:p w:rsidR="006A5EFE" w:rsidRPr="00E41805" w:rsidRDefault="006A5EFE" w:rsidP="00A5393D">
      <w:pPr>
        <w:rPr>
          <w:rFonts w:ascii="Times New Roman" w:hAnsi="Times New Roman"/>
          <w:b/>
          <w:i/>
          <w:sz w:val="24"/>
          <w:szCs w:val="24"/>
          <w:highlight w:val="yellow"/>
          <w:lang w:val="en-US"/>
        </w:rPr>
      </w:pPr>
    </w:p>
    <w:p w:rsidR="007254DD" w:rsidRPr="008B7865" w:rsidRDefault="007254DD" w:rsidP="00A5393D">
      <w:pPr>
        <w:jc w:val="both"/>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w:t>
      </w:r>
      <w:r w:rsidR="00337D95">
        <w:rPr>
          <w:rFonts w:ascii="Times New Roman" w:hAnsi="Times New Roman"/>
          <w:b/>
          <w:i/>
          <w:noProof/>
          <w:sz w:val="24"/>
          <w:szCs w:val="24"/>
        </w:rPr>
        <w:t xml:space="preserve"> </w:t>
      </w:r>
      <w:r w:rsidRPr="008B7865">
        <w:rPr>
          <w:rFonts w:ascii="Times New Roman" w:hAnsi="Times New Roman"/>
          <w:b/>
          <w:i/>
          <w:noProof/>
          <w:sz w:val="24"/>
          <w:szCs w:val="24"/>
        </w:rPr>
        <w:t>vitro</w:t>
      </w:r>
    </w:p>
    <w:p w:rsidR="00E41805" w:rsidRPr="009E4330" w:rsidRDefault="00E41805" w:rsidP="00A5393D">
      <w:pPr>
        <w:pStyle w:val="Text10"/>
      </w:pPr>
      <w:bookmarkStart w:id="1" w:name="_Ref269748592"/>
      <w:r w:rsidRPr="00921683">
        <w:t>In HCV replicon assays, the EC</w:t>
      </w:r>
      <w:r w:rsidRPr="002C5297">
        <w:rPr>
          <w:vertAlign w:val="subscript"/>
        </w:rPr>
        <w:t>50</w:t>
      </w:r>
      <w:r w:rsidRPr="00921683">
        <w:t xml:space="preserve"> values of </w:t>
      </w:r>
      <w:proofErr w:type="spellStart"/>
      <w:r w:rsidRPr="00921683">
        <w:t>sofosbuvir</w:t>
      </w:r>
      <w:proofErr w:type="spellEnd"/>
      <w:r w:rsidRPr="00921683">
        <w:t xml:space="preserve"> against full-length replicons from genotype 1a, 1b, 2a, 3a and 4a, and chimeric 1b replicons encoding NS5B from genotype 2b, 5a or 6a ranged from 0.014 to 0.11 </w:t>
      </w:r>
      <w:r>
        <w:sym w:font="Symbol" w:char="F06D"/>
      </w:r>
      <w:r>
        <w:t>M.</w:t>
      </w:r>
      <w:r w:rsidRPr="00921683">
        <w:t xml:space="preserve"> The </w:t>
      </w:r>
      <w:r w:rsidR="00C631D3">
        <w:t>median</w:t>
      </w:r>
      <w:r w:rsidRPr="00921683">
        <w:t xml:space="preserve"> ± SD EC</w:t>
      </w:r>
      <w:r w:rsidRPr="0051062E">
        <w:rPr>
          <w:vertAlign w:val="subscript"/>
        </w:rPr>
        <w:t>50</w:t>
      </w:r>
      <w:r w:rsidRPr="00921683">
        <w:t xml:space="preserve"> of </w:t>
      </w:r>
      <w:proofErr w:type="spellStart"/>
      <w:r w:rsidRPr="00921683">
        <w:t>sofosbuvir</w:t>
      </w:r>
      <w:proofErr w:type="spellEnd"/>
      <w:r w:rsidRPr="00921683">
        <w:t xml:space="preserve"> against chimeric replicons encoding NS5B sequences from clinical isolates was 0.068 ± 0.024 </w:t>
      </w:r>
      <w:r>
        <w:sym w:font="Symbol" w:char="F06D"/>
      </w:r>
      <w:r w:rsidRPr="00921683">
        <w:t xml:space="preserve">M for genotype 1a (N=67), 0.11 ± 0.029 </w:t>
      </w:r>
      <w:r>
        <w:sym w:font="Symbol" w:char="F06D"/>
      </w:r>
      <w:r w:rsidRPr="00921683">
        <w:t xml:space="preserve">M for genotype 1b (N=29), 0.035 ± 0.018 </w:t>
      </w:r>
      <w:r>
        <w:sym w:font="Symbol" w:char="F06D"/>
      </w:r>
      <w:r w:rsidRPr="00921683">
        <w:t xml:space="preserve">M for genotype 2 (N=15) and 0.085 ± 0.034 </w:t>
      </w:r>
      <w:r>
        <w:sym w:font="Symbol" w:char="F06D"/>
      </w:r>
      <w:r>
        <w:t>M for genotype 3a (N=106).</w:t>
      </w:r>
      <w:r w:rsidRPr="00921683">
        <w:t xml:space="preserve"> In infectious virus assays, the EC</w:t>
      </w:r>
      <w:r w:rsidRPr="002C5297">
        <w:rPr>
          <w:vertAlign w:val="subscript"/>
        </w:rPr>
        <w:t>50</w:t>
      </w:r>
      <w:r w:rsidRPr="00921683">
        <w:t xml:space="preserve"> values of </w:t>
      </w:r>
      <w:proofErr w:type="spellStart"/>
      <w:r w:rsidRPr="00921683">
        <w:t>sofosbuvir</w:t>
      </w:r>
      <w:proofErr w:type="spellEnd"/>
      <w:r w:rsidRPr="00921683">
        <w:t xml:space="preserve"> against genotype 1a and 2a were 0.03 and 0.02 </w:t>
      </w:r>
      <w:r>
        <w:sym w:font="Symbol" w:char="F06D"/>
      </w:r>
      <w:r>
        <w:t>M, respectively.</w:t>
      </w:r>
      <w:r w:rsidRPr="00921683">
        <w:t xml:space="preserve"> The presence of 40% human serum had no effect on the anti-HCV </w:t>
      </w:r>
      <w:r>
        <w:t xml:space="preserve">activity of </w:t>
      </w:r>
      <w:proofErr w:type="spellStart"/>
      <w:r>
        <w:t>sofosbuvir</w:t>
      </w:r>
      <w:proofErr w:type="spellEnd"/>
      <w:r>
        <w:t>.</w:t>
      </w:r>
      <w:r w:rsidRPr="00921683">
        <w:t xml:space="preserve"> Evaluation of </w:t>
      </w:r>
      <w:proofErr w:type="spellStart"/>
      <w:r w:rsidRPr="00921683">
        <w:t>sofosbuvir</w:t>
      </w:r>
      <w:proofErr w:type="spellEnd"/>
      <w:r w:rsidRPr="00921683">
        <w:t xml:space="preserve"> in combination with interferon alpha or ribavirin showed no antagonistic effect in reducing HCV-RNA levels in replicon cells.</w:t>
      </w:r>
      <w:bookmarkEnd w:id="1"/>
    </w:p>
    <w:p w:rsidR="004B04C4" w:rsidRDefault="004B04C4" w:rsidP="00A5393D">
      <w:pPr>
        <w:pStyle w:val="Text10"/>
        <w:spacing w:after="0"/>
        <w:rPr>
          <w:szCs w:val="24"/>
          <w:lang w:val="en-GB"/>
        </w:rPr>
      </w:pPr>
    </w:p>
    <w:p w:rsidR="007254DD" w:rsidRPr="008B7865" w:rsidRDefault="007254DD" w:rsidP="00A5393D">
      <w:pPr>
        <w:jc w:val="both"/>
        <w:rPr>
          <w:rFonts w:ascii="Times New Roman" w:hAnsi="Times New Roman"/>
          <w:b/>
          <w:noProof/>
          <w:sz w:val="24"/>
          <w:szCs w:val="24"/>
        </w:rPr>
      </w:pPr>
      <w:r w:rsidRPr="008B7865">
        <w:rPr>
          <w:rFonts w:ascii="Times New Roman" w:hAnsi="Times New Roman"/>
          <w:b/>
          <w:sz w:val="24"/>
          <w:szCs w:val="24"/>
        </w:rPr>
        <w:t xml:space="preserve">Drug </w:t>
      </w:r>
      <w:r w:rsidRPr="008B7865">
        <w:rPr>
          <w:rFonts w:ascii="Times New Roman" w:hAnsi="Times New Roman"/>
          <w:b/>
          <w:noProof/>
          <w:sz w:val="24"/>
          <w:szCs w:val="24"/>
        </w:rPr>
        <w:t xml:space="preserve">Resistance </w:t>
      </w:r>
    </w:p>
    <w:p w:rsidR="0008558E" w:rsidRPr="00621485" w:rsidRDefault="0008558E" w:rsidP="00A5393D">
      <w:pPr>
        <w:jc w:val="both"/>
        <w:rPr>
          <w:rFonts w:ascii="Times New Roman" w:hAnsi="Times New Roman"/>
          <w:sz w:val="24"/>
          <w:szCs w:val="24"/>
        </w:rPr>
      </w:pPr>
    </w:p>
    <w:p w:rsidR="00FF54BB" w:rsidRDefault="00FF54BB" w:rsidP="00A5393D">
      <w:pPr>
        <w:jc w:val="both"/>
        <w:rPr>
          <w:rFonts w:ascii="Times New Roman" w:hAnsi="Times New Roman"/>
          <w:b/>
          <w:i/>
          <w:sz w:val="24"/>
          <w:szCs w:val="24"/>
          <w:u w:val="single"/>
        </w:rPr>
      </w:pPr>
      <w:r w:rsidRPr="00FF54BB">
        <w:rPr>
          <w:rFonts w:ascii="Times New Roman" w:hAnsi="Times New Roman"/>
          <w:b/>
          <w:i/>
          <w:sz w:val="24"/>
          <w:szCs w:val="24"/>
          <w:u w:val="single"/>
        </w:rPr>
        <w:t>In Cell Culture:</w:t>
      </w:r>
    </w:p>
    <w:p w:rsidR="00EC749A" w:rsidRDefault="00EC749A" w:rsidP="00A5393D">
      <w:pPr>
        <w:pStyle w:val="Text10"/>
      </w:pPr>
      <w:bookmarkStart w:id="2" w:name="_Ref307416897"/>
      <w:r w:rsidRPr="0051062E">
        <w:t xml:space="preserve">HCV replicons with reduced susceptibility to </w:t>
      </w:r>
      <w:proofErr w:type="spellStart"/>
      <w:r w:rsidRPr="0051062E">
        <w:t>sofosbuvir</w:t>
      </w:r>
      <w:proofErr w:type="spellEnd"/>
      <w:r w:rsidRPr="0051062E">
        <w:t xml:space="preserve"> have been selected in cell culture for multiple genotypes including </w:t>
      </w:r>
      <w:r w:rsidRPr="00AD31AA">
        <w:t>1b</w:t>
      </w:r>
      <w:r w:rsidRPr="0051062E">
        <w:t xml:space="preserve">, 2a, 2b, 3a, 4a, 5a and 6a. Reduced susceptibility to </w:t>
      </w:r>
      <w:proofErr w:type="spellStart"/>
      <w:r w:rsidRPr="0051062E">
        <w:t>sofosbuvir</w:t>
      </w:r>
      <w:proofErr w:type="spellEnd"/>
      <w:r w:rsidRPr="0051062E">
        <w:t xml:space="preserve"> was associated with the primary NS5B substitution S282T in all replicon genotypes examined. Site-directed mutagenesis of the S282T substitution in replicons of 8 genotypes</w:t>
      </w:r>
      <w:r w:rsidR="00F448E8">
        <w:t xml:space="preserve"> including </w:t>
      </w:r>
      <w:r w:rsidR="00F448E8" w:rsidRPr="00AD31AA">
        <w:t>1b</w:t>
      </w:r>
      <w:r w:rsidR="00F448E8" w:rsidRPr="0051062E">
        <w:t xml:space="preserve">, </w:t>
      </w:r>
      <w:r w:rsidR="00F448E8">
        <w:t xml:space="preserve">1a, </w:t>
      </w:r>
      <w:r w:rsidR="00F448E8" w:rsidRPr="0051062E">
        <w:t xml:space="preserve">2a, 2b, 3a, 4a, 5a and 6a </w:t>
      </w:r>
      <w:r w:rsidRPr="0051062E">
        <w:t xml:space="preserve"> conferred 2- to 18-fold reduced susceptibility to </w:t>
      </w:r>
      <w:proofErr w:type="spellStart"/>
      <w:r w:rsidRPr="0051062E">
        <w:t>sofosbuvir</w:t>
      </w:r>
      <w:proofErr w:type="spellEnd"/>
      <w:r w:rsidRPr="0051062E">
        <w:t xml:space="preserve"> and reduced the replication capacity by 89% to 99% compared to the corresponding wild-type. In biochemical assays, recombinant NS5B polymerase from genotypes 1b, 2a, 3a and 4a expressing the S282T substitution showed reduced susceptibility to GS-461203 compared to respective wild-types.</w:t>
      </w:r>
      <w:bookmarkEnd w:id="2"/>
    </w:p>
    <w:p w:rsidR="0063562B" w:rsidRDefault="0063562B" w:rsidP="00B74D17">
      <w:pPr>
        <w:autoSpaceDE w:val="0"/>
        <w:autoSpaceDN w:val="0"/>
        <w:adjustRightInd w:val="0"/>
        <w:jc w:val="both"/>
        <w:rPr>
          <w:rFonts w:ascii="Times New Roman" w:hAnsi="Times New Roman"/>
          <w:sz w:val="24"/>
          <w:szCs w:val="24"/>
          <w:lang w:val="en-GB"/>
        </w:rPr>
      </w:pPr>
    </w:p>
    <w:p w:rsidR="00507991" w:rsidRDefault="00FF54BB" w:rsidP="00A5393D">
      <w:pPr>
        <w:pStyle w:val="Text10"/>
        <w:spacing w:after="0"/>
        <w:jc w:val="both"/>
        <w:rPr>
          <w:b/>
          <w:i/>
        </w:rPr>
      </w:pPr>
      <w:r>
        <w:rPr>
          <w:b/>
          <w:i/>
          <w:noProof/>
          <w:szCs w:val="24"/>
          <w:u w:val="single"/>
        </w:rPr>
        <w:t>In Clinical Studies:</w:t>
      </w:r>
      <w:r w:rsidRPr="00D3382C">
        <w:rPr>
          <w:b/>
          <w:i/>
        </w:rPr>
        <w:t xml:space="preserve"> </w:t>
      </w:r>
    </w:p>
    <w:p w:rsidR="00B62912" w:rsidRDefault="00B62912" w:rsidP="00A5393D">
      <w:pPr>
        <w:pStyle w:val="Text10"/>
      </w:pPr>
      <w:bookmarkStart w:id="3" w:name="_Ref307418564"/>
      <w:r w:rsidRPr="0051062E">
        <w:t xml:space="preserve">In a pooled analysis of 991 </w:t>
      </w:r>
      <w:r w:rsidR="00FD6E81">
        <w:t>patients</w:t>
      </w:r>
      <w:r w:rsidR="003B2D2E">
        <w:t xml:space="preserve"> who received </w:t>
      </w:r>
      <w:r w:rsidR="00D21279">
        <w:t>SOVALDI</w:t>
      </w:r>
      <w:r w:rsidRPr="0051062E">
        <w:t xml:space="preserve"> in Phase 3 trials, 226 </w:t>
      </w:r>
      <w:r w:rsidR="00FD6E81">
        <w:t>patients</w:t>
      </w:r>
      <w:r w:rsidRPr="0051062E">
        <w:t xml:space="preserve"> qualified for resistance analysis due to </w:t>
      </w:r>
      <w:proofErr w:type="spellStart"/>
      <w:r w:rsidRPr="0051062E">
        <w:t>virologic</w:t>
      </w:r>
      <w:proofErr w:type="spellEnd"/>
      <w:r w:rsidRPr="0051062E">
        <w:t xml:space="preserve"> failure or early study drug discontinuation and having HCV RNA &gt;</w:t>
      </w:r>
      <w:r>
        <w:t xml:space="preserve"> </w:t>
      </w:r>
      <w:r w:rsidRPr="0051062E">
        <w:t xml:space="preserve">1000 IU/ml. Post-baseline NS5B sequences were available for 225 of the 226 </w:t>
      </w:r>
      <w:r w:rsidR="00FD6E81">
        <w:t>patients</w:t>
      </w:r>
      <w:r w:rsidRPr="0051062E">
        <w:t xml:space="preserve">, with deep sequencing data (assay cutoff of 1%) from </w:t>
      </w:r>
      <w:r w:rsidR="00B15038">
        <w:t xml:space="preserve">221 </w:t>
      </w:r>
      <w:r w:rsidR="00B15038" w:rsidRPr="0051062E">
        <w:t>of</w:t>
      </w:r>
      <w:r w:rsidRPr="0051062E">
        <w:t xml:space="preserve"> these </w:t>
      </w:r>
      <w:r w:rsidR="00FD6E81">
        <w:t>patients</w:t>
      </w:r>
      <w:r w:rsidRPr="0051062E">
        <w:t xml:space="preserve">. The </w:t>
      </w:r>
      <w:r w:rsidR="001E5C8B" w:rsidRPr="00B92905">
        <w:lastRenderedPageBreak/>
        <w:t>NS5B</w:t>
      </w:r>
      <w:r w:rsidRPr="001E5C8B">
        <w:t>-associated resistance substitution</w:t>
      </w:r>
      <w:r w:rsidRPr="0051062E">
        <w:t xml:space="preserve"> S282T was not detected in any of these</w:t>
      </w:r>
      <w:r w:rsidR="00054EDE">
        <w:t xml:space="preserve"> </w:t>
      </w:r>
      <w:r w:rsidR="00FD6E81">
        <w:t>patients</w:t>
      </w:r>
      <w:r w:rsidRPr="0051062E">
        <w:t xml:space="preserve"> by deep sequen</w:t>
      </w:r>
      <w:r>
        <w:t xml:space="preserve">cing or population sequencing. </w:t>
      </w:r>
      <w:r w:rsidRPr="0051062E">
        <w:t xml:space="preserve">No other NS5B substitutions were identified to be associated with resistance to </w:t>
      </w:r>
      <w:proofErr w:type="spellStart"/>
      <w:r w:rsidRPr="0051062E">
        <w:t>sofosbuvir</w:t>
      </w:r>
      <w:proofErr w:type="spellEnd"/>
      <w:r w:rsidRPr="0051062E">
        <w:t xml:space="preserve"> by deep sequencing and phenotypic analyses.</w:t>
      </w:r>
      <w:bookmarkEnd w:id="3"/>
      <w:r w:rsidRPr="009E4330">
        <w:t xml:space="preserve"> </w:t>
      </w:r>
    </w:p>
    <w:p w:rsidR="008F0CCA" w:rsidRPr="00B62912" w:rsidRDefault="008F0CCA" w:rsidP="00A5393D">
      <w:pPr>
        <w:pStyle w:val="Text10"/>
        <w:spacing w:after="0"/>
        <w:jc w:val="both"/>
        <w:rPr>
          <w:bCs/>
          <w:noProof/>
        </w:rPr>
      </w:pPr>
    </w:p>
    <w:p w:rsidR="00B62912" w:rsidRPr="00B62912" w:rsidRDefault="00B62912" w:rsidP="00A5393D">
      <w:pPr>
        <w:pStyle w:val="Subheading2"/>
        <w:rPr>
          <w:i w:val="0"/>
        </w:rPr>
      </w:pPr>
      <w:r w:rsidRPr="00B62912">
        <w:rPr>
          <w:i w:val="0"/>
        </w:rPr>
        <w:t>Effect of Baseline HCV Polymorphisms on Treatment Outcome</w:t>
      </w:r>
    </w:p>
    <w:p w:rsidR="00B62912" w:rsidRDefault="00B62912" w:rsidP="00A5393D">
      <w:pPr>
        <w:pStyle w:val="Text10"/>
      </w:pPr>
      <w:r w:rsidRPr="0051062E">
        <w:t xml:space="preserve">Baseline NS5B sequences were obtained for 1292 </w:t>
      </w:r>
      <w:r w:rsidR="00FD6E81">
        <w:t>patients</w:t>
      </w:r>
      <w:r w:rsidRPr="0051062E">
        <w:t xml:space="preserve"> from Phase 3 trials by population sequencing and the S282T substitution was not detected in any subject with available baseline sequence. In an analysis evaluating the effect of baseline polymorphisms on treatment outcome, no statistically significant</w:t>
      </w:r>
      <w:r w:rsidR="00054EDE">
        <w:t xml:space="preserve"> association</w:t>
      </w:r>
      <w:r w:rsidRPr="0051062E">
        <w:t xml:space="preserve"> was observed between the presence of any HCV NS5B variant at baseline and treatment outcome.</w:t>
      </w:r>
    </w:p>
    <w:p w:rsidR="00B62912" w:rsidRDefault="00B62912" w:rsidP="00A5393D">
      <w:pPr>
        <w:pStyle w:val="Text10"/>
        <w:spacing w:after="0"/>
        <w:jc w:val="both"/>
        <w:rPr>
          <w:bCs/>
          <w:noProof/>
        </w:rPr>
      </w:pPr>
    </w:p>
    <w:p w:rsidR="0061539A" w:rsidRDefault="007254DD" w:rsidP="00A5393D">
      <w:pPr>
        <w:pStyle w:val="Text10"/>
        <w:spacing w:after="0"/>
        <w:jc w:val="both"/>
        <w:rPr>
          <w:b/>
          <w:noProof/>
        </w:rPr>
      </w:pPr>
      <w:r w:rsidRPr="008B7865">
        <w:rPr>
          <w:b/>
          <w:noProof/>
        </w:rPr>
        <w:t>Cross-resistance</w:t>
      </w:r>
      <w:r w:rsidR="003300F0" w:rsidRPr="008B7865">
        <w:rPr>
          <w:b/>
          <w:noProof/>
        </w:rPr>
        <w:t xml:space="preserve">: </w:t>
      </w:r>
    </w:p>
    <w:p w:rsidR="007B26BE" w:rsidRDefault="007B26BE" w:rsidP="00A5393D">
      <w:pPr>
        <w:pStyle w:val="Text10"/>
      </w:pPr>
      <w:r w:rsidRPr="0051062E">
        <w:t xml:space="preserve">HCV replicons expressing the </w:t>
      </w:r>
      <w:r w:rsidR="001E5C8B" w:rsidRPr="001E5C8B">
        <w:t>NS5B</w:t>
      </w:r>
      <w:r w:rsidRPr="001E5C8B">
        <w:t>-associated resistance substitution</w:t>
      </w:r>
      <w:r w:rsidRPr="0051062E">
        <w:t xml:space="preserve"> S282T were fully susceptible to other classes of anti-HCV agents and were 3-10 fold more sensitive to ribavirin as compared to wild-type replicons. </w:t>
      </w:r>
      <w:proofErr w:type="spellStart"/>
      <w:r w:rsidRPr="0051062E">
        <w:t>Sofosbuvir</w:t>
      </w:r>
      <w:proofErr w:type="spellEnd"/>
      <w:r w:rsidRPr="0051062E">
        <w:t xml:space="preserve"> retained activity against the NS5B substitutions L159F and L320F associated with resistance to other nucleoside inhibitors. </w:t>
      </w:r>
      <w:proofErr w:type="spellStart"/>
      <w:r w:rsidRPr="0051062E">
        <w:t>Sofosbuvir</w:t>
      </w:r>
      <w:proofErr w:type="spellEnd"/>
      <w:r w:rsidRPr="0051062E">
        <w:t xml:space="preserve"> was fully active against substitutions associated with resistance to other direct-acting antivirals with different mechanisms of actions, such as NS5B non-nucleoside inhibitor, NS3 protease inhibitors and NS5A inhibitors.</w:t>
      </w:r>
      <w:r w:rsidRPr="009E4330">
        <w:t xml:space="preserve"> </w:t>
      </w:r>
    </w:p>
    <w:p w:rsidR="00310447" w:rsidRDefault="00310447" w:rsidP="00A5393D">
      <w:pPr>
        <w:pStyle w:val="Text10"/>
        <w:spacing w:after="0"/>
        <w:jc w:val="both"/>
        <w:rPr>
          <w:bCs/>
        </w:rPr>
      </w:pPr>
    </w:p>
    <w:p w:rsidR="007254DD" w:rsidRDefault="007254DD" w:rsidP="00A5393D">
      <w:pPr>
        <w:jc w:val="both"/>
        <w:rPr>
          <w:rFonts w:ascii="Times New Roman" w:hAnsi="Times New Roman"/>
          <w:b/>
          <w:noProof/>
          <w:sz w:val="24"/>
          <w:szCs w:val="24"/>
        </w:rPr>
      </w:pPr>
      <w:r w:rsidRPr="008B7865">
        <w:rPr>
          <w:rFonts w:ascii="Times New Roman" w:hAnsi="Times New Roman"/>
          <w:b/>
          <w:noProof/>
          <w:sz w:val="24"/>
          <w:szCs w:val="24"/>
        </w:rPr>
        <w:t>Pharmacokinetics</w:t>
      </w:r>
    </w:p>
    <w:p w:rsidR="005A6310" w:rsidRDefault="005A6310" w:rsidP="00A5393D">
      <w:pPr>
        <w:jc w:val="both"/>
        <w:rPr>
          <w:rFonts w:ascii="Times New Roman" w:hAnsi="Times New Roman"/>
          <w:b/>
          <w:noProof/>
          <w:sz w:val="24"/>
          <w:szCs w:val="24"/>
        </w:rPr>
      </w:pPr>
    </w:p>
    <w:p w:rsidR="005A6310" w:rsidRDefault="005A6310" w:rsidP="00A5393D">
      <w:pPr>
        <w:jc w:val="both"/>
        <w:rPr>
          <w:rFonts w:ascii="Times New Roman" w:hAnsi="Times New Roman"/>
          <w:b/>
          <w:noProof/>
          <w:sz w:val="24"/>
          <w:szCs w:val="24"/>
        </w:rPr>
      </w:pPr>
      <w:r>
        <w:rPr>
          <w:rFonts w:ascii="Times New Roman" w:hAnsi="Times New Roman"/>
          <w:b/>
          <w:noProof/>
          <w:sz w:val="24"/>
          <w:szCs w:val="24"/>
        </w:rPr>
        <w:t>Absorption</w:t>
      </w:r>
    </w:p>
    <w:p w:rsidR="007B26BE" w:rsidRDefault="007B26BE" w:rsidP="00A5393D">
      <w:pPr>
        <w:pStyle w:val="Text10"/>
      </w:pPr>
      <w:r w:rsidRPr="0051062E">
        <w:t xml:space="preserve">The pharmacokinetic properties of </w:t>
      </w:r>
      <w:proofErr w:type="spellStart"/>
      <w:r w:rsidRPr="0051062E">
        <w:t>sofosbuvir</w:t>
      </w:r>
      <w:proofErr w:type="spellEnd"/>
      <w:r w:rsidRPr="0051062E">
        <w:t xml:space="preserve"> and the predominant circulating metabolite GS-331007 have been evaluated in healthy adult </w:t>
      </w:r>
      <w:r w:rsidR="00FD6E81">
        <w:t>patients</w:t>
      </w:r>
      <w:r w:rsidRPr="0051062E">
        <w:t xml:space="preserve"> and in </w:t>
      </w:r>
      <w:r w:rsidR="00FD6E81">
        <w:t>patients</w:t>
      </w:r>
      <w:r w:rsidRPr="0051062E">
        <w:t xml:space="preserve"> with chronic hepatitis C.  Following or</w:t>
      </w:r>
      <w:r w:rsidR="00EE3DE3">
        <w:t xml:space="preserve">al administration of </w:t>
      </w:r>
      <w:r w:rsidR="00D21279">
        <w:t>SOVALDI</w:t>
      </w:r>
      <w:r w:rsidRPr="0051062E">
        <w:t xml:space="preserve">, </w:t>
      </w:r>
      <w:proofErr w:type="spellStart"/>
      <w:r w:rsidRPr="0051062E">
        <w:t>sofosbuvir</w:t>
      </w:r>
      <w:proofErr w:type="spellEnd"/>
      <w:r w:rsidRPr="0051062E">
        <w:t xml:space="preserve"> was absorbed quickly and the peak plasma concentration was observed ~0.5-2 hour post-dose, regardless of dose level. Peak plasma concentration of GS-331007 was observed between 2 to 4 hours post-dose. Based on population pharmacokinetic analysis in </w:t>
      </w:r>
      <w:r w:rsidR="00FD6E81">
        <w:t>patients</w:t>
      </w:r>
      <w:r w:rsidRPr="0051062E">
        <w:t xml:space="preserve"> with genotypes 1 to 6 HCV infection (N=986), steady state AUC</w:t>
      </w:r>
      <w:r w:rsidRPr="0051062E">
        <w:rPr>
          <w:vertAlign w:val="subscript"/>
        </w:rPr>
        <w:t>0-24</w:t>
      </w:r>
      <w:r w:rsidRPr="0051062E">
        <w:t xml:space="preserve"> for </w:t>
      </w:r>
      <w:proofErr w:type="spellStart"/>
      <w:r w:rsidRPr="0051062E">
        <w:t>sofosbuvir</w:t>
      </w:r>
      <w:proofErr w:type="spellEnd"/>
      <w:r w:rsidRPr="0051062E">
        <w:t xml:space="preserve"> was 860 </w:t>
      </w:r>
      <w:proofErr w:type="spellStart"/>
      <w:r w:rsidRPr="0051062E">
        <w:t>ng•hr</w:t>
      </w:r>
      <w:proofErr w:type="spellEnd"/>
      <w:r w:rsidRPr="0051062E">
        <w:t>/ml and steady state AUC</w:t>
      </w:r>
      <w:r w:rsidRPr="0051062E">
        <w:rPr>
          <w:vertAlign w:val="subscript"/>
        </w:rPr>
        <w:t>0-24</w:t>
      </w:r>
      <w:r w:rsidRPr="0051062E">
        <w:t xml:space="preserve"> and </w:t>
      </w:r>
      <w:proofErr w:type="spellStart"/>
      <w:r w:rsidRPr="0051062E">
        <w:t>C</w:t>
      </w:r>
      <w:r w:rsidRPr="0051062E">
        <w:rPr>
          <w:vertAlign w:val="subscript"/>
        </w:rPr>
        <w:t>max</w:t>
      </w:r>
      <w:proofErr w:type="spellEnd"/>
      <w:r w:rsidRPr="0051062E">
        <w:t xml:space="preserve"> for GS-331007 were 7200 </w:t>
      </w:r>
      <w:proofErr w:type="spellStart"/>
      <w:r w:rsidRPr="0051062E">
        <w:t>ng•hr</w:t>
      </w:r>
      <w:proofErr w:type="spellEnd"/>
      <w:r w:rsidRPr="0051062E">
        <w:t xml:space="preserve">/mL and 582 ng/mL, respectively. Relative to healthy </w:t>
      </w:r>
      <w:r w:rsidR="00FD6E81">
        <w:t>patients</w:t>
      </w:r>
      <w:r w:rsidRPr="0051062E">
        <w:t xml:space="preserve"> (N=284), the </w:t>
      </w:r>
      <w:proofErr w:type="spellStart"/>
      <w:r w:rsidRPr="0051062E">
        <w:t>sofosbuvir</w:t>
      </w:r>
      <w:proofErr w:type="spellEnd"/>
      <w:r w:rsidRPr="0051062E">
        <w:t xml:space="preserve"> AUC</w:t>
      </w:r>
      <w:r w:rsidRPr="009326DF">
        <w:rPr>
          <w:vertAlign w:val="subscript"/>
        </w:rPr>
        <w:t xml:space="preserve">0-24 </w:t>
      </w:r>
      <w:r w:rsidRPr="0051062E">
        <w:t>was 36% higher and the GS</w:t>
      </w:r>
      <w:r>
        <w:noBreakHyphen/>
      </w:r>
      <w:r w:rsidRPr="0051062E">
        <w:t>331007 AUC</w:t>
      </w:r>
      <w:r w:rsidRPr="00BB1781">
        <w:rPr>
          <w:vertAlign w:val="subscript"/>
        </w:rPr>
        <w:t xml:space="preserve">0-24 </w:t>
      </w:r>
      <w:r w:rsidRPr="0051062E">
        <w:t xml:space="preserve">and </w:t>
      </w:r>
      <w:proofErr w:type="spellStart"/>
      <w:r w:rsidRPr="0051062E">
        <w:t>C</w:t>
      </w:r>
      <w:r w:rsidRPr="00BB1781">
        <w:rPr>
          <w:vertAlign w:val="subscript"/>
        </w:rPr>
        <w:t>max</w:t>
      </w:r>
      <w:proofErr w:type="spellEnd"/>
      <w:r w:rsidRPr="00BB1781">
        <w:rPr>
          <w:vertAlign w:val="subscript"/>
        </w:rPr>
        <w:t xml:space="preserve"> </w:t>
      </w:r>
      <w:r w:rsidRPr="0051062E">
        <w:t xml:space="preserve">were 39% and 49% lower, respectively in HCV-infected </w:t>
      </w:r>
      <w:r w:rsidR="00FD6E81">
        <w:t>patients</w:t>
      </w:r>
      <w:r w:rsidRPr="0051062E">
        <w:t xml:space="preserve">. </w:t>
      </w:r>
      <w:proofErr w:type="spellStart"/>
      <w:r w:rsidRPr="0051062E">
        <w:t>Sofosbuvir</w:t>
      </w:r>
      <w:proofErr w:type="spellEnd"/>
      <w:r w:rsidRPr="0051062E">
        <w:t xml:space="preserve"> and GS-331007 AUCs are near dose proportional over the </w:t>
      </w:r>
      <w:r>
        <w:t>dose range of 200 mg to 1200 mg</w:t>
      </w:r>
      <w:r w:rsidRPr="008430C6">
        <w:t>.</w:t>
      </w:r>
    </w:p>
    <w:p w:rsidR="00D33194" w:rsidRDefault="00D33194" w:rsidP="00A5393D">
      <w:pPr>
        <w:rPr>
          <w:rFonts w:ascii="Times New Roman" w:hAnsi="Times New Roman"/>
          <w:b/>
          <w:sz w:val="24"/>
          <w:szCs w:val="24"/>
        </w:rPr>
      </w:pPr>
    </w:p>
    <w:p w:rsidR="005E71C4" w:rsidRDefault="005E71C4" w:rsidP="00A5393D">
      <w:pPr>
        <w:rPr>
          <w:rFonts w:ascii="Times New Roman" w:hAnsi="Times New Roman"/>
          <w:b/>
          <w:sz w:val="24"/>
          <w:szCs w:val="24"/>
        </w:rPr>
      </w:pPr>
      <w:r>
        <w:rPr>
          <w:rFonts w:ascii="Times New Roman" w:hAnsi="Times New Roman"/>
          <w:b/>
          <w:sz w:val="24"/>
          <w:szCs w:val="24"/>
        </w:rPr>
        <w:t>Distribution</w:t>
      </w:r>
    </w:p>
    <w:p w:rsidR="007931D3" w:rsidRDefault="007931D3" w:rsidP="00A5393D">
      <w:pPr>
        <w:pStyle w:val="Text10"/>
        <w:rPr>
          <w:rStyle w:val="Subheading2Char"/>
          <w:b w:val="0"/>
          <w:bCs w:val="0"/>
          <w:i w:val="0"/>
          <w:iCs w:val="0"/>
        </w:rPr>
      </w:pPr>
      <w:proofErr w:type="spellStart"/>
      <w:r w:rsidRPr="0051062E">
        <w:rPr>
          <w:rStyle w:val="Subheading2Char"/>
          <w:b w:val="0"/>
          <w:bCs w:val="0"/>
          <w:i w:val="0"/>
          <w:iCs w:val="0"/>
        </w:rPr>
        <w:t>Sofosbuvir</w:t>
      </w:r>
      <w:proofErr w:type="spellEnd"/>
      <w:r w:rsidRPr="0051062E">
        <w:rPr>
          <w:rStyle w:val="Subheading2Char"/>
          <w:b w:val="0"/>
          <w:bCs w:val="0"/>
          <w:i w:val="0"/>
          <w:iCs w:val="0"/>
        </w:rPr>
        <w:t xml:space="preserve"> is approximately 61-65% bound to human plasma proteins and the binding is independent of drug concentration over the range of 1 </w:t>
      </w:r>
      <w:r>
        <w:rPr>
          <w:rStyle w:val="Subheading2Char"/>
          <w:b w:val="0"/>
          <w:bCs w:val="0"/>
          <w:i w:val="0"/>
          <w:iCs w:val="0"/>
        </w:rPr>
        <w:sym w:font="Symbol" w:char="F06D"/>
      </w:r>
      <w:r w:rsidRPr="0051062E">
        <w:rPr>
          <w:rStyle w:val="Subheading2Char"/>
          <w:b w:val="0"/>
          <w:bCs w:val="0"/>
          <w:i w:val="0"/>
          <w:iCs w:val="0"/>
        </w:rPr>
        <w:t xml:space="preserve">g/mL to 20 </w:t>
      </w:r>
      <w:r>
        <w:rPr>
          <w:rStyle w:val="Subheading2Char"/>
          <w:b w:val="0"/>
          <w:bCs w:val="0"/>
          <w:i w:val="0"/>
          <w:iCs w:val="0"/>
        </w:rPr>
        <w:sym w:font="Symbol" w:char="F06D"/>
      </w:r>
      <w:r w:rsidRPr="0051062E">
        <w:rPr>
          <w:rStyle w:val="Subheading2Char"/>
          <w:b w:val="0"/>
          <w:bCs w:val="0"/>
          <w:i w:val="0"/>
          <w:iCs w:val="0"/>
        </w:rPr>
        <w:t>g/</w:t>
      </w:r>
      <w:proofErr w:type="spellStart"/>
      <w:r w:rsidRPr="0051062E">
        <w:rPr>
          <w:rStyle w:val="Subheading2Char"/>
          <w:b w:val="0"/>
          <w:bCs w:val="0"/>
          <w:i w:val="0"/>
          <w:iCs w:val="0"/>
        </w:rPr>
        <w:t>mL.</w:t>
      </w:r>
      <w:proofErr w:type="spellEnd"/>
      <w:r w:rsidRPr="0051062E">
        <w:rPr>
          <w:rStyle w:val="Subheading2Char"/>
          <w:b w:val="0"/>
          <w:bCs w:val="0"/>
          <w:i w:val="0"/>
          <w:iCs w:val="0"/>
        </w:rPr>
        <w:t xml:space="preserve"> Protein binding of GS-331007 was minimal in human plasma. After a single 400 mg dose of [</w:t>
      </w:r>
      <w:r w:rsidRPr="001A395C">
        <w:rPr>
          <w:rStyle w:val="Subheading2Char"/>
          <w:b w:val="0"/>
          <w:bCs w:val="0"/>
          <w:i w:val="0"/>
          <w:iCs w:val="0"/>
          <w:vertAlign w:val="superscript"/>
        </w:rPr>
        <w:t>14</w:t>
      </w:r>
      <w:r w:rsidRPr="0051062E">
        <w:rPr>
          <w:rStyle w:val="Subheading2Char"/>
          <w:b w:val="0"/>
          <w:bCs w:val="0"/>
          <w:i w:val="0"/>
          <w:iCs w:val="0"/>
        </w:rPr>
        <w:t>C]-</w:t>
      </w:r>
      <w:proofErr w:type="spellStart"/>
      <w:r w:rsidRPr="0051062E">
        <w:rPr>
          <w:rStyle w:val="Subheading2Char"/>
          <w:b w:val="0"/>
          <w:bCs w:val="0"/>
          <w:i w:val="0"/>
          <w:iCs w:val="0"/>
        </w:rPr>
        <w:t>sofosbuvir</w:t>
      </w:r>
      <w:proofErr w:type="spellEnd"/>
      <w:r w:rsidRPr="0051062E">
        <w:rPr>
          <w:rStyle w:val="Subheading2Char"/>
          <w:b w:val="0"/>
          <w:bCs w:val="0"/>
          <w:i w:val="0"/>
          <w:iCs w:val="0"/>
        </w:rPr>
        <w:t xml:space="preserve"> in healthy </w:t>
      </w:r>
      <w:r w:rsidR="00FD6E81">
        <w:rPr>
          <w:rStyle w:val="Subheading2Char"/>
          <w:b w:val="0"/>
          <w:bCs w:val="0"/>
          <w:i w:val="0"/>
          <w:iCs w:val="0"/>
        </w:rPr>
        <w:t>patients</w:t>
      </w:r>
      <w:r w:rsidRPr="0051062E">
        <w:rPr>
          <w:rStyle w:val="Subheading2Char"/>
          <w:b w:val="0"/>
          <w:bCs w:val="0"/>
          <w:i w:val="0"/>
          <w:iCs w:val="0"/>
        </w:rPr>
        <w:t xml:space="preserve">, the blood to plasma ratio of </w:t>
      </w:r>
      <w:r w:rsidRPr="006E5D7C">
        <w:rPr>
          <w:rStyle w:val="Subheading2Char"/>
          <w:b w:val="0"/>
          <w:bCs w:val="0"/>
          <w:i w:val="0"/>
          <w:iCs w:val="0"/>
          <w:vertAlign w:val="superscript"/>
        </w:rPr>
        <w:t>14</w:t>
      </w:r>
      <w:r w:rsidRPr="009C50CF">
        <w:rPr>
          <w:rStyle w:val="Subheading2Char"/>
          <w:b w:val="0"/>
          <w:bCs w:val="0"/>
          <w:i w:val="0"/>
          <w:iCs w:val="0"/>
        </w:rPr>
        <w:t>C</w:t>
      </w:r>
      <w:r w:rsidR="009C50CF">
        <w:rPr>
          <w:rStyle w:val="Subheading2Char"/>
          <w:b w:val="0"/>
          <w:bCs w:val="0"/>
          <w:i w:val="0"/>
          <w:iCs w:val="0"/>
          <w:vertAlign w:val="superscript"/>
        </w:rPr>
        <w:t xml:space="preserve"> </w:t>
      </w:r>
      <w:r w:rsidRPr="0051062E">
        <w:rPr>
          <w:rStyle w:val="Subheading2Char"/>
          <w:b w:val="0"/>
          <w:bCs w:val="0"/>
          <w:i w:val="0"/>
          <w:iCs w:val="0"/>
        </w:rPr>
        <w:t>radioactivity was approximately 0.7.</w:t>
      </w:r>
    </w:p>
    <w:p w:rsidR="00946408" w:rsidRDefault="00946408" w:rsidP="00A5393D">
      <w:pPr>
        <w:rPr>
          <w:rFonts w:ascii="Times New Roman" w:hAnsi="Times New Roman"/>
          <w:b/>
          <w:sz w:val="24"/>
          <w:szCs w:val="24"/>
        </w:rPr>
      </w:pPr>
    </w:p>
    <w:p w:rsidR="005A6310" w:rsidRDefault="006A5948" w:rsidP="00A5393D">
      <w:pPr>
        <w:rPr>
          <w:rFonts w:ascii="Times New Roman" w:hAnsi="Times New Roman"/>
          <w:b/>
          <w:sz w:val="24"/>
          <w:szCs w:val="24"/>
        </w:rPr>
      </w:pPr>
      <w:r>
        <w:rPr>
          <w:rFonts w:ascii="Times New Roman" w:hAnsi="Times New Roman"/>
          <w:b/>
          <w:sz w:val="24"/>
          <w:szCs w:val="24"/>
        </w:rPr>
        <w:lastRenderedPageBreak/>
        <w:t>Metabolism</w:t>
      </w:r>
    </w:p>
    <w:p w:rsidR="00185EB5" w:rsidRDefault="00185EB5" w:rsidP="00A5393D">
      <w:pPr>
        <w:pStyle w:val="Text10"/>
      </w:pPr>
      <w:bookmarkStart w:id="4" w:name="_Ref307423948"/>
      <w:proofErr w:type="spellStart"/>
      <w:r>
        <w:t>Sofosbuvir</w:t>
      </w:r>
      <w:proofErr w:type="spellEnd"/>
      <w:r>
        <w:t xml:space="preserve"> is extensively metabolized in the liver to form the pharmacologically active </w:t>
      </w:r>
      <w:r w:rsidRPr="004C2380">
        <w:t>nucleoside analog triphosphate</w:t>
      </w:r>
      <w:r>
        <w:t xml:space="preserve"> GS-461203. The metabolic activation pathway involves sequential hydrolysis of the carboxyl ester moiety catalyzed by human </w:t>
      </w:r>
      <w:proofErr w:type="spellStart"/>
      <w:r>
        <w:t>cathepsin</w:t>
      </w:r>
      <w:proofErr w:type="spellEnd"/>
      <w:r>
        <w:t xml:space="preserve"> A (</w:t>
      </w:r>
      <w:proofErr w:type="spellStart"/>
      <w:r>
        <w:t>CatA</w:t>
      </w:r>
      <w:proofErr w:type="spellEnd"/>
      <w:r>
        <w:t xml:space="preserve">) or </w:t>
      </w:r>
      <w:proofErr w:type="spellStart"/>
      <w:r>
        <w:t>carboxylesterase</w:t>
      </w:r>
      <w:proofErr w:type="spellEnd"/>
      <w:r>
        <w:t xml:space="preserve"> 1 (CES1) and </w:t>
      </w:r>
      <w:proofErr w:type="spellStart"/>
      <w:r>
        <w:t>phosphoramidate</w:t>
      </w:r>
      <w:proofErr w:type="spellEnd"/>
      <w:r>
        <w:t xml:space="preserve"> cleavage by histidine triad nucleotide-binding protein 1 (HINT1) followed by phosphorylation by the pyrimidine nucleotide </w:t>
      </w:r>
      <w:proofErr w:type="spellStart"/>
      <w:r>
        <w:t>biosysthesis</w:t>
      </w:r>
      <w:proofErr w:type="spellEnd"/>
      <w:r>
        <w:t xml:space="preserve"> pathway. </w:t>
      </w:r>
      <w:proofErr w:type="spellStart"/>
      <w:r>
        <w:t>Dephosphorylation</w:t>
      </w:r>
      <w:proofErr w:type="spellEnd"/>
      <w:r>
        <w:t xml:space="preserve"> results in the formation of nucleoside metabolite GS-331007 that cannot be efficiently </w:t>
      </w:r>
      <w:proofErr w:type="spellStart"/>
      <w:r>
        <w:t>rephosphorylated</w:t>
      </w:r>
      <w:proofErr w:type="spellEnd"/>
      <w:r>
        <w:t xml:space="preserve"> and lacks anti-HCV activity in vitro.</w:t>
      </w:r>
    </w:p>
    <w:p w:rsidR="00185EB5" w:rsidRDefault="00185EB5" w:rsidP="00A5393D">
      <w:pPr>
        <w:pStyle w:val="Text10"/>
      </w:pPr>
      <w:r>
        <w:t>After a single 400 mg oral dose of [</w:t>
      </w:r>
      <w:r w:rsidRPr="00FE69C1">
        <w:rPr>
          <w:vertAlign w:val="superscript"/>
        </w:rPr>
        <w:t>14</w:t>
      </w:r>
      <w:r>
        <w:t>C]-</w:t>
      </w:r>
      <w:proofErr w:type="spellStart"/>
      <w:r>
        <w:t>sofosbuvir</w:t>
      </w:r>
      <w:proofErr w:type="spellEnd"/>
      <w:r>
        <w:t xml:space="preserve">, </w:t>
      </w:r>
      <w:proofErr w:type="spellStart"/>
      <w:r>
        <w:t>sofosbuvir</w:t>
      </w:r>
      <w:proofErr w:type="spellEnd"/>
      <w:r>
        <w:t xml:space="preserve"> and GS-331007 accounted for approximately 4% and &gt;</w:t>
      </w:r>
      <w:r w:rsidR="009C50CF">
        <w:t xml:space="preserve"> </w:t>
      </w:r>
      <w:r>
        <w:t xml:space="preserve">90% of drug related material (sum of molecular weight-adjusted AUC of </w:t>
      </w:r>
      <w:proofErr w:type="spellStart"/>
      <w:r>
        <w:t>sofosbuvir</w:t>
      </w:r>
      <w:proofErr w:type="spellEnd"/>
      <w:r>
        <w:t xml:space="preserve"> and its metabolites) systemic exposure, respectively.</w:t>
      </w:r>
      <w:bookmarkEnd w:id="4"/>
    </w:p>
    <w:p w:rsidR="005A6310" w:rsidRDefault="00A16F21" w:rsidP="00A5393D">
      <w:pPr>
        <w:rPr>
          <w:rFonts w:ascii="Times New Roman" w:hAnsi="Times New Roman"/>
          <w:b/>
          <w:sz w:val="24"/>
          <w:szCs w:val="24"/>
        </w:rPr>
      </w:pPr>
      <w:r>
        <w:rPr>
          <w:rFonts w:ascii="Times New Roman" w:hAnsi="Times New Roman"/>
          <w:b/>
          <w:sz w:val="24"/>
          <w:szCs w:val="24"/>
        </w:rPr>
        <w:t>Excretion</w:t>
      </w:r>
    </w:p>
    <w:p w:rsidR="00135147" w:rsidRDefault="00C84209" w:rsidP="00A5393D">
      <w:pPr>
        <w:rPr>
          <w:rFonts w:ascii="Times New Roman" w:hAnsi="Times New Roman"/>
          <w:sz w:val="24"/>
          <w:szCs w:val="24"/>
        </w:rPr>
      </w:pPr>
      <w:r w:rsidRPr="00C84209">
        <w:rPr>
          <w:rFonts w:ascii="Times New Roman" w:hAnsi="Times New Roman"/>
          <w:sz w:val="24"/>
          <w:szCs w:val="24"/>
        </w:rPr>
        <w:t xml:space="preserve">Following a single 400 mg oral dose of </w:t>
      </w:r>
      <w:r w:rsidRPr="00CA3E4F">
        <w:rPr>
          <w:rFonts w:ascii="Times New Roman" w:hAnsi="Times New Roman"/>
          <w:sz w:val="24"/>
          <w:szCs w:val="24"/>
          <w:vertAlign w:val="superscript"/>
        </w:rPr>
        <w:t>14</w:t>
      </w:r>
      <w:r w:rsidRPr="00C84209">
        <w:rPr>
          <w:rFonts w:ascii="Times New Roman" w:hAnsi="Times New Roman"/>
          <w:sz w:val="24"/>
          <w:szCs w:val="24"/>
        </w:rPr>
        <w:t>C-sofosbuvir, mean total recovery of the dose was greater than 92%, consisting of approximate</w:t>
      </w:r>
      <w:r w:rsidR="00AC6262">
        <w:rPr>
          <w:rFonts w:ascii="Times New Roman" w:hAnsi="Times New Roman"/>
          <w:sz w:val="24"/>
          <w:szCs w:val="24"/>
        </w:rPr>
        <w:t>ly</w:t>
      </w:r>
      <w:r w:rsidRPr="00C84209">
        <w:rPr>
          <w:rFonts w:ascii="Times New Roman" w:hAnsi="Times New Roman"/>
          <w:sz w:val="24"/>
          <w:szCs w:val="24"/>
        </w:rPr>
        <w:t xml:space="preserve"> 80</w:t>
      </w:r>
      <w:r w:rsidR="00AC6262">
        <w:rPr>
          <w:rFonts w:ascii="Times New Roman" w:hAnsi="Times New Roman"/>
          <w:sz w:val="24"/>
          <w:szCs w:val="24"/>
        </w:rPr>
        <w:t>%</w:t>
      </w:r>
      <w:r w:rsidRPr="00C84209">
        <w:rPr>
          <w:rFonts w:ascii="Times New Roman" w:hAnsi="Times New Roman"/>
          <w:sz w:val="24"/>
          <w:szCs w:val="24"/>
        </w:rPr>
        <w:t>, 14</w:t>
      </w:r>
      <w:r w:rsidR="00AC6262">
        <w:rPr>
          <w:rFonts w:ascii="Times New Roman" w:hAnsi="Times New Roman"/>
          <w:sz w:val="24"/>
          <w:szCs w:val="24"/>
        </w:rPr>
        <w:t>%</w:t>
      </w:r>
      <w:r w:rsidRPr="00C84209">
        <w:rPr>
          <w:rFonts w:ascii="Times New Roman" w:hAnsi="Times New Roman"/>
          <w:sz w:val="24"/>
          <w:szCs w:val="24"/>
        </w:rPr>
        <w:t>, and 2.5% recovered in urine, f</w:t>
      </w:r>
      <w:r w:rsidR="00651014">
        <w:rPr>
          <w:rFonts w:ascii="Times New Roman" w:hAnsi="Times New Roman"/>
          <w:sz w:val="24"/>
          <w:szCs w:val="24"/>
        </w:rPr>
        <w:t>a</w:t>
      </w:r>
      <w:r w:rsidRPr="00C84209">
        <w:rPr>
          <w:rFonts w:ascii="Times New Roman" w:hAnsi="Times New Roman"/>
          <w:sz w:val="24"/>
          <w:szCs w:val="24"/>
        </w:rPr>
        <w:t xml:space="preserve">eces, and expired air, respectively. The majority of the </w:t>
      </w:r>
      <w:proofErr w:type="spellStart"/>
      <w:r w:rsidRPr="00C84209">
        <w:rPr>
          <w:rFonts w:ascii="Times New Roman" w:hAnsi="Times New Roman"/>
          <w:sz w:val="24"/>
          <w:szCs w:val="24"/>
        </w:rPr>
        <w:t>sofosbuvir</w:t>
      </w:r>
      <w:proofErr w:type="spellEnd"/>
      <w:r w:rsidR="006C133F">
        <w:rPr>
          <w:rFonts w:ascii="Times New Roman" w:hAnsi="Times New Roman"/>
          <w:sz w:val="24"/>
          <w:szCs w:val="24"/>
        </w:rPr>
        <w:t xml:space="preserve"> dose recovered in urine was         GS-</w:t>
      </w:r>
      <w:r w:rsidRPr="00C84209">
        <w:rPr>
          <w:rFonts w:ascii="Times New Roman" w:hAnsi="Times New Roman"/>
          <w:sz w:val="24"/>
          <w:szCs w:val="24"/>
        </w:rPr>
        <w:t xml:space="preserve">331007 (78%) while 3.5% was recovered as </w:t>
      </w:r>
      <w:proofErr w:type="spellStart"/>
      <w:r w:rsidRPr="00C84209">
        <w:rPr>
          <w:rFonts w:ascii="Times New Roman" w:hAnsi="Times New Roman"/>
          <w:sz w:val="24"/>
          <w:szCs w:val="24"/>
        </w:rPr>
        <w:t>sofosbuvir</w:t>
      </w:r>
      <w:proofErr w:type="spellEnd"/>
      <w:r w:rsidRPr="00C84209">
        <w:rPr>
          <w:rFonts w:ascii="Times New Roman" w:hAnsi="Times New Roman"/>
          <w:sz w:val="24"/>
          <w:szCs w:val="24"/>
        </w:rPr>
        <w:t>. This data indicate that renal clearance is the m</w:t>
      </w:r>
      <w:r w:rsidR="00651014">
        <w:rPr>
          <w:rFonts w:ascii="Times New Roman" w:hAnsi="Times New Roman"/>
          <w:sz w:val="24"/>
          <w:szCs w:val="24"/>
        </w:rPr>
        <w:t>ajor elimination pathway for GS-</w:t>
      </w:r>
      <w:r w:rsidRPr="00C84209">
        <w:rPr>
          <w:rFonts w:ascii="Times New Roman" w:hAnsi="Times New Roman"/>
          <w:sz w:val="24"/>
          <w:szCs w:val="24"/>
        </w:rPr>
        <w:t xml:space="preserve">331007. The median terminal half-life of </w:t>
      </w:r>
      <w:proofErr w:type="spellStart"/>
      <w:r w:rsidRPr="00C84209">
        <w:rPr>
          <w:rFonts w:ascii="Times New Roman" w:hAnsi="Times New Roman"/>
          <w:sz w:val="24"/>
          <w:szCs w:val="24"/>
        </w:rPr>
        <w:t>sofosbuvir</w:t>
      </w:r>
      <w:proofErr w:type="spellEnd"/>
      <w:r w:rsidRPr="00C84209">
        <w:rPr>
          <w:rFonts w:ascii="Times New Roman" w:hAnsi="Times New Roman"/>
          <w:sz w:val="24"/>
          <w:szCs w:val="24"/>
        </w:rPr>
        <w:t xml:space="preserve"> </w:t>
      </w:r>
      <w:r w:rsidR="00FC53FF" w:rsidRPr="00C84209">
        <w:rPr>
          <w:rFonts w:ascii="Times New Roman" w:hAnsi="Times New Roman"/>
          <w:sz w:val="24"/>
          <w:szCs w:val="24"/>
        </w:rPr>
        <w:t xml:space="preserve">and </w:t>
      </w:r>
      <w:r w:rsidR="00FC53FF">
        <w:rPr>
          <w:rFonts w:ascii="Times New Roman" w:hAnsi="Times New Roman"/>
          <w:sz w:val="24"/>
          <w:szCs w:val="24"/>
        </w:rPr>
        <w:t>GS</w:t>
      </w:r>
      <w:r w:rsidRPr="00C84209">
        <w:rPr>
          <w:rFonts w:ascii="Times New Roman" w:hAnsi="Times New Roman"/>
          <w:sz w:val="24"/>
          <w:szCs w:val="24"/>
        </w:rPr>
        <w:t>-331007 were 0.4 and 27 hours</w:t>
      </w:r>
      <w:r w:rsidR="00B81D6B">
        <w:rPr>
          <w:rFonts w:ascii="Times New Roman" w:hAnsi="Times New Roman"/>
          <w:sz w:val="24"/>
          <w:szCs w:val="24"/>
        </w:rPr>
        <w:t>,</w:t>
      </w:r>
      <w:r w:rsidRPr="00C84209">
        <w:rPr>
          <w:rFonts w:ascii="Times New Roman" w:hAnsi="Times New Roman"/>
          <w:sz w:val="24"/>
          <w:szCs w:val="24"/>
        </w:rPr>
        <w:t xml:space="preserve"> respectively</w:t>
      </w:r>
      <w:r w:rsidR="009C50CF">
        <w:rPr>
          <w:rFonts w:ascii="Times New Roman" w:hAnsi="Times New Roman"/>
          <w:sz w:val="24"/>
          <w:szCs w:val="24"/>
        </w:rPr>
        <w:t>.</w:t>
      </w:r>
    </w:p>
    <w:p w:rsidR="00C84209" w:rsidRPr="00C84209" w:rsidRDefault="00C84209" w:rsidP="00A5393D">
      <w:pPr>
        <w:rPr>
          <w:rFonts w:ascii="Times New Roman" w:hAnsi="Times New Roman"/>
          <w:sz w:val="24"/>
          <w:szCs w:val="24"/>
        </w:rPr>
      </w:pPr>
    </w:p>
    <w:p w:rsidR="001369E9" w:rsidRPr="00A534A2" w:rsidRDefault="001369E9" w:rsidP="00A5393D">
      <w:pPr>
        <w:jc w:val="both"/>
        <w:rPr>
          <w:rFonts w:ascii="Times New Roman" w:hAnsi="Times New Roman"/>
          <w:noProof/>
          <w:color w:val="FF0000"/>
          <w:sz w:val="24"/>
          <w:szCs w:val="24"/>
        </w:rPr>
      </w:pPr>
      <w:r w:rsidRPr="00A534A2">
        <w:rPr>
          <w:rFonts w:ascii="Times New Roman" w:hAnsi="Times New Roman"/>
          <w:b/>
          <w:noProof/>
          <w:sz w:val="24"/>
          <w:szCs w:val="24"/>
        </w:rPr>
        <w:t>Effect of food</w:t>
      </w:r>
      <w:r w:rsidRPr="00A534A2">
        <w:rPr>
          <w:rFonts w:ascii="Times New Roman" w:hAnsi="Times New Roman"/>
          <w:noProof/>
          <w:color w:val="FF0000"/>
          <w:sz w:val="24"/>
          <w:szCs w:val="24"/>
        </w:rPr>
        <w:t xml:space="preserve"> </w:t>
      </w:r>
    </w:p>
    <w:p w:rsidR="001369E9" w:rsidRDefault="00ED6A5E" w:rsidP="00A5393D">
      <w:pPr>
        <w:rPr>
          <w:rFonts w:ascii="Times New Roman" w:hAnsi="Times New Roman"/>
          <w:sz w:val="24"/>
          <w:lang w:val="en-GB"/>
        </w:rPr>
      </w:pPr>
      <w:r w:rsidRPr="00ED6A5E">
        <w:rPr>
          <w:rFonts w:ascii="Times New Roman" w:hAnsi="Times New Roman"/>
          <w:sz w:val="24"/>
          <w:lang w:val="en-GB"/>
        </w:rPr>
        <w:t>Relative to fasting conditions, the admini</w:t>
      </w:r>
      <w:r w:rsidR="00C549F8">
        <w:rPr>
          <w:rFonts w:ascii="Times New Roman" w:hAnsi="Times New Roman"/>
          <w:sz w:val="24"/>
          <w:lang w:val="en-GB"/>
        </w:rPr>
        <w:t xml:space="preserve">stration of a single dose of </w:t>
      </w:r>
      <w:r w:rsidR="00D21279">
        <w:rPr>
          <w:rFonts w:ascii="Times New Roman" w:hAnsi="Times New Roman"/>
          <w:sz w:val="24"/>
          <w:lang w:val="en-GB"/>
        </w:rPr>
        <w:t>SOVALDI</w:t>
      </w:r>
      <w:r w:rsidR="00C549F8">
        <w:rPr>
          <w:rFonts w:ascii="Times New Roman" w:hAnsi="Times New Roman"/>
          <w:sz w:val="24"/>
          <w:lang w:val="en-GB"/>
        </w:rPr>
        <w:t xml:space="preserve"> </w:t>
      </w:r>
      <w:r w:rsidRPr="00ED6A5E">
        <w:rPr>
          <w:rFonts w:ascii="Times New Roman" w:hAnsi="Times New Roman"/>
          <w:sz w:val="24"/>
          <w:lang w:val="en-GB"/>
        </w:rPr>
        <w:t>with a standardi</w:t>
      </w:r>
      <w:r w:rsidR="00E5151E">
        <w:rPr>
          <w:rFonts w:ascii="Times New Roman" w:hAnsi="Times New Roman"/>
          <w:sz w:val="24"/>
          <w:lang w:val="en-GB"/>
        </w:rPr>
        <w:t>s</w:t>
      </w:r>
      <w:r w:rsidRPr="00ED6A5E">
        <w:rPr>
          <w:rFonts w:ascii="Times New Roman" w:hAnsi="Times New Roman"/>
          <w:sz w:val="24"/>
          <w:lang w:val="en-GB"/>
        </w:rPr>
        <w:t xml:space="preserve">ed high fat meal slowed the rate of absorption of </w:t>
      </w:r>
      <w:proofErr w:type="spellStart"/>
      <w:r w:rsidRPr="00ED6A5E">
        <w:rPr>
          <w:rFonts w:ascii="Times New Roman" w:hAnsi="Times New Roman"/>
          <w:sz w:val="24"/>
          <w:lang w:val="en-GB"/>
        </w:rPr>
        <w:t>sofosbuvir</w:t>
      </w:r>
      <w:proofErr w:type="spellEnd"/>
      <w:r w:rsidRPr="00ED6A5E">
        <w:rPr>
          <w:rFonts w:ascii="Times New Roman" w:hAnsi="Times New Roman"/>
          <w:sz w:val="24"/>
          <w:lang w:val="en-GB"/>
        </w:rPr>
        <w:t xml:space="preserve"> but did not substantially affect the extent of absorption. The exposure of GS-331007 was not altered in the presence </w:t>
      </w:r>
      <w:r w:rsidR="00DC68B7">
        <w:rPr>
          <w:rFonts w:ascii="Times New Roman" w:hAnsi="Times New Roman"/>
          <w:sz w:val="24"/>
          <w:lang w:val="en-GB"/>
        </w:rPr>
        <w:t xml:space="preserve">of a high-fat meal. Therefore, </w:t>
      </w:r>
      <w:r w:rsidR="00D21279">
        <w:rPr>
          <w:rFonts w:ascii="Times New Roman" w:hAnsi="Times New Roman"/>
          <w:sz w:val="24"/>
          <w:lang w:val="en-GB"/>
        </w:rPr>
        <w:t>SOVALDI</w:t>
      </w:r>
      <w:r w:rsidRPr="00ED6A5E">
        <w:rPr>
          <w:rFonts w:ascii="Times New Roman" w:hAnsi="Times New Roman"/>
          <w:sz w:val="24"/>
          <w:lang w:val="en-GB"/>
        </w:rPr>
        <w:t xml:space="preserve"> can be administered without regard to food</w:t>
      </w:r>
      <w:r>
        <w:rPr>
          <w:rFonts w:ascii="Times New Roman" w:hAnsi="Times New Roman"/>
          <w:sz w:val="24"/>
          <w:lang w:val="en-GB"/>
        </w:rPr>
        <w:t>.</w:t>
      </w:r>
    </w:p>
    <w:p w:rsidR="00ED6A5E" w:rsidRPr="00ED6A5E" w:rsidRDefault="00ED6A5E" w:rsidP="00A5393D">
      <w:pPr>
        <w:rPr>
          <w:rFonts w:ascii="Times New Roman" w:hAnsi="Times New Roman"/>
          <w:sz w:val="24"/>
          <w:lang w:val="en-GB"/>
        </w:rPr>
      </w:pPr>
    </w:p>
    <w:p w:rsidR="007254DD" w:rsidRPr="008B7865" w:rsidRDefault="007254DD" w:rsidP="00A5393D">
      <w:pPr>
        <w:jc w:val="both"/>
        <w:rPr>
          <w:rFonts w:ascii="Times New Roman" w:hAnsi="Times New Roman"/>
          <w:b/>
          <w:noProof/>
          <w:sz w:val="24"/>
          <w:szCs w:val="24"/>
        </w:rPr>
      </w:pPr>
      <w:r w:rsidRPr="008B7865">
        <w:rPr>
          <w:rFonts w:ascii="Times New Roman" w:hAnsi="Times New Roman"/>
          <w:b/>
          <w:noProof/>
          <w:sz w:val="24"/>
          <w:szCs w:val="24"/>
        </w:rPr>
        <w:t>Age</w:t>
      </w:r>
      <w:r w:rsidR="004603A7">
        <w:rPr>
          <w:rFonts w:ascii="Times New Roman" w:hAnsi="Times New Roman"/>
          <w:b/>
          <w:noProof/>
          <w:sz w:val="24"/>
          <w:szCs w:val="24"/>
        </w:rPr>
        <w:t>,</w:t>
      </w:r>
      <w:r w:rsidR="00D852BF" w:rsidRPr="008B7865">
        <w:rPr>
          <w:rFonts w:ascii="Times New Roman" w:hAnsi="Times New Roman"/>
          <w:b/>
          <w:noProof/>
          <w:sz w:val="24"/>
          <w:szCs w:val="24"/>
        </w:rPr>
        <w:t xml:space="preserve"> </w:t>
      </w:r>
      <w:r w:rsidRPr="008B7865">
        <w:rPr>
          <w:rFonts w:ascii="Times New Roman" w:hAnsi="Times New Roman"/>
          <w:b/>
          <w:noProof/>
          <w:sz w:val="24"/>
          <w:szCs w:val="24"/>
        </w:rPr>
        <w:t xml:space="preserve">Gender </w:t>
      </w:r>
      <w:r w:rsidR="004603A7">
        <w:rPr>
          <w:rFonts w:ascii="Times New Roman" w:hAnsi="Times New Roman"/>
          <w:b/>
          <w:noProof/>
          <w:sz w:val="24"/>
          <w:szCs w:val="24"/>
        </w:rPr>
        <w:t>and Ethnicity</w:t>
      </w:r>
    </w:p>
    <w:p w:rsidR="008A09DB" w:rsidRDefault="00852831" w:rsidP="00A5393D">
      <w:pPr>
        <w:jc w:val="both"/>
        <w:rPr>
          <w:rFonts w:ascii="Times New Roman" w:hAnsi="Times New Roman"/>
          <w:bCs/>
          <w:noProof/>
          <w:sz w:val="24"/>
          <w:szCs w:val="24"/>
          <w:lang w:val="en-US"/>
        </w:rPr>
      </w:pPr>
      <w:r>
        <w:rPr>
          <w:rFonts w:ascii="Times New Roman" w:hAnsi="Times New Roman"/>
          <w:bCs/>
          <w:noProof/>
          <w:sz w:val="24"/>
          <w:szCs w:val="24"/>
          <w:lang w:val="en-US"/>
        </w:rPr>
        <w:t>Although not all ethnicities have been studied, n</w:t>
      </w:r>
      <w:r w:rsidR="00465B31" w:rsidRPr="00465B31">
        <w:rPr>
          <w:rFonts w:ascii="Times New Roman" w:hAnsi="Times New Roman"/>
          <w:bCs/>
          <w:noProof/>
          <w:sz w:val="24"/>
          <w:szCs w:val="24"/>
          <w:lang w:val="en-US"/>
        </w:rPr>
        <w:t xml:space="preserve">o clinically relevant pharmacokinetic differences due to ethnicity have been identified for </w:t>
      </w:r>
      <w:r w:rsidR="00DC68B7">
        <w:rPr>
          <w:rFonts w:ascii="Times New Roman" w:hAnsi="Times New Roman"/>
          <w:bCs/>
          <w:noProof/>
          <w:sz w:val="24"/>
          <w:szCs w:val="24"/>
          <w:lang w:val="en-US"/>
        </w:rPr>
        <w:t>sofosbuvir and GS-331</w:t>
      </w:r>
      <w:r w:rsidR="001A001B">
        <w:rPr>
          <w:rFonts w:ascii="Times New Roman" w:hAnsi="Times New Roman"/>
          <w:bCs/>
          <w:noProof/>
          <w:sz w:val="24"/>
          <w:szCs w:val="24"/>
          <w:lang w:val="en-US"/>
        </w:rPr>
        <w:t>007</w:t>
      </w:r>
      <w:r w:rsidR="004C2380">
        <w:rPr>
          <w:rFonts w:ascii="Times New Roman" w:hAnsi="Times New Roman"/>
          <w:bCs/>
          <w:noProof/>
          <w:sz w:val="24"/>
          <w:szCs w:val="24"/>
          <w:lang w:val="en-US"/>
        </w:rPr>
        <w:t>.</w:t>
      </w:r>
    </w:p>
    <w:p w:rsidR="008A09DB" w:rsidRDefault="008A09DB" w:rsidP="008A09DB">
      <w:pPr>
        <w:pStyle w:val="Text10"/>
      </w:pPr>
      <w:r w:rsidRPr="001A395C">
        <w:t xml:space="preserve">The pharmacokinetics of </w:t>
      </w:r>
      <w:proofErr w:type="spellStart"/>
      <w:r w:rsidRPr="001A395C">
        <w:t>sofosbuvir</w:t>
      </w:r>
      <w:proofErr w:type="spellEnd"/>
      <w:r w:rsidRPr="001A395C">
        <w:t xml:space="preserve"> and GS-331007 in </w:t>
      </w:r>
      <w:proofErr w:type="spellStart"/>
      <w:r w:rsidRPr="001A395C">
        <w:t>p</w:t>
      </w:r>
      <w:r w:rsidR="00511970">
        <w:t>a</w:t>
      </w:r>
      <w:r w:rsidRPr="001A395C">
        <w:t>ediatric</w:t>
      </w:r>
      <w:proofErr w:type="spellEnd"/>
      <w:r w:rsidRPr="001A395C">
        <w:t xml:space="preserve"> </w:t>
      </w:r>
      <w:r w:rsidR="00511970">
        <w:t>patients</w:t>
      </w:r>
      <w:r w:rsidRPr="001A395C">
        <w:t xml:space="preserve"> </w:t>
      </w:r>
      <w:r w:rsidR="00A606B3" w:rsidRPr="001A395C">
        <w:t>has</w:t>
      </w:r>
      <w:r w:rsidRPr="001A395C">
        <w:t xml:space="preserve"> not been established.</w:t>
      </w:r>
    </w:p>
    <w:p w:rsidR="00857F7D" w:rsidRDefault="00BE32AD" w:rsidP="00857F7D">
      <w:pPr>
        <w:pStyle w:val="Default"/>
      </w:pPr>
      <w:r w:rsidRPr="00BE32AD">
        <w:rPr>
          <w:bCs/>
          <w:noProof/>
        </w:rPr>
        <w:t xml:space="preserve">Population pharmacokinetic analysis in HCV-infected </w:t>
      </w:r>
      <w:r w:rsidR="00F218E6">
        <w:rPr>
          <w:bCs/>
          <w:noProof/>
        </w:rPr>
        <w:t>patients</w:t>
      </w:r>
      <w:r w:rsidR="00F218E6" w:rsidRPr="00BE32AD">
        <w:rPr>
          <w:bCs/>
          <w:noProof/>
        </w:rPr>
        <w:t xml:space="preserve"> </w:t>
      </w:r>
      <w:r w:rsidRPr="00BE32AD">
        <w:rPr>
          <w:bCs/>
          <w:noProof/>
        </w:rPr>
        <w:t>showed that within the age range (19 to 75 years) analy</w:t>
      </w:r>
      <w:r w:rsidR="00F218E6">
        <w:rPr>
          <w:bCs/>
          <w:noProof/>
        </w:rPr>
        <w:t>s</w:t>
      </w:r>
      <w:r w:rsidRPr="00BE32AD">
        <w:rPr>
          <w:bCs/>
          <w:noProof/>
        </w:rPr>
        <w:t>ed, age did not have a clinically relevant effect on the exposure to sofosbuvir and GS-331007.</w:t>
      </w:r>
      <w:r w:rsidR="004774EA">
        <w:rPr>
          <w:bCs/>
          <w:noProof/>
        </w:rPr>
        <w:t xml:space="preserve">  </w:t>
      </w:r>
      <w:r w:rsidR="007F6070" w:rsidRPr="007F6070">
        <w:t>SOVALDI was administered to 61 subjects aged 65 and over</w:t>
      </w:r>
      <w:r w:rsidR="00857F7D" w:rsidRPr="00857F7D">
        <w:rPr>
          <w:bCs/>
        </w:rPr>
        <w:t>. The response rates observed for subjects over 65 years of age were similar to that of younger subjects across treatment groups</w:t>
      </w:r>
      <w:r w:rsidR="007F6070">
        <w:rPr>
          <w:bCs/>
        </w:rPr>
        <w:t xml:space="preserve"> (see PRECAUTIONS, Use in Elderly</w:t>
      </w:r>
      <w:r w:rsidR="00B478B6">
        <w:rPr>
          <w:bCs/>
        </w:rPr>
        <w:t>)</w:t>
      </w:r>
      <w:r w:rsidR="00857F7D" w:rsidRPr="00857F7D">
        <w:rPr>
          <w:bCs/>
        </w:rPr>
        <w:t>.</w:t>
      </w:r>
      <w:r w:rsidR="00857F7D">
        <w:rPr>
          <w:b/>
          <w:bCs/>
        </w:rPr>
        <w:t xml:space="preserve"> </w:t>
      </w:r>
    </w:p>
    <w:p w:rsidR="00F14815" w:rsidRDefault="00F14815" w:rsidP="00F14815">
      <w:pPr>
        <w:pStyle w:val="Text10"/>
        <w:spacing w:after="0"/>
        <w:rPr>
          <w:bCs/>
          <w:noProof/>
          <w:szCs w:val="24"/>
        </w:rPr>
      </w:pPr>
    </w:p>
    <w:p w:rsidR="00975621" w:rsidRDefault="00975621" w:rsidP="00A5393D">
      <w:pPr>
        <w:pStyle w:val="Text10"/>
      </w:pPr>
      <w:r w:rsidRPr="001A395C">
        <w:t xml:space="preserve">No clinically relevant pharmacokinetic differences due to gender or race have been identified for </w:t>
      </w:r>
      <w:proofErr w:type="spellStart"/>
      <w:r w:rsidRPr="001A395C">
        <w:t>sofosbuvir</w:t>
      </w:r>
      <w:proofErr w:type="spellEnd"/>
      <w:r w:rsidRPr="001A395C">
        <w:t xml:space="preserve"> and GS-331007.</w:t>
      </w:r>
    </w:p>
    <w:p w:rsidR="00231170" w:rsidRDefault="00231170" w:rsidP="00B74D17">
      <w:pPr>
        <w:jc w:val="both"/>
        <w:rPr>
          <w:rFonts w:ascii="Times New Roman" w:hAnsi="Times New Roman"/>
          <w:b/>
          <w:noProof/>
          <w:sz w:val="24"/>
          <w:szCs w:val="24"/>
        </w:rPr>
      </w:pPr>
    </w:p>
    <w:p w:rsidR="007254DD" w:rsidRPr="008B7865" w:rsidRDefault="00231170" w:rsidP="00B74D17">
      <w:pPr>
        <w:jc w:val="both"/>
        <w:rPr>
          <w:rFonts w:ascii="Times New Roman" w:hAnsi="Times New Roman"/>
          <w:b/>
          <w:noProof/>
          <w:sz w:val="24"/>
          <w:szCs w:val="24"/>
        </w:rPr>
      </w:pPr>
      <w:r>
        <w:rPr>
          <w:rFonts w:ascii="Times New Roman" w:hAnsi="Times New Roman"/>
          <w:b/>
          <w:noProof/>
          <w:sz w:val="24"/>
          <w:szCs w:val="24"/>
        </w:rPr>
        <w:t>P</w:t>
      </w:r>
      <w:r w:rsidR="007254DD" w:rsidRPr="008B7865">
        <w:rPr>
          <w:rFonts w:ascii="Times New Roman" w:hAnsi="Times New Roman"/>
          <w:b/>
          <w:noProof/>
          <w:sz w:val="24"/>
          <w:szCs w:val="24"/>
        </w:rPr>
        <w:t>atients with Impaired Renal Function</w:t>
      </w:r>
    </w:p>
    <w:p w:rsidR="00C022C0" w:rsidRPr="001A395C" w:rsidRDefault="00C022C0" w:rsidP="00BF711F">
      <w:pPr>
        <w:pStyle w:val="Text10"/>
        <w:rPr>
          <w:rStyle w:val="Subheading2Char"/>
          <w:b w:val="0"/>
          <w:bCs w:val="0"/>
          <w:i w:val="0"/>
          <w:iCs w:val="0"/>
        </w:rPr>
      </w:pPr>
      <w:r w:rsidRPr="001A395C">
        <w:t xml:space="preserve">The pharmacokinetics of </w:t>
      </w:r>
      <w:proofErr w:type="spellStart"/>
      <w:r w:rsidRPr="001A395C">
        <w:t>sofosbuvir</w:t>
      </w:r>
      <w:proofErr w:type="spellEnd"/>
      <w:r w:rsidRPr="001A395C">
        <w:t xml:space="preserve"> were studied in HCV negative </w:t>
      </w:r>
      <w:r w:rsidR="00F218E6">
        <w:t>patients</w:t>
      </w:r>
      <w:r w:rsidR="00F218E6" w:rsidRPr="001A395C">
        <w:t xml:space="preserve"> </w:t>
      </w:r>
      <w:r w:rsidRPr="001A395C">
        <w:t xml:space="preserve">with mild </w:t>
      </w:r>
      <w:r w:rsidR="009C50CF">
        <w:t xml:space="preserve">            </w:t>
      </w:r>
      <w:r w:rsidRPr="001A395C">
        <w:t>(</w:t>
      </w:r>
      <w:proofErr w:type="spellStart"/>
      <w:r w:rsidRPr="001A395C">
        <w:t>eGFR</w:t>
      </w:r>
      <w:proofErr w:type="spellEnd"/>
      <w:r w:rsidRPr="001A395C">
        <w:t xml:space="preserve"> ≥</w:t>
      </w:r>
      <w:r w:rsidR="009C50CF">
        <w:t xml:space="preserve"> </w:t>
      </w:r>
      <w:r w:rsidRPr="001A395C">
        <w:t>50 and &lt;</w:t>
      </w:r>
      <w:r w:rsidR="009536F6">
        <w:t xml:space="preserve"> </w:t>
      </w:r>
      <w:r w:rsidRPr="001A395C">
        <w:t>80 mL/min/1.73m</w:t>
      </w:r>
      <w:r w:rsidRPr="00C72953">
        <w:rPr>
          <w:vertAlign w:val="superscript"/>
        </w:rPr>
        <w:t>2</w:t>
      </w:r>
      <w:r w:rsidRPr="001A395C">
        <w:t>), moderate (</w:t>
      </w:r>
      <w:proofErr w:type="spellStart"/>
      <w:r w:rsidRPr="001A395C">
        <w:t>eGFR</w:t>
      </w:r>
      <w:proofErr w:type="spellEnd"/>
      <w:r w:rsidRPr="001A395C">
        <w:t xml:space="preserve"> ≥</w:t>
      </w:r>
      <w:r w:rsidR="00831BB9">
        <w:t xml:space="preserve"> </w:t>
      </w:r>
      <w:r w:rsidRPr="001A395C">
        <w:t>30 and &lt;</w:t>
      </w:r>
      <w:r w:rsidR="00831BB9">
        <w:t xml:space="preserve"> </w:t>
      </w:r>
      <w:r w:rsidRPr="001A395C">
        <w:t>50 mL/min/1.73m</w:t>
      </w:r>
      <w:r w:rsidRPr="00C72953">
        <w:rPr>
          <w:vertAlign w:val="superscript"/>
        </w:rPr>
        <w:t>2</w:t>
      </w:r>
      <w:r w:rsidRPr="001A395C">
        <w:t>), severe renal impairment (</w:t>
      </w:r>
      <w:proofErr w:type="spellStart"/>
      <w:r w:rsidRPr="001A395C">
        <w:t>eGFR</w:t>
      </w:r>
      <w:proofErr w:type="spellEnd"/>
      <w:r w:rsidRPr="001A395C">
        <w:t xml:space="preserve"> &lt; 30 mL/min/1.73m</w:t>
      </w:r>
      <w:r w:rsidRPr="001A395C">
        <w:rPr>
          <w:vertAlign w:val="superscript"/>
        </w:rPr>
        <w:t>2</w:t>
      </w:r>
      <w:r w:rsidRPr="001A395C">
        <w:t xml:space="preserve">) and </w:t>
      </w:r>
      <w:r w:rsidR="00FD6E81">
        <w:t>patients</w:t>
      </w:r>
      <w:r w:rsidR="00F218E6" w:rsidRPr="001A395C">
        <w:t xml:space="preserve"> </w:t>
      </w:r>
      <w:r w:rsidRPr="001A395C">
        <w:t xml:space="preserve">with end stage renal disease (ESRD) </w:t>
      </w:r>
      <w:r w:rsidRPr="001A395C">
        <w:lastRenderedPageBreak/>
        <w:t xml:space="preserve">requiring </w:t>
      </w:r>
      <w:proofErr w:type="spellStart"/>
      <w:r w:rsidRPr="001A395C">
        <w:t>h</w:t>
      </w:r>
      <w:r w:rsidR="003C2A35">
        <w:t>a</w:t>
      </w:r>
      <w:r w:rsidRPr="001A395C">
        <w:t>emodialysis</w:t>
      </w:r>
      <w:proofErr w:type="spellEnd"/>
      <w:r w:rsidRPr="001A395C">
        <w:t xml:space="preserve"> following a single 400 mg dose of </w:t>
      </w:r>
      <w:proofErr w:type="spellStart"/>
      <w:r w:rsidRPr="001A395C">
        <w:t>sofosbuvir</w:t>
      </w:r>
      <w:proofErr w:type="spellEnd"/>
      <w:r w:rsidRPr="001A395C">
        <w:t xml:space="preserve">. Relative to </w:t>
      </w:r>
      <w:r w:rsidR="00FD6E81">
        <w:t>patients</w:t>
      </w:r>
      <w:r w:rsidR="00F218E6" w:rsidRPr="001A395C">
        <w:t xml:space="preserve"> </w:t>
      </w:r>
      <w:r w:rsidRPr="001A395C">
        <w:t>with normal renal function (</w:t>
      </w:r>
      <w:proofErr w:type="spellStart"/>
      <w:r w:rsidRPr="001A395C">
        <w:t>eGFR</w:t>
      </w:r>
      <w:proofErr w:type="spellEnd"/>
      <w:r w:rsidRPr="001A395C">
        <w:t xml:space="preserve"> &gt; 80 mL/min/1.73m</w:t>
      </w:r>
      <w:r w:rsidRPr="001A395C">
        <w:rPr>
          <w:vertAlign w:val="superscript"/>
        </w:rPr>
        <w:t>2</w:t>
      </w:r>
      <w:r w:rsidRPr="001A395C">
        <w:t xml:space="preserve">), the </w:t>
      </w:r>
      <w:proofErr w:type="spellStart"/>
      <w:r w:rsidRPr="001A395C">
        <w:t>sofosbuvir</w:t>
      </w:r>
      <w:proofErr w:type="spellEnd"/>
      <w:r w:rsidRPr="001A395C">
        <w:t xml:space="preserve"> AUC</w:t>
      </w:r>
      <w:r w:rsidRPr="003C2A35">
        <w:rPr>
          <w:vertAlign w:val="subscript"/>
        </w:rPr>
        <w:t>0-inf</w:t>
      </w:r>
      <w:r w:rsidRPr="001A395C">
        <w:t xml:space="preserve"> was 61%, 107% and 171% higher in mild, moderate and severe renal impairment, while the GS-331007 AUC </w:t>
      </w:r>
      <w:r w:rsidRPr="003C2A35">
        <w:rPr>
          <w:vertAlign w:val="subscript"/>
        </w:rPr>
        <w:t>0-inf</w:t>
      </w:r>
      <w:r w:rsidRPr="001A395C">
        <w:t xml:space="preserve"> was 55%, 88% and 451% higher, respectively. In </w:t>
      </w:r>
      <w:r w:rsidR="00FD6E81">
        <w:t>patients</w:t>
      </w:r>
      <w:r w:rsidRPr="001A395C">
        <w:t xml:space="preserve"> with ESRD, relative to </w:t>
      </w:r>
      <w:r w:rsidR="00FD6E81">
        <w:t>patients</w:t>
      </w:r>
      <w:r w:rsidR="00F218E6">
        <w:t xml:space="preserve"> </w:t>
      </w:r>
      <w:r w:rsidRPr="001A395C">
        <w:t>with normal renal functio</w:t>
      </w:r>
      <w:r>
        <w:t xml:space="preserve">n, </w:t>
      </w:r>
      <w:proofErr w:type="spellStart"/>
      <w:r>
        <w:t>sofosbuvir</w:t>
      </w:r>
      <w:proofErr w:type="spellEnd"/>
      <w:r>
        <w:t xml:space="preserve"> and GS-331007 AUC</w:t>
      </w:r>
      <w:r w:rsidRPr="001A395C">
        <w:rPr>
          <w:vertAlign w:val="subscript"/>
        </w:rPr>
        <w:t>0-inf</w:t>
      </w:r>
      <w:r w:rsidRPr="001A395C">
        <w:t xml:space="preserve"> was 28% and 1280% higher when </w:t>
      </w:r>
      <w:proofErr w:type="spellStart"/>
      <w:r w:rsidRPr="001A395C">
        <w:t>sofosbuvir</w:t>
      </w:r>
      <w:proofErr w:type="spellEnd"/>
      <w:r w:rsidRPr="001A395C">
        <w:t xml:space="preserve"> was dosed 1 hour before </w:t>
      </w:r>
      <w:proofErr w:type="spellStart"/>
      <w:r w:rsidRPr="001A395C">
        <w:t>h</w:t>
      </w:r>
      <w:r w:rsidR="003C2A35">
        <w:t>a</w:t>
      </w:r>
      <w:r w:rsidRPr="001A395C">
        <w:t>emodialysis</w:t>
      </w:r>
      <w:proofErr w:type="spellEnd"/>
      <w:r w:rsidRPr="001A395C">
        <w:t xml:space="preserve"> compared with 60% and 2070% higher when </w:t>
      </w:r>
      <w:proofErr w:type="spellStart"/>
      <w:r w:rsidRPr="001A395C">
        <w:t>sofosbuvir</w:t>
      </w:r>
      <w:proofErr w:type="spellEnd"/>
      <w:r w:rsidRPr="001A395C">
        <w:t xml:space="preserve"> was dosed 1 hour after </w:t>
      </w:r>
      <w:proofErr w:type="spellStart"/>
      <w:r w:rsidRPr="001A395C">
        <w:t>h</w:t>
      </w:r>
      <w:r w:rsidR="003C2A35">
        <w:t>a</w:t>
      </w:r>
      <w:r w:rsidRPr="001A395C">
        <w:t>emodialysis</w:t>
      </w:r>
      <w:proofErr w:type="spellEnd"/>
      <w:r w:rsidRPr="001A395C">
        <w:t xml:space="preserve">. </w:t>
      </w:r>
      <w:proofErr w:type="spellStart"/>
      <w:r w:rsidRPr="001A395C">
        <w:t>H</w:t>
      </w:r>
      <w:r w:rsidR="003C2A35">
        <w:t>a</w:t>
      </w:r>
      <w:r w:rsidRPr="001A395C">
        <w:t>emodialysis</w:t>
      </w:r>
      <w:proofErr w:type="spellEnd"/>
      <w:r w:rsidRPr="001A395C">
        <w:t xml:space="preserve"> is required for the elimination of GS-331007 in </w:t>
      </w:r>
      <w:r w:rsidR="00FD6E81">
        <w:t>patients</w:t>
      </w:r>
      <w:r w:rsidRPr="001A395C">
        <w:t xml:space="preserve"> with ESRD, with a 4 hour </w:t>
      </w:r>
      <w:proofErr w:type="spellStart"/>
      <w:r w:rsidRPr="001A395C">
        <w:t>h</w:t>
      </w:r>
      <w:r w:rsidR="003C2A35">
        <w:t>a</w:t>
      </w:r>
      <w:r w:rsidRPr="001A395C">
        <w:t>emodialysis</w:t>
      </w:r>
      <w:proofErr w:type="spellEnd"/>
      <w:r w:rsidRPr="001A395C">
        <w:t xml:space="preserve"> removing approximately 18% of administered dose. No dose adjustment is required for patients with mild or moderate r</w:t>
      </w:r>
      <w:r w:rsidR="007525AD">
        <w:t xml:space="preserve">enal impairment. The safety of </w:t>
      </w:r>
      <w:r w:rsidR="00D21279">
        <w:t>SOVALDI</w:t>
      </w:r>
      <w:r w:rsidRPr="001A395C">
        <w:t xml:space="preserve"> has not been assessed in patients with severe renal impairment or ESRD.</w:t>
      </w:r>
    </w:p>
    <w:p w:rsidR="007254DD" w:rsidRPr="008B7865" w:rsidRDefault="007254DD" w:rsidP="00BF711F">
      <w:pPr>
        <w:jc w:val="both"/>
        <w:rPr>
          <w:rFonts w:ascii="Times New Roman" w:hAnsi="Times New Roman"/>
          <w:b/>
          <w:sz w:val="24"/>
          <w:szCs w:val="24"/>
        </w:rPr>
      </w:pPr>
      <w:r w:rsidRPr="008B7865">
        <w:rPr>
          <w:rFonts w:ascii="Times New Roman" w:hAnsi="Times New Roman"/>
          <w:b/>
          <w:sz w:val="24"/>
          <w:szCs w:val="24"/>
        </w:rPr>
        <w:t>Patients with Hepatic Impairment</w:t>
      </w:r>
    </w:p>
    <w:p w:rsidR="009C55D2" w:rsidRPr="00BF711F" w:rsidRDefault="009C55D2" w:rsidP="00BF711F">
      <w:pPr>
        <w:pStyle w:val="Text10"/>
      </w:pPr>
      <w:r w:rsidRPr="00BF711F">
        <w:t xml:space="preserve">The pharmacokinetics of </w:t>
      </w:r>
      <w:proofErr w:type="spellStart"/>
      <w:r w:rsidRPr="00BF711F">
        <w:t>sofosbuvir</w:t>
      </w:r>
      <w:proofErr w:type="spellEnd"/>
      <w:r w:rsidRPr="00BF711F">
        <w:t xml:space="preserve"> </w:t>
      </w:r>
      <w:r w:rsidR="00F1261C">
        <w:t>was</w:t>
      </w:r>
      <w:r w:rsidR="00F1261C" w:rsidRPr="00BF711F">
        <w:t xml:space="preserve"> </w:t>
      </w:r>
      <w:r w:rsidRPr="00BF711F">
        <w:t xml:space="preserve">studied following 7-day dosing of 400 mg </w:t>
      </w:r>
      <w:proofErr w:type="spellStart"/>
      <w:r w:rsidRPr="00BF711F">
        <w:t>sofosbuvir</w:t>
      </w:r>
      <w:proofErr w:type="spellEnd"/>
      <w:r w:rsidRPr="00BF711F">
        <w:t xml:space="preserve"> in HCV-infected </w:t>
      </w:r>
      <w:r w:rsidR="00F218E6" w:rsidRPr="00BF711F">
        <w:t xml:space="preserve">patients </w:t>
      </w:r>
      <w:r w:rsidRPr="00BF711F">
        <w:t xml:space="preserve">with moderate and severe hepatic impairment (Child-Pugh Class B and C). Relative to </w:t>
      </w:r>
      <w:r w:rsidR="00F218E6" w:rsidRPr="00BF711F">
        <w:t xml:space="preserve">patients </w:t>
      </w:r>
      <w:r w:rsidRPr="00BF711F">
        <w:t xml:space="preserve">with normal hepatic function, the </w:t>
      </w:r>
      <w:proofErr w:type="spellStart"/>
      <w:r w:rsidRPr="00BF711F">
        <w:t>sofosbuvir</w:t>
      </w:r>
      <w:proofErr w:type="spellEnd"/>
      <w:r w:rsidRPr="00BF711F">
        <w:t xml:space="preserve"> AUC</w:t>
      </w:r>
      <w:r w:rsidRPr="00BF711F">
        <w:rPr>
          <w:vertAlign w:val="subscript"/>
        </w:rPr>
        <w:t>0-24</w:t>
      </w:r>
      <w:r w:rsidRPr="00BF711F">
        <w:t xml:space="preserve"> was 126% and 143% higher in moderate and severe hepatic impairment, while the GS-331007 AUC</w:t>
      </w:r>
      <w:r w:rsidRPr="00BF711F">
        <w:rPr>
          <w:vertAlign w:val="subscript"/>
        </w:rPr>
        <w:t>0-24</w:t>
      </w:r>
      <w:r w:rsidRPr="00BF711F">
        <w:t xml:space="preserve"> was 18% and 9% higher, respectively. Population pharmacokinetics analysis in HCV-infected </w:t>
      </w:r>
      <w:r w:rsidR="00F218E6" w:rsidRPr="00BF711F">
        <w:t xml:space="preserve">patients </w:t>
      </w:r>
      <w:r w:rsidRPr="00BF711F">
        <w:t xml:space="preserve">indicated that cirrhosis had no clinically relevant effect on the exposure of </w:t>
      </w:r>
      <w:proofErr w:type="spellStart"/>
      <w:r w:rsidRPr="00BF711F">
        <w:t>sofosbuvir</w:t>
      </w:r>
      <w:proofErr w:type="spellEnd"/>
      <w:r w:rsidRPr="00BF711F">
        <w:t xml:space="preserve"> </w:t>
      </w:r>
      <w:r w:rsidR="002A3C64" w:rsidRPr="00BF711F">
        <w:t xml:space="preserve">and </w:t>
      </w:r>
      <w:r w:rsidR="009A5C99" w:rsidRPr="00BF711F">
        <w:t xml:space="preserve">      </w:t>
      </w:r>
      <w:r w:rsidR="002A3C64" w:rsidRPr="00BF711F">
        <w:t>GS</w:t>
      </w:r>
      <w:r w:rsidRPr="00BF711F">
        <w:t xml:space="preserve">-331007. No dose adjustment of </w:t>
      </w:r>
      <w:proofErr w:type="spellStart"/>
      <w:r w:rsidRPr="00BF711F">
        <w:t>sofosbuvir</w:t>
      </w:r>
      <w:proofErr w:type="spellEnd"/>
      <w:r w:rsidRPr="00BF711F">
        <w:t xml:space="preserve"> is recommended for patients with mild, moderate and severe hepatic impairment.</w:t>
      </w:r>
    </w:p>
    <w:p w:rsidR="0044378F" w:rsidRPr="001D3FDA" w:rsidRDefault="0044378F" w:rsidP="00B74D17">
      <w:pPr>
        <w:jc w:val="both"/>
        <w:rPr>
          <w:rFonts w:ascii="Times New Roman" w:hAnsi="Times New Roman"/>
          <w:sz w:val="24"/>
          <w:szCs w:val="24"/>
          <w:lang w:val="en-US"/>
        </w:rPr>
      </w:pPr>
    </w:p>
    <w:p w:rsidR="00B7441E" w:rsidRPr="008B7865" w:rsidRDefault="00B7441E" w:rsidP="00B74D17">
      <w:pPr>
        <w:pStyle w:val="Heading3"/>
        <w:ind w:right="0"/>
        <w:jc w:val="both"/>
        <w:rPr>
          <w:bCs/>
          <w:szCs w:val="24"/>
        </w:rPr>
      </w:pPr>
      <w:r w:rsidRPr="009D42C9">
        <w:rPr>
          <w:bCs/>
          <w:szCs w:val="24"/>
        </w:rPr>
        <w:t>C</w:t>
      </w:r>
      <w:r w:rsidR="0006444E" w:rsidRPr="009D42C9">
        <w:rPr>
          <w:bCs/>
          <w:szCs w:val="24"/>
        </w:rPr>
        <w:t>LINICAL TRIALS</w:t>
      </w:r>
    </w:p>
    <w:p w:rsidR="008E3721" w:rsidRDefault="008E3721" w:rsidP="00B74D17">
      <w:pPr>
        <w:autoSpaceDE w:val="0"/>
        <w:autoSpaceDN w:val="0"/>
        <w:adjustRightInd w:val="0"/>
        <w:jc w:val="both"/>
        <w:rPr>
          <w:rFonts w:ascii="Times New Roman" w:hAnsi="Times New Roman"/>
          <w:b/>
          <w:bCs/>
          <w:sz w:val="22"/>
          <w:szCs w:val="22"/>
          <w:lang w:val="en-US"/>
        </w:rPr>
      </w:pPr>
    </w:p>
    <w:p w:rsidR="001B6745" w:rsidRPr="00AE5400" w:rsidRDefault="001C2ABF" w:rsidP="00BF711F">
      <w:pPr>
        <w:pStyle w:val="Text10"/>
        <w:rPr>
          <w:bCs/>
          <w:iCs/>
        </w:rPr>
      </w:pPr>
      <w:bookmarkStart w:id="5" w:name="_Toc322425522"/>
      <w:r>
        <w:rPr>
          <w:bCs/>
          <w:iCs/>
        </w:rPr>
        <w:t xml:space="preserve">The efficacy of </w:t>
      </w:r>
      <w:r w:rsidR="00D21279">
        <w:rPr>
          <w:bCs/>
          <w:iCs/>
        </w:rPr>
        <w:t>SOVALDI</w:t>
      </w:r>
      <w:r w:rsidR="001B6745" w:rsidRPr="00AE5400">
        <w:rPr>
          <w:bCs/>
          <w:iCs/>
        </w:rPr>
        <w:t xml:space="preserve"> was evaluated in </w:t>
      </w:r>
      <w:r w:rsidR="00525003">
        <w:rPr>
          <w:bCs/>
          <w:iCs/>
        </w:rPr>
        <w:t>five</w:t>
      </w:r>
      <w:r w:rsidR="001B6745" w:rsidRPr="00AE5400">
        <w:rPr>
          <w:bCs/>
          <w:iCs/>
        </w:rPr>
        <w:t xml:space="preserve"> phase 3 trials in a total of </w:t>
      </w:r>
      <w:r w:rsidR="00525003">
        <w:rPr>
          <w:bCs/>
          <w:iCs/>
        </w:rPr>
        <w:t>1568</w:t>
      </w:r>
      <w:r w:rsidR="001B6745" w:rsidRPr="00AE5400">
        <w:rPr>
          <w:bCs/>
          <w:iCs/>
        </w:rPr>
        <w:t xml:space="preserve"> </w:t>
      </w:r>
      <w:r w:rsidR="00FD6E81">
        <w:rPr>
          <w:bCs/>
          <w:iCs/>
        </w:rPr>
        <w:t>patients</w:t>
      </w:r>
      <w:r w:rsidR="001B6745" w:rsidRPr="00AE5400">
        <w:rPr>
          <w:bCs/>
          <w:iCs/>
        </w:rPr>
        <w:t xml:space="preserve"> with genotypes 1 to 6 chronic hepatitis C (CHC). One </w:t>
      </w:r>
      <w:r w:rsidR="00525003">
        <w:rPr>
          <w:bCs/>
          <w:iCs/>
        </w:rPr>
        <w:t>study</w:t>
      </w:r>
      <w:r w:rsidR="001B6745" w:rsidRPr="00AE5400">
        <w:rPr>
          <w:bCs/>
          <w:iCs/>
        </w:rPr>
        <w:t xml:space="preserve"> was conducted in treatment-naïve </w:t>
      </w:r>
      <w:r w:rsidR="00FD6E81">
        <w:rPr>
          <w:bCs/>
          <w:iCs/>
        </w:rPr>
        <w:t>patients</w:t>
      </w:r>
      <w:r w:rsidR="001B6745" w:rsidRPr="00AE5400">
        <w:rPr>
          <w:bCs/>
          <w:iCs/>
        </w:rPr>
        <w:t xml:space="preserve"> with genotype 1, 4, 5</w:t>
      </w:r>
      <w:r w:rsidR="001B6745">
        <w:rPr>
          <w:bCs/>
          <w:iCs/>
        </w:rPr>
        <w:t xml:space="preserve"> or</w:t>
      </w:r>
      <w:r w:rsidR="001B6745" w:rsidRPr="00AE5400">
        <w:rPr>
          <w:bCs/>
          <w:iCs/>
        </w:rPr>
        <w:t xml:space="preserve"> 6 CHC in combination with </w:t>
      </w:r>
      <w:proofErr w:type="spellStart"/>
      <w:r w:rsidR="001B6745" w:rsidRPr="00AE5400">
        <w:rPr>
          <w:bCs/>
          <w:iCs/>
        </w:rPr>
        <w:t>peginterferon</w:t>
      </w:r>
      <w:proofErr w:type="spellEnd"/>
      <w:r w:rsidR="001B6745" w:rsidRPr="00AE5400">
        <w:rPr>
          <w:bCs/>
          <w:iCs/>
        </w:rPr>
        <w:t xml:space="preserve"> </w:t>
      </w:r>
      <w:proofErr w:type="spellStart"/>
      <w:r w:rsidR="001B6745" w:rsidRPr="00AE5400">
        <w:rPr>
          <w:bCs/>
          <w:iCs/>
        </w:rPr>
        <w:t>alfa</w:t>
      </w:r>
      <w:proofErr w:type="spellEnd"/>
      <w:r w:rsidR="001B6745" w:rsidRPr="00AE5400">
        <w:rPr>
          <w:bCs/>
          <w:iCs/>
        </w:rPr>
        <w:t xml:space="preserve"> 2a and ribavirin</w:t>
      </w:r>
      <w:r w:rsidR="006D61FE">
        <w:rPr>
          <w:bCs/>
          <w:iCs/>
        </w:rPr>
        <w:t>,</w:t>
      </w:r>
      <w:r w:rsidR="001B6745" w:rsidRPr="00AE5400">
        <w:rPr>
          <w:bCs/>
          <w:iCs/>
        </w:rPr>
        <w:t xml:space="preserve"> and the other </w:t>
      </w:r>
      <w:r w:rsidR="006D61FE">
        <w:rPr>
          <w:bCs/>
          <w:iCs/>
        </w:rPr>
        <w:t xml:space="preserve">four </w:t>
      </w:r>
      <w:r w:rsidR="001B6745" w:rsidRPr="00AE5400">
        <w:rPr>
          <w:bCs/>
          <w:iCs/>
        </w:rPr>
        <w:t xml:space="preserve">trials were conducted in </w:t>
      </w:r>
      <w:r w:rsidR="00FD6E81">
        <w:rPr>
          <w:bCs/>
          <w:iCs/>
        </w:rPr>
        <w:t>patients</w:t>
      </w:r>
      <w:r w:rsidR="001B6745" w:rsidRPr="00AE5400">
        <w:rPr>
          <w:bCs/>
          <w:iCs/>
        </w:rPr>
        <w:t xml:space="preserve"> with genotype 2 </w:t>
      </w:r>
      <w:r w:rsidR="001B6745">
        <w:rPr>
          <w:bCs/>
          <w:iCs/>
        </w:rPr>
        <w:t>or</w:t>
      </w:r>
      <w:r w:rsidR="001B6745" w:rsidRPr="00AE5400">
        <w:rPr>
          <w:bCs/>
          <w:iCs/>
        </w:rPr>
        <w:t xml:space="preserve"> 3 CHC in combination with ribavirin including </w:t>
      </w:r>
      <w:r w:rsidR="001B6745">
        <w:rPr>
          <w:bCs/>
          <w:iCs/>
        </w:rPr>
        <w:t>one</w:t>
      </w:r>
      <w:r w:rsidR="001B6745" w:rsidRPr="00AE5400">
        <w:rPr>
          <w:bCs/>
          <w:iCs/>
        </w:rPr>
        <w:t xml:space="preserve"> in treatment-naïve </w:t>
      </w:r>
      <w:r w:rsidR="00FD6E81">
        <w:rPr>
          <w:bCs/>
          <w:iCs/>
        </w:rPr>
        <w:t>patients</w:t>
      </w:r>
      <w:r w:rsidR="001B6745" w:rsidRPr="00AE5400">
        <w:rPr>
          <w:bCs/>
          <w:iCs/>
        </w:rPr>
        <w:t xml:space="preserve">, </w:t>
      </w:r>
      <w:r w:rsidR="001B6745">
        <w:rPr>
          <w:bCs/>
          <w:iCs/>
        </w:rPr>
        <w:t>one</w:t>
      </w:r>
      <w:r w:rsidR="001B6745" w:rsidRPr="00AE5400">
        <w:rPr>
          <w:bCs/>
          <w:iCs/>
        </w:rPr>
        <w:t xml:space="preserve"> in interferon intolerant, ineligible or unwilling </w:t>
      </w:r>
      <w:r w:rsidR="00FD6E81">
        <w:rPr>
          <w:bCs/>
          <w:iCs/>
        </w:rPr>
        <w:t>patients</w:t>
      </w:r>
      <w:r w:rsidR="00525003">
        <w:rPr>
          <w:bCs/>
          <w:iCs/>
        </w:rPr>
        <w:t>,</w:t>
      </w:r>
      <w:r w:rsidR="001B6745" w:rsidRPr="00AE5400">
        <w:rPr>
          <w:bCs/>
          <w:iCs/>
        </w:rPr>
        <w:t xml:space="preserve"> </w:t>
      </w:r>
      <w:r w:rsidR="001B6745">
        <w:rPr>
          <w:bCs/>
          <w:iCs/>
        </w:rPr>
        <w:t>one</w:t>
      </w:r>
      <w:r w:rsidR="001B6745" w:rsidRPr="00AE5400">
        <w:rPr>
          <w:bCs/>
          <w:iCs/>
        </w:rPr>
        <w:t xml:space="preserve"> in </w:t>
      </w:r>
      <w:r w:rsidR="00FD6E81">
        <w:rPr>
          <w:bCs/>
          <w:iCs/>
        </w:rPr>
        <w:t>patients</w:t>
      </w:r>
      <w:r w:rsidR="001B6745" w:rsidRPr="00AE5400">
        <w:rPr>
          <w:bCs/>
          <w:iCs/>
        </w:rPr>
        <w:t xml:space="preserve"> previously treated with an interferon-based regimen</w:t>
      </w:r>
      <w:r w:rsidR="00525003">
        <w:rPr>
          <w:bCs/>
          <w:iCs/>
        </w:rPr>
        <w:t xml:space="preserve"> and one in all patients irrespective of prior treatment history or ability to take interferon</w:t>
      </w:r>
      <w:r w:rsidR="001B6745" w:rsidRPr="00AE5400">
        <w:rPr>
          <w:bCs/>
          <w:iCs/>
        </w:rPr>
        <w:t xml:space="preserve">. </w:t>
      </w:r>
      <w:r w:rsidR="00FD6E81">
        <w:rPr>
          <w:bCs/>
          <w:iCs/>
        </w:rPr>
        <w:t>Patients</w:t>
      </w:r>
      <w:r w:rsidR="001B6745" w:rsidRPr="00AE5400">
        <w:rPr>
          <w:bCs/>
          <w:iCs/>
        </w:rPr>
        <w:t xml:space="preserve"> in these trials had compensated live</w:t>
      </w:r>
      <w:r w:rsidR="00C84604">
        <w:rPr>
          <w:bCs/>
          <w:iCs/>
        </w:rPr>
        <w:t xml:space="preserve">r disease including cirrhosis. </w:t>
      </w:r>
      <w:r w:rsidR="00D21279">
        <w:rPr>
          <w:bCs/>
          <w:iCs/>
        </w:rPr>
        <w:t>SOVALDI</w:t>
      </w:r>
      <w:r w:rsidR="001B6745" w:rsidRPr="00AE5400">
        <w:rPr>
          <w:bCs/>
          <w:iCs/>
        </w:rPr>
        <w:t xml:space="preserve"> was administered at a dose of 400 mg once daily. </w:t>
      </w:r>
      <w:proofErr w:type="spellStart"/>
      <w:r w:rsidR="001B6745" w:rsidRPr="00AE5400">
        <w:rPr>
          <w:bCs/>
          <w:iCs/>
        </w:rPr>
        <w:t>Peginterferon</w:t>
      </w:r>
      <w:proofErr w:type="spellEnd"/>
      <w:r w:rsidR="001B6745" w:rsidRPr="00AE5400">
        <w:rPr>
          <w:bCs/>
          <w:iCs/>
        </w:rPr>
        <w:t xml:space="preserve"> (Peg-IFN) </w:t>
      </w:r>
      <w:proofErr w:type="spellStart"/>
      <w:r w:rsidR="001B6745" w:rsidRPr="00AE5400">
        <w:rPr>
          <w:bCs/>
          <w:iCs/>
        </w:rPr>
        <w:t>alfa</w:t>
      </w:r>
      <w:proofErr w:type="spellEnd"/>
      <w:r w:rsidR="001B6745" w:rsidRPr="00AE5400">
        <w:rPr>
          <w:bCs/>
          <w:iCs/>
        </w:rPr>
        <w:t xml:space="preserve"> 2a dose was 180 micrograms per week and the ribavirin (RBV) dose was weight-based 1000-1200 mg daily administered in two divided doses. </w:t>
      </w:r>
      <w:r w:rsidR="003B09A6">
        <w:rPr>
          <w:bCs/>
          <w:iCs/>
        </w:rPr>
        <w:t xml:space="preserve">  Ribavirin used in the Phase 3 program was </w:t>
      </w:r>
      <w:proofErr w:type="spellStart"/>
      <w:r w:rsidR="003B09A6">
        <w:rPr>
          <w:bCs/>
          <w:iCs/>
        </w:rPr>
        <w:t>Ribasphere</w:t>
      </w:r>
      <w:proofErr w:type="spellEnd"/>
      <w:r w:rsidR="003B09A6">
        <w:rPr>
          <w:bCs/>
          <w:iCs/>
        </w:rPr>
        <w:t xml:space="preserve"> and </w:t>
      </w:r>
      <w:r w:rsidR="00BD64A7">
        <w:rPr>
          <w:bCs/>
          <w:iCs/>
        </w:rPr>
        <w:t>was</w:t>
      </w:r>
      <w:r w:rsidR="003B09A6">
        <w:rPr>
          <w:bCs/>
          <w:iCs/>
        </w:rPr>
        <w:t xml:space="preserve"> deemed to be equivalent to </w:t>
      </w:r>
      <w:proofErr w:type="spellStart"/>
      <w:r w:rsidR="003B09A6">
        <w:rPr>
          <w:bCs/>
          <w:iCs/>
        </w:rPr>
        <w:t>Copegus</w:t>
      </w:r>
      <w:proofErr w:type="spellEnd"/>
      <w:r w:rsidR="003B09A6">
        <w:rPr>
          <w:bCs/>
          <w:iCs/>
        </w:rPr>
        <w:t>.</w:t>
      </w:r>
      <w:r w:rsidR="003B09A6" w:rsidRPr="00AE5400">
        <w:rPr>
          <w:bCs/>
          <w:iCs/>
        </w:rPr>
        <w:t xml:space="preserve"> </w:t>
      </w:r>
      <w:r w:rsidR="001B6745" w:rsidRPr="00AE5400">
        <w:rPr>
          <w:bCs/>
          <w:iCs/>
        </w:rPr>
        <w:t xml:space="preserve">Treatment duration was fixed in each trial and was not guided by </w:t>
      </w:r>
      <w:r w:rsidR="00FD6E81">
        <w:rPr>
          <w:bCs/>
          <w:iCs/>
        </w:rPr>
        <w:t>patients</w:t>
      </w:r>
      <w:r w:rsidR="001B6745">
        <w:rPr>
          <w:bCs/>
          <w:iCs/>
        </w:rPr>
        <w:t xml:space="preserve">’ </w:t>
      </w:r>
      <w:r w:rsidR="001B6745" w:rsidRPr="00AE5400">
        <w:rPr>
          <w:bCs/>
          <w:iCs/>
        </w:rPr>
        <w:t>HCV RNA levels (no response guided algorithm).</w:t>
      </w:r>
    </w:p>
    <w:p w:rsidR="001B6745" w:rsidRDefault="001B6745" w:rsidP="00BF711F">
      <w:pPr>
        <w:pStyle w:val="Text10"/>
        <w:rPr>
          <w:bCs/>
          <w:iCs/>
        </w:rPr>
      </w:pPr>
      <w:r w:rsidRPr="00AE5400">
        <w:rPr>
          <w:bCs/>
          <w:iCs/>
        </w:rPr>
        <w:t xml:space="preserve">Plasma HCV RNA values were measured during the clinical trials using the COBAS </w:t>
      </w:r>
      <w:proofErr w:type="spellStart"/>
      <w:r w:rsidRPr="00AE5400">
        <w:rPr>
          <w:bCs/>
          <w:iCs/>
        </w:rPr>
        <w:t>TaqMan</w:t>
      </w:r>
      <w:proofErr w:type="spellEnd"/>
      <w:r w:rsidRPr="00AE5400">
        <w:rPr>
          <w:bCs/>
          <w:iCs/>
        </w:rPr>
        <w:t xml:space="preserve"> HCV test (version 2.0), for use with the High Pure System. The assay had a lower limit of quantification (LLOQ) of 25 IU per </w:t>
      </w:r>
      <w:proofErr w:type="spellStart"/>
      <w:r w:rsidRPr="00AE5400">
        <w:rPr>
          <w:bCs/>
          <w:iCs/>
        </w:rPr>
        <w:t>mL.</w:t>
      </w:r>
      <w:proofErr w:type="spellEnd"/>
      <w:r w:rsidRPr="00AE5400">
        <w:rPr>
          <w:bCs/>
          <w:iCs/>
        </w:rPr>
        <w:t xml:space="preserve"> Sustained </w:t>
      </w:r>
      <w:proofErr w:type="spellStart"/>
      <w:r w:rsidRPr="00AE5400">
        <w:rPr>
          <w:bCs/>
          <w:iCs/>
        </w:rPr>
        <w:t>virologic</w:t>
      </w:r>
      <w:proofErr w:type="spellEnd"/>
      <w:r w:rsidRPr="00AE5400">
        <w:rPr>
          <w:bCs/>
          <w:iCs/>
        </w:rPr>
        <w:t xml:space="preserve"> response (SVR) was the primary endpoint to determine the HCV cure rate for all trials which was defined as HCV RNA less than </w:t>
      </w:r>
      <w:proofErr w:type="spellStart"/>
      <w:r w:rsidR="0093702D">
        <w:rPr>
          <w:bCs/>
          <w:iCs/>
        </w:rPr>
        <w:t>LLOQ</w:t>
      </w:r>
      <w:r w:rsidRPr="00AE5400">
        <w:rPr>
          <w:bCs/>
          <w:iCs/>
        </w:rPr>
        <w:t>at</w:t>
      </w:r>
      <w:proofErr w:type="spellEnd"/>
      <w:r w:rsidRPr="00AE5400">
        <w:rPr>
          <w:bCs/>
          <w:iCs/>
        </w:rPr>
        <w:t xml:space="preserve"> 12 weeks after the end of treatment</w:t>
      </w:r>
      <w:r w:rsidR="002270CA">
        <w:rPr>
          <w:bCs/>
          <w:iCs/>
        </w:rPr>
        <w:t xml:space="preserve"> (SVR 12)</w:t>
      </w:r>
      <w:r w:rsidRPr="00AE5400">
        <w:rPr>
          <w:bCs/>
          <w:iCs/>
        </w:rPr>
        <w:t>.</w:t>
      </w:r>
      <w:r w:rsidRPr="00B77216">
        <w:rPr>
          <w:bCs/>
          <w:iCs/>
        </w:rPr>
        <w:t xml:space="preserve"> </w:t>
      </w:r>
    </w:p>
    <w:p w:rsidR="00C6105E" w:rsidRDefault="003B09A6" w:rsidP="00BF711F">
      <w:pPr>
        <w:pStyle w:val="Text10"/>
        <w:rPr>
          <w:bCs/>
          <w:iCs/>
        </w:rPr>
      </w:pPr>
      <w:r>
        <w:rPr>
          <w:bCs/>
          <w:iCs/>
        </w:rPr>
        <w:t xml:space="preserve">. </w:t>
      </w:r>
    </w:p>
    <w:p w:rsidR="00D47DFA" w:rsidRPr="005E7CC0" w:rsidRDefault="00D47DFA" w:rsidP="00946408">
      <w:pPr>
        <w:pStyle w:val="Caption"/>
        <w:rPr>
          <w:b w:val="0"/>
        </w:rPr>
      </w:pPr>
      <w:bookmarkStart w:id="6" w:name="_Toc352326805"/>
      <w:bookmarkEnd w:id="5"/>
      <w:r w:rsidRPr="005E7CC0">
        <w:lastRenderedPageBreak/>
        <w:t xml:space="preserve">Clinical Trials in </w:t>
      </w:r>
      <w:r w:rsidR="00FD6E81">
        <w:t>Patients</w:t>
      </w:r>
      <w:r w:rsidRPr="005E7CC0">
        <w:t xml:space="preserve"> with Genotype 1, 4, 5 or 6 Chronic Hepatitis C</w:t>
      </w:r>
      <w:bookmarkEnd w:id="6"/>
    </w:p>
    <w:p w:rsidR="00B67D89" w:rsidRPr="00B67D89" w:rsidRDefault="00B67D89" w:rsidP="00BF711F">
      <w:pPr>
        <w:pStyle w:val="TextTi11"/>
      </w:pPr>
    </w:p>
    <w:p w:rsidR="00B67D89" w:rsidRDefault="00B67D89" w:rsidP="00BF711F">
      <w:pPr>
        <w:pStyle w:val="Subheading2"/>
      </w:pPr>
      <w:r w:rsidRPr="00AE5400">
        <w:t xml:space="preserve">Treatment-Naïve </w:t>
      </w:r>
      <w:r w:rsidR="00DB4B8F">
        <w:t>Patients</w:t>
      </w:r>
      <w:r w:rsidRPr="00AE5400">
        <w:t>─ NEUTRINO (Study 110)</w:t>
      </w:r>
    </w:p>
    <w:p w:rsidR="00B67D89" w:rsidRDefault="00B67D89" w:rsidP="00BF711F">
      <w:pPr>
        <w:pStyle w:val="Text10"/>
      </w:pPr>
      <w:r w:rsidRPr="00DF25A2">
        <w:t>NEUTRINO</w:t>
      </w:r>
      <w:r w:rsidRPr="00AE5400">
        <w:t xml:space="preserve"> was an open-label, single-arm trial that evalua</w:t>
      </w:r>
      <w:r w:rsidR="00C84604">
        <w:t xml:space="preserve">ted 12 weeks of treatment with </w:t>
      </w:r>
      <w:r w:rsidR="00D21279">
        <w:t>SOVALDI</w:t>
      </w:r>
      <w:r w:rsidRPr="00AE5400">
        <w:t xml:space="preserve"> in combination with </w:t>
      </w:r>
      <w:proofErr w:type="spellStart"/>
      <w:r w:rsidRPr="00AE5400">
        <w:t>peginterferon</w:t>
      </w:r>
      <w:proofErr w:type="spellEnd"/>
      <w:r w:rsidRPr="00AE5400">
        <w:t xml:space="preserve"> </w:t>
      </w:r>
      <w:proofErr w:type="spellStart"/>
      <w:r w:rsidRPr="00AE5400">
        <w:t>alfa</w:t>
      </w:r>
      <w:proofErr w:type="spellEnd"/>
      <w:r w:rsidRPr="00AE5400">
        <w:t xml:space="preserve"> 2a and ribavirin in treatment-naïve </w:t>
      </w:r>
      <w:r w:rsidR="00FD6E81">
        <w:t>patients</w:t>
      </w:r>
      <w:r w:rsidRPr="00AE5400">
        <w:t xml:space="preserve"> with genotype 1, 4, 5 or 6 HCV </w:t>
      </w:r>
      <w:proofErr w:type="gramStart"/>
      <w:r w:rsidRPr="00AE5400">
        <w:t>infection</w:t>
      </w:r>
      <w:proofErr w:type="gramEnd"/>
      <w:r w:rsidRPr="00AE5400">
        <w:t>.</w:t>
      </w:r>
    </w:p>
    <w:p w:rsidR="00B67D89" w:rsidRDefault="00B67D89" w:rsidP="00BF711F">
      <w:pPr>
        <w:pStyle w:val="Text10"/>
      </w:pPr>
      <w:r w:rsidRPr="00AE5400">
        <w:t xml:space="preserve">Treated </w:t>
      </w:r>
      <w:r w:rsidR="00B4421F">
        <w:t>patients</w:t>
      </w:r>
      <w:r w:rsidRPr="00AE5400">
        <w:t xml:space="preserve"> (N=327) had a median age of 54 years (range: 19 to 70); 64% of the </w:t>
      </w:r>
      <w:r w:rsidR="00FD6693">
        <w:t>patients</w:t>
      </w:r>
      <w:r w:rsidRPr="00AE5400">
        <w:t xml:space="preserve"> were male; 79% were White, 17% were Black; 14% were Hispanic or Latino</w:t>
      </w:r>
      <w:r w:rsidR="00EA74D6">
        <w:t>, 2% were Asian</w:t>
      </w:r>
      <w:r w:rsidRPr="00AE5400">
        <w:t>; mean body mass index was 29 kg/m</w:t>
      </w:r>
      <w:r w:rsidRPr="00FD6693">
        <w:rPr>
          <w:vertAlign w:val="superscript"/>
        </w:rPr>
        <w:t>2</w:t>
      </w:r>
      <w:r w:rsidRPr="00AE5400">
        <w:t xml:space="preserve"> (range: 18 to 56 kg/m</w:t>
      </w:r>
      <w:r w:rsidRPr="00271844">
        <w:rPr>
          <w:vertAlign w:val="superscript"/>
        </w:rPr>
        <w:t>2</w:t>
      </w:r>
      <w:r w:rsidRPr="00AE5400">
        <w:t>); 78% had baseline HCV RNA greater than 6 log</w:t>
      </w:r>
      <w:r w:rsidRPr="00FD6693">
        <w:rPr>
          <w:vertAlign w:val="subscript"/>
        </w:rPr>
        <w:t>10</w:t>
      </w:r>
      <w:r w:rsidRPr="00AE5400">
        <w:t xml:space="preserve"> IU per mL; </w:t>
      </w:r>
      <w:r>
        <w:t>17</w:t>
      </w:r>
      <w:r w:rsidRPr="00AE5400">
        <w:t xml:space="preserve">% had cirrhosis; 89% had HCV </w:t>
      </w:r>
      <w:r w:rsidRPr="00DF25A2">
        <w:t>genotype 1</w:t>
      </w:r>
      <w:r w:rsidRPr="00AE5400">
        <w:t xml:space="preserve"> and 11% had </w:t>
      </w:r>
      <w:r w:rsidR="00C84604">
        <w:t>HCV genotype 4, 5 or 6.</w:t>
      </w:r>
      <w:r w:rsidR="00F1261C">
        <w:t xml:space="preserve">  4% were on opiate replacement therapy.  </w:t>
      </w:r>
      <w:r w:rsidR="00C84604">
        <w:t xml:space="preserve">  </w:t>
      </w:r>
      <w:proofErr w:type="gramStart"/>
      <w:r w:rsidR="00C84604">
        <w:t xml:space="preserve">Table </w:t>
      </w:r>
      <w:r w:rsidR="00525003">
        <w:t>1</w:t>
      </w:r>
      <w:r w:rsidRPr="00AE5400">
        <w:t xml:space="preserve"> presents the response ra</w:t>
      </w:r>
      <w:r>
        <w:t xml:space="preserve">tes for the treatment group of </w:t>
      </w:r>
      <w:r w:rsidR="00D21279">
        <w:t>SOVALDI</w:t>
      </w:r>
      <w:r>
        <w:t xml:space="preserve"> </w:t>
      </w:r>
      <w:r w:rsidRPr="00AE5400">
        <w:t>+</w:t>
      </w:r>
      <w:r>
        <w:t xml:space="preserve"> </w:t>
      </w:r>
      <w:proofErr w:type="spellStart"/>
      <w:r w:rsidRPr="00AE5400">
        <w:t>peginterferon</w:t>
      </w:r>
      <w:proofErr w:type="spellEnd"/>
      <w:r w:rsidRPr="00AE5400">
        <w:t xml:space="preserve"> </w:t>
      </w:r>
      <w:proofErr w:type="spellStart"/>
      <w:r w:rsidRPr="00AE5400">
        <w:t>alfa</w:t>
      </w:r>
      <w:proofErr w:type="spellEnd"/>
      <w:r>
        <w:t xml:space="preserve"> </w:t>
      </w:r>
      <w:r w:rsidRPr="00AE5400">
        <w:t>+</w:t>
      </w:r>
      <w:r>
        <w:t xml:space="preserve"> </w:t>
      </w:r>
      <w:r w:rsidRPr="00AE5400">
        <w:t>ribavirin.</w:t>
      </w:r>
      <w:proofErr w:type="gramEnd"/>
    </w:p>
    <w:p w:rsidR="00E66BE0" w:rsidRDefault="00E66BE0" w:rsidP="00BF711F">
      <w:pPr>
        <w:pStyle w:val="Caption"/>
        <w:rPr>
          <w:rFonts w:ascii="Times New Roman" w:hAnsi="Times New Roman"/>
        </w:rPr>
      </w:pPr>
      <w:bookmarkStart w:id="7" w:name="_Toc352326836"/>
      <w:r w:rsidRPr="00E66BE0">
        <w:rPr>
          <w:rFonts w:ascii="Times New Roman" w:hAnsi="Times New Roman"/>
        </w:rPr>
        <w:t xml:space="preserve">Table </w:t>
      </w:r>
      <w:r w:rsidR="00525003">
        <w:rPr>
          <w:rFonts w:ascii="Times New Roman" w:hAnsi="Times New Roman"/>
        </w:rPr>
        <w:t>1</w:t>
      </w:r>
      <w:r w:rsidRPr="00E66BE0">
        <w:rPr>
          <w:rFonts w:ascii="Times New Roman" w:hAnsi="Times New Roman"/>
        </w:rPr>
        <w:tab/>
        <w:t>Response Rates in Study NEUTRINO</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528"/>
      </w:tblGrid>
      <w:tr w:rsidR="00E66BE0" w:rsidRPr="00B37B92" w:rsidTr="00B37B92">
        <w:tc>
          <w:tcPr>
            <w:tcW w:w="3794" w:type="dxa"/>
            <w:tcBorders>
              <w:top w:val="single" w:sz="12" w:space="0" w:color="auto"/>
              <w:left w:val="nil"/>
              <w:bottom w:val="single" w:sz="12" w:space="0" w:color="auto"/>
            </w:tcBorders>
            <w:shd w:val="clear" w:color="auto" w:fill="auto"/>
          </w:tcPr>
          <w:p w:rsidR="00E66BE0" w:rsidRPr="00B37B92" w:rsidRDefault="00E66BE0" w:rsidP="00BF711F">
            <w:pPr>
              <w:pStyle w:val="Table-Text"/>
              <w:rPr>
                <w:sz w:val="22"/>
                <w:szCs w:val="22"/>
              </w:rPr>
            </w:pPr>
          </w:p>
        </w:tc>
        <w:tc>
          <w:tcPr>
            <w:tcW w:w="5528" w:type="dxa"/>
            <w:tcBorders>
              <w:top w:val="single" w:sz="12" w:space="0" w:color="auto"/>
              <w:bottom w:val="single" w:sz="12" w:space="0" w:color="auto"/>
              <w:right w:val="nil"/>
            </w:tcBorders>
            <w:shd w:val="clear" w:color="auto" w:fill="auto"/>
          </w:tcPr>
          <w:p w:rsidR="00E66BE0" w:rsidRPr="00B37B92" w:rsidRDefault="00D21279" w:rsidP="00B37B92">
            <w:pPr>
              <w:pStyle w:val="Table-Text"/>
              <w:jc w:val="center"/>
              <w:rPr>
                <w:b/>
                <w:sz w:val="22"/>
                <w:szCs w:val="22"/>
                <w:lang w:val="pt-BR"/>
              </w:rPr>
            </w:pPr>
            <w:r w:rsidRPr="00B37B92">
              <w:rPr>
                <w:b/>
                <w:sz w:val="22"/>
                <w:szCs w:val="22"/>
                <w:lang w:val="pt-BR"/>
              </w:rPr>
              <w:t>SOVALDI</w:t>
            </w:r>
            <w:r w:rsidR="00E66BE0" w:rsidRPr="00B37B92">
              <w:rPr>
                <w:b/>
                <w:sz w:val="22"/>
                <w:szCs w:val="22"/>
                <w:lang w:val="pt-BR"/>
              </w:rPr>
              <w:t xml:space="preserve"> + Peg-IFN alfa  + RBV 12 weeks</w:t>
            </w:r>
          </w:p>
        </w:tc>
      </w:tr>
      <w:tr w:rsidR="00E66BE0" w:rsidRPr="00B37B92" w:rsidTr="00B37B92">
        <w:tc>
          <w:tcPr>
            <w:tcW w:w="3794" w:type="dxa"/>
            <w:tcBorders>
              <w:top w:val="single" w:sz="12" w:space="0" w:color="auto"/>
              <w:left w:val="nil"/>
              <w:right w:val="single" w:sz="4" w:space="0" w:color="auto"/>
            </w:tcBorders>
            <w:shd w:val="clear" w:color="auto" w:fill="auto"/>
          </w:tcPr>
          <w:p w:rsidR="00E66BE0" w:rsidRPr="00B37B92" w:rsidRDefault="00E66BE0" w:rsidP="00BF711F">
            <w:pPr>
              <w:pStyle w:val="Table-Text"/>
              <w:rPr>
                <w:sz w:val="22"/>
                <w:szCs w:val="22"/>
              </w:rPr>
            </w:pPr>
          </w:p>
        </w:tc>
        <w:tc>
          <w:tcPr>
            <w:tcW w:w="5528" w:type="dxa"/>
            <w:tcBorders>
              <w:top w:val="single" w:sz="12" w:space="0" w:color="auto"/>
              <w:left w:val="single" w:sz="4" w:space="0" w:color="auto"/>
              <w:right w:val="nil"/>
            </w:tcBorders>
            <w:shd w:val="clear" w:color="auto" w:fill="auto"/>
          </w:tcPr>
          <w:p w:rsidR="00E66BE0" w:rsidRPr="00B37B92" w:rsidRDefault="00E66BE0" w:rsidP="00B37B92">
            <w:pPr>
              <w:pStyle w:val="Table-Text"/>
              <w:jc w:val="center"/>
              <w:rPr>
                <w:sz w:val="22"/>
                <w:szCs w:val="22"/>
                <w:lang w:val="pt-BR"/>
              </w:rPr>
            </w:pPr>
            <w:r w:rsidRPr="00B37B92">
              <w:rPr>
                <w:sz w:val="22"/>
                <w:szCs w:val="22"/>
                <w:lang w:val="pt-BR"/>
              </w:rPr>
              <w:t>N=327</w:t>
            </w:r>
          </w:p>
        </w:tc>
      </w:tr>
      <w:tr w:rsidR="00E66BE0" w:rsidRPr="00C6485B" w:rsidTr="00B37B92">
        <w:trPr>
          <w:trHeight w:val="307"/>
        </w:trPr>
        <w:tc>
          <w:tcPr>
            <w:tcW w:w="3794" w:type="dxa"/>
            <w:tcBorders>
              <w:left w:val="nil"/>
            </w:tcBorders>
            <w:shd w:val="clear" w:color="auto" w:fill="auto"/>
          </w:tcPr>
          <w:p w:rsidR="00E66BE0" w:rsidRPr="00B37B92" w:rsidRDefault="00E66BE0" w:rsidP="00BF711F">
            <w:pPr>
              <w:pStyle w:val="Table-Text"/>
              <w:rPr>
                <w:sz w:val="22"/>
                <w:szCs w:val="22"/>
              </w:rPr>
            </w:pPr>
            <w:r w:rsidRPr="00B37B92">
              <w:rPr>
                <w:sz w:val="22"/>
                <w:szCs w:val="22"/>
              </w:rPr>
              <w:t>Overall SVR</w:t>
            </w:r>
          </w:p>
        </w:tc>
        <w:tc>
          <w:tcPr>
            <w:tcW w:w="5528" w:type="dxa"/>
            <w:tcBorders>
              <w:right w:val="nil"/>
            </w:tcBorders>
            <w:shd w:val="clear" w:color="auto" w:fill="auto"/>
          </w:tcPr>
          <w:p w:rsidR="00E66BE0" w:rsidRPr="00B37B92" w:rsidRDefault="00E66BE0" w:rsidP="00B37B92">
            <w:pPr>
              <w:pStyle w:val="Table-Text"/>
              <w:jc w:val="center"/>
              <w:rPr>
                <w:sz w:val="22"/>
                <w:szCs w:val="22"/>
              </w:rPr>
            </w:pPr>
            <w:r w:rsidRPr="00B37B92">
              <w:rPr>
                <w:sz w:val="22"/>
                <w:szCs w:val="22"/>
              </w:rPr>
              <w:t>90% (295/327)</w:t>
            </w:r>
          </w:p>
        </w:tc>
      </w:tr>
      <w:tr w:rsidR="00E66BE0" w:rsidRPr="00C6485B" w:rsidTr="00B37B92">
        <w:trPr>
          <w:trHeight w:val="425"/>
        </w:trPr>
        <w:tc>
          <w:tcPr>
            <w:tcW w:w="3794" w:type="dxa"/>
            <w:tcBorders>
              <w:left w:val="nil"/>
            </w:tcBorders>
            <w:shd w:val="clear" w:color="auto" w:fill="auto"/>
          </w:tcPr>
          <w:p w:rsidR="00E66BE0" w:rsidRPr="00B37B92" w:rsidRDefault="00E66BE0" w:rsidP="00BF711F">
            <w:pPr>
              <w:pStyle w:val="Table-Text"/>
              <w:rPr>
                <w:sz w:val="22"/>
                <w:szCs w:val="22"/>
              </w:rPr>
            </w:pPr>
            <w:r w:rsidRPr="00B37B92">
              <w:rPr>
                <w:sz w:val="22"/>
                <w:szCs w:val="22"/>
              </w:rPr>
              <w:t xml:space="preserve">Outcome for </w:t>
            </w:r>
            <w:r w:rsidR="00FD6E81" w:rsidRPr="00B37B92">
              <w:rPr>
                <w:sz w:val="22"/>
                <w:szCs w:val="22"/>
              </w:rPr>
              <w:t>patients</w:t>
            </w:r>
            <w:r w:rsidR="00014EEA" w:rsidRPr="00B37B92">
              <w:rPr>
                <w:sz w:val="22"/>
                <w:szCs w:val="22"/>
              </w:rPr>
              <w:t xml:space="preserve"> </w:t>
            </w:r>
            <w:r w:rsidRPr="00B37B92">
              <w:rPr>
                <w:sz w:val="22"/>
                <w:szCs w:val="22"/>
              </w:rPr>
              <w:t>without SVR</w:t>
            </w:r>
          </w:p>
        </w:tc>
        <w:tc>
          <w:tcPr>
            <w:tcW w:w="5528" w:type="dxa"/>
            <w:tcBorders>
              <w:right w:val="nil"/>
            </w:tcBorders>
            <w:shd w:val="clear" w:color="auto" w:fill="auto"/>
          </w:tcPr>
          <w:p w:rsidR="00E66BE0" w:rsidRPr="00B37B92" w:rsidRDefault="00E66BE0" w:rsidP="00B37B92">
            <w:pPr>
              <w:pStyle w:val="Table-Text"/>
              <w:jc w:val="center"/>
              <w:rPr>
                <w:sz w:val="22"/>
                <w:szCs w:val="22"/>
              </w:rPr>
            </w:pPr>
          </w:p>
        </w:tc>
      </w:tr>
      <w:tr w:rsidR="00E66BE0" w:rsidRPr="00C6485B" w:rsidTr="00B37B92">
        <w:trPr>
          <w:trHeight w:val="418"/>
        </w:trPr>
        <w:tc>
          <w:tcPr>
            <w:tcW w:w="3794" w:type="dxa"/>
            <w:tcBorders>
              <w:left w:val="nil"/>
            </w:tcBorders>
            <w:shd w:val="clear" w:color="auto" w:fill="auto"/>
          </w:tcPr>
          <w:p w:rsidR="00E66BE0" w:rsidRPr="00B37B92" w:rsidRDefault="00E66BE0" w:rsidP="00B37B92">
            <w:pPr>
              <w:pStyle w:val="Table-Text"/>
              <w:ind w:firstLine="270"/>
              <w:rPr>
                <w:sz w:val="22"/>
                <w:szCs w:val="22"/>
              </w:rPr>
            </w:pPr>
            <w:r w:rsidRPr="00B37B92">
              <w:rPr>
                <w:sz w:val="22"/>
                <w:szCs w:val="22"/>
              </w:rPr>
              <w:t xml:space="preserve">On-treatment </w:t>
            </w:r>
            <w:proofErr w:type="spellStart"/>
            <w:r w:rsidRPr="00B37B92">
              <w:rPr>
                <w:sz w:val="22"/>
                <w:szCs w:val="22"/>
              </w:rPr>
              <w:t>virologic</w:t>
            </w:r>
            <w:proofErr w:type="spellEnd"/>
            <w:r w:rsidRPr="00B37B92">
              <w:rPr>
                <w:sz w:val="22"/>
                <w:szCs w:val="22"/>
              </w:rPr>
              <w:t xml:space="preserve"> failure</w:t>
            </w:r>
          </w:p>
        </w:tc>
        <w:tc>
          <w:tcPr>
            <w:tcW w:w="5528" w:type="dxa"/>
            <w:tcBorders>
              <w:right w:val="nil"/>
            </w:tcBorders>
            <w:shd w:val="clear" w:color="auto" w:fill="auto"/>
          </w:tcPr>
          <w:p w:rsidR="00E66BE0" w:rsidRPr="00B37B92" w:rsidRDefault="00E66BE0" w:rsidP="00B37B92">
            <w:pPr>
              <w:pStyle w:val="Table-Text"/>
              <w:jc w:val="center"/>
              <w:rPr>
                <w:sz w:val="22"/>
                <w:szCs w:val="22"/>
              </w:rPr>
            </w:pPr>
            <w:r w:rsidRPr="00B37B92">
              <w:rPr>
                <w:sz w:val="22"/>
                <w:szCs w:val="22"/>
              </w:rPr>
              <w:t>0/327</w:t>
            </w:r>
          </w:p>
        </w:tc>
      </w:tr>
      <w:tr w:rsidR="00E66BE0" w:rsidRPr="00C6485B" w:rsidTr="00B37B92">
        <w:trPr>
          <w:trHeight w:val="410"/>
        </w:trPr>
        <w:tc>
          <w:tcPr>
            <w:tcW w:w="3794" w:type="dxa"/>
            <w:tcBorders>
              <w:left w:val="nil"/>
            </w:tcBorders>
            <w:shd w:val="clear" w:color="auto" w:fill="auto"/>
          </w:tcPr>
          <w:p w:rsidR="00E66BE0" w:rsidRPr="00B37B92" w:rsidRDefault="00E66BE0" w:rsidP="00B37B92">
            <w:pPr>
              <w:pStyle w:val="Table-Text"/>
              <w:ind w:firstLine="270"/>
              <w:rPr>
                <w:sz w:val="22"/>
                <w:szCs w:val="22"/>
              </w:rPr>
            </w:pPr>
            <w:proofErr w:type="spellStart"/>
            <w:r w:rsidRPr="00B37B92">
              <w:rPr>
                <w:sz w:val="22"/>
                <w:szCs w:val="22"/>
              </w:rPr>
              <w:t>Relapse</w:t>
            </w:r>
            <w:r w:rsidRPr="00B37B92">
              <w:rPr>
                <w:sz w:val="22"/>
                <w:szCs w:val="22"/>
                <w:vertAlign w:val="superscript"/>
              </w:rPr>
              <w:t>a</w:t>
            </w:r>
            <w:proofErr w:type="spellEnd"/>
          </w:p>
        </w:tc>
        <w:tc>
          <w:tcPr>
            <w:tcW w:w="5528" w:type="dxa"/>
            <w:tcBorders>
              <w:right w:val="nil"/>
            </w:tcBorders>
            <w:shd w:val="clear" w:color="auto" w:fill="auto"/>
          </w:tcPr>
          <w:p w:rsidR="00E66BE0" w:rsidRPr="00B37B92" w:rsidRDefault="00E66BE0" w:rsidP="00B37B92">
            <w:pPr>
              <w:pStyle w:val="Table-Text"/>
              <w:jc w:val="center"/>
              <w:rPr>
                <w:sz w:val="22"/>
                <w:szCs w:val="22"/>
              </w:rPr>
            </w:pPr>
            <w:r w:rsidRPr="00B37B92">
              <w:rPr>
                <w:sz w:val="22"/>
                <w:szCs w:val="22"/>
              </w:rPr>
              <w:t>9% (28/326)</w:t>
            </w:r>
          </w:p>
        </w:tc>
      </w:tr>
      <w:tr w:rsidR="00E66BE0" w:rsidRPr="00C6485B" w:rsidTr="00B37B92">
        <w:tc>
          <w:tcPr>
            <w:tcW w:w="3794" w:type="dxa"/>
            <w:tcBorders>
              <w:left w:val="nil"/>
              <w:bottom w:val="single" w:sz="12" w:space="0" w:color="auto"/>
            </w:tcBorders>
            <w:shd w:val="clear" w:color="auto" w:fill="auto"/>
          </w:tcPr>
          <w:p w:rsidR="00E66BE0" w:rsidRPr="00B37B92" w:rsidRDefault="00E66BE0" w:rsidP="00B37B92">
            <w:pPr>
              <w:pStyle w:val="Table-Text"/>
              <w:ind w:firstLine="270"/>
              <w:rPr>
                <w:sz w:val="22"/>
                <w:szCs w:val="22"/>
              </w:rPr>
            </w:pPr>
            <w:proofErr w:type="spellStart"/>
            <w:r w:rsidRPr="00B37B92">
              <w:rPr>
                <w:sz w:val="22"/>
                <w:szCs w:val="22"/>
              </w:rPr>
              <w:t>Other</w:t>
            </w:r>
            <w:r w:rsidRPr="00B37B92">
              <w:rPr>
                <w:sz w:val="22"/>
                <w:szCs w:val="22"/>
                <w:vertAlign w:val="superscript"/>
              </w:rPr>
              <w:t>b</w:t>
            </w:r>
            <w:proofErr w:type="spellEnd"/>
            <w:r w:rsidRPr="00B37B92">
              <w:rPr>
                <w:sz w:val="22"/>
                <w:szCs w:val="22"/>
              </w:rPr>
              <w:t xml:space="preserve"> </w:t>
            </w:r>
          </w:p>
        </w:tc>
        <w:tc>
          <w:tcPr>
            <w:tcW w:w="5528" w:type="dxa"/>
            <w:tcBorders>
              <w:bottom w:val="single" w:sz="12" w:space="0" w:color="auto"/>
              <w:right w:val="nil"/>
            </w:tcBorders>
            <w:shd w:val="clear" w:color="auto" w:fill="auto"/>
          </w:tcPr>
          <w:p w:rsidR="00E66BE0" w:rsidRPr="00B37B92" w:rsidRDefault="00E66BE0" w:rsidP="00B37B92">
            <w:pPr>
              <w:pStyle w:val="Table-Text"/>
              <w:jc w:val="center"/>
              <w:rPr>
                <w:sz w:val="22"/>
                <w:szCs w:val="22"/>
              </w:rPr>
            </w:pPr>
            <w:r w:rsidRPr="00B37B92">
              <w:rPr>
                <w:sz w:val="22"/>
                <w:szCs w:val="22"/>
              </w:rPr>
              <w:t>1% (4/327)</w:t>
            </w:r>
          </w:p>
        </w:tc>
      </w:tr>
    </w:tbl>
    <w:p w:rsidR="00E66BE0" w:rsidRDefault="00E66BE0" w:rsidP="00BF711F">
      <w:pPr>
        <w:pStyle w:val="Table-Footer"/>
        <w:rPr>
          <w:rFonts w:ascii="Times New Roman" w:hAnsi="Times New Roman"/>
        </w:rPr>
      </w:pPr>
      <w:r w:rsidRPr="00E0693D">
        <w:rPr>
          <w:rFonts w:ascii="Times New Roman" w:hAnsi="Times New Roman"/>
        </w:rPr>
        <w:t>a.</w:t>
      </w:r>
      <w:r w:rsidRPr="00E0693D">
        <w:rPr>
          <w:rFonts w:ascii="Times New Roman" w:hAnsi="Times New Roman"/>
        </w:rPr>
        <w:tab/>
        <w:t xml:space="preserve">The denominator for relapse is the number of </w:t>
      </w:r>
      <w:r w:rsidR="00FD6E81">
        <w:rPr>
          <w:rFonts w:ascii="Times New Roman" w:hAnsi="Times New Roman"/>
        </w:rPr>
        <w:t>patients</w:t>
      </w:r>
      <w:r w:rsidRPr="00E0693D">
        <w:rPr>
          <w:rFonts w:ascii="Times New Roman" w:hAnsi="Times New Roman"/>
        </w:rPr>
        <w:t xml:space="preserve"> with HCV RNA &lt;LLOQ at their last on-treatment assessment.</w:t>
      </w:r>
    </w:p>
    <w:p w:rsidR="00E66BE0" w:rsidRPr="00E0693D" w:rsidRDefault="00E66BE0" w:rsidP="00BF711F">
      <w:pPr>
        <w:pStyle w:val="Table-Footer"/>
        <w:rPr>
          <w:rFonts w:ascii="Times New Roman" w:hAnsi="Times New Roman"/>
        </w:rPr>
      </w:pPr>
      <w:r w:rsidRPr="00E0693D">
        <w:rPr>
          <w:rFonts w:ascii="Times New Roman" w:hAnsi="Times New Roman"/>
        </w:rPr>
        <w:t xml:space="preserve">b. </w:t>
      </w:r>
      <w:r w:rsidRPr="00E0693D">
        <w:rPr>
          <w:rFonts w:ascii="Times New Roman" w:hAnsi="Times New Roman"/>
        </w:rPr>
        <w:tab/>
        <w:t xml:space="preserve">Other includes </w:t>
      </w:r>
      <w:r w:rsidR="00FD6E81">
        <w:rPr>
          <w:rFonts w:ascii="Times New Roman" w:hAnsi="Times New Roman"/>
        </w:rPr>
        <w:t>patients</w:t>
      </w:r>
      <w:r w:rsidRPr="00E0693D">
        <w:rPr>
          <w:rFonts w:ascii="Times New Roman" w:hAnsi="Times New Roman"/>
        </w:rPr>
        <w:t xml:space="preserve"> who did not achieve SVR and did not meet </w:t>
      </w:r>
      <w:proofErr w:type="spellStart"/>
      <w:r w:rsidRPr="00E0693D">
        <w:rPr>
          <w:rFonts w:ascii="Times New Roman" w:hAnsi="Times New Roman"/>
        </w:rPr>
        <w:t>virologic</w:t>
      </w:r>
      <w:proofErr w:type="spellEnd"/>
      <w:r w:rsidRPr="00E0693D">
        <w:rPr>
          <w:rFonts w:ascii="Times New Roman" w:hAnsi="Times New Roman"/>
        </w:rPr>
        <w:t xml:space="preserve"> failure criteria (e.g., lost to follow-up)</w:t>
      </w:r>
    </w:p>
    <w:p w:rsidR="00DD6CB1" w:rsidRDefault="00DD6CB1" w:rsidP="00BF711F">
      <w:pPr>
        <w:pStyle w:val="Text10"/>
      </w:pPr>
    </w:p>
    <w:p w:rsidR="009636C3" w:rsidRDefault="009636C3" w:rsidP="00BF711F">
      <w:pPr>
        <w:pStyle w:val="Text10"/>
      </w:pPr>
      <w:r w:rsidRPr="00336CD2">
        <w:t>Response rates for selected su</w:t>
      </w:r>
      <w:r w:rsidR="00A44216">
        <w:t xml:space="preserve">bgroups are presented in Table </w:t>
      </w:r>
      <w:r w:rsidR="00525003">
        <w:t>2</w:t>
      </w:r>
      <w:r w:rsidRPr="00336CD2">
        <w:t>.</w:t>
      </w:r>
    </w:p>
    <w:p w:rsidR="009636C3" w:rsidRDefault="009636C3" w:rsidP="00BF711F">
      <w:pPr>
        <w:pStyle w:val="Caption"/>
        <w:rPr>
          <w:rFonts w:ascii="Times New Roman" w:hAnsi="Times New Roman"/>
        </w:rPr>
      </w:pPr>
      <w:bookmarkStart w:id="8" w:name="_Toc352326837"/>
      <w:r w:rsidRPr="009636C3">
        <w:rPr>
          <w:rFonts w:ascii="Times New Roman" w:hAnsi="Times New Roman"/>
        </w:rPr>
        <w:t xml:space="preserve">Table </w:t>
      </w:r>
      <w:r w:rsidR="00525003">
        <w:rPr>
          <w:rFonts w:ascii="Times New Roman" w:hAnsi="Times New Roman"/>
        </w:rPr>
        <w:t>2</w:t>
      </w:r>
      <w:r w:rsidRPr="009636C3">
        <w:rPr>
          <w:rFonts w:ascii="Times New Roman" w:hAnsi="Times New Roman"/>
        </w:rPr>
        <w:tab/>
        <w:t>SVR Rates for Selected Subgroups in NEUTRINO</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528"/>
      </w:tblGrid>
      <w:tr w:rsidR="009636C3" w:rsidRPr="00B37B92" w:rsidTr="00B37B92">
        <w:tc>
          <w:tcPr>
            <w:tcW w:w="3686" w:type="dxa"/>
            <w:tcBorders>
              <w:top w:val="single" w:sz="12" w:space="0" w:color="auto"/>
              <w:left w:val="nil"/>
              <w:bottom w:val="single" w:sz="12" w:space="0" w:color="auto"/>
            </w:tcBorders>
            <w:shd w:val="clear" w:color="auto" w:fill="auto"/>
          </w:tcPr>
          <w:p w:rsidR="009636C3" w:rsidRPr="00B37B92" w:rsidRDefault="009636C3" w:rsidP="00BF711F">
            <w:pPr>
              <w:pStyle w:val="Table-Text"/>
              <w:rPr>
                <w:sz w:val="22"/>
                <w:szCs w:val="22"/>
              </w:rPr>
            </w:pPr>
          </w:p>
        </w:tc>
        <w:tc>
          <w:tcPr>
            <w:tcW w:w="5528" w:type="dxa"/>
            <w:tcBorders>
              <w:top w:val="single" w:sz="12" w:space="0" w:color="auto"/>
              <w:bottom w:val="single" w:sz="12" w:space="0" w:color="auto"/>
              <w:right w:val="nil"/>
            </w:tcBorders>
            <w:shd w:val="clear" w:color="auto" w:fill="auto"/>
          </w:tcPr>
          <w:p w:rsidR="009636C3" w:rsidRPr="00B37B92" w:rsidRDefault="00D21279" w:rsidP="00BF711F">
            <w:pPr>
              <w:pStyle w:val="Table-Heading"/>
              <w:rPr>
                <w:sz w:val="22"/>
                <w:szCs w:val="22"/>
              </w:rPr>
            </w:pPr>
            <w:r w:rsidRPr="00B37B92">
              <w:rPr>
                <w:sz w:val="22"/>
                <w:szCs w:val="22"/>
              </w:rPr>
              <w:t>SOVALDI</w:t>
            </w:r>
            <w:r w:rsidR="009636C3" w:rsidRPr="00B37B92">
              <w:rPr>
                <w:sz w:val="22"/>
                <w:szCs w:val="22"/>
              </w:rPr>
              <w:t xml:space="preserve"> + Peg-IFN </w:t>
            </w:r>
            <w:proofErr w:type="spellStart"/>
            <w:r w:rsidR="009636C3" w:rsidRPr="00B37B92">
              <w:rPr>
                <w:sz w:val="22"/>
                <w:szCs w:val="22"/>
              </w:rPr>
              <w:t>alfa</w:t>
            </w:r>
            <w:proofErr w:type="spellEnd"/>
            <w:r w:rsidR="009636C3" w:rsidRPr="00B37B92">
              <w:rPr>
                <w:sz w:val="22"/>
                <w:szCs w:val="22"/>
              </w:rPr>
              <w:t xml:space="preserve">  + RBV 12 weeks</w:t>
            </w:r>
          </w:p>
        </w:tc>
      </w:tr>
      <w:tr w:rsidR="009636C3" w:rsidRPr="00B37B92" w:rsidTr="00B37B92">
        <w:tc>
          <w:tcPr>
            <w:tcW w:w="3686" w:type="dxa"/>
            <w:tcBorders>
              <w:top w:val="single" w:sz="12" w:space="0" w:color="auto"/>
              <w:left w:val="nil"/>
            </w:tcBorders>
            <w:shd w:val="clear" w:color="auto" w:fill="auto"/>
          </w:tcPr>
          <w:p w:rsidR="00BE2787" w:rsidRPr="00B37B92" w:rsidRDefault="009636C3" w:rsidP="00BF711F">
            <w:pPr>
              <w:pStyle w:val="Table-Text"/>
              <w:rPr>
                <w:sz w:val="22"/>
                <w:szCs w:val="22"/>
              </w:rPr>
            </w:pPr>
            <w:r w:rsidRPr="00B37B92">
              <w:rPr>
                <w:sz w:val="22"/>
                <w:szCs w:val="22"/>
              </w:rPr>
              <w:t>Genotype</w:t>
            </w:r>
          </w:p>
        </w:tc>
        <w:tc>
          <w:tcPr>
            <w:tcW w:w="5528" w:type="dxa"/>
            <w:tcBorders>
              <w:top w:val="single" w:sz="12" w:space="0" w:color="auto"/>
              <w:right w:val="nil"/>
            </w:tcBorders>
            <w:shd w:val="clear" w:color="auto" w:fill="auto"/>
          </w:tcPr>
          <w:p w:rsidR="009636C3" w:rsidRPr="00B37B92" w:rsidRDefault="009636C3" w:rsidP="00BF711F">
            <w:pPr>
              <w:pStyle w:val="Table-Text"/>
              <w:rPr>
                <w:sz w:val="22"/>
                <w:szCs w:val="22"/>
              </w:rPr>
            </w:pPr>
          </w:p>
        </w:tc>
      </w:tr>
      <w:tr w:rsidR="009636C3" w:rsidRPr="00B37B92" w:rsidTr="00B37B92">
        <w:tc>
          <w:tcPr>
            <w:tcW w:w="3686" w:type="dxa"/>
            <w:tcBorders>
              <w:left w:val="nil"/>
            </w:tcBorders>
            <w:shd w:val="clear" w:color="auto" w:fill="auto"/>
          </w:tcPr>
          <w:p w:rsidR="00BE2787" w:rsidRPr="00B37B92" w:rsidRDefault="009636C3" w:rsidP="00B37B92">
            <w:pPr>
              <w:pStyle w:val="Table-Text"/>
              <w:ind w:firstLine="270"/>
              <w:rPr>
                <w:sz w:val="22"/>
                <w:szCs w:val="22"/>
              </w:rPr>
            </w:pPr>
            <w:r w:rsidRPr="00B37B92">
              <w:rPr>
                <w:sz w:val="22"/>
                <w:szCs w:val="22"/>
              </w:rPr>
              <w:t>Genotype 1</w:t>
            </w:r>
          </w:p>
        </w:tc>
        <w:tc>
          <w:tcPr>
            <w:tcW w:w="5528" w:type="dxa"/>
            <w:tcBorders>
              <w:right w:val="nil"/>
            </w:tcBorders>
            <w:shd w:val="clear" w:color="auto" w:fill="auto"/>
          </w:tcPr>
          <w:p w:rsidR="009636C3" w:rsidRPr="00B37B92" w:rsidRDefault="009636C3" w:rsidP="00B37B92">
            <w:pPr>
              <w:pStyle w:val="Table-Text"/>
              <w:jc w:val="center"/>
              <w:rPr>
                <w:sz w:val="22"/>
                <w:szCs w:val="22"/>
              </w:rPr>
            </w:pPr>
            <w:r w:rsidRPr="00B37B92">
              <w:rPr>
                <w:sz w:val="22"/>
                <w:szCs w:val="22"/>
              </w:rPr>
              <w:t>89% (261/292)</w:t>
            </w:r>
          </w:p>
        </w:tc>
      </w:tr>
      <w:tr w:rsidR="009636C3" w:rsidRPr="00B37B92" w:rsidTr="00B37B92">
        <w:tc>
          <w:tcPr>
            <w:tcW w:w="3686" w:type="dxa"/>
            <w:tcBorders>
              <w:left w:val="nil"/>
            </w:tcBorders>
            <w:shd w:val="clear" w:color="auto" w:fill="auto"/>
          </w:tcPr>
          <w:p w:rsidR="009636C3" w:rsidRPr="00B37B92" w:rsidRDefault="009636C3" w:rsidP="00B37B92">
            <w:pPr>
              <w:pStyle w:val="Table-Text"/>
              <w:ind w:firstLine="270"/>
              <w:rPr>
                <w:sz w:val="22"/>
                <w:szCs w:val="22"/>
              </w:rPr>
            </w:pPr>
            <w:r w:rsidRPr="00B37B92">
              <w:rPr>
                <w:sz w:val="22"/>
                <w:szCs w:val="22"/>
              </w:rPr>
              <w:t>Genotype 4, 5 or 6</w:t>
            </w:r>
          </w:p>
        </w:tc>
        <w:tc>
          <w:tcPr>
            <w:tcW w:w="5528" w:type="dxa"/>
            <w:tcBorders>
              <w:right w:val="nil"/>
            </w:tcBorders>
            <w:shd w:val="clear" w:color="auto" w:fill="auto"/>
          </w:tcPr>
          <w:p w:rsidR="009636C3" w:rsidRPr="00B37B92" w:rsidRDefault="009636C3" w:rsidP="00B37B92">
            <w:pPr>
              <w:pStyle w:val="Table-Text"/>
              <w:jc w:val="center"/>
              <w:rPr>
                <w:sz w:val="22"/>
                <w:szCs w:val="22"/>
              </w:rPr>
            </w:pPr>
            <w:r w:rsidRPr="00B37B92">
              <w:rPr>
                <w:sz w:val="22"/>
                <w:szCs w:val="22"/>
              </w:rPr>
              <w:t>97% (34/35)</w:t>
            </w:r>
            <w:r w:rsidR="00896AD9" w:rsidRPr="00B37B92">
              <w:rPr>
                <w:sz w:val="22"/>
                <w:szCs w:val="22"/>
                <w:vertAlign w:val="superscript"/>
              </w:rPr>
              <w:t>a</w:t>
            </w:r>
          </w:p>
        </w:tc>
      </w:tr>
      <w:tr w:rsidR="009636C3" w:rsidRPr="00B37B92" w:rsidTr="00B37B92">
        <w:tc>
          <w:tcPr>
            <w:tcW w:w="3686" w:type="dxa"/>
            <w:tcBorders>
              <w:left w:val="nil"/>
            </w:tcBorders>
            <w:shd w:val="clear" w:color="auto" w:fill="auto"/>
          </w:tcPr>
          <w:p w:rsidR="009636C3" w:rsidRPr="00B37B92" w:rsidRDefault="009636C3" w:rsidP="00BF711F">
            <w:pPr>
              <w:pStyle w:val="Table-Text"/>
              <w:rPr>
                <w:sz w:val="22"/>
                <w:szCs w:val="22"/>
              </w:rPr>
            </w:pPr>
            <w:r w:rsidRPr="00B37B92">
              <w:rPr>
                <w:sz w:val="22"/>
                <w:szCs w:val="22"/>
              </w:rPr>
              <w:t>Cirrhosis</w:t>
            </w:r>
          </w:p>
        </w:tc>
        <w:tc>
          <w:tcPr>
            <w:tcW w:w="5528" w:type="dxa"/>
            <w:tcBorders>
              <w:right w:val="nil"/>
            </w:tcBorders>
            <w:shd w:val="clear" w:color="auto" w:fill="auto"/>
          </w:tcPr>
          <w:p w:rsidR="009636C3" w:rsidRPr="00B37B92" w:rsidRDefault="009636C3" w:rsidP="00B37B92">
            <w:pPr>
              <w:pStyle w:val="Table-Text"/>
              <w:jc w:val="center"/>
              <w:rPr>
                <w:sz w:val="22"/>
                <w:szCs w:val="22"/>
              </w:rPr>
            </w:pPr>
          </w:p>
        </w:tc>
      </w:tr>
      <w:tr w:rsidR="009636C3" w:rsidRPr="00B37B92" w:rsidTr="00B37B92">
        <w:tc>
          <w:tcPr>
            <w:tcW w:w="3686" w:type="dxa"/>
            <w:tcBorders>
              <w:left w:val="nil"/>
            </w:tcBorders>
            <w:shd w:val="clear" w:color="auto" w:fill="auto"/>
          </w:tcPr>
          <w:p w:rsidR="009636C3" w:rsidRPr="00B37B92" w:rsidRDefault="009636C3" w:rsidP="00B37B92">
            <w:pPr>
              <w:pStyle w:val="Table-Text"/>
              <w:ind w:firstLine="270"/>
              <w:rPr>
                <w:sz w:val="22"/>
                <w:szCs w:val="22"/>
              </w:rPr>
            </w:pPr>
            <w:r w:rsidRPr="00B37B92">
              <w:rPr>
                <w:sz w:val="22"/>
                <w:szCs w:val="22"/>
              </w:rPr>
              <w:t>No</w:t>
            </w:r>
          </w:p>
        </w:tc>
        <w:tc>
          <w:tcPr>
            <w:tcW w:w="5528" w:type="dxa"/>
            <w:tcBorders>
              <w:right w:val="nil"/>
            </w:tcBorders>
            <w:shd w:val="clear" w:color="auto" w:fill="auto"/>
          </w:tcPr>
          <w:p w:rsidR="009636C3" w:rsidRPr="00B37B92" w:rsidRDefault="009636C3" w:rsidP="00B37B92">
            <w:pPr>
              <w:pStyle w:val="Table-Text"/>
              <w:jc w:val="center"/>
              <w:rPr>
                <w:sz w:val="22"/>
                <w:szCs w:val="22"/>
              </w:rPr>
            </w:pPr>
            <w:r w:rsidRPr="00B37B92">
              <w:rPr>
                <w:sz w:val="22"/>
                <w:szCs w:val="22"/>
              </w:rPr>
              <w:t>92% (252/273)</w:t>
            </w:r>
          </w:p>
        </w:tc>
      </w:tr>
      <w:tr w:rsidR="009636C3" w:rsidRPr="00B37B92" w:rsidTr="00B37B92">
        <w:tc>
          <w:tcPr>
            <w:tcW w:w="3686" w:type="dxa"/>
            <w:tcBorders>
              <w:left w:val="nil"/>
            </w:tcBorders>
            <w:shd w:val="clear" w:color="auto" w:fill="auto"/>
          </w:tcPr>
          <w:p w:rsidR="009636C3" w:rsidRPr="00B37B92" w:rsidRDefault="009636C3" w:rsidP="00B37B92">
            <w:pPr>
              <w:pStyle w:val="Table-Text"/>
              <w:ind w:firstLine="270"/>
              <w:rPr>
                <w:sz w:val="22"/>
                <w:szCs w:val="22"/>
              </w:rPr>
            </w:pPr>
            <w:r w:rsidRPr="00B37B92">
              <w:rPr>
                <w:sz w:val="22"/>
                <w:szCs w:val="22"/>
              </w:rPr>
              <w:t>Yes</w:t>
            </w:r>
          </w:p>
        </w:tc>
        <w:tc>
          <w:tcPr>
            <w:tcW w:w="5528" w:type="dxa"/>
            <w:tcBorders>
              <w:right w:val="nil"/>
            </w:tcBorders>
            <w:shd w:val="clear" w:color="auto" w:fill="auto"/>
          </w:tcPr>
          <w:p w:rsidR="009636C3" w:rsidRPr="00B37B92" w:rsidRDefault="009636C3" w:rsidP="00B37B92">
            <w:pPr>
              <w:pStyle w:val="Table-Text"/>
              <w:jc w:val="center"/>
              <w:rPr>
                <w:sz w:val="22"/>
                <w:szCs w:val="22"/>
              </w:rPr>
            </w:pPr>
            <w:r w:rsidRPr="00B37B92">
              <w:rPr>
                <w:sz w:val="22"/>
                <w:szCs w:val="22"/>
              </w:rPr>
              <w:t>80% (43/54)</w:t>
            </w:r>
          </w:p>
        </w:tc>
      </w:tr>
      <w:tr w:rsidR="009636C3" w:rsidRPr="00B37B92" w:rsidTr="00B37B92">
        <w:tc>
          <w:tcPr>
            <w:tcW w:w="3686" w:type="dxa"/>
            <w:tcBorders>
              <w:left w:val="nil"/>
            </w:tcBorders>
            <w:shd w:val="clear" w:color="auto" w:fill="auto"/>
          </w:tcPr>
          <w:p w:rsidR="009636C3" w:rsidRPr="00B37B92" w:rsidRDefault="009636C3" w:rsidP="00BF711F">
            <w:pPr>
              <w:pStyle w:val="Table-Text"/>
              <w:rPr>
                <w:sz w:val="22"/>
                <w:szCs w:val="22"/>
              </w:rPr>
            </w:pPr>
            <w:r w:rsidRPr="00B37B92">
              <w:rPr>
                <w:sz w:val="22"/>
                <w:szCs w:val="22"/>
              </w:rPr>
              <w:t>Race</w:t>
            </w:r>
          </w:p>
        </w:tc>
        <w:tc>
          <w:tcPr>
            <w:tcW w:w="5528" w:type="dxa"/>
            <w:tcBorders>
              <w:right w:val="nil"/>
            </w:tcBorders>
            <w:shd w:val="clear" w:color="auto" w:fill="auto"/>
          </w:tcPr>
          <w:p w:rsidR="009636C3" w:rsidRPr="00B37B92" w:rsidRDefault="009636C3" w:rsidP="00B37B92">
            <w:pPr>
              <w:pStyle w:val="Table-Text"/>
              <w:jc w:val="center"/>
              <w:rPr>
                <w:sz w:val="22"/>
                <w:szCs w:val="22"/>
              </w:rPr>
            </w:pPr>
          </w:p>
        </w:tc>
      </w:tr>
      <w:tr w:rsidR="009636C3" w:rsidRPr="00B37B92" w:rsidTr="00B37B92">
        <w:tc>
          <w:tcPr>
            <w:tcW w:w="3686" w:type="dxa"/>
            <w:tcBorders>
              <w:left w:val="nil"/>
            </w:tcBorders>
            <w:shd w:val="clear" w:color="auto" w:fill="auto"/>
          </w:tcPr>
          <w:p w:rsidR="009636C3" w:rsidRPr="00B37B92" w:rsidRDefault="009636C3" w:rsidP="00B37B92">
            <w:pPr>
              <w:pStyle w:val="Table-Text"/>
              <w:ind w:firstLine="270"/>
              <w:rPr>
                <w:sz w:val="22"/>
                <w:szCs w:val="22"/>
              </w:rPr>
            </w:pPr>
            <w:r w:rsidRPr="00B37B92">
              <w:rPr>
                <w:sz w:val="22"/>
                <w:szCs w:val="22"/>
              </w:rPr>
              <w:t>Black</w:t>
            </w:r>
          </w:p>
        </w:tc>
        <w:tc>
          <w:tcPr>
            <w:tcW w:w="5528" w:type="dxa"/>
            <w:tcBorders>
              <w:right w:val="nil"/>
            </w:tcBorders>
            <w:shd w:val="clear" w:color="auto" w:fill="auto"/>
          </w:tcPr>
          <w:p w:rsidR="009636C3" w:rsidRPr="00B37B92" w:rsidRDefault="009636C3" w:rsidP="00B37B92">
            <w:pPr>
              <w:pStyle w:val="Table-Text"/>
              <w:jc w:val="center"/>
              <w:rPr>
                <w:sz w:val="22"/>
                <w:szCs w:val="22"/>
              </w:rPr>
            </w:pPr>
            <w:r w:rsidRPr="00B37B92">
              <w:rPr>
                <w:sz w:val="22"/>
                <w:szCs w:val="22"/>
              </w:rPr>
              <w:t>87% (47/54)</w:t>
            </w:r>
          </w:p>
        </w:tc>
      </w:tr>
      <w:tr w:rsidR="009636C3" w:rsidRPr="00B37B92" w:rsidTr="00B37B92">
        <w:tc>
          <w:tcPr>
            <w:tcW w:w="3686" w:type="dxa"/>
            <w:tcBorders>
              <w:left w:val="nil"/>
              <w:bottom w:val="single" w:sz="12" w:space="0" w:color="auto"/>
            </w:tcBorders>
            <w:shd w:val="clear" w:color="auto" w:fill="auto"/>
          </w:tcPr>
          <w:p w:rsidR="009636C3" w:rsidRPr="00B37B92" w:rsidRDefault="009636C3" w:rsidP="00B37B92">
            <w:pPr>
              <w:pStyle w:val="Table-Text"/>
              <w:ind w:firstLine="270"/>
              <w:rPr>
                <w:sz w:val="22"/>
                <w:szCs w:val="22"/>
              </w:rPr>
            </w:pPr>
            <w:r w:rsidRPr="00B37B92">
              <w:rPr>
                <w:sz w:val="22"/>
                <w:szCs w:val="22"/>
              </w:rPr>
              <w:t>Non-black</w:t>
            </w:r>
          </w:p>
        </w:tc>
        <w:tc>
          <w:tcPr>
            <w:tcW w:w="5528" w:type="dxa"/>
            <w:tcBorders>
              <w:bottom w:val="single" w:sz="12" w:space="0" w:color="auto"/>
              <w:right w:val="nil"/>
            </w:tcBorders>
            <w:shd w:val="clear" w:color="auto" w:fill="auto"/>
          </w:tcPr>
          <w:p w:rsidR="009636C3" w:rsidRPr="00B37B92" w:rsidRDefault="009636C3" w:rsidP="00B37B92">
            <w:pPr>
              <w:pStyle w:val="Table-Text"/>
              <w:jc w:val="center"/>
              <w:rPr>
                <w:sz w:val="22"/>
                <w:szCs w:val="22"/>
              </w:rPr>
            </w:pPr>
            <w:r w:rsidRPr="00B37B92">
              <w:rPr>
                <w:sz w:val="22"/>
                <w:szCs w:val="22"/>
              </w:rPr>
              <w:t>91% (248/273)</w:t>
            </w:r>
          </w:p>
        </w:tc>
      </w:tr>
    </w:tbl>
    <w:p w:rsidR="00896AD9" w:rsidRPr="0085727C" w:rsidRDefault="0085727C" w:rsidP="0093702D">
      <w:pPr>
        <w:pStyle w:val="Heading2"/>
        <w:numPr>
          <w:ilvl w:val="0"/>
          <w:numId w:val="43"/>
        </w:numPr>
      </w:pPr>
      <w:r w:rsidRPr="0085727C">
        <w:rPr>
          <w:sz w:val="18"/>
          <w:szCs w:val="18"/>
        </w:rPr>
        <w:t>L</w:t>
      </w:r>
      <w:r w:rsidR="00896AD9" w:rsidRPr="0085727C">
        <w:rPr>
          <w:sz w:val="18"/>
          <w:szCs w:val="18"/>
        </w:rPr>
        <w:t xml:space="preserve">imited data </w:t>
      </w:r>
      <w:r w:rsidRPr="0085727C">
        <w:rPr>
          <w:sz w:val="18"/>
          <w:szCs w:val="18"/>
        </w:rPr>
        <w:t xml:space="preserve">are available </w:t>
      </w:r>
      <w:r w:rsidR="00896AD9" w:rsidRPr="0085727C">
        <w:rPr>
          <w:sz w:val="18"/>
          <w:szCs w:val="18"/>
        </w:rPr>
        <w:t>regarding the use of SOVALDI in patients with genotype 4</w:t>
      </w:r>
      <w:r>
        <w:rPr>
          <w:sz w:val="18"/>
          <w:szCs w:val="18"/>
        </w:rPr>
        <w:t xml:space="preserve"> (n=28)</w:t>
      </w:r>
      <w:r w:rsidR="00896AD9" w:rsidRPr="0085727C">
        <w:rPr>
          <w:sz w:val="18"/>
          <w:szCs w:val="18"/>
        </w:rPr>
        <w:t>, 5</w:t>
      </w:r>
      <w:r>
        <w:rPr>
          <w:sz w:val="18"/>
          <w:szCs w:val="18"/>
        </w:rPr>
        <w:t xml:space="preserve"> (n=1),</w:t>
      </w:r>
      <w:r w:rsidR="00896AD9" w:rsidRPr="0085727C">
        <w:rPr>
          <w:sz w:val="18"/>
          <w:szCs w:val="18"/>
        </w:rPr>
        <w:t xml:space="preserve"> or 6</w:t>
      </w:r>
      <w:r>
        <w:rPr>
          <w:sz w:val="18"/>
          <w:szCs w:val="18"/>
        </w:rPr>
        <w:t xml:space="preserve"> (n=6)</w:t>
      </w:r>
      <w:r w:rsidR="00896AD9" w:rsidRPr="0085727C">
        <w:rPr>
          <w:sz w:val="18"/>
          <w:szCs w:val="18"/>
        </w:rPr>
        <w:t xml:space="preserve"> CHC</w:t>
      </w:r>
    </w:p>
    <w:p w:rsidR="00392CAB" w:rsidRDefault="00392CAB" w:rsidP="00BF711F">
      <w:pPr>
        <w:pStyle w:val="Text10"/>
      </w:pPr>
    </w:p>
    <w:p w:rsidR="009636C3" w:rsidRPr="00BF711F" w:rsidRDefault="009636C3" w:rsidP="00BF711F">
      <w:pPr>
        <w:pStyle w:val="Text10"/>
      </w:pPr>
      <w:r w:rsidRPr="00BF711F">
        <w:lastRenderedPageBreak/>
        <w:t xml:space="preserve">SVR rates were similarly high in </w:t>
      </w:r>
      <w:r w:rsidR="00FD6E81" w:rsidRPr="00BF711F">
        <w:t>patients</w:t>
      </w:r>
      <w:r w:rsidRPr="00BF711F">
        <w:t xml:space="preserve"> with baseline IL28B C/C allele [93/95 (98%)] and non-C/C (C/T or T/T) allele [202/232 (87%)]. </w:t>
      </w:r>
    </w:p>
    <w:p w:rsidR="00305411" w:rsidRPr="00261D5A" w:rsidRDefault="00305411" w:rsidP="00BF711F">
      <w:pPr>
        <w:pStyle w:val="Heading2"/>
        <w:rPr>
          <w:b/>
        </w:rPr>
      </w:pPr>
      <w:bookmarkStart w:id="9" w:name="_Toc352326806"/>
      <w:r w:rsidRPr="00261D5A">
        <w:rPr>
          <w:b/>
        </w:rPr>
        <w:t xml:space="preserve">Clinical trials in </w:t>
      </w:r>
      <w:r w:rsidR="00A50549" w:rsidRPr="00261D5A">
        <w:rPr>
          <w:b/>
        </w:rPr>
        <w:t xml:space="preserve">Patients </w:t>
      </w:r>
      <w:r w:rsidRPr="00261D5A">
        <w:rPr>
          <w:b/>
        </w:rPr>
        <w:t>with Genotype 2 or 3 Chronic Hepatitis C</w:t>
      </w:r>
      <w:bookmarkEnd w:id="9"/>
    </w:p>
    <w:p w:rsidR="00305411" w:rsidRDefault="00305411" w:rsidP="00BF711F">
      <w:pPr>
        <w:pStyle w:val="Subheading2"/>
        <w:keepLines/>
      </w:pPr>
      <w:r w:rsidRPr="005B613F">
        <w:t>Treatment Naïve Adults ─ FISSION (Study 1231)</w:t>
      </w:r>
    </w:p>
    <w:p w:rsidR="00305411" w:rsidRDefault="00305411" w:rsidP="00BF711F">
      <w:pPr>
        <w:pStyle w:val="Text10"/>
      </w:pPr>
      <w:r w:rsidRPr="005B613F">
        <w:t xml:space="preserve">FISSION was a </w:t>
      </w:r>
      <w:proofErr w:type="spellStart"/>
      <w:r w:rsidRPr="005B613F">
        <w:t>randomi</w:t>
      </w:r>
      <w:r w:rsidR="005C3220">
        <w:t>s</w:t>
      </w:r>
      <w:r w:rsidRPr="005B613F">
        <w:t>ed</w:t>
      </w:r>
      <w:proofErr w:type="spellEnd"/>
      <w:r w:rsidRPr="005B613F">
        <w:t>, open-label, active-controlled trial that evalua</w:t>
      </w:r>
      <w:r w:rsidR="0001214B">
        <w:t xml:space="preserve">ted 12 weeks of treatment with </w:t>
      </w:r>
      <w:r w:rsidR="00D21279">
        <w:t>SOVALDI</w:t>
      </w:r>
      <w:r w:rsidRPr="005B613F">
        <w:t xml:space="preserve"> and ribavirin compared to 24 weeks of treatment with </w:t>
      </w:r>
      <w:proofErr w:type="spellStart"/>
      <w:r w:rsidRPr="005B613F">
        <w:t>peginterferon</w:t>
      </w:r>
      <w:proofErr w:type="spellEnd"/>
      <w:r w:rsidRPr="005B613F">
        <w:t xml:space="preserve"> </w:t>
      </w:r>
      <w:proofErr w:type="spellStart"/>
      <w:r w:rsidRPr="005B613F">
        <w:t>alfa</w:t>
      </w:r>
      <w:proofErr w:type="spellEnd"/>
      <w:r w:rsidRPr="005B613F">
        <w:t xml:space="preserve"> 2a and ribavirin in treatment-naïve </w:t>
      </w:r>
      <w:r w:rsidR="00FD6E81">
        <w:t>patients</w:t>
      </w:r>
      <w:r w:rsidRPr="005B613F">
        <w:t xml:space="preserve"> with genotype 2 and 3 HCV. T</w:t>
      </w:r>
      <w:r w:rsidR="0001214B">
        <w:t xml:space="preserve">he ribavirin doses used in the </w:t>
      </w:r>
      <w:r w:rsidR="00D21279">
        <w:t>SOVALDI</w:t>
      </w:r>
      <w:r w:rsidRPr="005B613F">
        <w:t xml:space="preserve"> + ribavirin and </w:t>
      </w:r>
      <w:proofErr w:type="spellStart"/>
      <w:r w:rsidRPr="005B613F">
        <w:t>peginterferon</w:t>
      </w:r>
      <w:proofErr w:type="spellEnd"/>
      <w:r w:rsidRPr="005B613F">
        <w:t xml:space="preserve"> </w:t>
      </w:r>
      <w:proofErr w:type="spellStart"/>
      <w:r w:rsidRPr="005B613F">
        <w:t>alfa</w:t>
      </w:r>
      <w:proofErr w:type="spellEnd"/>
      <w:r w:rsidRPr="005B613F">
        <w:t xml:space="preserve"> 2a + ribavirin arms were weight-based 1000-1200 mg per day and 800 mg per day regardless of weight, respectively. </w:t>
      </w:r>
      <w:r w:rsidR="0016441F">
        <w:t>Patients</w:t>
      </w:r>
      <w:r w:rsidR="0016441F" w:rsidRPr="005B613F">
        <w:t xml:space="preserve"> </w:t>
      </w:r>
      <w:r w:rsidRPr="005B613F">
        <w:t xml:space="preserve">were </w:t>
      </w:r>
      <w:proofErr w:type="spellStart"/>
      <w:r w:rsidRPr="005B613F">
        <w:t>randomi</w:t>
      </w:r>
      <w:r w:rsidR="0016441F">
        <w:t>s</w:t>
      </w:r>
      <w:r w:rsidRPr="005B613F">
        <w:t>ed</w:t>
      </w:r>
      <w:proofErr w:type="spellEnd"/>
      <w:r w:rsidRPr="005B613F">
        <w:t xml:space="preserve"> in a 1:1 ratio and stratified by cirrhosis (presence vs absence), HCV genotype (2 vs 3) and baseline HCV RNA level (&lt; 6 log</w:t>
      </w:r>
      <w:r w:rsidRPr="005B613F">
        <w:rPr>
          <w:vertAlign w:val="subscript"/>
        </w:rPr>
        <w:t>10</w:t>
      </w:r>
      <w:r w:rsidR="002038C2">
        <w:rPr>
          <w:vertAlign w:val="subscript"/>
        </w:rPr>
        <w:t xml:space="preserve"> </w:t>
      </w:r>
      <w:r w:rsidRPr="005B613F">
        <w:t>IU/mL vs ≥ 6 log</w:t>
      </w:r>
      <w:r w:rsidRPr="005B613F">
        <w:rPr>
          <w:vertAlign w:val="subscript"/>
        </w:rPr>
        <w:t>10</w:t>
      </w:r>
      <w:r w:rsidR="002038C2">
        <w:rPr>
          <w:vertAlign w:val="subscript"/>
        </w:rPr>
        <w:t xml:space="preserve"> </w:t>
      </w:r>
      <w:r w:rsidRPr="005B613F">
        <w:t xml:space="preserve">IU/mL). </w:t>
      </w:r>
      <w:r w:rsidR="00DF24D9">
        <w:t>Patients</w:t>
      </w:r>
      <w:r w:rsidR="00DF24D9" w:rsidRPr="005B613F">
        <w:t xml:space="preserve"> </w:t>
      </w:r>
      <w:r w:rsidRPr="005B613F">
        <w:t>with genotype 2 or 3 HCV were enrolled in an approximately 1:3 ratio.</w:t>
      </w:r>
    </w:p>
    <w:p w:rsidR="00305411" w:rsidRDefault="00305411" w:rsidP="00BF711F">
      <w:pPr>
        <w:pStyle w:val="Text10"/>
      </w:pPr>
      <w:r w:rsidRPr="005B613F">
        <w:t xml:space="preserve">Treated </w:t>
      </w:r>
      <w:r w:rsidR="00FD6E81">
        <w:t>patients</w:t>
      </w:r>
      <w:r w:rsidRPr="005B613F">
        <w:t xml:space="preserve"> (N=499) had a median age of 50 years (range: 19 to 77); 66% of the </w:t>
      </w:r>
      <w:r w:rsidR="00FD6E81">
        <w:t>patients</w:t>
      </w:r>
      <w:r w:rsidR="00FC53FF">
        <w:t xml:space="preserve"> </w:t>
      </w:r>
      <w:r w:rsidRPr="005B613F">
        <w:t>were male; 87% were White, 3% were Black; 14% were Hispanic or Latino</w:t>
      </w:r>
      <w:r w:rsidR="00EA74D6">
        <w:t>, 29% were Asian</w:t>
      </w:r>
      <w:r w:rsidRPr="005B613F">
        <w:t>; mean body mass index was 28 kg/m</w:t>
      </w:r>
      <w:r w:rsidRPr="007052DA">
        <w:rPr>
          <w:vertAlign w:val="superscript"/>
        </w:rPr>
        <w:t>2</w:t>
      </w:r>
      <w:r w:rsidRPr="005B613F">
        <w:t xml:space="preserve"> (range: 17 to 52 kg/m</w:t>
      </w:r>
      <w:r w:rsidRPr="007052DA">
        <w:rPr>
          <w:vertAlign w:val="superscript"/>
        </w:rPr>
        <w:t>2</w:t>
      </w:r>
      <w:r w:rsidRPr="005B613F">
        <w:t>); 57% had baseline HCV RNA levels greater than 6</w:t>
      </w:r>
      <w:r w:rsidR="007052DA">
        <w:t xml:space="preserve"> </w:t>
      </w:r>
      <w:r w:rsidRPr="005B613F">
        <w:t>log</w:t>
      </w:r>
      <w:r w:rsidRPr="007052DA">
        <w:rPr>
          <w:vertAlign w:val="subscript"/>
        </w:rPr>
        <w:t>10</w:t>
      </w:r>
      <w:r w:rsidRPr="005B613F">
        <w:t xml:space="preserve"> IU per mL; 20% had cirrhosis; 72% ha</w:t>
      </w:r>
      <w:r>
        <w:t>d HCV genotype 3.</w:t>
      </w:r>
      <w:r w:rsidR="00444376">
        <w:t xml:space="preserve">  9% were on opiate replacement therapy.  </w:t>
      </w:r>
      <w:r>
        <w:t xml:space="preserve"> </w:t>
      </w:r>
      <w:proofErr w:type="gramStart"/>
      <w:r w:rsidR="00533085">
        <w:t xml:space="preserve">Table </w:t>
      </w:r>
      <w:r w:rsidR="00525003">
        <w:t>3</w:t>
      </w:r>
      <w:r w:rsidRPr="005B613F">
        <w:t xml:space="preserve"> presents the response rat</w:t>
      </w:r>
      <w:r w:rsidR="0001214B">
        <w:t xml:space="preserve">es for the treatment groups of </w:t>
      </w:r>
      <w:r w:rsidR="00D21279">
        <w:t>SOVALDI</w:t>
      </w:r>
      <w:r w:rsidRPr="005B613F">
        <w:t xml:space="preserve"> + ribavirin and </w:t>
      </w:r>
      <w:proofErr w:type="spellStart"/>
      <w:r w:rsidRPr="005B613F">
        <w:t>peginterferon</w:t>
      </w:r>
      <w:proofErr w:type="spellEnd"/>
      <w:r w:rsidRPr="005B613F">
        <w:t xml:space="preserve"> </w:t>
      </w:r>
      <w:proofErr w:type="spellStart"/>
      <w:r w:rsidRPr="005B613F">
        <w:t>alfa</w:t>
      </w:r>
      <w:proofErr w:type="spellEnd"/>
      <w:r w:rsidRPr="005B613F">
        <w:t xml:space="preserve"> + ribavirin.</w:t>
      </w:r>
      <w:proofErr w:type="gramEnd"/>
    </w:p>
    <w:p w:rsidR="00305411" w:rsidRDefault="00305411" w:rsidP="00BF711F">
      <w:pPr>
        <w:pStyle w:val="Caption"/>
        <w:rPr>
          <w:rFonts w:ascii="Times New Roman" w:hAnsi="Times New Roman"/>
        </w:rPr>
      </w:pPr>
      <w:bookmarkStart w:id="10" w:name="_Toc352326838"/>
      <w:r w:rsidRPr="00305411">
        <w:rPr>
          <w:rFonts w:ascii="Times New Roman" w:hAnsi="Times New Roman"/>
        </w:rPr>
        <w:t xml:space="preserve">Table </w:t>
      </w:r>
      <w:r w:rsidR="00525003">
        <w:rPr>
          <w:rFonts w:ascii="Times New Roman" w:hAnsi="Times New Roman"/>
        </w:rPr>
        <w:t>3</w:t>
      </w:r>
      <w:r w:rsidRPr="00305411">
        <w:rPr>
          <w:rFonts w:ascii="Times New Roman" w:hAnsi="Times New Roman"/>
        </w:rPr>
        <w:tab/>
        <w:t>Response Rates in Study FISSION</w:t>
      </w:r>
      <w:bookmarkEnd w:id="10"/>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150"/>
        <w:gridCol w:w="2880"/>
      </w:tblGrid>
      <w:tr w:rsidR="00305411" w:rsidRPr="00C6485B" w:rsidTr="00B37B92">
        <w:trPr>
          <w:trHeight w:val="386"/>
        </w:trPr>
        <w:tc>
          <w:tcPr>
            <w:tcW w:w="2952" w:type="dxa"/>
            <w:tcBorders>
              <w:top w:val="single" w:sz="12" w:space="0" w:color="auto"/>
              <w:left w:val="nil"/>
              <w:bottom w:val="single" w:sz="4" w:space="0" w:color="auto"/>
            </w:tcBorders>
            <w:shd w:val="clear" w:color="auto" w:fill="auto"/>
          </w:tcPr>
          <w:p w:rsidR="00305411" w:rsidRPr="00B37B92" w:rsidRDefault="00305411" w:rsidP="00BF711F">
            <w:pPr>
              <w:pStyle w:val="Table-Text"/>
              <w:rPr>
                <w:sz w:val="22"/>
                <w:szCs w:val="22"/>
              </w:rPr>
            </w:pPr>
          </w:p>
        </w:tc>
        <w:tc>
          <w:tcPr>
            <w:tcW w:w="3150" w:type="dxa"/>
            <w:tcBorders>
              <w:top w:val="single" w:sz="12" w:space="0" w:color="auto"/>
              <w:bottom w:val="single" w:sz="4" w:space="0" w:color="auto"/>
            </w:tcBorders>
            <w:shd w:val="clear" w:color="auto" w:fill="auto"/>
          </w:tcPr>
          <w:p w:rsidR="00261D5A" w:rsidRPr="00B37B92" w:rsidRDefault="00D21279" w:rsidP="00B37B92">
            <w:pPr>
              <w:pStyle w:val="Table-Text"/>
              <w:jc w:val="center"/>
              <w:rPr>
                <w:b/>
                <w:sz w:val="22"/>
                <w:szCs w:val="22"/>
                <w:lang w:val="pt-BR"/>
              </w:rPr>
            </w:pPr>
            <w:r w:rsidRPr="00B37B92">
              <w:rPr>
                <w:b/>
                <w:sz w:val="22"/>
                <w:szCs w:val="22"/>
                <w:lang w:val="pt-BR"/>
              </w:rPr>
              <w:t>SOVALDI</w:t>
            </w:r>
            <w:r w:rsidR="00305411" w:rsidRPr="00B37B92">
              <w:rPr>
                <w:b/>
                <w:sz w:val="22"/>
                <w:szCs w:val="22"/>
                <w:lang w:val="pt-BR"/>
              </w:rPr>
              <w:t xml:space="preserve"> + RBV </w:t>
            </w:r>
          </w:p>
          <w:p w:rsidR="00305411" w:rsidRPr="00B37B92" w:rsidRDefault="00305411" w:rsidP="00B37B92">
            <w:pPr>
              <w:pStyle w:val="Table-Text"/>
              <w:jc w:val="center"/>
              <w:rPr>
                <w:b/>
                <w:sz w:val="22"/>
                <w:szCs w:val="22"/>
                <w:lang w:val="pt-BR"/>
              </w:rPr>
            </w:pPr>
            <w:r w:rsidRPr="00B37B92">
              <w:rPr>
                <w:b/>
                <w:sz w:val="22"/>
                <w:szCs w:val="22"/>
                <w:lang w:val="pt-BR"/>
              </w:rPr>
              <w:t>12 weeks</w:t>
            </w:r>
          </w:p>
        </w:tc>
        <w:tc>
          <w:tcPr>
            <w:tcW w:w="2880" w:type="dxa"/>
            <w:tcBorders>
              <w:top w:val="single" w:sz="12" w:space="0" w:color="auto"/>
              <w:bottom w:val="single" w:sz="4" w:space="0" w:color="auto"/>
              <w:right w:val="nil"/>
            </w:tcBorders>
            <w:shd w:val="clear" w:color="auto" w:fill="auto"/>
          </w:tcPr>
          <w:p w:rsidR="00261D5A" w:rsidRPr="00B37B92" w:rsidRDefault="00305411" w:rsidP="00B37B92">
            <w:pPr>
              <w:pStyle w:val="Table-Text"/>
              <w:jc w:val="center"/>
              <w:rPr>
                <w:b/>
                <w:sz w:val="22"/>
                <w:szCs w:val="22"/>
              </w:rPr>
            </w:pPr>
            <w:r w:rsidRPr="00B37B92">
              <w:rPr>
                <w:b/>
                <w:sz w:val="22"/>
                <w:szCs w:val="22"/>
              </w:rPr>
              <w:t xml:space="preserve">Peg-IFN </w:t>
            </w:r>
            <w:proofErr w:type="spellStart"/>
            <w:r w:rsidRPr="00B37B92">
              <w:rPr>
                <w:b/>
                <w:sz w:val="22"/>
                <w:szCs w:val="22"/>
              </w:rPr>
              <w:t>alfa</w:t>
            </w:r>
            <w:proofErr w:type="spellEnd"/>
            <w:r w:rsidRPr="00B37B92">
              <w:rPr>
                <w:b/>
                <w:sz w:val="22"/>
                <w:szCs w:val="22"/>
              </w:rPr>
              <w:t xml:space="preserve"> + RBV</w:t>
            </w:r>
          </w:p>
          <w:p w:rsidR="00305411" w:rsidRPr="00B37B92" w:rsidRDefault="00305411" w:rsidP="00B37B92">
            <w:pPr>
              <w:pStyle w:val="Table-Text"/>
              <w:jc w:val="center"/>
              <w:rPr>
                <w:b/>
                <w:sz w:val="22"/>
                <w:szCs w:val="22"/>
              </w:rPr>
            </w:pPr>
            <w:r w:rsidRPr="00B37B92">
              <w:rPr>
                <w:b/>
                <w:sz w:val="22"/>
                <w:szCs w:val="22"/>
              </w:rPr>
              <w:t xml:space="preserve"> 24 weeks</w:t>
            </w:r>
          </w:p>
        </w:tc>
      </w:tr>
      <w:tr w:rsidR="00305411" w:rsidRPr="00C6485B" w:rsidTr="00B37B92">
        <w:tc>
          <w:tcPr>
            <w:tcW w:w="2952" w:type="dxa"/>
            <w:tcBorders>
              <w:top w:val="single" w:sz="4" w:space="0" w:color="auto"/>
              <w:left w:val="nil"/>
              <w:bottom w:val="single" w:sz="12" w:space="0" w:color="auto"/>
            </w:tcBorders>
            <w:shd w:val="clear" w:color="auto" w:fill="auto"/>
          </w:tcPr>
          <w:p w:rsidR="00305411" w:rsidRPr="00B37B92" w:rsidRDefault="00305411" w:rsidP="00BF711F">
            <w:pPr>
              <w:pStyle w:val="Table-Text"/>
              <w:rPr>
                <w:sz w:val="22"/>
                <w:szCs w:val="22"/>
              </w:rPr>
            </w:pPr>
          </w:p>
        </w:tc>
        <w:tc>
          <w:tcPr>
            <w:tcW w:w="3150" w:type="dxa"/>
            <w:tcBorders>
              <w:top w:val="single" w:sz="4" w:space="0" w:color="auto"/>
              <w:bottom w:val="single" w:sz="12" w:space="0" w:color="auto"/>
            </w:tcBorders>
            <w:shd w:val="clear" w:color="auto" w:fill="auto"/>
          </w:tcPr>
          <w:p w:rsidR="00305411" w:rsidRPr="00B37B92" w:rsidRDefault="00305411" w:rsidP="00B37B92">
            <w:pPr>
              <w:pStyle w:val="Table-Text"/>
              <w:jc w:val="center"/>
              <w:rPr>
                <w:sz w:val="22"/>
                <w:szCs w:val="22"/>
              </w:rPr>
            </w:pPr>
            <w:r w:rsidRPr="00B37B92">
              <w:rPr>
                <w:sz w:val="22"/>
                <w:szCs w:val="22"/>
                <w:lang w:val="pt-BR"/>
              </w:rPr>
              <w:t>N=253</w:t>
            </w:r>
            <w:r w:rsidRPr="00B37B92">
              <w:rPr>
                <w:sz w:val="22"/>
                <w:szCs w:val="22"/>
                <w:vertAlign w:val="superscript"/>
                <w:lang w:val="pt-BR"/>
              </w:rPr>
              <w:t>a</w:t>
            </w:r>
          </w:p>
        </w:tc>
        <w:tc>
          <w:tcPr>
            <w:tcW w:w="2880" w:type="dxa"/>
            <w:tcBorders>
              <w:top w:val="single" w:sz="4" w:space="0" w:color="auto"/>
              <w:bottom w:val="single" w:sz="12" w:space="0" w:color="auto"/>
              <w:right w:val="nil"/>
            </w:tcBorders>
            <w:shd w:val="clear" w:color="auto" w:fill="auto"/>
          </w:tcPr>
          <w:p w:rsidR="00305411" w:rsidRPr="00B37B92" w:rsidRDefault="00305411" w:rsidP="00B37B92">
            <w:pPr>
              <w:pStyle w:val="Table-Text"/>
              <w:jc w:val="center"/>
              <w:rPr>
                <w:sz w:val="22"/>
                <w:szCs w:val="22"/>
              </w:rPr>
            </w:pPr>
            <w:r w:rsidRPr="00B37B92">
              <w:rPr>
                <w:sz w:val="22"/>
                <w:szCs w:val="22"/>
              </w:rPr>
              <w:t>N=243</w:t>
            </w:r>
            <w:r w:rsidRPr="00B37B92">
              <w:rPr>
                <w:sz w:val="22"/>
                <w:szCs w:val="22"/>
                <w:vertAlign w:val="superscript"/>
              </w:rPr>
              <w:t>a</w:t>
            </w:r>
          </w:p>
        </w:tc>
      </w:tr>
      <w:tr w:rsidR="00305411" w:rsidRPr="00C6485B" w:rsidTr="00B37B92">
        <w:tc>
          <w:tcPr>
            <w:tcW w:w="2952" w:type="dxa"/>
            <w:tcBorders>
              <w:top w:val="single" w:sz="12" w:space="0" w:color="auto"/>
              <w:left w:val="nil"/>
            </w:tcBorders>
            <w:shd w:val="clear" w:color="auto" w:fill="auto"/>
          </w:tcPr>
          <w:p w:rsidR="00305411" w:rsidRPr="00B37B92" w:rsidRDefault="00305411" w:rsidP="00BF711F">
            <w:pPr>
              <w:pStyle w:val="Table-Text"/>
              <w:rPr>
                <w:sz w:val="22"/>
                <w:szCs w:val="22"/>
                <w:highlight w:val="yellow"/>
              </w:rPr>
            </w:pPr>
            <w:r w:rsidRPr="00B37B92">
              <w:rPr>
                <w:sz w:val="22"/>
                <w:szCs w:val="22"/>
              </w:rPr>
              <w:t>Overall SVR</w:t>
            </w:r>
          </w:p>
        </w:tc>
        <w:tc>
          <w:tcPr>
            <w:tcW w:w="3150" w:type="dxa"/>
            <w:tcBorders>
              <w:top w:val="single" w:sz="12"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67% (170/253)</w:t>
            </w:r>
          </w:p>
        </w:tc>
        <w:tc>
          <w:tcPr>
            <w:tcW w:w="2880" w:type="dxa"/>
            <w:tcBorders>
              <w:top w:val="single" w:sz="12" w:space="0" w:color="auto"/>
              <w:right w:val="nil"/>
            </w:tcBorders>
            <w:shd w:val="clear" w:color="auto" w:fill="auto"/>
          </w:tcPr>
          <w:p w:rsidR="00305411" w:rsidRPr="00B37B92" w:rsidRDefault="00305411" w:rsidP="00B37B92">
            <w:pPr>
              <w:pStyle w:val="Table-Text"/>
              <w:jc w:val="center"/>
              <w:rPr>
                <w:sz w:val="22"/>
                <w:szCs w:val="22"/>
              </w:rPr>
            </w:pPr>
            <w:r w:rsidRPr="00B37B92">
              <w:rPr>
                <w:sz w:val="22"/>
                <w:szCs w:val="22"/>
              </w:rPr>
              <w:t>67% (162/243)</w:t>
            </w:r>
          </w:p>
        </w:tc>
      </w:tr>
      <w:tr w:rsidR="00305411" w:rsidRPr="00C6485B" w:rsidTr="00B37B92">
        <w:tc>
          <w:tcPr>
            <w:tcW w:w="2952" w:type="dxa"/>
            <w:tcBorders>
              <w:left w:val="nil"/>
            </w:tcBorders>
            <w:shd w:val="clear" w:color="auto" w:fill="auto"/>
          </w:tcPr>
          <w:p w:rsidR="00305411" w:rsidRPr="00B37B92" w:rsidRDefault="00305411" w:rsidP="00B37B92">
            <w:pPr>
              <w:pStyle w:val="Table-Text"/>
              <w:ind w:firstLine="270"/>
              <w:rPr>
                <w:sz w:val="22"/>
                <w:szCs w:val="22"/>
              </w:rPr>
            </w:pPr>
            <w:r w:rsidRPr="00B37B92">
              <w:rPr>
                <w:sz w:val="22"/>
                <w:szCs w:val="22"/>
              </w:rPr>
              <w:t>Genotype 2</w:t>
            </w:r>
          </w:p>
        </w:tc>
        <w:tc>
          <w:tcPr>
            <w:tcW w:w="3150" w:type="dxa"/>
            <w:shd w:val="clear" w:color="auto" w:fill="auto"/>
          </w:tcPr>
          <w:p w:rsidR="00305411" w:rsidRPr="00B37B92" w:rsidRDefault="00305411" w:rsidP="00B37B92">
            <w:pPr>
              <w:pStyle w:val="Table-Text"/>
              <w:jc w:val="center"/>
              <w:rPr>
                <w:sz w:val="22"/>
                <w:szCs w:val="22"/>
              </w:rPr>
            </w:pPr>
            <w:r w:rsidRPr="00B37B92">
              <w:rPr>
                <w:sz w:val="22"/>
                <w:szCs w:val="22"/>
              </w:rPr>
              <w:t>97% (68/70)</w:t>
            </w:r>
          </w:p>
        </w:tc>
        <w:tc>
          <w:tcPr>
            <w:tcW w:w="2880" w:type="dxa"/>
            <w:tcBorders>
              <w:right w:val="nil"/>
            </w:tcBorders>
            <w:shd w:val="clear" w:color="auto" w:fill="auto"/>
          </w:tcPr>
          <w:p w:rsidR="00305411" w:rsidRPr="00B37B92" w:rsidRDefault="00305411" w:rsidP="00B37B92">
            <w:pPr>
              <w:pStyle w:val="Table-Text"/>
              <w:jc w:val="center"/>
              <w:rPr>
                <w:sz w:val="22"/>
                <w:szCs w:val="22"/>
              </w:rPr>
            </w:pPr>
            <w:r w:rsidRPr="00B37B92">
              <w:rPr>
                <w:sz w:val="22"/>
                <w:szCs w:val="22"/>
              </w:rPr>
              <w:t>78% (52/67)</w:t>
            </w:r>
          </w:p>
        </w:tc>
      </w:tr>
      <w:tr w:rsidR="00305411" w:rsidRPr="00C6485B" w:rsidTr="00B37B92">
        <w:tc>
          <w:tcPr>
            <w:tcW w:w="2952" w:type="dxa"/>
            <w:tcBorders>
              <w:left w:val="nil"/>
            </w:tcBorders>
            <w:shd w:val="clear" w:color="auto" w:fill="auto"/>
          </w:tcPr>
          <w:p w:rsidR="00305411" w:rsidRPr="00B37B92" w:rsidRDefault="00305411" w:rsidP="00B37B92">
            <w:pPr>
              <w:pStyle w:val="Table-Text"/>
              <w:ind w:firstLine="270"/>
              <w:rPr>
                <w:sz w:val="22"/>
                <w:szCs w:val="22"/>
              </w:rPr>
            </w:pPr>
            <w:r w:rsidRPr="00B37B92">
              <w:rPr>
                <w:sz w:val="22"/>
                <w:szCs w:val="22"/>
              </w:rPr>
              <w:t>Genotype 3</w:t>
            </w:r>
          </w:p>
        </w:tc>
        <w:tc>
          <w:tcPr>
            <w:tcW w:w="3150" w:type="dxa"/>
            <w:shd w:val="clear" w:color="auto" w:fill="auto"/>
          </w:tcPr>
          <w:p w:rsidR="00305411" w:rsidRPr="00B37B92" w:rsidRDefault="00305411" w:rsidP="00B37B92">
            <w:pPr>
              <w:pStyle w:val="Table-Text"/>
              <w:jc w:val="center"/>
              <w:rPr>
                <w:sz w:val="22"/>
                <w:szCs w:val="22"/>
              </w:rPr>
            </w:pPr>
            <w:r w:rsidRPr="00B37B92">
              <w:rPr>
                <w:sz w:val="22"/>
                <w:szCs w:val="22"/>
              </w:rPr>
              <w:t>56% (102/183)</w:t>
            </w:r>
          </w:p>
        </w:tc>
        <w:tc>
          <w:tcPr>
            <w:tcW w:w="2880" w:type="dxa"/>
            <w:tcBorders>
              <w:right w:val="nil"/>
            </w:tcBorders>
            <w:shd w:val="clear" w:color="auto" w:fill="auto"/>
          </w:tcPr>
          <w:p w:rsidR="00305411" w:rsidRPr="00B37B92" w:rsidRDefault="00305411" w:rsidP="00B37B92">
            <w:pPr>
              <w:pStyle w:val="Table-Text"/>
              <w:jc w:val="center"/>
              <w:rPr>
                <w:sz w:val="22"/>
                <w:szCs w:val="22"/>
              </w:rPr>
            </w:pPr>
            <w:r w:rsidRPr="00B37B92">
              <w:rPr>
                <w:sz w:val="22"/>
                <w:szCs w:val="22"/>
              </w:rPr>
              <w:t>63% (110/176)</w:t>
            </w:r>
          </w:p>
        </w:tc>
      </w:tr>
      <w:tr w:rsidR="00305411" w:rsidRPr="00C6485B" w:rsidTr="00B37B92">
        <w:tc>
          <w:tcPr>
            <w:tcW w:w="2952" w:type="dxa"/>
            <w:tcBorders>
              <w:left w:val="nil"/>
            </w:tcBorders>
            <w:shd w:val="clear" w:color="auto" w:fill="auto"/>
          </w:tcPr>
          <w:p w:rsidR="00305411" w:rsidRPr="00B37B92" w:rsidRDefault="00305411" w:rsidP="00BF711F">
            <w:pPr>
              <w:pStyle w:val="Table-Text"/>
              <w:rPr>
                <w:sz w:val="22"/>
                <w:szCs w:val="22"/>
              </w:rPr>
            </w:pPr>
            <w:r w:rsidRPr="00B37B92">
              <w:rPr>
                <w:sz w:val="22"/>
                <w:szCs w:val="22"/>
              </w:rPr>
              <w:t xml:space="preserve">Outcome for </w:t>
            </w:r>
            <w:r w:rsidR="00FD6E81" w:rsidRPr="00B37B92">
              <w:rPr>
                <w:sz w:val="22"/>
                <w:szCs w:val="22"/>
              </w:rPr>
              <w:t>patients</w:t>
            </w:r>
            <w:r w:rsidRPr="00B37B92">
              <w:rPr>
                <w:sz w:val="22"/>
                <w:szCs w:val="22"/>
              </w:rPr>
              <w:t xml:space="preserve"> without SVR</w:t>
            </w:r>
          </w:p>
        </w:tc>
        <w:tc>
          <w:tcPr>
            <w:tcW w:w="3150" w:type="dxa"/>
            <w:shd w:val="clear" w:color="auto" w:fill="auto"/>
          </w:tcPr>
          <w:p w:rsidR="00305411" w:rsidRPr="00B37B92" w:rsidRDefault="00305411" w:rsidP="00B37B92">
            <w:pPr>
              <w:pStyle w:val="Table-Text"/>
              <w:jc w:val="center"/>
              <w:rPr>
                <w:sz w:val="22"/>
                <w:szCs w:val="22"/>
              </w:rPr>
            </w:pPr>
          </w:p>
        </w:tc>
        <w:tc>
          <w:tcPr>
            <w:tcW w:w="2880" w:type="dxa"/>
            <w:tcBorders>
              <w:right w:val="nil"/>
            </w:tcBorders>
            <w:shd w:val="clear" w:color="auto" w:fill="auto"/>
          </w:tcPr>
          <w:p w:rsidR="00305411" w:rsidRPr="00B37B92" w:rsidRDefault="00305411" w:rsidP="00B37B92">
            <w:pPr>
              <w:pStyle w:val="Table-Text"/>
              <w:jc w:val="center"/>
              <w:rPr>
                <w:sz w:val="22"/>
                <w:szCs w:val="22"/>
              </w:rPr>
            </w:pPr>
          </w:p>
        </w:tc>
      </w:tr>
      <w:tr w:rsidR="00305411" w:rsidRPr="00C6485B" w:rsidTr="00B37B92">
        <w:tc>
          <w:tcPr>
            <w:tcW w:w="2952" w:type="dxa"/>
            <w:tcBorders>
              <w:left w:val="nil"/>
            </w:tcBorders>
            <w:shd w:val="clear" w:color="auto" w:fill="auto"/>
          </w:tcPr>
          <w:p w:rsidR="00305411" w:rsidRPr="00B37B92" w:rsidRDefault="00305411" w:rsidP="00B37B92">
            <w:pPr>
              <w:pStyle w:val="Table-Text"/>
              <w:ind w:firstLine="270"/>
              <w:rPr>
                <w:sz w:val="22"/>
                <w:szCs w:val="22"/>
              </w:rPr>
            </w:pPr>
            <w:r w:rsidRPr="00B37B92">
              <w:rPr>
                <w:sz w:val="22"/>
                <w:szCs w:val="22"/>
              </w:rPr>
              <w:t xml:space="preserve">On-treatment </w:t>
            </w:r>
            <w:proofErr w:type="spellStart"/>
            <w:r w:rsidRPr="00B37B92">
              <w:rPr>
                <w:sz w:val="22"/>
                <w:szCs w:val="22"/>
              </w:rPr>
              <w:t>virologic</w:t>
            </w:r>
            <w:proofErr w:type="spellEnd"/>
            <w:r w:rsidRPr="00B37B92">
              <w:rPr>
                <w:sz w:val="22"/>
                <w:szCs w:val="22"/>
              </w:rPr>
              <w:t xml:space="preserve"> failure</w:t>
            </w:r>
          </w:p>
        </w:tc>
        <w:tc>
          <w:tcPr>
            <w:tcW w:w="3150" w:type="dxa"/>
            <w:shd w:val="clear" w:color="auto" w:fill="auto"/>
          </w:tcPr>
          <w:p w:rsidR="00305411" w:rsidRPr="00B37B92" w:rsidRDefault="00305411" w:rsidP="00B37B92">
            <w:pPr>
              <w:pStyle w:val="Table-Text"/>
              <w:jc w:val="center"/>
              <w:rPr>
                <w:sz w:val="22"/>
                <w:szCs w:val="22"/>
              </w:rPr>
            </w:pPr>
            <w:r w:rsidRPr="00B37B92">
              <w:rPr>
                <w:sz w:val="22"/>
                <w:szCs w:val="22"/>
              </w:rPr>
              <w:t>&lt;1% (1/253)</w:t>
            </w:r>
          </w:p>
        </w:tc>
        <w:tc>
          <w:tcPr>
            <w:tcW w:w="2880" w:type="dxa"/>
            <w:tcBorders>
              <w:right w:val="nil"/>
            </w:tcBorders>
            <w:shd w:val="clear" w:color="auto" w:fill="auto"/>
          </w:tcPr>
          <w:p w:rsidR="00305411" w:rsidRPr="00B37B92" w:rsidRDefault="00305411" w:rsidP="00B37B92">
            <w:pPr>
              <w:pStyle w:val="Table-Text"/>
              <w:jc w:val="center"/>
              <w:rPr>
                <w:sz w:val="22"/>
                <w:szCs w:val="22"/>
              </w:rPr>
            </w:pPr>
            <w:r w:rsidRPr="00B37B92">
              <w:rPr>
                <w:sz w:val="22"/>
                <w:szCs w:val="22"/>
              </w:rPr>
              <w:t>7% (18/243)</w:t>
            </w:r>
          </w:p>
        </w:tc>
      </w:tr>
      <w:tr w:rsidR="00305411" w:rsidRPr="00C6485B" w:rsidTr="00B37B92">
        <w:tc>
          <w:tcPr>
            <w:tcW w:w="2952" w:type="dxa"/>
            <w:tcBorders>
              <w:left w:val="nil"/>
            </w:tcBorders>
            <w:shd w:val="clear" w:color="auto" w:fill="auto"/>
          </w:tcPr>
          <w:p w:rsidR="00305411" w:rsidRPr="00B37B92" w:rsidRDefault="00305411" w:rsidP="00B37B92">
            <w:pPr>
              <w:pStyle w:val="Table-Text"/>
              <w:ind w:firstLine="270"/>
              <w:rPr>
                <w:sz w:val="22"/>
                <w:szCs w:val="22"/>
              </w:rPr>
            </w:pPr>
            <w:proofErr w:type="spellStart"/>
            <w:r w:rsidRPr="00B37B92">
              <w:rPr>
                <w:sz w:val="22"/>
                <w:szCs w:val="22"/>
              </w:rPr>
              <w:t>Relapse</w:t>
            </w:r>
            <w:r w:rsidRPr="00B37B92">
              <w:rPr>
                <w:sz w:val="22"/>
                <w:szCs w:val="22"/>
                <w:vertAlign w:val="superscript"/>
              </w:rPr>
              <w:t>b</w:t>
            </w:r>
            <w:proofErr w:type="spellEnd"/>
          </w:p>
        </w:tc>
        <w:tc>
          <w:tcPr>
            <w:tcW w:w="3150" w:type="dxa"/>
            <w:shd w:val="clear" w:color="auto" w:fill="auto"/>
          </w:tcPr>
          <w:p w:rsidR="00305411" w:rsidRPr="00B37B92" w:rsidRDefault="00305411" w:rsidP="00B37B92">
            <w:pPr>
              <w:pStyle w:val="Table-Text"/>
              <w:jc w:val="center"/>
              <w:rPr>
                <w:sz w:val="22"/>
                <w:szCs w:val="22"/>
              </w:rPr>
            </w:pPr>
            <w:r w:rsidRPr="00B37B92">
              <w:rPr>
                <w:sz w:val="22"/>
                <w:szCs w:val="22"/>
              </w:rPr>
              <w:t>30% (74/249)</w:t>
            </w:r>
          </w:p>
        </w:tc>
        <w:tc>
          <w:tcPr>
            <w:tcW w:w="2880" w:type="dxa"/>
            <w:tcBorders>
              <w:right w:val="nil"/>
            </w:tcBorders>
            <w:shd w:val="clear" w:color="auto" w:fill="auto"/>
          </w:tcPr>
          <w:p w:rsidR="00305411" w:rsidRPr="00B37B92" w:rsidRDefault="00305411" w:rsidP="00B37B92">
            <w:pPr>
              <w:pStyle w:val="Table-Text"/>
              <w:jc w:val="center"/>
              <w:rPr>
                <w:sz w:val="22"/>
                <w:szCs w:val="22"/>
              </w:rPr>
            </w:pPr>
            <w:r w:rsidRPr="00B37B92">
              <w:rPr>
                <w:sz w:val="22"/>
                <w:szCs w:val="22"/>
              </w:rPr>
              <w:t>21% (46/217)</w:t>
            </w:r>
          </w:p>
        </w:tc>
      </w:tr>
      <w:tr w:rsidR="00305411" w:rsidRPr="00C6485B" w:rsidTr="00B37B92">
        <w:tc>
          <w:tcPr>
            <w:tcW w:w="2952" w:type="dxa"/>
            <w:tcBorders>
              <w:left w:val="nil"/>
              <w:bottom w:val="single" w:sz="12" w:space="0" w:color="auto"/>
            </w:tcBorders>
            <w:shd w:val="clear" w:color="auto" w:fill="auto"/>
          </w:tcPr>
          <w:p w:rsidR="00305411" w:rsidRPr="00B37B92" w:rsidRDefault="00305411" w:rsidP="00B37B92">
            <w:pPr>
              <w:pStyle w:val="Table-Text"/>
              <w:ind w:firstLine="270"/>
              <w:rPr>
                <w:sz w:val="22"/>
                <w:szCs w:val="22"/>
              </w:rPr>
            </w:pPr>
            <w:proofErr w:type="spellStart"/>
            <w:r w:rsidRPr="00B37B92">
              <w:rPr>
                <w:sz w:val="22"/>
                <w:szCs w:val="22"/>
              </w:rPr>
              <w:t>Other</w:t>
            </w:r>
            <w:r w:rsidRPr="00B37B92">
              <w:rPr>
                <w:sz w:val="22"/>
                <w:szCs w:val="22"/>
                <w:vertAlign w:val="superscript"/>
              </w:rPr>
              <w:t>c</w:t>
            </w:r>
            <w:proofErr w:type="spellEnd"/>
            <w:r w:rsidRPr="00B37B92">
              <w:rPr>
                <w:sz w:val="22"/>
                <w:szCs w:val="22"/>
              </w:rPr>
              <w:t xml:space="preserve"> </w:t>
            </w:r>
          </w:p>
        </w:tc>
        <w:tc>
          <w:tcPr>
            <w:tcW w:w="3150" w:type="dxa"/>
            <w:tcBorders>
              <w:bottom w:val="single" w:sz="12"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3% (8/253)</w:t>
            </w:r>
          </w:p>
        </w:tc>
        <w:tc>
          <w:tcPr>
            <w:tcW w:w="2880" w:type="dxa"/>
            <w:tcBorders>
              <w:bottom w:val="single" w:sz="12" w:space="0" w:color="auto"/>
              <w:right w:val="nil"/>
            </w:tcBorders>
            <w:shd w:val="clear" w:color="auto" w:fill="auto"/>
          </w:tcPr>
          <w:p w:rsidR="00305411" w:rsidRPr="00B37B92" w:rsidRDefault="00305411" w:rsidP="00B37B92">
            <w:pPr>
              <w:pStyle w:val="Table-Text"/>
              <w:jc w:val="center"/>
              <w:rPr>
                <w:sz w:val="22"/>
                <w:szCs w:val="22"/>
              </w:rPr>
            </w:pPr>
            <w:r w:rsidRPr="00B37B92">
              <w:rPr>
                <w:sz w:val="22"/>
                <w:szCs w:val="22"/>
              </w:rPr>
              <w:t>7% (17/243)</w:t>
            </w:r>
          </w:p>
        </w:tc>
      </w:tr>
    </w:tbl>
    <w:p w:rsidR="00305411" w:rsidRPr="00A15E5A" w:rsidRDefault="00305411" w:rsidP="00BF711F">
      <w:pPr>
        <w:pStyle w:val="Table-Footer"/>
        <w:rPr>
          <w:rFonts w:ascii="Times New Roman" w:hAnsi="Times New Roman"/>
          <w:sz w:val="18"/>
          <w:szCs w:val="18"/>
        </w:rPr>
      </w:pPr>
      <w:r w:rsidRPr="00A15E5A">
        <w:rPr>
          <w:rFonts w:ascii="Times New Roman" w:hAnsi="Times New Roman"/>
          <w:sz w:val="18"/>
          <w:szCs w:val="18"/>
        </w:rPr>
        <w:t>a.</w:t>
      </w:r>
      <w:r w:rsidRPr="00A15E5A">
        <w:rPr>
          <w:rFonts w:ascii="Times New Roman" w:hAnsi="Times New Roman"/>
          <w:sz w:val="18"/>
          <w:szCs w:val="18"/>
        </w:rPr>
        <w:tab/>
        <w:t xml:space="preserve">Three </w:t>
      </w:r>
      <w:r w:rsidR="00300D51">
        <w:rPr>
          <w:rFonts w:ascii="Times New Roman" w:hAnsi="Times New Roman"/>
          <w:sz w:val="18"/>
          <w:szCs w:val="18"/>
        </w:rPr>
        <w:t>patients</w:t>
      </w:r>
      <w:r w:rsidR="00300D51" w:rsidRPr="00A15E5A">
        <w:rPr>
          <w:rFonts w:ascii="Times New Roman" w:hAnsi="Times New Roman"/>
          <w:sz w:val="18"/>
          <w:szCs w:val="18"/>
        </w:rPr>
        <w:t xml:space="preserve"> </w:t>
      </w:r>
      <w:r w:rsidRPr="00A15E5A">
        <w:rPr>
          <w:rFonts w:ascii="Times New Roman" w:hAnsi="Times New Roman"/>
          <w:sz w:val="18"/>
          <w:szCs w:val="18"/>
        </w:rPr>
        <w:t>were excluded from efficacy analysis because they were classified as genotype 1 by NS5B sequencing assay.</w:t>
      </w:r>
    </w:p>
    <w:p w:rsidR="00305411" w:rsidRPr="00A15E5A" w:rsidRDefault="00305411" w:rsidP="00BF711F">
      <w:pPr>
        <w:pStyle w:val="Table-Footer"/>
        <w:rPr>
          <w:rFonts w:ascii="Times New Roman" w:hAnsi="Times New Roman"/>
          <w:sz w:val="18"/>
          <w:szCs w:val="18"/>
        </w:rPr>
      </w:pPr>
      <w:r w:rsidRPr="00A15E5A">
        <w:rPr>
          <w:rFonts w:ascii="Times New Roman" w:hAnsi="Times New Roman"/>
          <w:sz w:val="18"/>
          <w:szCs w:val="18"/>
        </w:rPr>
        <w:t>b.</w:t>
      </w:r>
      <w:r w:rsidRPr="00A15E5A">
        <w:rPr>
          <w:rFonts w:ascii="Times New Roman" w:hAnsi="Times New Roman"/>
          <w:sz w:val="18"/>
          <w:szCs w:val="18"/>
        </w:rPr>
        <w:tab/>
        <w:t>The denominator for relapse is the number of</w:t>
      </w:r>
      <w:r w:rsidR="00FC53FF">
        <w:rPr>
          <w:rFonts w:ascii="Times New Roman" w:hAnsi="Times New Roman"/>
          <w:sz w:val="18"/>
          <w:szCs w:val="18"/>
        </w:rPr>
        <w:t xml:space="preserve"> </w:t>
      </w:r>
      <w:r w:rsidR="00300D51">
        <w:rPr>
          <w:rFonts w:ascii="Times New Roman" w:hAnsi="Times New Roman"/>
          <w:sz w:val="18"/>
          <w:szCs w:val="18"/>
        </w:rPr>
        <w:t>patients</w:t>
      </w:r>
      <w:r w:rsidRPr="00A15E5A">
        <w:rPr>
          <w:rFonts w:ascii="Times New Roman" w:hAnsi="Times New Roman"/>
          <w:sz w:val="18"/>
          <w:szCs w:val="18"/>
        </w:rPr>
        <w:t xml:space="preserve"> with HCV RNA &lt;LLOQ at their last on-treatment assessment.</w:t>
      </w:r>
    </w:p>
    <w:p w:rsidR="00305411" w:rsidRPr="00A15E5A" w:rsidRDefault="00305411" w:rsidP="00BF711F">
      <w:pPr>
        <w:pStyle w:val="Table-Footer"/>
        <w:rPr>
          <w:sz w:val="18"/>
          <w:szCs w:val="18"/>
        </w:rPr>
      </w:pPr>
      <w:r w:rsidRPr="00A15E5A">
        <w:rPr>
          <w:rFonts w:ascii="Times New Roman" w:hAnsi="Times New Roman"/>
          <w:sz w:val="18"/>
          <w:szCs w:val="18"/>
        </w:rPr>
        <w:t>c.</w:t>
      </w:r>
      <w:r w:rsidRPr="00A15E5A">
        <w:rPr>
          <w:rFonts w:ascii="Times New Roman" w:hAnsi="Times New Roman"/>
          <w:sz w:val="18"/>
          <w:szCs w:val="18"/>
        </w:rPr>
        <w:tab/>
        <w:t>Other includes</w:t>
      </w:r>
      <w:r w:rsidR="00FC53FF">
        <w:rPr>
          <w:rFonts w:ascii="Times New Roman" w:hAnsi="Times New Roman"/>
          <w:sz w:val="18"/>
          <w:szCs w:val="18"/>
        </w:rPr>
        <w:t xml:space="preserve"> </w:t>
      </w:r>
      <w:r w:rsidR="00300D51">
        <w:rPr>
          <w:rFonts w:ascii="Times New Roman" w:hAnsi="Times New Roman"/>
          <w:sz w:val="18"/>
          <w:szCs w:val="18"/>
        </w:rPr>
        <w:t>patients</w:t>
      </w:r>
      <w:r w:rsidR="00FC53FF">
        <w:rPr>
          <w:rFonts w:ascii="Times New Roman" w:hAnsi="Times New Roman"/>
          <w:sz w:val="18"/>
          <w:szCs w:val="18"/>
        </w:rPr>
        <w:t xml:space="preserve"> </w:t>
      </w:r>
      <w:r w:rsidRPr="00A15E5A">
        <w:rPr>
          <w:rFonts w:ascii="Times New Roman" w:hAnsi="Times New Roman"/>
          <w:sz w:val="18"/>
          <w:szCs w:val="18"/>
        </w:rPr>
        <w:t xml:space="preserve">who did not achieve SVR and did not meet </w:t>
      </w:r>
      <w:proofErr w:type="spellStart"/>
      <w:r w:rsidRPr="00A15E5A">
        <w:rPr>
          <w:rFonts w:ascii="Times New Roman" w:hAnsi="Times New Roman"/>
          <w:sz w:val="18"/>
          <w:szCs w:val="18"/>
        </w:rPr>
        <w:t>virologic</w:t>
      </w:r>
      <w:proofErr w:type="spellEnd"/>
      <w:r w:rsidRPr="00A15E5A">
        <w:rPr>
          <w:rFonts w:ascii="Times New Roman" w:hAnsi="Times New Roman"/>
          <w:sz w:val="18"/>
          <w:szCs w:val="18"/>
        </w:rPr>
        <w:t xml:space="preserve"> failure criteria (e.g., lost to follow-up)</w:t>
      </w:r>
      <w:r w:rsidRPr="00A15E5A">
        <w:rPr>
          <w:sz w:val="18"/>
          <w:szCs w:val="18"/>
        </w:rPr>
        <w:t>.</w:t>
      </w:r>
    </w:p>
    <w:p w:rsidR="00305411" w:rsidRDefault="00305411" w:rsidP="00BF711F">
      <w:pPr>
        <w:pStyle w:val="Table-Footer"/>
      </w:pPr>
    </w:p>
    <w:p w:rsidR="00305411" w:rsidRDefault="00305411" w:rsidP="00BF711F">
      <w:pPr>
        <w:pStyle w:val="Text10"/>
      </w:pPr>
      <w:r w:rsidRPr="005B613F">
        <w:t>The difference in</w:t>
      </w:r>
      <w:r w:rsidR="0001214B">
        <w:t xml:space="preserve"> the overall SVR rates between </w:t>
      </w:r>
      <w:r w:rsidR="00D21279">
        <w:t>SOVALDI</w:t>
      </w:r>
      <w:r w:rsidRPr="005B613F">
        <w:t xml:space="preserve"> + ribavirin and </w:t>
      </w:r>
      <w:proofErr w:type="spellStart"/>
      <w:r w:rsidRPr="005B613F">
        <w:t>peginterferon</w:t>
      </w:r>
      <w:proofErr w:type="spellEnd"/>
      <w:r w:rsidRPr="005B613F">
        <w:t xml:space="preserve"> </w:t>
      </w:r>
      <w:proofErr w:type="spellStart"/>
      <w:r w:rsidRPr="005B613F">
        <w:t>alfa</w:t>
      </w:r>
      <w:proofErr w:type="spellEnd"/>
      <w:r w:rsidRPr="005B613F">
        <w:t xml:space="preserve"> + ribavirin treatment groups was 0.3% (95% confidence interval: -7.5% to 8.0%) and the study met the predefined </w:t>
      </w:r>
      <w:proofErr w:type="spellStart"/>
      <w:r w:rsidRPr="005B613F">
        <w:t>noninferiority</w:t>
      </w:r>
      <w:proofErr w:type="spellEnd"/>
      <w:r w:rsidRPr="005B613F">
        <w:t xml:space="preserve"> criterion.</w:t>
      </w:r>
      <w:r>
        <w:t xml:space="preserve"> </w:t>
      </w:r>
    </w:p>
    <w:p w:rsidR="00305411" w:rsidRDefault="00305411" w:rsidP="00BF711F">
      <w:pPr>
        <w:pStyle w:val="Text10"/>
      </w:pPr>
      <w:r w:rsidRPr="005B613F">
        <w:t>Among the small number of Black/African Americans enrolled in the trial, 75% (9/12</w:t>
      </w:r>
      <w:r w:rsidR="0001214B">
        <w:t xml:space="preserve">) </w:t>
      </w:r>
      <w:r w:rsidR="00FD6E81">
        <w:t>patients</w:t>
      </w:r>
      <w:r w:rsidR="0001214B">
        <w:t xml:space="preserve"> achieved SVR in the </w:t>
      </w:r>
      <w:r w:rsidR="00D21279">
        <w:t>SOVALDI</w:t>
      </w:r>
      <w:r>
        <w:t xml:space="preserve"> </w:t>
      </w:r>
      <w:r w:rsidRPr="005B613F">
        <w:t>+</w:t>
      </w:r>
      <w:r>
        <w:t xml:space="preserve"> </w:t>
      </w:r>
      <w:r w:rsidRPr="005B613F">
        <w:t xml:space="preserve">ribavirin treatment group compared to 40% (2/5) in the </w:t>
      </w:r>
      <w:proofErr w:type="spellStart"/>
      <w:r w:rsidRPr="005B613F">
        <w:t>peginterferon</w:t>
      </w:r>
      <w:proofErr w:type="spellEnd"/>
      <w:r w:rsidRPr="005B613F">
        <w:t xml:space="preserve"> </w:t>
      </w:r>
      <w:proofErr w:type="spellStart"/>
      <w:r w:rsidRPr="005B613F">
        <w:t>alfa</w:t>
      </w:r>
      <w:proofErr w:type="spellEnd"/>
      <w:r w:rsidRPr="005B613F">
        <w:t xml:space="preserve"> + ribavirin treatment group.</w:t>
      </w:r>
      <w:r>
        <w:t xml:space="preserve"> </w:t>
      </w:r>
    </w:p>
    <w:p w:rsidR="00305411" w:rsidRDefault="00305411" w:rsidP="00BF711F">
      <w:pPr>
        <w:pStyle w:val="Text10"/>
      </w:pPr>
      <w:r w:rsidRPr="005B613F">
        <w:t xml:space="preserve">Response rates for </w:t>
      </w:r>
      <w:r w:rsidR="007973AF">
        <w:t>patients</w:t>
      </w:r>
      <w:r w:rsidR="007973AF" w:rsidRPr="005B613F">
        <w:t xml:space="preserve"> </w:t>
      </w:r>
      <w:r w:rsidRPr="005B613F">
        <w:t>with cirrhosis at b</w:t>
      </w:r>
      <w:r w:rsidR="00A15E5A">
        <w:t xml:space="preserve">aseline are presented in Table </w:t>
      </w:r>
      <w:r w:rsidR="00525003">
        <w:t>4</w:t>
      </w:r>
      <w:r w:rsidRPr="005B613F">
        <w:t xml:space="preserve"> by genotype.</w:t>
      </w:r>
    </w:p>
    <w:p w:rsidR="00305411" w:rsidRDefault="00305411" w:rsidP="00BF711F">
      <w:pPr>
        <w:pStyle w:val="Caption"/>
        <w:rPr>
          <w:rFonts w:ascii="Times New Roman" w:hAnsi="Times New Roman"/>
        </w:rPr>
      </w:pPr>
      <w:bookmarkStart w:id="11" w:name="_Toc352326839"/>
      <w:r w:rsidRPr="00950F9A">
        <w:rPr>
          <w:rFonts w:ascii="Times New Roman" w:hAnsi="Times New Roman"/>
        </w:rPr>
        <w:lastRenderedPageBreak/>
        <w:t xml:space="preserve">Table </w:t>
      </w:r>
      <w:r w:rsidR="00525003">
        <w:rPr>
          <w:rFonts w:ascii="Times New Roman" w:hAnsi="Times New Roman"/>
        </w:rPr>
        <w:t>4</w:t>
      </w:r>
      <w:r w:rsidRPr="00950F9A">
        <w:rPr>
          <w:rFonts w:ascii="Times New Roman" w:hAnsi="Times New Roman"/>
        </w:rPr>
        <w:tab/>
        <w:t>SVR Rates by Cirrhosis and Genotype in Study FISSION</w:t>
      </w:r>
      <w:bookmarkEnd w:id="11"/>
    </w:p>
    <w:tbl>
      <w:tblPr>
        <w:tblW w:w="48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860"/>
        <w:gridCol w:w="2067"/>
        <w:gridCol w:w="2067"/>
        <w:gridCol w:w="2255"/>
      </w:tblGrid>
      <w:tr w:rsidR="00305411" w:rsidRPr="00A44541" w:rsidTr="00B37B92">
        <w:trPr>
          <w:trHeight w:val="314"/>
        </w:trPr>
        <w:tc>
          <w:tcPr>
            <w:tcW w:w="566" w:type="pct"/>
            <w:tcBorders>
              <w:top w:val="single" w:sz="12" w:space="0" w:color="auto"/>
              <w:left w:val="nil"/>
              <w:bottom w:val="single" w:sz="12" w:space="0" w:color="auto"/>
            </w:tcBorders>
            <w:shd w:val="clear" w:color="auto" w:fill="auto"/>
          </w:tcPr>
          <w:p w:rsidR="00305411" w:rsidRPr="00B37B92" w:rsidRDefault="00305411" w:rsidP="00BF711F">
            <w:pPr>
              <w:pStyle w:val="Table-Text"/>
              <w:rPr>
                <w:sz w:val="22"/>
                <w:szCs w:val="22"/>
              </w:rPr>
            </w:pPr>
          </w:p>
        </w:tc>
        <w:tc>
          <w:tcPr>
            <w:tcW w:w="2111" w:type="pct"/>
            <w:gridSpan w:val="2"/>
            <w:tcBorders>
              <w:top w:val="single" w:sz="12" w:space="0" w:color="auto"/>
              <w:bottom w:val="single" w:sz="12" w:space="0" w:color="auto"/>
            </w:tcBorders>
            <w:shd w:val="clear" w:color="auto" w:fill="auto"/>
            <w:vAlign w:val="center"/>
          </w:tcPr>
          <w:p w:rsidR="00305411" w:rsidRPr="00B37B92" w:rsidRDefault="00305411" w:rsidP="00B37B92">
            <w:pPr>
              <w:pStyle w:val="Table-Text"/>
              <w:jc w:val="center"/>
              <w:rPr>
                <w:b/>
                <w:sz w:val="22"/>
                <w:szCs w:val="22"/>
              </w:rPr>
            </w:pPr>
            <w:r w:rsidRPr="00B37B92">
              <w:rPr>
                <w:b/>
                <w:sz w:val="22"/>
                <w:szCs w:val="22"/>
              </w:rPr>
              <w:t>Genotype 2</w:t>
            </w:r>
          </w:p>
        </w:tc>
        <w:tc>
          <w:tcPr>
            <w:tcW w:w="2323" w:type="pct"/>
            <w:gridSpan w:val="2"/>
            <w:tcBorders>
              <w:top w:val="single" w:sz="12" w:space="0" w:color="auto"/>
              <w:bottom w:val="single" w:sz="12" w:space="0" w:color="auto"/>
              <w:right w:val="nil"/>
            </w:tcBorders>
            <w:shd w:val="clear" w:color="auto" w:fill="auto"/>
            <w:vAlign w:val="center"/>
          </w:tcPr>
          <w:p w:rsidR="00305411" w:rsidRPr="00B37B92" w:rsidRDefault="00305411" w:rsidP="00B37B92">
            <w:pPr>
              <w:pStyle w:val="Table-Text"/>
              <w:jc w:val="center"/>
              <w:rPr>
                <w:b/>
                <w:sz w:val="22"/>
                <w:szCs w:val="22"/>
              </w:rPr>
            </w:pPr>
            <w:r w:rsidRPr="00B37B92">
              <w:rPr>
                <w:b/>
                <w:sz w:val="22"/>
                <w:szCs w:val="22"/>
              </w:rPr>
              <w:t>Genotype 3</w:t>
            </w:r>
          </w:p>
        </w:tc>
      </w:tr>
      <w:tr w:rsidR="00305411" w:rsidRPr="00A44541" w:rsidTr="00B37B92">
        <w:tc>
          <w:tcPr>
            <w:tcW w:w="566" w:type="pct"/>
            <w:tcBorders>
              <w:top w:val="single" w:sz="12" w:space="0" w:color="auto"/>
              <w:left w:val="nil"/>
              <w:bottom w:val="single" w:sz="4" w:space="0" w:color="auto"/>
            </w:tcBorders>
            <w:shd w:val="clear" w:color="auto" w:fill="auto"/>
          </w:tcPr>
          <w:p w:rsidR="00305411" w:rsidRPr="00B37B92" w:rsidRDefault="00305411" w:rsidP="00B37B92">
            <w:pPr>
              <w:pStyle w:val="Table-Text"/>
              <w:jc w:val="center"/>
              <w:rPr>
                <w:sz w:val="22"/>
                <w:szCs w:val="22"/>
              </w:rPr>
            </w:pPr>
          </w:p>
        </w:tc>
        <w:tc>
          <w:tcPr>
            <w:tcW w:w="1000" w:type="pct"/>
            <w:tcBorders>
              <w:top w:val="single" w:sz="12" w:space="0" w:color="auto"/>
              <w:bottom w:val="single" w:sz="4" w:space="0" w:color="auto"/>
            </w:tcBorders>
            <w:shd w:val="clear" w:color="auto" w:fill="auto"/>
            <w:vAlign w:val="center"/>
          </w:tcPr>
          <w:p w:rsidR="00305411" w:rsidRPr="00B37B92" w:rsidRDefault="00D21279" w:rsidP="00B37B92">
            <w:pPr>
              <w:pStyle w:val="Table-Text"/>
              <w:jc w:val="center"/>
              <w:rPr>
                <w:b/>
                <w:sz w:val="22"/>
                <w:szCs w:val="22"/>
              </w:rPr>
            </w:pPr>
            <w:r w:rsidRPr="00B37B92">
              <w:rPr>
                <w:b/>
                <w:sz w:val="22"/>
                <w:szCs w:val="22"/>
              </w:rPr>
              <w:t>SOVALDI</w:t>
            </w:r>
          </w:p>
          <w:p w:rsidR="00305411" w:rsidRPr="00B37B92" w:rsidRDefault="00305411" w:rsidP="00B37B92">
            <w:pPr>
              <w:pStyle w:val="Table-Text"/>
              <w:jc w:val="center"/>
              <w:rPr>
                <w:b/>
                <w:sz w:val="22"/>
                <w:szCs w:val="22"/>
              </w:rPr>
            </w:pPr>
            <w:r w:rsidRPr="00B37B92">
              <w:rPr>
                <w:b/>
                <w:sz w:val="22"/>
                <w:szCs w:val="22"/>
              </w:rPr>
              <w:t>+ RBV                             12 weeks</w:t>
            </w:r>
          </w:p>
        </w:tc>
        <w:tc>
          <w:tcPr>
            <w:tcW w:w="1111" w:type="pct"/>
            <w:tcBorders>
              <w:top w:val="single" w:sz="12" w:space="0" w:color="auto"/>
              <w:bottom w:val="single" w:sz="4" w:space="0" w:color="auto"/>
            </w:tcBorders>
            <w:shd w:val="clear" w:color="auto" w:fill="auto"/>
          </w:tcPr>
          <w:p w:rsidR="00305411" w:rsidRPr="00B37B92" w:rsidRDefault="00305411" w:rsidP="00B37B92">
            <w:pPr>
              <w:pStyle w:val="Table-Text"/>
              <w:jc w:val="center"/>
              <w:rPr>
                <w:b/>
                <w:sz w:val="22"/>
                <w:szCs w:val="22"/>
              </w:rPr>
            </w:pPr>
            <w:r w:rsidRPr="00B37B92">
              <w:rPr>
                <w:b/>
                <w:sz w:val="22"/>
                <w:szCs w:val="22"/>
              </w:rPr>
              <w:t xml:space="preserve">Peg-IFN </w:t>
            </w:r>
            <w:proofErr w:type="spellStart"/>
            <w:r w:rsidRPr="00B37B92">
              <w:rPr>
                <w:b/>
                <w:sz w:val="22"/>
                <w:szCs w:val="22"/>
              </w:rPr>
              <w:t>alfa</w:t>
            </w:r>
            <w:proofErr w:type="spellEnd"/>
          </w:p>
          <w:p w:rsidR="00FB7C19" w:rsidRPr="00B37B92" w:rsidRDefault="00305411" w:rsidP="00B37B92">
            <w:pPr>
              <w:pStyle w:val="Table-Text"/>
              <w:jc w:val="center"/>
              <w:rPr>
                <w:b/>
                <w:sz w:val="22"/>
                <w:szCs w:val="22"/>
              </w:rPr>
            </w:pPr>
            <w:r w:rsidRPr="00B37B92">
              <w:rPr>
                <w:b/>
                <w:sz w:val="22"/>
                <w:szCs w:val="22"/>
              </w:rPr>
              <w:t xml:space="preserve">+ RBV                         </w:t>
            </w:r>
          </w:p>
          <w:p w:rsidR="00305411" w:rsidRPr="00B37B92" w:rsidRDefault="00305411" w:rsidP="00B37B92">
            <w:pPr>
              <w:pStyle w:val="Table-Text"/>
              <w:jc w:val="center"/>
              <w:rPr>
                <w:b/>
                <w:sz w:val="22"/>
                <w:szCs w:val="22"/>
              </w:rPr>
            </w:pPr>
            <w:r w:rsidRPr="00B37B92">
              <w:rPr>
                <w:b/>
                <w:sz w:val="22"/>
                <w:szCs w:val="22"/>
              </w:rPr>
              <w:t xml:space="preserve">  24 weeks</w:t>
            </w:r>
          </w:p>
        </w:tc>
        <w:tc>
          <w:tcPr>
            <w:tcW w:w="1111" w:type="pct"/>
            <w:tcBorders>
              <w:top w:val="single" w:sz="12" w:space="0" w:color="auto"/>
              <w:bottom w:val="single" w:sz="4" w:space="0" w:color="auto"/>
            </w:tcBorders>
            <w:shd w:val="clear" w:color="auto" w:fill="auto"/>
            <w:vAlign w:val="center"/>
          </w:tcPr>
          <w:p w:rsidR="00305411" w:rsidRPr="00B37B92" w:rsidRDefault="00D21279" w:rsidP="00B37B92">
            <w:pPr>
              <w:pStyle w:val="Table-Text"/>
              <w:jc w:val="center"/>
              <w:rPr>
                <w:b/>
                <w:sz w:val="22"/>
                <w:szCs w:val="22"/>
              </w:rPr>
            </w:pPr>
            <w:r w:rsidRPr="00B37B92">
              <w:rPr>
                <w:b/>
                <w:sz w:val="22"/>
                <w:szCs w:val="22"/>
              </w:rPr>
              <w:t>SOVALDI</w:t>
            </w:r>
          </w:p>
          <w:p w:rsidR="00305411" w:rsidRPr="00B37B92" w:rsidRDefault="00305411" w:rsidP="00B37B92">
            <w:pPr>
              <w:pStyle w:val="Table-Text"/>
              <w:jc w:val="center"/>
              <w:rPr>
                <w:b/>
                <w:sz w:val="22"/>
                <w:szCs w:val="22"/>
              </w:rPr>
            </w:pPr>
            <w:r w:rsidRPr="00B37B92">
              <w:rPr>
                <w:b/>
                <w:sz w:val="22"/>
                <w:szCs w:val="22"/>
              </w:rPr>
              <w:t>+ RBV                                12 weeks</w:t>
            </w:r>
          </w:p>
        </w:tc>
        <w:tc>
          <w:tcPr>
            <w:tcW w:w="1212" w:type="pct"/>
            <w:tcBorders>
              <w:top w:val="single" w:sz="12" w:space="0" w:color="auto"/>
              <w:bottom w:val="single" w:sz="4" w:space="0" w:color="auto"/>
              <w:right w:val="nil"/>
            </w:tcBorders>
            <w:shd w:val="clear" w:color="auto" w:fill="auto"/>
          </w:tcPr>
          <w:p w:rsidR="00305411" w:rsidRPr="00B37B92" w:rsidRDefault="00305411" w:rsidP="00B37B92">
            <w:pPr>
              <w:pStyle w:val="Table-Text"/>
              <w:jc w:val="center"/>
              <w:rPr>
                <w:b/>
                <w:sz w:val="22"/>
                <w:szCs w:val="22"/>
              </w:rPr>
            </w:pPr>
            <w:r w:rsidRPr="00B37B92">
              <w:rPr>
                <w:b/>
                <w:sz w:val="22"/>
                <w:szCs w:val="22"/>
              </w:rPr>
              <w:t xml:space="preserve">Peg-IFN </w:t>
            </w:r>
            <w:proofErr w:type="spellStart"/>
            <w:r w:rsidRPr="00B37B92">
              <w:rPr>
                <w:b/>
                <w:sz w:val="22"/>
                <w:szCs w:val="22"/>
              </w:rPr>
              <w:t>alfa</w:t>
            </w:r>
            <w:proofErr w:type="spellEnd"/>
          </w:p>
          <w:p w:rsidR="00FB7C19" w:rsidRPr="00B37B92" w:rsidRDefault="00305411" w:rsidP="00B37B92">
            <w:pPr>
              <w:pStyle w:val="Table-Text"/>
              <w:jc w:val="center"/>
              <w:rPr>
                <w:b/>
                <w:sz w:val="22"/>
                <w:szCs w:val="22"/>
              </w:rPr>
            </w:pPr>
            <w:r w:rsidRPr="00B37B92">
              <w:rPr>
                <w:b/>
                <w:sz w:val="22"/>
                <w:szCs w:val="22"/>
              </w:rPr>
              <w:t xml:space="preserve">+ RBV                              </w:t>
            </w:r>
          </w:p>
          <w:p w:rsidR="00305411" w:rsidRPr="00B37B92" w:rsidRDefault="00305411" w:rsidP="00B37B92">
            <w:pPr>
              <w:pStyle w:val="Table-Text"/>
              <w:jc w:val="center"/>
              <w:rPr>
                <w:b/>
                <w:sz w:val="22"/>
                <w:szCs w:val="22"/>
              </w:rPr>
            </w:pPr>
            <w:r w:rsidRPr="00B37B92">
              <w:rPr>
                <w:b/>
                <w:sz w:val="22"/>
                <w:szCs w:val="22"/>
              </w:rPr>
              <w:t>24 weeks</w:t>
            </w:r>
          </w:p>
        </w:tc>
      </w:tr>
      <w:tr w:rsidR="00305411" w:rsidRPr="00A44541" w:rsidTr="00B37B92">
        <w:tc>
          <w:tcPr>
            <w:tcW w:w="566" w:type="pct"/>
            <w:tcBorders>
              <w:top w:val="single" w:sz="4" w:space="0" w:color="auto"/>
              <w:left w:val="nil"/>
            </w:tcBorders>
            <w:shd w:val="clear" w:color="auto" w:fill="auto"/>
          </w:tcPr>
          <w:p w:rsidR="00305411" w:rsidRPr="00B37B92" w:rsidRDefault="00305411" w:rsidP="00B37B92">
            <w:pPr>
              <w:pStyle w:val="Table-Text"/>
              <w:jc w:val="center"/>
              <w:rPr>
                <w:sz w:val="22"/>
                <w:szCs w:val="22"/>
              </w:rPr>
            </w:pPr>
          </w:p>
        </w:tc>
        <w:tc>
          <w:tcPr>
            <w:tcW w:w="1000" w:type="pct"/>
            <w:tcBorders>
              <w:top w:val="single" w:sz="4"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(N=70)</w:t>
            </w:r>
          </w:p>
        </w:tc>
        <w:tc>
          <w:tcPr>
            <w:tcW w:w="1111" w:type="pct"/>
            <w:tcBorders>
              <w:top w:val="single" w:sz="4"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(N=67)</w:t>
            </w:r>
          </w:p>
        </w:tc>
        <w:tc>
          <w:tcPr>
            <w:tcW w:w="1111" w:type="pct"/>
            <w:tcBorders>
              <w:top w:val="single" w:sz="4"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(N=183)</w:t>
            </w:r>
          </w:p>
        </w:tc>
        <w:tc>
          <w:tcPr>
            <w:tcW w:w="1212" w:type="pct"/>
            <w:tcBorders>
              <w:top w:val="single" w:sz="4" w:space="0" w:color="auto"/>
              <w:right w:val="nil"/>
            </w:tcBorders>
            <w:shd w:val="clear" w:color="auto" w:fill="auto"/>
          </w:tcPr>
          <w:p w:rsidR="00305411" w:rsidRPr="00B37B92" w:rsidRDefault="00305411" w:rsidP="00B37B92">
            <w:pPr>
              <w:pStyle w:val="Table-Text"/>
              <w:jc w:val="center"/>
              <w:rPr>
                <w:sz w:val="22"/>
                <w:szCs w:val="22"/>
              </w:rPr>
            </w:pPr>
            <w:r w:rsidRPr="00B37B92">
              <w:rPr>
                <w:sz w:val="22"/>
                <w:szCs w:val="22"/>
              </w:rPr>
              <w:t>(N=176)</w:t>
            </w:r>
          </w:p>
        </w:tc>
      </w:tr>
      <w:tr w:rsidR="00305411" w:rsidRPr="00A44541" w:rsidTr="00B37B92">
        <w:tc>
          <w:tcPr>
            <w:tcW w:w="566" w:type="pct"/>
            <w:tcBorders>
              <w:left w:val="nil"/>
            </w:tcBorders>
            <w:shd w:val="clear" w:color="auto" w:fill="auto"/>
          </w:tcPr>
          <w:p w:rsidR="00305411" w:rsidRPr="00B37B92" w:rsidRDefault="00305411" w:rsidP="00B37B92">
            <w:pPr>
              <w:pStyle w:val="Table-Text"/>
              <w:jc w:val="center"/>
              <w:rPr>
                <w:sz w:val="22"/>
                <w:szCs w:val="22"/>
              </w:rPr>
            </w:pPr>
            <w:r w:rsidRPr="00B37B92">
              <w:rPr>
                <w:sz w:val="22"/>
                <w:szCs w:val="22"/>
              </w:rPr>
              <w:t>Cirrhosis</w:t>
            </w:r>
          </w:p>
        </w:tc>
        <w:tc>
          <w:tcPr>
            <w:tcW w:w="1000" w:type="pct"/>
            <w:shd w:val="clear" w:color="auto" w:fill="auto"/>
          </w:tcPr>
          <w:p w:rsidR="00305411" w:rsidRPr="00B37B92" w:rsidRDefault="00305411" w:rsidP="00B37B92">
            <w:pPr>
              <w:pStyle w:val="Table-Text"/>
              <w:jc w:val="center"/>
              <w:rPr>
                <w:sz w:val="22"/>
                <w:szCs w:val="22"/>
              </w:rPr>
            </w:pPr>
          </w:p>
        </w:tc>
        <w:tc>
          <w:tcPr>
            <w:tcW w:w="1111" w:type="pct"/>
            <w:shd w:val="clear" w:color="auto" w:fill="auto"/>
          </w:tcPr>
          <w:p w:rsidR="00305411" w:rsidRPr="00B37B92" w:rsidRDefault="00305411" w:rsidP="00B37B92">
            <w:pPr>
              <w:pStyle w:val="Table-Text"/>
              <w:jc w:val="center"/>
              <w:rPr>
                <w:sz w:val="22"/>
                <w:szCs w:val="22"/>
              </w:rPr>
            </w:pPr>
          </w:p>
        </w:tc>
        <w:tc>
          <w:tcPr>
            <w:tcW w:w="1111" w:type="pct"/>
            <w:shd w:val="clear" w:color="auto" w:fill="auto"/>
          </w:tcPr>
          <w:p w:rsidR="00305411" w:rsidRPr="00B37B92" w:rsidRDefault="00305411" w:rsidP="00B37B92">
            <w:pPr>
              <w:pStyle w:val="Table-Text"/>
              <w:jc w:val="center"/>
              <w:rPr>
                <w:sz w:val="22"/>
                <w:szCs w:val="22"/>
              </w:rPr>
            </w:pPr>
          </w:p>
        </w:tc>
        <w:tc>
          <w:tcPr>
            <w:tcW w:w="1212" w:type="pct"/>
            <w:tcBorders>
              <w:right w:val="nil"/>
            </w:tcBorders>
            <w:shd w:val="clear" w:color="auto" w:fill="auto"/>
          </w:tcPr>
          <w:p w:rsidR="00305411" w:rsidRPr="00B37B92" w:rsidRDefault="00305411" w:rsidP="00B37B92">
            <w:pPr>
              <w:pStyle w:val="Table-Text"/>
              <w:jc w:val="center"/>
              <w:rPr>
                <w:sz w:val="22"/>
                <w:szCs w:val="22"/>
              </w:rPr>
            </w:pPr>
          </w:p>
        </w:tc>
      </w:tr>
      <w:tr w:rsidR="00305411" w:rsidRPr="00A44541" w:rsidTr="00B37B92">
        <w:tc>
          <w:tcPr>
            <w:tcW w:w="566" w:type="pct"/>
            <w:tcBorders>
              <w:left w:val="nil"/>
            </w:tcBorders>
            <w:shd w:val="clear" w:color="auto" w:fill="auto"/>
          </w:tcPr>
          <w:p w:rsidR="00305411" w:rsidRPr="00B37B92" w:rsidRDefault="00305411" w:rsidP="00B37B92">
            <w:pPr>
              <w:pStyle w:val="Table-Text"/>
              <w:jc w:val="center"/>
              <w:rPr>
                <w:sz w:val="22"/>
                <w:szCs w:val="22"/>
              </w:rPr>
            </w:pPr>
            <w:r w:rsidRPr="00B37B92">
              <w:rPr>
                <w:sz w:val="22"/>
                <w:szCs w:val="22"/>
              </w:rPr>
              <w:t>No</w:t>
            </w:r>
          </w:p>
        </w:tc>
        <w:tc>
          <w:tcPr>
            <w:tcW w:w="1000" w:type="pct"/>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98% (58/59)</w:t>
            </w:r>
          </w:p>
        </w:tc>
        <w:tc>
          <w:tcPr>
            <w:tcW w:w="1111" w:type="pct"/>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81% (44/54)</w:t>
            </w:r>
          </w:p>
        </w:tc>
        <w:tc>
          <w:tcPr>
            <w:tcW w:w="1111" w:type="pct"/>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61% (89/145)</w:t>
            </w:r>
          </w:p>
        </w:tc>
        <w:tc>
          <w:tcPr>
            <w:tcW w:w="1212" w:type="pct"/>
            <w:tcBorders>
              <w:right w:val="nil"/>
            </w:tcBorders>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71% (99/139)</w:t>
            </w:r>
          </w:p>
        </w:tc>
      </w:tr>
      <w:tr w:rsidR="00305411" w:rsidRPr="00A44541" w:rsidTr="00B37B92">
        <w:tc>
          <w:tcPr>
            <w:tcW w:w="566" w:type="pct"/>
            <w:tcBorders>
              <w:left w:val="nil"/>
              <w:bottom w:val="single" w:sz="12" w:space="0" w:color="auto"/>
            </w:tcBorders>
            <w:shd w:val="clear" w:color="auto" w:fill="auto"/>
          </w:tcPr>
          <w:p w:rsidR="00305411" w:rsidRPr="00B37B92" w:rsidRDefault="00305411" w:rsidP="00B37B92">
            <w:pPr>
              <w:pStyle w:val="Table-Text"/>
              <w:jc w:val="center"/>
              <w:rPr>
                <w:sz w:val="22"/>
                <w:szCs w:val="22"/>
              </w:rPr>
            </w:pPr>
            <w:r w:rsidRPr="00B37B92">
              <w:rPr>
                <w:sz w:val="22"/>
                <w:szCs w:val="22"/>
              </w:rPr>
              <w:t>Yes</w:t>
            </w:r>
          </w:p>
        </w:tc>
        <w:tc>
          <w:tcPr>
            <w:tcW w:w="1000" w:type="pct"/>
            <w:tcBorders>
              <w:bottom w:val="single" w:sz="12" w:space="0" w:color="auto"/>
            </w:tcBorders>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91% (10/11)</w:t>
            </w:r>
          </w:p>
        </w:tc>
        <w:tc>
          <w:tcPr>
            <w:tcW w:w="1111" w:type="pct"/>
            <w:tcBorders>
              <w:bottom w:val="single" w:sz="12" w:space="0" w:color="auto"/>
            </w:tcBorders>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62% (8/13)</w:t>
            </w:r>
          </w:p>
        </w:tc>
        <w:tc>
          <w:tcPr>
            <w:tcW w:w="1111" w:type="pct"/>
            <w:tcBorders>
              <w:bottom w:val="single" w:sz="12" w:space="0" w:color="auto"/>
            </w:tcBorders>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34% (13/38)</w:t>
            </w:r>
          </w:p>
        </w:tc>
        <w:tc>
          <w:tcPr>
            <w:tcW w:w="1212" w:type="pct"/>
            <w:tcBorders>
              <w:bottom w:val="single" w:sz="12" w:space="0" w:color="auto"/>
              <w:right w:val="nil"/>
            </w:tcBorders>
            <w:shd w:val="clear" w:color="auto" w:fill="auto"/>
          </w:tcPr>
          <w:p w:rsidR="00305411" w:rsidRPr="00B37B92" w:rsidRDefault="00305411" w:rsidP="00B37B92">
            <w:pPr>
              <w:pStyle w:val="Table-Text"/>
              <w:jc w:val="center"/>
              <w:rPr>
                <w:color w:val="000000"/>
                <w:sz w:val="22"/>
                <w:szCs w:val="22"/>
              </w:rPr>
            </w:pPr>
            <w:r w:rsidRPr="00B37B92">
              <w:rPr>
                <w:color w:val="000000"/>
                <w:sz w:val="22"/>
                <w:szCs w:val="22"/>
              </w:rPr>
              <w:t>30% (11/37)</w:t>
            </w:r>
          </w:p>
        </w:tc>
      </w:tr>
    </w:tbl>
    <w:p w:rsidR="00305411" w:rsidRDefault="00305411" w:rsidP="00BF711F">
      <w:pPr>
        <w:pStyle w:val="Text10"/>
      </w:pPr>
    </w:p>
    <w:p w:rsidR="00587202" w:rsidRDefault="00587202" w:rsidP="00BF711F">
      <w:pPr>
        <w:pStyle w:val="Subheading2"/>
      </w:pPr>
      <w:r w:rsidRPr="00131032">
        <w:t xml:space="preserve">Interferon </w:t>
      </w:r>
      <w:r>
        <w:t>I</w:t>
      </w:r>
      <w:r w:rsidRPr="00131032">
        <w:t xml:space="preserve">ntolerant, </w:t>
      </w:r>
      <w:r>
        <w:t>I</w:t>
      </w:r>
      <w:r w:rsidRPr="00131032">
        <w:t xml:space="preserve">neligible or </w:t>
      </w:r>
      <w:r>
        <w:t>U</w:t>
      </w:r>
      <w:r w:rsidRPr="00131032">
        <w:t xml:space="preserve">nwilling </w:t>
      </w:r>
      <w:r>
        <w:t>A</w:t>
      </w:r>
      <w:r w:rsidRPr="00131032">
        <w:t>dults ─ POSITRON (Study 107)</w:t>
      </w:r>
    </w:p>
    <w:p w:rsidR="00587202" w:rsidRDefault="00587202" w:rsidP="00BF711F">
      <w:pPr>
        <w:pStyle w:val="Text10"/>
      </w:pPr>
      <w:r w:rsidRPr="00131032">
        <w:t>POSITRON was a randomized, double-blinded, placebo-controlled trial that evalua</w:t>
      </w:r>
      <w:r w:rsidR="005C7407">
        <w:t xml:space="preserve">ted 12 weeks of treatment with </w:t>
      </w:r>
      <w:r w:rsidR="00D21279">
        <w:t>SOVALDI</w:t>
      </w:r>
      <w:r w:rsidRPr="00131032">
        <w:t xml:space="preserve"> and ribavirin (N =207) compared to placebo (N =71) in </w:t>
      </w:r>
      <w:r w:rsidR="001B3130">
        <w:t xml:space="preserve">patients </w:t>
      </w:r>
      <w:r w:rsidRPr="00131032">
        <w:t xml:space="preserve">who are interferon intolerant, ineligible or unwilling.  </w:t>
      </w:r>
      <w:r w:rsidR="001B3130">
        <w:t>Patients</w:t>
      </w:r>
      <w:r w:rsidR="001B3130" w:rsidRPr="00131032">
        <w:t xml:space="preserve"> </w:t>
      </w:r>
      <w:r w:rsidRPr="00131032">
        <w:t xml:space="preserve">were </w:t>
      </w:r>
      <w:proofErr w:type="spellStart"/>
      <w:r w:rsidRPr="00131032">
        <w:t>randomi</w:t>
      </w:r>
      <w:r w:rsidR="001B3130">
        <w:t>s</w:t>
      </w:r>
      <w:r w:rsidRPr="00131032">
        <w:t>ed</w:t>
      </w:r>
      <w:proofErr w:type="spellEnd"/>
      <w:r w:rsidRPr="00131032">
        <w:t xml:space="preserve"> in 3:1 ratio and stratified by cirrhosis (presence vs absence).</w:t>
      </w:r>
    </w:p>
    <w:p w:rsidR="00587202" w:rsidRDefault="00587202" w:rsidP="00BF711F">
      <w:pPr>
        <w:pStyle w:val="Text10"/>
      </w:pPr>
      <w:r w:rsidRPr="00131032">
        <w:t xml:space="preserve">Treated </w:t>
      </w:r>
      <w:r w:rsidR="001B3130">
        <w:t>patients</w:t>
      </w:r>
      <w:r w:rsidR="001B3130" w:rsidRPr="00131032">
        <w:t xml:space="preserve"> </w:t>
      </w:r>
      <w:r w:rsidRPr="00131032">
        <w:t xml:space="preserve">(N=278) had a median age of 54 years (range: 21 to 75); 54% of the </w:t>
      </w:r>
      <w:r w:rsidR="001B3130">
        <w:t>patients</w:t>
      </w:r>
      <w:r w:rsidR="001B3130" w:rsidRPr="00131032">
        <w:t xml:space="preserve"> </w:t>
      </w:r>
      <w:r w:rsidRPr="00131032">
        <w:t>were male; 91% were White, 5% were Black; 11% were Hispanic or Latino</w:t>
      </w:r>
      <w:r w:rsidR="00EA74D6">
        <w:t>, 8% were Asian</w:t>
      </w:r>
      <w:r w:rsidRPr="00131032">
        <w:t>; mean body mass index was 28 kg/m</w:t>
      </w:r>
      <w:r w:rsidRPr="007F667C">
        <w:rPr>
          <w:vertAlign w:val="superscript"/>
        </w:rPr>
        <w:t>2</w:t>
      </w:r>
      <w:r w:rsidRPr="00131032">
        <w:t xml:space="preserve"> (range: 18 to 53 kg/m</w:t>
      </w:r>
      <w:r w:rsidRPr="007F667C">
        <w:rPr>
          <w:vertAlign w:val="superscript"/>
        </w:rPr>
        <w:t>2</w:t>
      </w:r>
      <w:r w:rsidRPr="00131032">
        <w:t>); 70% had baseline HCV RNA levels greater than 6 log</w:t>
      </w:r>
      <w:r w:rsidRPr="005C7407">
        <w:rPr>
          <w:vertAlign w:val="subscript"/>
        </w:rPr>
        <w:t>10</w:t>
      </w:r>
      <w:r w:rsidRPr="00131032">
        <w:t xml:space="preserve"> IU per mL; 16% had cirrhosis; 49% had HCV genotype 3.</w:t>
      </w:r>
      <w:r w:rsidR="000B79E7">
        <w:t xml:space="preserve">  8% were on opiate replacement therapy.  </w:t>
      </w:r>
      <w:r w:rsidRPr="00131032">
        <w:t xml:space="preserve"> The proportions of </w:t>
      </w:r>
      <w:r w:rsidR="001B3130">
        <w:t>patients</w:t>
      </w:r>
      <w:r w:rsidR="001B3130" w:rsidRPr="00131032">
        <w:t xml:space="preserve"> </w:t>
      </w:r>
      <w:r w:rsidRPr="00131032">
        <w:t xml:space="preserve">who were interferon intolerant, ineligible, or unwilling were 9%, 44%, and 47%, respectively. Most </w:t>
      </w:r>
      <w:r w:rsidR="001B3130">
        <w:t>patients</w:t>
      </w:r>
      <w:r w:rsidR="001B3130" w:rsidRPr="00131032">
        <w:t xml:space="preserve"> </w:t>
      </w:r>
      <w:r w:rsidRPr="00131032">
        <w:t xml:space="preserve">had no prior HCV treatment (81.3%).  </w:t>
      </w:r>
      <w:proofErr w:type="gramStart"/>
      <w:r w:rsidRPr="00131032">
        <w:t xml:space="preserve">Table </w:t>
      </w:r>
      <w:r w:rsidR="00525003">
        <w:t>5</w:t>
      </w:r>
      <w:r w:rsidRPr="00131032">
        <w:t xml:space="preserve"> presents the response rat</w:t>
      </w:r>
      <w:r w:rsidR="007F5E6C">
        <w:t xml:space="preserve">es for the treatment groups of </w:t>
      </w:r>
      <w:r w:rsidR="00D21279">
        <w:t>SOVALDI</w:t>
      </w:r>
      <w:r w:rsidRPr="00131032">
        <w:t xml:space="preserve"> + ribavirin and placebo.</w:t>
      </w:r>
      <w:proofErr w:type="gramEnd"/>
    </w:p>
    <w:p w:rsidR="00587202" w:rsidRPr="00587202" w:rsidRDefault="00587202" w:rsidP="00BF711F">
      <w:pPr>
        <w:pStyle w:val="Caption"/>
        <w:rPr>
          <w:rFonts w:ascii="Times New Roman" w:hAnsi="Times New Roman"/>
        </w:rPr>
      </w:pPr>
      <w:bookmarkStart w:id="12" w:name="_Toc352326840"/>
      <w:r w:rsidRPr="00587202">
        <w:rPr>
          <w:rFonts w:ascii="Times New Roman" w:hAnsi="Times New Roman"/>
        </w:rPr>
        <w:t xml:space="preserve">Table </w:t>
      </w:r>
      <w:r w:rsidR="00525003">
        <w:rPr>
          <w:rFonts w:ascii="Times New Roman" w:hAnsi="Times New Roman"/>
        </w:rPr>
        <w:t>5</w:t>
      </w:r>
      <w:r w:rsidRPr="00587202">
        <w:rPr>
          <w:rFonts w:ascii="Times New Roman" w:hAnsi="Times New Roman"/>
        </w:rPr>
        <w:tab/>
        <w:t>Response Rates in Study POSITRON</w:t>
      </w:r>
      <w:bookmarkEnd w:id="1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860"/>
        <w:gridCol w:w="3402"/>
      </w:tblGrid>
      <w:tr w:rsidR="00587202" w:rsidRPr="00C6485B" w:rsidTr="00B37B92">
        <w:tc>
          <w:tcPr>
            <w:tcW w:w="3060" w:type="dxa"/>
            <w:tcBorders>
              <w:top w:val="single" w:sz="12" w:space="0" w:color="auto"/>
              <w:left w:val="nil"/>
              <w:bottom w:val="single" w:sz="4" w:space="0" w:color="auto"/>
            </w:tcBorders>
            <w:shd w:val="clear" w:color="auto" w:fill="auto"/>
          </w:tcPr>
          <w:p w:rsidR="00587202" w:rsidRPr="00B37B92" w:rsidRDefault="00587202" w:rsidP="00BF711F">
            <w:pPr>
              <w:pStyle w:val="Table-Text"/>
              <w:rPr>
                <w:sz w:val="22"/>
                <w:szCs w:val="22"/>
              </w:rPr>
            </w:pPr>
          </w:p>
        </w:tc>
        <w:tc>
          <w:tcPr>
            <w:tcW w:w="2860" w:type="dxa"/>
            <w:tcBorders>
              <w:top w:val="single" w:sz="12" w:space="0" w:color="auto"/>
              <w:bottom w:val="single" w:sz="4" w:space="0" w:color="auto"/>
            </w:tcBorders>
            <w:shd w:val="clear" w:color="auto" w:fill="auto"/>
          </w:tcPr>
          <w:p w:rsidR="00587202" w:rsidRPr="00B37B92" w:rsidRDefault="00D21279" w:rsidP="00B37B92">
            <w:pPr>
              <w:pStyle w:val="Table-Text"/>
              <w:jc w:val="center"/>
              <w:rPr>
                <w:b/>
                <w:sz w:val="22"/>
                <w:szCs w:val="22"/>
              </w:rPr>
            </w:pPr>
            <w:r w:rsidRPr="00B37B92">
              <w:rPr>
                <w:b/>
                <w:sz w:val="22"/>
                <w:szCs w:val="22"/>
              </w:rPr>
              <w:t>SOVALDI</w:t>
            </w:r>
            <w:r w:rsidR="00587202" w:rsidRPr="00B37B92">
              <w:rPr>
                <w:b/>
                <w:sz w:val="22"/>
                <w:szCs w:val="22"/>
              </w:rPr>
              <w:t xml:space="preserve"> + RBV 12 weeks</w:t>
            </w:r>
          </w:p>
        </w:tc>
        <w:tc>
          <w:tcPr>
            <w:tcW w:w="3402" w:type="dxa"/>
            <w:tcBorders>
              <w:top w:val="single" w:sz="12" w:space="0" w:color="auto"/>
              <w:bottom w:val="single" w:sz="4" w:space="0" w:color="auto"/>
              <w:right w:val="nil"/>
            </w:tcBorders>
            <w:shd w:val="clear" w:color="auto" w:fill="auto"/>
            <w:vAlign w:val="center"/>
          </w:tcPr>
          <w:p w:rsidR="00587202" w:rsidRPr="00B37B92" w:rsidRDefault="00587202" w:rsidP="00B37B92">
            <w:pPr>
              <w:pStyle w:val="Table-Text"/>
              <w:jc w:val="center"/>
              <w:rPr>
                <w:b/>
                <w:sz w:val="22"/>
                <w:szCs w:val="22"/>
              </w:rPr>
            </w:pPr>
            <w:r w:rsidRPr="00B37B92">
              <w:rPr>
                <w:b/>
                <w:sz w:val="22"/>
                <w:szCs w:val="22"/>
              </w:rPr>
              <w:t>Placebo 12 weeks</w:t>
            </w:r>
          </w:p>
        </w:tc>
      </w:tr>
      <w:tr w:rsidR="00587202" w:rsidRPr="00C6485B" w:rsidTr="00B37B92">
        <w:tc>
          <w:tcPr>
            <w:tcW w:w="3060" w:type="dxa"/>
            <w:tcBorders>
              <w:top w:val="single" w:sz="4" w:space="0" w:color="auto"/>
              <w:left w:val="nil"/>
              <w:bottom w:val="single" w:sz="12" w:space="0" w:color="auto"/>
            </w:tcBorders>
            <w:shd w:val="clear" w:color="auto" w:fill="auto"/>
          </w:tcPr>
          <w:p w:rsidR="00587202" w:rsidRPr="00B37B92" w:rsidRDefault="00587202" w:rsidP="00BF711F">
            <w:pPr>
              <w:pStyle w:val="Table-Text"/>
              <w:rPr>
                <w:sz w:val="22"/>
                <w:szCs w:val="22"/>
              </w:rPr>
            </w:pPr>
          </w:p>
        </w:tc>
        <w:tc>
          <w:tcPr>
            <w:tcW w:w="2860" w:type="dxa"/>
            <w:tcBorders>
              <w:top w:val="single" w:sz="4" w:space="0" w:color="auto"/>
              <w:bottom w:val="single" w:sz="12" w:space="0" w:color="auto"/>
            </w:tcBorders>
            <w:shd w:val="clear" w:color="auto" w:fill="auto"/>
          </w:tcPr>
          <w:p w:rsidR="00587202" w:rsidRPr="00B37B92" w:rsidRDefault="00587202" w:rsidP="00B37B92">
            <w:pPr>
              <w:pStyle w:val="Table-Text"/>
              <w:jc w:val="center"/>
              <w:rPr>
                <w:sz w:val="22"/>
                <w:szCs w:val="22"/>
              </w:rPr>
            </w:pPr>
            <w:r w:rsidRPr="00B37B92">
              <w:rPr>
                <w:sz w:val="22"/>
                <w:szCs w:val="22"/>
              </w:rPr>
              <w:t>N=207</w:t>
            </w:r>
          </w:p>
        </w:tc>
        <w:tc>
          <w:tcPr>
            <w:tcW w:w="3402" w:type="dxa"/>
            <w:tcBorders>
              <w:top w:val="single" w:sz="4" w:space="0" w:color="auto"/>
              <w:bottom w:val="single" w:sz="12" w:space="0" w:color="auto"/>
              <w:right w:val="nil"/>
            </w:tcBorders>
            <w:shd w:val="clear" w:color="auto" w:fill="auto"/>
            <w:vAlign w:val="bottom"/>
          </w:tcPr>
          <w:p w:rsidR="00587202" w:rsidRPr="00B37B92" w:rsidRDefault="00587202" w:rsidP="00B37B92">
            <w:pPr>
              <w:pStyle w:val="Table-Text"/>
              <w:jc w:val="center"/>
              <w:rPr>
                <w:sz w:val="22"/>
                <w:szCs w:val="22"/>
              </w:rPr>
            </w:pPr>
            <w:r w:rsidRPr="00B37B92">
              <w:rPr>
                <w:sz w:val="22"/>
                <w:szCs w:val="22"/>
              </w:rPr>
              <w:t>N=71</w:t>
            </w:r>
          </w:p>
        </w:tc>
      </w:tr>
      <w:tr w:rsidR="00587202" w:rsidRPr="00C6485B" w:rsidTr="00B37B92">
        <w:tc>
          <w:tcPr>
            <w:tcW w:w="3060" w:type="dxa"/>
            <w:tcBorders>
              <w:top w:val="single" w:sz="12" w:space="0" w:color="auto"/>
              <w:left w:val="nil"/>
            </w:tcBorders>
            <w:shd w:val="clear" w:color="auto" w:fill="auto"/>
          </w:tcPr>
          <w:p w:rsidR="00587202" w:rsidRPr="00B37B92" w:rsidRDefault="00587202" w:rsidP="00BF711F">
            <w:pPr>
              <w:pStyle w:val="Table-Text"/>
              <w:rPr>
                <w:sz w:val="22"/>
                <w:szCs w:val="22"/>
              </w:rPr>
            </w:pPr>
            <w:r w:rsidRPr="00B37B92">
              <w:rPr>
                <w:sz w:val="22"/>
                <w:szCs w:val="22"/>
              </w:rPr>
              <w:t>Overall SVR</w:t>
            </w:r>
          </w:p>
        </w:tc>
        <w:tc>
          <w:tcPr>
            <w:tcW w:w="2860" w:type="dxa"/>
            <w:tcBorders>
              <w:top w:val="single" w:sz="12" w:space="0" w:color="auto"/>
            </w:tcBorders>
            <w:shd w:val="clear" w:color="auto" w:fill="auto"/>
          </w:tcPr>
          <w:p w:rsidR="00587202" w:rsidRPr="00B37B92" w:rsidRDefault="00587202" w:rsidP="00B37B92">
            <w:pPr>
              <w:pStyle w:val="Table-Text"/>
              <w:jc w:val="center"/>
              <w:rPr>
                <w:sz w:val="22"/>
                <w:szCs w:val="22"/>
              </w:rPr>
            </w:pPr>
            <w:r w:rsidRPr="00B37B92">
              <w:rPr>
                <w:sz w:val="22"/>
                <w:szCs w:val="22"/>
              </w:rPr>
              <w:t>78% (161/207)</w:t>
            </w:r>
          </w:p>
        </w:tc>
        <w:tc>
          <w:tcPr>
            <w:tcW w:w="3402" w:type="dxa"/>
            <w:tcBorders>
              <w:top w:val="single" w:sz="12" w:space="0" w:color="auto"/>
              <w:right w:val="nil"/>
            </w:tcBorders>
            <w:shd w:val="clear" w:color="auto" w:fill="auto"/>
          </w:tcPr>
          <w:p w:rsidR="00587202" w:rsidRPr="00B37B92" w:rsidRDefault="00587202" w:rsidP="00B37B92">
            <w:pPr>
              <w:pStyle w:val="Table-Text"/>
              <w:jc w:val="center"/>
              <w:rPr>
                <w:sz w:val="22"/>
                <w:szCs w:val="22"/>
              </w:rPr>
            </w:pPr>
            <w:r w:rsidRPr="00B37B92">
              <w:rPr>
                <w:sz w:val="22"/>
                <w:szCs w:val="22"/>
              </w:rPr>
              <w:t>0/71</w:t>
            </w:r>
          </w:p>
        </w:tc>
      </w:tr>
      <w:tr w:rsidR="00587202" w:rsidRPr="00C6485B" w:rsidTr="00B37B92">
        <w:tc>
          <w:tcPr>
            <w:tcW w:w="3060" w:type="dxa"/>
            <w:tcBorders>
              <w:left w:val="nil"/>
            </w:tcBorders>
            <w:shd w:val="clear" w:color="auto" w:fill="auto"/>
          </w:tcPr>
          <w:p w:rsidR="00587202" w:rsidRPr="00B37B92" w:rsidRDefault="00587202" w:rsidP="00B37B92">
            <w:pPr>
              <w:pStyle w:val="Table-Text"/>
              <w:ind w:firstLine="270"/>
              <w:rPr>
                <w:sz w:val="22"/>
                <w:szCs w:val="22"/>
              </w:rPr>
            </w:pPr>
            <w:r w:rsidRPr="00B37B92">
              <w:rPr>
                <w:sz w:val="22"/>
                <w:szCs w:val="22"/>
              </w:rPr>
              <w:t>Genotype 2</w:t>
            </w:r>
          </w:p>
        </w:tc>
        <w:tc>
          <w:tcPr>
            <w:tcW w:w="2860" w:type="dxa"/>
            <w:shd w:val="clear" w:color="auto" w:fill="auto"/>
          </w:tcPr>
          <w:p w:rsidR="00587202" w:rsidRPr="00B37B92" w:rsidRDefault="00587202" w:rsidP="00B37B92">
            <w:pPr>
              <w:pStyle w:val="Table-Text"/>
              <w:jc w:val="center"/>
              <w:rPr>
                <w:sz w:val="22"/>
                <w:szCs w:val="22"/>
              </w:rPr>
            </w:pPr>
            <w:r w:rsidRPr="00B37B92">
              <w:rPr>
                <w:sz w:val="22"/>
                <w:szCs w:val="22"/>
              </w:rPr>
              <w:t>93% (101/109)</w:t>
            </w:r>
          </w:p>
        </w:tc>
        <w:tc>
          <w:tcPr>
            <w:tcW w:w="3402" w:type="dxa"/>
            <w:tcBorders>
              <w:right w:val="nil"/>
            </w:tcBorders>
            <w:shd w:val="clear" w:color="auto" w:fill="auto"/>
          </w:tcPr>
          <w:p w:rsidR="00587202" w:rsidRPr="00B37B92" w:rsidRDefault="00587202" w:rsidP="00B37B92">
            <w:pPr>
              <w:pStyle w:val="Table-Text"/>
              <w:jc w:val="center"/>
              <w:rPr>
                <w:sz w:val="22"/>
                <w:szCs w:val="22"/>
              </w:rPr>
            </w:pPr>
            <w:r w:rsidRPr="00B37B92">
              <w:rPr>
                <w:sz w:val="22"/>
                <w:szCs w:val="22"/>
              </w:rPr>
              <w:t>0/34</w:t>
            </w:r>
          </w:p>
        </w:tc>
      </w:tr>
      <w:tr w:rsidR="00587202" w:rsidRPr="00C6485B" w:rsidTr="00B37B92">
        <w:tc>
          <w:tcPr>
            <w:tcW w:w="3060" w:type="dxa"/>
            <w:tcBorders>
              <w:left w:val="nil"/>
            </w:tcBorders>
            <w:shd w:val="clear" w:color="auto" w:fill="auto"/>
          </w:tcPr>
          <w:p w:rsidR="00587202" w:rsidRPr="00B37B92" w:rsidRDefault="00587202" w:rsidP="00B37B92">
            <w:pPr>
              <w:pStyle w:val="Table-Text"/>
              <w:ind w:firstLine="270"/>
              <w:rPr>
                <w:sz w:val="22"/>
                <w:szCs w:val="22"/>
              </w:rPr>
            </w:pPr>
            <w:r w:rsidRPr="00B37B92">
              <w:rPr>
                <w:sz w:val="22"/>
                <w:szCs w:val="22"/>
              </w:rPr>
              <w:t>Genotype 3</w:t>
            </w:r>
          </w:p>
        </w:tc>
        <w:tc>
          <w:tcPr>
            <w:tcW w:w="2860" w:type="dxa"/>
            <w:shd w:val="clear" w:color="auto" w:fill="auto"/>
          </w:tcPr>
          <w:p w:rsidR="00587202" w:rsidRPr="00B37B92" w:rsidRDefault="00587202" w:rsidP="00B37B92">
            <w:pPr>
              <w:pStyle w:val="Table-Text"/>
              <w:jc w:val="center"/>
              <w:rPr>
                <w:sz w:val="22"/>
                <w:szCs w:val="22"/>
              </w:rPr>
            </w:pPr>
            <w:r w:rsidRPr="00B37B92">
              <w:rPr>
                <w:sz w:val="22"/>
                <w:szCs w:val="22"/>
              </w:rPr>
              <w:t>61% (60/98)</w:t>
            </w:r>
          </w:p>
        </w:tc>
        <w:tc>
          <w:tcPr>
            <w:tcW w:w="3402" w:type="dxa"/>
            <w:tcBorders>
              <w:right w:val="nil"/>
            </w:tcBorders>
            <w:shd w:val="clear" w:color="auto" w:fill="auto"/>
          </w:tcPr>
          <w:p w:rsidR="00587202" w:rsidRPr="00B37B92" w:rsidRDefault="00587202" w:rsidP="00B37B92">
            <w:pPr>
              <w:pStyle w:val="Table-Text"/>
              <w:jc w:val="center"/>
              <w:rPr>
                <w:sz w:val="22"/>
                <w:szCs w:val="22"/>
              </w:rPr>
            </w:pPr>
            <w:r w:rsidRPr="00B37B92">
              <w:rPr>
                <w:sz w:val="22"/>
                <w:szCs w:val="22"/>
              </w:rPr>
              <w:t>0/37</w:t>
            </w:r>
          </w:p>
        </w:tc>
      </w:tr>
      <w:tr w:rsidR="00587202" w:rsidRPr="00C6485B" w:rsidTr="00B37B92">
        <w:tc>
          <w:tcPr>
            <w:tcW w:w="3060" w:type="dxa"/>
            <w:tcBorders>
              <w:left w:val="nil"/>
            </w:tcBorders>
            <w:shd w:val="clear" w:color="auto" w:fill="auto"/>
          </w:tcPr>
          <w:p w:rsidR="00587202" w:rsidRPr="00B37B92" w:rsidRDefault="00587202" w:rsidP="00BF711F">
            <w:pPr>
              <w:pStyle w:val="Table-Text"/>
              <w:rPr>
                <w:sz w:val="22"/>
                <w:szCs w:val="22"/>
              </w:rPr>
            </w:pPr>
            <w:r w:rsidRPr="00B37B92">
              <w:rPr>
                <w:sz w:val="22"/>
                <w:szCs w:val="22"/>
              </w:rPr>
              <w:t xml:space="preserve">Outcome for </w:t>
            </w:r>
            <w:r w:rsidR="0003230B" w:rsidRPr="00B37B92">
              <w:rPr>
                <w:sz w:val="22"/>
                <w:szCs w:val="22"/>
              </w:rPr>
              <w:t xml:space="preserve">patients </w:t>
            </w:r>
            <w:r w:rsidRPr="00B37B92">
              <w:rPr>
                <w:sz w:val="22"/>
                <w:szCs w:val="22"/>
              </w:rPr>
              <w:t>without SVR</w:t>
            </w:r>
          </w:p>
        </w:tc>
        <w:tc>
          <w:tcPr>
            <w:tcW w:w="2860" w:type="dxa"/>
            <w:shd w:val="clear" w:color="auto" w:fill="auto"/>
          </w:tcPr>
          <w:p w:rsidR="00587202" w:rsidRPr="00B37B92" w:rsidRDefault="00587202" w:rsidP="00B37B92">
            <w:pPr>
              <w:pStyle w:val="Table-Text"/>
              <w:jc w:val="center"/>
              <w:rPr>
                <w:sz w:val="22"/>
                <w:szCs w:val="22"/>
              </w:rPr>
            </w:pPr>
          </w:p>
        </w:tc>
        <w:tc>
          <w:tcPr>
            <w:tcW w:w="3402" w:type="dxa"/>
            <w:tcBorders>
              <w:right w:val="nil"/>
            </w:tcBorders>
            <w:shd w:val="clear" w:color="auto" w:fill="auto"/>
          </w:tcPr>
          <w:p w:rsidR="00587202" w:rsidRPr="00B37B92" w:rsidRDefault="00587202" w:rsidP="00B37B92">
            <w:pPr>
              <w:pStyle w:val="Table-Text"/>
              <w:jc w:val="center"/>
              <w:rPr>
                <w:sz w:val="22"/>
                <w:szCs w:val="22"/>
              </w:rPr>
            </w:pPr>
          </w:p>
        </w:tc>
      </w:tr>
      <w:tr w:rsidR="00587202" w:rsidRPr="00C6485B" w:rsidTr="00B37B92">
        <w:tc>
          <w:tcPr>
            <w:tcW w:w="3060" w:type="dxa"/>
            <w:tcBorders>
              <w:left w:val="nil"/>
            </w:tcBorders>
            <w:shd w:val="clear" w:color="auto" w:fill="auto"/>
          </w:tcPr>
          <w:p w:rsidR="00587202" w:rsidRPr="00B37B92" w:rsidRDefault="00587202" w:rsidP="00B37B92">
            <w:pPr>
              <w:pStyle w:val="Table-Text"/>
              <w:ind w:firstLine="270"/>
              <w:rPr>
                <w:sz w:val="22"/>
                <w:szCs w:val="22"/>
              </w:rPr>
            </w:pPr>
            <w:r w:rsidRPr="00B37B92">
              <w:rPr>
                <w:sz w:val="22"/>
                <w:szCs w:val="22"/>
              </w:rPr>
              <w:t xml:space="preserve">On-treatment </w:t>
            </w:r>
            <w:proofErr w:type="spellStart"/>
            <w:r w:rsidRPr="00B37B92">
              <w:rPr>
                <w:sz w:val="22"/>
                <w:szCs w:val="22"/>
              </w:rPr>
              <w:t>virologic</w:t>
            </w:r>
            <w:proofErr w:type="spellEnd"/>
            <w:r w:rsidRPr="00B37B92">
              <w:rPr>
                <w:sz w:val="22"/>
                <w:szCs w:val="22"/>
              </w:rPr>
              <w:t xml:space="preserve"> failure</w:t>
            </w:r>
          </w:p>
        </w:tc>
        <w:tc>
          <w:tcPr>
            <w:tcW w:w="2860" w:type="dxa"/>
            <w:shd w:val="clear" w:color="auto" w:fill="auto"/>
          </w:tcPr>
          <w:p w:rsidR="00587202" w:rsidRPr="00B37B92" w:rsidRDefault="00587202" w:rsidP="00B37B92">
            <w:pPr>
              <w:pStyle w:val="Table-Text"/>
              <w:jc w:val="center"/>
              <w:rPr>
                <w:sz w:val="22"/>
                <w:szCs w:val="22"/>
              </w:rPr>
            </w:pPr>
            <w:r w:rsidRPr="00B37B92">
              <w:rPr>
                <w:sz w:val="22"/>
                <w:szCs w:val="22"/>
              </w:rPr>
              <w:t>0/207</w:t>
            </w:r>
          </w:p>
        </w:tc>
        <w:tc>
          <w:tcPr>
            <w:tcW w:w="3402" w:type="dxa"/>
            <w:tcBorders>
              <w:right w:val="nil"/>
            </w:tcBorders>
            <w:shd w:val="clear" w:color="auto" w:fill="auto"/>
          </w:tcPr>
          <w:p w:rsidR="00587202" w:rsidRPr="00B37B92" w:rsidRDefault="00587202" w:rsidP="00B37B92">
            <w:pPr>
              <w:pStyle w:val="Table-Text"/>
              <w:jc w:val="center"/>
              <w:rPr>
                <w:sz w:val="22"/>
                <w:szCs w:val="22"/>
              </w:rPr>
            </w:pPr>
            <w:r w:rsidRPr="00B37B92">
              <w:rPr>
                <w:sz w:val="22"/>
                <w:szCs w:val="22"/>
              </w:rPr>
              <w:t>97% (69/71)</w:t>
            </w:r>
          </w:p>
        </w:tc>
      </w:tr>
      <w:tr w:rsidR="00587202" w:rsidRPr="00C6485B" w:rsidTr="00B37B92">
        <w:tc>
          <w:tcPr>
            <w:tcW w:w="3060" w:type="dxa"/>
            <w:tcBorders>
              <w:left w:val="nil"/>
            </w:tcBorders>
            <w:shd w:val="clear" w:color="auto" w:fill="auto"/>
          </w:tcPr>
          <w:p w:rsidR="00587202" w:rsidRPr="00B37B92" w:rsidRDefault="00587202" w:rsidP="00B37B92">
            <w:pPr>
              <w:pStyle w:val="Table-Text"/>
              <w:ind w:firstLine="270"/>
              <w:rPr>
                <w:sz w:val="22"/>
                <w:szCs w:val="22"/>
              </w:rPr>
            </w:pPr>
            <w:proofErr w:type="spellStart"/>
            <w:r w:rsidRPr="00B37B92">
              <w:rPr>
                <w:sz w:val="22"/>
                <w:szCs w:val="22"/>
              </w:rPr>
              <w:t>Relapse</w:t>
            </w:r>
            <w:r w:rsidRPr="00B37B92">
              <w:rPr>
                <w:sz w:val="22"/>
                <w:szCs w:val="22"/>
                <w:vertAlign w:val="superscript"/>
              </w:rPr>
              <w:t>a</w:t>
            </w:r>
            <w:proofErr w:type="spellEnd"/>
          </w:p>
        </w:tc>
        <w:tc>
          <w:tcPr>
            <w:tcW w:w="2860" w:type="dxa"/>
            <w:shd w:val="clear" w:color="auto" w:fill="auto"/>
          </w:tcPr>
          <w:p w:rsidR="00587202" w:rsidRPr="00B37B92" w:rsidRDefault="00587202" w:rsidP="00B37B92">
            <w:pPr>
              <w:pStyle w:val="Table-Text"/>
              <w:jc w:val="center"/>
              <w:rPr>
                <w:sz w:val="22"/>
                <w:szCs w:val="22"/>
              </w:rPr>
            </w:pPr>
            <w:r w:rsidRPr="00B37B92">
              <w:rPr>
                <w:sz w:val="22"/>
                <w:szCs w:val="22"/>
              </w:rPr>
              <w:t>20% (42/205)</w:t>
            </w:r>
          </w:p>
        </w:tc>
        <w:tc>
          <w:tcPr>
            <w:tcW w:w="3402" w:type="dxa"/>
            <w:tcBorders>
              <w:right w:val="nil"/>
            </w:tcBorders>
            <w:shd w:val="clear" w:color="auto" w:fill="auto"/>
          </w:tcPr>
          <w:p w:rsidR="00587202" w:rsidRPr="00B37B92" w:rsidRDefault="00587202" w:rsidP="00B37B92">
            <w:pPr>
              <w:pStyle w:val="Table-Text"/>
              <w:jc w:val="center"/>
              <w:rPr>
                <w:sz w:val="22"/>
                <w:szCs w:val="22"/>
              </w:rPr>
            </w:pPr>
            <w:r w:rsidRPr="00B37B92">
              <w:rPr>
                <w:sz w:val="22"/>
                <w:szCs w:val="22"/>
              </w:rPr>
              <w:t>0/0</w:t>
            </w:r>
          </w:p>
        </w:tc>
      </w:tr>
      <w:tr w:rsidR="00587202" w:rsidRPr="00C6485B" w:rsidTr="00B37B92">
        <w:trPr>
          <w:trHeight w:val="90"/>
        </w:trPr>
        <w:tc>
          <w:tcPr>
            <w:tcW w:w="3060" w:type="dxa"/>
            <w:tcBorders>
              <w:left w:val="nil"/>
              <w:bottom w:val="single" w:sz="12" w:space="0" w:color="auto"/>
            </w:tcBorders>
            <w:shd w:val="clear" w:color="auto" w:fill="auto"/>
          </w:tcPr>
          <w:p w:rsidR="00587202" w:rsidRPr="00B37B92" w:rsidRDefault="00587202" w:rsidP="00B37B92">
            <w:pPr>
              <w:pStyle w:val="Table-Text"/>
              <w:ind w:firstLine="270"/>
              <w:rPr>
                <w:sz w:val="22"/>
                <w:szCs w:val="22"/>
              </w:rPr>
            </w:pPr>
            <w:proofErr w:type="spellStart"/>
            <w:r w:rsidRPr="00B37B92">
              <w:rPr>
                <w:sz w:val="22"/>
                <w:szCs w:val="22"/>
              </w:rPr>
              <w:t>Other</w:t>
            </w:r>
            <w:r w:rsidRPr="00B37B92">
              <w:rPr>
                <w:sz w:val="22"/>
                <w:szCs w:val="22"/>
                <w:vertAlign w:val="superscript"/>
              </w:rPr>
              <w:t>b</w:t>
            </w:r>
            <w:proofErr w:type="spellEnd"/>
            <w:r w:rsidRPr="00B37B92">
              <w:rPr>
                <w:sz w:val="22"/>
                <w:szCs w:val="22"/>
              </w:rPr>
              <w:t xml:space="preserve"> </w:t>
            </w:r>
          </w:p>
        </w:tc>
        <w:tc>
          <w:tcPr>
            <w:tcW w:w="2860" w:type="dxa"/>
            <w:tcBorders>
              <w:bottom w:val="single" w:sz="12" w:space="0" w:color="auto"/>
            </w:tcBorders>
            <w:shd w:val="clear" w:color="auto" w:fill="auto"/>
          </w:tcPr>
          <w:p w:rsidR="00587202" w:rsidRPr="00B37B92" w:rsidRDefault="00587202" w:rsidP="00B37B92">
            <w:pPr>
              <w:pStyle w:val="Table-Text"/>
              <w:jc w:val="center"/>
              <w:rPr>
                <w:sz w:val="22"/>
                <w:szCs w:val="22"/>
              </w:rPr>
            </w:pPr>
            <w:r w:rsidRPr="00B37B92">
              <w:rPr>
                <w:sz w:val="22"/>
                <w:szCs w:val="22"/>
              </w:rPr>
              <w:t>2% (4/207)</w:t>
            </w:r>
          </w:p>
        </w:tc>
        <w:tc>
          <w:tcPr>
            <w:tcW w:w="3402" w:type="dxa"/>
            <w:tcBorders>
              <w:bottom w:val="single" w:sz="12" w:space="0" w:color="auto"/>
              <w:right w:val="nil"/>
            </w:tcBorders>
            <w:shd w:val="clear" w:color="auto" w:fill="auto"/>
          </w:tcPr>
          <w:p w:rsidR="00587202" w:rsidRPr="00B37B92" w:rsidRDefault="00587202" w:rsidP="00B37B92">
            <w:pPr>
              <w:pStyle w:val="Table-Text"/>
              <w:jc w:val="center"/>
              <w:rPr>
                <w:sz w:val="22"/>
                <w:szCs w:val="22"/>
              </w:rPr>
            </w:pPr>
            <w:r w:rsidRPr="00B37B92">
              <w:rPr>
                <w:sz w:val="22"/>
                <w:szCs w:val="22"/>
              </w:rPr>
              <w:t>3% (2/71)</w:t>
            </w:r>
          </w:p>
        </w:tc>
      </w:tr>
    </w:tbl>
    <w:p w:rsidR="00587202" w:rsidRPr="003B6101" w:rsidRDefault="00587202" w:rsidP="00BF711F">
      <w:pPr>
        <w:pStyle w:val="Table-Footer"/>
        <w:rPr>
          <w:rFonts w:ascii="Times New Roman" w:hAnsi="Times New Roman"/>
        </w:rPr>
      </w:pPr>
      <w:r w:rsidRPr="003B6101">
        <w:rPr>
          <w:rFonts w:ascii="Times New Roman" w:hAnsi="Times New Roman"/>
        </w:rPr>
        <w:t>a.</w:t>
      </w:r>
      <w:r w:rsidRPr="003B6101">
        <w:rPr>
          <w:rFonts w:ascii="Times New Roman" w:hAnsi="Times New Roman"/>
        </w:rPr>
        <w:tab/>
        <w:t xml:space="preserve">The denominator for relapse is the number of </w:t>
      </w:r>
      <w:r w:rsidR="0003230B">
        <w:rPr>
          <w:rFonts w:ascii="Times New Roman" w:hAnsi="Times New Roman"/>
        </w:rPr>
        <w:t>patients</w:t>
      </w:r>
      <w:r w:rsidR="0003230B" w:rsidRPr="003B6101">
        <w:rPr>
          <w:rFonts w:ascii="Times New Roman" w:hAnsi="Times New Roman"/>
        </w:rPr>
        <w:t xml:space="preserve"> </w:t>
      </w:r>
      <w:r w:rsidRPr="003B6101">
        <w:rPr>
          <w:rFonts w:ascii="Times New Roman" w:hAnsi="Times New Roman"/>
        </w:rPr>
        <w:t>with HCV RNA &lt;LLOQ at their last on-treatment assessment.</w:t>
      </w:r>
    </w:p>
    <w:p w:rsidR="00587202" w:rsidRPr="003B6101" w:rsidRDefault="00587202" w:rsidP="00BF711F">
      <w:pPr>
        <w:pStyle w:val="Table-Footer"/>
        <w:rPr>
          <w:rFonts w:ascii="Times New Roman" w:hAnsi="Times New Roman"/>
        </w:rPr>
      </w:pPr>
      <w:r w:rsidRPr="003B6101">
        <w:rPr>
          <w:rFonts w:ascii="Times New Roman" w:hAnsi="Times New Roman"/>
        </w:rPr>
        <w:t>b.</w:t>
      </w:r>
      <w:r w:rsidRPr="003B6101">
        <w:rPr>
          <w:rFonts w:ascii="Times New Roman" w:hAnsi="Times New Roman"/>
        </w:rPr>
        <w:tab/>
        <w:t>Other includes</w:t>
      </w:r>
      <w:r w:rsidR="00A96A40">
        <w:rPr>
          <w:rFonts w:ascii="Times New Roman" w:hAnsi="Times New Roman"/>
        </w:rPr>
        <w:t xml:space="preserve"> </w:t>
      </w:r>
      <w:r w:rsidR="0003230B">
        <w:rPr>
          <w:rFonts w:ascii="Times New Roman" w:hAnsi="Times New Roman"/>
        </w:rPr>
        <w:t>patients</w:t>
      </w:r>
      <w:r w:rsidRPr="003B6101">
        <w:rPr>
          <w:rFonts w:ascii="Times New Roman" w:hAnsi="Times New Roman"/>
        </w:rPr>
        <w:t xml:space="preserve"> who did not achieve SVR and did not meet </w:t>
      </w:r>
      <w:proofErr w:type="spellStart"/>
      <w:r w:rsidRPr="003B6101">
        <w:rPr>
          <w:rFonts w:ascii="Times New Roman" w:hAnsi="Times New Roman"/>
        </w:rPr>
        <w:t>virologic</w:t>
      </w:r>
      <w:proofErr w:type="spellEnd"/>
      <w:r w:rsidRPr="003B6101">
        <w:rPr>
          <w:rFonts w:ascii="Times New Roman" w:hAnsi="Times New Roman"/>
        </w:rPr>
        <w:t xml:space="preserve"> failure criteria (e.g., lost to follow-up).</w:t>
      </w:r>
    </w:p>
    <w:p w:rsidR="00587202" w:rsidRDefault="00587202" w:rsidP="00BF711F">
      <w:pPr>
        <w:pStyle w:val="Table-Footer"/>
      </w:pPr>
    </w:p>
    <w:p w:rsidR="00587202" w:rsidRDefault="00587202" w:rsidP="00BF711F">
      <w:pPr>
        <w:pStyle w:val="Text10"/>
      </w:pPr>
      <w:r w:rsidRPr="000E3195">
        <w:t>The SVR12 rate in</w:t>
      </w:r>
      <w:r>
        <w:t xml:space="preserve"> the</w:t>
      </w:r>
      <w:r w:rsidR="00F21204">
        <w:t xml:space="preserve"> </w:t>
      </w:r>
      <w:r w:rsidR="00D21279">
        <w:t>SOVALDI</w:t>
      </w:r>
      <w:r w:rsidRPr="000E3195">
        <w:t xml:space="preserve"> + ribavirin treatment group was statistically significant when compared to placebo (p &lt; 0.001).</w:t>
      </w:r>
    </w:p>
    <w:p w:rsidR="00587202" w:rsidRDefault="00587202" w:rsidP="00BF711F">
      <w:pPr>
        <w:pStyle w:val="Text10"/>
      </w:pPr>
      <w:r w:rsidRPr="000E3195">
        <w:t xml:space="preserve">Table </w:t>
      </w:r>
      <w:r w:rsidR="00525003">
        <w:t>6</w:t>
      </w:r>
      <w:r w:rsidRPr="000E3195">
        <w:t xml:space="preserve"> presents the subgroup analysis by genotype for cirrhosis and interferon classification.</w:t>
      </w:r>
    </w:p>
    <w:p w:rsidR="00392CAB" w:rsidRDefault="00392CAB">
      <w:pPr>
        <w:rPr>
          <w:rFonts w:ascii="Times New Roman" w:hAnsi="Times New Roman"/>
          <w:b/>
          <w:sz w:val="22"/>
          <w:lang w:val="en-US"/>
        </w:rPr>
      </w:pPr>
      <w:bookmarkStart w:id="13" w:name="_Toc352326841"/>
      <w:r>
        <w:rPr>
          <w:rFonts w:ascii="Times New Roman" w:hAnsi="Times New Roman"/>
        </w:rPr>
        <w:br w:type="page"/>
      </w:r>
    </w:p>
    <w:p w:rsidR="00587202" w:rsidRPr="00587202" w:rsidRDefault="00587202" w:rsidP="00BF711F">
      <w:pPr>
        <w:pStyle w:val="Caption"/>
        <w:rPr>
          <w:rFonts w:ascii="Times New Roman" w:hAnsi="Times New Roman"/>
        </w:rPr>
      </w:pPr>
      <w:r w:rsidRPr="00587202">
        <w:rPr>
          <w:rFonts w:ascii="Times New Roman" w:hAnsi="Times New Roman"/>
        </w:rPr>
        <w:lastRenderedPageBreak/>
        <w:t xml:space="preserve">Table </w:t>
      </w:r>
      <w:r w:rsidR="00525003">
        <w:rPr>
          <w:rFonts w:ascii="Times New Roman" w:hAnsi="Times New Roman"/>
        </w:rPr>
        <w:t>6</w:t>
      </w:r>
      <w:r w:rsidRPr="00587202">
        <w:rPr>
          <w:rFonts w:ascii="Times New Roman" w:hAnsi="Times New Roman"/>
        </w:rPr>
        <w:tab/>
      </w:r>
      <w:r w:rsidRPr="005F389A">
        <w:rPr>
          <w:rFonts w:ascii="Times New Roman" w:hAnsi="Times New Roman"/>
        </w:rPr>
        <w:t>SVR</w:t>
      </w:r>
      <w:r w:rsidRPr="00587202">
        <w:rPr>
          <w:rFonts w:ascii="Times New Roman" w:hAnsi="Times New Roman"/>
        </w:rPr>
        <w:t xml:space="preserve"> Rates for Selected Subgroups by Genotype in POSITRON</w:t>
      </w:r>
      <w:bookmarkEnd w:id="1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103"/>
        <w:gridCol w:w="3969"/>
      </w:tblGrid>
      <w:tr w:rsidR="00587202" w:rsidRPr="00A44541" w:rsidTr="00B37B92">
        <w:trPr>
          <w:trHeight w:val="314"/>
        </w:trPr>
        <w:tc>
          <w:tcPr>
            <w:tcW w:w="2250" w:type="dxa"/>
            <w:vMerge w:val="restart"/>
            <w:tcBorders>
              <w:top w:val="single" w:sz="12" w:space="0" w:color="auto"/>
              <w:left w:val="nil"/>
            </w:tcBorders>
            <w:shd w:val="clear" w:color="auto" w:fill="auto"/>
          </w:tcPr>
          <w:p w:rsidR="00587202" w:rsidRPr="00B37B92" w:rsidRDefault="00587202" w:rsidP="00BF711F">
            <w:pPr>
              <w:pStyle w:val="Table-Text"/>
              <w:rPr>
                <w:sz w:val="22"/>
                <w:szCs w:val="22"/>
              </w:rPr>
            </w:pPr>
          </w:p>
        </w:tc>
        <w:tc>
          <w:tcPr>
            <w:tcW w:w="7072" w:type="dxa"/>
            <w:gridSpan w:val="2"/>
            <w:tcBorders>
              <w:top w:val="single" w:sz="12" w:space="0" w:color="auto"/>
              <w:bottom w:val="single" w:sz="12" w:space="0" w:color="auto"/>
              <w:right w:val="nil"/>
            </w:tcBorders>
            <w:shd w:val="clear" w:color="auto" w:fill="auto"/>
            <w:vAlign w:val="center"/>
          </w:tcPr>
          <w:p w:rsidR="00587202" w:rsidRPr="00B37B92" w:rsidRDefault="00D21279" w:rsidP="00B37B92">
            <w:pPr>
              <w:pStyle w:val="Table-Text"/>
              <w:jc w:val="center"/>
              <w:rPr>
                <w:b/>
                <w:sz w:val="22"/>
                <w:szCs w:val="22"/>
              </w:rPr>
            </w:pPr>
            <w:r w:rsidRPr="00B37B92">
              <w:rPr>
                <w:b/>
                <w:sz w:val="22"/>
                <w:szCs w:val="22"/>
              </w:rPr>
              <w:t>SOVALDI</w:t>
            </w:r>
            <w:r w:rsidR="00587202" w:rsidRPr="00B37B92">
              <w:rPr>
                <w:b/>
                <w:sz w:val="22"/>
                <w:szCs w:val="22"/>
              </w:rPr>
              <w:t xml:space="preserve"> + RBV 12 weeks</w:t>
            </w:r>
          </w:p>
        </w:tc>
      </w:tr>
      <w:tr w:rsidR="00587202" w:rsidRPr="00A44541" w:rsidTr="00B37B92">
        <w:tc>
          <w:tcPr>
            <w:tcW w:w="2250" w:type="dxa"/>
            <w:vMerge/>
            <w:tcBorders>
              <w:left w:val="nil"/>
              <w:bottom w:val="single" w:sz="4" w:space="0" w:color="auto"/>
            </w:tcBorders>
            <w:shd w:val="clear" w:color="auto" w:fill="auto"/>
          </w:tcPr>
          <w:p w:rsidR="00587202" w:rsidRPr="00B37B92" w:rsidRDefault="00587202" w:rsidP="00BF711F">
            <w:pPr>
              <w:pStyle w:val="Table-Text"/>
              <w:rPr>
                <w:sz w:val="22"/>
                <w:szCs w:val="22"/>
              </w:rPr>
            </w:pPr>
          </w:p>
        </w:tc>
        <w:tc>
          <w:tcPr>
            <w:tcW w:w="3103" w:type="dxa"/>
            <w:tcBorders>
              <w:top w:val="single" w:sz="12" w:space="0" w:color="auto"/>
              <w:bottom w:val="single" w:sz="4" w:space="0" w:color="auto"/>
            </w:tcBorders>
            <w:shd w:val="clear" w:color="auto" w:fill="auto"/>
          </w:tcPr>
          <w:p w:rsidR="00587202" w:rsidRPr="00B37B92" w:rsidRDefault="00587202" w:rsidP="00B37B92">
            <w:pPr>
              <w:pStyle w:val="Table-Text"/>
              <w:jc w:val="center"/>
              <w:rPr>
                <w:b/>
                <w:sz w:val="22"/>
                <w:szCs w:val="22"/>
              </w:rPr>
            </w:pPr>
            <w:r w:rsidRPr="00B37B92">
              <w:rPr>
                <w:b/>
                <w:sz w:val="22"/>
                <w:szCs w:val="22"/>
              </w:rPr>
              <w:t>Genotype 2</w:t>
            </w:r>
          </w:p>
        </w:tc>
        <w:tc>
          <w:tcPr>
            <w:tcW w:w="3969" w:type="dxa"/>
            <w:tcBorders>
              <w:top w:val="single" w:sz="12" w:space="0" w:color="auto"/>
              <w:bottom w:val="single" w:sz="4" w:space="0" w:color="auto"/>
              <w:right w:val="nil"/>
            </w:tcBorders>
            <w:shd w:val="clear" w:color="auto" w:fill="auto"/>
          </w:tcPr>
          <w:p w:rsidR="00587202" w:rsidRPr="00B37B92" w:rsidRDefault="00587202" w:rsidP="00B37B92">
            <w:pPr>
              <w:pStyle w:val="Table-Text"/>
              <w:jc w:val="center"/>
              <w:rPr>
                <w:b/>
                <w:sz w:val="22"/>
                <w:szCs w:val="22"/>
              </w:rPr>
            </w:pPr>
            <w:r w:rsidRPr="00B37B92">
              <w:rPr>
                <w:b/>
                <w:sz w:val="22"/>
                <w:szCs w:val="22"/>
              </w:rPr>
              <w:t>Genotype 3</w:t>
            </w:r>
          </w:p>
        </w:tc>
      </w:tr>
      <w:tr w:rsidR="00587202" w:rsidRPr="00A44541" w:rsidTr="00B37B92">
        <w:tc>
          <w:tcPr>
            <w:tcW w:w="2250" w:type="dxa"/>
            <w:tcBorders>
              <w:top w:val="single" w:sz="4" w:space="0" w:color="auto"/>
              <w:left w:val="nil"/>
              <w:bottom w:val="single" w:sz="12" w:space="0" w:color="auto"/>
            </w:tcBorders>
            <w:shd w:val="clear" w:color="auto" w:fill="auto"/>
          </w:tcPr>
          <w:p w:rsidR="00587202" w:rsidRPr="00B37B92" w:rsidRDefault="00587202" w:rsidP="00BF711F">
            <w:pPr>
              <w:pStyle w:val="Table-Text"/>
              <w:rPr>
                <w:sz w:val="22"/>
                <w:szCs w:val="22"/>
              </w:rPr>
            </w:pPr>
          </w:p>
        </w:tc>
        <w:tc>
          <w:tcPr>
            <w:tcW w:w="3103" w:type="dxa"/>
            <w:tcBorders>
              <w:top w:val="single" w:sz="4" w:space="0" w:color="auto"/>
              <w:bottom w:val="single" w:sz="12" w:space="0" w:color="auto"/>
            </w:tcBorders>
            <w:shd w:val="clear" w:color="auto" w:fill="auto"/>
          </w:tcPr>
          <w:p w:rsidR="00587202" w:rsidRPr="00B37B92" w:rsidRDefault="00587202" w:rsidP="00B37B92">
            <w:pPr>
              <w:pStyle w:val="Table-Text"/>
              <w:jc w:val="center"/>
              <w:rPr>
                <w:sz w:val="22"/>
                <w:szCs w:val="22"/>
              </w:rPr>
            </w:pPr>
            <w:r w:rsidRPr="00B37B92">
              <w:rPr>
                <w:sz w:val="22"/>
                <w:szCs w:val="22"/>
              </w:rPr>
              <w:t>N=109</w:t>
            </w:r>
          </w:p>
        </w:tc>
        <w:tc>
          <w:tcPr>
            <w:tcW w:w="3969" w:type="dxa"/>
            <w:tcBorders>
              <w:top w:val="single" w:sz="4" w:space="0" w:color="auto"/>
              <w:bottom w:val="single" w:sz="12" w:space="0" w:color="auto"/>
              <w:right w:val="nil"/>
            </w:tcBorders>
            <w:shd w:val="clear" w:color="auto" w:fill="auto"/>
          </w:tcPr>
          <w:p w:rsidR="00587202" w:rsidRPr="00B37B92" w:rsidRDefault="00587202" w:rsidP="00B37B92">
            <w:pPr>
              <w:pStyle w:val="Table-Text"/>
              <w:jc w:val="center"/>
              <w:rPr>
                <w:sz w:val="22"/>
                <w:szCs w:val="22"/>
              </w:rPr>
            </w:pPr>
            <w:r w:rsidRPr="00B37B92">
              <w:rPr>
                <w:sz w:val="22"/>
                <w:szCs w:val="22"/>
              </w:rPr>
              <w:t>N=98</w:t>
            </w:r>
          </w:p>
        </w:tc>
      </w:tr>
      <w:tr w:rsidR="00587202" w:rsidRPr="00A44541" w:rsidTr="00B37B92">
        <w:tc>
          <w:tcPr>
            <w:tcW w:w="2250" w:type="dxa"/>
            <w:tcBorders>
              <w:top w:val="single" w:sz="12" w:space="0" w:color="auto"/>
              <w:left w:val="nil"/>
            </w:tcBorders>
            <w:shd w:val="clear" w:color="auto" w:fill="auto"/>
          </w:tcPr>
          <w:p w:rsidR="00587202" w:rsidRPr="00B37B92" w:rsidRDefault="00587202" w:rsidP="00BF711F">
            <w:pPr>
              <w:pStyle w:val="Table-Text"/>
              <w:rPr>
                <w:sz w:val="22"/>
                <w:szCs w:val="22"/>
              </w:rPr>
            </w:pPr>
            <w:r w:rsidRPr="00B37B92">
              <w:rPr>
                <w:sz w:val="22"/>
                <w:szCs w:val="22"/>
              </w:rPr>
              <w:t>Cirrhosis</w:t>
            </w:r>
          </w:p>
        </w:tc>
        <w:tc>
          <w:tcPr>
            <w:tcW w:w="3103" w:type="dxa"/>
            <w:tcBorders>
              <w:top w:val="single" w:sz="12" w:space="0" w:color="auto"/>
            </w:tcBorders>
            <w:shd w:val="clear" w:color="auto" w:fill="auto"/>
          </w:tcPr>
          <w:p w:rsidR="00587202" w:rsidRPr="00B37B92" w:rsidRDefault="00587202" w:rsidP="00BF711F">
            <w:pPr>
              <w:pStyle w:val="Table-Text"/>
              <w:rPr>
                <w:sz w:val="22"/>
                <w:szCs w:val="22"/>
              </w:rPr>
            </w:pPr>
          </w:p>
        </w:tc>
        <w:tc>
          <w:tcPr>
            <w:tcW w:w="3969" w:type="dxa"/>
            <w:tcBorders>
              <w:top w:val="single" w:sz="12" w:space="0" w:color="auto"/>
              <w:right w:val="nil"/>
            </w:tcBorders>
            <w:shd w:val="clear" w:color="auto" w:fill="auto"/>
          </w:tcPr>
          <w:p w:rsidR="00587202" w:rsidRPr="00B37B92" w:rsidRDefault="00587202" w:rsidP="00BF711F">
            <w:pPr>
              <w:pStyle w:val="Table-Text"/>
              <w:rPr>
                <w:sz w:val="22"/>
                <w:szCs w:val="22"/>
              </w:rPr>
            </w:pPr>
          </w:p>
        </w:tc>
      </w:tr>
      <w:tr w:rsidR="00587202" w:rsidRPr="00A44541" w:rsidTr="00B37B92">
        <w:tc>
          <w:tcPr>
            <w:tcW w:w="2250" w:type="dxa"/>
            <w:tcBorders>
              <w:left w:val="nil"/>
            </w:tcBorders>
            <w:shd w:val="clear" w:color="auto" w:fill="auto"/>
          </w:tcPr>
          <w:p w:rsidR="00587202" w:rsidRPr="00B37B92" w:rsidRDefault="00587202" w:rsidP="00B37B92">
            <w:pPr>
              <w:pStyle w:val="Table-Text"/>
              <w:ind w:firstLine="180"/>
              <w:rPr>
                <w:sz w:val="22"/>
                <w:szCs w:val="22"/>
              </w:rPr>
            </w:pPr>
            <w:r w:rsidRPr="00B37B92">
              <w:rPr>
                <w:sz w:val="22"/>
                <w:szCs w:val="22"/>
              </w:rPr>
              <w:t>No</w:t>
            </w:r>
          </w:p>
        </w:tc>
        <w:tc>
          <w:tcPr>
            <w:tcW w:w="3103" w:type="dxa"/>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92% (85/92)</w:t>
            </w:r>
          </w:p>
        </w:tc>
        <w:tc>
          <w:tcPr>
            <w:tcW w:w="3969" w:type="dxa"/>
            <w:tcBorders>
              <w:right w:val="nil"/>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68% (57/84)</w:t>
            </w:r>
          </w:p>
        </w:tc>
      </w:tr>
      <w:tr w:rsidR="00587202" w:rsidRPr="00A44541" w:rsidTr="00B37B92">
        <w:tc>
          <w:tcPr>
            <w:tcW w:w="2250" w:type="dxa"/>
            <w:tcBorders>
              <w:left w:val="nil"/>
            </w:tcBorders>
            <w:shd w:val="clear" w:color="auto" w:fill="auto"/>
          </w:tcPr>
          <w:p w:rsidR="00587202" w:rsidRPr="00B37B92" w:rsidRDefault="00587202" w:rsidP="00B37B92">
            <w:pPr>
              <w:pStyle w:val="Table-Text"/>
              <w:ind w:firstLine="180"/>
              <w:rPr>
                <w:sz w:val="22"/>
                <w:szCs w:val="22"/>
              </w:rPr>
            </w:pPr>
            <w:r w:rsidRPr="00B37B92">
              <w:rPr>
                <w:sz w:val="22"/>
                <w:szCs w:val="22"/>
              </w:rPr>
              <w:t>Yes</w:t>
            </w:r>
          </w:p>
        </w:tc>
        <w:tc>
          <w:tcPr>
            <w:tcW w:w="3103" w:type="dxa"/>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94% (16/17)</w:t>
            </w:r>
          </w:p>
        </w:tc>
        <w:tc>
          <w:tcPr>
            <w:tcW w:w="3969" w:type="dxa"/>
            <w:tcBorders>
              <w:right w:val="nil"/>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21% (3/14)</w:t>
            </w:r>
          </w:p>
        </w:tc>
      </w:tr>
      <w:tr w:rsidR="00587202" w:rsidRPr="00A44541" w:rsidTr="00B37B92">
        <w:tc>
          <w:tcPr>
            <w:tcW w:w="2250" w:type="dxa"/>
            <w:tcBorders>
              <w:left w:val="nil"/>
            </w:tcBorders>
            <w:shd w:val="clear" w:color="auto" w:fill="auto"/>
          </w:tcPr>
          <w:p w:rsidR="00587202" w:rsidRPr="00B37B92" w:rsidRDefault="00587202" w:rsidP="00BF711F">
            <w:pPr>
              <w:pStyle w:val="Table-Text"/>
              <w:rPr>
                <w:sz w:val="22"/>
                <w:szCs w:val="22"/>
              </w:rPr>
            </w:pPr>
            <w:r w:rsidRPr="00B37B92">
              <w:rPr>
                <w:sz w:val="22"/>
                <w:szCs w:val="22"/>
              </w:rPr>
              <w:t>Interferon Classification</w:t>
            </w:r>
          </w:p>
        </w:tc>
        <w:tc>
          <w:tcPr>
            <w:tcW w:w="3103" w:type="dxa"/>
            <w:shd w:val="clear" w:color="auto" w:fill="auto"/>
          </w:tcPr>
          <w:p w:rsidR="00587202" w:rsidRPr="00B37B92" w:rsidRDefault="00587202" w:rsidP="00B37B92">
            <w:pPr>
              <w:pStyle w:val="Table-Text"/>
              <w:jc w:val="center"/>
              <w:rPr>
                <w:color w:val="000000"/>
                <w:sz w:val="22"/>
                <w:szCs w:val="22"/>
              </w:rPr>
            </w:pPr>
          </w:p>
        </w:tc>
        <w:tc>
          <w:tcPr>
            <w:tcW w:w="3969" w:type="dxa"/>
            <w:tcBorders>
              <w:right w:val="nil"/>
            </w:tcBorders>
            <w:shd w:val="clear" w:color="auto" w:fill="auto"/>
          </w:tcPr>
          <w:p w:rsidR="00587202" w:rsidRPr="00B37B92" w:rsidRDefault="00587202" w:rsidP="00B37B92">
            <w:pPr>
              <w:pStyle w:val="Table-Text"/>
              <w:jc w:val="center"/>
              <w:rPr>
                <w:color w:val="000000"/>
                <w:sz w:val="22"/>
                <w:szCs w:val="22"/>
              </w:rPr>
            </w:pPr>
          </w:p>
        </w:tc>
      </w:tr>
      <w:tr w:rsidR="00587202" w:rsidRPr="00A44541" w:rsidTr="00B37B92">
        <w:tc>
          <w:tcPr>
            <w:tcW w:w="2250" w:type="dxa"/>
            <w:tcBorders>
              <w:left w:val="nil"/>
            </w:tcBorders>
            <w:shd w:val="clear" w:color="auto" w:fill="auto"/>
          </w:tcPr>
          <w:p w:rsidR="00587202" w:rsidRPr="00B37B92" w:rsidRDefault="00587202" w:rsidP="00B37B92">
            <w:pPr>
              <w:pStyle w:val="Table-Text"/>
              <w:ind w:firstLine="180"/>
              <w:rPr>
                <w:sz w:val="22"/>
                <w:szCs w:val="22"/>
              </w:rPr>
            </w:pPr>
            <w:r w:rsidRPr="00B37B92">
              <w:rPr>
                <w:sz w:val="22"/>
                <w:szCs w:val="22"/>
              </w:rPr>
              <w:t>Ineligible</w:t>
            </w:r>
          </w:p>
        </w:tc>
        <w:tc>
          <w:tcPr>
            <w:tcW w:w="3103" w:type="dxa"/>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88% (36/41)</w:t>
            </w:r>
          </w:p>
        </w:tc>
        <w:tc>
          <w:tcPr>
            <w:tcW w:w="3969" w:type="dxa"/>
            <w:tcBorders>
              <w:right w:val="nil"/>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70% (33/47)</w:t>
            </w:r>
          </w:p>
        </w:tc>
      </w:tr>
      <w:tr w:rsidR="00587202" w:rsidRPr="00A44541" w:rsidTr="00B37B92">
        <w:tc>
          <w:tcPr>
            <w:tcW w:w="2250" w:type="dxa"/>
            <w:tcBorders>
              <w:left w:val="nil"/>
            </w:tcBorders>
            <w:shd w:val="clear" w:color="auto" w:fill="auto"/>
          </w:tcPr>
          <w:p w:rsidR="00587202" w:rsidRPr="00B37B92" w:rsidRDefault="00587202" w:rsidP="00B37B92">
            <w:pPr>
              <w:pStyle w:val="Table-Text"/>
              <w:ind w:firstLine="180"/>
              <w:rPr>
                <w:sz w:val="22"/>
                <w:szCs w:val="22"/>
              </w:rPr>
            </w:pPr>
            <w:r w:rsidRPr="00B37B92">
              <w:rPr>
                <w:sz w:val="22"/>
                <w:szCs w:val="22"/>
              </w:rPr>
              <w:t>Intolerant</w:t>
            </w:r>
          </w:p>
        </w:tc>
        <w:tc>
          <w:tcPr>
            <w:tcW w:w="3103" w:type="dxa"/>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100% (9/9)</w:t>
            </w:r>
          </w:p>
        </w:tc>
        <w:tc>
          <w:tcPr>
            <w:tcW w:w="3969" w:type="dxa"/>
            <w:tcBorders>
              <w:right w:val="nil"/>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50% (4/8)</w:t>
            </w:r>
          </w:p>
        </w:tc>
      </w:tr>
      <w:tr w:rsidR="00587202" w:rsidRPr="00A44541" w:rsidTr="00B37B92">
        <w:tc>
          <w:tcPr>
            <w:tcW w:w="2250" w:type="dxa"/>
            <w:tcBorders>
              <w:left w:val="nil"/>
              <w:bottom w:val="single" w:sz="12" w:space="0" w:color="auto"/>
            </w:tcBorders>
            <w:shd w:val="clear" w:color="auto" w:fill="auto"/>
          </w:tcPr>
          <w:p w:rsidR="00587202" w:rsidRPr="00B37B92" w:rsidRDefault="00587202" w:rsidP="00B37B92">
            <w:pPr>
              <w:pStyle w:val="Table-Text"/>
              <w:ind w:firstLine="180"/>
              <w:rPr>
                <w:sz w:val="22"/>
                <w:szCs w:val="22"/>
              </w:rPr>
            </w:pPr>
            <w:r w:rsidRPr="00B37B92">
              <w:rPr>
                <w:sz w:val="22"/>
                <w:szCs w:val="22"/>
              </w:rPr>
              <w:t>Unwilling</w:t>
            </w:r>
          </w:p>
        </w:tc>
        <w:tc>
          <w:tcPr>
            <w:tcW w:w="3103" w:type="dxa"/>
            <w:tcBorders>
              <w:bottom w:val="single" w:sz="12" w:space="0" w:color="auto"/>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95% (56/59)</w:t>
            </w:r>
          </w:p>
        </w:tc>
        <w:tc>
          <w:tcPr>
            <w:tcW w:w="3969" w:type="dxa"/>
            <w:tcBorders>
              <w:bottom w:val="single" w:sz="12" w:space="0" w:color="auto"/>
              <w:right w:val="nil"/>
            </w:tcBorders>
            <w:shd w:val="clear" w:color="auto" w:fill="auto"/>
          </w:tcPr>
          <w:p w:rsidR="00587202" w:rsidRPr="00B37B92" w:rsidRDefault="00587202" w:rsidP="00B37B92">
            <w:pPr>
              <w:pStyle w:val="Table-Text"/>
              <w:jc w:val="center"/>
              <w:rPr>
                <w:color w:val="000000"/>
                <w:sz w:val="22"/>
                <w:szCs w:val="22"/>
              </w:rPr>
            </w:pPr>
            <w:r w:rsidRPr="00B37B92">
              <w:rPr>
                <w:color w:val="000000"/>
                <w:sz w:val="22"/>
                <w:szCs w:val="22"/>
              </w:rPr>
              <w:t>53% (23/43)</w:t>
            </w:r>
          </w:p>
        </w:tc>
      </w:tr>
    </w:tbl>
    <w:p w:rsidR="00FB586B" w:rsidRDefault="00FB586B" w:rsidP="00BF711F">
      <w:pPr>
        <w:jc w:val="both"/>
        <w:outlineLvl w:val="0"/>
        <w:rPr>
          <w:rFonts w:ascii="Times New Roman" w:hAnsi="Times New Roman"/>
          <w:noProof/>
          <w:sz w:val="24"/>
          <w:szCs w:val="24"/>
          <w:lang w:val="en-US"/>
        </w:rPr>
      </w:pPr>
    </w:p>
    <w:p w:rsidR="008E24AD" w:rsidRDefault="008E24AD" w:rsidP="00BF711F">
      <w:pPr>
        <w:jc w:val="both"/>
        <w:outlineLvl w:val="0"/>
        <w:rPr>
          <w:rFonts w:ascii="Times New Roman" w:hAnsi="Times New Roman"/>
          <w:b/>
          <w:noProof/>
          <w:sz w:val="24"/>
          <w:szCs w:val="24"/>
        </w:rPr>
      </w:pPr>
    </w:p>
    <w:p w:rsidR="008E24AD" w:rsidRDefault="008E24AD" w:rsidP="00BF711F">
      <w:pPr>
        <w:pStyle w:val="Subheading2"/>
      </w:pPr>
      <w:r w:rsidRPr="000E3195">
        <w:t>Previously Treated Adults ─ FUSION (Study 108)</w:t>
      </w:r>
    </w:p>
    <w:p w:rsidR="008E24AD" w:rsidRDefault="008E24AD" w:rsidP="00BF711F">
      <w:pPr>
        <w:pStyle w:val="Text10"/>
      </w:pPr>
      <w:r w:rsidRPr="000E3195">
        <w:t xml:space="preserve">FUSION was a </w:t>
      </w:r>
      <w:proofErr w:type="spellStart"/>
      <w:r w:rsidRPr="000E3195">
        <w:t>randomi</w:t>
      </w:r>
      <w:r w:rsidR="0003230B">
        <w:t>s</w:t>
      </w:r>
      <w:r w:rsidRPr="000E3195">
        <w:t>ed</w:t>
      </w:r>
      <w:proofErr w:type="spellEnd"/>
      <w:r w:rsidRPr="000E3195">
        <w:t>, double-blinded trial that evaluated 12</w:t>
      </w:r>
      <w:r w:rsidR="00F21204">
        <w:t xml:space="preserve"> or 16 weeks of treatment with </w:t>
      </w:r>
      <w:r w:rsidR="00D21279">
        <w:t>SOVALDI</w:t>
      </w:r>
      <w:r w:rsidRPr="000E3195">
        <w:t xml:space="preserve"> and ribavirin in </w:t>
      </w:r>
      <w:r w:rsidR="0003230B">
        <w:t>patients</w:t>
      </w:r>
      <w:r w:rsidR="0003230B" w:rsidRPr="000E3195">
        <w:t xml:space="preserve"> </w:t>
      </w:r>
      <w:r w:rsidRPr="000E3195">
        <w:t>who did not achieve SVR with prior interferon-based treatment (</w:t>
      </w:r>
      <w:proofErr w:type="spellStart"/>
      <w:r w:rsidRPr="000E3195">
        <w:t>relapsers</w:t>
      </w:r>
      <w:proofErr w:type="spellEnd"/>
      <w:r w:rsidRPr="000E3195">
        <w:t xml:space="preserve"> and </w:t>
      </w:r>
      <w:proofErr w:type="spellStart"/>
      <w:r w:rsidRPr="000E3195">
        <w:t>nonresponders</w:t>
      </w:r>
      <w:proofErr w:type="spellEnd"/>
      <w:r w:rsidRPr="000E3195">
        <w:t xml:space="preserve">). </w:t>
      </w:r>
      <w:r w:rsidR="0003230B">
        <w:t>Patients</w:t>
      </w:r>
      <w:r w:rsidR="0003230B" w:rsidRPr="000E3195">
        <w:t xml:space="preserve"> </w:t>
      </w:r>
      <w:r w:rsidRPr="000E3195">
        <w:t xml:space="preserve">were </w:t>
      </w:r>
      <w:proofErr w:type="spellStart"/>
      <w:r w:rsidRPr="000E3195">
        <w:t>randomi</w:t>
      </w:r>
      <w:r w:rsidR="0003230B">
        <w:t>s</w:t>
      </w:r>
      <w:r w:rsidRPr="000E3195">
        <w:t>ed</w:t>
      </w:r>
      <w:proofErr w:type="spellEnd"/>
      <w:r w:rsidRPr="000E3195">
        <w:t xml:space="preserve"> in a 1:1 ratio and stratified by cirrhosis (presence vs absence) and HCV genotype (2 vs 3).</w:t>
      </w:r>
    </w:p>
    <w:p w:rsidR="008E24AD" w:rsidRDefault="008E24AD" w:rsidP="00BF711F">
      <w:pPr>
        <w:pStyle w:val="Text10"/>
      </w:pPr>
      <w:r w:rsidRPr="000E3195">
        <w:t xml:space="preserve">Treated </w:t>
      </w:r>
      <w:r w:rsidR="0003230B">
        <w:t>patients</w:t>
      </w:r>
      <w:r w:rsidR="0003230B" w:rsidRPr="000E3195">
        <w:t xml:space="preserve"> </w:t>
      </w:r>
      <w:r w:rsidRPr="000E3195">
        <w:t xml:space="preserve">(N=201) had a median age of 56 years (range: 24 to 70); 70% of the </w:t>
      </w:r>
      <w:r w:rsidR="00930B3B">
        <w:t>patients</w:t>
      </w:r>
      <w:r w:rsidR="00930B3B" w:rsidRPr="000E3195">
        <w:t xml:space="preserve"> </w:t>
      </w:r>
      <w:r w:rsidRPr="000E3195">
        <w:t>were male; 87% were White; 3% were Black; 9% were Hispanic or Latino</w:t>
      </w:r>
      <w:r w:rsidR="00EA74D6">
        <w:t>, 12% were Asian</w:t>
      </w:r>
      <w:r w:rsidRPr="000E3195">
        <w:t>; mean body mass index was 29 kg/m</w:t>
      </w:r>
      <w:r w:rsidRPr="00930B3B">
        <w:rPr>
          <w:vertAlign w:val="superscript"/>
        </w:rPr>
        <w:t>2</w:t>
      </w:r>
      <w:r w:rsidRPr="000E3195">
        <w:t xml:space="preserve"> (range: 19 to 44 kg/m</w:t>
      </w:r>
      <w:r w:rsidRPr="00930B3B">
        <w:rPr>
          <w:vertAlign w:val="superscript"/>
        </w:rPr>
        <w:t>2</w:t>
      </w:r>
      <w:r w:rsidRPr="000E3195">
        <w:t>); 73% had baseline HCV RNA levels greater than 6</w:t>
      </w:r>
      <w:r>
        <w:t xml:space="preserve"> </w:t>
      </w:r>
      <w:r w:rsidRPr="000E3195">
        <w:t>log</w:t>
      </w:r>
      <w:r w:rsidRPr="000E3195">
        <w:rPr>
          <w:vertAlign w:val="subscript"/>
        </w:rPr>
        <w:t>10</w:t>
      </w:r>
      <w:r w:rsidRPr="000E3195">
        <w:t xml:space="preserve"> IU per mL; 34% had cirrhosis; 63% had HCV genotype 3; 75% were prior </w:t>
      </w:r>
      <w:proofErr w:type="spellStart"/>
      <w:r w:rsidRPr="000E3195">
        <w:t>relapser</w:t>
      </w:r>
      <w:r>
        <w:t>s</w:t>
      </w:r>
      <w:proofErr w:type="spellEnd"/>
      <w:r w:rsidRPr="000E3195">
        <w:t>.</w:t>
      </w:r>
      <w:r w:rsidR="0036677F">
        <w:t xml:space="preserve">  3% were on opiate replacement therapy.  </w:t>
      </w:r>
      <w:r w:rsidRPr="000E3195">
        <w:t xml:space="preserve"> </w:t>
      </w:r>
      <w:proofErr w:type="gramStart"/>
      <w:r w:rsidRPr="000E3195">
        <w:t xml:space="preserve">Table </w:t>
      </w:r>
      <w:r w:rsidR="00525003">
        <w:t>7</w:t>
      </w:r>
      <w:r w:rsidRPr="000E3195">
        <w:t xml:space="preserve"> presents the response rates for the </w:t>
      </w:r>
      <w:r w:rsidR="005E426F">
        <w:t xml:space="preserve">treatment groups of </w:t>
      </w:r>
      <w:r w:rsidR="00D21279">
        <w:t>SOVALDI</w:t>
      </w:r>
      <w:r w:rsidRPr="000E3195">
        <w:t xml:space="preserve"> + ribavirin for 12 weeks and 16 weeks.</w:t>
      </w:r>
      <w:proofErr w:type="gramEnd"/>
    </w:p>
    <w:p w:rsidR="008E24AD" w:rsidRPr="008E24AD" w:rsidRDefault="008E24AD" w:rsidP="00BF711F">
      <w:pPr>
        <w:pStyle w:val="Caption"/>
        <w:rPr>
          <w:rFonts w:ascii="Times New Roman" w:hAnsi="Times New Roman"/>
        </w:rPr>
      </w:pPr>
      <w:bookmarkStart w:id="14" w:name="_Toc352326842"/>
      <w:r w:rsidRPr="008E24AD">
        <w:rPr>
          <w:rFonts w:ascii="Times New Roman" w:hAnsi="Times New Roman"/>
        </w:rPr>
        <w:t xml:space="preserve">Table </w:t>
      </w:r>
      <w:r w:rsidR="00525003">
        <w:rPr>
          <w:rFonts w:ascii="Times New Roman" w:hAnsi="Times New Roman"/>
        </w:rPr>
        <w:t>7</w:t>
      </w:r>
      <w:r w:rsidRPr="008E24AD">
        <w:rPr>
          <w:rFonts w:ascii="Times New Roman" w:hAnsi="Times New Roman"/>
        </w:rPr>
        <w:tab/>
        <w:t>Response Rates in Study FUSION</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2770"/>
        <w:gridCol w:w="3260"/>
      </w:tblGrid>
      <w:tr w:rsidR="008E24AD" w:rsidRPr="00B37B92" w:rsidTr="00B37B92">
        <w:trPr>
          <w:trHeight w:val="584"/>
        </w:trPr>
        <w:tc>
          <w:tcPr>
            <w:tcW w:w="3042" w:type="dxa"/>
            <w:tcBorders>
              <w:top w:val="single" w:sz="12" w:space="0" w:color="auto"/>
              <w:left w:val="nil"/>
              <w:bottom w:val="single" w:sz="4" w:space="0" w:color="auto"/>
            </w:tcBorders>
            <w:shd w:val="clear" w:color="auto" w:fill="auto"/>
          </w:tcPr>
          <w:p w:rsidR="008E24AD" w:rsidRPr="00B37B92" w:rsidRDefault="008E24AD" w:rsidP="00BF711F">
            <w:pPr>
              <w:pStyle w:val="Table-Text"/>
              <w:rPr>
                <w:sz w:val="22"/>
                <w:szCs w:val="22"/>
              </w:rPr>
            </w:pPr>
          </w:p>
        </w:tc>
        <w:tc>
          <w:tcPr>
            <w:tcW w:w="2770" w:type="dxa"/>
            <w:tcBorders>
              <w:top w:val="single" w:sz="12" w:space="0" w:color="auto"/>
              <w:bottom w:val="single" w:sz="4" w:space="0" w:color="auto"/>
            </w:tcBorders>
            <w:shd w:val="clear" w:color="auto" w:fill="auto"/>
          </w:tcPr>
          <w:p w:rsidR="008E24AD" w:rsidRPr="00B37B92" w:rsidRDefault="00D21279" w:rsidP="00B37B92">
            <w:pPr>
              <w:pStyle w:val="Table-Text"/>
              <w:jc w:val="center"/>
              <w:rPr>
                <w:b/>
                <w:sz w:val="22"/>
                <w:szCs w:val="22"/>
                <w:lang w:val="pt-BR"/>
              </w:rPr>
            </w:pPr>
            <w:r w:rsidRPr="00B37B92">
              <w:rPr>
                <w:b/>
                <w:sz w:val="22"/>
                <w:szCs w:val="22"/>
                <w:lang w:val="pt-BR"/>
              </w:rPr>
              <w:t>SOVALDI</w:t>
            </w:r>
            <w:r w:rsidR="008E24AD" w:rsidRPr="00B37B92">
              <w:rPr>
                <w:b/>
                <w:sz w:val="22"/>
                <w:szCs w:val="22"/>
                <w:lang w:val="pt-BR"/>
              </w:rPr>
              <w:t>+  RBV</w:t>
            </w:r>
          </w:p>
          <w:p w:rsidR="008E24AD" w:rsidRPr="00B37B92" w:rsidRDefault="008E24AD" w:rsidP="00B37B92">
            <w:pPr>
              <w:pStyle w:val="Table-Text"/>
              <w:jc w:val="center"/>
              <w:rPr>
                <w:b/>
                <w:sz w:val="22"/>
                <w:szCs w:val="22"/>
                <w:lang w:val="pt-BR"/>
              </w:rPr>
            </w:pPr>
            <w:r w:rsidRPr="00B37B92">
              <w:rPr>
                <w:b/>
                <w:sz w:val="22"/>
                <w:szCs w:val="22"/>
                <w:lang w:val="pt-BR"/>
              </w:rPr>
              <w:t>12 weeks</w:t>
            </w:r>
          </w:p>
        </w:tc>
        <w:tc>
          <w:tcPr>
            <w:tcW w:w="3260" w:type="dxa"/>
            <w:tcBorders>
              <w:top w:val="single" w:sz="12" w:space="0" w:color="auto"/>
              <w:bottom w:val="single" w:sz="4" w:space="0" w:color="auto"/>
              <w:right w:val="nil"/>
            </w:tcBorders>
            <w:shd w:val="clear" w:color="auto" w:fill="auto"/>
          </w:tcPr>
          <w:p w:rsidR="008E24AD" w:rsidRPr="00B37B92" w:rsidRDefault="00D21279" w:rsidP="00B37B92">
            <w:pPr>
              <w:pStyle w:val="Table-Text"/>
              <w:jc w:val="center"/>
              <w:rPr>
                <w:b/>
                <w:sz w:val="22"/>
                <w:szCs w:val="22"/>
                <w:lang w:val="pt-BR"/>
              </w:rPr>
            </w:pPr>
            <w:r w:rsidRPr="00B37B92">
              <w:rPr>
                <w:b/>
                <w:sz w:val="22"/>
                <w:szCs w:val="22"/>
                <w:lang w:val="pt-BR"/>
              </w:rPr>
              <w:t>SOVALDI</w:t>
            </w:r>
            <w:r w:rsidR="008E24AD" w:rsidRPr="00B37B92">
              <w:rPr>
                <w:b/>
                <w:sz w:val="22"/>
                <w:szCs w:val="22"/>
                <w:lang w:val="pt-BR"/>
              </w:rPr>
              <w:t xml:space="preserve"> + RBV</w:t>
            </w:r>
          </w:p>
          <w:p w:rsidR="008E24AD" w:rsidRPr="00B37B92" w:rsidRDefault="008E24AD" w:rsidP="00B37B92">
            <w:pPr>
              <w:pStyle w:val="Table-Text"/>
              <w:jc w:val="center"/>
              <w:rPr>
                <w:b/>
                <w:sz w:val="22"/>
                <w:szCs w:val="22"/>
                <w:lang w:val="pt-BR"/>
              </w:rPr>
            </w:pPr>
            <w:r w:rsidRPr="00B37B92">
              <w:rPr>
                <w:b/>
                <w:sz w:val="22"/>
                <w:szCs w:val="22"/>
                <w:lang w:val="pt-BR"/>
              </w:rPr>
              <w:t>16 weeks</w:t>
            </w:r>
          </w:p>
        </w:tc>
      </w:tr>
      <w:tr w:rsidR="008E24AD" w:rsidRPr="00C6485B" w:rsidTr="00B37B92">
        <w:tc>
          <w:tcPr>
            <w:tcW w:w="3042" w:type="dxa"/>
            <w:tcBorders>
              <w:top w:val="single" w:sz="4" w:space="0" w:color="auto"/>
              <w:left w:val="nil"/>
              <w:bottom w:val="single" w:sz="12" w:space="0" w:color="auto"/>
            </w:tcBorders>
            <w:shd w:val="clear" w:color="auto" w:fill="auto"/>
          </w:tcPr>
          <w:p w:rsidR="008E24AD" w:rsidRPr="00B37B92" w:rsidRDefault="008E24AD" w:rsidP="00BF711F">
            <w:pPr>
              <w:pStyle w:val="Table-Text"/>
              <w:rPr>
                <w:sz w:val="22"/>
                <w:szCs w:val="22"/>
              </w:rPr>
            </w:pPr>
          </w:p>
        </w:tc>
        <w:tc>
          <w:tcPr>
            <w:tcW w:w="2770" w:type="dxa"/>
            <w:tcBorders>
              <w:top w:val="single" w:sz="4" w:space="0" w:color="auto"/>
              <w:bottom w:val="single" w:sz="12" w:space="0" w:color="auto"/>
            </w:tcBorders>
            <w:shd w:val="clear" w:color="auto" w:fill="auto"/>
          </w:tcPr>
          <w:p w:rsidR="008E24AD" w:rsidRPr="00B37B92" w:rsidRDefault="008E24AD" w:rsidP="00B37B92">
            <w:pPr>
              <w:pStyle w:val="Table-Text"/>
              <w:jc w:val="center"/>
              <w:rPr>
                <w:sz w:val="22"/>
                <w:szCs w:val="22"/>
              </w:rPr>
            </w:pPr>
            <w:r w:rsidRPr="00B37B92">
              <w:rPr>
                <w:sz w:val="22"/>
                <w:szCs w:val="22"/>
                <w:lang w:val="pt-BR"/>
              </w:rPr>
              <w:t>N= 100</w:t>
            </w:r>
            <w:r w:rsidRPr="00B37B92">
              <w:rPr>
                <w:sz w:val="22"/>
                <w:szCs w:val="22"/>
                <w:vertAlign w:val="superscript"/>
                <w:lang w:val="pt-BR"/>
              </w:rPr>
              <w:t>a</w:t>
            </w:r>
          </w:p>
        </w:tc>
        <w:tc>
          <w:tcPr>
            <w:tcW w:w="3260" w:type="dxa"/>
            <w:tcBorders>
              <w:top w:val="single" w:sz="4" w:space="0" w:color="auto"/>
              <w:bottom w:val="single" w:sz="12" w:space="0" w:color="auto"/>
              <w:right w:val="nil"/>
            </w:tcBorders>
            <w:shd w:val="clear" w:color="auto" w:fill="auto"/>
          </w:tcPr>
          <w:p w:rsidR="008E24AD" w:rsidRPr="00B37B92" w:rsidRDefault="008E24AD" w:rsidP="00B37B92">
            <w:pPr>
              <w:pStyle w:val="Table-Text"/>
              <w:jc w:val="center"/>
              <w:rPr>
                <w:sz w:val="22"/>
                <w:szCs w:val="22"/>
              </w:rPr>
            </w:pPr>
            <w:r w:rsidRPr="00B37B92">
              <w:rPr>
                <w:sz w:val="22"/>
                <w:szCs w:val="22"/>
                <w:lang w:val="pt-BR"/>
              </w:rPr>
              <w:t>N=95</w:t>
            </w:r>
            <w:r w:rsidRPr="00B37B92">
              <w:rPr>
                <w:sz w:val="22"/>
                <w:szCs w:val="22"/>
                <w:vertAlign w:val="superscript"/>
                <w:lang w:val="pt-BR"/>
              </w:rPr>
              <w:t>a</w:t>
            </w:r>
          </w:p>
        </w:tc>
      </w:tr>
      <w:tr w:rsidR="008E24AD" w:rsidRPr="00C6485B" w:rsidTr="00B37B92">
        <w:tc>
          <w:tcPr>
            <w:tcW w:w="3042" w:type="dxa"/>
            <w:tcBorders>
              <w:top w:val="single" w:sz="12" w:space="0" w:color="auto"/>
              <w:left w:val="nil"/>
            </w:tcBorders>
            <w:shd w:val="clear" w:color="auto" w:fill="auto"/>
          </w:tcPr>
          <w:p w:rsidR="008E24AD" w:rsidRPr="00B37B92" w:rsidRDefault="008E24AD" w:rsidP="00BF711F">
            <w:pPr>
              <w:pStyle w:val="Table-Text"/>
              <w:rPr>
                <w:sz w:val="22"/>
                <w:szCs w:val="22"/>
                <w:highlight w:val="yellow"/>
              </w:rPr>
            </w:pPr>
            <w:r w:rsidRPr="00B37B92">
              <w:rPr>
                <w:sz w:val="22"/>
                <w:szCs w:val="22"/>
              </w:rPr>
              <w:t>Overall SVR</w:t>
            </w:r>
          </w:p>
        </w:tc>
        <w:tc>
          <w:tcPr>
            <w:tcW w:w="2770" w:type="dxa"/>
            <w:tcBorders>
              <w:top w:val="single" w:sz="12" w:space="0" w:color="auto"/>
            </w:tcBorders>
            <w:shd w:val="clear" w:color="auto" w:fill="auto"/>
          </w:tcPr>
          <w:p w:rsidR="008E24AD" w:rsidRPr="00B37B92" w:rsidRDefault="008E24AD" w:rsidP="00B37B92">
            <w:pPr>
              <w:pStyle w:val="Table-Text"/>
              <w:jc w:val="center"/>
              <w:rPr>
                <w:sz w:val="22"/>
                <w:szCs w:val="22"/>
              </w:rPr>
            </w:pPr>
            <w:r w:rsidRPr="00B37B92">
              <w:rPr>
                <w:sz w:val="22"/>
                <w:szCs w:val="22"/>
              </w:rPr>
              <w:t>50% (50/100)</w:t>
            </w:r>
          </w:p>
        </w:tc>
        <w:tc>
          <w:tcPr>
            <w:tcW w:w="3260" w:type="dxa"/>
            <w:tcBorders>
              <w:top w:val="single" w:sz="12" w:space="0" w:color="auto"/>
              <w:right w:val="nil"/>
            </w:tcBorders>
            <w:shd w:val="clear" w:color="auto" w:fill="auto"/>
          </w:tcPr>
          <w:p w:rsidR="008E24AD" w:rsidRPr="00B37B92" w:rsidRDefault="008E24AD" w:rsidP="00B37B92">
            <w:pPr>
              <w:pStyle w:val="Table-Text"/>
              <w:jc w:val="center"/>
              <w:rPr>
                <w:sz w:val="22"/>
                <w:szCs w:val="22"/>
              </w:rPr>
            </w:pPr>
            <w:r w:rsidRPr="00B37B92">
              <w:rPr>
                <w:sz w:val="22"/>
                <w:szCs w:val="22"/>
              </w:rPr>
              <w:t>73% (69/95)</w:t>
            </w:r>
          </w:p>
        </w:tc>
      </w:tr>
      <w:tr w:rsidR="008E24AD" w:rsidRPr="00C6485B" w:rsidTr="00B37B92">
        <w:tc>
          <w:tcPr>
            <w:tcW w:w="3042" w:type="dxa"/>
            <w:tcBorders>
              <w:left w:val="nil"/>
            </w:tcBorders>
            <w:shd w:val="clear" w:color="auto" w:fill="auto"/>
          </w:tcPr>
          <w:p w:rsidR="008E24AD" w:rsidRPr="00B37B92" w:rsidRDefault="008E24AD" w:rsidP="00B37B92">
            <w:pPr>
              <w:pStyle w:val="Table-Text"/>
              <w:ind w:firstLine="270"/>
              <w:rPr>
                <w:sz w:val="22"/>
                <w:szCs w:val="22"/>
              </w:rPr>
            </w:pPr>
            <w:r w:rsidRPr="00B37B92">
              <w:rPr>
                <w:sz w:val="22"/>
                <w:szCs w:val="22"/>
              </w:rPr>
              <w:t>Genotype 2</w:t>
            </w:r>
          </w:p>
        </w:tc>
        <w:tc>
          <w:tcPr>
            <w:tcW w:w="2770" w:type="dxa"/>
            <w:shd w:val="clear" w:color="auto" w:fill="auto"/>
          </w:tcPr>
          <w:p w:rsidR="008E24AD" w:rsidRPr="00B37B92" w:rsidRDefault="008E24AD" w:rsidP="00B37B92">
            <w:pPr>
              <w:pStyle w:val="Table-Text"/>
              <w:jc w:val="center"/>
              <w:rPr>
                <w:sz w:val="22"/>
                <w:szCs w:val="22"/>
              </w:rPr>
            </w:pPr>
            <w:r w:rsidRPr="00B37B92">
              <w:rPr>
                <w:sz w:val="22"/>
                <w:szCs w:val="22"/>
              </w:rPr>
              <w:t>86% (31/36)</w:t>
            </w:r>
          </w:p>
        </w:tc>
        <w:tc>
          <w:tcPr>
            <w:tcW w:w="3260" w:type="dxa"/>
            <w:tcBorders>
              <w:right w:val="nil"/>
            </w:tcBorders>
            <w:shd w:val="clear" w:color="auto" w:fill="auto"/>
          </w:tcPr>
          <w:p w:rsidR="008E24AD" w:rsidRPr="00B37B92" w:rsidRDefault="008E24AD" w:rsidP="00B37B92">
            <w:pPr>
              <w:pStyle w:val="Table-Text"/>
              <w:jc w:val="center"/>
              <w:rPr>
                <w:sz w:val="22"/>
                <w:szCs w:val="22"/>
              </w:rPr>
            </w:pPr>
            <w:r w:rsidRPr="00B37B92">
              <w:rPr>
                <w:sz w:val="22"/>
                <w:szCs w:val="22"/>
              </w:rPr>
              <w:t>94% (30/32)</w:t>
            </w:r>
          </w:p>
        </w:tc>
      </w:tr>
      <w:tr w:rsidR="008E24AD" w:rsidRPr="00C6485B" w:rsidTr="00B37B92">
        <w:tc>
          <w:tcPr>
            <w:tcW w:w="3042" w:type="dxa"/>
            <w:tcBorders>
              <w:left w:val="nil"/>
            </w:tcBorders>
            <w:shd w:val="clear" w:color="auto" w:fill="auto"/>
          </w:tcPr>
          <w:p w:rsidR="008E24AD" w:rsidRPr="00B37B92" w:rsidRDefault="008E24AD" w:rsidP="00B37B92">
            <w:pPr>
              <w:pStyle w:val="Table-Text"/>
              <w:ind w:firstLine="270"/>
              <w:rPr>
                <w:sz w:val="22"/>
                <w:szCs w:val="22"/>
              </w:rPr>
            </w:pPr>
            <w:r w:rsidRPr="00B37B92">
              <w:rPr>
                <w:sz w:val="22"/>
                <w:szCs w:val="22"/>
              </w:rPr>
              <w:t>Genotype 3</w:t>
            </w:r>
          </w:p>
        </w:tc>
        <w:tc>
          <w:tcPr>
            <w:tcW w:w="2770" w:type="dxa"/>
            <w:shd w:val="clear" w:color="auto" w:fill="auto"/>
          </w:tcPr>
          <w:p w:rsidR="008E24AD" w:rsidRPr="00B37B92" w:rsidRDefault="008E24AD" w:rsidP="00B37B92">
            <w:pPr>
              <w:pStyle w:val="Table-Text"/>
              <w:jc w:val="center"/>
              <w:rPr>
                <w:sz w:val="22"/>
                <w:szCs w:val="22"/>
              </w:rPr>
            </w:pPr>
            <w:r w:rsidRPr="00B37B92">
              <w:rPr>
                <w:sz w:val="22"/>
                <w:szCs w:val="22"/>
              </w:rPr>
              <w:t>30% (19/64)</w:t>
            </w:r>
          </w:p>
        </w:tc>
        <w:tc>
          <w:tcPr>
            <w:tcW w:w="3260" w:type="dxa"/>
            <w:tcBorders>
              <w:right w:val="nil"/>
            </w:tcBorders>
            <w:shd w:val="clear" w:color="auto" w:fill="auto"/>
          </w:tcPr>
          <w:p w:rsidR="008E24AD" w:rsidRPr="00B37B92" w:rsidRDefault="008E24AD" w:rsidP="00B37B92">
            <w:pPr>
              <w:pStyle w:val="Table-Text"/>
              <w:jc w:val="center"/>
              <w:rPr>
                <w:sz w:val="22"/>
                <w:szCs w:val="22"/>
              </w:rPr>
            </w:pPr>
            <w:r w:rsidRPr="00B37B92">
              <w:rPr>
                <w:sz w:val="22"/>
                <w:szCs w:val="22"/>
              </w:rPr>
              <w:t>62% (39/63)</w:t>
            </w:r>
          </w:p>
        </w:tc>
      </w:tr>
      <w:tr w:rsidR="008E24AD" w:rsidRPr="00C6485B" w:rsidTr="00B37B92">
        <w:tc>
          <w:tcPr>
            <w:tcW w:w="3042" w:type="dxa"/>
            <w:tcBorders>
              <w:left w:val="nil"/>
            </w:tcBorders>
            <w:shd w:val="clear" w:color="auto" w:fill="auto"/>
          </w:tcPr>
          <w:p w:rsidR="008E24AD" w:rsidRPr="00B37B92" w:rsidRDefault="008E24AD" w:rsidP="00BF711F">
            <w:pPr>
              <w:pStyle w:val="Table-Text"/>
              <w:rPr>
                <w:sz w:val="22"/>
                <w:szCs w:val="22"/>
              </w:rPr>
            </w:pPr>
            <w:r w:rsidRPr="00B37B92">
              <w:rPr>
                <w:sz w:val="22"/>
                <w:szCs w:val="22"/>
              </w:rPr>
              <w:t xml:space="preserve">Outcome for </w:t>
            </w:r>
            <w:r w:rsidR="00FD6E81" w:rsidRPr="00B37B92">
              <w:rPr>
                <w:sz w:val="22"/>
                <w:szCs w:val="22"/>
              </w:rPr>
              <w:t>patients</w:t>
            </w:r>
            <w:r w:rsidRPr="00B37B92">
              <w:rPr>
                <w:sz w:val="22"/>
                <w:szCs w:val="22"/>
              </w:rPr>
              <w:t xml:space="preserve"> without SVR</w:t>
            </w:r>
          </w:p>
        </w:tc>
        <w:tc>
          <w:tcPr>
            <w:tcW w:w="2770" w:type="dxa"/>
            <w:shd w:val="clear" w:color="auto" w:fill="auto"/>
          </w:tcPr>
          <w:p w:rsidR="008E24AD" w:rsidRPr="00B37B92" w:rsidRDefault="008E24AD" w:rsidP="00B37B92">
            <w:pPr>
              <w:pStyle w:val="Table-Text"/>
              <w:jc w:val="center"/>
              <w:rPr>
                <w:sz w:val="22"/>
                <w:szCs w:val="22"/>
              </w:rPr>
            </w:pPr>
          </w:p>
        </w:tc>
        <w:tc>
          <w:tcPr>
            <w:tcW w:w="3260" w:type="dxa"/>
            <w:tcBorders>
              <w:right w:val="nil"/>
            </w:tcBorders>
            <w:shd w:val="clear" w:color="auto" w:fill="auto"/>
          </w:tcPr>
          <w:p w:rsidR="008E24AD" w:rsidRPr="00B37B92" w:rsidRDefault="008E24AD" w:rsidP="00B37B92">
            <w:pPr>
              <w:pStyle w:val="Table-Text"/>
              <w:jc w:val="center"/>
              <w:rPr>
                <w:sz w:val="22"/>
                <w:szCs w:val="22"/>
              </w:rPr>
            </w:pPr>
          </w:p>
        </w:tc>
      </w:tr>
      <w:tr w:rsidR="008E24AD" w:rsidRPr="00C6485B" w:rsidTr="00B37B92">
        <w:tc>
          <w:tcPr>
            <w:tcW w:w="3042" w:type="dxa"/>
            <w:tcBorders>
              <w:left w:val="nil"/>
            </w:tcBorders>
            <w:shd w:val="clear" w:color="auto" w:fill="auto"/>
          </w:tcPr>
          <w:p w:rsidR="008E24AD" w:rsidRPr="00B37B92" w:rsidRDefault="008E24AD" w:rsidP="00B37B92">
            <w:pPr>
              <w:pStyle w:val="Table-Text"/>
              <w:ind w:firstLine="270"/>
              <w:rPr>
                <w:sz w:val="22"/>
                <w:szCs w:val="22"/>
              </w:rPr>
            </w:pPr>
            <w:r w:rsidRPr="00B37B92">
              <w:rPr>
                <w:sz w:val="22"/>
                <w:szCs w:val="22"/>
              </w:rPr>
              <w:t xml:space="preserve">On-treatment </w:t>
            </w:r>
            <w:proofErr w:type="spellStart"/>
            <w:r w:rsidRPr="00B37B92">
              <w:rPr>
                <w:sz w:val="22"/>
                <w:szCs w:val="22"/>
              </w:rPr>
              <w:t>virologic</w:t>
            </w:r>
            <w:proofErr w:type="spellEnd"/>
            <w:r w:rsidRPr="00B37B92">
              <w:rPr>
                <w:sz w:val="22"/>
                <w:szCs w:val="22"/>
              </w:rPr>
              <w:t xml:space="preserve"> failure</w:t>
            </w:r>
          </w:p>
        </w:tc>
        <w:tc>
          <w:tcPr>
            <w:tcW w:w="2770" w:type="dxa"/>
            <w:shd w:val="clear" w:color="auto" w:fill="auto"/>
          </w:tcPr>
          <w:p w:rsidR="008E24AD" w:rsidRPr="00B37B92" w:rsidRDefault="008E24AD" w:rsidP="00B37B92">
            <w:pPr>
              <w:pStyle w:val="Table-Text"/>
              <w:jc w:val="center"/>
              <w:rPr>
                <w:sz w:val="22"/>
                <w:szCs w:val="22"/>
              </w:rPr>
            </w:pPr>
            <w:r w:rsidRPr="00B37B92">
              <w:rPr>
                <w:sz w:val="22"/>
                <w:szCs w:val="22"/>
              </w:rPr>
              <w:t>0/100</w:t>
            </w:r>
          </w:p>
        </w:tc>
        <w:tc>
          <w:tcPr>
            <w:tcW w:w="3260" w:type="dxa"/>
            <w:tcBorders>
              <w:right w:val="nil"/>
            </w:tcBorders>
            <w:shd w:val="clear" w:color="auto" w:fill="auto"/>
          </w:tcPr>
          <w:p w:rsidR="008E24AD" w:rsidRPr="00B37B92" w:rsidRDefault="008E24AD" w:rsidP="00B37B92">
            <w:pPr>
              <w:pStyle w:val="Table-Text"/>
              <w:jc w:val="center"/>
              <w:rPr>
                <w:sz w:val="22"/>
                <w:szCs w:val="22"/>
              </w:rPr>
            </w:pPr>
            <w:r w:rsidRPr="00B37B92">
              <w:rPr>
                <w:sz w:val="22"/>
                <w:szCs w:val="22"/>
              </w:rPr>
              <w:t>0/95</w:t>
            </w:r>
          </w:p>
        </w:tc>
      </w:tr>
      <w:tr w:rsidR="008E24AD" w:rsidRPr="00C6485B" w:rsidTr="00B37B92">
        <w:tc>
          <w:tcPr>
            <w:tcW w:w="3042" w:type="dxa"/>
            <w:tcBorders>
              <w:left w:val="nil"/>
            </w:tcBorders>
            <w:shd w:val="clear" w:color="auto" w:fill="auto"/>
          </w:tcPr>
          <w:p w:rsidR="008E24AD" w:rsidRPr="00B37B92" w:rsidRDefault="008E24AD" w:rsidP="00B37B92">
            <w:pPr>
              <w:pStyle w:val="Table-Text"/>
              <w:ind w:firstLine="270"/>
              <w:rPr>
                <w:sz w:val="22"/>
                <w:szCs w:val="22"/>
              </w:rPr>
            </w:pPr>
            <w:proofErr w:type="spellStart"/>
            <w:r w:rsidRPr="00B37B92">
              <w:rPr>
                <w:sz w:val="22"/>
                <w:szCs w:val="22"/>
              </w:rPr>
              <w:t>Relapse</w:t>
            </w:r>
            <w:r w:rsidRPr="00B37B92">
              <w:rPr>
                <w:sz w:val="22"/>
                <w:szCs w:val="22"/>
                <w:vertAlign w:val="superscript"/>
              </w:rPr>
              <w:t>b</w:t>
            </w:r>
            <w:proofErr w:type="spellEnd"/>
          </w:p>
        </w:tc>
        <w:tc>
          <w:tcPr>
            <w:tcW w:w="2770" w:type="dxa"/>
            <w:shd w:val="clear" w:color="auto" w:fill="auto"/>
          </w:tcPr>
          <w:p w:rsidR="008E24AD" w:rsidRPr="00B37B92" w:rsidRDefault="008E24AD" w:rsidP="00B37B92">
            <w:pPr>
              <w:pStyle w:val="Table-Text"/>
              <w:jc w:val="center"/>
              <w:rPr>
                <w:sz w:val="22"/>
                <w:szCs w:val="22"/>
              </w:rPr>
            </w:pPr>
            <w:r w:rsidRPr="00B37B92">
              <w:rPr>
                <w:sz w:val="22"/>
                <w:szCs w:val="22"/>
              </w:rPr>
              <w:t>47% (47/100)</w:t>
            </w:r>
          </w:p>
        </w:tc>
        <w:tc>
          <w:tcPr>
            <w:tcW w:w="3260" w:type="dxa"/>
            <w:tcBorders>
              <w:right w:val="nil"/>
            </w:tcBorders>
            <w:shd w:val="clear" w:color="auto" w:fill="auto"/>
          </w:tcPr>
          <w:p w:rsidR="008E24AD" w:rsidRPr="00B37B92" w:rsidRDefault="008E24AD" w:rsidP="00B37B92">
            <w:pPr>
              <w:pStyle w:val="Table-Text"/>
              <w:jc w:val="center"/>
              <w:rPr>
                <w:sz w:val="22"/>
                <w:szCs w:val="22"/>
              </w:rPr>
            </w:pPr>
            <w:r w:rsidRPr="00B37B92">
              <w:rPr>
                <w:sz w:val="22"/>
                <w:szCs w:val="22"/>
              </w:rPr>
              <w:t>27% (26/95)</w:t>
            </w:r>
          </w:p>
        </w:tc>
      </w:tr>
      <w:tr w:rsidR="008E24AD" w:rsidRPr="00C6485B" w:rsidTr="00B37B92">
        <w:tc>
          <w:tcPr>
            <w:tcW w:w="3042" w:type="dxa"/>
            <w:tcBorders>
              <w:left w:val="nil"/>
              <w:bottom w:val="single" w:sz="12" w:space="0" w:color="auto"/>
            </w:tcBorders>
            <w:shd w:val="clear" w:color="auto" w:fill="auto"/>
          </w:tcPr>
          <w:p w:rsidR="008E24AD" w:rsidRPr="00B37B92" w:rsidRDefault="008E24AD" w:rsidP="00B37B92">
            <w:pPr>
              <w:pStyle w:val="Table-Text"/>
              <w:ind w:firstLine="270"/>
              <w:rPr>
                <w:sz w:val="22"/>
                <w:szCs w:val="22"/>
              </w:rPr>
            </w:pPr>
            <w:proofErr w:type="spellStart"/>
            <w:r w:rsidRPr="00B37B92">
              <w:rPr>
                <w:sz w:val="22"/>
                <w:szCs w:val="22"/>
              </w:rPr>
              <w:t>Other</w:t>
            </w:r>
            <w:r w:rsidRPr="00B37B92">
              <w:rPr>
                <w:sz w:val="22"/>
                <w:szCs w:val="22"/>
                <w:vertAlign w:val="superscript"/>
              </w:rPr>
              <w:t>c</w:t>
            </w:r>
            <w:proofErr w:type="spellEnd"/>
            <w:r w:rsidRPr="00B37B92">
              <w:rPr>
                <w:sz w:val="22"/>
                <w:szCs w:val="22"/>
              </w:rPr>
              <w:t xml:space="preserve"> </w:t>
            </w:r>
          </w:p>
        </w:tc>
        <w:tc>
          <w:tcPr>
            <w:tcW w:w="2770" w:type="dxa"/>
            <w:tcBorders>
              <w:bottom w:val="single" w:sz="12" w:space="0" w:color="auto"/>
            </w:tcBorders>
            <w:shd w:val="clear" w:color="auto" w:fill="auto"/>
          </w:tcPr>
          <w:p w:rsidR="008E24AD" w:rsidRPr="00B37B92" w:rsidRDefault="008E24AD" w:rsidP="00B37B92">
            <w:pPr>
              <w:pStyle w:val="Table-Text"/>
              <w:jc w:val="center"/>
              <w:rPr>
                <w:sz w:val="22"/>
                <w:szCs w:val="22"/>
              </w:rPr>
            </w:pPr>
            <w:r w:rsidRPr="00B37B92">
              <w:rPr>
                <w:sz w:val="22"/>
                <w:szCs w:val="22"/>
              </w:rPr>
              <w:t>3% (3/100)</w:t>
            </w:r>
          </w:p>
        </w:tc>
        <w:tc>
          <w:tcPr>
            <w:tcW w:w="3260" w:type="dxa"/>
            <w:tcBorders>
              <w:bottom w:val="single" w:sz="12" w:space="0" w:color="auto"/>
              <w:right w:val="nil"/>
            </w:tcBorders>
            <w:shd w:val="clear" w:color="auto" w:fill="auto"/>
          </w:tcPr>
          <w:p w:rsidR="008E24AD" w:rsidRPr="00B37B92" w:rsidRDefault="008E24AD" w:rsidP="00B37B92">
            <w:pPr>
              <w:pStyle w:val="Table-Text"/>
              <w:jc w:val="center"/>
              <w:rPr>
                <w:sz w:val="22"/>
                <w:szCs w:val="22"/>
              </w:rPr>
            </w:pPr>
            <w:r w:rsidRPr="00B37B92">
              <w:rPr>
                <w:sz w:val="22"/>
                <w:szCs w:val="22"/>
              </w:rPr>
              <w:t>0/95</w:t>
            </w:r>
          </w:p>
        </w:tc>
      </w:tr>
    </w:tbl>
    <w:p w:rsidR="008E24AD" w:rsidRPr="0014544B" w:rsidRDefault="008E24AD" w:rsidP="00BF711F">
      <w:pPr>
        <w:pStyle w:val="Table-Footer"/>
        <w:rPr>
          <w:rFonts w:ascii="Times New Roman" w:hAnsi="Times New Roman"/>
          <w:sz w:val="18"/>
          <w:szCs w:val="18"/>
        </w:rPr>
      </w:pPr>
      <w:r w:rsidRPr="0014544B">
        <w:rPr>
          <w:rFonts w:ascii="Times New Roman" w:hAnsi="Times New Roman"/>
          <w:sz w:val="18"/>
          <w:szCs w:val="18"/>
        </w:rPr>
        <w:t>a.</w:t>
      </w:r>
      <w:r w:rsidRPr="0014544B">
        <w:rPr>
          <w:rFonts w:ascii="Times New Roman" w:hAnsi="Times New Roman"/>
          <w:sz w:val="18"/>
          <w:szCs w:val="18"/>
        </w:rPr>
        <w:tab/>
        <w:t xml:space="preserve">Six </w:t>
      </w:r>
      <w:r w:rsidR="00FD6E81">
        <w:rPr>
          <w:rFonts w:ascii="Times New Roman" w:hAnsi="Times New Roman"/>
          <w:sz w:val="18"/>
          <w:szCs w:val="18"/>
        </w:rPr>
        <w:t>patients</w:t>
      </w:r>
      <w:r w:rsidRPr="0014544B">
        <w:rPr>
          <w:rFonts w:ascii="Times New Roman" w:hAnsi="Times New Roman"/>
          <w:sz w:val="18"/>
          <w:szCs w:val="18"/>
        </w:rPr>
        <w:t xml:space="preserve"> were excluded from efficacy analysis because they were classified as HCV genotype 1 by NS5B sequencing assay.</w:t>
      </w:r>
    </w:p>
    <w:p w:rsidR="008E24AD" w:rsidRPr="0014544B" w:rsidRDefault="008E24AD" w:rsidP="00BF711F">
      <w:pPr>
        <w:pStyle w:val="Table-Footer"/>
        <w:rPr>
          <w:rFonts w:ascii="Times New Roman" w:hAnsi="Times New Roman"/>
          <w:sz w:val="18"/>
          <w:szCs w:val="18"/>
        </w:rPr>
      </w:pPr>
      <w:r w:rsidRPr="0014544B">
        <w:rPr>
          <w:rFonts w:ascii="Times New Roman" w:hAnsi="Times New Roman"/>
          <w:sz w:val="18"/>
          <w:szCs w:val="18"/>
        </w:rPr>
        <w:t>b.</w:t>
      </w:r>
      <w:r w:rsidRPr="0014544B">
        <w:rPr>
          <w:rFonts w:ascii="Times New Roman" w:hAnsi="Times New Roman"/>
          <w:sz w:val="18"/>
          <w:szCs w:val="18"/>
        </w:rPr>
        <w:tab/>
        <w:t xml:space="preserve">The denominator for relapse is the number of </w:t>
      </w:r>
      <w:r w:rsidR="00FD6E81">
        <w:rPr>
          <w:rFonts w:ascii="Times New Roman" w:hAnsi="Times New Roman"/>
          <w:sz w:val="18"/>
          <w:szCs w:val="18"/>
        </w:rPr>
        <w:t>patients</w:t>
      </w:r>
      <w:r w:rsidRPr="0014544B">
        <w:rPr>
          <w:rFonts w:ascii="Times New Roman" w:hAnsi="Times New Roman"/>
          <w:sz w:val="18"/>
          <w:szCs w:val="18"/>
        </w:rPr>
        <w:t xml:space="preserve"> with HCV RNA &lt;LLOQ at their last on-treatment assessment.</w:t>
      </w:r>
    </w:p>
    <w:p w:rsidR="008E24AD" w:rsidRPr="0018088F" w:rsidRDefault="008E24AD" w:rsidP="00BF711F">
      <w:pPr>
        <w:pStyle w:val="Table-Footer"/>
        <w:rPr>
          <w:rFonts w:ascii="Times New Roman" w:hAnsi="Times New Roman"/>
        </w:rPr>
      </w:pPr>
      <w:r w:rsidRPr="0014544B">
        <w:rPr>
          <w:rFonts w:ascii="Times New Roman" w:hAnsi="Times New Roman"/>
          <w:sz w:val="18"/>
          <w:szCs w:val="18"/>
        </w:rPr>
        <w:t>c.</w:t>
      </w:r>
      <w:r w:rsidRPr="0014544B">
        <w:rPr>
          <w:rFonts w:ascii="Times New Roman" w:hAnsi="Times New Roman"/>
          <w:sz w:val="18"/>
          <w:szCs w:val="18"/>
        </w:rPr>
        <w:tab/>
        <w:t xml:space="preserve">Other includes </w:t>
      </w:r>
      <w:r w:rsidR="00FD6E81">
        <w:rPr>
          <w:rFonts w:ascii="Times New Roman" w:hAnsi="Times New Roman"/>
          <w:sz w:val="18"/>
          <w:szCs w:val="18"/>
        </w:rPr>
        <w:t>patients</w:t>
      </w:r>
      <w:r w:rsidRPr="0014544B">
        <w:rPr>
          <w:rFonts w:ascii="Times New Roman" w:hAnsi="Times New Roman"/>
          <w:sz w:val="18"/>
          <w:szCs w:val="18"/>
        </w:rPr>
        <w:t xml:space="preserve"> who did not achieve SVR and did not meet </w:t>
      </w:r>
      <w:proofErr w:type="spellStart"/>
      <w:r w:rsidRPr="0014544B">
        <w:rPr>
          <w:rFonts w:ascii="Times New Roman" w:hAnsi="Times New Roman"/>
          <w:sz w:val="18"/>
          <w:szCs w:val="18"/>
        </w:rPr>
        <w:t>virologic</w:t>
      </w:r>
      <w:proofErr w:type="spellEnd"/>
      <w:r w:rsidRPr="0014544B">
        <w:rPr>
          <w:rFonts w:ascii="Times New Roman" w:hAnsi="Times New Roman"/>
          <w:sz w:val="18"/>
          <w:szCs w:val="18"/>
        </w:rPr>
        <w:t xml:space="preserve"> failure criteria (e.g., lost to follow-up</w:t>
      </w:r>
      <w:r w:rsidRPr="0018088F">
        <w:rPr>
          <w:rFonts w:ascii="Times New Roman" w:hAnsi="Times New Roman"/>
        </w:rPr>
        <w:t>)</w:t>
      </w:r>
    </w:p>
    <w:p w:rsidR="008E24AD" w:rsidRDefault="008E24AD" w:rsidP="00BF711F">
      <w:pPr>
        <w:pStyle w:val="Text10"/>
      </w:pPr>
    </w:p>
    <w:p w:rsidR="008E24AD" w:rsidRDefault="00447B6D" w:rsidP="00BF711F">
      <w:pPr>
        <w:pStyle w:val="Text10"/>
      </w:pPr>
      <w:r>
        <w:lastRenderedPageBreak/>
        <w:t xml:space="preserve">Table </w:t>
      </w:r>
      <w:r w:rsidR="00525003">
        <w:t>8</w:t>
      </w:r>
      <w:r w:rsidR="008E24AD" w:rsidRPr="000E3195">
        <w:t xml:space="preserve"> presents the subgroup analysis by genotype for cirrhosis and response to prior HCV treatment.</w:t>
      </w:r>
    </w:p>
    <w:p w:rsidR="008E24AD" w:rsidRPr="008E24AD" w:rsidRDefault="008E24AD" w:rsidP="00BF711F">
      <w:pPr>
        <w:pStyle w:val="Caption"/>
        <w:rPr>
          <w:rFonts w:ascii="Times New Roman" w:hAnsi="Times New Roman"/>
        </w:rPr>
      </w:pPr>
      <w:bookmarkStart w:id="15" w:name="_Toc352326843"/>
      <w:r w:rsidRPr="008E24AD">
        <w:rPr>
          <w:rFonts w:ascii="Times New Roman" w:hAnsi="Times New Roman"/>
        </w:rPr>
        <w:t xml:space="preserve">Table </w:t>
      </w:r>
      <w:r w:rsidR="00525003">
        <w:rPr>
          <w:rFonts w:ascii="Times New Roman" w:hAnsi="Times New Roman"/>
        </w:rPr>
        <w:t>8</w:t>
      </w:r>
      <w:r w:rsidRPr="008E24AD">
        <w:rPr>
          <w:rFonts w:ascii="Times New Roman" w:hAnsi="Times New Roman"/>
        </w:rPr>
        <w:tab/>
        <w:t>SVR Rates for Selected Subgroups by Genotype in Study FUSION</w:t>
      </w:r>
      <w:bookmarkEnd w:id="15"/>
    </w:p>
    <w:tbl>
      <w:tblPr>
        <w:tblW w:w="9146" w:type="dxa"/>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05"/>
        <w:gridCol w:w="1805"/>
        <w:gridCol w:w="1805"/>
        <w:gridCol w:w="1805"/>
      </w:tblGrid>
      <w:tr w:rsidR="008E24AD" w:rsidRPr="00A44541" w:rsidTr="00B37B92">
        <w:trPr>
          <w:trHeight w:val="314"/>
          <w:jc w:val="center"/>
        </w:trPr>
        <w:tc>
          <w:tcPr>
            <w:tcW w:w="1926" w:type="dxa"/>
            <w:tcBorders>
              <w:top w:val="single" w:sz="12" w:space="0" w:color="auto"/>
              <w:left w:val="nil"/>
              <w:bottom w:val="single" w:sz="12" w:space="0" w:color="auto"/>
            </w:tcBorders>
            <w:shd w:val="clear" w:color="auto" w:fill="auto"/>
          </w:tcPr>
          <w:p w:rsidR="008E24AD" w:rsidRPr="00B37B92" w:rsidRDefault="008E24AD" w:rsidP="00BF711F">
            <w:pPr>
              <w:pStyle w:val="Table-Text"/>
              <w:rPr>
                <w:sz w:val="22"/>
                <w:szCs w:val="22"/>
              </w:rPr>
            </w:pPr>
          </w:p>
        </w:tc>
        <w:tc>
          <w:tcPr>
            <w:tcW w:w="3610" w:type="dxa"/>
            <w:gridSpan w:val="2"/>
            <w:tcBorders>
              <w:top w:val="single" w:sz="12" w:space="0" w:color="auto"/>
              <w:bottom w:val="single" w:sz="12" w:space="0" w:color="auto"/>
            </w:tcBorders>
            <w:shd w:val="clear" w:color="auto" w:fill="auto"/>
            <w:vAlign w:val="center"/>
          </w:tcPr>
          <w:p w:rsidR="008E24AD" w:rsidRPr="00B37B92" w:rsidRDefault="008E24AD" w:rsidP="00B37B92">
            <w:pPr>
              <w:pStyle w:val="Table-Text"/>
              <w:jc w:val="center"/>
              <w:rPr>
                <w:b/>
                <w:sz w:val="22"/>
                <w:szCs w:val="22"/>
              </w:rPr>
            </w:pPr>
            <w:r w:rsidRPr="00B37B92">
              <w:rPr>
                <w:b/>
                <w:sz w:val="22"/>
                <w:szCs w:val="22"/>
              </w:rPr>
              <w:t>Genotype 2</w:t>
            </w:r>
          </w:p>
        </w:tc>
        <w:tc>
          <w:tcPr>
            <w:tcW w:w="3610" w:type="dxa"/>
            <w:gridSpan w:val="2"/>
            <w:tcBorders>
              <w:top w:val="single" w:sz="12" w:space="0" w:color="auto"/>
              <w:bottom w:val="single" w:sz="12" w:space="0" w:color="auto"/>
              <w:right w:val="nil"/>
            </w:tcBorders>
            <w:shd w:val="clear" w:color="auto" w:fill="auto"/>
            <w:vAlign w:val="center"/>
          </w:tcPr>
          <w:p w:rsidR="008E24AD" w:rsidRPr="00B37B92" w:rsidRDefault="008E24AD" w:rsidP="00B37B92">
            <w:pPr>
              <w:pStyle w:val="Table-Text"/>
              <w:jc w:val="center"/>
              <w:rPr>
                <w:b/>
                <w:sz w:val="22"/>
                <w:szCs w:val="22"/>
              </w:rPr>
            </w:pPr>
            <w:r w:rsidRPr="00B37B92">
              <w:rPr>
                <w:b/>
                <w:sz w:val="22"/>
                <w:szCs w:val="22"/>
              </w:rPr>
              <w:t>Genotype 3</w:t>
            </w:r>
          </w:p>
        </w:tc>
      </w:tr>
      <w:tr w:rsidR="008E24AD" w:rsidRPr="00A44541" w:rsidTr="00B37B92">
        <w:trPr>
          <w:jc w:val="center"/>
        </w:trPr>
        <w:tc>
          <w:tcPr>
            <w:tcW w:w="1926" w:type="dxa"/>
            <w:tcBorders>
              <w:top w:val="single" w:sz="12" w:space="0" w:color="auto"/>
              <w:left w:val="nil"/>
              <w:bottom w:val="single" w:sz="4" w:space="0" w:color="auto"/>
            </w:tcBorders>
            <w:shd w:val="clear" w:color="auto" w:fill="auto"/>
          </w:tcPr>
          <w:p w:rsidR="008E24AD" w:rsidRPr="00B37B92" w:rsidRDefault="008E24AD" w:rsidP="00BF711F">
            <w:pPr>
              <w:pStyle w:val="Table-Text"/>
              <w:rPr>
                <w:sz w:val="22"/>
                <w:szCs w:val="22"/>
              </w:rPr>
            </w:pPr>
          </w:p>
        </w:tc>
        <w:tc>
          <w:tcPr>
            <w:tcW w:w="1805" w:type="dxa"/>
            <w:tcBorders>
              <w:top w:val="single" w:sz="12" w:space="0" w:color="auto"/>
              <w:bottom w:val="single" w:sz="4" w:space="0" w:color="auto"/>
            </w:tcBorders>
            <w:shd w:val="clear" w:color="auto" w:fill="auto"/>
            <w:vAlign w:val="center"/>
          </w:tcPr>
          <w:p w:rsidR="008E24AD" w:rsidRPr="00B37B92" w:rsidRDefault="00D21279" w:rsidP="00B37B92">
            <w:pPr>
              <w:pStyle w:val="Table-Text"/>
              <w:jc w:val="center"/>
              <w:rPr>
                <w:b/>
                <w:sz w:val="22"/>
                <w:szCs w:val="22"/>
              </w:rPr>
            </w:pPr>
            <w:r w:rsidRPr="00B37B92">
              <w:rPr>
                <w:b/>
                <w:sz w:val="22"/>
                <w:szCs w:val="22"/>
              </w:rPr>
              <w:t>SOVALDI</w:t>
            </w:r>
            <w:r w:rsidR="008E24AD" w:rsidRPr="00B37B92">
              <w:rPr>
                <w:b/>
                <w:sz w:val="22"/>
                <w:szCs w:val="22"/>
              </w:rPr>
              <w:t xml:space="preserve"> + RBV                                12 weeks</w:t>
            </w:r>
          </w:p>
        </w:tc>
        <w:tc>
          <w:tcPr>
            <w:tcW w:w="1805" w:type="dxa"/>
            <w:tcBorders>
              <w:top w:val="single" w:sz="12" w:space="0" w:color="auto"/>
              <w:bottom w:val="single" w:sz="4" w:space="0" w:color="auto"/>
            </w:tcBorders>
            <w:shd w:val="clear" w:color="auto" w:fill="auto"/>
          </w:tcPr>
          <w:p w:rsidR="008E24AD" w:rsidRPr="00B37B92" w:rsidRDefault="00D21279" w:rsidP="00B37B92">
            <w:pPr>
              <w:pStyle w:val="Table-Text"/>
              <w:jc w:val="center"/>
              <w:rPr>
                <w:b/>
                <w:sz w:val="22"/>
                <w:szCs w:val="22"/>
              </w:rPr>
            </w:pPr>
            <w:r w:rsidRPr="00B37B92">
              <w:rPr>
                <w:b/>
                <w:sz w:val="22"/>
                <w:szCs w:val="22"/>
              </w:rPr>
              <w:t>SOVALDI</w:t>
            </w:r>
            <w:r w:rsidR="008E24AD" w:rsidRPr="00B37B92">
              <w:rPr>
                <w:b/>
                <w:sz w:val="22"/>
                <w:szCs w:val="22"/>
              </w:rPr>
              <w:t xml:space="preserve"> + RBV                              16 weeks</w:t>
            </w:r>
          </w:p>
        </w:tc>
        <w:tc>
          <w:tcPr>
            <w:tcW w:w="1805" w:type="dxa"/>
            <w:tcBorders>
              <w:top w:val="single" w:sz="12" w:space="0" w:color="auto"/>
              <w:bottom w:val="single" w:sz="4" w:space="0" w:color="auto"/>
            </w:tcBorders>
            <w:shd w:val="clear" w:color="auto" w:fill="auto"/>
            <w:vAlign w:val="center"/>
          </w:tcPr>
          <w:p w:rsidR="008E24AD" w:rsidRPr="00B37B92" w:rsidRDefault="00D21279" w:rsidP="00B37B92">
            <w:pPr>
              <w:pStyle w:val="Table-Text"/>
              <w:jc w:val="center"/>
              <w:rPr>
                <w:b/>
                <w:sz w:val="22"/>
                <w:szCs w:val="22"/>
              </w:rPr>
            </w:pPr>
            <w:r w:rsidRPr="00B37B92">
              <w:rPr>
                <w:b/>
                <w:sz w:val="22"/>
                <w:szCs w:val="22"/>
              </w:rPr>
              <w:t>SOVALDI</w:t>
            </w:r>
            <w:r w:rsidR="008E24AD" w:rsidRPr="00B37B92">
              <w:rPr>
                <w:b/>
                <w:sz w:val="22"/>
                <w:szCs w:val="22"/>
              </w:rPr>
              <w:t xml:space="preserve"> + RBV                              12 weeks</w:t>
            </w:r>
          </w:p>
        </w:tc>
        <w:tc>
          <w:tcPr>
            <w:tcW w:w="1805" w:type="dxa"/>
            <w:tcBorders>
              <w:top w:val="single" w:sz="12" w:space="0" w:color="auto"/>
              <w:bottom w:val="single" w:sz="4" w:space="0" w:color="auto"/>
              <w:right w:val="nil"/>
            </w:tcBorders>
            <w:shd w:val="clear" w:color="auto" w:fill="auto"/>
          </w:tcPr>
          <w:p w:rsidR="008E24AD" w:rsidRPr="00B37B92" w:rsidRDefault="00D21279" w:rsidP="00B37B92">
            <w:pPr>
              <w:pStyle w:val="Table-Text"/>
              <w:jc w:val="center"/>
              <w:rPr>
                <w:b/>
                <w:sz w:val="22"/>
                <w:szCs w:val="22"/>
              </w:rPr>
            </w:pPr>
            <w:r w:rsidRPr="00B37B92">
              <w:rPr>
                <w:b/>
                <w:sz w:val="22"/>
                <w:szCs w:val="22"/>
              </w:rPr>
              <w:t>SOVALDI</w:t>
            </w:r>
            <w:r w:rsidR="008E24AD" w:rsidRPr="00B37B92">
              <w:rPr>
                <w:b/>
                <w:sz w:val="22"/>
                <w:szCs w:val="22"/>
              </w:rPr>
              <w:t xml:space="preserve"> + RBV                             16 weeks</w:t>
            </w:r>
          </w:p>
        </w:tc>
      </w:tr>
      <w:tr w:rsidR="008E24AD" w:rsidRPr="00A44541" w:rsidTr="00B37B92">
        <w:trPr>
          <w:jc w:val="center"/>
        </w:trPr>
        <w:tc>
          <w:tcPr>
            <w:tcW w:w="1926" w:type="dxa"/>
            <w:tcBorders>
              <w:top w:val="single" w:sz="4" w:space="0" w:color="auto"/>
              <w:left w:val="nil"/>
            </w:tcBorders>
            <w:shd w:val="clear" w:color="auto" w:fill="auto"/>
          </w:tcPr>
          <w:p w:rsidR="008E24AD" w:rsidRPr="00B37B92" w:rsidRDefault="008E24AD" w:rsidP="00B37B92">
            <w:pPr>
              <w:pStyle w:val="Table-Text"/>
              <w:jc w:val="center"/>
              <w:rPr>
                <w:sz w:val="22"/>
                <w:szCs w:val="22"/>
              </w:rPr>
            </w:pPr>
          </w:p>
        </w:tc>
        <w:tc>
          <w:tcPr>
            <w:tcW w:w="1805" w:type="dxa"/>
            <w:tcBorders>
              <w:top w:val="single" w:sz="4" w:space="0" w:color="auto"/>
            </w:tcBorders>
            <w:shd w:val="clear" w:color="auto" w:fill="auto"/>
          </w:tcPr>
          <w:p w:rsidR="008E24AD" w:rsidRPr="00B37B92" w:rsidRDefault="008E24AD" w:rsidP="00B37B92">
            <w:pPr>
              <w:pStyle w:val="Table-Text"/>
              <w:jc w:val="center"/>
              <w:rPr>
                <w:sz w:val="22"/>
                <w:szCs w:val="22"/>
              </w:rPr>
            </w:pPr>
            <w:r w:rsidRPr="00B37B92">
              <w:rPr>
                <w:sz w:val="22"/>
                <w:szCs w:val="22"/>
              </w:rPr>
              <w:t>N=36</w:t>
            </w:r>
          </w:p>
        </w:tc>
        <w:tc>
          <w:tcPr>
            <w:tcW w:w="1805" w:type="dxa"/>
            <w:tcBorders>
              <w:top w:val="single" w:sz="4" w:space="0" w:color="auto"/>
            </w:tcBorders>
            <w:shd w:val="clear" w:color="auto" w:fill="auto"/>
          </w:tcPr>
          <w:p w:rsidR="008E24AD" w:rsidRPr="00B37B92" w:rsidRDefault="008E24AD" w:rsidP="00B37B92">
            <w:pPr>
              <w:pStyle w:val="Table-Text"/>
              <w:jc w:val="center"/>
              <w:rPr>
                <w:sz w:val="22"/>
                <w:szCs w:val="22"/>
              </w:rPr>
            </w:pPr>
            <w:r w:rsidRPr="00B37B92">
              <w:rPr>
                <w:sz w:val="22"/>
                <w:szCs w:val="22"/>
              </w:rPr>
              <w:t>N=32</w:t>
            </w:r>
          </w:p>
        </w:tc>
        <w:tc>
          <w:tcPr>
            <w:tcW w:w="1805" w:type="dxa"/>
            <w:tcBorders>
              <w:top w:val="single" w:sz="4" w:space="0" w:color="auto"/>
            </w:tcBorders>
            <w:shd w:val="clear" w:color="auto" w:fill="auto"/>
          </w:tcPr>
          <w:p w:rsidR="008E24AD" w:rsidRPr="00B37B92" w:rsidRDefault="008E24AD" w:rsidP="00B37B92">
            <w:pPr>
              <w:pStyle w:val="Table-Text"/>
              <w:jc w:val="center"/>
              <w:rPr>
                <w:sz w:val="22"/>
                <w:szCs w:val="22"/>
              </w:rPr>
            </w:pPr>
            <w:r w:rsidRPr="00B37B92">
              <w:rPr>
                <w:sz w:val="22"/>
                <w:szCs w:val="22"/>
              </w:rPr>
              <w:t>N=64</w:t>
            </w:r>
          </w:p>
        </w:tc>
        <w:tc>
          <w:tcPr>
            <w:tcW w:w="1805" w:type="dxa"/>
            <w:tcBorders>
              <w:top w:val="single" w:sz="4" w:space="0" w:color="auto"/>
              <w:right w:val="nil"/>
            </w:tcBorders>
            <w:shd w:val="clear" w:color="auto" w:fill="auto"/>
          </w:tcPr>
          <w:p w:rsidR="008E24AD" w:rsidRPr="00B37B92" w:rsidRDefault="008E24AD" w:rsidP="00B37B92">
            <w:pPr>
              <w:pStyle w:val="Table-Text"/>
              <w:jc w:val="center"/>
              <w:rPr>
                <w:sz w:val="22"/>
                <w:szCs w:val="22"/>
              </w:rPr>
            </w:pPr>
            <w:r w:rsidRPr="00B37B92">
              <w:rPr>
                <w:sz w:val="22"/>
                <w:szCs w:val="22"/>
              </w:rPr>
              <w:t>N=63</w:t>
            </w:r>
          </w:p>
        </w:tc>
      </w:tr>
      <w:tr w:rsidR="008E24AD" w:rsidRPr="00A44541" w:rsidTr="00B37B92">
        <w:trPr>
          <w:jc w:val="center"/>
        </w:trPr>
        <w:tc>
          <w:tcPr>
            <w:tcW w:w="1926" w:type="dxa"/>
            <w:tcBorders>
              <w:left w:val="nil"/>
            </w:tcBorders>
            <w:shd w:val="clear" w:color="auto" w:fill="auto"/>
          </w:tcPr>
          <w:p w:rsidR="008E24AD" w:rsidRPr="00B37B92" w:rsidRDefault="008E24AD" w:rsidP="00BF711F">
            <w:pPr>
              <w:pStyle w:val="Table-Text"/>
              <w:rPr>
                <w:sz w:val="22"/>
                <w:szCs w:val="22"/>
              </w:rPr>
            </w:pPr>
            <w:r w:rsidRPr="00B37B92">
              <w:rPr>
                <w:sz w:val="22"/>
                <w:szCs w:val="22"/>
              </w:rPr>
              <w:t>Cirrhosis</w:t>
            </w:r>
          </w:p>
        </w:tc>
        <w:tc>
          <w:tcPr>
            <w:tcW w:w="1805" w:type="dxa"/>
            <w:shd w:val="clear" w:color="auto" w:fill="auto"/>
          </w:tcPr>
          <w:p w:rsidR="008E24AD" w:rsidRPr="00B37B92" w:rsidRDefault="008E24AD" w:rsidP="00BF711F">
            <w:pPr>
              <w:pStyle w:val="Table-Text"/>
              <w:rPr>
                <w:sz w:val="22"/>
                <w:szCs w:val="22"/>
              </w:rPr>
            </w:pPr>
          </w:p>
        </w:tc>
        <w:tc>
          <w:tcPr>
            <w:tcW w:w="1805" w:type="dxa"/>
            <w:shd w:val="clear" w:color="auto" w:fill="auto"/>
          </w:tcPr>
          <w:p w:rsidR="008E24AD" w:rsidRPr="00B37B92" w:rsidRDefault="008E24AD" w:rsidP="00BF711F">
            <w:pPr>
              <w:pStyle w:val="Table-Text"/>
              <w:rPr>
                <w:sz w:val="22"/>
                <w:szCs w:val="22"/>
              </w:rPr>
            </w:pPr>
          </w:p>
        </w:tc>
        <w:tc>
          <w:tcPr>
            <w:tcW w:w="1805" w:type="dxa"/>
            <w:shd w:val="clear" w:color="auto" w:fill="auto"/>
          </w:tcPr>
          <w:p w:rsidR="008E24AD" w:rsidRPr="00B37B92" w:rsidRDefault="008E24AD" w:rsidP="00BF711F">
            <w:pPr>
              <w:pStyle w:val="Table-Text"/>
              <w:rPr>
                <w:sz w:val="22"/>
                <w:szCs w:val="22"/>
              </w:rPr>
            </w:pPr>
          </w:p>
        </w:tc>
        <w:tc>
          <w:tcPr>
            <w:tcW w:w="1805" w:type="dxa"/>
            <w:tcBorders>
              <w:right w:val="nil"/>
            </w:tcBorders>
            <w:shd w:val="clear" w:color="auto" w:fill="auto"/>
          </w:tcPr>
          <w:p w:rsidR="008E24AD" w:rsidRPr="00B37B92" w:rsidRDefault="008E24AD" w:rsidP="00BF711F">
            <w:pPr>
              <w:pStyle w:val="Table-Text"/>
              <w:rPr>
                <w:sz w:val="22"/>
                <w:szCs w:val="22"/>
              </w:rPr>
            </w:pPr>
          </w:p>
        </w:tc>
      </w:tr>
      <w:tr w:rsidR="008E24AD" w:rsidRPr="00A44541" w:rsidTr="00B37B92">
        <w:trPr>
          <w:jc w:val="center"/>
        </w:trPr>
        <w:tc>
          <w:tcPr>
            <w:tcW w:w="1926" w:type="dxa"/>
            <w:tcBorders>
              <w:left w:val="nil"/>
            </w:tcBorders>
            <w:shd w:val="clear" w:color="auto" w:fill="auto"/>
          </w:tcPr>
          <w:p w:rsidR="008E24AD" w:rsidRPr="00B37B92" w:rsidRDefault="008E24AD" w:rsidP="00B37B92">
            <w:pPr>
              <w:pStyle w:val="Table-Text"/>
              <w:ind w:firstLine="192"/>
              <w:rPr>
                <w:sz w:val="22"/>
                <w:szCs w:val="22"/>
              </w:rPr>
            </w:pPr>
            <w:r w:rsidRPr="00B37B92">
              <w:rPr>
                <w:sz w:val="22"/>
                <w:szCs w:val="22"/>
              </w:rPr>
              <w:t>No</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96% (25/26)</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100% (23/23)</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37% (14/38)</w:t>
            </w:r>
          </w:p>
        </w:tc>
        <w:tc>
          <w:tcPr>
            <w:tcW w:w="1805" w:type="dxa"/>
            <w:tcBorders>
              <w:right w:val="nil"/>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63% (25/40)</w:t>
            </w:r>
          </w:p>
        </w:tc>
      </w:tr>
      <w:tr w:rsidR="008E24AD" w:rsidRPr="00A44541" w:rsidTr="00B37B92">
        <w:trPr>
          <w:jc w:val="center"/>
        </w:trPr>
        <w:tc>
          <w:tcPr>
            <w:tcW w:w="1926" w:type="dxa"/>
            <w:tcBorders>
              <w:left w:val="nil"/>
            </w:tcBorders>
            <w:shd w:val="clear" w:color="auto" w:fill="auto"/>
          </w:tcPr>
          <w:p w:rsidR="008E24AD" w:rsidRPr="00B37B92" w:rsidRDefault="008E24AD" w:rsidP="00B37B92">
            <w:pPr>
              <w:pStyle w:val="Table-Text"/>
              <w:ind w:firstLine="192"/>
              <w:rPr>
                <w:sz w:val="22"/>
                <w:szCs w:val="22"/>
              </w:rPr>
            </w:pPr>
            <w:r w:rsidRPr="00B37B92">
              <w:rPr>
                <w:sz w:val="22"/>
                <w:szCs w:val="22"/>
              </w:rPr>
              <w:t>Yes</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60% (6/10)</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78% (7/9)</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19% (5/26)</w:t>
            </w:r>
          </w:p>
        </w:tc>
        <w:tc>
          <w:tcPr>
            <w:tcW w:w="1805" w:type="dxa"/>
            <w:tcBorders>
              <w:right w:val="nil"/>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61% (14/23)</w:t>
            </w:r>
          </w:p>
        </w:tc>
      </w:tr>
      <w:tr w:rsidR="008E24AD" w:rsidRPr="00A44541" w:rsidTr="00B37B92">
        <w:trPr>
          <w:jc w:val="center"/>
        </w:trPr>
        <w:tc>
          <w:tcPr>
            <w:tcW w:w="1926" w:type="dxa"/>
            <w:tcBorders>
              <w:left w:val="nil"/>
            </w:tcBorders>
            <w:shd w:val="clear" w:color="auto" w:fill="auto"/>
          </w:tcPr>
          <w:p w:rsidR="008E24AD" w:rsidRPr="00B37B92" w:rsidRDefault="008E24AD" w:rsidP="00BF711F">
            <w:pPr>
              <w:pStyle w:val="Table-Text"/>
              <w:rPr>
                <w:sz w:val="22"/>
                <w:szCs w:val="22"/>
              </w:rPr>
            </w:pPr>
            <w:r w:rsidRPr="00B37B92">
              <w:rPr>
                <w:sz w:val="22"/>
                <w:szCs w:val="22"/>
              </w:rPr>
              <w:t>Response to prior HCV treatment</w:t>
            </w:r>
          </w:p>
        </w:tc>
        <w:tc>
          <w:tcPr>
            <w:tcW w:w="1805" w:type="dxa"/>
            <w:shd w:val="clear" w:color="auto" w:fill="auto"/>
          </w:tcPr>
          <w:p w:rsidR="008E24AD" w:rsidRPr="00B37B92" w:rsidRDefault="008E24AD" w:rsidP="00B37B92">
            <w:pPr>
              <w:pStyle w:val="Table-Text"/>
              <w:jc w:val="center"/>
              <w:rPr>
                <w:color w:val="000000"/>
                <w:sz w:val="22"/>
                <w:szCs w:val="22"/>
              </w:rPr>
            </w:pPr>
          </w:p>
        </w:tc>
        <w:tc>
          <w:tcPr>
            <w:tcW w:w="1805" w:type="dxa"/>
            <w:shd w:val="clear" w:color="auto" w:fill="auto"/>
          </w:tcPr>
          <w:p w:rsidR="008E24AD" w:rsidRPr="00B37B92" w:rsidRDefault="008E24AD" w:rsidP="00B37B92">
            <w:pPr>
              <w:pStyle w:val="Table-Text"/>
              <w:jc w:val="center"/>
              <w:rPr>
                <w:color w:val="000000"/>
                <w:sz w:val="22"/>
                <w:szCs w:val="22"/>
              </w:rPr>
            </w:pPr>
          </w:p>
        </w:tc>
        <w:tc>
          <w:tcPr>
            <w:tcW w:w="1805" w:type="dxa"/>
            <w:shd w:val="clear" w:color="auto" w:fill="auto"/>
          </w:tcPr>
          <w:p w:rsidR="008E24AD" w:rsidRPr="00B37B92" w:rsidRDefault="008E24AD" w:rsidP="00B37B92">
            <w:pPr>
              <w:pStyle w:val="Table-Text"/>
              <w:jc w:val="center"/>
              <w:rPr>
                <w:color w:val="000000"/>
                <w:sz w:val="22"/>
                <w:szCs w:val="22"/>
              </w:rPr>
            </w:pPr>
          </w:p>
        </w:tc>
        <w:tc>
          <w:tcPr>
            <w:tcW w:w="1805" w:type="dxa"/>
            <w:tcBorders>
              <w:right w:val="nil"/>
            </w:tcBorders>
            <w:shd w:val="clear" w:color="auto" w:fill="auto"/>
          </w:tcPr>
          <w:p w:rsidR="008E24AD" w:rsidRPr="00B37B92" w:rsidRDefault="008E24AD" w:rsidP="00B37B92">
            <w:pPr>
              <w:pStyle w:val="Table-Text"/>
              <w:jc w:val="center"/>
              <w:rPr>
                <w:color w:val="000000"/>
                <w:sz w:val="22"/>
                <w:szCs w:val="22"/>
              </w:rPr>
            </w:pPr>
          </w:p>
        </w:tc>
      </w:tr>
      <w:tr w:rsidR="008E24AD" w:rsidRPr="00A44541" w:rsidTr="00B37B92">
        <w:trPr>
          <w:jc w:val="center"/>
        </w:trPr>
        <w:tc>
          <w:tcPr>
            <w:tcW w:w="1926" w:type="dxa"/>
            <w:tcBorders>
              <w:left w:val="nil"/>
            </w:tcBorders>
            <w:shd w:val="clear" w:color="auto" w:fill="auto"/>
          </w:tcPr>
          <w:p w:rsidR="008E24AD" w:rsidRPr="00B37B92" w:rsidRDefault="008E24AD" w:rsidP="00B37B92">
            <w:pPr>
              <w:pStyle w:val="Table-Text"/>
              <w:ind w:firstLine="192"/>
              <w:rPr>
                <w:sz w:val="22"/>
                <w:szCs w:val="22"/>
              </w:rPr>
            </w:pPr>
            <w:proofErr w:type="spellStart"/>
            <w:r w:rsidRPr="00B37B92">
              <w:rPr>
                <w:sz w:val="22"/>
                <w:szCs w:val="22"/>
              </w:rPr>
              <w:t>Relapser</w:t>
            </w:r>
            <w:proofErr w:type="spellEnd"/>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92% (24/26)</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96% (23/24)</w:t>
            </w:r>
          </w:p>
        </w:tc>
        <w:tc>
          <w:tcPr>
            <w:tcW w:w="1805" w:type="dxa"/>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31% (15/49)</w:t>
            </w:r>
          </w:p>
        </w:tc>
        <w:tc>
          <w:tcPr>
            <w:tcW w:w="1805" w:type="dxa"/>
            <w:tcBorders>
              <w:right w:val="nil"/>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65% (30/46)</w:t>
            </w:r>
          </w:p>
        </w:tc>
      </w:tr>
      <w:tr w:rsidR="008E24AD" w:rsidRPr="00A44541" w:rsidTr="00B37B92">
        <w:trPr>
          <w:jc w:val="center"/>
        </w:trPr>
        <w:tc>
          <w:tcPr>
            <w:tcW w:w="1926" w:type="dxa"/>
            <w:tcBorders>
              <w:left w:val="nil"/>
              <w:bottom w:val="single" w:sz="12" w:space="0" w:color="auto"/>
            </w:tcBorders>
            <w:shd w:val="clear" w:color="auto" w:fill="auto"/>
          </w:tcPr>
          <w:p w:rsidR="008E24AD" w:rsidRPr="00B37B92" w:rsidRDefault="008E24AD" w:rsidP="00B37B92">
            <w:pPr>
              <w:pStyle w:val="Table-Text"/>
              <w:ind w:firstLine="192"/>
              <w:rPr>
                <w:sz w:val="22"/>
                <w:szCs w:val="22"/>
              </w:rPr>
            </w:pPr>
            <w:proofErr w:type="spellStart"/>
            <w:r w:rsidRPr="00B37B92">
              <w:rPr>
                <w:sz w:val="22"/>
                <w:szCs w:val="22"/>
              </w:rPr>
              <w:t>Nonresponder</w:t>
            </w:r>
            <w:proofErr w:type="spellEnd"/>
          </w:p>
        </w:tc>
        <w:tc>
          <w:tcPr>
            <w:tcW w:w="1805" w:type="dxa"/>
            <w:tcBorders>
              <w:bottom w:val="single" w:sz="12" w:space="0" w:color="auto"/>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70% (7/10)</w:t>
            </w:r>
          </w:p>
        </w:tc>
        <w:tc>
          <w:tcPr>
            <w:tcW w:w="1805" w:type="dxa"/>
            <w:tcBorders>
              <w:bottom w:val="single" w:sz="12" w:space="0" w:color="auto"/>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88% (7/8)</w:t>
            </w:r>
          </w:p>
        </w:tc>
        <w:tc>
          <w:tcPr>
            <w:tcW w:w="1805" w:type="dxa"/>
            <w:tcBorders>
              <w:bottom w:val="single" w:sz="12" w:space="0" w:color="auto"/>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27% (4/15)</w:t>
            </w:r>
          </w:p>
        </w:tc>
        <w:tc>
          <w:tcPr>
            <w:tcW w:w="1805" w:type="dxa"/>
            <w:tcBorders>
              <w:bottom w:val="single" w:sz="12" w:space="0" w:color="auto"/>
              <w:right w:val="nil"/>
            </w:tcBorders>
            <w:shd w:val="clear" w:color="auto" w:fill="auto"/>
          </w:tcPr>
          <w:p w:rsidR="008E24AD" w:rsidRPr="00B37B92" w:rsidRDefault="008E24AD" w:rsidP="00B37B92">
            <w:pPr>
              <w:pStyle w:val="Table-Text"/>
              <w:jc w:val="center"/>
              <w:rPr>
                <w:color w:val="000000"/>
                <w:sz w:val="22"/>
                <w:szCs w:val="22"/>
              </w:rPr>
            </w:pPr>
            <w:r w:rsidRPr="00B37B92">
              <w:rPr>
                <w:color w:val="000000"/>
                <w:sz w:val="22"/>
                <w:szCs w:val="22"/>
              </w:rPr>
              <w:t>53% (9/17)</w:t>
            </w:r>
          </w:p>
        </w:tc>
      </w:tr>
    </w:tbl>
    <w:p w:rsidR="008E24AD" w:rsidRDefault="008E24AD" w:rsidP="00BF711F">
      <w:pPr>
        <w:pStyle w:val="Text10"/>
      </w:pPr>
    </w:p>
    <w:p w:rsidR="009C4A9E" w:rsidRDefault="009C4A9E" w:rsidP="009C4A9E">
      <w:pPr>
        <w:rPr>
          <w:rFonts w:ascii="Times New Roman" w:hAnsi="Times New Roman"/>
          <w:iCs/>
          <w:sz w:val="24"/>
          <w:szCs w:val="24"/>
        </w:rPr>
      </w:pPr>
    </w:p>
    <w:p w:rsidR="009C4A9E" w:rsidRPr="00DA3539" w:rsidRDefault="009C4A9E" w:rsidP="009C4A9E">
      <w:pPr>
        <w:keepNext/>
        <w:keepLines/>
        <w:rPr>
          <w:rFonts w:ascii="Times New Roman" w:hAnsi="Times New Roman"/>
          <w:b/>
          <w:i/>
          <w:iCs/>
          <w:sz w:val="24"/>
          <w:szCs w:val="24"/>
        </w:rPr>
      </w:pPr>
      <w:r w:rsidRPr="00DA3539">
        <w:rPr>
          <w:rFonts w:ascii="Times New Roman" w:hAnsi="Times New Roman"/>
          <w:b/>
          <w:i/>
          <w:iCs/>
          <w:sz w:val="24"/>
          <w:szCs w:val="24"/>
        </w:rPr>
        <w:t>Treatment</w:t>
      </w:r>
      <w:r w:rsidRPr="00DA3539">
        <w:rPr>
          <w:rFonts w:ascii="Times New Roman" w:hAnsi="Times New Roman"/>
          <w:b/>
          <w:i/>
          <w:iCs/>
          <w:sz w:val="24"/>
          <w:szCs w:val="24"/>
        </w:rPr>
        <w:noBreakHyphen/>
        <w:t>naïve and previously treated adults - VALENCE (study 133)</w:t>
      </w:r>
    </w:p>
    <w:p w:rsidR="009C4A9E" w:rsidRPr="00DA3539" w:rsidRDefault="009C4A9E" w:rsidP="009C4A9E">
      <w:pPr>
        <w:keepNext/>
        <w:keepLines/>
        <w:rPr>
          <w:rFonts w:ascii="Times New Roman" w:hAnsi="Times New Roman"/>
          <w:i/>
          <w:iCs/>
          <w:sz w:val="24"/>
          <w:szCs w:val="24"/>
        </w:rPr>
      </w:pPr>
    </w:p>
    <w:p w:rsidR="009C4A9E" w:rsidRPr="00DA3539" w:rsidRDefault="009C4A9E" w:rsidP="009C4A9E">
      <w:pPr>
        <w:rPr>
          <w:rFonts w:ascii="Times New Roman" w:hAnsi="Times New Roman"/>
          <w:iCs/>
          <w:sz w:val="24"/>
          <w:szCs w:val="24"/>
        </w:rPr>
      </w:pPr>
      <w:r w:rsidRPr="00DA3539">
        <w:rPr>
          <w:rFonts w:ascii="Times New Roman" w:hAnsi="Times New Roman"/>
          <w:iCs/>
          <w:sz w:val="24"/>
          <w:szCs w:val="24"/>
        </w:rPr>
        <w:t xml:space="preserve">VALENCE was a Phase 3 study that evaluated </w:t>
      </w:r>
      <w:r>
        <w:rPr>
          <w:rFonts w:ascii="Times New Roman" w:hAnsi="Times New Roman"/>
          <w:iCs/>
          <w:sz w:val="24"/>
          <w:szCs w:val="24"/>
        </w:rPr>
        <w:t>SOVALDI</w:t>
      </w:r>
      <w:r w:rsidRPr="00DA3539">
        <w:rPr>
          <w:rFonts w:ascii="Times New Roman" w:hAnsi="Times New Roman"/>
          <w:iCs/>
          <w:sz w:val="24"/>
          <w:szCs w:val="24"/>
        </w:rPr>
        <w:t xml:space="preserve"> in combination with weight</w:t>
      </w:r>
      <w:r w:rsidRPr="00DA3539">
        <w:rPr>
          <w:rFonts w:ascii="Times New Roman" w:hAnsi="Times New Roman"/>
          <w:iCs/>
          <w:sz w:val="24"/>
          <w:szCs w:val="24"/>
        </w:rPr>
        <w:noBreakHyphen/>
        <w:t>based ribavirin for the treatment of genotype 2 or 3 HCV infection in treatment</w:t>
      </w:r>
      <w:r w:rsidRPr="00DA3539">
        <w:rPr>
          <w:rFonts w:ascii="Times New Roman" w:hAnsi="Times New Roman"/>
          <w:iCs/>
          <w:sz w:val="24"/>
          <w:szCs w:val="24"/>
        </w:rPr>
        <w:noBreakHyphen/>
        <w:t>naïve</w:t>
      </w:r>
      <w:r>
        <w:rPr>
          <w:rFonts w:ascii="Times New Roman" w:hAnsi="Times New Roman"/>
          <w:iCs/>
          <w:sz w:val="24"/>
          <w:szCs w:val="24"/>
        </w:rPr>
        <w:t xml:space="preserve"> patients</w:t>
      </w:r>
      <w:r w:rsidRPr="00DA3539">
        <w:rPr>
          <w:rFonts w:ascii="Times New Roman" w:hAnsi="Times New Roman"/>
          <w:iCs/>
          <w:sz w:val="24"/>
          <w:szCs w:val="24"/>
        </w:rPr>
        <w:t xml:space="preserve"> or </w:t>
      </w:r>
      <w:r>
        <w:rPr>
          <w:rFonts w:ascii="Times New Roman" w:hAnsi="Times New Roman"/>
          <w:bCs/>
          <w:iCs/>
          <w:sz w:val="24"/>
          <w:szCs w:val="24"/>
        </w:rPr>
        <w:t>patients</w:t>
      </w:r>
      <w:r w:rsidRPr="00DA3539">
        <w:rPr>
          <w:rFonts w:ascii="Times New Roman" w:hAnsi="Times New Roman"/>
          <w:iCs/>
          <w:sz w:val="24"/>
          <w:szCs w:val="24"/>
        </w:rPr>
        <w:t xml:space="preserve"> who did not achieve SVR with prior interferon</w:t>
      </w:r>
      <w:r w:rsidRPr="00DA3539">
        <w:rPr>
          <w:rFonts w:ascii="Times New Roman" w:hAnsi="Times New Roman"/>
          <w:iCs/>
          <w:sz w:val="24"/>
          <w:szCs w:val="24"/>
        </w:rPr>
        <w:noBreakHyphen/>
        <w:t xml:space="preserve">based treatment, including </w:t>
      </w:r>
      <w:r>
        <w:rPr>
          <w:rFonts w:ascii="Times New Roman" w:hAnsi="Times New Roman"/>
          <w:bCs/>
          <w:iCs/>
          <w:sz w:val="24"/>
          <w:szCs w:val="24"/>
        </w:rPr>
        <w:t>patients</w:t>
      </w:r>
      <w:r w:rsidRPr="00DA3539">
        <w:rPr>
          <w:rFonts w:ascii="Times New Roman" w:hAnsi="Times New Roman"/>
          <w:iCs/>
          <w:sz w:val="24"/>
          <w:szCs w:val="24"/>
        </w:rPr>
        <w:t xml:space="preserve"> with compensated cirrhosis.  The study was designed as a direct comparison of </w:t>
      </w:r>
      <w:r>
        <w:rPr>
          <w:rFonts w:ascii="Times New Roman" w:hAnsi="Times New Roman"/>
          <w:iCs/>
          <w:sz w:val="24"/>
          <w:szCs w:val="24"/>
        </w:rPr>
        <w:t>SOVALDI</w:t>
      </w:r>
      <w:r w:rsidRPr="00DA3539">
        <w:rPr>
          <w:rFonts w:ascii="Times New Roman" w:hAnsi="Times New Roman"/>
          <w:iCs/>
          <w:sz w:val="24"/>
          <w:szCs w:val="24"/>
        </w:rPr>
        <w:t xml:space="preserve"> and ribavirin </w:t>
      </w:r>
      <w:r w:rsidRPr="00DA3539">
        <w:rPr>
          <w:rFonts w:ascii="Times New Roman" w:hAnsi="Times New Roman"/>
          <w:i/>
          <w:iCs/>
          <w:sz w:val="24"/>
          <w:szCs w:val="24"/>
        </w:rPr>
        <w:t>versus</w:t>
      </w:r>
      <w:r w:rsidRPr="00DA3539">
        <w:rPr>
          <w:rFonts w:ascii="Times New Roman" w:hAnsi="Times New Roman"/>
          <w:iCs/>
          <w:sz w:val="24"/>
          <w:szCs w:val="24"/>
        </w:rPr>
        <w:t xml:space="preserve"> placebo for 12 weeks.  However, based on emerging data, the study was </w:t>
      </w:r>
      <w:proofErr w:type="spellStart"/>
      <w:r w:rsidRPr="00DA3539">
        <w:rPr>
          <w:rFonts w:ascii="Times New Roman" w:hAnsi="Times New Roman"/>
          <w:iCs/>
          <w:sz w:val="24"/>
          <w:szCs w:val="24"/>
        </w:rPr>
        <w:t>unblinded</w:t>
      </w:r>
      <w:proofErr w:type="spellEnd"/>
      <w:r w:rsidRPr="00DA3539">
        <w:rPr>
          <w:rFonts w:ascii="Times New Roman" w:hAnsi="Times New Roman"/>
          <w:iCs/>
          <w:sz w:val="24"/>
          <w:szCs w:val="24"/>
        </w:rPr>
        <w:t xml:space="preserve"> and all HCV genotype 2 </w:t>
      </w:r>
      <w:r>
        <w:rPr>
          <w:rFonts w:ascii="Times New Roman" w:hAnsi="Times New Roman"/>
          <w:bCs/>
          <w:iCs/>
          <w:sz w:val="24"/>
          <w:szCs w:val="24"/>
        </w:rPr>
        <w:t>patients</w:t>
      </w:r>
      <w:r w:rsidRPr="00DA3539">
        <w:rPr>
          <w:rFonts w:ascii="Times New Roman" w:hAnsi="Times New Roman"/>
          <w:iCs/>
          <w:sz w:val="24"/>
          <w:szCs w:val="24"/>
        </w:rPr>
        <w:t xml:space="preserve"> continued to receive </w:t>
      </w:r>
      <w:r>
        <w:rPr>
          <w:rFonts w:ascii="Times New Roman" w:hAnsi="Times New Roman"/>
          <w:iCs/>
          <w:sz w:val="24"/>
          <w:szCs w:val="24"/>
        </w:rPr>
        <w:t>SOVALDI</w:t>
      </w:r>
      <w:r w:rsidRPr="00DA3539">
        <w:rPr>
          <w:rFonts w:ascii="Times New Roman" w:hAnsi="Times New Roman"/>
          <w:iCs/>
          <w:sz w:val="24"/>
          <w:szCs w:val="24"/>
        </w:rPr>
        <w:t xml:space="preserve"> and ribavirin for 12 weeks, whilst treatment for HCV genotype 3 </w:t>
      </w:r>
      <w:r>
        <w:rPr>
          <w:rFonts w:ascii="Times New Roman" w:hAnsi="Times New Roman"/>
          <w:bCs/>
          <w:iCs/>
          <w:sz w:val="24"/>
          <w:szCs w:val="24"/>
        </w:rPr>
        <w:t>patients</w:t>
      </w:r>
      <w:r w:rsidRPr="00DA3539">
        <w:rPr>
          <w:rFonts w:ascii="Times New Roman" w:hAnsi="Times New Roman"/>
          <w:iCs/>
          <w:sz w:val="24"/>
          <w:szCs w:val="24"/>
        </w:rPr>
        <w:t xml:space="preserve"> was extended to 24 weeks.  Eleven HCV genotype 3 </w:t>
      </w:r>
      <w:r>
        <w:rPr>
          <w:rFonts w:ascii="Times New Roman" w:hAnsi="Times New Roman"/>
          <w:bCs/>
          <w:iCs/>
          <w:sz w:val="24"/>
          <w:szCs w:val="24"/>
        </w:rPr>
        <w:t>patients</w:t>
      </w:r>
      <w:r w:rsidRPr="00DA3539">
        <w:rPr>
          <w:rFonts w:ascii="Times New Roman" w:hAnsi="Times New Roman"/>
          <w:iCs/>
          <w:sz w:val="24"/>
          <w:szCs w:val="24"/>
        </w:rPr>
        <w:t xml:space="preserve"> had already completed treatment with </w:t>
      </w:r>
      <w:r>
        <w:rPr>
          <w:rFonts w:ascii="Times New Roman" w:hAnsi="Times New Roman"/>
          <w:iCs/>
          <w:sz w:val="24"/>
          <w:szCs w:val="24"/>
        </w:rPr>
        <w:t>SOVALDI</w:t>
      </w:r>
      <w:r w:rsidRPr="00DA3539">
        <w:rPr>
          <w:rFonts w:ascii="Times New Roman" w:hAnsi="Times New Roman"/>
          <w:iCs/>
          <w:sz w:val="24"/>
          <w:szCs w:val="24"/>
        </w:rPr>
        <w:t xml:space="preserve"> and ribavirin for 12 weeks at the time of the amendment.</w:t>
      </w:r>
    </w:p>
    <w:p w:rsidR="009C4A9E" w:rsidRPr="00DA3539" w:rsidRDefault="009C4A9E" w:rsidP="009C4A9E">
      <w:pPr>
        <w:rPr>
          <w:rFonts w:ascii="Times New Roman" w:hAnsi="Times New Roman"/>
          <w:iCs/>
          <w:sz w:val="24"/>
          <w:szCs w:val="24"/>
        </w:rPr>
      </w:pPr>
    </w:p>
    <w:p w:rsidR="009C4A9E" w:rsidRPr="00DA3539" w:rsidRDefault="009C4A9E" w:rsidP="009C4A9E">
      <w:pPr>
        <w:rPr>
          <w:rFonts w:ascii="Times New Roman" w:hAnsi="Times New Roman"/>
          <w:iCs/>
          <w:sz w:val="24"/>
          <w:szCs w:val="24"/>
        </w:rPr>
      </w:pPr>
      <w:r w:rsidRPr="00DA3539">
        <w:rPr>
          <w:rFonts w:ascii="Times New Roman" w:hAnsi="Times New Roman"/>
          <w:iCs/>
          <w:sz w:val="24"/>
          <w:szCs w:val="24"/>
        </w:rPr>
        <w:t xml:space="preserve">Treated </w:t>
      </w:r>
      <w:r>
        <w:rPr>
          <w:rFonts w:ascii="Times New Roman" w:hAnsi="Times New Roman"/>
          <w:bCs/>
          <w:iCs/>
          <w:sz w:val="24"/>
          <w:szCs w:val="24"/>
        </w:rPr>
        <w:t>patients</w:t>
      </w:r>
      <w:r w:rsidRPr="00DA3539">
        <w:rPr>
          <w:rFonts w:ascii="Times New Roman" w:hAnsi="Times New Roman"/>
          <w:iCs/>
          <w:sz w:val="24"/>
          <w:szCs w:val="24"/>
        </w:rPr>
        <w:t xml:space="preserve"> (n = 419) had a median age of 51 years (range: 19 to 74); 60% of the </w:t>
      </w:r>
      <w:r>
        <w:rPr>
          <w:rFonts w:ascii="Times New Roman" w:hAnsi="Times New Roman"/>
          <w:bCs/>
          <w:iCs/>
          <w:sz w:val="24"/>
          <w:szCs w:val="24"/>
        </w:rPr>
        <w:t>patients</w:t>
      </w:r>
      <w:r w:rsidRPr="00DA3539">
        <w:rPr>
          <w:rFonts w:ascii="Times New Roman" w:hAnsi="Times New Roman"/>
          <w:iCs/>
          <w:sz w:val="24"/>
          <w:szCs w:val="24"/>
        </w:rPr>
        <w:t xml:space="preserve"> were male; median body mass index was 25 kg/m</w:t>
      </w:r>
      <w:r w:rsidRPr="00DA3539">
        <w:rPr>
          <w:rFonts w:ascii="Times New Roman" w:hAnsi="Times New Roman"/>
          <w:iCs/>
          <w:sz w:val="24"/>
          <w:szCs w:val="24"/>
          <w:vertAlign w:val="superscript"/>
        </w:rPr>
        <w:t>2</w:t>
      </w:r>
      <w:r w:rsidRPr="00DA3539">
        <w:rPr>
          <w:rFonts w:ascii="Times New Roman" w:hAnsi="Times New Roman"/>
          <w:iCs/>
          <w:sz w:val="24"/>
          <w:szCs w:val="24"/>
        </w:rPr>
        <w:t xml:space="preserve"> (range: 17 to 44 kg/m</w:t>
      </w:r>
      <w:r w:rsidRPr="00DA3539">
        <w:rPr>
          <w:rFonts w:ascii="Times New Roman" w:hAnsi="Times New Roman"/>
          <w:iCs/>
          <w:sz w:val="24"/>
          <w:szCs w:val="24"/>
          <w:vertAlign w:val="superscript"/>
        </w:rPr>
        <w:t>2</w:t>
      </w:r>
      <w:r w:rsidRPr="00DA3539">
        <w:rPr>
          <w:rFonts w:ascii="Times New Roman" w:hAnsi="Times New Roman"/>
          <w:iCs/>
          <w:sz w:val="24"/>
          <w:szCs w:val="24"/>
        </w:rPr>
        <w:t>); the mean baseline HCV RNA level was 6.4 log</w:t>
      </w:r>
      <w:r w:rsidRPr="00DA3539">
        <w:rPr>
          <w:rFonts w:ascii="Times New Roman" w:hAnsi="Times New Roman"/>
          <w:iCs/>
          <w:sz w:val="24"/>
          <w:szCs w:val="24"/>
          <w:vertAlign w:val="subscript"/>
        </w:rPr>
        <w:t>10</w:t>
      </w:r>
      <w:r w:rsidRPr="00DA3539">
        <w:rPr>
          <w:rFonts w:ascii="Times New Roman" w:hAnsi="Times New Roman"/>
          <w:iCs/>
          <w:sz w:val="24"/>
          <w:szCs w:val="24"/>
        </w:rPr>
        <w:t xml:space="preserve"> IU/mL; 21% had cirrhosis; 78% had HCV genotype 3; 65% were </w:t>
      </w:r>
      <w:r>
        <w:rPr>
          <w:rFonts w:ascii="Times New Roman" w:hAnsi="Times New Roman"/>
          <w:iCs/>
          <w:sz w:val="24"/>
          <w:szCs w:val="24"/>
        </w:rPr>
        <w:t xml:space="preserve">prior </w:t>
      </w:r>
      <w:proofErr w:type="spellStart"/>
      <w:r>
        <w:rPr>
          <w:rFonts w:ascii="Times New Roman" w:hAnsi="Times New Roman"/>
          <w:iCs/>
          <w:sz w:val="24"/>
          <w:szCs w:val="24"/>
        </w:rPr>
        <w:t>relapsers</w:t>
      </w:r>
      <w:proofErr w:type="spellEnd"/>
      <w:r>
        <w:rPr>
          <w:rFonts w:ascii="Times New Roman" w:hAnsi="Times New Roman"/>
          <w:iCs/>
          <w:sz w:val="24"/>
          <w:szCs w:val="24"/>
        </w:rPr>
        <w:t>.  Table </w:t>
      </w:r>
      <w:r w:rsidR="00525003">
        <w:rPr>
          <w:rFonts w:ascii="Times New Roman" w:hAnsi="Times New Roman"/>
          <w:iCs/>
          <w:sz w:val="24"/>
          <w:szCs w:val="24"/>
        </w:rPr>
        <w:t>9</w:t>
      </w:r>
      <w:r w:rsidRPr="00DA3539">
        <w:rPr>
          <w:rFonts w:ascii="Times New Roman" w:hAnsi="Times New Roman"/>
          <w:iCs/>
          <w:sz w:val="24"/>
          <w:szCs w:val="24"/>
        </w:rPr>
        <w:t xml:space="preserve"> presents the response rates for the treatment groups of </w:t>
      </w:r>
      <w:r>
        <w:rPr>
          <w:rFonts w:ascii="Times New Roman" w:hAnsi="Times New Roman"/>
          <w:iCs/>
          <w:sz w:val="24"/>
          <w:szCs w:val="24"/>
        </w:rPr>
        <w:t>SOVALDI</w:t>
      </w:r>
      <w:r w:rsidRPr="00DA3539">
        <w:rPr>
          <w:rFonts w:ascii="Times New Roman" w:hAnsi="Times New Roman"/>
          <w:iCs/>
          <w:sz w:val="24"/>
          <w:szCs w:val="24"/>
        </w:rPr>
        <w:t>+ ribavirin for 12 weeks and 24 weeks.</w:t>
      </w:r>
    </w:p>
    <w:p w:rsidR="009C4A9E" w:rsidRPr="00DA3539" w:rsidRDefault="009C4A9E" w:rsidP="009C4A9E">
      <w:pPr>
        <w:rPr>
          <w:rFonts w:ascii="Times New Roman" w:hAnsi="Times New Roman"/>
          <w:iCs/>
          <w:sz w:val="24"/>
          <w:szCs w:val="24"/>
        </w:rPr>
      </w:pPr>
    </w:p>
    <w:p w:rsidR="009C4A9E" w:rsidRPr="00DA3539" w:rsidRDefault="009C4A9E" w:rsidP="009C4A9E">
      <w:pPr>
        <w:rPr>
          <w:rFonts w:ascii="Times New Roman" w:hAnsi="Times New Roman"/>
          <w:iCs/>
          <w:sz w:val="24"/>
          <w:szCs w:val="24"/>
        </w:rPr>
      </w:pPr>
      <w:r w:rsidRPr="00DA3539">
        <w:rPr>
          <w:rFonts w:ascii="Times New Roman" w:hAnsi="Times New Roman"/>
          <w:iCs/>
          <w:sz w:val="24"/>
          <w:szCs w:val="24"/>
        </w:rPr>
        <w:t>Placebo recipients are not included in the tables since none achieved SVR12.</w:t>
      </w:r>
    </w:p>
    <w:p w:rsidR="009C4A9E" w:rsidRPr="00DA3539" w:rsidRDefault="009C4A9E" w:rsidP="009C4A9E">
      <w:pPr>
        <w:rPr>
          <w:rFonts w:ascii="Times New Roman" w:hAnsi="Times New Roman"/>
          <w:iCs/>
          <w:sz w:val="24"/>
          <w:szCs w:val="24"/>
        </w:rPr>
      </w:pPr>
    </w:p>
    <w:p w:rsidR="009C4A9E" w:rsidRPr="008B588D" w:rsidRDefault="009C4A9E" w:rsidP="009C4A9E">
      <w:pPr>
        <w:keepNext/>
        <w:keepLines/>
        <w:rPr>
          <w:rFonts w:ascii="Times New Roman" w:hAnsi="Times New Roman"/>
          <w:b/>
          <w:iCs/>
          <w:sz w:val="24"/>
          <w:szCs w:val="24"/>
        </w:rPr>
      </w:pPr>
      <w:r w:rsidRPr="008B588D">
        <w:rPr>
          <w:rFonts w:ascii="Times New Roman" w:hAnsi="Times New Roman"/>
          <w:b/>
          <w:iCs/>
          <w:sz w:val="24"/>
          <w:szCs w:val="24"/>
        </w:rPr>
        <w:lastRenderedPageBreak/>
        <w:t>Table </w:t>
      </w:r>
      <w:r w:rsidR="00525003">
        <w:rPr>
          <w:rFonts w:ascii="Times New Roman" w:hAnsi="Times New Roman"/>
          <w:b/>
          <w:iCs/>
          <w:sz w:val="24"/>
          <w:szCs w:val="24"/>
        </w:rPr>
        <w:t>9</w:t>
      </w:r>
      <w:r w:rsidRPr="008B588D">
        <w:rPr>
          <w:rFonts w:ascii="Times New Roman" w:hAnsi="Times New Roman"/>
          <w:b/>
          <w:iCs/>
          <w:sz w:val="24"/>
          <w:szCs w:val="24"/>
        </w:rPr>
        <w:t xml:space="preserve">: Response rates in study </w:t>
      </w:r>
      <w:proofErr w:type="spellStart"/>
      <w:r w:rsidRPr="008B588D">
        <w:rPr>
          <w:rFonts w:ascii="Times New Roman" w:hAnsi="Times New Roman"/>
          <w:b/>
          <w:iCs/>
          <w:sz w:val="24"/>
          <w:szCs w:val="24"/>
        </w:rPr>
        <w:t>VALENCE</w:t>
      </w:r>
      <w:r w:rsidRPr="008B588D">
        <w:rPr>
          <w:rFonts w:ascii="Times New Roman" w:hAnsi="Times New Roman"/>
          <w:b/>
          <w:iCs/>
          <w:sz w:val="24"/>
          <w:szCs w:val="24"/>
          <w:vertAlign w:val="superscript"/>
        </w:rPr>
        <w:t>a</w:t>
      </w:r>
      <w:proofErr w:type="spellEnd"/>
    </w:p>
    <w:p w:rsidR="009C4A9E" w:rsidRDefault="009C4A9E" w:rsidP="009C4A9E">
      <w:pPr>
        <w:keepNext/>
        <w:keepLines/>
        <w:rPr>
          <w:rFonts w:ascii="Times New Roman" w:hAnsi="Times New Roman"/>
          <w:iCs/>
          <w:sz w:val="24"/>
          <w:szCs w:val="24"/>
        </w:rPr>
      </w:pPr>
    </w:p>
    <w:tbl>
      <w:tblPr>
        <w:tblW w:w="8899" w:type="dxa"/>
        <w:jc w:val="center"/>
        <w:tblInd w:w="-3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1"/>
        <w:gridCol w:w="2551"/>
        <w:gridCol w:w="2347"/>
      </w:tblGrid>
      <w:tr w:rsidR="009C4A9E" w:rsidRPr="00A44541" w:rsidTr="009C4A9E">
        <w:trPr>
          <w:jc w:val="center"/>
        </w:trPr>
        <w:tc>
          <w:tcPr>
            <w:tcW w:w="4001" w:type="dxa"/>
            <w:tcBorders>
              <w:top w:val="single" w:sz="12" w:space="0" w:color="auto"/>
              <w:left w:val="nil"/>
              <w:bottom w:val="single" w:sz="4" w:space="0" w:color="auto"/>
            </w:tcBorders>
            <w:shd w:val="clear" w:color="auto" w:fill="auto"/>
          </w:tcPr>
          <w:p w:rsidR="009C4A9E" w:rsidRPr="000444EC" w:rsidRDefault="009C4A9E" w:rsidP="009C4A9E">
            <w:pPr>
              <w:pStyle w:val="Table-Text"/>
              <w:rPr>
                <w:sz w:val="22"/>
                <w:szCs w:val="22"/>
              </w:rPr>
            </w:pPr>
          </w:p>
        </w:tc>
        <w:tc>
          <w:tcPr>
            <w:tcW w:w="2551" w:type="dxa"/>
            <w:tcBorders>
              <w:top w:val="single" w:sz="12" w:space="0" w:color="auto"/>
              <w:bottom w:val="single" w:sz="4" w:space="0" w:color="auto"/>
            </w:tcBorders>
            <w:shd w:val="clear" w:color="auto" w:fill="auto"/>
            <w:vAlign w:val="center"/>
          </w:tcPr>
          <w:p w:rsidR="009C4A9E" w:rsidRPr="008B588D" w:rsidRDefault="009C4A9E" w:rsidP="009C4A9E">
            <w:pPr>
              <w:keepNext/>
              <w:keepLines/>
              <w:jc w:val="center"/>
              <w:rPr>
                <w:rFonts w:ascii="Times New Roman" w:hAnsi="Times New Roman"/>
                <w:b/>
                <w:bCs/>
                <w:iCs/>
                <w:sz w:val="24"/>
                <w:szCs w:val="24"/>
              </w:rPr>
            </w:pPr>
            <w:r w:rsidRPr="008B588D">
              <w:rPr>
                <w:rFonts w:ascii="Times New Roman" w:hAnsi="Times New Roman"/>
                <w:b/>
                <w:bCs/>
                <w:iCs/>
                <w:sz w:val="24"/>
                <w:szCs w:val="24"/>
              </w:rPr>
              <w:t>Genotype 2</w:t>
            </w:r>
          </w:p>
          <w:p w:rsidR="009C4A9E" w:rsidRPr="008B588D" w:rsidRDefault="009C4A9E" w:rsidP="009C4A9E">
            <w:pPr>
              <w:keepNext/>
              <w:keepLines/>
              <w:jc w:val="center"/>
              <w:rPr>
                <w:rFonts w:ascii="Times New Roman" w:hAnsi="Times New Roman"/>
                <w:b/>
                <w:bCs/>
                <w:iCs/>
                <w:sz w:val="24"/>
                <w:szCs w:val="24"/>
              </w:rPr>
            </w:pPr>
            <w:r>
              <w:rPr>
                <w:rFonts w:ascii="Times New Roman" w:hAnsi="Times New Roman"/>
                <w:b/>
                <w:bCs/>
                <w:iCs/>
                <w:sz w:val="24"/>
                <w:szCs w:val="24"/>
              </w:rPr>
              <w:t>SOVALDI</w:t>
            </w:r>
            <w:r w:rsidRPr="008B588D">
              <w:rPr>
                <w:rFonts w:ascii="Times New Roman" w:hAnsi="Times New Roman"/>
                <w:b/>
                <w:bCs/>
                <w:iCs/>
                <w:sz w:val="24"/>
                <w:szCs w:val="24"/>
              </w:rPr>
              <w:t>+RBV 12 weeks</w:t>
            </w:r>
          </w:p>
          <w:p w:rsidR="009C4A9E" w:rsidRPr="00803DE8" w:rsidRDefault="009C4A9E" w:rsidP="009C4A9E">
            <w:pPr>
              <w:pStyle w:val="Table-Text"/>
              <w:jc w:val="center"/>
              <w:rPr>
                <w:b/>
                <w:sz w:val="22"/>
                <w:szCs w:val="22"/>
              </w:rPr>
            </w:pPr>
            <w:r w:rsidRPr="008B588D">
              <w:rPr>
                <w:b/>
                <w:bCs/>
                <w:iCs/>
                <w:sz w:val="24"/>
                <w:szCs w:val="24"/>
              </w:rPr>
              <w:t>(n = 73)</w:t>
            </w:r>
          </w:p>
        </w:tc>
        <w:tc>
          <w:tcPr>
            <w:tcW w:w="2347" w:type="dxa"/>
            <w:tcBorders>
              <w:top w:val="single" w:sz="12" w:space="0" w:color="auto"/>
              <w:bottom w:val="single" w:sz="4" w:space="0" w:color="auto"/>
              <w:right w:val="nil"/>
            </w:tcBorders>
            <w:shd w:val="clear" w:color="auto" w:fill="auto"/>
          </w:tcPr>
          <w:p w:rsidR="009C4A9E" w:rsidRPr="008B588D" w:rsidRDefault="009C4A9E" w:rsidP="009C4A9E">
            <w:pPr>
              <w:keepNext/>
              <w:keepLines/>
              <w:jc w:val="center"/>
              <w:rPr>
                <w:rFonts w:ascii="Times New Roman" w:hAnsi="Times New Roman"/>
                <w:b/>
                <w:bCs/>
                <w:iCs/>
                <w:sz w:val="24"/>
                <w:szCs w:val="24"/>
              </w:rPr>
            </w:pPr>
            <w:r w:rsidRPr="008B588D">
              <w:rPr>
                <w:rFonts w:ascii="Times New Roman" w:hAnsi="Times New Roman"/>
                <w:b/>
                <w:bCs/>
                <w:iCs/>
                <w:sz w:val="24"/>
                <w:szCs w:val="24"/>
              </w:rPr>
              <w:t>Genotype 3</w:t>
            </w:r>
          </w:p>
          <w:p w:rsidR="009C4A9E" w:rsidRPr="008B588D" w:rsidRDefault="009C4A9E" w:rsidP="009C4A9E">
            <w:pPr>
              <w:keepNext/>
              <w:keepLines/>
              <w:jc w:val="center"/>
              <w:rPr>
                <w:rFonts w:ascii="Times New Roman" w:hAnsi="Times New Roman"/>
                <w:b/>
                <w:bCs/>
                <w:iCs/>
                <w:sz w:val="24"/>
                <w:szCs w:val="24"/>
              </w:rPr>
            </w:pPr>
            <w:r>
              <w:rPr>
                <w:rFonts w:ascii="Times New Roman" w:hAnsi="Times New Roman"/>
                <w:b/>
                <w:bCs/>
                <w:iCs/>
                <w:sz w:val="24"/>
                <w:szCs w:val="24"/>
              </w:rPr>
              <w:t>SOVALDI</w:t>
            </w:r>
            <w:r w:rsidRPr="008B588D">
              <w:rPr>
                <w:rFonts w:ascii="Times New Roman" w:hAnsi="Times New Roman"/>
                <w:b/>
                <w:bCs/>
                <w:iCs/>
                <w:sz w:val="24"/>
                <w:szCs w:val="24"/>
              </w:rPr>
              <w:t>+RBV 24 weeks</w:t>
            </w:r>
          </w:p>
          <w:p w:rsidR="009C4A9E" w:rsidRPr="00803DE8" w:rsidRDefault="009C4A9E" w:rsidP="009C4A9E">
            <w:pPr>
              <w:pStyle w:val="Table-Text"/>
              <w:jc w:val="center"/>
              <w:rPr>
                <w:b/>
                <w:sz w:val="22"/>
                <w:szCs w:val="22"/>
              </w:rPr>
            </w:pPr>
            <w:r w:rsidRPr="008B588D">
              <w:rPr>
                <w:b/>
                <w:bCs/>
                <w:iCs/>
                <w:sz w:val="24"/>
                <w:szCs w:val="24"/>
              </w:rPr>
              <w:t>(n = 250)</w:t>
            </w:r>
          </w:p>
        </w:tc>
      </w:tr>
      <w:tr w:rsidR="009C4A9E" w:rsidRPr="00A44541" w:rsidTr="009C4A9E">
        <w:trPr>
          <w:jc w:val="center"/>
        </w:trPr>
        <w:tc>
          <w:tcPr>
            <w:tcW w:w="4001" w:type="dxa"/>
            <w:tcBorders>
              <w:top w:val="single" w:sz="4" w:space="0" w:color="auto"/>
              <w:left w:val="nil"/>
            </w:tcBorders>
            <w:shd w:val="clear" w:color="auto" w:fill="auto"/>
            <w:vAlign w:val="center"/>
          </w:tcPr>
          <w:p w:rsidR="009C4A9E" w:rsidRPr="000444EC" w:rsidRDefault="009C4A9E" w:rsidP="009C4A9E">
            <w:pPr>
              <w:keepNext/>
              <w:keepLines/>
              <w:rPr>
                <w:rFonts w:ascii="Times New Roman" w:hAnsi="Times New Roman"/>
                <w:iCs/>
                <w:sz w:val="24"/>
                <w:szCs w:val="24"/>
              </w:rPr>
            </w:pPr>
            <w:r w:rsidRPr="000444EC">
              <w:rPr>
                <w:rFonts w:ascii="Times New Roman" w:hAnsi="Times New Roman"/>
                <w:iCs/>
                <w:sz w:val="24"/>
                <w:szCs w:val="24"/>
              </w:rPr>
              <w:t>Overall SVR12</w:t>
            </w:r>
          </w:p>
        </w:tc>
        <w:tc>
          <w:tcPr>
            <w:tcW w:w="2551" w:type="dxa"/>
            <w:tcBorders>
              <w:top w:val="single" w:sz="4" w:space="0" w:color="auto"/>
            </w:tcBorders>
            <w:shd w:val="clear" w:color="auto" w:fill="auto"/>
          </w:tcPr>
          <w:p w:rsidR="009C4A9E" w:rsidRPr="000444EC" w:rsidRDefault="009C4A9E" w:rsidP="009C4A9E">
            <w:pPr>
              <w:keepNext/>
              <w:keepLines/>
              <w:tabs>
                <w:tab w:val="right" w:pos="2034"/>
              </w:tabs>
              <w:jc w:val="center"/>
              <w:rPr>
                <w:rFonts w:ascii="Times New Roman" w:hAnsi="Times New Roman"/>
                <w:iCs/>
                <w:sz w:val="24"/>
                <w:szCs w:val="24"/>
              </w:rPr>
            </w:pPr>
            <w:r w:rsidRPr="000444EC">
              <w:rPr>
                <w:rFonts w:ascii="Times New Roman" w:hAnsi="Times New Roman"/>
                <w:sz w:val="24"/>
                <w:szCs w:val="24"/>
              </w:rPr>
              <w:t>93% (68/73)</w:t>
            </w:r>
          </w:p>
        </w:tc>
        <w:tc>
          <w:tcPr>
            <w:tcW w:w="2347" w:type="dxa"/>
            <w:tcBorders>
              <w:top w:val="single" w:sz="4" w:space="0" w:color="auto"/>
              <w:right w:val="nil"/>
            </w:tcBorders>
            <w:shd w:val="clear" w:color="auto" w:fill="auto"/>
          </w:tcPr>
          <w:p w:rsidR="009C4A9E" w:rsidRPr="000444EC" w:rsidRDefault="009C4A9E" w:rsidP="009C4A9E">
            <w:pPr>
              <w:keepNext/>
              <w:keepLines/>
              <w:jc w:val="center"/>
              <w:rPr>
                <w:rFonts w:ascii="Times New Roman" w:hAnsi="Times New Roman"/>
                <w:iCs/>
                <w:sz w:val="24"/>
                <w:szCs w:val="24"/>
              </w:rPr>
            </w:pPr>
            <w:r w:rsidRPr="000444EC">
              <w:rPr>
                <w:rFonts w:ascii="Times New Roman" w:hAnsi="Times New Roman"/>
                <w:sz w:val="24"/>
                <w:szCs w:val="24"/>
                <w:lang w:eastAsia="ko-KR"/>
              </w:rPr>
              <w:t>84% (210/250)</w:t>
            </w:r>
          </w:p>
        </w:tc>
      </w:tr>
      <w:tr w:rsidR="009C4A9E" w:rsidRPr="00A44541" w:rsidTr="009C4A9E">
        <w:trPr>
          <w:jc w:val="center"/>
        </w:trPr>
        <w:tc>
          <w:tcPr>
            <w:tcW w:w="4001" w:type="dxa"/>
            <w:tcBorders>
              <w:left w:val="nil"/>
            </w:tcBorders>
            <w:shd w:val="clear" w:color="auto" w:fill="auto"/>
            <w:vAlign w:val="center"/>
          </w:tcPr>
          <w:p w:rsidR="009C4A9E" w:rsidRPr="000444EC" w:rsidRDefault="009C4A9E" w:rsidP="009C4A9E">
            <w:pPr>
              <w:keepNext/>
              <w:keepLines/>
              <w:rPr>
                <w:rFonts w:ascii="Times New Roman" w:hAnsi="Times New Roman"/>
                <w:iCs/>
                <w:sz w:val="24"/>
                <w:szCs w:val="24"/>
              </w:rPr>
            </w:pPr>
            <w:r w:rsidRPr="000444EC">
              <w:rPr>
                <w:rFonts w:ascii="Times New Roman" w:hAnsi="Times New Roman"/>
                <w:iCs/>
                <w:sz w:val="24"/>
                <w:szCs w:val="24"/>
              </w:rPr>
              <w:t>Outcome for subjects without SVR12</w:t>
            </w:r>
          </w:p>
        </w:tc>
        <w:tc>
          <w:tcPr>
            <w:tcW w:w="2551" w:type="dxa"/>
            <w:shd w:val="clear" w:color="auto" w:fill="auto"/>
            <w:vAlign w:val="center"/>
          </w:tcPr>
          <w:p w:rsidR="009C4A9E" w:rsidRPr="000444EC" w:rsidRDefault="009C4A9E" w:rsidP="009C4A9E">
            <w:pPr>
              <w:keepNext/>
              <w:keepLines/>
              <w:rPr>
                <w:rFonts w:ascii="Times New Roman" w:hAnsi="Times New Roman"/>
                <w:iCs/>
                <w:sz w:val="24"/>
                <w:szCs w:val="24"/>
              </w:rPr>
            </w:pPr>
          </w:p>
        </w:tc>
        <w:tc>
          <w:tcPr>
            <w:tcW w:w="2347" w:type="dxa"/>
            <w:tcBorders>
              <w:right w:val="nil"/>
            </w:tcBorders>
            <w:shd w:val="clear" w:color="auto" w:fill="auto"/>
            <w:vAlign w:val="center"/>
          </w:tcPr>
          <w:p w:rsidR="009C4A9E" w:rsidRPr="000444EC" w:rsidRDefault="009C4A9E" w:rsidP="009C4A9E">
            <w:pPr>
              <w:keepNext/>
              <w:keepLines/>
              <w:jc w:val="center"/>
              <w:rPr>
                <w:rFonts w:ascii="Times New Roman" w:hAnsi="Times New Roman"/>
                <w:iCs/>
                <w:sz w:val="24"/>
                <w:szCs w:val="24"/>
              </w:rPr>
            </w:pPr>
          </w:p>
        </w:tc>
      </w:tr>
      <w:tr w:rsidR="009C4A9E" w:rsidRPr="00A44541" w:rsidTr="009C4A9E">
        <w:trPr>
          <w:jc w:val="center"/>
        </w:trPr>
        <w:tc>
          <w:tcPr>
            <w:tcW w:w="4001" w:type="dxa"/>
            <w:tcBorders>
              <w:left w:val="nil"/>
            </w:tcBorders>
            <w:shd w:val="clear" w:color="auto" w:fill="auto"/>
            <w:vAlign w:val="center"/>
          </w:tcPr>
          <w:p w:rsidR="009C4A9E" w:rsidRPr="000444EC" w:rsidRDefault="009C4A9E" w:rsidP="009C4A9E">
            <w:pPr>
              <w:keepNext/>
              <w:keepLines/>
              <w:rPr>
                <w:rFonts w:ascii="Times New Roman" w:hAnsi="Times New Roman"/>
                <w:iCs/>
                <w:sz w:val="24"/>
                <w:szCs w:val="24"/>
              </w:rPr>
            </w:pPr>
            <w:r w:rsidRPr="000444EC">
              <w:rPr>
                <w:rFonts w:ascii="Times New Roman" w:hAnsi="Times New Roman"/>
                <w:iCs/>
                <w:sz w:val="24"/>
                <w:szCs w:val="24"/>
              </w:rPr>
              <w:t>On</w:t>
            </w:r>
            <w:r w:rsidRPr="000444EC">
              <w:rPr>
                <w:rFonts w:ascii="Times New Roman" w:hAnsi="Times New Roman"/>
                <w:iCs/>
                <w:sz w:val="24"/>
                <w:szCs w:val="24"/>
              </w:rPr>
              <w:noBreakHyphen/>
              <w:t xml:space="preserve">treatment </w:t>
            </w:r>
            <w:proofErr w:type="spellStart"/>
            <w:r w:rsidRPr="000444EC">
              <w:rPr>
                <w:rFonts w:ascii="Times New Roman" w:hAnsi="Times New Roman"/>
                <w:iCs/>
                <w:sz w:val="24"/>
                <w:szCs w:val="24"/>
              </w:rPr>
              <w:t>virologic</w:t>
            </w:r>
            <w:proofErr w:type="spellEnd"/>
            <w:r w:rsidRPr="000444EC">
              <w:rPr>
                <w:rFonts w:ascii="Times New Roman" w:hAnsi="Times New Roman"/>
                <w:iCs/>
                <w:sz w:val="24"/>
                <w:szCs w:val="24"/>
              </w:rPr>
              <w:t xml:space="preserve"> failure</w:t>
            </w:r>
          </w:p>
        </w:tc>
        <w:tc>
          <w:tcPr>
            <w:tcW w:w="2551" w:type="dxa"/>
            <w:shd w:val="clear" w:color="auto" w:fill="auto"/>
          </w:tcPr>
          <w:p w:rsidR="009C4A9E" w:rsidRPr="000444EC" w:rsidRDefault="009C4A9E" w:rsidP="009C4A9E">
            <w:pPr>
              <w:keepNext/>
              <w:keepLines/>
              <w:jc w:val="center"/>
              <w:rPr>
                <w:rFonts w:ascii="Times New Roman" w:hAnsi="Times New Roman"/>
                <w:iCs/>
                <w:sz w:val="24"/>
                <w:szCs w:val="24"/>
              </w:rPr>
            </w:pPr>
            <w:r w:rsidRPr="000444EC">
              <w:rPr>
                <w:rFonts w:ascii="Times New Roman" w:hAnsi="Times New Roman"/>
                <w:sz w:val="24"/>
                <w:szCs w:val="24"/>
              </w:rPr>
              <w:t>0% (0/73)</w:t>
            </w:r>
          </w:p>
        </w:tc>
        <w:tc>
          <w:tcPr>
            <w:tcW w:w="2347" w:type="dxa"/>
            <w:tcBorders>
              <w:right w:val="nil"/>
            </w:tcBorders>
            <w:shd w:val="clear" w:color="auto" w:fill="auto"/>
          </w:tcPr>
          <w:p w:rsidR="009C4A9E" w:rsidRPr="000444EC" w:rsidRDefault="009C4A9E" w:rsidP="009C4A9E">
            <w:pPr>
              <w:keepNext/>
              <w:keepLines/>
              <w:jc w:val="center"/>
              <w:rPr>
                <w:rFonts w:ascii="Times New Roman" w:hAnsi="Times New Roman"/>
                <w:iCs/>
                <w:sz w:val="24"/>
                <w:szCs w:val="24"/>
              </w:rPr>
            </w:pPr>
            <w:r>
              <w:rPr>
                <w:rFonts w:ascii="Times New Roman" w:hAnsi="Times New Roman"/>
                <w:sz w:val="24"/>
                <w:szCs w:val="24"/>
              </w:rPr>
              <w:t>&lt;1</w:t>
            </w:r>
            <w:r w:rsidRPr="000444EC">
              <w:rPr>
                <w:rFonts w:ascii="Times New Roman" w:hAnsi="Times New Roman"/>
                <w:sz w:val="24"/>
                <w:szCs w:val="24"/>
              </w:rPr>
              <w:t>% (1/250)</w:t>
            </w:r>
          </w:p>
        </w:tc>
      </w:tr>
      <w:tr w:rsidR="009C4A9E" w:rsidRPr="00A44541" w:rsidTr="009C4A9E">
        <w:trPr>
          <w:jc w:val="center"/>
        </w:trPr>
        <w:tc>
          <w:tcPr>
            <w:tcW w:w="4001" w:type="dxa"/>
            <w:tcBorders>
              <w:left w:val="nil"/>
            </w:tcBorders>
            <w:shd w:val="clear" w:color="auto" w:fill="auto"/>
            <w:vAlign w:val="center"/>
          </w:tcPr>
          <w:p w:rsidR="009C4A9E" w:rsidRPr="000444EC" w:rsidRDefault="009C4A9E" w:rsidP="009C4A9E">
            <w:pPr>
              <w:keepNext/>
              <w:keepLines/>
              <w:rPr>
                <w:rFonts w:ascii="Times New Roman" w:hAnsi="Times New Roman"/>
                <w:iCs/>
                <w:sz w:val="24"/>
                <w:szCs w:val="24"/>
              </w:rPr>
            </w:pPr>
            <w:proofErr w:type="spellStart"/>
            <w:r w:rsidRPr="000444EC">
              <w:rPr>
                <w:rFonts w:ascii="Times New Roman" w:hAnsi="Times New Roman"/>
                <w:iCs/>
                <w:sz w:val="24"/>
                <w:szCs w:val="24"/>
              </w:rPr>
              <w:t>Relapse</w:t>
            </w:r>
            <w:r w:rsidRPr="000444EC">
              <w:rPr>
                <w:rFonts w:ascii="Times New Roman" w:hAnsi="Times New Roman"/>
                <w:iCs/>
                <w:sz w:val="24"/>
                <w:szCs w:val="24"/>
                <w:vertAlign w:val="superscript"/>
              </w:rPr>
              <w:t>a</w:t>
            </w:r>
            <w:proofErr w:type="spellEnd"/>
          </w:p>
        </w:tc>
        <w:tc>
          <w:tcPr>
            <w:tcW w:w="2551" w:type="dxa"/>
            <w:shd w:val="clear" w:color="auto" w:fill="auto"/>
          </w:tcPr>
          <w:p w:rsidR="009C4A9E" w:rsidRPr="000444EC" w:rsidRDefault="009C4A9E" w:rsidP="009C4A9E">
            <w:pPr>
              <w:keepNext/>
              <w:keepLines/>
              <w:jc w:val="center"/>
              <w:rPr>
                <w:rFonts w:ascii="Times New Roman" w:hAnsi="Times New Roman"/>
                <w:iCs/>
                <w:sz w:val="24"/>
                <w:szCs w:val="24"/>
              </w:rPr>
            </w:pPr>
            <w:r w:rsidRPr="000444EC">
              <w:rPr>
                <w:rFonts w:ascii="Times New Roman" w:hAnsi="Times New Roman"/>
                <w:sz w:val="24"/>
                <w:szCs w:val="24"/>
              </w:rPr>
              <w:t>7% (5/73)</w:t>
            </w:r>
          </w:p>
        </w:tc>
        <w:tc>
          <w:tcPr>
            <w:tcW w:w="2347" w:type="dxa"/>
            <w:tcBorders>
              <w:right w:val="nil"/>
            </w:tcBorders>
            <w:shd w:val="clear" w:color="auto" w:fill="auto"/>
          </w:tcPr>
          <w:p w:rsidR="009C4A9E" w:rsidRPr="000444EC" w:rsidRDefault="009C4A9E" w:rsidP="009C4A9E">
            <w:pPr>
              <w:keepNext/>
              <w:keepLines/>
              <w:jc w:val="center"/>
              <w:rPr>
                <w:rFonts w:ascii="Times New Roman" w:hAnsi="Times New Roman"/>
                <w:iCs/>
                <w:sz w:val="24"/>
                <w:szCs w:val="24"/>
              </w:rPr>
            </w:pPr>
            <w:r w:rsidRPr="000444EC">
              <w:rPr>
                <w:rFonts w:ascii="Times New Roman" w:hAnsi="Times New Roman"/>
                <w:sz w:val="24"/>
                <w:szCs w:val="24"/>
              </w:rPr>
              <w:t>14% (34/249)</w:t>
            </w:r>
          </w:p>
        </w:tc>
      </w:tr>
      <w:tr w:rsidR="009C4A9E" w:rsidRPr="00A44541" w:rsidTr="009C4A9E">
        <w:trPr>
          <w:jc w:val="center"/>
        </w:trPr>
        <w:tc>
          <w:tcPr>
            <w:tcW w:w="4001" w:type="dxa"/>
            <w:tcBorders>
              <w:left w:val="nil"/>
              <w:bottom w:val="single" w:sz="12" w:space="0" w:color="auto"/>
            </w:tcBorders>
            <w:shd w:val="clear" w:color="auto" w:fill="auto"/>
            <w:vAlign w:val="center"/>
          </w:tcPr>
          <w:p w:rsidR="009C4A9E" w:rsidRPr="000444EC" w:rsidRDefault="009C4A9E" w:rsidP="009C4A9E">
            <w:pPr>
              <w:keepNext/>
              <w:keepLines/>
              <w:rPr>
                <w:rFonts w:ascii="Times New Roman" w:hAnsi="Times New Roman"/>
                <w:iCs/>
                <w:sz w:val="24"/>
                <w:szCs w:val="24"/>
              </w:rPr>
            </w:pPr>
            <w:proofErr w:type="spellStart"/>
            <w:r>
              <w:rPr>
                <w:rFonts w:ascii="Times New Roman" w:hAnsi="Times New Roman"/>
                <w:iCs/>
                <w:sz w:val="24"/>
                <w:szCs w:val="24"/>
              </w:rPr>
              <w:t>Other</w:t>
            </w:r>
            <w:r w:rsidRPr="000444EC">
              <w:rPr>
                <w:rFonts w:ascii="Times New Roman" w:hAnsi="Times New Roman"/>
                <w:iCs/>
                <w:sz w:val="24"/>
                <w:szCs w:val="24"/>
                <w:vertAlign w:val="superscript"/>
              </w:rPr>
              <w:t>a</w:t>
            </w:r>
            <w:proofErr w:type="spellEnd"/>
          </w:p>
        </w:tc>
        <w:tc>
          <w:tcPr>
            <w:tcW w:w="2551" w:type="dxa"/>
            <w:tcBorders>
              <w:bottom w:val="single" w:sz="12" w:space="0" w:color="auto"/>
            </w:tcBorders>
            <w:shd w:val="clear" w:color="auto" w:fill="auto"/>
          </w:tcPr>
          <w:p w:rsidR="009C4A9E" w:rsidRPr="000444EC" w:rsidRDefault="009C4A9E" w:rsidP="009C4A9E">
            <w:pPr>
              <w:keepNext/>
              <w:keepLines/>
              <w:jc w:val="center"/>
              <w:rPr>
                <w:rFonts w:ascii="Times New Roman" w:hAnsi="Times New Roman"/>
                <w:iCs/>
                <w:sz w:val="24"/>
                <w:szCs w:val="24"/>
              </w:rPr>
            </w:pPr>
            <w:r>
              <w:rPr>
                <w:rFonts w:ascii="Times New Roman" w:hAnsi="Times New Roman"/>
                <w:sz w:val="24"/>
                <w:szCs w:val="24"/>
              </w:rPr>
              <w:t>0% (0</w:t>
            </w:r>
            <w:r w:rsidRPr="000444EC">
              <w:rPr>
                <w:rFonts w:ascii="Times New Roman" w:hAnsi="Times New Roman"/>
                <w:sz w:val="24"/>
                <w:szCs w:val="24"/>
              </w:rPr>
              <w:t>/73)</w:t>
            </w:r>
          </w:p>
        </w:tc>
        <w:tc>
          <w:tcPr>
            <w:tcW w:w="2347" w:type="dxa"/>
            <w:tcBorders>
              <w:bottom w:val="single" w:sz="12" w:space="0" w:color="auto"/>
              <w:right w:val="nil"/>
            </w:tcBorders>
            <w:shd w:val="clear" w:color="auto" w:fill="auto"/>
          </w:tcPr>
          <w:p w:rsidR="009C4A9E" w:rsidRPr="000444EC" w:rsidRDefault="009C4A9E" w:rsidP="009C4A9E">
            <w:pPr>
              <w:keepNext/>
              <w:keepLines/>
              <w:jc w:val="center"/>
              <w:rPr>
                <w:rFonts w:ascii="Times New Roman" w:hAnsi="Times New Roman"/>
                <w:iCs/>
                <w:sz w:val="24"/>
                <w:szCs w:val="24"/>
              </w:rPr>
            </w:pPr>
            <w:r>
              <w:rPr>
                <w:rFonts w:ascii="Times New Roman" w:hAnsi="Times New Roman"/>
                <w:sz w:val="24"/>
                <w:szCs w:val="24"/>
              </w:rPr>
              <w:t>2</w:t>
            </w:r>
            <w:r w:rsidRPr="000444EC">
              <w:rPr>
                <w:rFonts w:ascii="Times New Roman" w:hAnsi="Times New Roman"/>
                <w:sz w:val="24"/>
                <w:szCs w:val="24"/>
              </w:rPr>
              <w:t>% (34/249)</w:t>
            </w:r>
          </w:p>
        </w:tc>
      </w:tr>
    </w:tbl>
    <w:p w:rsidR="009C4A9E" w:rsidRPr="00DA3539" w:rsidRDefault="009C4A9E" w:rsidP="009C4A9E">
      <w:pPr>
        <w:keepNext/>
        <w:keepLines/>
        <w:ind w:left="270"/>
        <w:rPr>
          <w:rFonts w:ascii="Times New Roman" w:hAnsi="Times New Roman"/>
          <w:iCs/>
          <w:sz w:val="24"/>
          <w:szCs w:val="24"/>
        </w:rPr>
      </w:pPr>
      <w:proofErr w:type="gramStart"/>
      <w:r w:rsidRPr="005E6C6E">
        <w:rPr>
          <w:rFonts w:ascii="Times New Roman" w:hAnsi="Times New Roman"/>
          <w:iCs/>
          <w:sz w:val="18"/>
          <w:szCs w:val="18"/>
        </w:rPr>
        <w:t>a</w:t>
      </w:r>
      <w:r>
        <w:rPr>
          <w:rFonts w:ascii="Times New Roman" w:hAnsi="Times New Roman"/>
          <w:iCs/>
          <w:sz w:val="18"/>
          <w:szCs w:val="18"/>
        </w:rPr>
        <w:t>.  Placebo</w:t>
      </w:r>
      <w:proofErr w:type="gramEnd"/>
      <w:r>
        <w:rPr>
          <w:rFonts w:ascii="Times New Roman" w:hAnsi="Times New Roman"/>
          <w:iCs/>
          <w:sz w:val="18"/>
          <w:szCs w:val="18"/>
        </w:rPr>
        <w:t xml:space="preserve"> patients(n=85) were not included as none achieved SVR12.  Eleven genotype 3 patients who received SOVALDI   + ribavirin for 12 weeks were not included</w:t>
      </w:r>
    </w:p>
    <w:p w:rsidR="009C4A9E" w:rsidRPr="005E6C6E" w:rsidRDefault="009C4A9E" w:rsidP="009C4A9E">
      <w:pPr>
        <w:keepNext/>
        <w:keepLines/>
        <w:rPr>
          <w:rFonts w:ascii="Times New Roman" w:hAnsi="Times New Roman"/>
          <w:iCs/>
          <w:sz w:val="18"/>
          <w:szCs w:val="18"/>
        </w:rPr>
      </w:pPr>
      <w:r>
        <w:rPr>
          <w:rFonts w:ascii="Times New Roman" w:hAnsi="Times New Roman"/>
          <w:iCs/>
          <w:sz w:val="18"/>
          <w:szCs w:val="18"/>
        </w:rPr>
        <w:t xml:space="preserve">      b</w:t>
      </w:r>
      <w:r w:rsidRPr="005E6C6E">
        <w:rPr>
          <w:rFonts w:ascii="Times New Roman" w:hAnsi="Times New Roman"/>
          <w:iCs/>
          <w:sz w:val="18"/>
          <w:szCs w:val="18"/>
        </w:rPr>
        <w:t xml:space="preserve">. The denominator for relapse is the number of </w:t>
      </w:r>
      <w:r>
        <w:rPr>
          <w:rFonts w:ascii="Times New Roman" w:hAnsi="Times New Roman"/>
          <w:iCs/>
          <w:sz w:val="18"/>
          <w:szCs w:val="18"/>
        </w:rPr>
        <w:t>patients</w:t>
      </w:r>
      <w:r w:rsidRPr="005E6C6E">
        <w:rPr>
          <w:rFonts w:ascii="Times New Roman" w:hAnsi="Times New Roman"/>
          <w:iCs/>
          <w:sz w:val="18"/>
          <w:szCs w:val="18"/>
        </w:rPr>
        <w:t xml:space="preserve"> with HCV RNA &lt;LLOQ at their last on</w:t>
      </w:r>
      <w:r w:rsidRPr="005E6C6E">
        <w:rPr>
          <w:rFonts w:ascii="Times New Roman" w:hAnsi="Times New Roman"/>
          <w:iCs/>
          <w:sz w:val="18"/>
          <w:szCs w:val="18"/>
        </w:rPr>
        <w:noBreakHyphen/>
        <w:t>treatment assessment.</w:t>
      </w:r>
    </w:p>
    <w:p w:rsidR="009C4A9E" w:rsidRPr="005E6C6E" w:rsidRDefault="009C4A9E" w:rsidP="009C4A9E">
      <w:pPr>
        <w:rPr>
          <w:rFonts w:ascii="Times New Roman" w:hAnsi="Times New Roman"/>
          <w:iCs/>
          <w:sz w:val="18"/>
          <w:szCs w:val="18"/>
        </w:rPr>
      </w:pPr>
      <w:r>
        <w:rPr>
          <w:rFonts w:ascii="Times New Roman" w:hAnsi="Times New Roman"/>
          <w:iCs/>
          <w:sz w:val="18"/>
          <w:szCs w:val="18"/>
        </w:rPr>
        <w:t xml:space="preserve">      c</w:t>
      </w:r>
      <w:r w:rsidRPr="005E6C6E">
        <w:rPr>
          <w:rFonts w:ascii="Times New Roman" w:hAnsi="Times New Roman"/>
          <w:iCs/>
          <w:sz w:val="18"/>
          <w:szCs w:val="18"/>
        </w:rPr>
        <w:t xml:space="preserve">. Other includes </w:t>
      </w:r>
      <w:r>
        <w:rPr>
          <w:rFonts w:ascii="Times New Roman" w:hAnsi="Times New Roman"/>
          <w:iCs/>
          <w:sz w:val="18"/>
          <w:szCs w:val="18"/>
        </w:rPr>
        <w:t>patients</w:t>
      </w:r>
      <w:r w:rsidRPr="005E6C6E">
        <w:rPr>
          <w:rFonts w:ascii="Times New Roman" w:hAnsi="Times New Roman"/>
          <w:iCs/>
          <w:sz w:val="18"/>
          <w:szCs w:val="18"/>
        </w:rPr>
        <w:t xml:space="preserve"> who did not achieve SVR12 and did not meet </w:t>
      </w:r>
      <w:proofErr w:type="spellStart"/>
      <w:r w:rsidRPr="005E6C6E">
        <w:rPr>
          <w:rFonts w:ascii="Times New Roman" w:hAnsi="Times New Roman"/>
          <w:iCs/>
          <w:sz w:val="18"/>
          <w:szCs w:val="18"/>
        </w:rPr>
        <w:t>virologic</w:t>
      </w:r>
      <w:proofErr w:type="spellEnd"/>
      <w:r w:rsidRPr="005E6C6E">
        <w:rPr>
          <w:rFonts w:ascii="Times New Roman" w:hAnsi="Times New Roman"/>
          <w:iCs/>
          <w:sz w:val="18"/>
          <w:szCs w:val="18"/>
        </w:rPr>
        <w:t xml:space="preserve"> failure criteria (e.g., lost to follow</w:t>
      </w:r>
      <w:r w:rsidRPr="005E6C6E">
        <w:rPr>
          <w:rFonts w:ascii="Times New Roman" w:hAnsi="Times New Roman"/>
          <w:iCs/>
          <w:sz w:val="18"/>
          <w:szCs w:val="18"/>
        </w:rPr>
        <w:noBreakHyphen/>
        <w:t>up).</w:t>
      </w:r>
    </w:p>
    <w:p w:rsidR="009C4A9E" w:rsidRPr="00DA3539" w:rsidRDefault="009C4A9E" w:rsidP="009C4A9E">
      <w:pPr>
        <w:rPr>
          <w:rFonts w:ascii="Times New Roman" w:hAnsi="Times New Roman"/>
          <w:iCs/>
          <w:sz w:val="24"/>
          <w:szCs w:val="24"/>
        </w:rPr>
      </w:pPr>
    </w:p>
    <w:p w:rsidR="009C4A9E" w:rsidRPr="00DA3539" w:rsidRDefault="009C4A9E" w:rsidP="009C4A9E">
      <w:pPr>
        <w:rPr>
          <w:rFonts w:ascii="Times New Roman" w:hAnsi="Times New Roman"/>
          <w:iCs/>
          <w:sz w:val="24"/>
          <w:szCs w:val="24"/>
        </w:rPr>
      </w:pPr>
      <w:r>
        <w:rPr>
          <w:rFonts w:ascii="Times New Roman" w:hAnsi="Times New Roman"/>
          <w:iCs/>
          <w:sz w:val="24"/>
          <w:szCs w:val="24"/>
        </w:rPr>
        <w:t>Table 1</w:t>
      </w:r>
      <w:r w:rsidR="00525003">
        <w:rPr>
          <w:rFonts w:ascii="Times New Roman" w:hAnsi="Times New Roman"/>
          <w:iCs/>
          <w:sz w:val="24"/>
          <w:szCs w:val="24"/>
        </w:rPr>
        <w:t>0</w:t>
      </w:r>
      <w:r w:rsidRPr="00DA3539">
        <w:rPr>
          <w:rFonts w:ascii="Times New Roman" w:hAnsi="Times New Roman"/>
          <w:iCs/>
          <w:sz w:val="24"/>
          <w:szCs w:val="24"/>
        </w:rPr>
        <w:t xml:space="preserve"> presents the subgroup analysis by genotype for cirrhosis and exposure to prior HCV treatment.</w:t>
      </w:r>
    </w:p>
    <w:p w:rsidR="009C4A9E" w:rsidRPr="00DA3539" w:rsidRDefault="009C4A9E" w:rsidP="009C4A9E">
      <w:pPr>
        <w:rPr>
          <w:rFonts w:ascii="Times New Roman" w:hAnsi="Times New Roman"/>
          <w:iCs/>
          <w:sz w:val="24"/>
          <w:szCs w:val="24"/>
        </w:rPr>
      </w:pPr>
    </w:p>
    <w:p w:rsidR="009C4A9E" w:rsidRPr="00795982" w:rsidRDefault="009C4A9E" w:rsidP="009C4A9E">
      <w:pPr>
        <w:keepNext/>
        <w:keepLines/>
        <w:rPr>
          <w:rFonts w:ascii="Times New Roman" w:hAnsi="Times New Roman"/>
          <w:b/>
          <w:iCs/>
          <w:sz w:val="24"/>
          <w:szCs w:val="24"/>
        </w:rPr>
      </w:pPr>
      <w:r w:rsidRPr="00795982">
        <w:rPr>
          <w:rFonts w:ascii="Times New Roman" w:hAnsi="Times New Roman"/>
          <w:b/>
          <w:iCs/>
          <w:sz w:val="24"/>
          <w:szCs w:val="24"/>
        </w:rPr>
        <w:t>T</w:t>
      </w:r>
      <w:r w:rsidR="00525003">
        <w:rPr>
          <w:rFonts w:ascii="Times New Roman" w:hAnsi="Times New Roman"/>
          <w:b/>
          <w:iCs/>
          <w:sz w:val="24"/>
          <w:szCs w:val="24"/>
        </w:rPr>
        <w:t>able 10</w:t>
      </w:r>
      <w:r w:rsidRPr="00795982">
        <w:rPr>
          <w:rFonts w:ascii="Times New Roman" w:hAnsi="Times New Roman"/>
          <w:b/>
          <w:iCs/>
          <w:sz w:val="24"/>
          <w:szCs w:val="24"/>
        </w:rPr>
        <w:t>: SVR12 rates for selected subgroups by genotype in study VALENCE</w:t>
      </w:r>
    </w:p>
    <w:p w:rsidR="009C4A9E" w:rsidRDefault="009C4A9E" w:rsidP="009C4A9E">
      <w:pPr>
        <w:keepNext/>
        <w:keepLines/>
        <w:rPr>
          <w:rFonts w:ascii="Times New Roman" w:hAnsi="Times New Roman"/>
          <w:iCs/>
          <w:sz w:val="24"/>
          <w:szCs w:val="24"/>
        </w:rPr>
      </w:pPr>
    </w:p>
    <w:tbl>
      <w:tblPr>
        <w:tblW w:w="8395" w:type="dxa"/>
        <w:jc w:val="center"/>
        <w:tblInd w:w="-3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552"/>
        <w:gridCol w:w="2378"/>
      </w:tblGrid>
      <w:tr w:rsidR="009C4A9E" w:rsidRPr="000444EC" w:rsidTr="009C4A9E">
        <w:trPr>
          <w:jc w:val="center"/>
        </w:trPr>
        <w:tc>
          <w:tcPr>
            <w:tcW w:w="3465" w:type="dxa"/>
            <w:tcBorders>
              <w:top w:val="single" w:sz="12" w:space="0" w:color="auto"/>
              <w:left w:val="nil"/>
              <w:bottom w:val="single" w:sz="4" w:space="0" w:color="auto"/>
            </w:tcBorders>
            <w:shd w:val="clear" w:color="auto" w:fill="auto"/>
          </w:tcPr>
          <w:p w:rsidR="009C4A9E" w:rsidRPr="000444EC" w:rsidRDefault="009C4A9E" w:rsidP="009C4A9E">
            <w:pPr>
              <w:pStyle w:val="Table-Text"/>
              <w:rPr>
                <w:sz w:val="22"/>
                <w:szCs w:val="22"/>
              </w:rPr>
            </w:pPr>
          </w:p>
        </w:tc>
        <w:tc>
          <w:tcPr>
            <w:tcW w:w="2552" w:type="dxa"/>
            <w:tcBorders>
              <w:top w:val="single" w:sz="12" w:space="0" w:color="auto"/>
              <w:bottom w:val="single" w:sz="4" w:space="0" w:color="auto"/>
            </w:tcBorders>
            <w:shd w:val="clear" w:color="auto" w:fill="auto"/>
          </w:tcPr>
          <w:p w:rsidR="009C4A9E" w:rsidRPr="00795982" w:rsidRDefault="009C4A9E" w:rsidP="009C4A9E">
            <w:pPr>
              <w:keepNext/>
              <w:keepLines/>
              <w:jc w:val="center"/>
              <w:rPr>
                <w:rFonts w:ascii="Times New Roman" w:hAnsi="Times New Roman"/>
                <w:b/>
                <w:sz w:val="24"/>
                <w:szCs w:val="24"/>
              </w:rPr>
            </w:pPr>
            <w:r w:rsidRPr="00795982">
              <w:rPr>
                <w:rFonts w:ascii="Times New Roman" w:hAnsi="Times New Roman"/>
                <w:b/>
                <w:sz w:val="24"/>
                <w:szCs w:val="24"/>
              </w:rPr>
              <w:t>Genotype 2</w:t>
            </w:r>
          </w:p>
          <w:p w:rsidR="009C4A9E" w:rsidRPr="00795982" w:rsidRDefault="009C4A9E" w:rsidP="009C4A9E">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 12 weeks</w:t>
            </w:r>
          </w:p>
          <w:p w:rsidR="009C4A9E" w:rsidRPr="00795982" w:rsidRDefault="009C4A9E" w:rsidP="009C4A9E">
            <w:pPr>
              <w:keepNext/>
              <w:keepLines/>
              <w:jc w:val="center"/>
              <w:rPr>
                <w:rFonts w:ascii="Times New Roman" w:eastAsia="SimSun" w:hAnsi="Times New Roman"/>
                <w:b/>
                <w:sz w:val="24"/>
                <w:szCs w:val="24"/>
              </w:rPr>
            </w:pPr>
            <w:r w:rsidRPr="00795982">
              <w:rPr>
                <w:rFonts w:ascii="Times New Roman" w:hAnsi="Times New Roman"/>
                <w:b/>
                <w:sz w:val="24"/>
                <w:szCs w:val="24"/>
              </w:rPr>
              <w:t>(n = 73)</w:t>
            </w:r>
          </w:p>
        </w:tc>
        <w:tc>
          <w:tcPr>
            <w:tcW w:w="2378" w:type="dxa"/>
            <w:tcBorders>
              <w:top w:val="single" w:sz="12" w:space="0" w:color="auto"/>
              <w:bottom w:val="single" w:sz="4" w:space="0" w:color="auto"/>
              <w:right w:val="nil"/>
            </w:tcBorders>
            <w:shd w:val="clear" w:color="auto" w:fill="auto"/>
          </w:tcPr>
          <w:p w:rsidR="009C4A9E" w:rsidRPr="00795982" w:rsidRDefault="009C4A9E" w:rsidP="009C4A9E">
            <w:pPr>
              <w:keepNext/>
              <w:keepLines/>
              <w:jc w:val="center"/>
              <w:rPr>
                <w:rFonts w:ascii="Times New Roman" w:hAnsi="Times New Roman"/>
                <w:b/>
                <w:sz w:val="24"/>
                <w:szCs w:val="24"/>
              </w:rPr>
            </w:pPr>
            <w:r w:rsidRPr="00795982">
              <w:rPr>
                <w:rFonts w:ascii="Times New Roman" w:hAnsi="Times New Roman"/>
                <w:b/>
                <w:sz w:val="24"/>
                <w:szCs w:val="24"/>
              </w:rPr>
              <w:t>Genotype 3</w:t>
            </w:r>
          </w:p>
          <w:p w:rsidR="009C4A9E" w:rsidRPr="00795982" w:rsidRDefault="009C4A9E" w:rsidP="009C4A9E">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 24 weeks</w:t>
            </w:r>
          </w:p>
          <w:p w:rsidR="009C4A9E" w:rsidRPr="00795982" w:rsidRDefault="009C4A9E" w:rsidP="009C4A9E">
            <w:pPr>
              <w:keepNext/>
              <w:keepLines/>
              <w:jc w:val="center"/>
              <w:rPr>
                <w:rFonts w:ascii="Times New Roman" w:hAnsi="Times New Roman"/>
                <w:b/>
                <w:sz w:val="24"/>
                <w:szCs w:val="24"/>
              </w:rPr>
            </w:pPr>
            <w:r w:rsidRPr="00795982">
              <w:rPr>
                <w:rFonts w:ascii="Times New Roman" w:hAnsi="Times New Roman"/>
                <w:b/>
                <w:sz w:val="24"/>
                <w:szCs w:val="24"/>
              </w:rPr>
              <w:t>(n = 250)</w:t>
            </w:r>
          </w:p>
        </w:tc>
      </w:tr>
      <w:tr w:rsidR="009C4A9E" w:rsidRPr="000444EC" w:rsidTr="009C4A9E">
        <w:trPr>
          <w:jc w:val="center"/>
        </w:trPr>
        <w:tc>
          <w:tcPr>
            <w:tcW w:w="3465" w:type="dxa"/>
            <w:tcBorders>
              <w:top w:val="single" w:sz="4" w:space="0" w:color="auto"/>
              <w:left w:val="nil"/>
            </w:tcBorders>
            <w:shd w:val="clear" w:color="auto" w:fill="auto"/>
            <w:vAlign w:val="center"/>
          </w:tcPr>
          <w:p w:rsidR="009C4A9E" w:rsidRPr="000444EC" w:rsidRDefault="009C4A9E" w:rsidP="009C4A9E">
            <w:pPr>
              <w:keepNext/>
              <w:keepLines/>
              <w:rPr>
                <w:rFonts w:ascii="Times New Roman" w:hAnsi="Times New Roman"/>
                <w:sz w:val="24"/>
                <w:szCs w:val="24"/>
              </w:rPr>
            </w:pPr>
            <w:r w:rsidRPr="000444EC">
              <w:rPr>
                <w:rFonts w:ascii="Times New Roman" w:hAnsi="Times New Roman"/>
                <w:sz w:val="24"/>
                <w:szCs w:val="24"/>
              </w:rPr>
              <w:t>Treatment-naïve</w:t>
            </w:r>
          </w:p>
        </w:tc>
        <w:tc>
          <w:tcPr>
            <w:tcW w:w="2552" w:type="dxa"/>
            <w:tcBorders>
              <w:top w:val="single" w:sz="4" w:space="0" w:color="auto"/>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97% (31/32)</w:t>
            </w:r>
          </w:p>
        </w:tc>
        <w:tc>
          <w:tcPr>
            <w:tcW w:w="2378" w:type="dxa"/>
            <w:tcBorders>
              <w:top w:val="single" w:sz="4" w:space="0" w:color="auto"/>
              <w:right w:val="nil"/>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93% (98/105)</w:t>
            </w:r>
          </w:p>
        </w:tc>
      </w:tr>
      <w:tr w:rsidR="009C4A9E" w:rsidRPr="000444EC" w:rsidTr="009C4A9E">
        <w:trPr>
          <w:jc w:val="center"/>
        </w:trPr>
        <w:tc>
          <w:tcPr>
            <w:tcW w:w="3465" w:type="dxa"/>
            <w:tcBorders>
              <w:left w:val="nil"/>
            </w:tcBorders>
            <w:shd w:val="clear" w:color="auto" w:fill="auto"/>
            <w:vAlign w:val="center"/>
          </w:tcPr>
          <w:p w:rsidR="009C4A9E" w:rsidRPr="000444EC" w:rsidRDefault="009C4A9E" w:rsidP="009C4A9E">
            <w:pPr>
              <w:keepNext/>
              <w:keepLines/>
              <w:jc w:val="right"/>
              <w:rPr>
                <w:rFonts w:ascii="Times New Roman" w:hAnsi="Times New Roman"/>
                <w:sz w:val="24"/>
                <w:szCs w:val="24"/>
              </w:rPr>
            </w:pPr>
            <w:r>
              <w:rPr>
                <w:rFonts w:ascii="Times New Roman" w:hAnsi="Times New Roman"/>
                <w:sz w:val="24"/>
                <w:szCs w:val="24"/>
              </w:rPr>
              <w:t xml:space="preserve">               </w:t>
            </w:r>
            <w:r w:rsidRPr="000444EC">
              <w:rPr>
                <w:rFonts w:ascii="Times New Roman" w:hAnsi="Times New Roman"/>
                <w:sz w:val="24"/>
                <w:szCs w:val="24"/>
              </w:rPr>
              <w:t>Non</w:t>
            </w:r>
            <w:r w:rsidRPr="000444EC">
              <w:rPr>
                <w:rFonts w:ascii="Times New Roman" w:hAnsi="Times New Roman"/>
                <w:sz w:val="24"/>
                <w:szCs w:val="24"/>
              </w:rPr>
              <w:noBreakHyphen/>
              <w:t>cirrhotic</w:t>
            </w:r>
          </w:p>
        </w:tc>
        <w:tc>
          <w:tcPr>
            <w:tcW w:w="2552" w:type="dxa"/>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97% (29/30)</w:t>
            </w:r>
          </w:p>
        </w:tc>
        <w:tc>
          <w:tcPr>
            <w:tcW w:w="2378" w:type="dxa"/>
            <w:tcBorders>
              <w:right w:val="nil"/>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94% (86/92)</w:t>
            </w:r>
          </w:p>
        </w:tc>
      </w:tr>
      <w:tr w:rsidR="009C4A9E" w:rsidRPr="000444EC" w:rsidTr="009C4A9E">
        <w:trPr>
          <w:jc w:val="center"/>
        </w:trPr>
        <w:tc>
          <w:tcPr>
            <w:tcW w:w="3465" w:type="dxa"/>
            <w:tcBorders>
              <w:left w:val="nil"/>
            </w:tcBorders>
            <w:shd w:val="clear" w:color="auto" w:fill="auto"/>
            <w:vAlign w:val="center"/>
          </w:tcPr>
          <w:p w:rsidR="009C4A9E" w:rsidRPr="000444EC" w:rsidRDefault="009C4A9E" w:rsidP="009C4A9E">
            <w:pPr>
              <w:keepNext/>
              <w:keepLines/>
              <w:jc w:val="right"/>
              <w:rPr>
                <w:rFonts w:ascii="Times New Roman" w:hAnsi="Times New Roman"/>
                <w:sz w:val="24"/>
                <w:szCs w:val="24"/>
              </w:rPr>
            </w:pPr>
            <w:r>
              <w:rPr>
                <w:rFonts w:ascii="Times New Roman" w:hAnsi="Times New Roman"/>
                <w:sz w:val="24"/>
                <w:szCs w:val="24"/>
              </w:rPr>
              <w:t xml:space="preserve">            </w:t>
            </w:r>
            <w:r w:rsidRPr="000444EC">
              <w:rPr>
                <w:rFonts w:ascii="Times New Roman" w:hAnsi="Times New Roman"/>
                <w:sz w:val="24"/>
                <w:szCs w:val="24"/>
              </w:rPr>
              <w:t>Cirrhotic</w:t>
            </w:r>
          </w:p>
        </w:tc>
        <w:tc>
          <w:tcPr>
            <w:tcW w:w="2552" w:type="dxa"/>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100% (2/2)</w:t>
            </w:r>
          </w:p>
        </w:tc>
        <w:tc>
          <w:tcPr>
            <w:tcW w:w="2378" w:type="dxa"/>
            <w:tcBorders>
              <w:right w:val="nil"/>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92% (12/13)</w:t>
            </w:r>
          </w:p>
        </w:tc>
      </w:tr>
      <w:tr w:rsidR="009C4A9E" w:rsidRPr="000444EC" w:rsidTr="009C4A9E">
        <w:trPr>
          <w:jc w:val="center"/>
        </w:trPr>
        <w:tc>
          <w:tcPr>
            <w:tcW w:w="3465" w:type="dxa"/>
            <w:tcBorders>
              <w:left w:val="nil"/>
            </w:tcBorders>
            <w:shd w:val="clear" w:color="auto" w:fill="auto"/>
            <w:vAlign w:val="center"/>
          </w:tcPr>
          <w:p w:rsidR="009C4A9E" w:rsidRPr="000444EC" w:rsidRDefault="009C4A9E" w:rsidP="009C4A9E">
            <w:pPr>
              <w:keepNext/>
              <w:keepLines/>
              <w:rPr>
                <w:rFonts w:ascii="Times New Roman" w:hAnsi="Times New Roman"/>
                <w:sz w:val="24"/>
                <w:szCs w:val="24"/>
              </w:rPr>
            </w:pPr>
            <w:r w:rsidRPr="000444EC">
              <w:rPr>
                <w:rFonts w:ascii="Times New Roman" w:hAnsi="Times New Roman"/>
                <w:sz w:val="24"/>
                <w:szCs w:val="24"/>
              </w:rPr>
              <w:t>Treatment</w:t>
            </w:r>
            <w:r w:rsidRPr="000444EC">
              <w:rPr>
                <w:rFonts w:ascii="Times New Roman" w:hAnsi="Times New Roman"/>
                <w:sz w:val="24"/>
                <w:szCs w:val="24"/>
              </w:rPr>
              <w:noBreakHyphen/>
              <w:t>experienced</w:t>
            </w:r>
          </w:p>
        </w:tc>
        <w:tc>
          <w:tcPr>
            <w:tcW w:w="2552" w:type="dxa"/>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90% (37/41)</w:t>
            </w:r>
          </w:p>
        </w:tc>
        <w:tc>
          <w:tcPr>
            <w:tcW w:w="2378" w:type="dxa"/>
            <w:tcBorders>
              <w:right w:val="nil"/>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77% (112/145)</w:t>
            </w:r>
          </w:p>
        </w:tc>
      </w:tr>
      <w:tr w:rsidR="009C4A9E" w:rsidRPr="000444EC" w:rsidTr="009C4A9E">
        <w:trPr>
          <w:jc w:val="center"/>
        </w:trPr>
        <w:tc>
          <w:tcPr>
            <w:tcW w:w="3465" w:type="dxa"/>
            <w:tcBorders>
              <w:left w:val="nil"/>
            </w:tcBorders>
            <w:shd w:val="clear" w:color="auto" w:fill="auto"/>
            <w:vAlign w:val="center"/>
          </w:tcPr>
          <w:p w:rsidR="009C4A9E" w:rsidRPr="000444EC" w:rsidRDefault="009C4A9E" w:rsidP="009C4A9E">
            <w:pPr>
              <w:keepNext/>
              <w:keepLines/>
              <w:jc w:val="right"/>
              <w:rPr>
                <w:rFonts w:ascii="Times New Roman" w:hAnsi="Times New Roman"/>
                <w:sz w:val="24"/>
                <w:szCs w:val="24"/>
              </w:rPr>
            </w:pPr>
            <w:r w:rsidRPr="000444EC">
              <w:rPr>
                <w:rFonts w:ascii="Times New Roman" w:hAnsi="Times New Roman"/>
                <w:sz w:val="24"/>
                <w:szCs w:val="24"/>
              </w:rPr>
              <w:t>Non</w:t>
            </w:r>
            <w:r w:rsidRPr="000444EC">
              <w:rPr>
                <w:rFonts w:ascii="Times New Roman" w:hAnsi="Times New Roman"/>
                <w:sz w:val="24"/>
                <w:szCs w:val="24"/>
              </w:rPr>
              <w:noBreakHyphen/>
              <w:t>cirrhotic</w:t>
            </w:r>
          </w:p>
        </w:tc>
        <w:tc>
          <w:tcPr>
            <w:tcW w:w="2552" w:type="dxa"/>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91% (30/33)</w:t>
            </w:r>
          </w:p>
        </w:tc>
        <w:tc>
          <w:tcPr>
            <w:tcW w:w="2378" w:type="dxa"/>
            <w:tcBorders>
              <w:right w:val="nil"/>
            </w:tcBorders>
            <w:shd w:val="clear" w:color="auto" w:fill="auto"/>
          </w:tcPr>
          <w:p w:rsidR="009C4A9E" w:rsidRPr="000444EC" w:rsidRDefault="009C4A9E" w:rsidP="009C4A9E">
            <w:pPr>
              <w:keepNext/>
              <w:keepLines/>
              <w:jc w:val="center"/>
              <w:rPr>
                <w:rFonts w:ascii="Times New Roman" w:hAnsi="Times New Roman"/>
                <w:sz w:val="24"/>
                <w:szCs w:val="24"/>
              </w:rPr>
            </w:pPr>
            <w:r w:rsidRPr="000444EC">
              <w:rPr>
                <w:rFonts w:ascii="Times New Roman" w:hAnsi="Times New Roman"/>
                <w:sz w:val="24"/>
                <w:szCs w:val="24"/>
              </w:rPr>
              <w:t>85% (85/100)</w:t>
            </w:r>
          </w:p>
        </w:tc>
      </w:tr>
      <w:tr w:rsidR="009C4A9E" w:rsidRPr="000444EC" w:rsidTr="009C4A9E">
        <w:trPr>
          <w:jc w:val="center"/>
        </w:trPr>
        <w:tc>
          <w:tcPr>
            <w:tcW w:w="3465" w:type="dxa"/>
            <w:tcBorders>
              <w:left w:val="nil"/>
              <w:bottom w:val="single" w:sz="12" w:space="0" w:color="auto"/>
            </w:tcBorders>
            <w:shd w:val="clear" w:color="auto" w:fill="auto"/>
            <w:vAlign w:val="center"/>
          </w:tcPr>
          <w:p w:rsidR="009C4A9E" w:rsidRPr="000444EC" w:rsidRDefault="009C4A9E" w:rsidP="009C4A9E">
            <w:pPr>
              <w:jc w:val="right"/>
              <w:rPr>
                <w:rFonts w:ascii="Times New Roman" w:hAnsi="Times New Roman"/>
                <w:sz w:val="24"/>
                <w:szCs w:val="24"/>
              </w:rPr>
            </w:pPr>
            <w:r w:rsidRPr="000444EC">
              <w:rPr>
                <w:rFonts w:ascii="Times New Roman" w:hAnsi="Times New Roman"/>
                <w:sz w:val="24"/>
                <w:szCs w:val="24"/>
              </w:rPr>
              <w:t>Cirrhotic</w:t>
            </w:r>
          </w:p>
        </w:tc>
        <w:tc>
          <w:tcPr>
            <w:tcW w:w="2552" w:type="dxa"/>
            <w:tcBorders>
              <w:bottom w:val="single" w:sz="12" w:space="0" w:color="auto"/>
            </w:tcBorders>
            <w:shd w:val="clear" w:color="auto" w:fill="auto"/>
          </w:tcPr>
          <w:p w:rsidR="009C4A9E" w:rsidRPr="000444EC" w:rsidRDefault="009C4A9E" w:rsidP="009C4A9E">
            <w:pPr>
              <w:jc w:val="center"/>
              <w:rPr>
                <w:rFonts w:ascii="Times New Roman" w:hAnsi="Times New Roman"/>
                <w:sz w:val="24"/>
                <w:szCs w:val="24"/>
              </w:rPr>
            </w:pPr>
            <w:r w:rsidRPr="000444EC">
              <w:rPr>
                <w:rFonts w:ascii="Times New Roman" w:hAnsi="Times New Roman"/>
                <w:sz w:val="24"/>
                <w:szCs w:val="24"/>
              </w:rPr>
              <w:t>88% (7/8)</w:t>
            </w:r>
          </w:p>
        </w:tc>
        <w:tc>
          <w:tcPr>
            <w:tcW w:w="2378" w:type="dxa"/>
            <w:tcBorders>
              <w:bottom w:val="single" w:sz="12" w:space="0" w:color="auto"/>
              <w:right w:val="nil"/>
            </w:tcBorders>
            <w:shd w:val="clear" w:color="auto" w:fill="auto"/>
          </w:tcPr>
          <w:p w:rsidR="009C4A9E" w:rsidRPr="000444EC" w:rsidRDefault="009C4A9E" w:rsidP="009C4A9E">
            <w:pPr>
              <w:jc w:val="center"/>
              <w:rPr>
                <w:rFonts w:ascii="Times New Roman" w:hAnsi="Times New Roman"/>
                <w:sz w:val="24"/>
                <w:szCs w:val="24"/>
              </w:rPr>
            </w:pPr>
            <w:r w:rsidRPr="000444EC">
              <w:rPr>
                <w:rFonts w:ascii="Times New Roman" w:hAnsi="Times New Roman"/>
                <w:sz w:val="24"/>
                <w:szCs w:val="24"/>
              </w:rPr>
              <w:t>60% (27/45)</w:t>
            </w:r>
          </w:p>
        </w:tc>
      </w:tr>
    </w:tbl>
    <w:p w:rsidR="009C4A9E" w:rsidRPr="00DA3539" w:rsidRDefault="009C4A9E" w:rsidP="009C4A9E">
      <w:pPr>
        <w:keepNext/>
        <w:keepLines/>
        <w:rPr>
          <w:rFonts w:ascii="Times New Roman" w:hAnsi="Times New Roman"/>
          <w:iCs/>
          <w:sz w:val="24"/>
          <w:szCs w:val="24"/>
        </w:rPr>
      </w:pPr>
    </w:p>
    <w:p w:rsidR="009C4A9E" w:rsidRPr="00DA3539" w:rsidRDefault="009C4A9E" w:rsidP="009C4A9E">
      <w:pPr>
        <w:rPr>
          <w:rFonts w:ascii="Times New Roman" w:hAnsi="Times New Roman"/>
          <w:iCs/>
          <w:sz w:val="24"/>
          <w:szCs w:val="24"/>
        </w:rPr>
      </w:pPr>
    </w:p>
    <w:p w:rsidR="009C4A9E" w:rsidRPr="00DA3539" w:rsidRDefault="009C4A9E" w:rsidP="009C4A9E">
      <w:pPr>
        <w:keepNext/>
        <w:keepLines/>
        <w:rPr>
          <w:rFonts w:ascii="Times New Roman" w:hAnsi="Times New Roman"/>
          <w:i/>
          <w:iCs/>
          <w:sz w:val="24"/>
          <w:szCs w:val="24"/>
        </w:rPr>
      </w:pPr>
      <w:r w:rsidRPr="00DA3539">
        <w:rPr>
          <w:rFonts w:ascii="Times New Roman" w:hAnsi="Times New Roman"/>
          <w:i/>
          <w:iCs/>
          <w:sz w:val="24"/>
          <w:szCs w:val="24"/>
        </w:rPr>
        <w:t>SVR12 to SVR24 concordance</w:t>
      </w:r>
    </w:p>
    <w:p w:rsidR="009C4A9E" w:rsidRPr="00DA3539" w:rsidRDefault="009C4A9E" w:rsidP="009C4A9E">
      <w:pPr>
        <w:rPr>
          <w:rFonts w:ascii="Times New Roman" w:hAnsi="Times New Roman"/>
          <w:iCs/>
          <w:sz w:val="24"/>
          <w:szCs w:val="24"/>
        </w:rPr>
      </w:pPr>
      <w:r w:rsidRPr="00DA3539">
        <w:rPr>
          <w:rFonts w:ascii="Times New Roman" w:hAnsi="Times New Roman"/>
          <w:iCs/>
          <w:sz w:val="24"/>
          <w:szCs w:val="24"/>
        </w:rPr>
        <w:t xml:space="preserve">The concordance between SVR12 and SVR24 (SVR 24 weeks after the end of the treatment) following treatment with </w:t>
      </w:r>
      <w:r>
        <w:rPr>
          <w:rFonts w:ascii="Times New Roman" w:hAnsi="Times New Roman"/>
          <w:iCs/>
          <w:sz w:val="24"/>
          <w:szCs w:val="24"/>
        </w:rPr>
        <w:t>SOVALDI</w:t>
      </w:r>
      <w:r w:rsidRPr="00DA3539">
        <w:rPr>
          <w:rFonts w:ascii="Times New Roman" w:hAnsi="Times New Roman"/>
          <w:iCs/>
          <w:sz w:val="24"/>
          <w:szCs w:val="24"/>
        </w:rPr>
        <w:t xml:space="preserve"> in combination with ribavirin or ribavirin and </w:t>
      </w:r>
      <w:proofErr w:type="spellStart"/>
      <w:r w:rsidRPr="00DA3539">
        <w:rPr>
          <w:rFonts w:ascii="Times New Roman" w:hAnsi="Times New Roman"/>
          <w:iCs/>
          <w:sz w:val="24"/>
          <w:szCs w:val="24"/>
        </w:rPr>
        <w:t>pegylated</w:t>
      </w:r>
      <w:proofErr w:type="spellEnd"/>
      <w:r w:rsidRPr="00DA3539">
        <w:rPr>
          <w:rFonts w:ascii="Times New Roman" w:hAnsi="Times New Roman"/>
          <w:iCs/>
          <w:sz w:val="24"/>
          <w:szCs w:val="24"/>
        </w:rPr>
        <w:t xml:space="preserve"> interferon demonstrates a positive predictive value of 99% and a negative predictive value of 99%.</w:t>
      </w:r>
    </w:p>
    <w:p w:rsidR="009C4A9E" w:rsidRDefault="009C4A9E" w:rsidP="00BF711F">
      <w:pPr>
        <w:pStyle w:val="Text10"/>
      </w:pPr>
    </w:p>
    <w:p w:rsidR="002425EE" w:rsidRDefault="002425EE" w:rsidP="00FE66AA">
      <w:pPr>
        <w:pStyle w:val="Subheading2"/>
        <w:keepLines/>
        <w:rPr>
          <w:i w:val="0"/>
        </w:rPr>
      </w:pPr>
      <w:r>
        <w:rPr>
          <w:i w:val="0"/>
        </w:rPr>
        <w:t>Clinical efficacy and safety in special populations</w:t>
      </w:r>
    </w:p>
    <w:p w:rsidR="00FE66AA" w:rsidRPr="009F754D" w:rsidRDefault="002425EE" w:rsidP="00FE66AA">
      <w:pPr>
        <w:pStyle w:val="Subheading2"/>
        <w:keepLines/>
        <w:rPr>
          <w:b w:val="0"/>
        </w:rPr>
      </w:pPr>
      <w:r w:rsidRPr="009F754D">
        <w:rPr>
          <w:b w:val="0"/>
        </w:rPr>
        <w:t>HCV/HIV c</w:t>
      </w:r>
      <w:r w:rsidR="00FE66AA" w:rsidRPr="009F754D">
        <w:rPr>
          <w:b w:val="0"/>
        </w:rPr>
        <w:t>o</w:t>
      </w:r>
      <w:r w:rsidRPr="009F754D">
        <w:rPr>
          <w:b w:val="0"/>
        </w:rPr>
        <w:t>-</w:t>
      </w:r>
      <w:r w:rsidR="00FE66AA" w:rsidRPr="009F754D">
        <w:rPr>
          <w:b w:val="0"/>
        </w:rPr>
        <w:t xml:space="preserve">infected </w:t>
      </w:r>
      <w:r w:rsidRPr="009F754D">
        <w:rPr>
          <w:b w:val="0"/>
        </w:rPr>
        <w:t>p</w:t>
      </w:r>
      <w:r w:rsidR="00FE66AA" w:rsidRPr="009F754D">
        <w:rPr>
          <w:b w:val="0"/>
        </w:rPr>
        <w:t>atients</w:t>
      </w:r>
      <w:r w:rsidRPr="009F754D">
        <w:rPr>
          <w:b w:val="0"/>
        </w:rPr>
        <w:t xml:space="preserve"> – PHOTON-1 (study 123)</w:t>
      </w:r>
    </w:p>
    <w:p w:rsidR="009F754D" w:rsidRDefault="009F754D" w:rsidP="009F754D">
      <w:pPr>
        <w:rPr>
          <w:rFonts w:ascii="Times New Roman" w:hAnsi="Times New Roman"/>
          <w:iCs/>
          <w:sz w:val="24"/>
          <w:szCs w:val="24"/>
        </w:rPr>
      </w:pPr>
      <w:proofErr w:type="spellStart"/>
      <w:r w:rsidRPr="00416E20">
        <w:rPr>
          <w:rFonts w:ascii="Times New Roman" w:hAnsi="Times New Roman"/>
          <w:iCs/>
          <w:sz w:val="24"/>
          <w:szCs w:val="24"/>
        </w:rPr>
        <w:t>Sofosbuvir</w:t>
      </w:r>
      <w:proofErr w:type="spellEnd"/>
      <w:r w:rsidRPr="00416E20">
        <w:rPr>
          <w:rFonts w:ascii="Times New Roman" w:hAnsi="Times New Roman"/>
          <w:iCs/>
          <w:sz w:val="24"/>
          <w:szCs w:val="24"/>
        </w:rPr>
        <w:t xml:space="preserve"> was studied in an open</w:t>
      </w:r>
      <w:r w:rsidRPr="00416E20">
        <w:rPr>
          <w:rFonts w:ascii="Times New Roman" w:hAnsi="Times New Roman"/>
          <w:iCs/>
          <w:sz w:val="24"/>
          <w:szCs w:val="24"/>
        </w:rPr>
        <w:noBreakHyphen/>
        <w:t xml:space="preserve">label clinical study evaluating the safety and efficacy of 12 or 24 weeks of treatment with </w:t>
      </w:r>
      <w:r>
        <w:rPr>
          <w:rFonts w:ascii="Times New Roman" w:hAnsi="Times New Roman"/>
          <w:iCs/>
          <w:sz w:val="24"/>
          <w:szCs w:val="24"/>
        </w:rPr>
        <w:t>SOVALDI</w:t>
      </w:r>
      <w:r w:rsidRPr="00416E20">
        <w:rPr>
          <w:rFonts w:ascii="Times New Roman" w:hAnsi="Times New Roman"/>
          <w:iCs/>
          <w:sz w:val="24"/>
          <w:szCs w:val="24"/>
        </w:rPr>
        <w:t xml:space="preserve"> and ribavirin in </w:t>
      </w:r>
      <w:r>
        <w:rPr>
          <w:rFonts w:ascii="Times New Roman" w:hAnsi="Times New Roman"/>
          <w:bCs/>
          <w:iCs/>
          <w:sz w:val="24"/>
          <w:szCs w:val="24"/>
        </w:rPr>
        <w:t>patients</w:t>
      </w:r>
      <w:r w:rsidRPr="00416E20">
        <w:rPr>
          <w:rFonts w:ascii="Times New Roman" w:hAnsi="Times New Roman"/>
          <w:iCs/>
          <w:sz w:val="24"/>
          <w:szCs w:val="24"/>
        </w:rPr>
        <w:t xml:space="preserve"> with genotype 1, 2 or </w:t>
      </w:r>
      <w:proofErr w:type="gramStart"/>
      <w:r w:rsidRPr="00416E20">
        <w:rPr>
          <w:rFonts w:ascii="Times New Roman" w:hAnsi="Times New Roman"/>
          <w:iCs/>
          <w:sz w:val="24"/>
          <w:szCs w:val="24"/>
        </w:rPr>
        <w:t>3 chronic hepatitis C co</w:t>
      </w:r>
      <w:r w:rsidRPr="00416E20">
        <w:rPr>
          <w:rFonts w:ascii="Times New Roman" w:hAnsi="Times New Roman"/>
          <w:iCs/>
          <w:sz w:val="24"/>
          <w:szCs w:val="24"/>
        </w:rPr>
        <w:noBreakHyphen/>
        <w:t>infected with HIV</w:t>
      </w:r>
      <w:r w:rsidRPr="00416E20">
        <w:rPr>
          <w:rFonts w:ascii="Times New Roman" w:hAnsi="Times New Roman"/>
          <w:iCs/>
          <w:sz w:val="24"/>
          <w:szCs w:val="24"/>
        </w:rPr>
        <w:noBreakHyphen/>
        <w:t>1</w:t>
      </w:r>
      <w:proofErr w:type="gramEnd"/>
      <w:r w:rsidRPr="00416E20">
        <w:rPr>
          <w:rFonts w:ascii="Times New Roman" w:hAnsi="Times New Roman"/>
          <w:sz w:val="24"/>
          <w:szCs w:val="24"/>
        </w:rPr>
        <w:t xml:space="preserve">.  </w:t>
      </w:r>
      <w:r w:rsidRPr="00416E20">
        <w:rPr>
          <w:rFonts w:ascii="Times New Roman" w:hAnsi="Times New Roman"/>
          <w:iCs/>
          <w:sz w:val="24"/>
          <w:szCs w:val="24"/>
        </w:rPr>
        <w:t xml:space="preserve">Genotype 2 and 3 </w:t>
      </w:r>
      <w:r>
        <w:rPr>
          <w:rFonts w:ascii="Times New Roman" w:hAnsi="Times New Roman"/>
          <w:bCs/>
          <w:iCs/>
          <w:sz w:val="24"/>
          <w:szCs w:val="24"/>
        </w:rPr>
        <w:t>patients</w:t>
      </w:r>
      <w:r w:rsidRPr="00416E20">
        <w:rPr>
          <w:rFonts w:ascii="Times New Roman" w:hAnsi="Times New Roman"/>
          <w:iCs/>
          <w:sz w:val="24"/>
          <w:szCs w:val="24"/>
        </w:rPr>
        <w:t xml:space="preserve"> were either treatment</w:t>
      </w:r>
      <w:r w:rsidRPr="00416E20">
        <w:rPr>
          <w:rFonts w:ascii="Times New Roman" w:hAnsi="Times New Roman"/>
          <w:iCs/>
          <w:sz w:val="24"/>
          <w:szCs w:val="24"/>
        </w:rPr>
        <w:noBreakHyphen/>
        <w:t xml:space="preserve">naïve or </w:t>
      </w:r>
      <w:r w:rsidRPr="00416E20">
        <w:rPr>
          <w:rFonts w:ascii="Times New Roman" w:hAnsi="Times New Roman"/>
          <w:iCs/>
          <w:sz w:val="24"/>
          <w:szCs w:val="24"/>
        </w:rPr>
        <w:lastRenderedPageBreak/>
        <w:t xml:space="preserve">experienced, whereas genotype 1 </w:t>
      </w:r>
      <w:r>
        <w:rPr>
          <w:rFonts w:ascii="Times New Roman" w:hAnsi="Times New Roman"/>
          <w:bCs/>
          <w:iCs/>
          <w:sz w:val="24"/>
          <w:szCs w:val="24"/>
        </w:rPr>
        <w:t>patients</w:t>
      </w:r>
      <w:r w:rsidRPr="00416E20">
        <w:rPr>
          <w:rFonts w:ascii="Times New Roman" w:hAnsi="Times New Roman"/>
          <w:iCs/>
          <w:sz w:val="24"/>
          <w:szCs w:val="24"/>
        </w:rPr>
        <w:t xml:space="preserve"> were naïve to prior treatment.  </w:t>
      </w:r>
      <w:r>
        <w:rPr>
          <w:rFonts w:ascii="Times New Roman" w:hAnsi="Times New Roman"/>
          <w:iCs/>
          <w:sz w:val="24"/>
          <w:szCs w:val="24"/>
        </w:rPr>
        <w:t>Patients</w:t>
      </w:r>
      <w:r w:rsidRPr="00416E20">
        <w:rPr>
          <w:rFonts w:ascii="Times New Roman" w:hAnsi="Times New Roman"/>
          <w:iCs/>
          <w:sz w:val="24"/>
          <w:szCs w:val="24"/>
        </w:rPr>
        <w:t xml:space="preserve"> received 400 mg </w:t>
      </w:r>
      <w:r>
        <w:rPr>
          <w:rFonts w:ascii="Times New Roman" w:hAnsi="Times New Roman"/>
          <w:iCs/>
          <w:sz w:val="24"/>
          <w:szCs w:val="24"/>
        </w:rPr>
        <w:t>SOVALDI</w:t>
      </w:r>
      <w:r w:rsidRPr="00416E20">
        <w:rPr>
          <w:rFonts w:ascii="Times New Roman" w:hAnsi="Times New Roman"/>
          <w:iCs/>
          <w:sz w:val="24"/>
          <w:szCs w:val="24"/>
        </w:rPr>
        <w:t xml:space="preserve"> and weight</w:t>
      </w:r>
      <w:r w:rsidRPr="00416E20">
        <w:rPr>
          <w:rFonts w:ascii="Times New Roman" w:hAnsi="Times New Roman"/>
          <w:iCs/>
          <w:sz w:val="24"/>
          <w:szCs w:val="24"/>
        </w:rPr>
        <w:noBreakHyphen/>
        <w:t xml:space="preserve">based ribavirin (1,000 mg for </w:t>
      </w:r>
      <w:r>
        <w:rPr>
          <w:rFonts w:ascii="Times New Roman" w:hAnsi="Times New Roman"/>
          <w:bCs/>
          <w:iCs/>
          <w:sz w:val="24"/>
          <w:szCs w:val="24"/>
        </w:rPr>
        <w:t>patients</w:t>
      </w:r>
      <w:r w:rsidRPr="00416E20">
        <w:rPr>
          <w:rFonts w:ascii="Times New Roman" w:hAnsi="Times New Roman"/>
          <w:iCs/>
          <w:sz w:val="24"/>
          <w:szCs w:val="24"/>
        </w:rPr>
        <w:t xml:space="preserve"> weighing &lt;75 kg or 1,200 mg for </w:t>
      </w:r>
      <w:r>
        <w:rPr>
          <w:rFonts w:ascii="Times New Roman" w:hAnsi="Times New Roman"/>
          <w:bCs/>
          <w:iCs/>
          <w:sz w:val="24"/>
          <w:szCs w:val="24"/>
        </w:rPr>
        <w:t>patients</w:t>
      </w:r>
      <w:r w:rsidRPr="00416E20">
        <w:rPr>
          <w:rFonts w:ascii="Times New Roman" w:hAnsi="Times New Roman"/>
          <w:iCs/>
          <w:sz w:val="24"/>
          <w:szCs w:val="24"/>
        </w:rPr>
        <w:t xml:space="preserve"> weighing ≥75 kg)</w:t>
      </w:r>
      <w:r>
        <w:rPr>
          <w:rFonts w:ascii="Times New Roman" w:hAnsi="Times New Roman"/>
          <w:iCs/>
          <w:sz w:val="24"/>
          <w:szCs w:val="24"/>
        </w:rPr>
        <w:t xml:space="preserve"> daily for 12 or 24 weeks based on genotype and prior treatment history</w:t>
      </w:r>
      <w:r w:rsidRPr="00416E20">
        <w:rPr>
          <w:rFonts w:ascii="Times New Roman" w:hAnsi="Times New Roman"/>
          <w:iCs/>
          <w:sz w:val="24"/>
          <w:szCs w:val="24"/>
        </w:rPr>
        <w:t xml:space="preserve">.  </w:t>
      </w:r>
      <w:r>
        <w:rPr>
          <w:rFonts w:ascii="Times New Roman" w:hAnsi="Times New Roman"/>
          <w:bCs/>
          <w:iCs/>
          <w:sz w:val="24"/>
          <w:szCs w:val="24"/>
        </w:rPr>
        <w:t>Patients</w:t>
      </w:r>
      <w:r w:rsidRPr="00416E20">
        <w:rPr>
          <w:rFonts w:ascii="Times New Roman" w:hAnsi="Times New Roman"/>
          <w:iCs/>
          <w:sz w:val="24"/>
          <w:szCs w:val="24"/>
        </w:rPr>
        <w:t xml:space="preserve"> were either not on antiretroviral therapy with a CD4+ cell count &gt;500 cells/mm</w:t>
      </w:r>
      <w:r w:rsidRPr="00416E20">
        <w:rPr>
          <w:rFonts w:ascii="Times New Roman" w:hAnsi="Times New Roman"/>
          <w:iCs/>
          <w:sz w:val="24"/>
          <w:szCs w:val="24"/>
          <w:vertAlign w:val="superscript"/>
        </w:rPr>
        <w:t>3</w:t>
      </w:r>
      <w:r w:rsidRPr="00416E20">
        <w:rPr>
          <w:rFonts w:ascii="Times New Roman" w:hAnsi="Times New Roman"/>
          <w:iCs/>
          <w:sz w:val="24"/>
          <w:szCs w:val="24"/>
        </w:rPr>
        <w:t xml:space="preserve"> or had virologically suppressed HIV</w:t>
      </w:r>
      <w:r w:rsidRPr="00416E20">
        <w:rPr>
          <w:rFonts w:ascii="Times New Roman" w:hAnsi="Times New Roman"/>
          <w:iCs/>
          <w:sz w:val="24"/>
          <w:szCs w:val="24"/>
        </w:rPr>
        <w:noBreakHyphen/>
        <w:t>1 with a CD4+ cell count &gt;200 cells/mm</w:t>
      </w:r>
      <w:r w:rsidRPr="00416E20">
        <w:rPr>
          <w:rFonts w:ascii="Times New Roman" w:hAnsi="Times New Roman"/>
          <w:iCs/>
          <w:sz w:val="24"/>
          <w:szCs w:val="24"/>
          <w:vertAlign w:val="superscript"/>
        </w:rPr>
        <w:t>3</w:t>
      </w:r>
      <w:r w:rsidRPr="00416E20">
        <w:rPr>
          <w:rFonts w:ascii="Times New Roman" w:hAnsi="Times New Roman"/>
          <w:iCs/>
          <w:sz w:val="24"/>
          <w:szCs w:val="24"/>
        </w:rPr>
        <w:t xml:space="preserve">.  </w:t>
      </w:r>
      <w:r>
        <w:rPr>
          <w:rFonts w:ascii="Times New Roman" w:hAnsi="Times New Roman"/>
          <w:iCs/>
          <w:sz w:val="24"/>
          <w:szCs w:val="24"/>
        </w:rPr>
        <w:t xml:space="preserve">Efficacy </w:t>
      </w:r>
      <w:r w:rsidRPr="00416E20">
        <w:rPr>
          <w:rFonts w:ascii="Times New Roman" w:hAnsi="Times New Roman"/>
          <w:iCs/>
          <w:sz w:val="24"/>
          <w:szCs w:val="24"/>
        </w:rPr>
        <w:t xml:space="preserve">data </w:t>
      </w:r>
      <w:r>
        <w:rPr>
          <w:rFonts w:ascii="Times New Roman" w:hAnsi="Times New Roman"/>
          <w:iCs/>
          <w:sz w:val="24"/>
          <w:szCs w:val="24"/>
        </w:rPr>
        <w:t xml:space="preserve">12 weeks post treatment are available for </w:t>
      </w:r>
      <w:r w:rsidRPr="00416E20">
        <w:rPr>
          <w:rFonts w:ascii="Times New Roman" w:hAnsi="Times New Roman"/>
          <w:iCs/>
          <w:sz w:val="24"/>
          <w:szCs w:val="24"/>
        </w:rPr>
        <w:t>210 </w:t>
      </w:r>
      <w:r>
        <w:rPr>
          <w:rFonts w:ascii="Times New Roman" w:hAnsi="Times New Roman"/>
          <w:bCs/>
          <w:iCs/>
          <w:sz w:val="24"/>
          <w:szCs w:val="24"/>
        </w:rPr>
        <w:t>patients</w:t>
      </w:r>
      <w:r>
        <w:rPr>
          <w:rFonts w:ascii="Times New Roman" w:hAnsi="Times New Roman"/>
          <w:iCs/>
          <w:sz w:val="24"/>
          <w:szCs w:val="24"/>
        </w:rPr>
        <w:t xml:space="preserve"> (Table 1</w:t>
      </w:r>
      <w:r w:rsidR="00525003">
        <w:rPr>
          <w:rFonts w:ascii="Times New Roman" w:hAnsi="Times New Roman"/>
          <w:iCs/>
          <w:sz w:val="24"/>
          <w:szCs w:val="24"/>
        </w:rPr>
        <w:t>1</w:t>
      </w:r>
      <w:r>
        <w:rPr>
          <w:rFonts w:ascii="Times New Roman" w:hAnsi="Times New Roman"/>
          <w:iCs/>
          <w:sz w:val="24"/>
          <w:szCs w:val="24"/>
        </w:rPr>
        <w:t xml:space="preserve">).  </w:t>
      </w:r>
    </w:p>
    <w:p w:rsidR="00B33484" w:rsidRDefault="00B33484" w:rsidP="009F754D">
      <w:pPr>
        <w:rPr>
          <w:rFonts w:ascii="Times New Roman" w:hAnsi="Times New Roman"/>
          <w:iCs/>
          <w:sz w:val="24"/>
          <w:szCs w:val="24"/>
        </w:rPr>
      </w:pPr>
    </w:p>
    <w:p w:rsidR="009F754D" w:rsidRPr="003B0AEA" w:rsidRDefault="00EC22FC" w:rsidP="009F754D">
      <w:pPr>
        <w:rPr>
          <w:rFonts w:ascii="Times New Roman" w:hAnsi="Times New Roman"/>
          <w:iCs/>
          <w:szCs w:val="22"/>
        </w:rPr>
      </w:pPr>
      <w:r w:rsidRPr="00EC22FC">
        <w:rPr>
          <w:rFonts w:ascii="Times New Roman" w:hAnsi="Times New Roman"/>
          <w:iCs/>
          <w:sz w:val="24"/>
          <w:szCs w:val="24"/>
        </w:rPr>
        <w:t>There is limited data on the safety and efficacy of SOVALDI in HCV/HIV co-infected patients with untreated HIV</w:t>
      </w:r>
      <w:r>
        <w:rPr>
          <w:rFonts w:ascii="Times New Roman" w:hAnsi="Times New Roman"/>
          <w:iCs/>
          <w:sz w:val="24"/>
          <w:szCs w:val="24"/>
        </w:rPr>
        <w:t>.</w:t>
      </w:r>
    </w:p>
    <w:p w:rsidR="009F754D" w:rsidRPr="0088539E" w:rsidRDefault="009F754D" w:rsidP="009F754D">
      <w:pPr>
        <w:rPr>
          <w:rFonts w:ascii="Times New Roman" w:hAnsi="Times New Roman"/>
          <w:iCs/>
          <w:sz w:val="24"/>
          <w:szCs w:val="24"/>
        </w:rPr>
      </w:pPr>
      <w:r w:rsidRPr="0088539E">
        <w:rPr>
          <w:rFonts w:ascii="Times New Roman" w:hAnsi="Times New Roman"/>
          <w:iCs/>
          <w:sz w:val="24"/>
          <w:szCs w:val="24"/>
        </w:rPr>
        <w:t xml:space="preserve"> </w:t>
      </w:r>
    </w:p>
    <w:p w:rsidR="009F754D" w:rsidRPr="00E45855" w:rsidRDefault="009F754D" w:rsidP="009F754D">
      <w:pPr>
        <w:keepNext/>
        <w:keepLines/>
        <w:rPr>
          <w:rFonts w:ascii="Times New Roman" w:hAnsi="Times New Roman"/>
          <w:b/>
          <w:iCs/>
          <w:sz w:val="24"/>
          <w:szCs w:val="24"/>
        </w:rPr>
      </w:pPr>
      <w:r w:rsidRPr="00E45855">
        <w:rPr>
          <w:rFonts w:ascii="Times New Roman" w:hAnsi="Times New Roman"/>
          <w:b/>
          <w:iCs/>
          <w:sz w:val="24"/>
          <w:szCs w:val="24"/>
        </w:rPr>
        <w:t>Table 1</w:t>
      </w:r>
      <w:r w:rsidR="00525003">
        <w:rPr>
          <w:rFonts w:ascii="Times New Roman" w:hAnsi="Times New Roman"/>
          <w:b/>
          <w:iCs/>
          <w:sz w:val="24"/>
          <w:szCs w:val="24"/>
        </w:rPr>
        <w:t>1</w:t>
      </w:r>
      <w:r w:rsidRPr="00E45855">
        <w:rPr>
          <w:rFonts w:ascii="Times New Roman" w:hAnsi="Times New Roman"/>
          <w:b/>
          <w:iCs/>
          <w:sz w:val="24"/>
          <w:szCs w:val="24"/>
        </w:rPr>
        <w:t>: Response rates in study PHOTON</w:t>
      </w:r>
      <w:r w:rsidRPr="00E45855">
        <w:rPr>
          <w:rFonts w:ascii="Times New Roman" w:hAnsi="Times New Roman"/>
          <w:b/>
          <w:iCs/>
          <w:sz w:val="24"/>
          <w:szCs w:val="24"/>
        </w:rPr>
        <w:noBreakHyphen/>
        <w:t>1</w:t>
      </w:r>
      <w:r w:rsidRPr="00E45855">
        <w:rPr>
          <w:rFonts w:ascii="Times New Roman" w:hAnsi="Times New Roman"/>
          <w:b/>
          <w:iCs/>
          <w:sz w:val="24"/>
          <w:szCs w:val="24"/>
          <w:vertAlign w:val="superscript"/>
        </w:rPr>
        <w:t>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
        <w:gridCol w:w="1916"/>
        <w:gridCol w:w="2277"/>
        <w:gridCol w:w="1984"/>
        <w:gridCol w:w="1985"/>
      </w:tblGrid>
      <w:tr w:rsidR="009F754D" w:rsidRPr="00416E20" w:rsidTr="00C02D75">
        <w:tc>
          <w:tcPr>
            <w:tcW w:w="2226" w:type="dxa"/>
            <w:gridSpan w:val="2"/>
            <w:tcBorders>
              <w:top w:val="single" w:sz="12" w:space="0" w:color="auto"/>
              <w:left w:val="nil"/>
              <w:bottom w:val="single" w:sz="12" w:space="0" w:color="auto"/>
            </w:tcBorders>
            <w:vAlign w:val="center"/>
          </w:tcPr>
          <w:p w:rsidR="009F754D" w:rsidRPr="00416E20" w:rsidRDefault="009F754D" w:rsidP="00B37B92">
            <w:pPr>
              <w:keepNext/>
              <w:keepLines/>
              <w:rPr>
                <w:rFonts w:ascii="Times New Roman" w:hAnsi="Times New Roman"/>
                <w:sz w:val="24"/>
                <w:szCs w:val="24"/>
                <w:lang w:val="en-US"/>
              </w:rPr>
            </w:pPr>
          </w:p>
        </w:tc>
        <w:tc>
          <w:tcPr>
            <w:tcW w:w="2277" w:type="dxa"/>
            <w:tcBorders>
              <w:top w:val="single" w:sz="12" w:space="0" w:color="auto"/>
              <w:bottom w:val="single" w:sz="12" w:space="0" w:color="auto"/>
            </w:tcBorders>
            <w:vAlign w:val="center"/>
          </w:tcPr>
          <w:p w:rsidR="009F754D" w:rsidRPr="00795982" w:rsidRDefault="009F754D" w:rsidP="009F754D">
            <w:pPr>
              <w:keepNext/>
              <w:keepLines/>
              <w:jc w:val="center"/>
              <w:rPr>
                <w:rFonts w:ascii="Times New Roman" w:hAnsi="Times New Roman"/>
                <w:b/>
                <w:sz w:val="24"/>
                <w:szCs w:val="24"/>
                <w:lang w:val="pt-PT"/>
              </w:rPr>
            </w:pPr>
            <w:r w:rsidRPr="00795982">
              <w:rPr>
                <w:rFonts w:ascii="Times New Roman" w:hAnsi="Times New Roman"/>
                <w:b/>
                <w:sz w:val="24"/>
                <w:szCs w:val="24"/>
                <w:lang w:val="pt-PT"/>
              </w:rPr>
              <w:t>HCV genotype 1</w:t>
            </w:r>
          </w:p>
        </w:tc>
        <w:tc>
          <w:tcPr>
            <w:tcW w:w="1984" w:type="dxa"/>
            <w:tcBorders>
              <w:top w:val="single" w:sz="12" w:space="0" w:color="auto"/>
              <w:bottom w:val="single" w:sz="12" w:space="0" w:color="auto"/>
            </w:tcBorders>
            <w:vAlign w:val="center"/>
          </w:tcPr>
          <w:p w:rsidR="009F754D" w:rsidRPr="00795982" w:rsidRDefault="009F754D" w:rsidP="009F754D">
            <w:pPr>
              <w:keepNext/>
              <w:keepLines/>
              <w:jc w:val="center"/>
              <w:rPr>
                <w:rFonts w:ascii="Times New Roman" w:hAnsi="Times New Roman"/>
                <w:b/>
                <w:sz w:val="24"/>
                <w:szCs w:val="24"/>
                <w:lang w:val="pt-PT"/>
              </w:rPr>
            </w:pPr>
            <w:r w:rsidRPr="00795982">
              <w:rPr>
                <w:rFonts w:ascii="Times New Roman" w:hAnsi="Times New Roman"/>
                <w:b/>
                <w:sz w:val="24"/>
                <w:szCs w:val="24"/>
                <w:lang w:val="pt-PT"/>
              </w:rPr>
              <w:t>HCV genotype 2</w:t>
            </w:r>
          </w:p>
        </w:tc>
        <w:tc>
          <w:tcPr>
            <w:tcW w:w="1985" w:type="dxa"/>
            <w:tcBorders>
              <w:top w:val="single" w:sz="12" w:space="0" w:color="auto"/>
              <w:bottom w:val="single" w:sz="12" w:space="0" w:color="auto"/>
              <w:right w:val="nil"/>
            </w:tcBorders>
            <w:vAlign w:val="center"/>
          </w:tcPr>
          <w:p w:rsidR="009F754D" w:rsidRPr="00795982" w:rsidRDefault="009F754D" w:rsidP="009F754D">
            <w:pPr>
              <w:keepNext/>
              <w:keepLines/>
              <w:jc w:val="center"/>
              <w:rPr>
                <w:rFonts w:ascii="Times New Roman" w:hAnsi="Times New Roman"/>
                <w:b/>
                <w:sz w:val="24"/>
                <w:szCs w:val="24"/>
                <w:lang w:val="pt-PT"/>
              </w:rPr>
            </w:pPr>
            <w:r w:rsidRPr="00795982">
              <w:rPr>
                <w:rFonts w:ascii="Times New Roman" w:hAnsi="Times New Roman"/>
                <w:b/>
                <w:sz w:val="24"/>
                <w:szCs w:val="24"/>
                <w:lang w:val="pt-PT"/>
              </w:rPr>
              <w:t>HCV genotype 3</w:t>
            </w:r>
          </w:p>
        </w:tc>
      </w:tr>
      <w:tr w:rsidR="009F754D" w:rsidRPr="00416E20" w:rsidTr="00C02D75">
        <w:tc>
          <w:tcPr>
            <w:tcW w:w="2226" w:type="dxa"/>
            <w:gridSpan w:val="2"/>
            <w:tcBorders>
              <w:top w:val="single" w:sz="12" w:space="0" w:color="auto"/>
              <w:left w:val="nil"/>
            </w:tcBorders>
            <w:vAlign w:val="center"/>
          </w:tcPr>
          <w:p w:rsidR="009F754D" w:rsidRPr="00416E20" w:rsidRDefault="009F754D" w:rsidP="00B37B92">
            <w:pPr>
              <w:keepNext/>
              <w:keepLines/>
              <w:rPr>
                <w:rFonts w:ascii="Times New Roman" w:hAnsi="Times New Roman"/>
                <w:sz w:val="24"/>
                <w:szCs w:val="24"/>
                <w:lang w:val="en-US"/>
              </w:rPr>
            </w:pPr>
          </w:p>
        </w:tc>
        <w:tc>
          <w:tcPr>
            <w:tcW w:w="2277" w:type="dxa"/>
            <w:tcBorders>
              <w:top w:val="single" w:sz="12" w:space="0" w:color="auto"/>
            </w:tcBorders>
            <w:vAlign w:val="center"/>
          </w:tcPr>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SOVALDI + 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24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lang w:val="pt-PT"/>
              </w:rPr>
              <w:t>TN (n = 114)</w:t>
            </w:r>
          </w:p>
        </w:tc>
        <w:tc>
          <w:tcPr>
            <w:tcW w:w="1984" w:type="dxa"/>
            <w:tcBorders>
              <w:top w:val="single" w:sz="12" w:space="0" w:color="auto"/>
            </w:tcBorders>
            <w:vAlign w:val="center"/>
          </w:tcPr>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SOVALDI + 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12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lang w:val="pt-PT"/>
              </w:rPr>
              <w:t>TN (n = 26)</w:t>
            </w:r>
          </w:p>
        </w:tc>
        <w:tc>
          <w:tcPr>
            <w:tcW w:w="1985" w:type="dxa"/>
            <w:tcBorders>
              <w:top w:val="single" w:sz="12" w:space="0" w:color="auto"/>
              <w:right w:val="nil"/>
            </w:tcBorders>
            <w:vAlign w:val="center"/>
          </w:tcPr>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SOVALDI + 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24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lang w:val="pt-PT"/>
              </w:rPr>
              <w:t>TE (n = 13)</w:t>
            </w:r>
          </w:p>
        </w:tc>
      </w:tr>
      <w:tr w:rsidR="009F754D" w:rsidRPr="00416E20" w:rsidTr="00C02D75">
        <w:tc>
          <w:tcPr>
            <w:tcW w:w="2226" w:type="dxa"/>
            <w:gridSpan w:val="2"/>
            <w:tcBorders>
              <w:left w:val="nil"/>
            </w:tcBorders>
            <w:vAlign w:val="center"/>
          </w:tcPr>
          <w:p w:rsidR="009F754D" w:rsidRPr="00416E20" w:rsidRDefault="009F754D" w:rsidP="00B37B92">
            <w:pPr>
              <w:keepNext/>
              <w:keepLines/>
              <w:rPr>
                <w:rFonts w:ascii="Times New Roman" w:hAnsi="Times New Roman"/>
                <w:sz w:val="24"/>
                <w:szCs w:val="24"/>
                <w:lang w:val="en-US"/>
              </w:rPr>
            </w:pPr>
            <w:r w:rsidRPr="00416E20">
              <w:rPr>
                <w:rFonts w:ascii="Times New Roman" w:hAnsi="Times New Roman"/>
                <w:sz w:val="24"/>
                <w:szCs w:val="24"/>
                <w:lang w:val="en-US"/>
              </w:rPr>
              <w:t>Overall SVR12</w:t>
            </w:r>
          </w:p>
        </w:tc>
        <w:tc>
          <w:tcPr>
            <w:tcW w:w="2277" w:type="dxa"/>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76</w:t>
            </w:r>
            <w:r w:rsidRPr="00416E20">
              <w:rPr>
                <w:rFonts w:ascii="Times New Roman" w:hAnsi="Times New Roman"/>
                <w:sz w:val="24"/>
                <w:szCs w:val="24"/>
              </w:rPr>
              <w:t>% (</w:t>
            </w:r>
            <w:r>
              <w:rPr>
                <w:rFonts w:ascii="Times New Roman" w:hAnsi="Times New Roman"/>
                <w:sz w:val="24"/>
                <w:szCs w:val="24"/>
              </w:rPr>
              <w:t>87/114</w:t>
            </w:r>
            <w:r w:rsidRPr="00416E20">
              <w:rPr>
                <w:rFonts w:ascii="Times New Roman" w:hAnsi="Times New Roman"/>
                <w:sz w:val="24"/>
                <w:szCs w:val="24"/>
              </w:rPr>
              <w:t>)</w:t>
            </w:r>
          </w:p>
        </w:tc>
        <w:tc>
          <w:tcPr>
            <w:tcW w:w="1984" w:type="dxa"/>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lang w:eastAsia="ko-KR"/>
              </w:rPr>
              <w:t>88</w:t>
            </w:r>
            <w:r w:rsidRPr="00416E20">
              <w:rPr>
                <w:rFonts w:ascii="Times New Roman" w:hAnsi="Times New Roman"/>
                <w:sz w:val="24"/>
                <w:szCs w:val="24"/>
                <w:lang w:eastAsia="ko-KR"/>
              </w:rPr>
              <w:t>% (</w:t>
            </w:r>
            <w:r>
              <w:rPr>
                <w:rFonts w:ascii="Times New Roman" w:hAnsi="Times New Roman"/>
                <w:sz w:val="24"/>
                <w:szCs w:val="24"/>
                <w:lang w:eastAsia="ko-KR"/>
              </w:rPr>
              <w:t>23/26</w:t>
            </w:r>
            <w:r w:rsidRPr="00416E20">
              <w:rPr>
                <w:rFonts w:ascii="Times New Roman" w:hAnsi="Times New Roman"/>
                <w:sz w:val="24"/>
                <w:szCs w:val="24"/>
                <w:lang w:eastAsia="ko-KR"/>
              </w:rPr>
              <w:t>)</w:t>
            </w:r>
          </w:p>
        </w:tc>
        <w:tc>
          <w:tcPr>
            <w:tcW w:w="1985" w:type="dxa"/>
            <w:tcBorders>
              <w:right w:val="nil"/>
            </w:tcBorders>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lang w:eastAsia="ko-KR"/>
              </w:rPr>
              <w:t>92</w:t>
            </w:r>
            <w:r w:rsidRPr="00416E20">
              <w:rPr>
                <w:rFonts w:ascii="Times New Roman" w:hAnsi="Times New Roman"/>
                <w:sz w:val="24"/>
                <w:szCs w:val="24"/>
                <w:lang w:eastAsia="ko-KR"/>
              </w:rPr>
              <w:t>% (</w:t>
            </w:r>
            <w:r>
              <w:rPr>
                <w:rFonts w:ascii="Times New Roman" w:hAnsi="Times New Roman"/>
                <w:sz w:val="24"/>
                <w:szCs w:val="24"/>
                <w:lang w:eastAsia="ko-KR"/>
              </w:rPr>
              <w:t>12/13</w:t>
            </w:r>
            <w:r w:rsidRPr="00416E20">
              <w:rPr>
                <w:rFonts w:ascii="Times New Roman" w:hAnsi="Times New Roman"/>
                <w:sz w:val="24"/>
                <w:szCs w:val="24"/>
                <w:lang w:eastAsia="ko-KR"/>
              </w:rPr>
              <w:t>)</w:t>
            </w:r>
          </w:p>
        </w:tc>
      </w:tr>
      <w:tr w:rsidR="009F754D" w:rsidRPr="00416E20" w:rsidTr="00C02D75">
        <w:tc>
          <w:tcPr>
            <w:tcW w:w="2226" w:type="dxa"/>
            <w:gridSpan w:val="2"/>
            <w:tcBorders>
              <w:left w:val="nil"/>
            </w:tcBorders>
            <w:vAlign w:val="center"/>
          </w:tcPr>
          <w:p w:rsidR="009F754D" w:rsidRPr="00416E20" w:rsidRDefault="009F754D" w:rsidP="00B37B92">
            <w:pPr>
              <w:keepNext/>
              <w:keepLines/>
              <w:rPr>
                <w:rFonts w:ascii="Times New Roman" w:hAnsi="Times New Roman"/>
                <w:sz w:val="24"/>
                <w:szCs w:val="24"/>
                <w:lang w:val="en-US"/>
              </w:rPr>
            </w:pPr>
            <w:r w:rsidRPr="00416E20">
              <w:rPr>
                <w:rFonts w:ascii="Times New Roman" w:hAnsi="Times New Roman"/>
                <w:sz w:val="24"/>
                <w:szCs w:val="24"/>
                <w:lang w:val="en-US"/>
              </w:rPr>
              <w:t>Outcome for subjects without SVR12</w:t>
            </w:r>
          </w:p>
        </w:tc>
        <w:tc>
          <w:tcPr>
            <w:tcW w:w="2277" w:type="dxa"/>
            <w:vAlign w:val="center"/>
          </w:tcPr>
          <w:p w:rsidR="009F754D" w:rsidRPr="00416E20" w:rsidRDefault="009F754D" w:rsidP="00525003">
            <w:pPr>
              <w:keepNext/>
              <w:keepLines/>
              <w:jc w:val="center"/>
              <w:rPr>
                <w:rFonts w:ascii="Times New Roman" w:hAnsi="Times New Roman"/>
                <w:sz w:val="24"/>
                <w:szCs w:val="24"/>
                <w:lang w:val="en-US"/>
              </w:rPr>
            </w:pPr>
          </w:p>
        </w:tc>
        <w:tc>
          <w:tcPr>
            <w:tcW w:w="1984" w:type="dxa"/>
            <w:vAlign w:val="center"/>
          </w:tcPr>
          <w:p w:rsidR="009F754D" w:rsidRPr="00416E20" w:rsidRDefault="009F754D" w:rsidP="00525003">
            <w:pPr>
              <w:keepNext/>
              <w:keepLines/>
              <w:jc w:val="center"/>
              <w:rPr>
                <w:rFonts w:ascii="Times New Roman" w:hAnsi="Times New Roman"/>
                <w:sz w:val="24"/>
                <w:szCs w:val="24"/>
                <w:lang w:val="en-US"/>
              </w:rPr>
            </w:pPr>
          </w:p>
        </w:tc>
        <w:tc>
          <w:tcPr>
            <w:tcW w:w="1985" w:type="dxa"/>
            <w:tcBorders>
              <w:right w:val="nil"/>
            </w:tcBorders>
            <w:vAlign w:val="center"/>
          </w:tcPr>
          <w:p w:rsidR="009F754D" w:rsidRPr="00416E20" w:rsidRDefault="009F754D" w:rsidP="00525003">
            <w:pPr>
              <w:keepNext/>
              <w:keepLines/>
              <w:jc w:val="center"/>
              <w:rPr>
                <w:rFonts w:ascii="Times New Roman" w:hAnsi="Times New Roman"/>
                <w:sz w:val="24"/>
                <w:szCs w:val="24"/>
                <w:lang w:val="en-US"/>
              </w:rPr>
            </w:pPr>
          </w:p>
        </w:tc>
      </w:tr>
      <w:tr w:rsidR="009F754D" w:rsidRPr="00416E20" w:rsidTr="00C02D75">
        <w:tc>
          <w:tcPr>
            <w:tcW w:w="310" w:type="dxa"/>
            <w:tcBorders>
              <w:left w:val="nil"/>
              <w:right w:val="nil"/>
            </w:tcBorders>
            <w:vAlign w:val="center"/>
          </w:tcPr>
          <w:p w:rsidR="009F754D" w:rsidRPr="00416E20" w:rsidRDefault="009F754D" w:rsidP="00B37B92">
            <w:pPr>
              <w:keepNext/>
              <w:keepLines/>
              <w:rPr>
                <w:rFonts w:ascii="Times New Roman" w:hAnsi="Times New Roman"/>
                <w:sz w:val="24"/>
                <w:szCs w:val="24"/>
                <w:lang w:val="en-US"/>
              </w:rPr>
            </w:pPr>
          </w:p>
        </w:tc>
        <w:tc>
          <w:tcPr>
            <w:tcW w:w="1916" w:type="dxa"/>
            <w:tcBorders>
              <w:left w:val="nil"/>
            </w:tcBorders>
            <w:vAlign w:val="center"/>
          </w:tcPr>
          <w:p w:rsidR="009F754D" w:rsidRPr="00416E20" w:rsidRDefault="009F754D" w:rsidP="00B37B92">
            <w:pPr>
              <w:keepNext/>
              <w:keepLines/>
              <w:rPr>
                <w:rFonts w:ascii="Times New Roman" w:hAnsi="Times New Roman"/>
                <w:sz w:val="24"/>
                <w:szCs w:val="24"/>
                <w:lang w:val="en-US"/>
              </w:rPr>
            </w:pPr>
            <w:r w:rsidRPr="00416E20">
              <w:rPr>
                <w:rFonts w:ascii="Times New Roman" w:hAnsi="Times New Roman"/>
                <w:sz w:val="24"/>
                <w:szCs w:val="24"/>
                <w:lang w:val="en-US"/>
              </w:rPr>
              <w:t>On</w:t>
            </w:r>
            <w:r w:rsidRPr="00416E20">
              <w:rPr>
                <w:rFonts w:ascii="Times New Roman" w:hAnsi="Times New Roman"/>
                <w:sz w:val="24"/>
                <w:szCs w:val="24"/>
                <w:lang w:val="en-US"/>
              </w:rPr>
              <w:noBreakHyphen/>
              <w:t xml:space="preserve">treatment </w:t>
            </w:r>
            <w:proofErr w:type="spellStart"/>
            <w:r w:rsidRPr="00416E20">
              <w:rPr>
                <w:rFonts w:ascii="Times New Roman" w:hAnsi="Times New Roman"/>
                <w:sz w:val="24"/>
                <w:szCs w:val="24"/>
                <w:lang w:val="en-US"/>
              </w:rPr>
              <w:t>virologic</w:t>
            </w:r>
            <w:proofErr w:type="spellEnd"/>
            <w:r w:rsidRPr="00416E20">
              <w:rPr>
                <w:rFonts w:ascii="Times New Roman" w:hAnsi="Times New Roman"/>
                <w:sz w:val="24"/>
                <w:szCs w:val="24"/>
                <w:lang w:val="en-US"/>
              </w:rPr>
              <w:t xml:space="preserve"> failure</w:t>
            </w:r>
          </w:p>
        </w:tc>
        <w:tc>
          <w:tcPr>
            <w:tcW w:w="2277" w:type="dxa"/>
            <w:vAlign w:val="center"/>
          </w:tcPr>
          <w:p w:rsidR="009F754D" w:rsidRPr="00416E20" w:rsidRDefault="009F754D" w:rsidP="00525003">
            <w:pPr>
              <w:keepNext/>
              <w:keepLines/>
              <w:jc w:val="center"/>
              <w:rPr>
                <w:rFonts w:ascii="Times New Roman" w:hAnsi="Times New Roman"/>
                <w:sz w:val="24"/>
                <w:szCs w:val="24"/>
                <w:lang w:val="en-US"/>
              </w:rPr>
            </w:pPr>
            <w:r w:rsidRPr="00416E20">
              <w:rPr>
                <w:rFonts w:ascii="Times New Roman" w:hAnsi="Times New Roman"/>
                <w:sz w:val="24"/>
                <w:szCs w:val="24"/>
              </w:rPr>
              <w:t>1% (1/</w:t>
            </w:r>
            <w:r>
              <w:rPr>
                <w:rFonts w:ascii="Times New Roman" w:hAnsi="Times New Roman"/>
                <w:sz w:val="24"/>
                <w:szCs w:val="24"/>
              </w:rPr>
              <w:t>114</w:t>
            </w:r>
            <w:r w:rsidRPr="00416E20">
              <w:rPr>
                <w:rFonts w:ascii="Times New Roman" w:hAnsi="Times New Roman"/>
                <w:sz w:val="24"/>
                <w:szCs w:val="24"/>
              </w:rPr>
              <w:t>)</w:t>
            </w:r>
          </w:p>
        </w:tc>
        <w:tc>
          <w:tcPr>
            <w:tcW w:w="1984" w:type="dxa"/>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4% (1/26)</w:t>
            </w:r>
          </w:p>
        </w:tc>
        <w:tc>
          <w:tcPr>
            <w:tcW w:w="1985" w:type="dxa"/>
            <w:tcBorders>
              <w:right w:val="nil"/>
            </w:tcBorders>
            <w:vAlign w:val="center"/>
          </w:tcPr>
          <w:p w:rsidR="009F754D" w:rsidRPr="00416E20" w:rsidRDefault="009F754D" w:rsidP="00525003">
            <w:pPr>
              <w:keepNext/>
              <w:keepLines/>
              <w:jc w:val="center"/>
              <w:rPr>
                <w:rFonts w:ascii="Times New Roman" w:hAnsi="Times New Roman"/>
                <w:sz w:val="24"/>
                <w:szCs w:val="24"/>
              </w:rPr>
            </w:pPr>
            <w:r>
              <w:rPr>
                <w:rFonts w:ascii="Times New Roman" w:hAnsi="Times New Roman"/>
                <w:sz w:val="24"/>
                <w:szCs w:val="24"/>
              </w:rPr>
              <w:t>0/13</w:t>
            </w:r>
          </w:p>
        </w:tc>
      </w:tr>
      <w:tr w:rsidR="009F754D" w:rsidRPr="00416E20" w:rsidTr="00C02D75">
        <w:tc>
          <w:tcPr>
            <w:tcW w:w="310" w:type="dxa"/>
            <w:tcBorders>
              <w:left w:val="nil"/>
              <w:right w:val="nil"/>
            </w:tcBorders>
            <w:vAlign w:val="center"/>
          </w:tcPr>
          <w:p w:rsidR="009F754D" w:rsidRPr="00416E20" w:rsidRDefault="009F754D" w:rsidP="00B37B92">
            <w:pPr>
              <w:keepNext/>
              <w:keepLines/>
              <w:rPr>
                <w:rFonts w:ascii="Times New Roman" w:hAnsi="Times New Roman"/>
                <w:sz w:val="24"/>
                <w:szCs w:val="24"/>
                <w:lang w:val="en-US"/>
              </w:rPr>
            </w:pPr>
          </w:p>
        </w:tc>
        <w:tc>
          <w:tcPr>
            <w:tcW w:w="1916" w:type="dxa"/>
            <w:tcBorders>
              <w:left w:val="nil"/>
            </w:tcBorders>
            <w:vAlign w:val="center"/>
          </w:tcPr>
          <w:p w:rsidR="009F754D" w:rsidRPr="00416E20" w:rsidRDefault="009F754D" w:rsidP="00B37B92">
            <w:pPr>
              <w:keepNext/>
              <w:keepLines/>
              <w:rPr>
                <w:rFonts w:ascii="Times New Roman" w:hAnsi="Times New Roman"/>
                <w:sz w:val="24"/>
                <w:szCs w:val="24"/>
                <w:lang w:val="en-US"/>
              </w:rPr>
            </w:pPr>
            <w:proofErr w:type="spellStart"/>
            <w:r w:rsidRPr="00416E20">
              <w:rPr>
                <w:rFonts w:ascii="Times New Roman" w:hAnsi="Times New Roman"/>
                <w:sz w:val="24"/>
                <w:szCs w:val="24"/>
                <w:lang w:val="en-US"/>
              </w:rPr>
              <w:t>Relapse</w:t>
            </w:r>
            <w:r>
              <w:rPr>
                <w:rFonts w:ascii="Times New Roman" w:hAnsi="Times New Roman"/>
                <w:sz w:val="24"/>
                <w:szCs w:val="24"/>
                <w:vertAlign w:val="superscript"/>
                <w:lang w:val="en-US"/>
              </w:rPr>
              <w:t>b</w:t>
            </w:r>
            <w:proofErr w:type="spellEnd"/>
          </w:p>
        </w:tc>
        <w:tc>
          <w:tcPr>
            <w:tcW w:w="2277" w:type="dxa"/>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22</w:t>
            </w:r>
            <w:r w:rsidRPr="00416E20">
              <w:rPr>
                <w:rFonts w:ascii="Times New Roman" w:hAnsi="Times New Roman"/>
                <w:sz w:val="24"/>
                <w:szCs w:val="24"/>
              </w:rPr>
              <w:t>% (</w:t>
            </w:r>
            <w:r>
              <w:rPr>
                <w:rFonts w:ascii="Times New Roman" w:hAnsi="Times New Roman"/>
                <w:sz w:val="24"/>
                <w:szCs w:val="24"/>
              </w:rPr>
              <w:t>25/113</w:t>
            </w:r>
            <w:r w:rsidRPr="00416E20">
              <w:rPr>
                <w:rFonts w:ascii="Times New Roman" w:hAnsi="Times New Roman"/>
                <w:sz w:val="24"/>
                <w:szCs w:val="24"/>
              </w:rPr>
              <w:t>)</w:t>
            </w:r>
          </w:p>
        </w:tc>
        <w:tc>
          <w:tcPr>
            <w:tcW w:w="1984" w:type="dxa"/>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0/25</w:t>
            </w:r>
          </w:p>
        </w:tc>
        <w:tc>
          <w:tcPr>
            <w:tcW w:w="1985" w:type="dxa"/>
            <w:tcBorders>
              <w:right w:val="nil"/>
            </w:tcBorders>
            <w:vAlign w:val="center"/>
          </w:tcPr>
          <w:p w:rsidR="009F754D" w:rsidRPr="00416E20" w:rsidRDefault="009F754D" w:rsidP="00525003">
            <w:pPr>
              <w:keepNext/>
              <w:keepLines/>
              <w:jc w:val="center"/>
              <w:rPr>
                <w:rFonts w:ascii="Times New Roman" w:hAnsi="Times New Roman"/>
                <w:sz w:val="24"/>
                <w:szCs w:val="24"/>
              </w:rPr>
            </w:pPr>
            <w:r>
              <w:rPr>
                <w:rFonts w:ascii="Times New Roman" w:hAnsi="Times New Roman"/>
                <w:sz w:val="24"/>
                <w:szCs w:val="24"/>
              </w:rPr>
              <w:t>8% (1/13)</w:t>
            </w:r>
          </w:p>
        </w:tc>
      </w:tr>
      <w:tr w:rsidR="009F754D" w:rsidRPr="00416E20" w:rsidTr="00121C75">
        <w:tc>
          <w:tcPr>
            <w:tcW w:w="310" w:type="dxa"/>
            <w:tcBorders>
              <w:left w:val="nil"/>
              <w:bottom w:val="single" w:sz="12" w:space="0" w:color="auto"/>
              <w:right w:val="nil"/>
            </w:tcBorders>
            <w:vAlign w:val="center"/>
          </w:tcPr>
          <w:p w:rsidR="009F754D" w:rsidRPr="00416E20" w:rsidRDefault="009F754D" w:rsidP="00B37B92">
            <w:pPr>
              <w:keepNext/>
              <w:keepLines/>
              <w:rPr>
                <w:rFonts w:ascii="Times New Roman" w:hAnsi="Times New Roman"/>
                <w:sz w:val="24"/>
                <w:szCs w:val="24"/>
                <w:lang w:val="en-US"/>
              </w:rPr>
            </w:pPr>
          </w:p>
        </w:tc>
        <w:tc>
          <w:tcPr>
            <w:tcW w:w="1916" w:type="dxa"/>
            <w:tcBorders>
              <w:left w:val="nil"/>
              <w:bottom w:val="single" w:sz="12" w:space="0" w:color="auto"/>
            </w:tcBorders>
            <w:vAlign w:val="center"/>
          </w:tcPr>
          <w:p w:rsidR="009F754D" w:rsidRPr="00416E20" w:rsidRDefault="009F754D" w:rsidP="00B37B92">
            <w:pPr>
              <w:keepNext/>
              <w:keepLines/>
              <w:rPr>
                <w:rFonts w:ascii="Times New Roman" w:hAnsi="Times New Roman"/>
                <w:sz w:val="24"/>
                <w:szCs w:val="24"/>
                <w:lang w:val="en-US"/>
              </w:rPr>
            </w:pPr>
            <w:proofErr w:type="spellStart"/>
            <w:r w:rsidRPr="00416E20">
              <w:rPr>
                <w:rFonts w:ascii="Times New Roman" w:hAnsi="Times New Roman"/>
                <w:sz w:val="24"/>
                <w:szCs w:val="24"/>
                <w:lang w:val="en-US"/>
              </w:rPr>
              <w:t>Other</w:t>
            </w:r>
            <w:r>
              <w:rPr>
                <w:rFonts w:ascii="Times New Roman" w:hAnsi="Times New Roman"/>
                <w:sz w:val="24"/>
                <w:szCs w:val="24"/>
                <w:vertAlign w:val="superscript"/>
                <w:lang w:val="en-US"/>
              </w:rPr>
              <w:t>c</w:t>
            </w:r>
            <w:proofErr w:type="spellEnd"/>
          </w:p>
        </w:tc>
        <w:tc>
          <w:tcPr>
            <w:tcW w:w="2277" w:type="dxa"/>
            <w:tcBorders>
              <w:bottom w:val="single" w:sz="12" w:space="0" w:color="auto"/>
            </w:tcBorders>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1</w:t>
            </w:r>
            <w:r w:rsidRPr="00416E20">
              <w:rPr>
                <w:rFonts w:ascii="Times New Roman" w:hAnsi="Times New Roman"/>
                <w:sz w:val="24"/>
                <w:szCs w:val="24"/>
              </w:rPr>
              <w:t>% (</w:t>
            </w:r>
            <w:r>
              <w:rPr>
                <w:rFonts w:ascii="Times New Roman" w:hAnsi="Times New Roman"/>
                <w:sz w:val="24"/>
                <w:szCs w:val="24"/>
              </w:rPr>
              <w:t>1/114</w:t>
            </w:r>
            <w:r w:rsidR="00525003">
              <w:rPr>
                <w:rFonts w:ascii="Times New Roman" w:hAnsi="Times New Roman"/>
                <w:sz w:val="24"/>
                <w:szCs w:val="24"/>
              </w:rPr>
              <w:t>)</w:t>
            </w:r>
          </w:p>
        </w:tc>
        <w:tc>
          <w:tcPr>
            <w:tcW w:w="1984" w:type="dxa"/>
            <w:tcBorders>
              <w:bottom w:val="single" w:sz="12" w:space="0" w:color="auto"/>
            </w:tcBorders>
            <w:vAlign w:val="center"/>
          </w:tcPr>
          <w:p w:rsidR="009F754D" w:rsidRPr="00416E20" w:rsidRDefault="009F754D" w:rsidP="00525003">
            <w:pPr>
              <w:keepNext/>
              <w:keepLines/>
              <w:jc w:val="center"/>
              <w:rPr>
                <w:rFonts w:ascii="Times New Roman" w:hAnsi="Times New Roman"/>
                <w:sz w:val="24"/>
                <w:szCs w:val="24"/>
                <w:lang w:val="en-US"/>
              </w:rPr>
            </w:pPr>
            <w:r>
              <w:rPr>
                <w:rFonts w:ascii="Times New Roman" w:hAnsi="Times New Roman"/>
                <w:sz w:val="24"/>
                <w:szCs w:val="24"/>
              </w:rPr>
              <w:t>8% (2/26)</w:t>
            </w:r>
          </w:p>
        </w:tc>
        <w:tc>
          <w:tcPr>
            <w:tcW w:w="1985" w:type="dxa"/>
            <w:tcBorders>
              <w:bottom w:val="single" w:sz="12" w:space="0" w:color="auto"/>
              <w:right w:val="nil"/>
            </w:tcBorders>
            <w:vAlign w:val="center"/>
          </w:tcPr>
          <w:p w:rsidR="009F754D" w:rsidRPr="00416E20" w:rsidRDefault="009F754D" w:rsidP="00525003">
            <w:pPr>
              <w:keepNext/>
              <w:keepLines/>
              <w:jc w:val="center"/>
              <w:rPr>
                <w:rFonts w:ascii="Times New Roman" w:hAnsi="Times New Roman"/>
                <w:sz w:val="24"/>
                <w:szCs w:val="24"/>
              </w:rPr>
            </w:pPr>
            <w:r>
              <w:rPr>
                <w:rFonts w:ascii="Times New Roman" w:hAnsi="Times New Roman"/>
                <w:sz w:val="24"/>
                <w:szCs w:val="24"/>
              </w:rPr>
              <w:t>0/13</w:t>
            </w:r>
          </w:p>
        </w:tc>
      </w:tr>
    </w:tbl>
    <w:p w:rsidR="009F754D" w:rsidRPr="0017586B" w:rsidRDefault="009F754D" w:rsidP="009F754D">
      <w:pPr>
        <w:rPr>
          <w:rFonts w:ascii="Times New Roman" w:hAnsi="Times New Roman"/>
          <w:iCs/>
          <w:sz w:val="18"/>
          <w:szCs w:val="18"/>
        </w:rPr>
      </w:pPr>
      <w:r w:rsidRPr="0017586B">
        <w:rPr>
          <w:rFonts w:ascii="Times New Roman" w:hAnsi="Times New Roman"/>
          <w:iCs/>
          <w:sz w:val="18"/>
          <w:szCs w:val="18"/>
        </w:rPr>
        <w:t>TN= Treatment-naïve, TE =Treatment-experienced</w:t>
      </w:r>
    </w:p>
    <w:p w:rsidR="009F754D" w:rsidRPr="0017586B" w:rsidRDefault="009F754D" w:rsidP="009F754D">
      <w:pPr>
        <w:keepNext/>
        <w:keepLines/>
        <w:rPr>
          <w:rFonts w:ascii="Times New Roman" w:hAnsi="Times New Roman"/>
          <w:iCs/>
          <w:sz w:val="18"/>
          <w:szCs w:val="18"/>
        </w:rPr>
      </w:pPr>
      <w:r w:rsidRPr="0017586B">
        <w:rPr>
          <w:rFonts w:ascii="Times New Roman" w:hAnsi="Times New Roman"/>
          <w:iCs/>
          <w:sz w:val="18"/>
          <w:szCs w:val="18"/>
        </w:rPr>
        <w:t xml:space="preserve">a. </w:t>
      </w:r>
      <w:r>
        <w:rPr>
          <w:rFonts w:ascii="Times New Roman" w:hAnsi="Times New Roman"/>
          <w:iCs/>
          <w:sz w:val="18"/>
          <w:szCs w:val="18"/>
        </w:rPr>
        <w:t>Patients</w:t>
      </w:r>
      <w:r w:rsidR="00A03DA3">
        <w:rPr>
          <w:rFonts w:ascii="Times New Roman" w:hAnsi="Times New Roman"/>
          <w:iCs/>
          <w:sz w:val="18"/>
          <w:szCs w:val="18"/>
        </w:rPr>
        <w:t xml:space="preserve"> </w:t>
      </w:r>
      <w:r w:rsidRPr="0017586B">
        <w:rPr>
          <w:rFonts w:ascii="Times New Roman" w:hAnsi="Times New Roman"/>
          <w:iCs/>
          <w:sz w:val="18"/>
          <w:szCs w:val="18"/>
        </w:rPr>
        <w:t xml:space="preserve">with genotype 2 CHC treated with SOVALDI + RBV for 24 weeks (n=15) and </w:t>
      </w:r>
      <w:r>
        <w:rPr>
          <w:rFonts w:ascii="Times New Roman" w:hAnsi="Times New Roman"/>
          <w:iCs/>
          <w:sz w:val="18"/>
          <w:szCs w:val="18"/>
        </w:rPr>
        <w:t>patients</w:t>
      </w:r>
      <w:r w:rsidRPr="0017586B">
        <w:rPr>
          <w:rFonts w:ascii="Times New Roman" w:hAnsi="Times New Roman"/>
          <w:iCs/>
          <w:sz w:val="18"/>
          <w:szCs w:val="18"/>
        </w:rPr>
        <w:t xml:space="preserve"> with genotype 3 CHC treated with SOVALDI + RBV for 12 weeks (n=42) are not included in the table</w:t>
      </w:r>
    </w:p>
    <w:p w:rsidR="009F754D" w:rsidRPr="0017586B" w:rsidRDefault="009F754D" w:rsidP="009F754D">
      <w:pPr>
        <w:keepNext/>
        <w:keepLines/>
        <w:rPr>
          <w:rFonts w:ascii="Times New Roman" w:hAnsi="Times New Roman"/>
          <w:iCs/>
          <w:sz w:val="18"/>
          <w:szCs w:val="18"/>
        </w:rPr>
      </w:pPr>
      <w:r w:rsidRPr="0017586B">
        <w:rPr>
          <w:rFonts w:ascii="Times New Roman" w:hAnsi="Times New Roman"/>
          <w:iCs/>
          <w:sz w:val="18"/>
          <w:szCs w:val="18"/>
        </w:rPr>
        <w:t xml:space="preserve">b. The denominator for relapse is the number of </w:t>
      </w:r>
      <w:r>
        <w:rPr>
          <w:rFonts w:ascii="Times New Roman" w:hAnsi="Times New Roman"/>
          <w:iCs/>
          <w:sz w:val="18"/>
          <w:szCs w:val="18"/>
        </w:rPr>
        <w:t xml:space="preserve">patients </w:t>
      </w:r>
      <w:r w:rsidRPr="0017586B">
        <w:rPr>
          <w:rFonts w:ascii="Times New Roman" w:hAnsi="Times New Roman"/>
          <w:iCs/>
          <w:sz w:val="18"/>
          <w:szCs w:val="18"/>
        </w:rPr>
        <w:t>with HCV RNA &lt;LLOQ at their last on</w:t>
      </w:r>
      <w:r w:rsidRPr="0017586B">
        <w:rPr>
          <w:rFonts w:ascii="Times New Roman" w:hAnsi="Times New Roman"/>
          <w:iCs/>
          <w:sz w:val="18"/>
          <w:szCs w:val="18"/>
        </w:rPr>
        <w:noBreakHyphen/>
        <w:t>treatment assessment.</w:t>
      </w:r>
    </w:p>
    <w:p w:rsidR="009F754D" w:rsidRPr="0017586B" w:rsidRDefault="009F754D" w:rsidP="009F754D">
      <w:pPr>
        <w:rPr>
          <w:rFonts w:ascii="Times New Roman" w:hAnsi="Times New Roman"/>
          <w:iCs/>
          <w:sz w:val="18"/>
          <w:szCs w:val="18"/>
        </w:rPr>
      </w:pPr>
      <w:r w:rsidRPr="0017586B">
        <w:rPr>
          <w:rFonts w:ascii="Times New Roman" w:hAnsi="Times New Roman"/>
          <w:iCs/>
          <w:sz w:val="18"/>
          <w:szCs w:val="18"/>
        </w:rPr>
        <w:t xml:space="preserve">c. Other includes </w:t>
      </w:r>
      <w:r>
        <w:rPr>
          <w:rFonts w:ascii="Times New Roman" w:hAnsi="Times New Roman"/>
          <w:iCs/>
          <w:sz w:val="18"/>
          <w:szCs w:val="18"/>
        </w:rPr>
        <w:t>patients</w:t>
      </w:r>
      <w:r w:rsidRPr="0017586B">
        <w:rPr>
          <w:rFonts w:ascii="Times New Roman" w:hAnsi="Times New Roman"/>
          <w:iCs/>
          <w:sz w:val="18"/>
          <w:szCs w:val="18"/>
        </w:rPr>
        <w:t xml:space="preserve"> who did not achieve SVR12 and did not meet </w:t>
      </w:r>
      <w:proofErr w:type="spellStart"/>
      <w:r w:rsidRPr="0017586B">
        <w:rPr>
          <w:rFonts w:ascii="Times New Roman" w:hAnsi="Times New Roman"/>
          <w:iCs/>
          <w:sz w:val="18"/>
          <w:szCs w:val="18"/>
        </w:rPr>
        <w:t>virologic</w:t>
      </w:r>
      <w:proofErr w:type="spellEnd"/>
      <w:r w:rsidRPr="0017586B">
        <w:rPr>
          <w:rFonts w:ascii="Times New Roman" w:hAnsi="Times New Roman"/>
          <w:iCs/>
          <w:sz w:val="18"/>
          <w:szCs w:val="18"/>
        </w:rPr>
        <w:t xml:space="preserve"> failure criteria (e.g., lost to follow</w:t>
      </w:r>
      <w:r w:rsidRPr="0017586B">
        <w:rPr>
          <w:rFonts w:ascii="Times New Roman" w:hAnsi="Times New Roman"/>
          <w:iCs/>
          <w:sz w:val="18"/>
          <w:szCs w:val="18"/>
        </w:rPr>
        <w:noBreakHyphen/>
        <w:t>up).</w:t>
      </w:r>
    </w:p>
    <w:p w:rsidR="009F754D" w:rsidRPr="00416E20" w:rsidRDefault="009F754D" w:rsidP="009F754D">
      <w:pPr>
        <w:rPr>
          <w:rFonts w:ascii="Times New Roman" w:hAnsi="Times New Roman"/>
          <w:iCs/>
          <w:sz w:val="24"/>
          <w:szCs w:val="24"/>
        </w:rPr>
      </w:pPr>
    </w:p>
    <w:p w:rsidR="009F754D" w:rsidRPr="00416E20" w:rsidRDefault="009F754D" w:rsidP="009F754D">
      <w:pPr>
        <w:rPr>
          <w:rFonts w:ascii="Times New Roman" w:hAnsi="Times New Roman"/>
          <w:iCs/>
          <w:sz w:val="24"/>
          <w:szCs w:val="24"/>
        </w:rPr>
      </w:pPr>
      <w:r>
        <w:rPr>
          <w:rFonts w:ascii="Times New Roman" w:hAnsi="Times New Roman"/>
          <w:iCs/>
          <w:sz w:val="24"/>
          <w:szCs w:val="24"/>
        </w:rPr>
        <w:t>Table 1</w:t>
      </w:r>
      <w:r w:rsidR="00525003">
        <w:rPr>
          <w:rFonts w:ascii="Times New Roman" w:hAnsi="Times New Roman"/>
          <w:iCs/>
          <w:sz w:val="24"/>
          <w:szCs w:val="24"/>
        </w:rPr>
        <w:t>2</w:t>
      </w:r>
      <w:r w:rsidRPr="00416E20">
        <w:rPr>
          <w:rFonts w:ascii="Times New Roman" w:hAnsi="Times New Roman"/>
          <w:iCs/>
          <w:sz w:val="24"/>
          <w:szCs w:val="24"/>
        </w:rPr>
        <w:t xml:space="preserve"> presents the subgroup analysis by genotype for cirrhosis.</w:t>
      </w:r>
    </w:p>
    <w:p w:rsidR="009F754D" w:rsidRPr="00416E20" w:rsidRDefault="009F754D" w:rsidP="009F754D">
      <w:pPr>
        <w:rPr>
          <w:rFonts w:ascii="Times New Roman" w:hAnsi="Times New Roman"/>
          <w:iCs/>
          <w:sz w:val="24"/>
          <w:szCs w:val="24"/>
        </w:rPr>
      </w:pPr>
    </w:p>
    <w:p w:rsidR="009F754D" w:rsidRPr="00795982" w:rsidRDefault="009F754D" w:rsidP="009F754D">
      <w:pPr>
        <w:keepNext/>
        <w:keepLines/>
        <w:rPr>
          <w:rFonts w:ascii="Times New Roman" w:hAnsi="Times New Roman"/>
          <w:b/>
          <w:iCs/>
          <w:sz w:val="24"/>
          <w:szCs w:val="24"/>
        </w:rPr>
      </w:pPr>
      <w:r w:rsidRPr="00795982">
        <w:rPr>
          <w:rFonts w:ascii="Times New Roman" w:hAnsi="Times New Roman"/>
          <w:b/>
          <w:iCs/>
          <w:sz w:val="24"/>
          <w:szCs w:val="24"/>
        </w:rPr>
        <w:t>Table 1</w:t>
      </w:r>
      <w:r w:rsidR="00525003">
        <w:rPr>
          <w:rFonts w:ascii="Times New Roman" w:hAnsi="Times New Roman"/>
          <w:b/>
          <w:iCs/>
          <w:sz w:val="24"/>
          <w:szCs w:val="24"/>
        </w:rPr>
        <w:t>2</w:t>
      </w:r>
      <w:r w:rsidRPr="00795982">
        <w:rPr>
          <w:rFonts w:ascii="Times New Roman" w:hAnsi="Times New Roman"/>
          <w:b/>
          <w:iCs/>
          <w:sz w:val="24"/>
          <w:szCs w:val="24"/>
        </w:rPr>
        <w:t>: SVR12 rates for selected subgroups by genotype in study PHOTON</w:t>
      </w:r>
      <w:r w:rsidRPr="00795982">
        <w:rPr>
          <w:rFonts w:ascii="Times New Roman" w:hAnsi="Times New Roman"/>
          <w:b/>
          <w:iCs/>
          <w:sz w:val="24"/>
          <w:szCs w:val="24"/>
        </w:rPr>
        <w:noBreakHyphen/>
        <w:t>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148"/>
        <w:gridCol w:w="1995"/>
        <w:gridCol w:w="1974"/>
        <w:gridCol w:w="1985"/>
        <w:gridCol w:w="1984"/>
      </w:tblGrid>
      <w:tr w:rsidR="009F754D" w:rsidRPr="00416E20" w:rsidTr="00346DEA">
        <w:tc>
          <w:tcPr>
            <w:tcW w:w="1384" w:type="dxa"/>
            <w:gridSpan w:val="2"/>
            <w:tcBorders>
              <w:top w:val="single" w:sz="12" w:space="0" w:color="auto"/>
              <w:left w:val="nil"/>
              <w:bottom w:val="single" w:sz="12" w:space="0" w:color="auto"/>
            </w:tcBorders>
            <w:vAlign w:val="center"/>
          </w:tcPr>
          <w:p w:rsidR="009F754D" w:rsidRPr="00416E20" w:rsidRDefault="009F754D" w:rsidP="00B37B92">
            <w:pPr>
              <w:keepNext/>
              <w:keepLines/>
              <w:rPr>
                <w:rFonts w:ascii="Times New Roman" w:hAnsi="Times New Roman"/>
                <w:sz w:val="24"/>
                <w:szCs w:val="24"/>
              </w:rPr>
            </w:pPr>
          </w:p>
        </w:tc>
        <w:tc>
          <w:tcPr>
            <w:tcW w:w="3969" w:type="dxa"/>
            <w:gridSpan w:val="2"/>
            <w:tcBorders>
              <w:top w:val="single" w:sz="12" w:space="0" w:color="auto"/>
              <w:bottom w:val="single" w:sz="12" w:space="0" w:color="auto"/>
            </w:tcBorders>
            <w:vAlign w:val="center"/>
          </w:tcPr>
          <w:p w:rsidR="009F754D" w:rsidRPr="00795982" w:rsidRDefault="009F754D" w:rsidP="00B37B92">
            <w:pPr>
              <w:keepNext/>
              <w:keepLines/>
              <w:jc w:val="center"/>
              <w:rPr>
                <w:rFonts w:ascii="Times New Roman" w:hAnsi="Times New Roman"/>
                <w:b/>
                <w:sz w:val="24"/>
                <w:szCs w:val="24"/>
              </w:rPr>
            </w:pPr>
            <w:r w:rsidRPr="00795982">
              <w:rPr>
                <w:rFonts w:ascii="Times New Roman" w:hAnsi="Times New Roman"/>
                <w:b/>
                <w:sz w:val="24"/>
                <w:szCs w:val="24"/>
              </w:rPr>
              <w:t>HCV genotype 2</w:t>
            </w:r>
          </w:p>
        </w:tc>
        <w:tc>
          <w:tcPr>
            <w:tcW w:w="3969" w:type="dxa"/>
            <w:gridSpan w:val="2"/>
            <w:tcBorders>
              <w:top w:val="single" w:sz="12" w:space="0" w:color="auto"/>
              <w:bottom w:val="single" w:sz="12" w:space="0" w:color="auto"/>
              <w:right w:val="nil"/>
            </w:tcBorders>
            <w:vAlign w:val="center"/>
          </w:tcPr>
          <w:p w:rsidR="009F754D" w:rsidRPr="00795982" w:rsidRDefault="009F754D" w:rsidP="00B37B92">
            <w:pPr>
              <w:keepNext/>
              <w:keepLines/>
              <w:jc w:val="center"/>
              <w:rPr>
                <w:rFonts w:ascii="Times New Roman" w:hAnsi="Times New Roman"/>
                <w:b/>
                <w:sz w:val="24"/>
                <w:szCs w:val="24"/>
              </w:rPr>
            </w:pPr>
            <w:r w:rsidRPr="00795982">
              <w:rPr>
                <w:rFonts w:ascii="Times New Roman" w:hAnsi="Times New Roman"/>
                <w:b/>
                <w:sz w:val="24"/>
                <w:szCs w:val="24"/>
              </w:rPr>
              <w:t>HCV genotype 3</w:t>
            </w:r>
          </w:p>
        </w:tc>
      </w:tr>
      <w:tr w:rsidR="009F754D" w:rsidRPr="00416E20" w:rsidTr="00346DEA">
        <w:tc>
          <w:tcPr>
            <w:tcW w:w="1384" w:type="dxa"/>
            <w:gridSpan w:val="2"/>
            <w:tcBorders>
              <w:top w:val="single" w:sz="12" w:space="0" w:color="auto"/>
              <w:left w:val="nil"/>
            </w:tcBorders>
            <w:vAlign w:val="center"/>
          </w:tcPr>
          <w:p w:rsidR="009F754D" w:rsidRPr="00416E20" w:rsidRDefault="009F754D" w:rsidP="00B37B92">
            <w:pPr>
              <w:keepNext/>
              <w:keepLines/>
              <w:rPr>
                <w:rFonts w:ascii="Times New Roman" w:hAnsi="Times New Roman"/>
                <w:sz w:val="24"/>
                <w:szCs w:val="24"/>
              </w:rPr>
            </w:pPr>
          </w:p>
        </w:tc>
        <w:tc>
          <w:tcPr>
            <w:tcW w:w="1995" w:type="dxa"/>
            <w:tcBorders>
              <w:top w:val="single" w:sz="12" w:space="0" w:color="auto"/>
            </w:tcBorders>
            <w:vAlign w:val="center"/>
          </w:tcPr>
          <w:p w:rsidR="009F754D" w:rsidRPr="00795982" w:rsidRDefault="009F754D" w:rsidP="009F754D">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12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TN (n = 26)</w:t>
            </w:r>
          </w:p>
        </w:tc>
        <w:tc>
          <w:tcPr>
            <w:tcW w:w="1974" w:type="dxa"/>
            <w:tcBorders>
              <w:top w:val="single" w:sz="12" w:space="0" w:color="auto"/>
            </w:tcBorders>
            <w:vAlign w:val="center"/>
          </w:tcPr>
          <w:p w:rsidR="009F754D" w:rsidRPr="00795982" w:rsidRDefault="009F754D" w:rsidP="009F754D">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24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TE (n = 15)</w:t>
            </w:r>
          </w:p>
        </w:tc>
        <w:tc>
          <w:tcPr>
            <w:tcW w:w="1985" w:type="dxa"/>
            <w:tcBorders>
              <w:top w:val="single" w:sz="12" w:space="0" w:color="auto"/>
            </w:tcBorders>
            <w:vAlign w:val="center"/>
          </w:tcPr>
          <w:p w:rsidR="009F754D" w:rsidRPr="00795982" w:rsidRDefault="009F754D" w:rsidP="009F754D">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12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TN (n = 42)</w:t>
            </w:r>
          </w:p>
        </w:tc>
        <w:tc>
          <w:tcPr>
            <w:tcW w:w="1984" w:type="dxa"/>
            <w:tcBorders>
              <w:top w:val="single" w:sz="12" w:space="0" w:color="auto"/>
              <w:right w:val="nil"/>
            </w:tcBorders>
            <w:vAlign w:val="center"/>
          </w:tcPr>
          <w:p w:rsidR="009F754D" w:rsidRPr="00795982" w:rsidRDefault="009F754D" w:rsidP="009F754D">
            <w:pPr>
              <w:keepNext/>
              <w:keepLines/>
              <w:jc w:val="center"/>
              <w:rPr>
                <w:rFonts w:ascii="Times New Roman" w:hAnsi="Times New Roman"/>
                <w:b/>
                <w:sz w:val="24"/>
                <w:szCs w:val="24"/>
              </w:rPr>
            </w:pPr>
            <w:r>
              <w:rPr>
                <w:rFonts w:ascii="Times New Roman" w:hAnsi="Times New Roman"/>
                <w:b/>
                <w:sz w:val="24"/>
                <w:szCs w:val="24"/>
              </w:rPr>
              <w:t>SOVALDI</w:t>
            </w:r>
            <w:r w:rsidRPr="00795982">
              <w:rPr>
                <w:rFonts w:ascii="Times New Roman" w:hAnsi="Times New Roman"/>
                <w:b/>
                <w:sz w:val="24"/>
                <w:szCs w:val="24"/>
              </w:rPr>
              <w:t>+RBV</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24 weeks</w:t>
            </w:r>
          </w:p>
          <w:p w:rsidR="009F754D" w:rsidRPr="00795982" w:rsidRDefault="009F754D" w:rsidP="009F754D">
            <w:pPr>
              <w:keepNext/>
              <w:keepLines/>
              <w:jc w:val="center"/>
              <w:rPr>
                <w:rFonts w:ascii="Times New Roman" w:hAnsi="Times New Roman"/>
                <w:b/>
                <w:sz w:val="24"/>
                <w:szCs w:val="24"/>
              </w:rPr>
            </w:pPr>
            <w:r w:rsidRPr="00795982">
              <w:rPr>
                <w:rFonts w:ascii="Times New Roman" w:hAnsi="Times New Roman"/>
                <w:b/>
                <w:sz w:val="24"/>
                <w:szCs w:val="24"/>
              </w:rPr>
              <w:t>TE (n = 13)</w:t>
            </w:r>
          </w:p>
        </w:tc>
      </w:tr>
      <w:tr w:rsidR="009F754D" w:rsidRPr="00416E20" w:rsidTr="00346DEA">
        <w:tc>
          <w:tcPr>
            <w:tcW w:w="1384" w:type="dxa"/>
            <w:gridSpan w:val="2"/>
            <w:tcBorders>
              <w:left w:val="nil"/>
            </w:tcBorders>
            <w:vAlign w:val="center"/>
          </w:tcPr>
          <w:p w:rsidR="009F754D" w:rsidRPr="00416E20" w:rsidRDefault="009F754D" w:rsidP="00B37B92">
            <w:pPr>
              <w:keepNext/>
              <w:keepLines/>
              <w:rPr>
                <w:rFonts w:ascii="Times New Roman" w:hAnsi="Times New Roman"/>
                <w:sz w:val="24"/>
                <w:szCs w:val="24"/>
              </w:rPr>
            </w:pPr>
            <w:r w:rsidRPr="00416E20">
              <w:rPr>
                <w:rFonts w:ascii="Times New Roman" w:hAnsi="Times New Roman"/>
                <w:sz w:val="24"/>
                <w:szCs w:val="24"/>
              </w:rPr>
              <w:t>Overall</w:t>
            </w:r>
          </w:p>
        </w:tc>
        <w:tc>
          <w:tcPr>
            <w:tcW w:w="1995"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88% (23/26)</w:t>
            </w:r>
          </w:p>
        </w:tc>
        <w:tc>
          <w:tcPr>
            <w:tcW w:w="1974"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93% (14/15)</w:t>
            </w:r>
          </w:p>
        </w:tc>
        <w:tc>
          <w:tcPr>
            <w:tcW w:w="1985"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67% (28/42)</w:t>
            </w:r>
          </w:p>
        </w:tc>
        <w:tc>
          <w:tcPr>
            <w:tcW w:w="1984" w:type="dxa"/>
            <w:tcBorders>
              <w:right w:val="nil"/>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92% (12/13)</w:t>
            </w:r>
          </w:p>
        </w:tc>
      </w:tr>
      <w:tr w:rsidR="009F754D" w:rsidRPr="00416E20" w:rsidTr="00346DEA">
        <w:tc>
          <w:tcPr>
            <w:tcW w:w="236" w:type="dxa"/>
            <w:tcBorders>
              <w:left w:val="nil"/>
              <w:right w:val="nil"/>
            </w:tcBorders>
            <w:vAlign w:val="center"/>
          </w:tcPr>
          <w:p w:rsidR="009F754D" w:rsidRPr="00416E20" w:rsidRDefault="009F754D" w:rsidP="00B37B92">
            <w:pPr>
              <w:keepNext/>
              <w:keepLines/>
              <w:rPr>
                <w:rFonts w:ascii="Times New Roman" w:hAnsi="Times New Roman"/>
                <w:sz w:val="24"/>
                <w:szCs w:val="24"/>
              </w:rPr>
            </w:pPr>
          </w:p>
        </w:tc>
        <w:tc>
          <w:tcPr>
            <w:tcW w:w="1148" w:type="dxa"/>
            <w:tcBorders>
              <w:left w:val="nil"/>
            </w:tcBorders>
            <w:vAlign w:val="center"/>
          </w:tcPr>
          <w:p w:rsidR="009F754D" w:rsidRPr="00416E20" w:rsidRDefault="009F754D" w:rsidP="00B37B92">
            <w:pPr>
              <w:keepNext/>
              <w:keepLines/>
              <w:rPr>
                <w:rFonts w:ascii="Times New Roman" w:hAnsi="Times New Roman"/>
                <w:sz w:val="24"/>
                <w:szCs w:val="24"/>
              </w:rPr>
            </w:pPr>
            <w:r w:rsidRPr="00416E20">
              <w:rPr>
                <w:rFonts w:ascii="Times New Roman" w:hAnsi="Times New Roman"/>
                <w:sz w:val="24"/>
                <w:szCs w:val="24"/>
              </w:rPr>
              <w:t>No cirrhosis</w:t>
            </w:r>
          </w:p>
        </w:tc>
        <w:tc>
          <w:tcPr>
            <w:tcW w:w="1995"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88% (22/25)</w:t>
            </w:r>
          </w:p>
        </w:tc>
        <w:tc>
          <w:tcPr>
            <w:tcW w:w="1974"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92% (12/13)</w:t>
            </w:r>
          </w:p>
        </w:tc>
        <w:tc>
          <w:tcPr>
            <w:tcW w:w="1985" w:type="dxa"/>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67% (24/36)</w:t>
            </w:r>
          </w:p>
        </w:tc>
        <w:tc>
          <w:tcPr>
            <w:tcW w:w="1984" w:type="dxa"/>
            <w:tcBorders>
              <w:right w:val="nil"/>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100% (8/8)</w:t>
            </w:r>
          </w:p>
        </w:tc>
      </w:tr>
      <w:tr w:rsidR="009F754D" w:rsidRPr="00416E20" w:rsidTr="00346DEA">
        <w:tc>
          <w:tcPr>
            <w:tcW w:w="236" w:type="dxa"/>
            <w:tcBorders>
              <w:left w:val="nil"/>
              <w:bottom w:val="single" w:sz="12" w:space="0" w:color="auto"/>
              <w:right w:val="nil"/>
            </w:tcBorders>
            <w:vAlign w:val="center"/>
          </w:tcPr>
          <w:p w:rsidR="009F754D" w:rsidRPr="00416E20" w:rsidRDefault="009F754D" w:rsidP="00B37B92">
            <w:pPr>
              <w:keepNext/>
              <w:keepLines/>
              <w:rPr>
                <w:rFonts w:ascii="Times New Roman" w:hAnsi="Times New Roman"/>
                <w:sz w:val="24"/>
                <w:szCs w:val="24"/>
              </w:rPr>
            </w:pPr>
          </w:p>
        </w:tc>
        <w:tc>
          <w:tcPr>
            <w:tcW w:w="1148" w:type="dxa"/>
            <w:tcBorders>
              <w:left w:val="nil"/>
              <w:bottom w:val="single" w:sz="12" w:space="0" w:color="auto"/>
            </w:tcBorders>
            <w:vAlign w:val="center"/>
          </w:tcPr>
          <w:p w:rsidR="009F754D" w:rsidRPr="00416E20" w:rsidRDefault="009F754D" w:rsidP="00B37B92">
            <w:pPr>
              <w:keepNext/>
              <w:keepLines/>
              <w:rPr>
                <w:rFonts w:ascii="Times New Roman" w:hAnsi="Times New Roman"/>
                <w:sz w:val="24"/>
                <w:szCs w:val="24"/>
              </w:rPr>
            </w:pPr>
            <w:r w:rsidRPr="00416E20">
              <w:rPr>
                <w:rFonts w:ascii="Times New Roman" w:hAnsi="Times New Roman"/>
                <w:sz w:val="24"/>
                <w:szCs w:val="24"/>
              </w:rPr>
              <w:t>Cirrhosis</w:t>
            </w:r>
          </w:p>
        </w:tc>
        <w:tc>
          <w:tcPr>
            <w:tcW w:w="1995" w:type="dxa"/>
            <w:tcBorders>
              <w:bottom w:val="single" w:sz="12" w:space="0" w:color="auto"/>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100% (1/1)</w:t>
            </w:r>
          </w:p>
        </w:tc>
        <w:tc>
          <w:tcPr>
            <w:tcW w:w="1974" w:type="dxa"/>
            <w:tcBorders>
              <w:bottom w:val="single" w:sz="12" w:space="0" w:color="auto"/>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100% (2/2)</w:t>
            </w:r>
          </w:p>
        </w:tc>
        <w:tc>
          <w:tcPr>
            <w:tcW w:w="1985" w:type="dxa"/>
            <w:tcBorders>
              <w:bottom w:val="single" w:sz="12" w:space="0" w:color="auto"/>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67% (4/6)</w:t>
            </w:r>
          </w:p>
        </w:tc>
        <w:tc>
          <w:tcPr>
            <w:tcW w:w="1984" w:type="dxa"/>
            <w:tcBorders>
              <w:bottom w:val="single" w:sz="12" w:space="0" w:color="auto"/>
              <w:right w:val="nil"/>
            </w:tcBorders>
            <w:vAlign w:val="center"/>
          </w:tcPr>
          <w:p w:rsidR="009F754D" w:rsidRPr="00416E20" w:rsidRDefault="009F754D" w:rsidP="00525003">
            <w:pPr>
              <w:keepNext/>
              <w:keepLines/>
              <w:jc w:val="center"/>
              <w:rPr>
                <w:rFonts w:ascii="Times New Roman" w:hAnsi="Times New Roman"/>
                <w:sz w:val="24"/>
                <w:szCs w:val="24"/>
              </w:rPr>
            </w:pPr>
            <w:r w:rsidRPr="00416E20">
              <w:rPr>
                <w:rFonts w:ascii="Times New Roman" w:hAnsi="Times New Roman"/>
                <w:sz w:val="24"/>
                <w:szCs w:val="24"/>
              </w:rPr>
              <w:t>80% (4/5)</w:t>
            </w:r>
          </w:p>
        </w:tc>
      </w:tr>
    </w:tbl>
    <w:p w:rsidR="009F754D" w:rsidRDefault="009F754D" w:rsidP="009F754D">
      <w:pPr>
        <w:rPr>
          <w:rFonts w:ascii="Times New Roman" w:hAnsi="Times New Roman"/>
          <w:iCs/>
          <w:sz w:val="24"/>
          <w:szCs w:val="24"/>
        </w:rPr>
      </w:pPr>
      <w:r w:rsidRPr="00416E20">
        <w:rPr>
          <w:rFonts w:ascii="Times New Roman" w:hAnsi="Times New Roman"/>
          <w:iCs/>
          <w:sz w:val="24"/>
          <w:szCs w:val="24"/>
        </w:rPr>
        <w:t>TN = treatment</w:t>
      </w:r>
      <w:r w:rsidRPr="00416E20">
        <w:rPr>
          <w:rFonts w:ascii="Times New Roman" w:hAnsi="Times New Roman"/>
          <w:iCs/>
          <w:sz w:val="24"/>
          <w:szCs w:val="24"/>
        </w:rPr>
        <w:noBreakHyphen/>
        <w:t>naïve; TE = treatment</w:t>
      </w:r>
      <w:r w:rsidRPr="00416E20">
        <w:rPr>
          <w:rFonts w:ascii="Times New Roman" w:hAnsi="Times New Roman"/>
          <w:iCs/>
          <w:sz w:val="24"/>
          <w:szCs w:val="24"/>
        </w:rPr>
        <w:noBreakHyphen/>
        <w:t>experienced.</w:t>
      </w:r>
    </w:p>
    <w:p w:rsidR="00946408" w:rsidRDefault="00946408" w:rsidP="00CE6A14">
      <w:pPr>
        <w:pStyle w:val="Subheading2"/>
        <w:rPr>
          <w:i w:val="0"/>
        </w:rPr>
      </w:pPr>
    </w:p>
    <w:p w:rsidR="00CE6A14" w:rsidRPr="0041779F" w:rsidRDefault="00CE6A14" w:rsidP="00CE6A14">
      <w:pPr>
        <w:pStyle w:val="Subheading2"/>
        <w:rPr>
          <w:i w:val="0"/>
        </w:rPr>
      </w:pPr>
      <w:r w:rsidRPr="0041779F">
        <w:rPr>
          <w:i w:val="0"/>
        </w:rPr>
        <w:t>Patients Awaiting Liver Transplantation</w:t>
      </w:r>
    </w:p>
    <w:p w:rsidR="00CE6A14" w:rsidRDefault="00CE6A14" w:rsidP="00CE6A14">
      <w:pPr>
        <w:pStyle w:val="Text10"/>
      </w:pPr>
      <w:r>
        <w:t>SOVALDI</w:t>
      </w:r>
      <w:r w:rsidRPr="00BB15B4">
        <w:t xml:space="preserve"> was studied in HCV-infected </w:t>
      </w:r>
      <w:r>
        <w:t>patients</w:t>
      </w:r>
      <w:r w:rsidRPr="00BB15B4">
        <w:t xml:space="preserve"> prior to undergoing liver transplantation in an open-label clinical trial evaluating the safety and effic</w:t>
      </w:r>
      <w:r>
        <w:t xml:space="preserve">acy of SOVALDI </w:t>
      </w:r>
      <w:r w:rsidRPr="00BB15B4">
        <w:t xml:space="preserve">and ribavirin administered pre-transplant to prevent post-transplant HCV reinfection. The primary endpoint of the trial was </w:t>
      </w:r>
      <w:r>
        <w:t xml:space="preserve">post-transplant </w:t>
      </w:r>
      <w:proofErr w:type="spellStart"/>
      <w:r w:rsidRPr="00BB15B4">
        <w:t>virologic</w:t>
      </w:r>
      <w:proofErr w:type="spellEnd"/>
      <w:r w:rsidRPr="00BB15B4">
        <w:t xml:space="preserve"> </w:t>
      </w:r>
      <w:r>
        <w:t>response (</w:t>
      </w:r>
      <w:proofErr w:type="spellStart"/>
      <w:r>
        <w:t>pTVR</w:t>
      </w:r>
      <w:proofErr w:type="spellEnd"/>
      <w:r>
        <w:t xml:space="preserve">) </w:t>
      </w:r>
      <w:r w:rsidRPr="00BB15B4">
        <w:t>(HCV RNA &lt; lower limit of quantification [LLOQ]</w:t>
      </w:r>
      <w:r>
        <w:t xml:space="preserve"> at</w:t>
      </w:r>
      <w:r w:rsidRPr="00BB15B4">
        <w:t xml:space="preserve"> 12 weeks post-transplant).  HCV-infected </w:t>
      </w:r>
      <w:r>
        <w:t>patients, regardless of genotype,</w:t>
      </w:r>
      <w:r w:rsidRPr="00BB15B4">
        <w:t xml:space="preserve"> with hepatocellular carcinoma (HCC) meeting the </w:t>
      </w:r>
      <w:smartTag w:uri="urn:schemas-microsoft-com:office:smarttags" w:element="place">
        <w:smartTag w:uri="urn:schemas-microsoft-com:office:smarttags" w:element="City">
          <w:r w:rsidRPr="00BB15B4">
            <w:t>MILAN</w:t>
          </w:r>
        </w:smartTag>
      </w:smartTag>
      <w:r>
        <w:t xml:space="preserve"> criteria received 400 mg SOVALDI</w:t>
      </w:r>
      <w:r w:rsidRPr="00BB15B4">
        <w:t xml:space="preserve"> and 1000-1200 mg ribavirin </w:t>
      </w:r>
      <w:r>
        <w:t xml:space="preserve">daily </w:t>
      </w:r>
      <w:r w:rsidRPr="00BB15B4">
        <w:t>for a maximum of 24 weeks or until the time of liver transplant</w:t>
      </w:r>
      <w:r>
        <w:t>at</w:t>
      </w:r>
      <w:r w:rsidRPr="00BB15B4">
        <w:t xml:space="preserve">ion, whichever occurred first. </w:t>
      </w:r>
      <w:r>
        <w:t>A</w:t>
      </w:r>
      <w:r w:rsidRPr="00BB15B4">
        <w:t xml:space="preserve">n interim analysis </w:t>
      </w:r>
      <w:r>
        <w:t xml:space="preserve">was conducted on </w:t>
      </w:r>
      <w:r w:rsidRPr="00BB15B4">
        <w:t xml:space="preserve">61 </w:t>
      </w:r>
      <w:r>
        <w:t>patients who received SOVALDI and ribavirin</w:t>
      </w:r>
      <w:r w:rsidRPr="00BB15B4">
        <w:t xml:space="preserve">; 45 had genotype 1; </w:t>
      </w:r>
      <w:r>
        <w:t xml:space="preserve">44 patients </w:t>
      </w:r>
      <w:r w:rsidRPr="00BB15B4">
        <w:t xml:space="preserve">had a baseline CPT score less than 7. Of these 61 </w:t>
      </w:r>
      <w:r>
        <w:t>patients</w:t>
      </w:r>
      <w:r w:rsidRPr="00BB15B4">
        <w:t xml:space="preserve">, </w:t>
      </w:r>
      <w:r w:rsidR="00F83863">
        <w:t>44</w:t>
      </w:r>
      <w:r w:rsidR="00F83863" w:rsidRPr="00BB15B4">
        <w:t xml:space="preserve"> </w:t>
      </w:r>
      <w:r>
        <w:t>patients</w:t>
      </w:r>
      <w:r w:rsidRPr="00BB15B4">
        <w:t xml:space="preserve"> underwent liver transplantation following </w:t>
      </w:r>
      <w:r w:rsidR="00F83863">
        <w:t xml:space="preserve">up to 48 </w:t>
      </w:r>
      <w:r>
        <w:t>weeks of treatment with SOVALDI</w:t>
      </w:r>
      <w:r w:rsidRPr="00BB15B4">
        <w:t xml:space="preserve"> and ribavirin; </w:t>
      </w:r>
      <w:r w:rsidR="00F83863">
        <w:t>41</w:t>
      </w:r>
      <w:r w:rsidR="00F83863" w:rsidRPr="00BB15B4">
        <w:t xml:space="preserve"> </w:t>
      </w:r>
      <w:r w:rsidRPr="00BB15B4">
        <w:t>had HCV RNA &lt;</w:t>
      </w:r>
      <w:r>
        <w:t xml:space="preserve"> </w:t>
      </w:r>
      <w:r w:rsidRPr="00BB15B4">
        <w:t xml:space="preserve">LLOQ at the time of transplantation, one of whom received an HCV-infected liver. The viral response rates of the </w:t>
      </w:r>
      <w:r w:rsidR="00F83863">
        <w:t xml:space="preserve">41 </w:t>
      </w:r>
      <w:r>
        <w:t xml:space="preserve">patients </w:t>
      </w:r>
      <w:r w:rsidRPr="00BB15B4">
        <w:t xml:space="preserve">transplanted with HCV RNA&lt;LLOQ are described in Table </w:t>
      </w:r>
      <w:r>
        <w:t>1</w:t>
      </w:r>
      <w:r w:rsidR="001308A0">
        <w:t>3</w:t>
      </w:r>
      <w:r w:rsidRPr="00BB15B4">
        <w:t>.</w:t>
      </w:r>
    </w:p>
    <w:p w:rsidR="00CE6A14" w:rsidRPr="00E33108" w:rsidRDefault="00CE6A14" w:rsidP="00CE6A14">
      <w:pPr>
        <w:pStyle w:val="Caption"/>
        <w:rPr>
          <w:rFonts w:ascii="Times New Roman" w:hAnsi="Times New Roman"/>
        </w:rPr>
      </w:pPr>
      <w:r w:rsidRPr="00E33108">
        <w:rPr>
          <w:rFonts w:ascii="Times New Roman" w:hAnsi="Times New Roman"/>
        </w:rPr>
        <w:t xml:space="preserve">Table </w:t>
      </w:r>
      <w:r w:rsidR="001308A0" w:rsidRPr="00E33108">
        <w:rPr>
          <w:rFonts w:ascii="Times New Roman" w:hAnsi="Times New Roman"/>
        </w:rPr>
        <w:fldChar w:fldCharType="begin"/>
      </w:r>
      <w:r w:rsidR="001308A0" w:rsidRPr="00E33108">
        <w:rPr>
          <w:rFonts w:ascii="Times New Roman" w:hAnsi="Times New Roman"/>
        </w:rPr>
        <w:instrText xml:space="preserve"> SEQ Table \* ARABIC </w:instrText>
      </w:r>
      <w:r w:rsidR="001308A0" w:rsidRPr="00E33108">
        <w:rPr>
          <w:rFonts w:ascii="Times New Roman" w:hAnsi="Times New Roman"/>
        </w:rPr>
        <w:fldChar w:fldCharType="separate"/>
      </w:r>
      <w:r w:rsidR="001308A0">
        <w:rPr>
          <w:rFonts w:ascii="Times New Roman" w:hAnsi="Times New Roman"/>
          <w:noProof/>
        </w:rPr>
        <w:t>1</w:t>
      </w:r>
      <w:r w:rsidR="001308A0" w:rsidRPr="00E33108">
        <w:rPr>
          <w:rFonts w:ascii="Times New Roman" w:hAnsi="Times New Roman"/>
        </w:rPr>
        <w:fldChar w:fldCharType="end"/>
      </w:r>
      <w:r w:rsidR="001308A0">
        <w:rPr>
          <w:rFonts w:ascii="Times New Roman" w:hAnsi="Times New Roman"/>
        </w:rPr>
        <w:t>3</w:t>
      </w:r>
      <w:r w:rsidRPr="00E33108">
        <w:rPr>
          <w:rFonts w:ascii="Times New Roman" w:hAnsi="Times New Roman"/>
        </w:rPr>
        <w:tab/>
      </w:r>
      <w:proofErr w:type="spellStart"/>
      <w:r w:rsidRPr="00E33108">
        <w:rPr>
          <w:rFonts w:ascii="Times New Roman" w:hAnsi="Times New Roman"/>
        </w:rPr>
        <w:t>Virologic</w:t>
      </w:r>
      <w:proofErr w:type="spellEnd"/>
      <w:r w:rsidRPr="00E33108">
        <w:rPr>
          <w:rFonts w:ascii="Times New Roman" w:hAnsi="Times New Roman"/>
        </w:rPr>
        <w:t xml:space="preserve"> Response Post-Transplant in </w:t>
      </w:r>
      <w:r>
        <w:rPr>
          <w:rFonts w:ascii="Times New Roman" w:hAnsi="Times New Roman"/>
        </w:rPr>
        <w:t>Patients</w:t>
      </w:r>
      <w:r w:rsidRPr="00E33108">
        <w:rPr>
          <w:rFonts w:ascii="Times New Roman" w:hAnsi="Times New Roman"/>
        </w:rPr>
        <w:t xml:space="preserve"> with HCV RNA &lt;</w:t>
      </w:r>
      <w:r>
        <w:rPr>
          <w:rFonts w:ascii="Times New Roman" w:hAnsi="Times New Roman"/>
        </w:rPr>
        <w:t xml:space="preserve"> </w:t>
      </w:r>
      <w:r w:rsidRPr="00E33108">
        <w:rPr>
          <w:rFonts w:ascii="Times New Roman" w:hAnsi="Times New Roman"/>
        </w:rPr>
        <w:t>LLOQ at the Time of Liver Transplantation</w:t>
      </w:r>
    </w:p>
    <w:tbl>
      <w:tblPr>
        <w:tblW w:w="0" w:type="auto"/>
        <w:jc w:val="center"/>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3"/>
        <w:gridCol w:w="3877"/>
      </w:tblGrid>
      <w:tr w:rsidR="00261DBC" w:rsidRPr="00D85445" w:rsidTr="00F00AC4">
        <w:trPr>
          <w:jc w:val="center"/>
        </w:trPr>
        <w:tc>
          <w:tcPr>
            <w:tcW w:w="4963" w:type="dxa"/>
            <w:tcBorders>
              <w:top w:val="single" w:sz="12" w:space="0" w:color="auto"/>
              <w:left w:val="nil"/>
              <w:bottom w:val="single" w:sz="12" w:space="0" w:color="auto"/>
              <w:right w:val="single" w:sz="4" w:space="0" w:color="auto"/>
            </w:tcBorders>
          </w:tcPr>
          <w:p w:rsidR="00261DBC" w:rsidRPr="00366516" w:rsidRDefault="00261DBC" w:rsidP="00CE6A14">
            <w:pPr>
              <w:pStyle w:val="Table-Text"/>
              <w:rPr>
                <w:sz w:val="22"/>
                <w:szCs w:val="22"/>
              </w:rPr>
            </w:pPr>
          </w:p>
        </w:tc>
        <w:tc>
          <w:tcPr>
            <w:tcW w:w="3877" w:type="dxa"/>
            <w:tcBorders>
              <w:top w:val="single" w:sz="12" w:space="0" w:color="auto"/>
              <w:left w:val="single" w:sz="4" w:space="0" w:color="auto"/>
              <w:bottom w:val="single" w:sz="12" w:space="0" w:color="auto"/>
              <w:right w:val="nil"/>
            </w:tcBorders>
            <w:vAlign w:val="center"/>
          </w:tcPr>
          <w:p w:rsidR="00261DBC" w:rsidRPr="00366516" w:rsidRDefault="00261DBC" w:rsidP="00CE6A14">
            <w:pPr>
              <w:pStyle w:val="Table-Text"/>
              <w:jc w:val="center"/>
              <w:rPr>
                <w:sz w:val="22"/>
                <w:szCs w:val="22"/>
              </w:rPr>
            </w:pPr>
            <w:r w:rsidRPr="00366516">
              <w:rPr>
                <w:sz w:val="22"/>
                <w:szCs w:val="22"/>
              </w:rPr>
              <w:t>Week 12 post-transplant (</w:t>
            </w:r>
            <w:proofErr w:type="spellStart"/>
            <w:r w:rsidRPr="00366516">
              <w:rPr>
                <w:sz w:val="22"/>
                <w:szCs w:val="22"/>
              </w:rPr>
              <w:t>pTVR</w:t>
            </w:r>
            <w:proofErr w:type="spellEnd"/>
            <w:r w:rsidRPr="00366516">
              <w:rPr>
                <w:sz w:val="22"/>
                <w:szCs w:val="22"/>
              </w:rPr>
              <w:t>)</w:t>
            </w:r>
            <w:r w:rsidRPr="00366516">
              <w:rPr>
                <w:sz w:val="22"/>
                <w:szCs w:val="22"/>
                <w:vertAlign w:val="superscript"/>
              </w:rPr>
              <w:t>b</w:t>
            </w:r>
          </w:p>
        </w:tc>
      </w:tr>
      <w:tr w:rsidR="00261DBC" w:rsidRPr="00D85445" w:rsidTr="00F00AC4">
        <w:trPr>
          <w:jc w:val="center"/>
        </w:trPr>
        <w:tc>
          <w:tcPr>
            <w:tcW w:w="4963" w:type="dxa"/>
            <w:tcBorders>
              <w:top w:val="single" w:sz="12" w:space="0" w:color="auto"/>
              <w:left w:val="nil"/>
              <w:bottom w:val="single" w:sz="12" w:space="0" w:color="auto"/>
              <w:right w:val="single" w:sz="4" w:space="0" w:color="auto"/>
            </w:tcBorders>
          </w:tcPr>
          <w:p w:rsidR="00261DBC" w:rsidRPr="00366516" w:rsidRDefault="00261DBC" w:rsidP="00CE6A14">
            <w:pPr>
              <w:pStyle w:val="Table-Text"/>
              <w:rPr>
                <w:sz w:val="22"/>
                <w:szCs w:val="22"/>
              </w:rPr>
            </w:pPr>
            <w:proofErr w:type="spellStart"/>
            <w:r w:rsidRPr="0003741C">
              <w:rPr>
                <w:sz w:val="22"/>
                <w:szCs w:val="22"/>
              </w:rPr>
              <w:t>Virologic</w:t>
            </w:r>
            <w:proofErr w:type="spellEnd"/>
            <w:r w:rsidRPr="0003741C">
              <w:rPr>
                <w:sz w:val="22"/>
                <w:szCs w:val="22"/>
              </w:rPr>
              <w:t xml:space="preserve"> response in evaluable </w:t>
            </w:r>
            <w:proofErr w:type="spellStart"/>
            <w:r w:rsidRPr="0003741C">
              <w:rPr>
                <w:sz w:val="22"/>
                <w:szCs w:val="22"/>
              </w:rPr>
              <w:t>patients</w:t>
            </w:r>
            <w:r w:rsidRPr="00F94F58">
              <w:rPr>
                <w:sz w:val="22"/>
                <w:szCs w:val="22"/>
                <w:vertAlign w:val="superscript"/>
              </w:rPr>
              <w:t>c</w:t>
            </w:r>
            <w:proofErr w:type="spellEnd"/>
          </w:p>
        </w:tc>
        <w:tc>
          <w:tcPr>
            <w:tcW w:w="3877" w:type="dxa"/>
            <w:tcBorders>
              <w:top w:val="single" w:sz="12" w:space="0" w:color="auto"/>
              <w:left w:val="single" w:sz="4" w:space="0" w:color="auto"/>
              <w:bottom w:val="single" w:sz="12" w:space="0" w:color="auto"/>
              <w:right w:val="nil"/>
            </w:tcBorders>
            <w:vAlign w:val="center"/>
          </w:tcPr>
          <w:p w:rsidR="00261DBC" w:rsidRPr="00366516" w:rsidRDefault="00261DBC" w:rsidP="00CE6A14">
            <w:pPr>
              <w:pStyle w:val="Table-Text"/>
              <w:jc w:val="center"/>
              <w:rPr>
                <w:sz w:val="22"/>
                <w:szCs w:val="22"/>
              </w:rPr>
            </w:pPr>
            <w:r>
              <w:rPr>
                <w:sz w:val="22"/>
                <w:szCs w:val="22"/>
              </w:rPr>
              <w:t>23/37</w:t>
            </w:r>
            <w:r w:rsidRPr="00366516">
              <w:rPr>
                <w:sz w:val="22"/>
                <w:szCs w:val="22"/>
              </w:rPr>
              <w:t xml:space="preserve"> (62%)</w:t>
            </w:r>
          </w:p>
        </w:tc>
      </w:tr>
    </w:tbl>
    <w:p w:rsidR="00CE6A14" w:rsidRPr="00366516" w:rsidRDefault="00CE6A14" w:rsidP="00CE6A14">
      <w:pPr>
        <w:pStyle w:val="Table-Footer"/>
        <w:numPr>
          <w:ilvl w:val="0"/>
          <w:numId w:val="36"/>
        </w:numPr>
        <w:tabs>
          <w:tab w:val="clear" w:pos="720"/>
          <w:tab w:val="left" w:pos="360"/>
        </w:tabs>
        <w:spacing w:before="60"/>
        <w:ind w:left="360"/>
        <w:rPr>
          <w:rFonts w:ascii="Times New Roman" w:hAnsi="Times New Roman"/>
          <w:sz w:val="18"/>
          <w:szCs w:val="18"/>
        </w:rPr>
      </w:pPr>
      <w:r w:rsidRPr="00366516">
        <w:rPr>
          <w:rFonts w:ascii="Times New Roman" w:hAnsi="Times New Roman"/>
          <w:sz w:val="18"/>
          <w:szCs w:val="18"/>
        </w:rPr>
        <w:t>Evaluable</w:t>
      </w:r>
      <w:r>
        <w:rPr>
          <w:rFonts w:ascii="Times New Roman" w:hAnsi="Times New Roman"/>
          <w:sz w:val="18"/>
          <w:szCs w:val="18"/>
        </w:rPr>
        <w:t xml:space="preserve"> patients</w:t>
      </w:r>
      <w:r w:rsidRPr="00366516">
        <w:rPr>
          <w:rFonts w:ascii="Times New Roman" w:hAnsi="Times New Roman"/>
          <w:sz w:val="18"/>
          <w:szCs w:val="18"/>
        </w:rPr>
        <w:t xml:space="preserve"> are defined as those who have reached the specified time point at the time of the interim analysis.</w:t>
      </w:r>
    </w:p>
    <w:p w:rsidR="00CE6A14" w:rsidRDefault="00CE6A14" w:rsidP="00CE6A14">
      <w:pPr>
        <w:pStyle w:val="Table-Footer"/>
        <w:numPr>
          <w:ilvl w:val="0"/>
          <w:numId w:val="36"/>
        </w:numPr>
        <w:tabs>
          <w:tab w:val="clear" w:pos="720"/>
          <w:tab w:val="left" w:pos="360"/>
        </w:tabs>
        <w:spacing w:before="60"/>
        <w:ind w:left="360"/>
        <w:rPr>
          <w:rFonts w:ascii="Times New Roman" w:hAnsi="Times New Roman"/>
        </w:rPr>
      </w:pPr>
      <w:proofErr w:type="spellStart"/>
      <w:r w:rsidRPr="00366516">
        <w:rPr>
          <w:rFonts w:ascii="Times New Roman" w:hAnsi="Times New Roman"/>
          <w:sz w:val="18"/>
          <w:szCs w:val="18"/>
        </w:rPr>
        <w:t>pTVR</w:t>
      </w:r>
      <w:proofErr w:type="spellEnd"/>
      <w:r w:rsidRPr="00366516">
        <w:rPr>
          <w:rFonts w:ascii="Times New Roman" w:hAnsi="Times New Roman"/>
          <w:sz w:val="18"/>
          <w:szCs w:val="18"/>
        </w:rPr>
        <w:t xml:space="preserve">: </w:t>
      </w:r>
      <w:proofErr w:type="spellStart"/>
      <w:r w:rsidRPr="00366516">
        <w:rPr>
          <w:rFonts w:ascii="Times New Roman" w:hAnsi="Times New Roman"/>
          <w:sz w:val="18"/>
          <w:szCs w:val="18"/>
        </w:rPr>
        <w:t>post transplant</w:t>
      </w:r>
      <w:proofErr w:type="spellEnd"/>
      <w:r w:rsidRPr="00366516">
        <w:rPr>
          <w:rFonts w:ascii="Times New Roman" w:hAnsi="Times New Roman"/>
          <w:sz w:val="18"/>
          <w:szCs w:val="18"/>
        </w:rPr>
        <w:t xml:space="preserve"> </w:t>
      </w:r>
      <w:proofErr w:type="spellStart"/>
      <w:r w:rsidRPr="00366516">
        <w:rPr>
          <w:rFonts w:ascii="Times New Roman" w:hAnsi="Times New Roman"/>
          <w:sz w:val="18"/>
          <w:szCs w:val="18"/>
        </w:rPr>
        <w:t>virologic</w:t>
      </w:r>
      <w:proofErr w:type="spellEnd"/>
      <w:r w:rsidRPr="00366516">
        <w:rPr>
          <w:rFonts w:ascii="Times New Roman" w:hAnsi="Times New Roman"/>
          <w:sz w:val="18"/>
          <w:szCs w:val="18"/>
        </w:rPr>
        <w:t xml:space="preserve"> response (HCV RNA &lt;</w:t>
      </w:r>
      <w:r>
        <w:rPr>
          <w:rFonts w:ascii="Times New Roman" w:hAnsi="Times New Roman"/>
          <w:sz w:val="18"/>
          <w:szCs w:val="18"/>
        </w:rPr>
        <w:t xml:space="preserve"> </w:t>
      </w:r>
      <w:r w:rsidRPr="00366516">
        <w:rPr>
          <w:rFonts w:ascii="Times New Roman" w:hAnsi="Times New Roman"/>
          <w:sz w:val="18"/>
          <w:szCs w:val="18"/>
        </w:rPr>
        <w:t>LLOQ at 12 weeks post-procedure)</w:t>
      </w:r>
      <w:r w:rsidRPr="007522B9">
        <w:rPr>
          <w:rFonts w:ascii="Times New Roman" w:hAnsi="Times New Roman"/>
        </w:rPr>
        <w:t>.</w:t>
      </w:r>
    </w:p>
    <w:p w:rsidR="00CE6A14" w:rsidRPr="007522B9" w:rsidRDefault="00CE6A14" w:rsidP="00CE6A14">
      <w:pPr>
        <w:pStyle w:val="Table-Footer"/>
        <w:numPr>
          <w:ilvl w:val="0"/>
          <w:numId w:val="36"/>
        </w:numPr>
        <w:tabs>
          <w:tab w:val="clear" w:pos="720"/>
          <w:tab w:val="left" w:pos="360"/>
        </w:tabs>
        <w:spacing w:before="60"/>
        <w:ind w:left="360"/>
        <w:rPr>
          <w:rFonts w:ascii="Times New Roman" w:hAnsi="Times New Roman"/>
        </w:rPr>
      </w:pPr>
      <w:r>
        <w:rPr>
          <w:rFonts w:ascii="Times New Roman" w:hAnsi="Times New Roman"/>
        </w:rPr>
        <w:t>HCV RNA &lt; LLOQ (less than 25 IU per mL)</w:t>
      </w:r>
    </w:p>
    <w:p w:rsidR="00CE6A14" w:rsidRDefault="00CE6A14" w:rsidP="009F754D">
      <w:pPr>
        <w:rPr>
          <w:rFonts w:ascii="Times New Roman" w:hAnsi="Times New Roman"/>
          <w:iCs/>
          <w:sz w:val="24"/>
          <w:szCs w:val="24"/>
        </w:rPr>
      </w:pPr>
    </w:p>
    <w:p w:rsidR="00CE6A14" w:rsidRPr="00416E20" w:rsidRDefault="00CE6A14" w:rsidP="009F754D">
      <w:pPr>
        <w:rPr>
          <w:rFonts w:ascii="Times New Roman" w:hAnsi="Times New Roman"/>
          <w:iCs/>
          <w:sz w:val="24"/>
          <w:szCs w:val="24"/>
        </w:rPr>
      </w:pPr>
    </w:p>
    <w:p w:rsidR="007254DD" w:rsidRPr="008B7865" w:rsidRDefault="007254DD" w:rsidP="00BF711F">
      <w:pPr>
        <w:jc w:val="both"/>
        <w:outlineLvl w:val="0"/>
        <w:rPr>
          <w:rFonts w:ascii="Times New Roman" w:hAnsi="Times New Roman"/>
          <w:noProof/>
          <w:sz w:val="24"/>
          <w:szCs w:val="24"/>
        </w:rPr>
      </w:pPr>
      <w:r w:rsidRPr="008B7865">
        <w:rPr>
          <w:rFonts w:ascii="Times New Roman" w:hAnsi="Times New Roman"/>
          <w:b/>
          <w:noProof/>
          <w:sz w:val="24"/>
          <w:szCs w:val="24"/>
        </w:rPr>
        <w:t>INDICATIONS</w:t>
      </w:r>
    </w:p>
    <w:p w:rsidR="00AD14B2" w:rsidRDefault="00D21279" w:rsidP="00BF711F">
      <w:pPr>
        <w:pStyle w:val="Text10"/>
      </w:pPr>
      <w:bookmarkStart w:id="16" w:name="_Ref269744745"/>
      <w:r>
        <w:t>SOVALDI</w:t>
      </w:r>
      <w:r w:rsidR="005F63A5" w:rsidRPr="00C1311B">
        <w:t xml:space="preserve"> is indicated for the treatment of</w:t>
      </w:r>
      <w:r w:rsidR="00AD14B2">
        <w:t xml:space="preserve"> adults with</w:t>
      </w:r>
      <w:r w:rsidR="005F63A5" w:rsidRPr="00C1311B">
        <w:t xml:space="preserve"> chronic hepatitis C (CHC) </w:t>
      </w:r>
      <w:r w:rsidR="006546D7">
        <w:t xml:space="preserve">infection </w:t>
      </w:r>
      <w:bookmarkEnd w:id="16"/>
      <w:r w:rsidR="006546D7">
        <w:t>as a component of a combination antiviral treatment regimen</w:t>
      </w:r>
      <w:r w:rsidR="00AD14B2">
        <w:t>.</w:t>
      </w:r>
    </w:p>
    <w:p w:rsidR="005F63A5" w:rsidRPr="009E4330" w:rsidRDefault="006546D7" w:rsidP="00BF711F">
      <w:pPr>
        <w:pStyle w:val="Text10"/>
      </w:pPr>
      <w:r>
        <w:t>(</w:t>
      </w:r>
      <w:proofErr w:type="gramStart"/>
      <w:r>
        <w:t>see</w:t>
      </w:r>
      <w:proofErr w:type="gramEnd"/>
      <w:r>
        <w:t xml:space="preserve"> CLINICAL TRIALS and DOSAGE AND ADMINISTRATION section for detailed information on the studied combinations, dose regimens, and treatment durations for different subgroups of CHC patients). </w:t>
      </w:r>
    </w:p>
    <w:p w:rsidR="009F536A" w:rsidRPr="008B7865" w:rsidRDefault="009F536A" w:rsidP="00BF711F">
      <w:pPr>
        <w:ind w:left="567" w:hanging="567"/>
        <w:jc w:val="both"/>
        <w:rPr>
          <w:rFonts w:ascii="Times New Roman" w:hAnsi="Times New Roman"/>
          <w:b/>
          <w:noProof/>
          <w:sz w:val="24"/>
          <w:szCs w:val="24"/>
          <w:lang w:val="en-US"/>
        </w:rPr>
      </w:pPr>
    </w:p>
    <w:p w:rsidR="007254DD" w:rsidRPr="008B7865" w:rsidRDefault="007254DD" w:rsidP="00BF711F">
      <w:pPr>
        <w:ind w:left="567" w:hanging="567"/>
        <w:jc w:val="both"/>
        <w:rPr>
          <w:rFonts w:ascii="Times New Roman" w:hAnsi="Times New Roman"/>
          <w:noProof/>
          <w:sz w:val="24"/>
          <w:szCs w:val="24"/>
          <w:lang w:val="en-US"/>
        </w:rPr>
      </w:pPr>
      <w:r w:rsidRPr="00784436">
        <w:rPr>
          <w:rFonts w:ascii="Times New Roman" w:hAnsi="Times New Roman"/>
          <w:b/>
          <w:noProof/>
          <w:sz w:val="24"/>
          <w:szCs w:val="24"/>
          <w:lang w:val="en-US"/>
        </w:rPr>
        <w:t>CONTRAINDICATIONS</w:t>
      </w:r>
    </w:p>
    <w:p w:rsidR="003A7DDB" w:rsidRDefault="00D54E1D" w:rsidP="00BF711F">
      <w:pPr>
        <w:pStyle w:val="Text10"/>
      </w:pPr>
      <w:bookmarkStart w:id="17" w:name="_Ref307400262"/>
      <w:r>
        <w:t xml:space="preserve">When </w:t>
      </w:r>
      <w:r w:rsidR="00D21279">
        <w:t>SOVALDI</w:t>
      </w:r>
      <w:r w:rsidR="003A7DDB" w:rsidRPr="00CA35A7">
        <w:t xml:space="preserve"> is used in combination with </w:t>
      </w:r>
      <w:proofErr w:type="spellStart"/>
      <w:r w:rsidR="003A7DDB" w:rsidRPr="00CA35A7">
        <w:t>peginterferon</w:t>
      </w:r>
      <w:proofErr w:type="spellEnd"/>
      <w:r w:rsidR="003A7DDB" w:rsidRPr="00CA35A7">
        <w:t xml:space="preserve"> </w:t>
      </w:r>
      <w:proofErr w:type="spellStart"/>
      <w:r w:rsidR="003A7DDB" w:rsidRPr="00CA35A7">
        <w:t>alfa</w:t>
      </w:r>
      <w:proofErr w:type="spellEnd"/>
      <w:r w:rsidR="003A7DDB" w:rsidRPr="00CA35A7">
        <w:t xml:space="preserve">/ribavirin or ribavirin, the contraindications applicable to those agents are applicable to combination therapies. Refer to the </w:t>
      </w:r>
      <w:r w:rsidR="005C5DFE">
        <w:t xml:space="preserve">product </w:t>
      </w:r>
      <w:r w:rsidR="003A7DDB" w:rsidRPr="00CA35A7">
        <w:t xml:space="preserve">information of </w:t>
      </w:r>
      <w:proofErr w:type="spellStart"/>
      <w:r w:rsidR="003A7DDB" w:rsidRPr="00CA35A7">
        <w:t>peginterferon</w:t>
      </w:r>
      <w:proofErr w:type="spellEnd"/>
      <w:r w:rsidR="003A7DDB" w:rsidRPr="00CA35A7">
        <w:t xml:space="preserve"> </w:t>
      </w:r>
      <w:proofErr w:type="spellStart"/>
      <w:r w:rsidR="003A7DDB" w:rsidRPr="00CA35A7">
        <w:t>alfa</w:t>
      </w:r>
      <w:proofErr w:type="spellEnd"/>
      <w:r w:rsidR="003A7DDB" w:rsidRPr="00CA35A7">
        <w:t xml:space="preserve"> and ribavirin for a list of their contraindications.</w:t>
      </w:r>
      <w:bookmarkEnd w:id="17"/>
    </w:p>
    <w:p w:rsidR="00946408" w:rsidRDefault="00946408">
      <w:pPr>
        <w:rPr>
          <w:rFonts w:ascii="Times New Roman" w:hAnsi="Times New Roman"/>
          <w:b/>
          <w:noProof/>
          <w:sz w:val="24"/>
          <w:szCs w:val="24"/>
        </w:rPr>
      </w:pPr>
      <w:r>
        <w:rPr>
          <w:rFonts w:ascii="Times New Roman" w:hAnsi="Times New Roman"/>
          <w:b/>
          <w:noProof/>
          <w:sz w:val="24"/>
          <w:szCs w:val="24"/>
        </w:rPr>
        <w:br w:type="page"/>
      </w:r>
    </w:p>
    <w:p w:rsidR="002E5869" w:rsidRPr="008B7865" w:rsidRDefault="007254DD" w:rsidP="00BF711F">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lastRenderedPageBreak/>
        <w:t>PRECAUTIONS</w:t>
      </w:r>
    </w:p>
    <w:p w:rsidR="00CF6B32" w:rsidRPr="008B7865" w:rsidRDefault="00CF6B32" w:rsidP="00BF711F">
      <w:pPr>
        <w:jc w:val="both"/>
        <w:rPr>
          <w:rFonts w:ascii="Times New Roman" w:hAnsi="Times New Roman"/>
          <w:b/>
          <w:color w:val="000000"/>
          <w:sz w:val="24"/>
          <w:szCs w:val="24"/>
        </w:rPr>
      </w:pPr>
    </w:p>
    <w:p w:rsidR="002D3D5F" w:rsidRDefault="002D3D5F" w:rsidP="00BF711F">
      <w:pPr>
        <w:autoSpaceDE w:val="0"/>
        <w:autoSpaceDN w:val="0"/>
        <w:adjustRightInd w:val="0"/>
        <w:jc w:val="both"/>
        <w:rPr>
          <w:rFonts w:ascii="Times New Roman" w:hAnsi="Times New Roman"/>
          <w:b/>
          <w:color w:val="000000"/>
          <w:sz w:val="24"/>
          <w:szCs w:val="24"/>
        </w:rPr>
      </w:pPr>
      <w:r w:rsidRPr="002D3D5F">
        <w:rPr>
          <w:rFonts w:ascii="Times New Roman" w:hAnsi="Times New Roman"/>
          <w:b/>
          <w:color w:val="000000"/>
          <w:sz w:val="24"/>
          <w:szCs w:val="24"/>
        </w:rPr>
        <w:t>Use with Potent P-</w:t>
      </w:r>
      <w:proofErr w:type="spellStart"/>
      <w:r w:rsidRPr="002D3D5F">
        <w:rPr>
          <w:rFonts w:ascii="Times New Roman" w:hAnsi="Times New Roman"/>
          <w:b/>
          <w:color w:val="000000"/>
          <w:sz w:val="24"/>
          <w:szCs w:val="24"/>
        </w:rPr>
        <w:t>gp</w:t>
      </w:r>
      <w:proofErr w:type="spellEnd"/>
      <w:r w:rsidRPr="002D3D5F">
        <w:rPr>
          <w:rFonts w:ascii="Times New Roman" w:hAnsi="Times New Roman"/>
          <w:b/>
          <w:color w:val="000000"/>
          <w:sz w:val="24"/>
          <w:szCs w:val="24"/>
        </w:rPr>
        <w:t xml:space="preserve"> Inducers </w:t>
      </w:r>
    </w:p>
    <w:p w:rsidR="002D3D5F" w:rsidRDefault="002D3D5F" w:rsidP="00BF711F">
      <w:pPr>
        <w:autoSpaceDE w:val="0"/>
        <w:autoSpaceDN w:val="0"/>
        <w:adjustRightInd w:val="0"/>
        <w:jc w:val="both"/>
        <w:rPr>
          <w:rFonts w:ascii="Times New Roman" w:hAnsi="Times New Roman"/>
          <w:color w:val="000000"/>
          <w:sz w:val="24"/>
          <w:szCs w:val="24"/>
        </w:rPr>
      </w:pPr>
      <w:r w:rsidRPr="002D3D5F">
        <w:rPr>
          <w:rFonts w:ascii="Times New Roman" w:hAnsi="Times New Roman"/>
          <w:color w:val="000000"/>
          <w:sz w:val="24"/>
          <w:szCs w:val="24"/>
        </w:rPr>
        <w:t>Drugs that are potent P-</w:t>
      </w:r>
      <w:proofErr w:type="spellStart"/>
      <w:r w:rsidRPr="002D3D5F">
        <w:rPr>
          <w:rFonts w:ascii="Times New Roman" w:hAnsi="Times New Roman"/>
          <w:color w:val="000000"/>
          <w:sz w:val="24"/>
          <w:szCs w:val="24"/>
        </w:rPr>
        <w:t>gp</w:t>
      </w:r>
      <w:proofErr w:type="spellEnd"/>
      <w:r w:rsidRPr="002D3D5F">
        <w:rPr>
          <w:rFonts w:ascii="Times New Roman" w:hAnsi="Times New Roman"/>
          <w:color w:val="000000"/>
          <w:sz w:val="24"/>
          <w:szCs w:val="24"/>
        </w:rPr>
        <w:t xml:space="preserve"> inducers in the intestine (e.g., </w:t>
      </w:r>
      <w:proofErr w:type="spellStart"/>
      <w:r w:rsidRPr="002D3D5F">
        <w:rPr>
          <w:rFonts w:ascii="Times New Roman" w:hAnsi="Times New Roman"/>
          <w:color w:val="000000"/>
          <w:sz w:val="24"/>
          <w:szCs w:val="24"/>
        </w:rPr>
        <w:t>rifampin</w:t>
      </w:r>
      <w:proofErr w:type="spellEnd"/>
      <w:r w:rsidRPr="002D3D5F">
        <w:rPr>
          <w:rFonts w:ascii="Times New Roman" w:hAnsi="Times New Roman"/>
          <w:color w:val="000000"/>
          <w:sz w:val="24"/>
          <w:szCs w:val="24"/>
        </w:rPr>
        <w:t xml:space="preserve">, </w:t>
      </w:r>
      <w:smartTag w:uri="urn:schemas-microsoft-com:office:smarttags" w:element="place">
        <w:smartTag w:uri="urn:schemas-microsoft-com:office:smarttags" w:element="City">
          <w:r w:rsidRPr="002D3D5F">
            <w:rPr>
              <w:rFonts w:ascii="Times New Roman" w:hAnsi="Times New Roman"/>
              <w:color w:val="000000"/>
              <w:sz w:val="24"/>
              <w:szCs w:val="24"/>
            </w:rPr>
            <w:t>St. John’s</w:t>
          </w:r>
        </w:smartTag>
      </w:smartTag>
      <w:r w:rsidRPr="002D3D5F">
        <w:rPr>
          <w:rFonts w:ascii="Times New Roman" w:hAnsi="Times New Roman"/>
          <w:color w:val="000000"/>
          <w:sz w:val="24"/>
          <w:szCs w:val="24"/>
        </w:rPr>
        <w:t xml:space="preserve"> </w:t>
      </w:r>
      <w:proofErr w:type="spellStart"/>
      <w:r w:rsidRPr="002D3D5F">
        <w:rPr>
          <w:rFonts w:ascii="Times New Roman" w:hAnsi="Times New Roman"/>
          <w:color w:val="000000"/>
          <w:sz w:val="24"/>
          <w:szCs w:val="24"/>
        </w:rPr>
        <w:t>wort</w:t>
      </w:r>
      <w:proofErr w:type="spellEnd"/>
      <w:r w:rsidRPr="002D3D5F">
        <w:rPr>
          <w:rFonts w:ascii="Times New Roman" w:hAnsi="Times New Roman"/>
          <w:color w:val="000000"/>
          <w:sz w:val="24"/>
          <w:szCs w:val="24"/>
        </w:rPr>
        <w:t xml:space="preserve">) may significantly decrease </w:t>
      </w:r>
      <w:proofErr w:type="spellStart"/>
      <w:r w:rsidRPr="002D3D5F">
        <w:rPr>
          <w:rFonts w:ascii="Times New Roman" w:hAnsi="Times New Roman"/>
          <w:color w:val="000000"/>
          <w:sz w:val="24"/>
          <w:szCs w:val="24"/>
        </w:rPr>
        <w:t>sofosbuvir</w:t>
      </w:r>
      <w:proofErr w:type="spellEnd"/>
      <w:r w:rsidRPr="002D3D5F">
        <w:rPr>
          <w:rFonts w:ascii="Times New Roman" w:hAnsi="Times New Roman"/>
          <w:color w:val="000000"/>
          <w:sz w:val="24"/>
          <w:szCs w:val="24"/>
        </w:rPr>
        <w:t xml:space="preserve"> plasma concentration leading to</w:t>
      </w:r>
      <w:r w:rsidR="007C06B6">
        <w:rPr>
          <w:rFonts w:ascii="Times New Roman" w:hAnsi="Times New Roman"/>
          <w:color w:val="000000"/>
          <w:sz w:val="24"/>
          <w:szCs w:val="24"/>
        </w:rPr>
        <w:t xml:space="preserve"> reduced therapeutic effect of </w:t>
      </w:r>
      <w:r w:rsidR="00D21279">
        <w:rPr>
          <w:rFonts w:ascii="Times New Roman" w:hAnsi="Times New Roman"/>
          <w:color w:val="000000"/>
          <w:sz w:val="24"/>
          <w:szCs w:val="24"/>
        </w:rPr>
        <w:t>SOVALDI</w:t>
      </w:r>
      <w:r w:rsidRPr="002D3D5F">
        <w:rPr>
          <w:rFonts w:ascii="Times New Roman" w:hAnsi="Times New Roman"/>
          <w:color w:val="000000"/>
          <w:sz w:val="24"/>
          <w:szCs w:val="24"/>
        </w:rPr>
        <w:t xml:space="preserve">.  </w:t>
      </w:r>
      <w:proofErr w:type="spellStart"/>
      <w:r w:rsidRPr="002D3D5F">
        <w:rPr>
          <w:rFonts w:ascii="Times New Roman" w:hAnsi="Times New Roman"/>
          <w:color w:val="000000"/>
          <w:sz w:val="24"/>
          <w:szCs w:val="24"/>
        </w:rPr>
        <w:t>Rifampin</w:t>
      </w:r>
      <w:proofErr w:type="spellEnd"/>
      <w:r w:rsidRPr="002D3D5F">
        <w:rPr>
          <w:rFonts w:ascii="Times New Roman" w:hAnsi="Times New Roman"/>
          <w:color w:val="000000"/>
          <w:sz w:val="24"/>
          <w:szCs w:val="24"/>
        </w:rPr>
        <w:t xml:space="preserve"> and St. John’s</w:t>
      </w:r>
      <w:r w:rsidR="006278C1">
        <w:rPr>
          <w:rFonts w:ascii="Times New Roman" w:hAnsi="Times New Roman"/>
          <w:color w:val="000000"/>
          <w:sz w:val="24"/>
          <w:szCs w:val="24"/>
        </w:rPr>
        <w:t xml:space="preserve"> </w:t>
      </w:r>
      <w:proofErr w:type="spellStart"/>
      <w:r w:rsidR="006278C1">
        <w:rPr>
          <w:rFonts w:ascii="Times New Roman" w:hAnsi="Times New Roman"/>
          <w:color w:val="000000"/>
          <w:sz w:val="24"/>
          <w:szCs w:val="24"/>
        </w:rPr>
        <w:t>wort</w:t>
      </w:r>
      <w:proofErr w:type="spellEnd"/>
      <w:r w:rsidR="006278C1">
        <w:rPr>
          <w:rFonts w:ascii="Times New Roman" w:hAnsi="Times New Roman"/>
          <w:color w:val="000000"/>
          <w:sz w:val="24"/>
          <w:szCs w:val="24"/>
        </w:rPr>
        <w:t xml:space="preserve"> should not be used with </w:t>
      </w:r>
      <w:r w:rsidR="00D21279">
        <w:rPr>
          <w:rFonts w:ascii="Times New Roman" w:hAnsi="Times New Roman"/>
          <w:color w:val="000000"/>
          <w:sz w:val="24"/>
          <w:szCs w:val="24"/>
        </w:rPr>
        <w:t>SOVALDI</w:t>
      </w:r>
      <w:r w:rsidR="002012E1">
        <w:rPr>
          <w:rFonts w:ascii="Times New Roman" w:hAnsi="Times New Roman"/>
          <w:color w:val="000000"/>
          <w:sz w:val="24"/>
          <w:szCs w:val="24"/>
        </w:rPr>
        <w:t>.</w:t>
      </w:r>
    </w:p>
    <w:p w:rsidR="009034EC" w:rsidRDefault="009034EC" w:rsidP="00BF711F">
      <w:pPr>
        <w:autoSpaceDE w:val="0"/>
        <w:autoSpaceDN w:val="0"/>
        <w:adjustRightInd w:val="0"/>
        <w:jc w:val="both"/>
        <w:rPr>
          <w:rFonts w:ascii="Times New Roman" w:hAnsi="Times New Roman"/>
          <w:color w:val="000000"/>
          <w:sz w:val="24"/>
          <w:szCs w:val="24"/>
        </w:rPr>
      </w:pPr>
    </w:p>
    <w:p w:rsidR="009034EC" w:rsidRDefault="009034EC"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Treatment-experienced Patients with </w:t>
      </w:r>
      <w:r w:rsidR="00B86F81">
        <w:rPr>
          <w:rFonts w:ascii="Times New Roman" w:hAnsi="Times New Roman"/>
          <w:b/>
          <w:color w:val="000000"/>
          <w:sz w:val="24"/>
          <w:szCs w:val="24"/>
        </w:rPr>
        <w:t>g</w:t>
      </w:r>
      <w:r>
        <w:rPr>
          <w:rFonts w:ascii="Times New Roman" w:hAnsi="Times New Roman"/>
          <w:b/>
          <w:color w:val="000000"/>
          <w:sz w:val="24"/>
          <w:szCs w:val="24"/>
        </w:rPr>
        <w:t>enotype 1, 4, 5 and 6 HCV Infection</w:t>
      </w:r>
    </w:p>
    <w:p w:rsidR="009034EC" w:rsidRDefault="009034EC" w:rsidP="00BF711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SOV</w:t>
      </w:r>
      <w:r w:rsidR="00525003">
        <w:rPr>
          <w:rFonts w:ascii="Times New Roman" w:hAnsi="Times New Roman"/>
          <w:color w:val="000000"/>
          <w:sz w:val="24"/>
          <w:szCs w:val="24"/>
        </w:rPr>
        <w:t>ALDI has not been studied in a P</w:t>
      </w:r>
      <w:r>
        <w:rPr>
          <w:rFonts w:ascii="Times New Roman" w:hAnsi="Times New Roman"/>
          <w:color w:val="000000"/>
          <w:sz w:val="24"/>
          <w:szCs w:val="24"/>
        </w:rPr>
        <w:t>hase 3 study in treatment-experienced patients with genotype 1, 4, 5 and 6 HCV infection. Thus, the optimal treatment duration in this population has not been established (see DOSAGE and ADMINSTRATION).</w:t>
      </w:r>
    </w:p>
    <w:p w:rsidR="00F00AC4" w:rsidRDefault="00F00AC4" w:rsidP="00B86F81">
      <w:pPr>
        <w:autoSpaceDE w:val="0"/>
        <w:autoSpaceDN w:val="0"/>
        <w:adjustRightInd w:val="0"/>
        <w:jc w:val="both"/>
        <w:rPr>
          <w:rFonts w:ascii="Times New Roman" w:hAnsi="Times New Roman"/>
          <w:b/>
          <w:color w:val="000000"/>
          <w:sz w:val="24"/>
          <w:szCs w:val="24"/>
        </w:rPr>
      </w:pPr>
    </w:p>
    <w:p w:rsidR="00B86F81" w:rsidRPr="00BC2AD2" w:rsidRDefault="00B86F81" w:rsidP="00B86F81">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Treatment of Patients with genotype 5 and 6 HCV Infection</w:t>
      </w:r>
    </w:p>
    <w:p w:rsidR="00B86F81" w:rsidRDefault="00B86F81" w:rsidP="00B86F81">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The clinical data to support the use of SOVALDI in patients with genotype 5 and 6 HCV infection is very limited.</w:t>
      </w:r>
    </w:p>
    <w:p w:rsidR="009034EC" w:rsidRDefault="009034EC" w:rsidP="00BF711F">
      <w:pPr>
        <w:autoSpaceDE w:val="0"/>
        <w:autoSpaceDN w:val="0"/>
        <w:adjustRightInd w:val="0"/>
        <w:jc w:val="both"/>
        <w:rPr>
          <w:rFonts w:ascii="Times New Roman" w:hAnsi="Times New Roman"/>
          <w:color w:val="000000"/>
          <w:sz w:val="24"/>
          <w:szCs w:val="24"/>
        </w:rPr>
      </w:pPr>
    </w:p>
    <w:p w:rsidR="009034EC" w:rsidRDefault="009034EC"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Interferon-free therapy for genotype 1, 4, 5 and 6 HCV Infection</w:t>
      </w:r>
    </w:p>
    <w:p w:rsidR="009034EC" w:rsidRDefault="009034EC" w:rsidP="00BF711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Interferon-free regimens for patients with genotype 1, 4, 5 and 6 HCV infection with SOVALDI have not been </w:t>
      </w:r>
      <w:r w:rsidR="00B05B2D">
        <w:rPr>
          <w:rFonts w:ascii="Times New Roman" w:hAnsi="Times New Roman"/>
          <w:color w:val="000000"/>
          <w:sz w:val="24"/>
          <w:szCs w:val="24"/>
        </w:rPr>
        <w:t xml:space="preserve">fully </w:t>
      </w:r>
      <w:r>
        <w:rPr>
          <w:rFonts w:ascii="Times New Roman" w:hAnsi="Times New Roman"/>
          <w:color w:val="000000"/>
          <w:sz w:val="24"/>
          <w:szCs w:val="24"/>
        </w:rPr>
        <w:t>investigated in Phase 3 studies.  The optimal regimen and treatment duration have not been established. Such regimens should only be used for patients that are intolerant to or ineligible for interferon therapy, and are in urgent need of treatment.</w:t>
      </w:r>
    </w:p>
    <w:p w:rsidR="009C4A9E" w:rsidRDefault="009C4A9E" w:rsidP="00BF711F">
      <w:pPr>
        <w:autoSpaceDE w:val="0"/>
        <w:autoSpaceDN w:val="0"/>
        <w:adjustRightInd w:val="0"/>
        <w:jc w:val="both"/>
        <w:rPr>
          <w:rFonts w:ascii="Times New Roman" w:hAnsi="Times New Roman"/>
          <w:b/>
          <w:color w:val="000000"/>
          <w:sz w:val="24"/>
          <w:szCs w:val="24"/>
        </w:rPr>
      </w:pPr>
    </w:p>
    <w:p w:rsidR="009C4A9E" w:rsidRDefault="009C4A9E"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HCV/HBV (hepatitis B virus) </w:t>
      </w:r>
      <w:proofErr w:type="spellStart"/>
      <w:r>
        <w:rPr>
          <w:rFonts w:ascii="Times New Roman" w:hAnsi="Times New Roman"/>
          <w:b/>
          <w:color w:val="000000"/>
          <w:sz w:val="24"/>
          <w:szCs w:val="24"/>
        </w:rPr>
        <w:t>Coinfected</w:t>
      </w:r>
      <w:proofErr w:type="spellEnd"/>
      <w:r>
        <w:rPr>
          <w:rFonts w:ascii="Times New Roman" w:hAnsi="Times New Roman"/>
          <w:b/>
          <w:color w:val="000000"/>
          <w:sz w:val="24"/>
          <w:szCs w:val="24"/>
        </w:rPr>
        <w:t xml:space="preserve"> Patients</w:t>
      </w:r>
    </w:p>
    <w:p w:rsidR="009C4A9E" w:rsidRDefault="009C4A9E" w:rsidP="00BF711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The safety and efficacy of SOVALDI has not been established in patients </w:t>
      </w:r>
      <w:proofErr w:type="spellStart"/>
      <w:r>
        <w:rPr>
          <w:rFonts w:ascii="Times New Roman" w:hAnsi="Times New Roman"/>
          <w:color w:val="000000"/>
          <w:sz w:val="24"/>
          <w:szCs w:val="24"/>
        </w:rPr>
        <w:t>coinfected</w:t>
      </w:r>
      <w:proofErr w:type="spellEnd"/>
      <w:r>
        <w:rPr>
          <w:rFonts w:ascii="Times New Roman" w:hAnsi="Times New Roman"/>
          <w:color w:val="000000"/>
          <w:sz w:val="24"/>
          <w:szCs w:val="24"/>
        </w:rPr>
        <w:t xml:space="preserve"> with HBV.</w:t>
      </w:r>
    </w:p>
    <w:p w:rsidR="009C4A9E" w:rsidRDefault="009C4A9E" w:rsidP="00BF711F">
      <w:pPr>
        <w:autoSpaceDE w:val="0"/>
        <w:autoSpaceDN w:val="0"/>
        <w:adjustRightInd w:val="0"/>
        <w:jc w:val="both"/>
        <w:rPr>
          <w:rFonts w:ascii="Times New Roman" w:hAnsi="Times New Roman"/>
          <w:color w:val="000000"/>
          <w:sz w:val="24"/>
          <w:szCs w:val="24"/>
        </w:rPr>
      </w:pPr>
    </w:p>
    <w:p w:rsidR="009C4A9E" w:rsidRDefault="009C4A9E"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HCV/HIV </w:t>
      </w:r>
      <w:proofErr w:type="spellStart"/>
      <w:r>
        <w:rPr>
          <w:rFonts w:ascii="Times New Roman" w:hAnsi="Times New Roman"/>
          <w:b/>
          <w:color w:val="000000"/>
          <w:sz w:val="24"/>
          <w:szCs w:val="24"/>
        </w:rPr>
        <w:t>Coinfected</w:t>
      </w:r>
      <w:proofErr w:type="spellEnd"/>
      <w:r>
        <w:rPr>
          <w:rFonts w:ascii="Times New Roman" w:hAnsi="Times New Roman"/>
          <w:b/>
          <w:color w:val="000000"/>
          <w:sz w:val="24"/>
          <w:szCs w:val="24"/>
        </w:rPr>
        <w:t xml:space="preserve"> Patients</w:t>
      </w:r>
    </w:p>
    <w:p w:rsidR="009C4A9E" w:rsidRPr="009C4A9E" w:rsidRDefault="009C4A9E" w:rsidP="009C4A9E">
      <w:pPr>
        <w:pStyle w:val="Subheading2"/>
        <w:keepLines/>
        <w:rPr>
          <w:b w:val="0"/>
          <w:i w:val="0"/>
        </w:rPr>
      </w:pPr>
      <w:r w:rsidRPr="009C4A9E">
        <w:rPr>
          <w:b w:val="0"/>
          <w:i w:val="0"/>
          <w:color w:val="000000"/>
        </w:rPr>
        <w:t>There is limited data on the safety and efficacy of SOVALDI in HCV/HIV co-infected patients with untreated HIV (see CLINICALTRIALS;</w:t>
      </w:r>
      <w:r w:rsidRPr="009C4A9E">
        <w:rPr>
          <w:i w:val="0"/>
          <w:color w:val="000000"/>
        </w:rPr>
        <w:t xml:space="preserve"> </w:t>
      </w:r>
      <w:r w:rsidRPr="009C4A9E">
        <w:rPr>
          <w:b w:val="0"/>
          <w:i w:val="0"/>
        </w:rPr>
        <w:t>HCV/HIV co-infected patients – PHOTON-1 (study 123)</w:t>
      </w:r>
      <w:r>
        <w:rPr>
          <w:b w:val="0"/>
          <w:i w:val="0"/>
        </w:rPr>
        <w:t>)</w:t>
      </w:r>
      <w:r w:rsidRPr="009C4A9E">
        <w:rPr>
          <w:b w:val="0"/>
          <w:i w:val="0"/>
        </w:rPr>
        <w:t>.</w:t>
      </w:r>
    </w:p>
    <w:p w:rsidR="009C4A9E" w:rsidRDefault="009C4A9E"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Post-Liver Transplant Patients</w:t>
      </w:r>
    </w:p>
    <w:p w:rsidR="009C4A9E" w:rsidRDefault="009C4A9E" w:rsidP="00BF711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The safety and efficacy of SOVALDI has not been established in post-liver transplant patients.</w:t>
      </w:r>
    </w:p>
    <w:p w:rsidR="009C4A9E" w:rsidRPr="009C4A9E" w:rsidRDefault="009C4A9E" w:rsidP="00BF711F">
      <w:pPr>
        <w:autoSpaceDE w:val="0"/>
        <w:autoSpaceDN w:val="0"/>
        <w:adjustRightInd w:val="0"/>
        <w:jc w:val="both"/>
        <w:rPr>
          <w:rFonts w:ascii="Times New Roman" w:hAnsi="Times New Roman"/>
          <w:color w:val="000000"/>
          <w:sz w:val="24"/>
          <w:szCs w:val="24"/>
        </w:rPr>
      </w:pPr>
    </w:p>
    <w:p w:rsidR="0025603B" w:rsidRDefault="0025603B"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Long-Term Use of SOVALDI</w:t>
      </w:r>
    </w:p>
    <w:p w:rsidR="0025603B" w:rsidRDefault="0025603B" w:rsidP="00BF711F">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There is currently no long term safety data on the use of SOVALDI (beyond 24 weeks).</w:t>
      </w:r>
    </w:p>
    <w:p w:rsidR="0025603B" w:rsidRPr="0025603B" w:rsidRDefault="0025603B" w:rsidP="00BF711F">
      <w:pPr>
        <w:autoSpaceDE w:val="0"/>
        <w:autoSpaceDN w:val="0"/>
        <w:adjustRightInd w:val="0"/>
        <w:jc w:val="both"/>
        <w:rPr>
          <w:rFonts w:ascii="Times New Roman" w:hAnsi="Times New Roman"/>
          <w:color w:val="000000"/>
          <w:sz w:val="24"/>
          <w:szCs w:val="24"/>
        </w:rPr>
      </w:pPr>
    </w:p>
    <w:p w:rsidR="005C713E" w:rsidRPr="005C713E" w:rsidRDefault="005C713E" w:rsidP="00BF711F">
      <w:pPr>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 xml:space="preserve">Impairment of </w:t>
      </w:r>
      <w:r w:rsidR="002142CE">
        <w:rPr>
          <w:rFonts w:ascii="Times New Roman" w:hAnsi="Times New Roman"/>
          <w:b/>
          <w:color w:val="000000"/>
          <w:sz w:val="24"/>
          <w:szCs w:val="24"/>
        </w:rPr>
        <w:t>Fertility</w:t>
      </w:r>
    </w:p>
    <w:p w:rsidR="008B7E7E" w:rsidRPr="00525003" w:rsidRDefault="008B7E7E" w:rsidP="00BF711F">
      <w:pPr>
        <w:jc w:val="both"/>
        <w:outlineLvl w:val="0"/>
        <w:rPr>
          <w:rFonts w:ascii="Times New Roman" w:hAnsi="Times New Roman"/>
          <w:i/>
          <w:sz w:val="24"/>
          <w:szCs w:val="24"/>
        </w:rPr>
      </w:pPr>
      <w:r w:rsidRPr="00525003">
        <w:rPr>
          <w:rFonts w:ascii="Times New Roman" w:hAnsi="Times New Roman"/>
          <w:i/>
          <w:sz w:val="24"/>
          <w:szCs w:val="24"/>
        </w:rPr>
        <w:t>SOVALDI</w:t>
      </w:r>
      <w:r w:rsidR="00AC4C97">
        <w:rPr>
          <w:rFonts w:ascii="Times New Roman" w:hAnsi="Times New Roman"/>
          <w:i/>
          <w:sz w:val="24"/>
          <w:szCs w:val="24"/>
        </w:rPr>
        <w:t>:</w:t>
      </w:r>
    </w:p>
    <w:p w:rsidR="002142CE" w:rsidRPr="002142CE" w:rsidRDefault="002142CE" w:rsidP="008B7E7E">
      <w:pPr>
        <w:jc w:val="both"/>
        <w:outlineLvl w:val="0"/>
        <w:rPr>
          <w:rFonts w:ascii="Times New Roman" w:hAnsi="Times New Roman"/>
          <w:sz w:val="24"/>
          <w:szCs w:val="24"/>
        </w:rPr>
      </w:pPr>
      <w:proofErr w:type="spellStart"/>
      <w:r w:rsidRPr="002142CE">
        <w:rPr>
          <w:rFonts w:ascii="Times New Roman" w:hAnsi="Times New Roman"/>
          <w:sz w:val="24"/>
          <w:szCs w:val="24"/>
        </w:rPr>
        <w:t>Sofosbuvir</w:t>
      </w:r>
      <w:proofErr w:type="spellEnd"/>
      <w:r w:rsidRPr="002142CE">
        <w:rPr>
          <w:rFonts w:ascii="Times New Roman" w:hAnsi="Times New Roman"/>
          <w:sz w:val="24"/>
          <w:szCs w:val="24"/>
        </w:rPr>
        <w:t xml:space="preserve"> had no effects on fertility </w:t>
      </w:r>
      <w:r w:rsidR="00AC4C97">
        <w:rPr>
          <w:rFonts w:ascii="Times New Roman" w:hAnsi="Times New Roman"/>
          <w:sz w:val="24"/>
          <w:szCs w:val="24"/>
        </w:rPr>
        <w:t xml:space="preserve">in male or female rats, at the highest test dose of 500 mg/kg/day, estimated exposure (AUC) to the main metabolite GS-331007 was about 12-fold higher than </w:t>
      </w:r>
      <w:r w:rsidRPr="002142CE">
        <w:rPr>
          <w:rFonts w:ascii="Times New Roman" w:hAnsi="Times New Roman"/>
          <w:sz w:val="24"/>
          <w:szCs w:val="24"/>
        </w:rPr>
        <w:t xml:space="preserve">in humans at the recommended clinical dose. </w:t>
      </w:r>
    </w:p>
    <w:p w:rsidR="002142CE" w:rsidRPr="002142CE" w:rsidRDefault="002142CE" w:rsidP="00AC4C97">
      <w:pPr>
        <w:jc w:val="both"/>
        <w:outlineLvl w:val="0"/>
        <w:rPr>
          <w:rFonts w:ascii="Times New Roman" w:hAnsi="Times New Roman"/>
          <w:sz w:val="24"/>
          <w:szCs w:val="24"/>
        </w:rPr>
      </w:pPr>
    </w:p>
    <w:p w:rsidR="002142CE" w:rsidRDefault="00AC4C97" w:rsidP="003B5398">
      <w:pPr>
        <w:jc w:val="both"/>
        <w:outlineLvl w:val="0"/>
        <w:rPr>
          <w:rFonts w:ascii="Times New Roman" w:hAnsi="Times New Roman"/>
          <w:b/>
          <w:i/>
          <w:sz w:val="24"/>
          <w:szCs w:val="24"/>
        </w:rPr>
      </w:pPr>
      <w:r>
        <w:rPr>
          <w:rFonts w:ascii="Times New Roman" w:hAnsi="Times New Roman"/>
          <w:sz w:val="24"/>
          <w:szCs w:val="24"/>
        </w:rPr>
        <w:t>In a pre-</w:t>
      </w:r>
      <w:r w:rsidR="00ED1160">
        <w:rPr>
          <w:rFonts w:ascii="Times New Roman" w:hAnsi="Times New Roman"/>
          <w:sz w:val="24"/>
          <w:szCs w:val="24"/>
        </w:rPr>
        <w:t xml:space="preserve"> and </w:t>
      </w:r>
      <w:r>
        <w:rPr>
          <w:rFonts w:ascii="Times New Roman" w:hAnsi="Times New Roman"/>
          <w:sz w:val="24"/>
          <w:szCs w:val="24"/>
        </w:rPr>
        <w:t>post</w:t>
      </w:r>
      <w:r w:rsidR="00ED1160">
        <w:rPr>
          <w:rFonts w:ascii="Times New Roman" w:hAnsi="Times New Roman"/>
          <w:sz w:val="24"/>
          <w:szCs w:val="24"/>
        </w:rPr>
        <w:t>-</w:t>
      </w:r>
      <w:r>
        <w:rPr>
          <w:rFonts w:ascii="Times New Roman" w:hAnsi="Times New Roman"/>
          <w:sz w:val="24"/>
          <w:szCs w:val="24"/>
        </w:rPr>
        <w:t xml:space="preserve">natal </w:t>
      </w:r>
      <w:r w:rsidR="00ED1160">
        <w:rPr>
          <w:rFonts w:ascii="Times New Roman" w:hAnsi="Times New Roman"/>
          <w:sz w:val="24"/>
          <w:szCs w:val="24"/>
        </w:rPr>
        <w:t xml:space="preserve">developmental </w:t>
      </w:r>
      <w:r>
        <w:rPr>
          <w:rFonts w:ascii="Times New Roman" w:hAnsi="Times New Roman"/>
          <w:sz w:val="24"/>
          <w:szCs w:val="24"/>
        </w:rPr>
        <w:t>study, f</w:t>
      </w:r>
      <w:r w:rsidR="002142CE" w:rsidRPr="002142CE">
        <w:rPr>
          <w:rFonts w:ascii="Times New Roman" w:hAnsi="Times New Roman"/>
          <w:sz w:val="24"/>
          <w:szCs w:val="24"/>
        </w:rPr>
        <w:t>ertility was normal in the offspring of rats exposed daily from before birth (</w:t>
      </w:r>
      <w:r w:rsidR="002142CE" w:rsidRPr="00D72706">
        <w:rPr>
          <w:rFonts w:ascii="Times New Roman" w:hAnsi="Times New Roman"/>
          <w:i/>
          <w:sz w:val="24"/>
          <w:szCs w:val="24"/>
        </w:rPr>
        <w:t>in</w:t>
      </w:r>
      <w:r w:rsidR="002142CE" w:rsidRPr="002142CE">
        <w:rPr>
          <w:rFonts w:ascii="Times New Roman" w:hAnsi="Times New Roman"/>
          <w:sz w:val="24"/>
          <w:szCs w:val="24"/>
        </w:rPr>
        <w:t xml:space="preserve"> </w:t>
      </w:r>
      <w:r w:rsidR="00B15038" w:rsidRPr="00821CBC">
        <w:rPr>
          <w:rFonts w:ascii="Times New Roman" w:hAnsi="Times New Roman"/>
          <w:i/>
          <w:sz w:val="24"/>
          <w:szCs w:val="24"/>
        </w:rPr>
        <w:t>utero</w:t>
      </w:r>
      <w:r w:rsidR="002142CE" w:rsidRPr="002142CE">
        <w:rPr>
          <w:rFonts w:ascii="Times New Roman" w:hAnsi="Times New Roman"/>
          <w:sz w:val="24"/>
          <w:szCs w:val="24"/>
        </w:rPr>
        <w:t>) through lactation day 20 at daily GS-331007 exposures (AUC) approximately 12-fold higher than human exposures at the recommended clinical dose</w:t>
      </w:r>
      <w:r w:rsidR="002142CE" w:rsidRPr="002142CE">
        <w:rPr>
          <w:rFonts w:ascii="Times New Roman" w:hAnsi="Times New Roman"/>
          <w:b/>
          <w:i/>
          <w:sz w:val="24"/>
          <w:szCs w:val="24"/>
        </w:rPr>
        <w:t>.</w:t>
      </w:r>
    </w:p>
    <w:p w:rsidR="008B7E7E" w:rsidRDefault="008B7E7E" w:rsidP="00AC4C97">
      <w:pPr>
        <w:pStyle w:val="Text10"/>
        <w:spacing w:after="0"/>
        <w:rPr>
          <w:i/>
        </w:rPr>
      </w:pPr>
    </w:p>
    <w:p w:rsidR="00946408" w:rsidRDefault="00946408" w:rsidP="00AC4C97">
      <w:pPr>
        <w:pStyle w:val="Text10"/>
        <w:spacing w:after="0"/>
        <w:rPr>
          <w:i/>
        </w:rPr>
      </w:pPr>
    </w:p>
    <w:p w:rsidR="00AC4C97" w:rsidRDefault="00525003" w:rsidP="00392CAB">
      <w:pPr>
        <w:pStyle w:val="Text10"/>
        <w:spacing w:after="0"/>
        <w:rPr>
          <w:rStyle w:val="CommentReference"/>
        </w:rPr>
      </w:pPr>
      <w:r>
        <w:rPr>
          <w:i/>
        </w:rPr>
        <w:t>Use</w:t>
      </w:r>
      <w:r w:rsidR="00AC4C97">
        <w:rPr>
          <w:i/>
        </w:rPr>
        <w:t xml:space="preserve"> with ribavirin or </w:t>
      </w:r>
      <w:proofErr w:type="spellStart"/>
      <w:r w:rsidR="00AC4C97">
        <w:rPr>
          <w:i/>
        </w:rPr>
        <w:t>peginterferon</w:t>
      </w:r>
      <w:proofErr w:type="spellEnd"/>
      <w:r w:rsidR="00AC4C97">
        <w:rPr>
          <w:i/>
        </w:rPr>
        <w:t>:</w:t>
      </w:r>
    </w:p>
    <w:p w:rsidR="008B7E7E" w:rsidRDefault="008B7E7E" w:rsidP="00392CAB">
      <w:pPr>
        <w:pStyle w:val="Text10"/>
        <w:spacing w:after="0"/>
      </w:pPr>
      <w:r>
        <w:t xml:space="preserve">In fertility studies in animals, ribavirin caused reversible testicular toxicity in males, while </w:t>
      </w:r>
      <w:proofErr w:type="spellStart"/>
      <w:r>
        <w:t>perinterferon</w:t>
      </w:r>
      <w:proofErr w:type="spellEnd"/>
      <w:r>
        <w:t xml:space="preserve"> </w:t>
      </w:r>
      <w:proofErr w:type="spellStart"/>
      <w:r>
        <w:t>alfa</w:t>
      </w:r>
      <w:proofErr w:type="spellEnd"/>
      <w:r>
        <w:t xml:space="preserve"> may impair fertility in females. Refer to the pr</w:t>
      </w:r>
      <w:r w:rsidR="00AC4C97">
        <w:t>oduct</w:t>
      </w:r>
      <w:r>
        <w:t xml:space="preserve"> information for ribavirin and </w:t>
      </w:r>
      <w:proofErr w:type="spellStart"/>
      <w:r>
        <w:t>peginterferon</w:t>
      </w:r>
      <w:proofErr w:type="spellEnd"/>
      <w:r>
        <w:t xml:space="preserve"> for additional information.</w:t>
      </w:r>
    </w:p>
    <w:p w:rsidR="008B7E7E" w:rsidRDefault="008B7E7E" w:rsidP="00BF711F">
      <w:pPr>
        <w:jc w:val="both"/>
        <w:outlineLvl w:val="0"/>
        <w:rPr>
          <w:rFonts w:ascii="Times New Roman" w:hAnsi="Times New Roman"/>
          <w:b/>
          <w:i/>
          <w:sz w:val="24"/>
          <w:szCs w:val="24"/>
        </w:rPr>
      </w:pPr>
    </w:p>
    <w:p w:rsidR="00005C1B" w:rsidRPr="008B7865" w:rsidRDefault="00005C1B" w:rsidP="00BF711F">
      <w:pPr>
        <w:jc w:val="both"/>
        <w:outlineLvl w:val="0"/>
        <w:rPr>
          <w:rFonts w:ascii="Times New Roman" w:hAnsi="Times New Roman"/>
          <w:noProof/>
          <w:sz w:val="24"/>
          <w:szCs w:val="24"/>
        </w:rPr>
      </w:pPr>
      <w:r w:rsidRPr="008B7865">
        <w:rPr>
          <w:rFonts w:ascii="Times New Roman" w:hAnsi="Times New Roman"/>
          <w:b/>
          <w:noProof/>
          <w:sz w:val="24"/>
          <w:szCs w:val="24"/>
        </w:rPr>
        <w:t>Use in Pregnancy</w:t>
      </w:r>
      <w:r w:rsidR="00AC4C97">
        <w:rPr>
          <w:rFonts w:ascii="Times New Roman" w:hAnsi="Times New Roman"/>
          <w:b/>
          <w:noProof/>
          <w:sz w:val="24"/>
          <w:szCs w:val="24"/>
        </w:rPr>
        <w:t>: SOVALDI (Pregnancy Category B1)</w:t>
      </w:r>
      <w:r w:rsidRPr="008B7865">
        <w:rPr>
          <w:rFonts w:ascii="Times New Roman" w:hAnsi="Times New Roman"/>
          <w:b/>
          <w:noProof/>
          <w:sz w:val="24"/>
          <w:szCs w:val="24"/>
        </w:rPr>
        <w:t xml:space="preserve"> </w:t>
      </w:r>
    </w:p>
    <w:p w:rsidR="00005C1B" w:rsidRPr="005E0FAF" w:rsidRDefault="00AC4C97" w:rsidP="00BF711F">
      <w:pPr>
        <w:jc w:val="both"/>
        <w:rPr>
          <w:rFonts w:ascii="Times New Roman" w:hAnsi="Times New Roman"/>
          <w:color w:val="000000"/>
          <w:sz w:val="24"/>
          <w:szCs w:val="24"/>
        </w:rPr>
      </w:pPr>
      <w:r>
        <w:rPr>
          <w:rFonts w:ascii="Times New Roman" w:hAnsi="Times New Roman"/>
          <w:color w:val="000000"/>
          <w:sz w:val="24"/>
          <w:szCs w:val="24"/>
        </w:rPr>
        <w:t xml:space="preserve">SOVALDI must not be used as monotherapy (see INDICATIONS). </w:t>
      </w:r>
      <w:r w:rsidR="00005C1B" w:rsidRPr="008E107F">
        <w:rPr>
          <w:rFonts w:ascii="Times New Roman" w:hAnsi="Times New Roman"/>
          <w:color w:val="000000"/>
          <w:sz w:val="24"/>
          <w:szCs w:val="24"/>
        </w:rPr>
        <w:t xml:space="preserve">There are no </w:t>
      </w:r>
      <w:r w:rsidR="009536FA">
        <w:rPr>
          <w:rFonts w:ascii="Times New Roman" w:hAnsi="Times New Roman"/>
          <w:color w:val="000000"/>
          <w:sz w:val="24"/>
          <w:szCs w:val="24"/>
        </w:rPr>
        <w:t xml:space="preserve">adequate and </w:t>
      </w:r>
      <w:r w:rsidR="00005C1B" w:rsidRPr="008E107F">
        <w:rPr>
          <w:rFonts w:ascii="Times New Roman" w:hAnsi="Times New Roman"/>
          <w:color w:val="000000"/>
          <w:sz w:val="24"/>
          <w:szCs w:val="24"/>
        </w:rPr>
        <w:t xml:space="preserve">well controlled clinical studies </w:t>
      </w:r>
      <w:r w:rsidR="0003026C">
        <w:rPr>
          <w:rFonts w:ascii="Times New Roman" w:hAnsi="Times New Roman"/>
          <w:color w:val="000000"/>
          <w:sz w:val="24"/>
          <w:szCs w:val="24"/>
        </w:rPr>
        <w:t xml:space="preserve">with </w:t>
      </w:r>
      <w:r w:rsidR="00D21279">
        <w:rPr>
          <w:rFonts w:ascii="Times New Roman" w:hAnsi="Times New Roman"/>
          <w:color w:val="000000"/>
          <w:sz w:val="24"/>
          <w:szCs w:val="24"/>
        </w:rPr>
        <w:t>SOVALDI</w:t>
      </w:r>
      <w:r w:rsidR="005E0FAF">
        <w:rPr>
          <w:rFonts w:ascii="Times New Roman" w:hAnsi="Times New Roman"/>
          <w:color w:val="000000"/>
          <w:sz w:val="24"/>
          <w:szCs w:val="24"/>
        </w:rPr>
        <w:t xml:space="preserve"> </w:t>
      </w:r>
      <w:r w:rsidR="00005C1B" w:rsidRPr="008E107F">
        <w:rPr>
          <w:rFonts w:ascii="Times New Roman" w:hAnsi="Times New Roman"/>
          <w:color w:val="000000"/>
          <w:sz w:val="24"/>
          <w:szCs w:val="24"/>
        </w:rPr>
        <w:t>in pregnant women.</w:t>
      </w:r>
      <w:r w:rsidR="00005C1B" w:rsidRPr="008B7865">
        <w:rPr>
          <w:rFonts w:ascii="Times New Roman" w:hAnsi="Times New Roman"/>
          <w:color w:val="000000"/>
          <w:sz w:val="24"/>
          <w:szCs w:val="24"/>
        </w:rPr>
        <w:t xml:space="preserve">  </w:t>
      </w:r>
      <w:r w:rsidR="005E0FAF">
        <w:rPr>
          <w:rFonts w:ascii="Times New Roman" w:hAnsi="Times New Roman"/>
          <w:color w:val="000000"/>
          <w:sz w:val="24"/>
          <w:szCs w:val="24"/>
        </w:rPr>
        <w:t xml:space="preserve">No effect on </w:t>
      </w:r>
      <w:proofErr w:type="spellStart"/>
      <w:r w:rsidR="005E0FAF">
        <w:rPr>
          <w:rFonts w:ascii="Times New Roman" w:hAnsi="Times New Roman"/>
          <w:color w:val="000000"/>
          <w:sz w:val="24"/>
          <w:szCs w:val="24"/>
        </w:rPr>
        <w:t>fetal</w:t>
      </w:r>
      <w:proofErr w:type="spellEnd"/>
      <w:r w:rsidR="005E0FAF">
        <w:rPr>
          <w:rFonts w:ascii="Times New Roman" w:hAnsi="Times New Roman"/>
          <w:color w:val="000000"/>
          <w:sz w:val="24"/>
          <w:szCs w:val="24"/>
        </w:rPr>
        <w:t xml:space="preserve"> development </w:t>
      </w:r>
      <w:r w:rsidR="000B1EF1">
        <w:rPr>
          <w:rFonts w:ascii="Times New Roman" w:hAnsi="Times New Roman"/>
          <w:color w:val="000000"/>
          <w:sz w:val="24"/>
          <w:szCs w:val="24"/>
        </w:rPr>
        <w:t xml:space="preserve">has </w:t>
      </w:r>
      <w:r w:rsidR="005E0FAF">
        <w:rPr>
          <w:rFonts w:ascii="Times New Roman" w:hAnsi="Times New Roman"/>
          <w:color w:val="000000"/>
          <w:sz w:val="24"/>
          <w:szCs w:val="24"/>
        </w:rPr>
        <w:t xml:space="preserve">been observed in rats and rabbits at the highest </w:t>
      </w:r>
      <w:r w:rsidR="005E0FAF" w:rsidRPr="005E0FAF">
        <w:rPr>
          <w:rFonts w:ascii="Times New Roman" w:hAnsi="Times New Roman"/>
          <w:color w:val="000000"/>
          <w:sz w:val="24"/>
          <w:szCs w:val="24"/>
        </w:rPr>
        <w:t>doses tested. In the rat and rabbit, exposure to the predominant circulating metabolite GS-331007 was approximately 10-fold and 28-fold the exposure in humans at the recommended clinical dose, respectively.</w:t>
      </w:r>
    </w:p>
    <w:p w:rsidR="004C7EBB" w:rsidRDefault="004C7EBB" w:rsidP="007F5FCA">
      <w:pPr>
        <w:jc w:val="both"/>
        <w:outlineLvl w:val="0"/>
        <w:rPr>
          <w:rFonts w:ascii="Times New Roman" w:hAnsi="Times New Roman"/>
          <w:b/>
          <w:noProof/>
          <w:sz w:val="24"/>
          <w:szCs w:val="24"/>
        </w:rPr>
      </w:pPr>
    </w:p>
    <w:p w:rsidR="007F5FCA" w:rsidRPr="008B7865" w:rsidRDefault="007F5FCA" w:rsidP="007F5FCA">
      <w:pPr>
        <w:jc w:val="both"/>
        <w:outlineLvl w:val="0"/>
        <w:rPr>
          <w:rFonts w:ascii="Times New Roman" w:hAnsi="Times New Roman"/>
          <w:noProof/>
          <w:sz w:val="24"/>
          <w:szCs w:val="24"/>
        </w:rPr>
      </w:pPr>
      <w:r w:rsidRPr="008B7865">
        <w:rPr>
          <w:rFonts w:ascii="Times New Roman" w:hAnsi="Times New Roman"/>
          <w:b/>
          <w:noProof/>
          <w:sz w:val="24"/>
          <w:szCs w:val="24"/>
        </w:rPr>
        <w:t>Use in Pregnancy</w:t>
      </w:r>
      <w:r>
        <w:rPr>
          <w:rFonts w:ascii="Times New Roman" w:hAnsi="Times New Roman"/>
          <w:b/>
          <w:noProof/>
          <w:sz w:val="24"/>
          <w:szCs w:val="24"/>
        </w:rPr>
        <w:t>: Use with ribavirin</w:t>
      </w:r>
      <w:r w:rsidR="00525003">
        <w:rPr>
          <w:rFonts w:ascii="Times New Roman" w:hAnsi="Times New Roman"/>
          <w:b/>
          <w:noProof/>
          <w:sz w:val="24"/>
          <w:szCs w:val="24"/>
        </w:rPr>
        <w:t xml:space="preserve"> or </w:t>
      </w:r>
      <w:r>
        <w:rPr>
          <w:rFonts w:ascii="Times New Roman" w:hAnsi="Times New Roman"/>
          <w:b/>
          <w:noProof/>
          <w:sz w:val="24"/>
          <w:szCs w:val="24"/>
        </w:rPr>
        <w:t>peginterferon (Pregnancy Category X)</w:t>
      </w:r>
      <w:r w:rsidRPr="008B7865">
        <w:rPr>
          <w:rFonts w:ascii="Times New Roman" w:hAnsi="Times New Roman"/>
          <w:b/>
          <w:noProof/>
          <w:sz w:val="24"/>
          <w:szCs w:val="24"/>
        </w:rPr>
        <w:t xml:space="preserve"> </w:t>
      </w:r>
    </w:p>
    <w:p w:rsidR="008D6204" w:rsidRPr="00BF711F" w:rsidRDefault="008D6204" w:rsidP="00BF711F">
      <w:pPr>
        <w:pStyle w:val="Text10"/>
      </w:pPr>
      <w:r>
        <w:t>Significant</w:t>
      </w:r>
      <w:r w:rsidRPr="00BF711F">
        <w:t xml:space="preserve"> teratogenic and/or </w:t>
      </w:r>
      <w:proofErr w:type="spellStart"/>
      <w:r w:rsidRPr="00BF711F">
        <w:t>embryocidal</w:t>
      </w:r>
      <w:proofErr w:type="spellEnd"/>
      <w:r w:rsidRPr="00BF711F">
        <w:t xml:space="preserve"> effects have been demonstrated in all animal spec</w:t>
      </w:r>
      <w:r w:rsidR="0003026C" w:rsidRPr="00BF711F">
        <w:t xml:space="preserve">ies exposed to ribavirin. When </w:t>
      </w:r>
      <w:r w:rsidR="00D21279">
        <w:t>SOVALDI</w:t>
      </w:r>
      <w:r w:rsidRPr="00BF711F">
        <w:t xml:space="preserve"> is used in combination with ribavirin or </w:t>
      </w:r>
      <w:proofErr w:type="spellStart"/>
      <w:r w:rsidRPr="00BF711F">
        <w:t>peginterferon</w:t>
      </w:r>
      <w:proofErr w:type="spellEnd"/>
      <w:r w:rsidRPr="00BF711F">
        <w:t xml:space="preserve"> </w:t>
      </w:r>
      <w:proofErr w:type="spellStart"/>
      <w:r w:rsidRPr="00BF711F">
        <w:t>alfa</w:t>
      </w:r>
      <w:proofErr w:type="spellEnd"/>
      <w:r w:rsidRPr="00BF711F">
        <w:t xml:space="preserve">/ribavirin, extreme care must be taken to avoid pregnancy in female patients and in female partners of male patients. Women of childbearing potential and their male partners must use effective contraception during treatment and for </w:t>
      </w:r>
      <w:r w:rsidR="00525003">
        <w:t xml:space="preserve">approximately </w:t>
      </w:r>
      <w:r w:rsidR="0025603B">
        <w:t>six months</w:t>
      </w:r>
      <w:r w:rsidRPr="00BF711F">
        <w:t xml:space="preserve"> after the treatment has concluded as recommended in the </w:t>
      </w:r>
      <w:r w:rsidR="007F5FCA">
        <w:t>product</w:t>
      </w:r>
      <w:r w:rsidRPr="00BF711F">
        <w:t xml:space="preserve"> information for ribavirin.  </w:t>
      </w:r>
      <w:r w:rsidR="0025603B">
        <w:t>If ribavirin is co-administered with SOVALDI, the contraindications regarding use of ribavirin apply (r</w:t>
      </w:r>
      <w:r w:rsidRPr="00BF711F">
        <w:t xml:space="preserve">efer to ribavirin </w:t>
      </w:r>
      <w:r w:rsidR="007F5FCA">
        <w:t>product</w:t>
      </w:r>
      <w:r w:rsidR="007F5FCA" w:rsidRPr="00BF711F">
        <w:t xml:space="preserve"> </w:t>
      </w:r>
      <w:r w:rsidRPr="00BF711F">
        <w:t>information</w:t>
      </w:r>
      <w:r w:rsidR="0025603B">
        <w:t>)</w:t>
      </w:r>
      <w:r w:rsidRPr="00BF711F">
        <w:t xml:space="preserve">. </w:t>
      </w:r>
    </w:p>
    <w:p w:rsidR="00005C1B" w:rsidRPr="008B7865" w:rsidRDefault="00005C1B" w:rsidP="00BF711F">
      <w:pPr>
        <w:jc w:val="both"/>
        <w:rPr>
          <w:rFonts w:ascii="Times New Roman" w:hAnsi="Times New Roman"/>
          <w:noProof/>
          <w:sz w:val="24"/>
          <w:szCs w:val="24"/>
        </w:rPr>
      </w:pPr>
      <w:r w:rsidRPr="008B7865">
        <w:rPr>
          <w:rFonts w:ascii="Times New Roman" w:hAnsi="Times New Roman"/>
          <w:b/>
          <w:noProof/>
          <w:sz w:val="24"/>
          <w:szCs w:val="24"/>
        </w:rPr>
        <w:t>Use in Lactation</w:t>
      </w:r>
    </w:p>
    <w:p w:rsidR="00783843" w:rsidRPr="009E4330" w:rsidRDefault="00783843" w:rsidP="00BF711F">
      <w:pPr>
        <w:pStyle w:val="Text10"/>
      </w:pPr>
      <w:r w:rsidRPr="00B21940">
        <w:t xml:space="preserve">The predominant circulating metabolite GS-331007, but not </w:t>
      </w:r>
      <w:proofErr w:type="spellStart"/>
      <w:r w:rsidRPr="00B21940">
        <w:t>sofos</w:t>
      </w:r>
      <w:r>
        <w:t>buvir</w:t>
      </w:r>
      <w:proofErr w:type="spellEnd"/>
      <w:r>
        <w:t>, is excreted in rat milk</w:t>
      </w:r>
      <w:r w:rsidRPr="00B21940">
        <w:t xml:space="preserve">. It is not known whether </w:t>
      </w:r>
      <w:proofErr w:type="spellStart"/>
      <w:r w:rsidRPr="00B21940">
        <w:t>sofosbuvir</w:t>
      </w:r>
      <w:proofErr w:type="spellEnd"/>
      <w:r w:rsidRPr="00B21940">
        <w:t xml:space="preserve"> and its metabolites are excreted in human breast milk.  Mothers should be instructed not to breast</w:t>
      </w:r>
      <w:r w:rsidR="00574439">
        <w:t xml:space="preserve">-feed if they are taking </w:t>
      </w:r>
      <w:r w:rsidR="00D21279">
        <w:t>SOVALDI</w:t>
      </w:r>
      <w:r w:rsidRPr="00B21940">
        <w:t xml:space="preserve">.  See also the </w:t>
      </w:r>
      <w:r w:rsidR="00525003">
        <w:t>product</w:t>
      </w:r>
      <w:r w:rsidR="00525003" w:rsidRPr="00B21940">
        <w:t xml:space="preserve"> </w:t>
      </w:r>
      <w:r w:rsidRPr="00B21940">
        <w:t>information for ribavirin</w:t>
      </w:r>
      <w:r w:rsidR="00525003">
        <w:t xml:space="preserve"> and </w:t>
      </w:r>
      <w:proofErr w:type="spellStart"/>
      <w:r w:rsidR="00525003">
        <w:t>peginterferon</w:t>
      </w:r>
      <w:proofErr w:type="spellEnd"/>
      <w:r w:rsidR="00525003">
        <w:t xml:space="preserve"> </w:t>
      </w:r>
      <w:proofErr w:type="spellStart"/>
      <w:r w:rsidR="00525003">
        <w:t>alfa</w:t>
      </w:r>
      <w:proofErr w:type="spellEnd"/>
      <w:r w:rsidR="00525003">
        <w:t>.</w:t>
      </w:r>
      <w:r w:rsidRPr="00B21940">
        <w:t>.</w:t>
      </w:r>
    </w:p>
    <w:p w:rsidR="00005C1B" w:rsidRPr="008B7865" w:rsidRDefault="00005C1B" w:rsidP="00BF711F">
      <w:pPr>
        <w:jc w:val="both"/>
        <w:rPr>
          <w:rFonts w:ascii="Times New Roman" w:hAnsi="Times New Roman"/>
          <w:b/>
          <w:color w:val="000000"/>
          <w:sz w:val="24"/>
          <w:szCs w:val="24"/>
        </w:rPr>
      </w:pPr>
      <w:r w:rsidRPr="008B7865">
        <w:rPr>
          <w:rFonts w:ascii="Times New Roman" w:hAnsi="Times New Roman"/>
          <w:b/>
          <w:color w:val="000000"/>
          <w:sz w:val="24"/>
          <w:szCs w:val="24"/>
        </w:rPr>
        <w:t>Use in Children</w:t>
      </w:r>
    </w:p>
    <w:p w:rsidR="004601F9" w:rsidRPr="00DE0B20" w:rsidRDefault="004601F9" w:rsidP="00BF711F">
      <w:pPr>
        <w:pStyle w:val="Text10"/>
        <w:keepNext/>
      </w:pPr>
      <w:r>
        <w:t xml:space="preserve">Safety and effectiveness of </w:t>
      </w:r>
      <w:r w:rsidR="00D21279">
        <w:t>SOVALDI</w:t>
      </w:r>
      <w:r w:rsidR="00E07F0F" w:rsidRPr="00DE0B20">
        <w:t xml:space="preserve"> </w:t>
      </w:r>
      <w:r w:rsidRPr="00DE0B20">
        <w:t>in children less than 18 years of age have not been established.</w:t>
      </w:r>
    </w:p>
    <w:p w:rsidR="00005C1B" w:rsidRPr="008B7865" w:rsidRDefault="00005C1B" w:rsidP="00BF711F">
      <w:pPr>
        <w:widowControl w:val="0"/>
        <w:jc w:val="both"/>
        <w:rPr>
          <w:rFonts w:ascii="Times New Roman" w:hAnsi="Times New Roman"/>
          <w:color w:val="000000"/>
          <w:sz w:val="24"/>
          <w:szCs w:val="24"/>
        </w:rPr>
      </w:pPr>
      <w:r w:rsidRPr="008B7865">
        <w:rPr>
          <w:rFonts w:ascii="Times New Roman" w:hAnsi="Times New Roman"/>
          <w:b/>
          <w:color w:val="000000"/>
          <w:sz w:val="24"/>
          <w:szCs w:val="24"/>
        </w:rPr>
        <w:t>Use in the Elderly</w:t>
      </w:r>
    </w:p>
    <w:p w:rsidR="00B7308F" w:rsidRPr="00B7308F" w:rsidRDefault="00EE41EA" w:rsidP="00B7308F">
      <w:pPr>
        <w:autoSpaceDE w:val="0"/>
        <w:autoSpaceDN w:val="0"/>
        <w:adjustRightInd w:val="0"/>
        <w:spacing w:after="240"/>
        <w:rPr>
          <w:rFonts w:ascii="Times New Roman" w:hAnsi="Times New Roman"/>
          <w:color w:val="000000"/>
          <w:sz w:val="24"/>
          <w:szCs w:val="24"/>
          <w:highlight w:val="yellow"/>
        </w:rPr>
      </w:pPr>
      <w:r w:rsidRPr="005615D9">
        <w:rPr>
          <w:rFonts w:ascii="Times New Roman" w:hAnsi="Times New Roman"/>
          <w:color w:val="000000"/>
          <w:sz w:val="24"/>
          <w:szCs w:val="24"/>
        </w:rPr>
        <w:t>SOVALDI was administered to 6</w:t>
      </w:r>
      <w:r w:rsidR="00AF0FE0" w:rsidRPr="005615D9">
        <w:rPr>
          <w:rFonts w:ascii="Times New Roman" w:hAnsi="Times New Roman"/>
          <w:color w:val="000000"/>
          <w:sz w:val="24"/>
          <w:szCs w:val="24"/>
        </w:rPr>
        <w:t>1</w:t>
      </w:r>
      <w:r w:rsidRPr="005615D9">
        <w:rPr>
          <w:rFonts w:ascii="Times New Roman" w:hAnsi="Times New Roman"/>
          <w:color w:val="000000"/>
          <w:sz w:val="24"/>
          <w:szCs w:val="24"/>
        </w:rPr>
        <w:t xml:space="preserve"> subjects aged 65 and over.</w:t>
      </w:r>
      <w:r w:rsidRPr="00F04B5C">
        <w:rPr>
          <w:i/>
          <w:color w:val="000000"/>
        </w:rPr>
        <w:t xml:space="preserve"> </w:t>
      </w:r>
      <w:r w:rsidR="001F6559" w:rsidRPr="001F6559">
        <w:rPr>
          <w:rFonts w:ascii="Times New Roman" w:hAnsi="Times New Roman"/>
          <w:color w:val="000000"/>
          <w:sz w:val="24"/>
          <w:szCs w:val="24"/>
        </w:rPr>
        <w:t xml:space="preserve">The response rates observed for </w:t>
      </w:r>
      <w:r w:rsidR="00FD6E81">
        <w:rPr>
          <w:rFonts w:ascii="Times New Roman" w:hAnsi="Times New Roman"/>
          <w:color w:val="000000"/>
          <w:sz w:val="24"/>
          <w:szCs w:val="24"/>
        </w:rPr>
        <w:t>patients</w:t>
      </w:r>
      <w:r w:rsidR="001F6559" w:rsidRPr="001F6559">
        <w:rPr>
          <w:rFonts w:ascii="Times New Roman" w:hAnsi="Times New Roman"/>
          <w:color w:val="000000"/>
          <w:sz w:val="24"/>
          <w:szCs w:val="24"/>
        </w:rPr>
        <w:t xml:space="preserve"> over 65 years of age were similar to that of younger </w:t>
      </w:r>
      <w:r w:rsidR="00FD6E81">
        <w:rPr>
          <w:rFonts w:ascii="Times New Roman" w:hAnsi="Times New Roman"/>
          <w:color w:val="000000"/>
          <w:sz w:val="24"/>
          <w:szCs w:val="24"/>
        </w:rPr>
        <w:t>patients</w:t>
      </w:r>
      <w:r w:rsidR="001F6559" w:rsidRPr="001F6559">
        <w:rPr>
          <w:rFonts w:ascii="Times New Roman" w:hAnsi="Times New Roman"/>
          <w:color w:val="000000"/>
          <w:sz w:val="24"/>
          <w:szCs w:val="24"/>
        </w:rPr>
        <w:t xml:space="preserve"> across treatment</w:t>
      </w:r>
      <w:r w:rsidR="00574439">
        <w:rPr>
          <w:rFonts w:ascii="Times New Roman" w:hAnsi="Times New Roman"/>
          <w:color w:val="000000"/>
          <w:sz w:val="24"/>
          <w:szCs w:val="24"/>
        </w:rPr>
        <w:t xml:space="preserve"> groups. No dose adjustment of </w:t>
      </w:r>
      <w:r w:rsidR="00D21279">
        <w:rPr>
          <w:rFonts w:ascii="Times New Roman" w:hAnsi="Times New Roman"/>
          <w:color w:val="000000"/>
          <w:sz w:val="24"/>
          <w:szCs w:val="24"/>
        </w:rPr>
        <w:t>SOVALDI</w:t>
      </w:r>
      <w:r w:rsidR="001F6559" w:rsidRPr="001F6559">
        <w:rPr>
          <w:rFonts w:ascii="Times New Roman" w:hAnsi="Times New Roman"/>
          <w:color w:val="000000"/>
          <w:sz w:val="24"/>
          <w:szCs w:val="24"/>
        </w:rPr>
        <w:t xml:space="preserve"> is warranted in </w:t>
      </w:r>
      <w:r w:rsidR="004A6E59">
        <w:rPr>
          <w:rFonts w:ascii="Times New Roman" w:hAnsi="Times New Roman"/>
          <w:color w:val="000000"/>
          <w:sz w:val="24"/>
          <w:szCs w:val="24"/>
        </w:rPr>
        <w:t>elderly</w:t>
      </w:r>
      <w:r w:rsidR="004A6E59" w:rsidRPr="001F6559">
        <w:rPr>
          <w:rFonts w:ascii="Times New Roman" w:hAnsi="Times New Roman"/>
          <w:color w:val="000000"/>
          <w:sz w:val="24"/>
          <w:szCs w:val="24"/>
        </w:rPr>
        <w:t xml:space="preserve"> </w:t>
      </w:r>
      <w:r w:rsidR="001F6559" w:rsidRPr="001F6559">
        <w:rPr>
          <w:rFonts w:ascii="Times New Roman" w:hAnsi="Times New Roman"/>
          <w:color w:val="000000"/>
          <w:sz w:val="24"/>
          <w:szCs w:val="24"/>
        </w:rPr>
        <w:t>patients</w:t>
      </w:r>
      <w:r w:rsidR="001F6559" w:rsidRPr="00B7308F">
        <w:rPr>
          <w:rFonts w:ascii="Times New Roman" w:hAnsi="Times New Roman"/>
          <w:color w:val="000000"/>
          <w:sz w:val="24"/>
          <w:szCs w:val="24"/>
        </w:rPr>
        <w:t xml:space="preserve">. </w:t>
      </w:r>
      <w:r w:rsidR="00B7308F" w:rsidRPr="00B7308F">
        <w:rPr>
          <w:rFonts w:ascii="Times New Roman" w:hAnsi="Times New Roman"/>
          <w:color w:val="000000"/>
          <w:sz w:val="24"/>
          <w:szCs w:val="24"/>
        </w:rPr>
        <w:t>In general, caution should be exercised when administering SOVALDI in elderly patients, reflecting the greater frequency of an</w:t>
      </w:r>
      <w:r w:rsidR="00B7308F">
        <w:rPr>
          <w:rFonts w:ascii="Times New Roman" w:hAnsi="Times New Roman"/>
          <w:color w:val="000000"/>
          <w:sz w:val="24"/>
          <w:szCs w:val="24"/>
        </w:rPr>
        <w:t>a</w:t>
      </w:r>
      <w:r w:rsidR="00B7308F" w:rsidRPr="00B7308F">
        <w:rPr>
          <w:rFonts w:ascii="Times New Roman" w:hAnsi="Times New Roman"/>
          <w:color w:val="000000"/>
          <w:sz w:val="24"/>
          <w:szCs w:val="24"/>
        </w:rPr>
        <w:t>emia, decreased hepatic, renal or cardiac function, and of concomitan</w:t>
      </w:r>
      <w:r w:rsidR="00B7308F">
        <w:rPr>
          <w:rFonts w:ascii="Times New Roman" w:hAnsi="Times New Roman"/>
          <w:color w:val="000000"/>
          <w:sz w:val="24"/>
          <w:szCs w:val="24"/>
        </w:rPr>
        <w:t>t disease or other drug therapy.</w:t>
      </w:r>
    </w:p>
    <w:p w:rsidR="00005C1B" w:rsidRPr="008375B1" w:rsidRDefault="00005C1B" w:rsidP="00BF711F">
      <w:pPr>
        <w:ind w:left="567" w:hanging="567"/>
        <w:jc w:val="both"/>
        <w:outlineLvl w:val="0"/>
        <w:rPr>
          <w:rFonts w:ascii="Times New Roman" w:hAnsi="Times New Roman"/>
          <w:b/>
          <w:noProof/>
          <w:sz w:val="24"/>
          <w:szCs w:val="24"/>
        </w:rPr>
      </w:pPr>
      <w:r w:rsidRPr="008375B1">
        <w:rPr>
          <w:rFonts w:ascii="Times New Roman" w:hAnsi="Times New Roman"/>
          <w:b/>
          <w:noProof/>
          <w:sz w:val="24"/>
          <w:szCs w:val="24"/>
        </w:rPr>
        <w:t>Genotoxicity</w:t>
      </w:r>
    </w:p>
    <w:p w:rsidR="007F5FCA" w:rsidRDefault="003B1CF1" w:rsidP="00392CAB">
      <w:pPr>
        <w:pStyle w:val="Text10"/>
        <w:spacing w:after="0"/>
      </w:pPr>
      <w:proofErr w:type="spellStart"/>
      <w:r>
        <w:t>Sofosbuvir</w:t>
      </w:r>
      <w:proofErr w:type="spellEnd"/>
      <w:r>
        <w:t xml:space="preserve"> was not </w:t>
      </w:r>
      <w:proofErr w:type="spellStart"/>
      <w:r>
        <w:t>genotoxic</w:t>
      </w:r>
      <w:proofErr w:type="spellEnd"/>
      <w:r>
        <w:t xml:space="preserve"> in a battery of </w:t>
      </w:r>
      <w:r w:rsidRPr="00D72706">
        <w:rPr>
          <w:i/>
        </w:rPr>
        <w:t>in vitro</w:t>
      </w:r>
      <w:r>
        <w:t xml:space="preserve"> or </w:t>
      </w:r>
      <w:r w:rsidRPr="00D72706">
        <w:rPr>
          <w:i/>
        </w:rPr>
        <w:t>in vivo</w:t>
      </w:r>
      <w:r>
        <w:t xml:space="preserve"> assays, including bacterial mutagenicity, chromosome aberration using human peripheral blood lymphocytes and in vivo mouse micronucleus assays.</w:t>
      </w:r>
      <w:r w:rsidR="007F5FCA" w:rsidRPr="007F5FCA">
        <w:t xml:space="preserve"> </w:t>
      </w:r>
      <w:r w:rsidR="007F5FCA">
        <w:t xml:space="preserve">See also the product information for ribavirin and </w:t>
      </w:r>
      <w:proofErr w:type="spellStart"/>
      <w:r w:rsidR="007F5FCA">
        <w:t>peginterferon</w:t>
      </w:r>
      <w:proofErr w:type="spellEnd"/>
      <w:r w:rsidR="007F5FCA">
        <w:t xml:space="preserve"> </w:t>
      </w:r>
      <w:proofErr w:type="spellStart"/>
      <w:r w:rsidR="007F5FCA">
        <w:t>alfa</w:t>
      </w:r>
      <w:proofErr w:type="spellEnd"/>
      <w:r w:rsidR="007F5FCA">
        <w:t>.</w:t>
      </w:r>
    </w:p>
    <w:p w:rsidR="003B1CF1" w:rsidRDefault="003B1CF1" w:rsidP="00392CAB">
      <w:pPr>
        <w:pStyle w:val="Text10"/>
        <w:spacing w:after="0"/>
      </w:pPr>
    </w:p>
    <w:p w:rsidR="00946408" w:rsidRDefault="00946408" w:rsidP="00392CAB">
      <w:pPr>
        <w:ind w:left="567" w:hanging="567"/>
        <w:jc w:val="both"/>
        <w:outlineLvl w:val="0"/>
        <w:rPr>
          <w:rFonts w:ascii="Times New Roman" w:hAnsi="Times New Roman"/>
          <w:b/>
          <w:noProof/>
          <w:sz w:val="24"/>
          <w:szCs w:val="24"/>
        </w:rPr>
      </w:pPr>
    </w:p>
    <w:p w:rsidR="00005C1B" w:rsidRPr="00F8604F" w:rsidRDefault="00005C1B" w:rsidP="00392CAB">
      <w:pPr>
        <w:ind w:left="567" w:hanging="567"/>
        <w:jc w:val="both"/>
        <w:outlineLvl w:val="0"/>
        <w:rPr>
          <w:rFonts w:ascii="Times New Roman" w:hAnsi="Times New Roman"/>
          <w:noProof/>
          <w:sz w:val="24"/>
          <w:szCs w:val="24"/>
        </w:rPr>
      </w:pPr>
      <w:r w:rsidRPr="00F8604F">
        <w:rPr>
          <w:rFonts w:ascii="Times New Roman" w:hAnsi="Times New Roman"/>
          <w:b/>
          <w:noProof/>
          <w:sz w:val="24"/>
          <w:szCs w:val="24"/>
        </w:rPr>
        <w:lastRenderedPageBreak/>
        <w:t xml:space="preserve">Carcinogenicity </w:t>
      </w:r>
    </w:p>
    <w:p w:rsidR="007F5FCA" w:rsidRDefault="008A7DCB" w:rsidP="00392CAB">
      <w:pPr>
        <w:pStyle w:val="Text10"/>
        <w:spacing w:after="0"/>
      </w:pPr>
      <w:r w:rsidRPr="008A7DCB">
        <w:t xml:space="preserve">Carcinogenicity studies in mice and rats do not indicate any carcinogenicity potential of </w:t>
      </w:r>
      <w:proofErr w:type="spellStart"/>
      <w:r w:rsidRPr="008A7DCB">
        <w:t>sofosbuvir</w:t>
      </w:r>
      <w:proofErr w:type="spellEnd"/>
      <w:r w:rsidRPr="008A7DCB">
        <w:t xml:space="preserve"> administered at doses up to </w:t>
      </w:r>
      <w:r w:rsidR="007F5FCA">
        <w:t xml:space="preserve">200 mg/kg/day in male mice and </w:t>
      </w:r>
      <w:r w:rsidRPr="008A7DCB">
        <w:t xml:space="preserve">600 mg/kg/day in </w:t>
      </w:r>
      <w:r w:rsidR="007F5FCA">
        <w:t>female mice</w:t>
      </w:r>
      <w:r w:rsidRPr="008A7DCB">
        <w:t xml:space="preserve"> and 750 mg/kg/day in rat</w:t>
      </w:r>
      <w:r w:rsidR="007F5FCA">
        <w:t>s</w:t>
      </w:r>
      <w:r w:rsidRPr="008A7DCB">
        <w:t xml:space="preserve">.  Exposure to GS-331007 in these studies </w:t>
      </w:r>
      <w:r w:rsidR="007F5FCA">
        <w:t xml:space="preserve">in mice </w:t>
      </w:r>
      <w:r w:rsidRPr="008A7DCB">
        <w:t xml:space="preserve">was up to </w:t>
      </w:r>
      <w:r w:rsidR="007F5FCA">
        <w:t xml:space="preserve">7 x (male) and </w:t>
      </w:r>
      <w:r w:rsidR="00ED1160">
        <w:t xml:space="preserve">30 </w:t>
      </w:r>
      <w:r w:rsidR="007F5FCA">
        <w:t>x (female)</w:t>
      </w:r>
      <w:r w:rsidRPr="008A7DCB">
        <w:t xml:space="preserve"> and</w:t>
      </w:r>
      <w:r w:rsidR="007F5FCA">
        <w:t xml:space="preserve"> in rats</w:t>
      </w:r>
      <w:r w:rsidRPr="008A7DCB">
        <w:t xml:space="preserve"> </w:t>
      </w:r>
      <w:r w:rsidR="007F5FCA">
        <w:t>up to 1</w:t>
      </w:r>
      <w:r w:rsidR="00ED1160">
        <w:t>3</w:t>
      </w:r>
      <w:r w:rsidR="007F5FCA">
        <w:t xml:space="preserve"> x (male) and </w:t>
      </w:r>
      <w:r w:rsidRPr="008A7DCB">
        <w:t>1</w:t>
      </w:r>
      <w:r w:rsidR="00ED1160">
        <w:t xml:space="preserve">7 </w:t>
      </w:r>
      <w:r w:rsidR="007F5FCA">
        <w:t>x (female)</w:t>
      </w:r>
      <w:r w:rsidRPr="008A7DCB">
        <w:t xml:space="preserve"> higher than the clinical exposure at 400 mg </w:t>
      </w:r>
      <w:proofErr w:type="spellStart"/>
      <w:r w:rsidRPr="008A7DCB">
        <w:t>sofosbuvir</w:t>
      </w:r>
      <w:proofErr w:type="spellEnd"/>
      <w:r w:rsidRPr="008A7DCB">
        <w:t>.</w:t>
      </w:r>
      <w:r w:rsidR="007F5FCA" w:rsidRPr="007F5FCA">
        <w:t xml:space="preserve"> </w:t>
      </w:r>
      <w:r w:rsidR="007F5FCA">
        <w:t xml:space="preserve">See also the product information for ribavirin and </w:t>
      </w:r>
      <w:proofErr w:type="spellStart"/>
      <w:r w:rsidR="007F5FCA">
        <w:t>peginterferon</w:t>
      </w:r>
      <w:proofErr w:type="spellEnd"/>
      <w:r w:rsidR="007F5FCA">
        <w:t xml:space="preserve"> </w:t>
      </w:r>
      <w:proofErr w:type="spellStart"/>
      <w:r w:rsidR="007F5FCA">
        <w:t>alfa</w:t>
      </w:r>
      <w:proofErr w:type="spellEnd"/>
      <w:r w:rsidR="007F5FCA">
        <w:t>.</w:t>
      </w:r>
    </w:p>
    <w:p w:rsidR="008A7DCB" w:rsidRPr="008A7DCB" w:rsidRDefault="008A7DCB" w:rsidP="00392CAB">
      <w:pPr>
        <w:pStyle w:val="Paragraph"/>
        <w:spacing w:after="0"/>
      </w:pPr>
    </w:p>
    <w:p w:rsidR="007254DD" w:rsidRDefault="002D4A88" w:rsidP="00392CAB">
      <w:pPr>
        <w:jc w:val="both"/>
        <w:outlineLvl w:val="0"/>
        <w:rPr>
          <w:rFonts w:ascii="Times New Roman" w:hAnsi="Times New Roman"/>
          <w:b/>
          <w:noProof/>
          <w:sz w:val="24"/>
          <w:szCs w:val="24"/>
        </w:rPr>
      </w:pPr>
      <w:r>
        <w:rPr>
          <w:rFonts w:ascii="Times New Roman" w:hAnsi="Times New Roman"/>
          <w:b/>
          <w:noProof/>
          <w:sz w:val="24"/>
          <w:szCs w:val="24"/>
        </w:rPr>
        <w:t>I</w:t>
      </w:r>
      <w:r w:rsidR="00573EE5">
        <w:rPr>
          <w:rFonts w:ascii="Times New Roman" w:hAnsi="Times New Roman"/>
          <w:b/>
          <w:noProof/>
          <w:sz w:val="24"/>
          <w:szCs w:val="24"/>
        </w:rPr>
        <w:t>NTERACTIONS WITH OTHER MEDICINES</w:t>
      </w:r>
    </w:p>
    <w:p w:rsidR="00E17307" w:rsidRDefault="00E17307" w:rsidP="00392CAB">
      <w:pPr>
        <w:pStyle w:val="Text10"/>
        <w:spacing w:after="0"/>
      </w:pPr>
      <w:bookmarkStart w:id="18" w:name="_Ref307430561"/>
      <w:proofErr w:type="spellStart"/>
      <w:r>
        <w:t>Sofosbuvir</w:t>
      </w:r>
      <w:proofErr w:type="spellEnd"/>
      <w:r>
        <w:t xml:space="preserve"> is a nucleotide </w:t>
      </w:r>
      <w:proofErr w:type="spellStart"/>
      <w:r>
        <w:t>prodrug</w:t>
      </w:r>
      <w:proofErr w:type="spellEnd"/>
      <w:r>
        <w:t>. After oral a</w:t>
      </w:r>
      <w:r w:rsidR="00432D7C">
        <w:t xml:space="preserve">dministration of </w:t>
      </w:r>
      <w:r w:rsidR="00D21279">
        <w:t>SOVALDI</w:t>
      </w:r>
      <w:r>
        <w:t xml:space="preserve">, </w:t>
      </w:r>
      <w:proofErr w:type="spellStart"/>
      <w:r>
        <w:t>sofosbuvir</w:t>
      </w:r>
      <w:proofErr w:type="spellEnd"/>
      <w:r>
        <w:t xml:space="preserve"> is rapidly converted to the predominant circulating metabolite GS-331007 that accounts for greater than 90% of drug related material systemic exposure, while the parent </w:t>
      </w:r>
      <w:proofErr w:type="spellStart"/>
      <w:r>
        <w:t>sofosbuvir</w:t>
      </w:r>
      <w:proofErr w:type="spellEnd"/>
      <w:r>
        <w:t xml:space="preserve"> accounts for approximately 4% of drug related material. In clinical pharmacology studies, both </w:t>
      </w:r>
      <w:proofErr w:type="spellStart"/>
      <w:r>
        <w:t>sofosbuvir</w:t>
      </w:r>
      <w:proofErr w:type="spellEnd"/>
      <w:r>
        <w:t xml:space="preserve"> and GS-331007 were monitored for purposes of pharmacokinetic analyses.</w:t>
      </w:r>
    </w:p>
    <w:p w:rsidR="002D4A88" w:rsidRDefault="002D4A88" w:rsidP="002D4A88">
      <w:pPr>
        <w:pStyle w:val="Text10"/>
      </w:pPr>
      <w:r w:rsidRPr="001A395C">
        <w:t xml:space="preserve">The effects of </w:t>
      </w:r>
      <w:proofErr w:type="spellStart"/>
      <w:r w:rsidRPr="001A395C">
        <w:t>coadministered</w:t>
      </w:r>
      <w:proofErr w:type="spellEnd"/>
      <w:r w:rsidRPr="001A395C">
        <w:t xml:space="preserve"> drugs on the exposure of </w:t>
      </w:r>
      <w:proofErr w:type="spellStart"/>
      <w:r w:rsidRPr="001A395C">
        <w:t>sofosbuvir</w:t>
      </w:r>
      <w:proofErr w:type="spellEnd"/>
      <w:r w:rsidRPr="001A395C">
        <w:t xml:space="preserve"> and GS-331007 are shown in Table </w:t>
      </w:r>
      <w:r w:rsidR="008C68CF">
        <w:t>14</w:t>
      </w:r>
      <w:r w:rsidRPr="001A395C">
        <w:t xml:space="preserve">. The effects of </w:t>
      </w:r>
      <w:proofErr w:type="spellStart"/>
      <w:r w:rsidRPr="001A395C">
        <w:t>sofosbuvir</w:t>
      </w:r>
      <w:proofErr w:type="spellEnd"/>
      <w:r w:rsidRPr="001A395C">
        <w:t xml:space="preserve"> on the exposure of </w:t>
      </w:r>
      <w:proofErr w:type="spellStart"/>
      <w:r w:rsidRPr="001A395C">
        <w:t>coadministered</w:t>
      </w:r>
      <w:proofErr w:type="spellEnd"/>
      <w:r w:rsidRPr="001A395C">
        <w:t xml:space="preserve"> drugs are shown in Table </w:t>
      </w:r>
      <w:r w:rsidR="008C68CF">
        <w:t>15</w:t>
      </w:r>
      <w:r w:rsidRPr="008E470D">
        <w:t>.</w:t>
      </w:r>
      <w:r>
        <w:t xml:space="preserve"> </w:t>
      </w:r>
    </w:p>
    <w:p w:rsidR="00946408" w:rsidRDefault="00946408">
      <w:pPr>
        <w:rPr>
          <w:rFonts w:ascii="Times New Roman" w:hAnsi="Times New Roman"/>
          <w:b/>
          <w:sz w:val="24"/>
          <w:szCs w:val="24"/>
        </w:rPr>
      </w:pPr>
      <w:r>
        <w:rPr>
          <w:rFonts w:ascii="Times New Roman" w:hAnsi="Times New Roman"/>
          <w:b/>
          <w:sz w:val="24"/>
          <w:szCs w:val="24"/>
        </w:rPr>
        <w:br w:type="page"/>
      </w:r>
    </w:p>
    <w:p w:rsidR="002D4A88" w:rsidRPr="008B093A" w:rsidRDefault="002D4A88" w:rsidP="008B093A">
      <w:pPr>
        <w:rPr>
          <w:rFonts w:ascii="Times New Roman" w:hAnsi="Times New Roman"/>
          <w:sz w:val="24"/>
          <w:szCs w:val="24"/>
        </w:rPr>
      </w:pPr>
      <w:r w:rsidRPr="008B093A">
        <w:rPr>
          <w:rFonts w:ascii="Times New Roman" w:hAnsi="Times New Roman"/>
          <w:b/>
          <w:sz w:val="24"/>
          <w:szCs w:val="24"/>
        </w:rPr>
        <w:lastRenderedPageBreak/>
        <w:t xml:space="preserve">Table </w:t>
      </w:r>
      <w:r w:rsidR="008C68CF" w:rsidRPr="008B093A">
        <w:rPr>
          <w:rFonts w:ascii="Times New Roman" w:hAnsi="Times New Roman"/>
          <w:b/>
          <w:sz w:val="24"/>
          <w:szCs w:val="24"/>
        </w:rPr>
        <w:t>14</w:t>
      </w:r>
      <w:r w:rsidRPr="008B093A">
        <w:rPr>
          <w:rFonts w:ascii="Times New Roman" w:hAnsi="Times New Roman"/>
          <w:b/>
          <w:sz w:val="24"/>
          <w:szCs w:val="24"/>
        </w:rPr>
        <w:tab/>
      </w:r>
      <w:r w:rsidRPr="008B093A">
        <w:rPr>
          <w:rFonts w:ascii="Times New Roman" w:hAnsi="Times New Roman"/>
          <w:b/>
          <w:sz w:val="24"/>
          <w:szCs w:val="24"/>
        </w:rPr>
        <w:tab/>
        <w:t xml:space="preserve"> Drug Interactions: Changes in Pharmacokinetic Parameters for </w:t>
      </w:r>
      <w:proofErr w:type="spellStart"/>
      <w:r w:rsidRPr="008B093A">
        <w:rPr>
          <w:rFonts w:ascii="Times New Roman" w:hAnsi="Times New Roman"/>
          <w:b/>
          <w:sz w:val="24"/>
          <w:szCs w:val="24"/>
        </w:rPr>
        <w:t>Sofosbuvir</w:t>
      </w:r>
      <w:proofErr w:type="spellEnd"/>
      <w:r w:rsidRPr="008B093A">
        <w:rPr>
          <w:rFonts w:ascii="Times New Roman" w:hAnsi="Times New Roman"/>
          <w:b/>
          <w:sz w:val="24"/>
          <w:szCs w:val="24"/>
        </w:rPr>
        <w:t xml:space="preserve"> and the Predominant Circulating Metabolite GS-331007 in the Presence of the </w:t>
      </w:r>
      <w:proofErr w:type="spellStart"/>
      <w:r w:rsidRPr="008B093A">
        <w:rPr>
          <w:rFonts w:ascii="Times New Roman" w:hAnsi="Times New Roman"/>
          <w:b/>
          <w:sz w:val="24"/>
          <w:szCs w:val="24"/>
        </w:rPr>
        <w:t>Coadministered</w:t>
      </w:r>
      <w:proofErr w:type="spellEnd"/>
      <w:r w:rsidRPr="008B093A">
        <w:rPr>
          <w:rFonts w:ascii="Times New Roman" w:hAnsi="Times New Roman"/>
          <w:b/>
          <w:sz w:val="24"/>
          <w:szCs w:val="24"/>
        </w:rPr>
        <w:t xml:space="preserve"> </w:t>
      </w:r>
      <w:proofErr w:type="spellStart"/>
      <w:r w:rsidRPr="008B093A">
        <w:rPr>
          <w:rFonts w:ascii="Times New Roman" w:hAnsi="Times New Roman"/>
          <w:b/>
          <w:sz w:val="24"/>
          <w:szCs w:val="24"/>
        </w:rPr>
        <w:t>Drug</w:t>
      </w:r>
      <w:r w:rsidRPr="008B093A">
        <w:rPr>
          <w:rFonts w:ascii="Times New Roman" w:hAnsi="Times New Roman"/>
          <w:b/>
          <w:sz w:val="24"/>
          <w:szCs w:val="24"/>
          <w:vertAlign w:val="superscript"/>
        </w:rPr>
        <w:t>a</w:t>
      </w:r>
      <w:proofErr w:type="spell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1620"/>
        <w:gridCol w:w="1620"/>
        <w:gridCol w:w="1170"/>
        <w:gridCol w:w="450"/>
        <w:gridCol w:w="1170"/>
        <w:gridCol w:w="1170"/>
        <w:gridCol w:w="1170"/>
        <w:gridCol w:w="630"/>
      </w:tblGrid>
      <w:tr w:rsidR="002D4A88" w:rsidRPr="00B37B92" w:rsidTr="009C4A9E">
        <w:tc>
          <w:tcPr>
            <w:tcW w:w="1620" w:type="dxa"/>
            <w:vMerge w:val="restart"/>
            <w:tcBorders>
              <w:top w:val="single" w:sz="12" w:space="0" w:color="auto"/>
              <w:left w:val="nil"/>
              <w:right w:val="single" w:sz="12" w:space="0" w:color="auto"/>
            </w:tcBorders>
            <w:shd w:val="clear" w:color="auto" w:fill="auto"/>
            <w:vAlign w:val="center"/>
          </w:tcPr>
          <w:p w:rsidR="002D4A88" w:rsidRPr="00B37B92" w:rsidRDefault="002D4A88" w:rsidP="009C4A9E">
            <w:pPr>
              <w:pStyle w:val="Table-Heading"/>
              <w:jc w:val="center"/>
              <w:rPr>
                <w:sz w:val="18"/>
                <w:szCs w:val="18"/>
              </w:rPr>
            </w:pPr>
            <w:r w:rsidRPr="00B37B92">
              <w:rPr>
                <w:sz w:val="18"/>
                <w:szCs w:val="18"/>
              </w:rPr>
              <w:br w:type="page"/>
            </w:r>
            <w:proofErr w:type="spellStart"/>
            <w:r w:rsidRPr="00B37B92">
              <w:rPr>
                <w:sz w:val="18"/>
                <w:szCs w:val="18"/>
              </w:rPr>
              <w:t>Coadministered</w:t>
            </w:r>
            <w:proofErr w:type="spellEnd"/>
            <w:r w:rsidRPr="00B37B92">
              <w:rPr>
                <w:sz w:val="18"/>
                <w:szCs w:val="18"/>
              </w:rPr>
              <w:t xml:space="preserve"> Drug</w:t>
            </w:r>
          </w:p>
        </w:tc>
        <w:tc>
          <w:tcPr>
            <w:tcW w:w="1620" w:type="dxa"/>
            <w:vMerge w:val="restart"/>
            <w:tcBorders>
              <w:top w:val="single" w:sz="12" w:space="0" w:color="auto"/>
              <w:left w:val="single" w:sz="12" w:space="0" w:color="auto"/>
              <w:right w:val="single" w:sz="12" w:space="0" w:color="auto"/>
            </w:tcBorders>
            <w:shd w:val="clear" w:color="auto" w:fill="auto"/>
            <w:vAlign w:val="center"/>
          </w:tcPr>
          <w:p w:rsidR="002D4A88" w:rsidRPr="00B37B92" w:rsidRDefault="002D4A88" w:rsidP="009C4A9E">
            <w:pPr>
              <w:pStyle w:val="Table-Heading"/>
              <w:jc w:val="center"/>
              <w:rPr>
                <w:sz w:val="18"/>
                <w:szCs w:val="18"/>
              </w:rPr>
            </w:pPr>
            <w:r w:rsidRPr="00B37B92">
              <w:rPr>
                <w:sz w:val="18"/>
                <w:szCs w:val="18"/>
              </w:rPr>
              <w:t xml:space="preserve">Dose of </w:t>
            </w:r>
            <w:proofErr w:type="spellStart"/>
            <w:r w:rsidRPr="00B37B92">
              <w:rPr>
                <w:sz w:val="18"/>
                <w:szCs w:val="18"/>
              </w:rPr>
              <w:t>Coadministered</w:t>
            </w:r>
            <w:proofErr w:type="spellEnd"/>
            <w:r w:rsidRPr="00B37B92">
              <w:rPr>
                <w:sz w:val="18"/>
                <w:szCs w:val="18"/>
              </w:rPr>
              <w:t xml:space="preserve"> Drug (mg)</w:t>
            </w:r>
          </w:p>
        </w:tc>
        <w:tc>
          <w:tcPr>
            <w:tcW w:w="1170" w:type="dxa"/>
            <w:vMerge w:val="restart"/>
            <w:tcBorders>
              <w:top w:val="single" w:sz="12" w:space="0" w:color="auto"/>
              <w:left w:val="single" w:sz="12" w:space="0" w:color="auto"/>
              <w:right w:val="single" w:sz="12" w:space="0" w:color="auto"/>
            </w:tcBorders>
            <w:shd w:val="clear" w:color="auto" w:fill="auto"/>
            <w:vAlign w:val="center"/>
          </w:tcPr>
          <w:p w:rsidR="002D4A88" w:rsidRPr="00B37B92" w:rsidRDefault="002D4A88" w:rsidP="009C4A9E">
            <w:pPr>
              <w:pStyle w:val="Table-Heading"/>
              <w:jc w:val="center"/>
              <w:rPr>
                <w:sz w:val="18"/>
                <w:szCs w:val="18"/>
              </w:rPr>
            </w:pPr>
            <w:proofErr w:type="spellStart"/>
            <w:r w:rsidRPr="00B37B92">
              <w:rPr>
                <w:sz w:val="18"/>
                <w:szCs w:val="18"/>
              </w:rPr>
              <w:t>Sofosbuvir</w:t>
            </w:r>
            <w:proofErr w:type="spellEnd"/>
            <w:r w:rsidRPr="00B37B92">
              <w:rPr>
                <w:sz w:val="18"/>
                <w:szCs w:val="18"/>
              </w:rPr>
              <w:t xml:space="preserve"> Dose (mg)</w:t>
            </w:r>
          </w:p>
        </w:tc>
        <w:tc>
          <w:tcPr>
            <w:tcW w:w="450" w:type="dxa"/>
            <w:vMerge w:val="restart"/>
            <w:tcBorders>
              <w:top w:val="single" w:sz="12" w:space="0" w:color="auto"/>
              <w:left w:val="single" w:sz="12" w:space="0" w:color="auto"/>
              <w:right w:val="single" w:sz="12" w:space="0" w:color="auto"/>
            </w:tcBorders>
            <w:shd w:val="clear" w:color="auto" w:fill="auto"/>
            <w:vAlign w:val="center"/>
          </w:tcPr>
          <w:p w:rsidR="002D4A88" w:rsidRPr="00B37B92" w:rsidRDefault="002D4A88" w:rsidP="009C4A9E">
            <w:pPr>
              <w:pStyle w:val="Table-Heading"/>
              <w:rPr>
                <w:sz w:val="18"/>
                <w:szCs w:val="18"/>
              </w:rPr>
            </w:pPr>
            <w:r w:rsidRPr="00B37B92">
              <w:rPr>
                <w:sz w:val="18"/>
                <w:szCs w:val="18"/>
              </w:rPr>
              <w:t>N</w:t>
            </w:r>
          </w:p>
        </w:tc>
        <w:tc>
          <w:tcPr>
            <w:tcW w:w="4140" w:type="dxa"/>
            <w:gridSpan w:val="4"/>
            <w:tcBorders>
              <w:top w:val="single" w:sz="12" w:space="0" w:color="auto"/>
              <w:left w:val="single" w:sz="12" w:space="0" w:color="auto"/>
              <w:bottom w:val="single" w:sz="12" w:space="0" w:color="auto"/>
              <w:right w:val="nil"/>
            </w:tcBorders>
            <w:shd w:val="clear" w:color="auto" w:fill="auto"/>
            <w:vAlign w:val="center"/>
          </w:tcPr>
          <w:p w:rsidR="002D4A88" w:rsidRPr="00B37B92" w:rsidRDefault="002D4A88" w:rsidP="009C4A9E">
            <w:pPr>
              <w:pStyle w:val="Table-Heading"/>
              <w:jc w:val="center"/>
              <w:rPr>
                <w:sz w:val="18"/>
                <w:szCs w:val="18"/>
              </w:rPr>
            </w:pPr>
            <w:r w:rsidRPr="00B37B92">
              <w:rPr>
                <w:sz w:val="18"/>
                <w:szCs w:val="18"/>
              </w:rPr>
              <w:t xml:space="preserve">Mean Ratio (90% CI) of </w:t>
            </w:r>
            <w:proofErr w:type="spellStart"/>
            <w:r w:rsidRPr="00B37B92">
              <w:rPr>
                <w:sz w:val="18"/>
                <w:szCs w:val="18"/>
              </w:rPr>
              <w:t>Sofosbuvir</w:t>
            </w:r>
            <w:proofErr w:type="spellEnd"/>
            <w:r w:rsidRPr="00B37B92">
              <w:rPr>
                <w:sz w:val="18"/>
                <w:szCs w:val="18"/>
              </w:rPr>
              <w:t xml:space="preserve"> and             </w:t>
            </w:r>
            <w:smartTag w:uri="urn:schemas-microsoft-com:office:smarttags" w:element="Street">
              <w:smartTag w:uri="urn:schemas-microsoft-com:office:smarttags" w:element="address">
                <w:r w:rsidRPr="00B37B92">
                  <w:rPr>
                    <w:sz w:val="18"/>
                    <w:szCs w:val="18"/>
                  </w:rPr>
                  <w:t>GS-331007 PK</w:t>
                </w:r>
              </w:smartTag>
            </w:smartTag>
            <w:r w:rsidRPr="00B37B92">
              <w:rPr>
                <w:sz w:val="18"/>
                <w:szCs w:val="18"/>
              </w:rPr>
              <w:t xml:space="preserve"> With/Without </w:t>
            </w:r>
            <w:proofErr w:type="spellStart"/>
            <w:r w:rsidRPr="00B37B92">
              <w:rPr>
                <w:sz w:val="18"/>
                <w:szCs w:val="18"/>
              </w:rPr>
              <w:t>Coadministered</w:t>
            </w:r>
            <w:proofErr w:type="spellEnd"/>
            <w:r w:rsidRPr="00B37B92">
              <w:rPr>
                <w:sz w:val="18"/>
                <w:szCs w:val="18"/>
              </w:rPr>
              <w:t xml:space="preserve"> Drug</w:t>
            </w:r>
            <w:r w:rsidRPr="00B37B92">
              <w:rPr>
                <w:sz w:val="18"/>
                <w:szCs w:val="18"/>
              </w:rPr>
              <w:br/>
              <w:t>No Effect=1.00</w:t>
            </w:r>
          </w:p>
        </w:tc>
      </w:tr>
      <w:tr w:rsidR="002D4A88" w:rsidRPr="00B37B92" w:rsidTr="009C4A9E">
        <w:trPr>
          <w:trHeight w:val="215"/>
        </w:trPr>
        <w:tc>
          <w:tcPr>
            <w:tcW w:w="1620" w:type="dxa"/>
            <w:vMerge/>
            <w:tcBorders>
              <w:left w:val="nil"/>
              <w:bottom w:val="single" w:sz="12" w:space="0" w:color="auto"/>
              <w:right w:val="single" w:sz="12" w:space="0" w:color="auto"/>
            </w:tcBorders>
            <w:shd w:val="clear" w:color="auto" w:fill="auto"/>
          </w:tcPr>
          <w:p w:rsidR="002D4A88" w:rsidRPr="00B37B92" w:rsidRDefault="002D4A88" w:rsidP="009C4A9E">
            <w:pPr>
              <w:pStyle w:val="Table-Text"/>
              <w:rPr>
                <w:color w:val="999999"/>
                <w:sz w:val="18"/>
                <w:szCs w:val="18"/>
              </w:rPr>
            </w:pPr>
          </w:p>
        </w:tc>
        <w:tc>
          <w:tcPr>
            <w:tcW w:w="1620" w:type="dxa"/>
            <w:vMerge/>
            <w:tcBorders>
              <w:left w:val="single" w:sz="12" w:space="0" w:color="auto"/>
              <w:bottom w:val="single" w:sz="12" w:space="0" w:color="auto"/>
              <w:right w:val="single" w:sz="12" w:space="0" w:color="auto"/>
            </w:tcBorders>
            <w:shd w:val="clear" w:color="auto" w:fill="auto"/>
          </w:tcPr>
          <w:p w:rsidR="002D4A88" w:rsidRPr="00B37B92" w:rsidRDefault="002D4A88" w:rsidP="009C4A9E">
            <w:pPr>
              <w:pStyle w:val="Table-Text"/>
              <w:rPr>
                <w:color w:val="999999"/>
                <w:sz w:val="18"/>
                <w:szCs w:val="18"/>
              </w:rPr>
            </w:pPr>
          </w:p>
        </w:tc>
        <w:tc>
          <w:tcPr>
            <w:tcW w:w="1170" w:type="dxa"/>
            <w:vMerge/>
            <w:tcBorders>
              <w:left w:val="single" w:sz="12" w:space="0" w:color="auto"/>
              <w:bottom w:val="single" w:sz="12" w:space="0" w:color="auto"/>
              <w:right w:val="single" w:sz="12" w:space="0" w:color="auto"/>
            </w:tcBorders>
            <w:shd w:val="clear" w:color="auto" w:fill="auto"/>
          </w:tcPr>
          <w:p w:rsidR="002D4A88" w:rsidRPr="00B37B92" w:rsidRDefault="002D4A88" w:rsidP="009C4A9E">
            <w:pPr>
              <w:pStyle w:val="Table-Text"/>
              <w:rPr>
                <w:color w:val="999999"/>
                <w:sz w:val="18"/>
                <w:szCs w:val="18"/>
              </w:rPr>
            </w:pPr>
          </w:p>
        </w:tc>
        <w:tc>
          <w:tcPr>
            <w:tcW w:w="450" w:type="dxa"/>
            <w:vMerge/>
            <w:tcBorders>
              <w:left w:val="single" w:sz="12" w:space="0" w:color="auto"/>
              <w:bottom w:val="single" w:sz="12" w:space="0" w:color="auto"/>
              <w:right w:val="single" w:sz="12" w:space="0" w:color="auto"/>
            </w:tcBorders>
            <w:shd w:val="clear" w:color="auto" w:fill="auto"/>
          </w:tcPr>
          <w:p w:rsidR="002D4A88" w:rsidRPr="00B37B92" w:rsidRDefault="002D4A88" w:rsidP="009C4A9E">
            <w:pPr>
              <w:pStyle w:val="Table-Text"/>
              <w:rPr>
                <w:color w:val="999999"/>
                <w:sz w:val="18"/>
                <w:szCs w:val="18"/>
              </w:rPr>
            </w:pPr>
          </w:p>
        </w:tc>
        <w:tc>
          <w:tcPr>
            <w:tcW w:w="1170" w:type="dxa"/>
            <w:tcBorders>
              <w:top w:val="single" w:sz="12" w:space="0" w:color="auto"/>
              <w:left w:val="single" w:sz="12" w:space="0" w:color="auto"/>
              <w:bottom w:val="single" w:sz="12" w:space="0" w:color="auto"/>
            </w:tcBorders>
            <w:shd w:val="clear" w:color="auto" w:fill="auto"/>
          </w:tcPr>
          <w:p w:rsidR="002D4A88" w:rsidRPr="00B37B92" w:rsidRDefault="002D4A88" w:rsidP="009C4A9E">
            <w:pPr>
              <w:pStyle w:val="Table-Heading"/>
              <w:rPr>
                <w:sz w:val="18"/>
                <w:szCs w:val="18"/>
              </w:rPr>
            </w:pPr>
          </w:p>
        </w:tc>
        <w:tc>
          <w:tcPr>
            <w:tcW w:w="1170" w:type="dxa"/>
            <w:tcBorders>
              <w:top w:val="single" w:sz="12" w:space="0" w:color="auto"/>
              <w:bottom w:val="single" w:sz="12" w:space="0" w:color="auto"/>
            </w:tcBorders>
            <w:shd w:val="clear" w:color="auto" w:fill="auto"/>
            <w:vAlign w:val="center"/>
          </w:tcPr>
          <w:p w:rsidR="002D4A88" w:rsidRPr="00B37B92" w:rsidRDefault="002D4A88" w:rsidP="009C4A9E">
            <w:pPr>
              <w:pStyle w:val="Table-Heading"/>
              <w:jc w:val="center"/>
              <w:rPr>
                <w:sz w:val="18"/>
                <w:szCs w:val="18"/>
              </w:rPr>
            </w:pPr>
            <w:proofErr w:type="spellStart"/>
            <w:r w:rsidRPr="00B37B92">
              <w:rPr>
                <w:sz w:val="18"/>
                <w:szCs w:val="18"/>
              </w:rPr>
              <w:t>C</w:t>
            </w:r>
            <w:r w:rsidRPr="00B37B92">
              <w:rPr>
                <w:sz w:val="18"/>
                <w:szCs w:val="18"/>
                <w:vertAlign w:val="subscript"/>
              </w:rPr>
              <w:t>max</w:t>
            </w:r>
            <w:proofErr w:type="spellEnd"/>
          </w:p>
        </w:tc>
        <w:tc>
          <w:tcPr>
            <w:tcW w:w="1170" w:type="dxa"/>
            <w:tcBorders>
              <w:top w:val="single" w:sz="12" w:space="0" w:color="auto"/>
              <w:bottom w:val="single" w:sz="12" w:space="0" w:color="auto"/>
            </w:tcBorders>
            <w:shd w:val="clear" w:color="auto" w:fill="auto"/>
            <w:vAlign w:val="center"/>
          </w:tcPr>
          <w:p w:rsidR="002D4A88" w:rsidRPr="00B37B92" w:rsidRDefault="002D4A88" w:rsidP="009C4A9E">
            <w:pPr>
              <w:pStyle w:val="Table-Heading"/>
              <w:jc w:val="center"/>
              <w:rPr>
                <w:sz w:val="18"/>
                <w:szCs w:val="18"/>
              </w:rPr>
            </w:pPr>
            <w:r w:rsidRPr="00B37B92">
              <w:rPr>
                <w:sz w:val="18"/>
                <w:szCs w:val="18"/>
              </w:rPr>
              <w:t>AUC</w:t>
            </w:r>
          </w:p>
        </w:tc>
        <w:tc>
          <w:tcPr>
            <w:tcW w:w="630" w:type="dxa"/>
            <w:tcBorders>
              <w:top w:val="single" w:sz="12" w:space="0" w:color="auto"/>
              <w:bottom w:val="single" w:sz="12" w:space="0" w:color="auto"/>
              <w:right w:val="nil"/>
            </w:tcBorders>
            <w:shd w:val="clear" w:color="auto" w:fill="auto"/>
            <w:vAlign w:val="center"/>
          </w:tcPr>
          <w:p w:rsidR="002D4A88" w:rsidRPr="00B37B92" w:rsidRDefault="002D4A88" w:rsidP="009C4A9E">
            <w:pPr>
              <w:pStyle w:val="Table-Heading"/>
              <w:jc w:val="center"/>
              <w:rPr>
                <w:sz w:val="18"/>
                <w:szCs w:val="18"/>
              </w:rPr>
            </w:pPr>
            <w:proofErr w:type="spellStart"/>
            <w:r w:rsidRPr="00B37B92">
              <w:rPr>
                <w:sz w:val="18"/>
                <w:szCs w:val="18"/>
              </w:rPr>
              <w:t>C</w:t>
            </w:r>
            <w:r w:rsidRPr="00B37B92">
              <w:rPr>
                <w:sz w:val="18"/>
                <w:szCs w:val="18"/>
                <w:vertAlign w:val="subscript"/>
              </w:rPr>
              <w:t>min</w:t>
            </w:r>
            <w:proofErr w:type="spellEnd"/>
          </w:p>
        </w:tc>
      </w:tr>
      <w:tr w:rsidR="002D4A88" w:rsidRPr="00B37B92" w:rsidTr="009C4A9E">
        <w:trPr>
          <w:trHeight w:val="467"/>
        </w:trPr>
        <w:tc>
          <w:tcPr>
            <w:tcW w:w="1620" w:type="dxa"/>
            <w:vMerge w:val="restart"/>
            <w:tcBorders>
              <w:top w:val="single" w:sz="12" w:space="0" w:color="auto"/>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Cyclosporin</w:t>
            </w:r>
            <w:proofErr w:type="spellEnd"/>
          </w:p>
        </w:tc>
        <w:tc>
          <w:tcPr>
            <w:tcW w:w="1620" w:type="dxa"/>
            <w:vMerge w:val="restart"/>
            <w:tcBorders>
              <w:top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600 single dose</w:t>
            </w:r>
          </w:p>
        </w:tc>
        <w:tc>
          <w:tcPr>
            <w:tcW w:w="1170" w:type="dxa"/>
            <w:vMerge w:val="restart"/>
            <w:tcBorders>
              <w:top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tc>
        <w:tc>
          <w:tcPr>
            <w:tcW w:w="450" w:type="dxa"/>
            <w:vMerge w:val="restart"/>
            <w:tcBorders>
              <w:top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19</w:t>
            </w:r>
          </w:p>
        </w:tc>
        <w:tc>
          <w:tcPr>
            <w:tcW w:w="1170" w:type="dxa"/>
            <w:tcBorders>
              <w:top w:val="single" w:sz="12" w:space="0" w:color="auto"/>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tcBorders>
              <w:top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2.54  </w:t>
            </w:r>
          </w:p>
          <w:p w:rsidR="002D4A88" w:rsidRPr="00B37B92" w:rsidRDefault="002D4A88" w:rsidP="009C4A9E">
            <w:pPr>
              <w:pStyle w:val="Table-Text"/>
              <w:jc w:val="center"/>
              <w:rPr>
                <w:sz w:val="18"/>
                <w:szCs w:val="18"/>
              </w:rPr>
            </w:pPr>
            <w:r w:rsidRPr="00B37B92">
              <w:rPr>
                <w:sz w:val="18"/>
                <w:szCs w:val="18"/>
              </w:rPr>
              <w:t xml:space="preserve"> (1.87, 3.45)</w:t>
            </w:r>
          </w:p>
        </w:tc>
        <w:tc>
          <w:tcPr>
            <w:tcW w:w="1170" w:type="dxa"/>
            <w:tcBorders>
              <w:top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4.53  </w:t>
            </w:r>
          </w:p>
          <w:p w:rsidR="002D4A88" w:rsidRPr="00B37B92" w:rsidRDefault="002D4A88" w:rsidP="009C4A9E">
            <w:pPr>
              <w:pStyle w:val="Table-Text"/>
              <w:jc w:val="center"/>
              <w:rPr>
                <w:sz w:val="18"/>
                <w:szCs w:val="18"/>
              </w:rPr>
            </w:pPr>
            <w:r w:rsidRPr="00B37B92">
              <w:rPr>
                <w:sz w:val="18"/>
                <w:szCs w:val="18"/>
              </w:rPr>
              <w:t xml:space="preserve"> (3.26, 6.30)</w:t>
            </w:r>
          </w:p>
        </w:tc>
        <w:tc>
          <w:tcPr>
            <w:tcW w:w="630" w:type="dxa"/>
            <w:tcBorders>
              <w:top w:val="single" w:sz="12" w:space="0" w:color="auto"/>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67"/>
        </w:trPr>
        <w:tc>
          <w:tcPr>
            <w:tcW w:w="1620" w:type="dxa"/>
            <w:vMerge/>
            <w:tcBorders>
              <w:left w:val="nil"/>
            </w:tcBorders>
            <w:shd w:val="clear" w:color="auto" w:fill="auto"/>
          </w:tcPr>
          <w:p w:rsidR="002D4A88" w:rsidRPr="00B37B92" w:rsidRDefault="002D4A88" w:rsidP="009C4A9E">
            <w:pPr>
              <w:pStyle w:val="Table-Text"/>
              <w:jc w:val="center"/>
              <w:rPr>
                <w:sz w:val="18"/>
                <w:szCs w:val="18"/>
              </w:rPr>
            </w:pPr>
          </w:p>
        </w:tc>
        <w:tc>
          <w:tcPr>
            <w:tcW w:w="1620" w:type="dxa"/>
            <w:vMerge/>
            <w:shd w:val="clear" w:color="auto" w:fill="auto"/>
          </w:tcPr>
          <w:p w:rsidR="002D4A88" w:rsidRPr="00B37B92" w:rsidRDefault="002D4A88" w:rsidP="009C4A9E">
            <w:pPr>
              <w:pStyle w:val="Table-Text"/>
              <w:jc w:val="center"/>
              <w:rPr>
                <w:sz w:val="18"/>
                <w:szCs w:val="18"/>
              </w:rPr>
            </w:pP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 xml:space="preserve">0.60 </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 xml:space="preserve"> (0.53, 0.69)</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1.04   </w:t>
            </w:r>
          </w:p>
          <w:p w:rsidR="002D4A88" w:rsidRPr="00B37B92" w:rsidRDefault="002D4A88" w:rsidP="009C4A9E">
            <w:pPr>
              <w:pStyle w:val="Table-Text"/>
              <w:jc w:val="center"/>
              <w:rPr>
                <w:sz w:val="18"/>
                <w:szCs w:val="18"/>
              </w:rPr>
            </w:pPr>
            <w:r w:rsidRPr="00B37B92">
              <w:rPr>
                <w:sz w:val="18"/>
                <w:szCs w:val="18"/>
              </w:rPr>
              <w:t xml:space="preserve"> (0.90, 1.20)</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67"/>
        </w:trPr>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Darunavir</w:t>
            </w:r>
            <w:proofErr w:type="spellEnd"/>
            <w:r w:rsidRPr="00B37B92">
              <w:rPr>
                <w:sz w:val="18"/>
                <w:szCs w:val="18"/>
              </w:rPr>
              <w:t xml:space="preserve"> (boosted with ritonavir)</w:t>
            </w:r>
          </w:p>
        </w:tc>
        <w:tc>
          <w:tcPr>
            <w:tcW w:w="162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800/100 once daily</w:t>
            </w:r>
          </w:p>
        </w:tc>
        <w:tc>
          <w:tcPr>
            <w:tcW w:w="117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tc>
        <w:tc>
          <w:tcPr>
            <w:tcW w:w="45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18</w:t>
            </w:r>
          </w:p>
        </w:tc>
        <w:tc>
          <w:tcPr>
            <w:tcW w:w="1170" w:type="dxa"/>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 xml:space="preserve">1.45 </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(1.10, 1.92)</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1.34</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(1.12, 1.59)</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67"/>
        </w:trPr>
        <w:tc>
          <w:tcPr>
            <w:tcW w:w="1620" w:type="dxa"/>
            <w:vMerge/>
            <w:tcBorders>
              <w:left w:val="nil"/>
            </w:tcBorders>
            <w:shd w:val="clear" w:color="auto" w:fill="auto"/>
            <w:vAlign w:val="center"/>
          </w:tcPr>
          <w:p w:rsidR="002D4A88" w:rsidRPr="00B37B92" w:rsidRDefault="002D4A88" w:rsidP="009C4A9E">
            <w:pPr>
              <w:pStyle w:val="Table-Text"/>
              <w:jc w:val="center"/>
              <w:rPr>
                <w:sz w:val="18"/>
                <w:szCs w:val="18"/>
              </w:rPr>
            </w:pPr>
          </w:p>
        </w:tc>
        <w:tc>
          <w:tcPr>
            <w:tcW w:w="162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0.97      (0.90, 1.05)</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1.24</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(1.18, 1.30)</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Efavirenz</w:t>
            </w:r>
            <w:r w:rsidRPr="00B37B92">
              <w:rPr>
                <w:sz w:val="18"/>
                <w:szCs w:val="18"/>
                <w:vertAlign w:val="superscript"/>
              </w:rPr>
              <w:t>c</w:t>
            </w:r>
            <w:proofErr w:type="spellEnd"/>
          </w:p>
          <w:p w:rsidR="002D4A88" w:rsidRPr="00B37B92" w:rsidRDefault="002D4A88" w:rsidP="009C4A9E">
            <w:pPr>
              <w:pStyle w:val="Table-Text"/>
              <w:jc w:val="center"/>
              <w:rPr>
                <w:sz w:val="18"/>
                <w:szCs w:val="18"/>
              </w:rPr>
            </w:pPr>
            <w:proofErr w:type="spellStart"/>
            <w:r w:rsidRPr="00B37B92">
              <w:rPr>
                <w:sz w:val="18"/>
                <w:szCs w:val="18"/>
              </w:rPr>
              <w:t>Emtricitabine</w:t>
            </w:r>
            <w:r w:rsidRPr="00B37B92">
              <w:rPr>
                <w:sz w:val="18"/>
                <w:szCs w:val="18"/>
                <w:vertAlign w:val="superscript"/>
              </w:rPr>
              <w:t>c</w:t>
            </w:r>
            <w:proofErr w:type="spellEnd"/>
          </w:p>
        </w:tc>
        <w:tc>
          <w:tcPr>
            <w:tcW w:w="162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600 once daily</w:t>
            </w:r>
          </w:p>
        </w:tc>
        <w:tc>
          <w:tcPr>
            <w:tcW w:w="117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p w:rsidR="002D4A88" w:rsidRPr="00B37B92" w:rsidRDefault="002D4A88" w:rsidP="009C4A9E">
            <w:pPr>
              <w:pStyle w:val="Table-Text"/>
              <w:jc w:val="center"/>
              <w:rPr>
                <w:sz w:val="18"/>
                <w:szCs w:val="18"/>
              </w:rPr>
            </w:pPr>
          </w:p>
        </w:tc>
        <w:tc>
          <w:tcPr>
            <w:tcW w:w="45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16</w:t>
            </w:r>
          </w:p>
        </w:tc>
        <w:tc>
          <w:tcPr>
            <w:tcW w:w="1170" w:type="dxa"/>
            <w:vMerge w:val="restart"/>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vMerge w:val="restart"/>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0.81</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(0.60, 1.10)</w:t>
            </w:r>
          </w:p>
        </w:tc>
        <w:tc>
          <w:tcPr>
            <w:tcW w:w="1170" w:type="dxa"/>
            <w:vMerge w:val="restart"/>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0.94</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(0.76, 1.16)</w:t>
            </w:r>
          </w:p>
        </w:tc>
        <w:tc>
          <w:tcPr>
            <w:tcW w:w="630" w:type="dxa"/>
            <w:vMerge w:val="restart"/>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c>
          <w:tcPr>
            <w:tcW w:w="1620" w:type="dxa"/>
            <w:vMerge/>
            <w:tcBorders>
              <w:left w:val="nil"/>
            </w:tcBorders>
            <w:shd w:val="clear" w:color="auto" w:fill="auto"/>
            <w:vAlign w:val="center"/>
          </w:tcPr>
          <w:p w:rsidR="002D4A88" w:rsidRPr="00B37B92" w:rsidRDefault="002D4A88" w:rsidP="009C4A9E">
            <w:pPr>
              <w:pStyle w:val="Table-Text"/>
              <w:jc w:val="center"/>
              <w:rPr>
                <w:sz w:val="18"/>
                <w:szCs w:val="18"/>
              </w:rPr>
            </w:pPr>
          </w:p>
        </w:tc>
        <w:tc>
          <w:tcPr>
            <w:tcW w:w="162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200 once daily</w:t>
            </w: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vAlign w:val="center"/>
          </w:tcPr>
          <w:p w:rsidR="002D4A88" w:rsidRPr="00B37B92" w:rsidRDefault="002D4A88" w:rsidP="009C4A9E">
            <w:pPr>
              <w:pStyle w:val="Table-Text"/>
              <w:jc w:val="center"/>
              <w:rPr>
                <w:sz w:val="18"/>
                <w:szCs w:val="18"/>
              </w:rPr>
            </w:pPr>
          </w:p>
        </w:tc>
        <w:tc>
          <w:tcPr>
            <w:tcW w:w="630" w:type="dxa"/>
            <w:vMerge/>
            <w:tcBorders>
              <w:right w:val="nil"/>
            </w:tcBorders>
            <w:shd w:val="clear" w:color="auto" w:fill="auto"/>
            <w:vAlign w:val="center"/>
          </w:tcPr>
          <w:p w:rsidR="002D4A88" w:rsidRPr="00B37B92" w:rsidRDefault="002D4A88" w:rsidP="009C4A9E">
            <w:pPr>
              <w:pStyle w:val="Table-Text"/>
              <w:jc w:val="center"/>
              <w:rPr>
                <w:sz w:val="18"/>
                <w:szCs w:val="18"/>
              </w:rPr>
            </w:pPr>
          </w:p>
        </w:tc>
      </w:tr>
      <w:tr w:rsidR="002D4A88" w:rsidRPr="00B37B92" w:rsidTr="009C4A9E">
        <w:trPr>
          <w:trHeight w:val="1032"/>
        </w:trPr>
        <w:tc>
          <w:tcPr>
            <w:tcW w:w="1620" w:type="dxa"/>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Tenofovir</w:t>
            </w:r>
            <w:proofErr w:type="spellEnd"/>
            <w:r w:rsidRPr="00B37B92">
              <w:rPr>
                <w:sz w:val="18"/>
                <w:szCs w:val="18"/>
              </w:rPr>
              <w:t xml:space="preserve"> </w:t>
            </w:r>
            <w:proofErr w:type="spellStart"/>
            <w:r w:rsidRPr="00B37B92">
              <w:rPr>
                <w:sz w:val="18"/>
                <w:szCs w:val="18"/>
              </w:rPr>
              <w:t>disoproxil</w:t>
            </w:r>
            <w:proofErr w:type="spellEnd"/>
            <w:r w:rsidRPr="00B37B92">
              <w:rPr>
                <w:sz w:val="18"/>
                <w:szCs w:val="18"/>
              </w:rPr>
              <w:t xml:space="preserve"> </w:t>
            </w:r>
            <w:proofErr w:type="spellStart"/>
            <w:r w:rsidRPr="00B37B92">
              <w:rPr>
                <w:sz w:val="18"/>
                <w:szCs w:val="18"/>
              </w:rPr>
              <w:t>fumarate</w:t>
            </w:r>
            <w:r w:rsidRPr="00B37B92">
              <w:rPr>
                <w:sz w:val="18"/>
                <w:szCs w:val="18"/>
                <w:vertAlign w:val="superscript"/>
              </w:rPr>
              <w:t>c</w:t>
            </w:r>
            <w:proofErr w:type="spellEnd"/>
          </w:p>
        </w:tc>
        <w:tc>
          <w:tcPr>
            <w:tcW w:w="162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300 once daily</w:t>
            </w: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0.77      (0.70, 0.84)</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0.84     (0.76, 0.92)</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70"/>
        </w:trPr>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Methadone</w:t>
            </w:r>
          </w:p>
        </w:tc>
        <w:tc>
          <w:tcPr>
            <w:tcW w:w="1620" w:type="dxa"/>
            <w:vMerge w:val="restart"/>
            <w:shd w:val="clear" w:color="auto" w:fill="auto"/>
            <w:vAlign w:val="center"/>
          </w:tcPr>
          <w:p w:rsidR="002D4A88" w:rsidRPr="00B37B92" w:rsidRDefault="002D4A88" w:rsidP="009C4A9E">
            <w:pPr>
              <w:pStyle w:val="Table-Text"/>
              <w:jc w:val="center"/>
              <w:rPr>
                <w:color w:val="800080"/>
                <w:sz w:val="18"/>
                <w:szCs w:val="18"/>
              </w:rPr>
            </w:pPr>
            <w:r w:rsidRPr="00B37B92">
              <w:rPr>
                <w:sz w:val="18"/>
                <w:szCs w:val="18"/>
              </w:rPr>
              <w:t>methadone maintenance therapy (30 to 130 daily)</w:t>
            </w:r>
          </w:p>
        </w:tc>
        <w:tc>
          <w:tcPr>
            <w:tcW w:w="1170" w:type="dxa"/>
            <w:vMerge w:val="restart"/>
            <w:shd w:val="clear" w:color="auto" w:fill="auto"/>
            <w:vAlign w:val="center"/>
          </w:tcPr>
          <w:p w:rsidR="002D4A88" w:rsidRPr="00B37B92" w:rsidRDefault="002D4A88" w:rsidP="009C4A9E">
            <w:pPr>
              <w:pStyle w:val="Table-Text"/>
              <w:jc w:val="center"/>
              <w:rPr>
                <w:color w:val="800080"/>
                <w:sz w:val="18"/>
                <w:szCs w:val="18"/>
              </w:rPr>
            </w:pPr>
            <w:r w:rsidRPr="00B37B92">
              <w:rPr>
                <w:sz w:val="18"/>
                <w:szCs w:val="18"/>
              </w:rPr>
              <w:t>400 once daily</w:t>
            </w:r>
          </w:p>
        </w:tc>
        <w:tc>
          <w:tcPr>
            <w:tcW w:w="450" w:type="dxa"/>
            <w:shd w:val="clear" w:color="auto" w:fill="auto"/>
            <w:vAlign w:val="center"/>
          </w:tcPr>
          <w:p w:rsidR="002D4A88" w:rsidRPr="00B37B92" w:rsidRDefault="002D4A88" w:rsidP="009C4A9E">
            <w:pPr>
              <w:pStyle w:val="Table-Text"/>
              <w:jc w:val="center"/>
              <w:rPr>
                <w:color w:val="999999"/>
                <w:sz w:val="18"/>
                <w:szCs w:val="18"/>
              </w:rPr>
            </w:pPr>
            <w:r w:rsidRPr="00B37B92">
              <w:rPr>
                <w:sz w:val="18"/>
                <w:szCs w:val="18"/>
              </w:rPr>
              <w:t>14</w:t>
            </w:r>
          </w:p>
        </w:tc>
        <w:tc>
          <w:tcPr>
            <w:tcW w:w="1170" w:type="dxa"/>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0.95</w:t>
            </w:r>
            <w:r w:rsidRPr="00B37B92">
              <w:rPr>
                <w:sz w:val="18"/>
                <w:szCs w:val="18"/>
                <w:vertAlign w:val="superscript"/>
              </w:rPr>
              <w:t xml:space="preserve">b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(0.68, 1.33)</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1.30</w:t>
            </w:r>
            <w:r w:rsidRPr="00B37B92">
              <w:rPr>
                <w:sz w:val="18"/>
                <w:szCs w:val="18"/>
                <w:vertAlign w:val="superscript"/>
              </w:rPr>
              <w:t xml:space="preserve">b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(1.00,</w:t>
            </w:r>
            <w:r w:rsidR="00864977">
              <w:rPr>
                <w:sz w:val="18"/>
                <w:szCs w:val="18"/>
              </w:rPr>
              <w:t xml:space="preserve"> </w:t>
            </w:r>
            <w:r w:rsidRPr="00B37B92">
              <w:rPr>
                <w:sz w:val="18"/>
                <w:szCs w:val="18"/>
              </w:rPr>
              <w:t xml:space="preserve"> 1.69)</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40"/>
        </w:trPr>
        <w:tc>
          <w:tcPr>
            <w:tcW w:w="1620" w:type="dxa"/>
            <w:vMerge/>
            <w:tcBorders>
              <w:left w:val="nil"/>
            </w:tcBorders>
            <w:shd w:val="clear" w:color="auto" w:fill="auto"/>
            <w:vAlign w:val="center"/>
          </w:tcPr>
          <w:p w:rsidR="002D4A88" w:rsidRPr="00B37B92" w:rsidRDefault="002D4A88" w:rsidP="009C4A9E">
            <w:pPr>
              <w:pStyle w:val="Table-Text"/>
              <w:jc w:val="center"/>
              <w:rPr>
                <w:sz w:val="18"/>
                <w:szCs w:val="18"/>
              </w:rPr>
            </w:pPr>
          </w:p>
        </w:tc>
        <w:tc>
          <w:tcPr>
            <w:tcW w:w="162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vAlign w:val="center"/>
          </w:tcPr>
          <w:p w:rsidR="002D4A88" w:rsidRPr="00B37B92" w:rsidRDefault="002D4A88" w:rsidP="009C4A9E">
            <w:pPr>
              <w:pStyle w:val="Table-Text"/>
              <w:jc w:val="center"/>
              <w:rPr>
                <w:sz w:val="18"/>
                <w:szCs w:val="18"/>
              </w:rPr>
            </w:pPr>
          </w:p>
        </w:tc>
        <w:tc>
          <w:tcPr>
            <w:tcW w:w="450" w:type="dxa"/>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0.73</w:t>
            </w:r>
            <w:r w:rsidRPr="00B37B92">
              <w:rPr>
                <w:sz w:val="18"/>
                <w:szCs w:val="18"/>
                <w:vertAlign w:val="superscript"/>
              </w:rPr>
              <w:t xml:space="preserve">b   </w:t>
            </w:r>
            <w:r w:rsidRPr="00B37B92">
              <w:rPr>
                <w:sz w:val="18"/>
                <w:szCs w:val="18"/>
              </w:rPr>
              <w:t xml:space="preserve"> </w:t>
            </w:r>
          </w:p>
          <w:p w:rsidR="002D4A88" w:rsidRPr="00B37B92" w:rsidRDefault="002D4A88" w:rsidP="009C4A9E">
            <w:pPr>
              <w:pStyle w:val="Table-Text"/>
              <w:jc w:val="center"/>
              <w:rPr>
                <w:sz w:val="18"/>
                <w:szCs w:val="18"/>
              </w:rPr>
            </w:pPr>
            <w:r w:rsidRPr="00B37B92">
              <w:rPr>
                <w:sz w:val="18"/>
                <w:szCs w:val="18"/>
              </w:rPr>
              <w:t>(0.65, 0.83)</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1.04</w:t>
            </w:r>
            <w:r w:rsidRPr="00B37B92">
              <w:rPr>
                <w:sz w:val="18"/>
                <w:szCs w:val="18"/>
                <w:vertAlign w:val="superscript"/>
              </w:rPr>
              <w:t xml:space="preserve">b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(0.89, 1.22)</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40"/>
        </w:trPr>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Raltegravir</w:t>
            </w:r>
            <w:proofErr w:type="spellEnd"/>
          </w:p>
        </w:tc>
        <w:tc>
          <w:tcPr>
            <w:tcW w:w="1620" w:type="dxa"/>
            <w:vMerge w:val="restart"/>
            <w:shd w:val="clear" w:color="auto" w:fill="auto"/>
            <w:vAlign w:val="center"/>
          </w:tcPr>
          <w:p w:rsidR="002D4A88" w:rsidRPr="00B37B92" w:rsidRDefault="002D4A88" w:rsidP="00F869B2">
            <w:pPr>
              <w:pStyle w:val="Table-Text"/>
              <w:jc w:val="center"/>
              <w:rPr>
                <w:sz w:val="18"/>
                <w:szCs w:val="18"/>
              </w:rPr>
            </w:pPr>
            <w:r w:rsidRPr="00B37B92">
              <w:rPr>
                <w:sz w:val="18"/>
                <w:szCs w:val="18"/>
              </w:rPr>
              <w:t xml:space="preserve">400 </w:t>
            </w:r>
            <w:r w:rsidR="00F869B2">
              <w:rPr>
                <w:sz w:val="18"/>
                <w:szCs w:val="18"/>
              </w:rPr>
              <w:t>twice</w:t>
            </w:r>
            <w:r w:rsidR="006B243D">
              <w:rPr>
                <w:sz w:val="18"/>
                <w:szCs w:val="18"/>
              </w:rPr>
              <w:t xml:space="preserve"> </w:t>
            </w:r>
            <w:r w:rsidRPr="00B37B92">
              <w:rPr>
                <w:sz w:val="18"/>
                <w:szCs w:val="18"/>
              </w:rPr>
              <w:t>daily</w:t>
            </w:r>
          </w:p>
        </w:tc>
        <w:tc>
          <w:tcPr>
            <w:tcW w:w="117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tc>
        <w:tc>
          <w:tcPr>
            <w:tcW w:w="45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19</w:t>
            </w:r>
          </w:p>
        </w:tc>
        <w:tc>
          <w:tcPr>
            <w:tcW w:w="1170" w:type="dxa"/>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0.87</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(0.71, 1.08)</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0.95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(0.82, 1.09)</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467"/>
        </w:trPr>
        <w:tc>
          <w:tcPr>
            <w:tcW w:w="1620" w:type="dxa"/>
            <w:vMerge/>
            <w:tcBorders>
              <w:left w:val="nil"/>
            </w:tcBorders>
            <w:shd w:val="clear" w:color="auto" w:fill="auto"/>
            <w:vAlign w:val="center"/>
          </w:tcPr>
          <w:p w:rsidR="002D4A88" w:rsidRPr="00B37B92" w:rsidRDefault="002D4A88" w:rsidP="009C4A9E">
            <w:pPr>
              <w:pStyle w:val="Table-Text"/>
              <w:jc w:val="center"/>
              <w:rPr>
                <w:sz w:val="18"/>
                <w:szCs w:val="18"/>
              </w:rPr>
            </w:pPr>
          </w:p>
        </w:tc>
        <w:tc>
          <w:tcPr>
            <w:tcW w:w="1620" w:type="dxa"/>
            <w:vMerge/>
            <w:shd w:val="clear" w:color="auto" w:fill="auto"/>
            <w:vAlign w:val="center"/>
          </w:tcPr>
          <w:p w:rsidR="002D4A88" w:rsidRPr="00B37B92" w:rsidRDefault="002D4A88" w:rsidP="009C4A9E">
            <w:pPr>
              <w:pStyle w:val="Table-Text"/>
              <w:jc w:val="center"/>
              <w:rPr>
                <w:sz w:val="18"/>
                <w:szCs w:val="18"/>
              </w:rPr>
            </w:pP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1.09      (0.99, 1.20)</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1.03</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(0.97, 1.08)</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Rilpivirine</w:t>
            </w:r>
            <w:proofErr w:type="spellEnd"/>
          </w:p>
        </w:tc>
        <w:tc>
          <w:tcPr>
            <w:tcW w:w="162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25 once daily</w:t>
            </w:r>
          </w:p>
        </w:tc>
        <w:tc>
          <w:tcPr>
            <w:tcW w:w="117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tc>
        <w:tc>
          <w:tcPr>
            <w:tcW w:w="45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17</w:t>
            </w:r>
          </w:p>
        </w:tc>
        <w:tc>
          <w:tcPr>
            <w:tcW w:w="1170" w:type="dxa"/>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1.21</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(0.90, 1.62)</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 xml:space="preserve">1.09  </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(0.94, 1.27)</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341"/>
        </w:trPr>
        <w:tc>
          <w:tcPr>
            <w:tcW w:w="1620" w:type="dxa"/>
            <w:vMerge/>
            <w:tcBorders>
              <w:left w:val="nil"/>
            </w:tcBorders>
            <w:shd w:val="clear" w:color="auto" w:fill="auto"/>
            <w:vAlign w:val="center"/>
          </w:tcPr>
          <w:p w:rsidR="002D4A88" w:rsidRPr="00B37B92" w:rsidRDefault="002D4A88" w:rsidP="009C4A9E">
            <w:pPr>
              <w:pStyle w:val="Table-Text"/>
              <w:jc w:val="center"/>
              <w:rPr>
                <w:sz w:val="18"/>
                <w:szCs w:val="18"/>
              </w:rPr>
            </w:pPr>
          </w:p>
        </w:tc>
        <w:tc>
          <w:tcPr>
            <w:tcW w:w="1620" w:type="dxa"/>
            <w:vMerge/>
            <w:shd w:val="clear" w:color="auto" w:fill="auto"/>
          </w:tcPr>
          <w:p w:rsidR="002D4A88" w:rsidRPr="00B37B92" w:rsidRDefault="002D4A88" w:rsidP="009C4A9E">
            <w:pPr>
              <w:pStyle w:val="Table-Text"/>
              <w:jc w:val="center"/>
              <w:rPr>
                <w:sz w:val="18"/>
                <w:szCs w:val="18"/>
              </w:rPr>
            </w:pPr>
          </w:p>
        </w:tc>
        <w:tc>
          <w:tcPr>
            <w:tcW w:w="1170" w:type="dxa"/>
            <w:vMerge/>
            <w:shd w:val="clear" w:color="auto" w:fill="auto"/>
          </w:tcPr>
          <w:p w:rsidR="002D4A88" w:rsidRPr="00B37B92" w:rsidRDefault="002D4A88" w:rsidP="009C4A9E">
            <w:pPr>
              <w:pStyle w:val="Table-Text"/>
              <w:jc w:val="center"/>
              <w:rPr>
                <w:sz w:val="18"/>
                <w:szCs w:val="18"/>
              </w:rPr>
            </w:pPr>
          </w:p>
        </w:tc>
        <w:tc>
          <w:tcPr>
            <w:tcW w:w="450" w:type="dxa"/>
            <w:vMerge/>
            <w:shd w:val="clear" w:color="auto" w:fill="auto"/>
            <w:vAlign w:val="center"/>
          </w:tcPr>
          <w:p w:rsidR="002D4A88" w:rsidRPr="00B37B92" w:rsidRDefault="002D4A88" w:rsidP="009C4A9E">
            <w:pPr>
              <w:pStyle w:val="Table-Text"/>
              <w:jc w:val="center"/>
              <w:rPr>
                <w:sz w:val="18"/>
                <w:szCs w:val="18"/>
              </w:rPr>
            </w:pP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1.06      (0.99, 1.14)</w:t>
            </w:r>
          </w:p>
        </w:tc>
        <w:tc>
          <w:tcPr>
            <w:tcW w:w="1170" w:type="dxa"/>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1.01</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vertAlign w:val="superscript"/>
              </w:rPr>
              <w:t xml:space="preserve"> </w:t>
            </w:r>
            <w:r w:rsidRPr="00B37B92">
              <w:rPr>
                <w:sz w:val="18"/>
                <w:szCs w:val="18"/>
              </w:rPr>
              <w:t>(0.97, 1.04)</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341"/>
        </w:trPr>
        <w:tc>
          <w:tcPr>
            <w:tcW w:w="1620" w:type="dxa"/>
            <w:vMerge w:val="restart"/>
            <w:tcBorders>
              <w:left w:val="nil"/>
            </w:tcBorders>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Tacrolimus</w:t>
            </w:r>
            <w:proofErr w:type="spellEnd"/>
          </w:p>
        </w:tc>
        <w:tc>
          <w:tcPr>
            <w:tcW w:w="162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5 single dose</w:t>
            </w:r>
          </w:p>
        </w:tc>
        <w:tc>
          <w:tcPr>
            <w:tcW w:w="117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400 single dose</w:t>
            </w:r>
          </w:p>
        </w:tc>
        <w:tc>
          <w:tcPr>
            <w:tcW w:w="450" w:type="dxa"/>
            <w:vMerge w:val="restart"/>
            <w:shd w:val="clear" w:color="auto" w:fill="auto"/>
            <w:vAlign w:val="center"/>
          </w:tcPr>
          <w:p w:rsidR="002D4A88" w:rsidRPr="00B37B92" w:rsidRDefault="002D4A88" w:rsidP="009C4A9E">
            <w:pPr>
              <w:pStyle w:val="Table-Text"/>
              <w:jc w:val="center"/>
              <w:rPr>
                <w:sz w:val="18"/>
                <w:szCs w:val="18"/>
              </w:rPr>
            </w:pPr>
            <w:r w:rsidRPr="00B37B92">
              <w:rPr>
                <w:sz w:val="18"/>
                <w:szCs w:val="18"/>
              </w:rPr>
              <w:t>16</w:t>
            </w:r>
          </w:p>
        </w:tc>
        <w:tc>
          <w:tcPr>
            <w:tcW w:w="1170" w:type="dxa"/>
            <w:shd w:val="clear" w:color="auto" w:fill="auto"/>
            <w:vAlign w:val="center"/>
          </w:tcPr>
          <w:p w:rsidR="002D4A88" w:rsidRPr="00B37B92" w:rsidRDefault="002D4A88" w:rsidP="009C4A9E">
            <w:pPr>
              <w:pStyle w:val="Table-Text"/>
              <w:jc w:val="center"/>
              <w:rPr>
                <w:sz w:val="18"/>
                <w:szCs w:val="18"/>
              </w:rPr>
            </w:pPr>
            <w:proofErr w:type="spellStart"/>
            <w:r w:rsidRPr="00B37B92">
              <w:rPr>
                <w:sz w:val="18"/>
                <w:szCs w:val="18"/>
              </w:rPr>
              <w:t>sofosbuvir</w:t>
            </w:r>
            <w:proofErr w:type="spellEnd"/>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0.97  </w:t>
            </w:r>
          </w:p>
          <w:p w:rsidR="002D4A88" w:rsidRPr="00B37B92" w:rsidRDefault="002D4A88" w:rsidP="009C4A9E">
            <w:pPr>
              <w:pStyle w:val="Table-Text"/>
              <w:jc w:val="center"/>
              <w:rPr>
                <w:sz w:val="18"/>
                <w:szCs w:val="18"/>
              </w:rPr>
            </w:pPr>
            <w:r w:rsidRPr="00B37B92">
              <w:rPr>
                <w:sz w:val="18"/>
                <w:szCs w:val="18"/>
              </w:rPr>
              <w:t xml:space="preserve"> (0.65, 1.43)</w:t>
            </w:r>
          </w:p>
        </w:tc>
        <w:tc>
          <w:tcPr>
            <w:tcW w:w="1170" w:type="dxa"/>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1.13  </w:t>
            </w:r>
          </w:p>
          <w:p w:rsidR="002D4A88" w:rsidRPr="00B37B92" w:rsidRDefault="002D4A88" w:rsidP="009C4A9E">
            <w:pPr>
              <w:pStyle w:val="Table-Text"/>
              <w:jc w:val="center"/>
              <w:rPr>
                <w:sz w:val="18"/>
                <w:szCs w:val="18"/>
              </w:rPr>
            </w:pPr>
            <w:r w:rsidRPr="00B37B92">
              <w:rPr>
                <w:sz w:val="18"/>
                <w:szCs w:val="18"/>
              </w:rPr>
              <w:t xml:space="preserve"> (0.81, 1.57)</w:t>
            </w:r>
          </w:p>
        </w:tc>
        <w:tc>
          <w:tcPr>
            <w:tcW w:w="630" w:type="dxa"/>
            <w:tcBorders>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r w:rsidR="002D4A88" w:rsidRPr="00B37B92" w:rsidTr="009C4A9E">
        <w:trPr>
          <w:trHeight w:val="1289"/>
        </w:trPr>
        <w:tc>
          <w:tcPr>
            <w:tcW w:w="1620" w:type="dxa"/>
            <w:vMerge/>
            <w:tcBorders>
              <w:left w:val="nil"/>
              <w:bottom w:val="single" w:sz="12" w:space="0" w:color="auto"/>
            </w:tcBorders>
            <w:shd w:val="clear" w:color="auto" w:fill="auto"/>
          </w:tcPr>
          <w:p w:rsidR="002D4A88" w:rsidRPr="00B37B92" w:rsidRDefault="002D4A88" w:rsidP="009C4A9E">
            <w:pPr>
              <w:pStyle w:val="Table-Text"/>
              <w:jc w:val="center"/>
              <w:rPr>
                <w:sz w:val="18"/>
                <w:szCs w:val="18"/>
              </w:rPr>
            </w:pPr>
          </w:p>
        </w:tc>
        <w:tc>
          <w:tcPr>
            <w:tcW w:w="1620" w:type="dxa"/>
            <w:vMerge/>
            <w:tcBorders>
              <w:bottom w:val="single" w:sz="12" w:space="0" w:color="auto"/>
            </w:tcBorders>
            <w:shd w:val="clear" w:color="auto" w:fill="auto"/>
          </w:tcPr>
          <w:p w:rsidR="002D4A88" w:rsidRPr="00B37B92" w:rsidRDefault="002D4A88" w:rsidP="009C4A9E">
            <w:pPr>
              <w:pStyle w:val="Table-Text"/>
              <w:jc w:val="center"/>
              <w:rPr>
                <w:sz w:val="18"/>
                <w:szCs w:val="18"/>
              </w:rPr>
            </w:pPr>
          </w:p>
        </w:tc>
        <w:tc>
          <w:tcPr>
            <w:tcW w:w="1170" w:type="dxa"/>
            <w:vMerge/>
            <w:tcBorders>
              <w:bottom w:val="single" w:sz="12" w:space="0" w:color="auto"/>
            </w:tcBorders>
            <w:shd w:val="clear" w:color="auto" w:fill="auto"/>
          </w:tcPr>
          <w:p w:rsidR="002D4A88" w:rsidRPr="00B37B92" w:rsidRDefault="002D4A88" w:rsidP="009C4A9E">
            <w:pPr>
              <w:pStyle w:val="Table-Text"/>
              <w:jc w:val="center"/>
              <w:rPr>
                <w:sz w:val="18"/>
                <w:szCs w:val="18"/>
              </w:rPr>
            </w:pPr>
          </w:p>
        </w:tc>
        <w:tc>
          <w:tcPr>
            <w:tcW w:w="450" w:type="dxa"/>
            <w:vMerge/>
            <w:tcBorders>
              <w:bottom w:val="single" w:sz="12" w:space="0" w:color="auto"/>
            </w:tcBorders>
            <w:shd w:val="clear" w:color="auto" w:fill="auto"/>
            <w:vAlign w:val="center"/>
          </w:tcPr>
          <w:p w:rsidR="002D4A88" w:rsidRPr="00B37B92" w:rsidRDefault="002D4A88" w:rsidP="009C4A9E">
            <w:pPr>
              <w:pStyle w:val="Table-Text"/>
              <w:jc w:val="center"/>
              <w:rPr>
                <w:sz w:val="18"/>
                <w:szCs w:val="18"/>
              </w:rPr>
            </w:pPr>
          </w:p>
        </w:tc>
        <w:tc>
          <w:tcPr>
            <w:tcW w:w="1170" w:type="dxa"/>
            <w:tcBorders>
              <w:bottom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GS-331007</w:t>
            </w:r>
          </w:p>
        </w:tc>
        <w:tc>
          <w:tcPr>
            <w:tcW w:w="1170" w:type="dxa"/>
            <w:tcBorders>
              <w:bottom w:val="single" w:sz="12" w:space="0" w:color="auto"/>
            </w:tcBorders>
            <w:shd w:val="clear" w:color="auto" w:fill="auto"/>
            <w:vAlign w:val="center"/>
          </w:tcPr>
          <w:p w:rsidR="002D4A88" w:rsidRPr="00B37B92" w:rsidRDefault="002D4A88" w:rsidP="009C4A9E">
            <w:pPr>
              <w:pStyle w:val="Table-Text"/>
              <w:jc w:val="center"/>
              <w:rPr>
                <w:sz w:val="18"/>
                <w:szCs w:val="18"/>
                <w:vertAlign w:val="superscript"/>
              </w:rPr>
            </w:pPr>
            <w:r w:rsidRPr="00B37B92">
              <w:rPr>
                <w:sz w:val="18"/>
                <w:szCs w:val="18"/>
              </w:rPr>
              <w:t>0.97</w:t>
            </w:r>
            <w:r w:rsidRPr="00B37B92">
              <w:rPr>
                <w:sz w:val="18"/>
                <w:szCs w:val="18"/>
                <w:vertAlign w:val="superscript"/>
              </w:rPr>
              <w:t xml:space="preserve">     </w:t>
            </w:r>
          </w:p>
          <w:p w:rsidR="002D4A88" w:rsidRPr="00B37B92" w:rsidRDefault="002D4A88" w:rsidP="009C4A9E">
            <w:pPr>
              <w:pStyle w:val="Table-Text"/>
              <w:jc w:val="center"/>
              <w:rPr>
                <w:sz w:val="18"/>
                <w:szCs w:val="18"/>
              </w:rPr>
            </w:pPr>
            <w:r w:rsidRPr="00B37B92">
              <w:rPr>
                <w:sz w:val="18"/>
                <w:szCs w:val="18"/>
              </w:rPr>
              <w:t>(0.83, 1.14)</w:t>
            </w:r>
          </w:p>
        </w:tc>
        <w:tc>
          <w:tcPr>
            <w:tcW w:w="1170" w:type="dxa"/>
            <w:tcBorders>
              <w:bottom w:val="single" w:sz="12" w:space="0" w:color="auto"/>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 xml:space="preserve">1.00   </w:t>
            </w:r>
          </w:p>
          <w:p w:rsidR="002D4A88" w:rsidRPr="00B37B92" w:rsidRDefault="002D4A88" w:rsidP="009C4A9E">
            <w:pPr>
              <w:pStyle w:val="Table-Text"/>
              <w:jc w:val="center"/>
              <w:rPr>
                <w:sz w:val="18"/>
                <w:szCs w:val="18"/>
              </w:rPr>
            </w:pPr>
            <w:r w:rsidRPr="00B37B92">
              <w:rPr>
                <w:sz w:val="18"/>
                <w:szCs w:val="18"/>
              </w:rPr>
              <w:t>(0.87, 1.13)</w:t>
            </w:r>
          </w:p>
        </w:tc>
        <w:tc>
          <w:tcPr>
            <w:tcW w:w="630" w:type="dxa"/>
            <w:tcBorders>
              <w:bottom w:val="single" w:sz="12" w:space="0" w:color="auto"/>
              <w:right w:val="nil"/>
            </w:tcBorders>
            <w:shd w:val="clear" w:color="auto" w:fill="auto"/>
            <w:vAlign w:val="center"/>
          </w:tcPr>
          <w:p w:rsidR="002D4A88" w:rsidRPr="00B37B92" w:rsidRDefault="002D4A88" w:rsidP="009C4A9E">
            <w:pPr>
              <w:pStyle w:val="Table-Text"/>
              <w:jc w:val="center"/>
              <w:rPr>
                <w:sz w:val="18"/>
                <w:szCs w:val="18"/>
              </w:rPr>
            </w:pPr>
            <w:r w:rsidRPr="00B37B92">
              <w:rPr>
                <w:sz w:val="18"/>
                <w:szCs w:val="18"/>
              </w:rPr>
              <w:t>NA</w:t>
            </w:r>
          </w:p>
        </w:tc>
      </w:tr>
    </w:tbl>
    <w:p w:rsidR="002D4A88" w:rsidRPr="002B161E" w:rsidRDefault="002D4A88" w:rsidP="002D4A88">
      <w:pPr>
        <w:pStyle w:val="Table-Footer"/>
        <w:rPr>
          <w:rFonts w:ascii="Times New Roman" w:hAnsi="Times New Roman"/>
          <w:sz w:val="18"/>
          <w:szCs w:val="18"/>
        </w:rPr>
      </w:pPr>
      <w:r w:rsidRPr="002B161E">
        <w:rPr>
          <w:rFonts w:ascii="Times New Roman" w:hAnsi="Times New Roman"/>
          <w:sz w:val="18"/>
          <w:szCs w:val="18"/>
        </w:rPr>
        <w:t>NA = not available/not applicable</w:t>
      </w:r>
    </w:p>
    <w:p w:rsidR="002D4A88" w:rsidRPr="002B161E" w:rsidRDefault="002D4A88" w:rsidP="002D4A88">
      <w:pPr>
        <w:pStyle w:val="Table-Footer"/>
        <w:rPr>
          <w:rFonts w:ascii="Times New Roman" w:hAnsi="Times New Roman"/>
          <w:sz w:val="18"/>
          <w:szCs w:val="18"/>
        </w:rPr>
      </w:pPr>
      <w:r w:rsidRPr="002B161E">
        <w:rPr>
          <w:rFonts w:ascii="Times New Roman" w:hAnsi="Times New Roman"/>
          <w:sz w:val="18"/>
          <w:szCs w:val="18"/>
        </w:rPr>
        <w:t>a.</w:t>
      </w:r>
      <w:r w:rsidRPr="002B161E">
        <w:rPr>
          <w:rFonts w:ascii="Times New Roman" w:hAnsi="Times New Roman"/>
          <w:sz w:val="18"/>
          <w:szCs w:val="18"/>
        </w:rPr>
        <w:tab/>
        <w:t>All interaction studies conducted in healthy volunteers</w:t>
      </w:r>
    </w:p>
    <w:p w:rsidR="002D4A88" w:rsidRPr="002B161E" w:rsidRDefault="002D4A88" w:rsidP="002D4A88">
      <w:pPr>
        <w:pStyle w:val="Table-Footer"/>
        <w:rPr>
          <w:rFonts w:ascii="Times New Roman" w:hAnsi="Times New Roman"/>
          <w:sz w:val="18"/>
          <w:szCs w:val="18"/>
        </w:rPr>
      </w:pPr>
      <w:r w:rsidRPr="002B161E">
        <w:rPr>
          <w:rFonts w:ascii="Times New Roman" w:hAnsi="Times New Roman"/>
          <w:sz w:val="18"/>
          <w:szCs w:val="18"/>
        </w:rPr>
        <w:t>b.</w:t>
      </w:r>
      <w:r w:rsidRPr="002B161E">
        <w:rPr>
          <w:rFonts w:ascii="Times New Roman" w:hAnsi="Times New Roman"/>
          <w:sz w:val="18"/>
          <w:szCs w:val="18"/>
        </w:rPr>
        <w:tab/>
        <w:t>Comparison based on historic control</w:t>
      </w:r>
    </w:p>
    <w:p w:rsidR="002D4A88" w:rsidRPr="002B161E" w:rsidRDefault="002D4A88" w:rsidP="002D4A88">
      <w:pPr>
        <w:pStyle w:val="Table-Footer"/>
        <w:rPr>
          <w:rFonts w:ascii="Times New Roman" w:hAnsi="Times New Roman"/>
          <w:sz w:val="18"/>
          <w:szCs w:val="18"/>
        </w:rPr>
      </w:pPr>
      <w:r w:rsidRPr="002B161E">
        <w:rPr>
          <w:rFonts w:ascii="Times New Roman" w:hAnsi="Times New Roman"/>
          <w:sz w:val="18"/>
          <w:szCs w:val="18"/>
        </w:rPr>
        <w:t>c.</w:t>
      </w:r>
      <w:r w:rsidRPr="002B161E">
        <w:rPr>
          <w:rFonts w:ascii="Times New Roman" w:hAnsi="Times New Roman"/>
          <w:sz w:val="18"/>
          <w:szCs w:val="18"/>
        </w:rPr>
        <w:tab/>
        <w:t xml:space="preserve">Administered as </w:t>
      </w:r>
      <w:r w:rsidRPr="00CF735B">
        <w:rPr>
          <w:rFonts w:ascii="Times New Roman" w:hAnsi="Times New Roman"/>
          <w:sz w:val="18"/>
          <w:szCs w:val="18"/>
        </w:rPr>
        <w:t>ATRIPLA</w:t>
      </w:r>
    </w:p>
    <w:p w:rsidR="002D4A88" w:rsidRDefault="002D4A88" w:rsidP="002D4A88">
      <w:pPr>
        <w:pStyle w:val="Table-Footer"/>
        <w:rPr>
          <w:rFonts w:ascii="Times New Roman" w:hAnsi="Times New Roman"/>
        </w:rPr>
      </w:pPr>
    </w:p>
    <w:p w:rsidR="002D4A88" w:rsidRPr="003600BB" w:rsidRDefault="002D4A88" w:rsidP="002D4A88">
      <w:pPr>
        <w:pStyle w:val="Table-Footer"/>
        <w:rPr>
          <w:rFonts w:ascii="Times New Roman" w:hAnsi="Times New Roman"/>
          <w:b/>
          <w:sz w:val="22"/>
          <w:szCs w:val="22"/>
          <w:vertAlign w:val="superscript"/>
        </w:rPr>
      </w:pPr>
      <w:r>
        <w:br w:type="page"/>
      </w:r>
      <w:r w:rsidRPr="003600BB">
        <w:rPr>
          <w:rFonts w:ascii="Times New Roman" w:hAnsi="Times New Roman"/>
          <w:b/>
          <w:sz w:val="22"/>
          <w:szCs w:val="22"/>
        </w:rPr>
        <w:lastRenderedPageBreak/>
        <w:t xml:space="preserve">Table </w:t>
      </w:r>
      <w:r w:rsidR="008C68CF">
        <w:rPr>
          <w:rFonts w:ascii="Times New Roman" w:hAnsi="Times New Roman"/>
          <w:b/>
          <w:sz w:val="22"/>
          <w:szCs w:val="22"/>
        </w:rPr>
        <w:t>15</w:t>
      </w:r>
      <w:r w:rsidRPr="003600BB">
        <w:rPr>
          <w:rFonts w:ascii="Times New Roman" w:hAnsi="Times New Roman"/>
          <w:b/>
          <w:sz w:val="22"/>
          <w:szCs w:val="22"/>
        </w:rPr>
        <w:tab/>
      </w:r>
      <w:r>
        <w:rPr>
          <w:rFonts w:ascii="Times New Roman" w:hAnsi="Times New Roman"/>
          <w:b/>
          <w:sz w:val="22"/>
          <w:szCs w:val="22"/>
        </w:rPr>
        <w:t xml:space="preserve">  </w:t>
      </w:r>
      <w:r w:rsidRPr="003600BB">
        <w:rPr>
          <w:rFonts w:ascii="Times New Roman" w:hAnsi="Times New Roman"/>
          <w:b/>
          <w:sz w:val="22"/>
          <w:szCs w:val="22"/>
        </w:rPr>
        <w:t xml:space="preserve">Changes in Pharmacokinetic Parameters for </w:t>
      </w:r>
      <w:proofErr w:type="spellStart"/>
      <w:r w:rsidRPr="003600BB">
        <w:rPr>
          <w:rFonts w:ascii="Times New Roman" w:hAnsi="Times New Roman"/>
          <w:b/>
          <w:sz w:val="22"/>
          <w:szCs w:val="22"/>
        </w:rPr>
        <w:t>Coadmin</w:t>
      </w:r>
      <w:r w:rsidR="006B243D">
        <w:rPr>
          <w:rFonts w:ascii="Times New Roman" w:hAnsi="Times New Roman"/>
          <w:b/>
          <w:sz w:val="22"/>
          <w:szCs w:val="22"/>
        </w:rPr>
        <w:t>istered</w:t>
      </w:r>
      <w:proofErr w:type="spellEnd"/>
      <w:r w:rsidR="006B243D">
        <w:rPr>
          <w:rFonts w:ascii="Times New Roman" w:hAnsi="Times New Roman"/>
          <w:b/>
          <w:sz w:val="22"/>
          <w:szCs w:val="22"/>
        </w:rPr>
        <w:t xml:space="preserve"> Drug in the Presence </w:t>
      </w:r>
      <w:proofErr w:type="spellStart"/>
      <w:r w:rsidRPr="003600BB">
        <w:rPr>
          <w:rFonts w:ascii="Times New Roman" w:hAnsi="Times New Roman"/>
          <w:b/>
          <w:sz w:val="22"/>
          <w:szCs w:val="22"/>
        </w:rPr>
        <w:t>Sofosbuvir</w:t>
      </w:r>
      <w:r w:rsidRPr="003600BB">
        <w:rPr>
          <w:rFonts w:ascii="Times New Roman" w:hAnsi="Times New Roman"/>
          <w:b/>
          <w:sz w:val="22"/>
          <w:szCs w:val="22"/>
          <w:vertAlign w:val="superscript"/>
        </w:rPr>
        <w:t>a</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328"/>
        <w:gridCol w:w="474"/>
        <w:gridCol w:w="1255"/>
        <w:gridCol w:w="1338"/>
        <w:gridCol w:w="1275"/>
      </w:tblGrid>
      <w:tr w:rsidR="002D4A88" w:rsidRPr="003A7152" w:rsidTr="009C4A9E">
        <w:tc>
          <w:tcPr>
            <w:tcW w:w="1701" w:type="dxa"/>
            <w:vMerge w:val="restart"/>
            <w:tcBorders>
              <w:top w:val="single" w:sz="12" w:space="0" w:color="auto"/>
              <w:left w:val="nil"/>
            </w:tcBorders>
            <w:shd w:val="clear" w:color="auto" w:fill="auto"/>
            <w:vAlign w:val="bottom"/>
          </w:tcPr>
          <w:p w:rsidR="002D4A88" w:rsidRPr="003A7152" w:rsidRDefault="002D4A88" w:rsidP="009C4A9E">
            <w:pPr>
              <w:pStyle w:val="Table-Heading"/>
              <w:jc w:val="center"/>
            </w:pPr>
            <w:proofErr w:type="spellStart"/>
            <w:r w:rsidRPr="003A7152">
              <w:t>Coadministered</w:t>
            </w:r>
            <w:proofErr w:type="spellEnd"/>
            <w:r w:rsidRPr="003A7152">
              <w:t xml:space="preserve"> Drug</w:t>
            </w:r>
          </w:p>
        </w:tc>
        <w:tc>
          <w:tcPr>
            <w:tcW w:w="1701" w:type="dxa"/>
            <w:vMerge w:val="restart"/>
            <w:tcBorders>
              <w:top w:val="single" w:sz="12" w:space="0" w:color="auto"/>
            </w:tcBorders>
            <w:shd w:val="clear" w:color="auto" w:fill="auto"/>
            <w:vAlign w:val="bottom"/>
          </w:tcPr>
          <w:p w:rsidR="002D4A88" w:rsidRPr="003A7152" w:rsidRDefault="002D4A88" w:rsidP="009C4A9E">
            <w:pPr>
              <w:pStyle w:val="Table-Heading"/>
              <w:jc w:val="center"/>
            </w:pPr>
            <w:r w:rsidRPr="003A7152">
              <w:t xml:space="preserve">Dose of </w:t>
            </w:r>
            <w:proofErr w:type="spellStart"/>
            <w:r w:rsidRPr="003A7152">
              <w:t>Coadministered</w:t>
            </w:r>
            <w:proofErr w:type="spellEnd"/>
            <w:r w:rsidRPr="003A7152">
              <w:t xml:space="preserve"> Drug (mg)</w:t>
            </w:r>
          </w:p>
        </w:tc>
        <w:tc>
          <w:tcPr>
            <w:tcW w:w="1328" w:type="dxa"/>
            <w:vMerge w:val="restart"/>
            <w:tcBorders>
              <w:top w:val="single" w:sz="12" w:space="0" w:color="auto"/>
            </w:tcBorders>
            <w:shd w:val="clear" w:color="auto" w:fill="auto"/>
            <w:vAlign w:val="bottom"/>
          </w:tcPr>
          <w:p w:rsidR="002D4A88" w:rsidRPr="003A7152" w:rsidRDefault="002D4A88" w:rsidP="009C4A9E">
            <w:pPr>
              <w:pStyle w:val="Table-Heading"/>
              <w:jc w:val="center"/>
            </w:pPr>
            <w:proofErr w:type="spellStart"/>
            <w:r w:rsidRPr="003A7152">
              <w:t>Sofosbuvir</w:t>
            </w:r>
            <w:proofErr w:type="spellEnd"/>
            <w:r w:rsidRPr="003A7152">
              <w:t xml:space="preserve"> Dose (mg)</w:t>
            </w:r>
          </w:p>
        </w:tc>
        <w:tc>
          <w:tcPr>
            <w:tcW w:w="474" w:type="dxa"/>
            <w:vMerge w:val="restart"/>
            <w:tcBorders>
              <w:top w:val="single" w:sz="12" w:space="0" w:color="auto"/>
            </w:tcBorders>
            <w:shd w:val="clear" w:color="auto" w:fill="auto"/>
            <w:vAlign w:val="center"/>
          </w:tcPr>
          <w:p w:rsidR="002D4A88" w:rsidRPr="003A7152" w:rsidRDefault="002D4A88" w:rsidP="009C4A9E">
            <w:pPr>
              <w:pStyle w:val="Table-Heading"/>
              <w:jc w:val="center"/>
            </w:pPr>
            <w:r w:rsidRPr="003A7152">
              <w:t>N</w:t>
            </w:r>
          </w:p>
        </w:tc>
        <w:tc>
          <w:tcPr>
            <w:tcW w:w="3868" w:type="dxa"/>
            <w:gridSpan w:val="3"/>
            <w:tcBorders>
              <w:top w:val="single" w:sz="12" w:space="0" w:color="auto"/>
              <w:bottom w:val="single" w:sz="12" w:space="0" w:color="auto"/>
              <w:right w:val="nil"/>
            </w:tcBorders>
            <w:shd w:val="clear" w:color="auto" w:fill="auto"/>
          </w:tcPr>
          <w:p w:rsidR="002D4A88" w:rsidRPr="003A7152" w:rsidRDefault="002D4A88" w:rsidP="009C4A9E">
            <w:pPr>
              <w:pStyle w:val="Table-Heading"/>
              <w:jc w:val="center"/>
            </w:pPr>
            <w:r w:rsidRPr="003A7152">
              <w:t xml:space="preserve">Mean Ratio (90% CI) of </w:t>
            </w:r>
            <w:proofErr w:type="spellStart"/>
            <w:r w:rsidRPr="003A7152">
              <w:t>Coadministered</w:t>
            </w:r>
            <w:proofErr w:type="spellEnd"/>
            <w:r w:rsidRPr="003A7152">
              <w:t xml:space="preserve"> drug PK With/</w:t>
            </w:r>
            <w:r w:rsidRPr="0095393F">
              <w:t xml:space="preserve">Without </w:t>
            </w:r>
            <w:proofErr w:type="spellStart"/>
            <w:r w:rsidRPr="0095393F">
              <w:t>Coadministered</w:t>
            </w:r>
            <w:proofErr w:type="spellEnd"/>
            <w:r w:rsidRPr="0095393F">
              <w:t xml:space="preserve"> Drug</w:t>
            </w:r>
            <w:r w:rsidRPr="003A7152">
              <w:br/>
              <w:t>No Effect=1.00</w:t>
            </w:r>
          </w:p>
        </w:tc>
      </w:tr>
      <w:tr w:rsidR="002D4A88" w:rsidRPr="003A7152" w:rsidTr="009C4A9E">
        <w:trPr>
          <w:trHeight w:val="215"/>
        </w:trPr>
        <w:tc>
          <w:tcPr>
            <w:tcW w:w="1701" w:type="dxa"/>
            <w:vMerge/>
            <w:tcBorders>
              <w:left w:val="nil"/>
              <w:bottom w:val="single" w:sz="12" w:space="0" w:color="auto"/>
            </w:tcBorders>
            <w:shd w:val="clear" w:color="auto" w:fill="auto"/>
          </w:tcPr>
          <w:p w:rsidR="002D4A88" w:rsidRPr="00B37B92" w:rsidRDefault="002D4A88" w:rsidP="009C4A9E">
            <w:pPr>
              <w:pStyle w:val="Table-Heading"/>
              <w:jc w:val="center"/>
              <w:rPr>
                <w:color w:val="999999"/>
              </w:rPr>
            </w:pPr>
          </w:p>
        </w:tc>
        <w:tc>
          <w:tcPr>
            <w:tcW w:w="1701" w:type="dxa"/>
            <w:vMerge/>
            <w:tcBorders>
              <w:bottom w:val="single" w:sz="12" w:space="0" w:color="auto"/>
            </w:tcBorders>
            <w:shd w:val="clear" w:color="auto" w:fill="auto"/>
          </w:tcPr>
          <w:p w:rsidR="002D4A88" w:rsidRPr="00B37B92" w:rsidRDefault="002D4A88" w:rsidP="009C4A9E">
            <w:pPr>
              <w:pStyle w:val="Table-Heading"/>
              <w:jc w:val="center"/>
              <w:rPr>
                <w:color w:val="999999"/>
              </w:rPr>
            </w:pPr>
          </w:p>
        </w:tc>
        <w:tc>
          <w:tcPr>
            <w:tcW w:w="1328" w:type="dxa"/>
            <w:vMerge/>
            <w:tcBorders>
              <w:bottom w:val="single" w:sz="12" w:space="0" w:color="auto"/>
            </w:tcBorders>
            <w:shd w:val="clear" w:color="auto" w:fill="auto"/>
          </w:tcPr>
          <w:p w:rsidR="002D4A88" w:rsidRPr="00B37B92" w:rsidRDefault="002D4A88" w:rsidP="009C4A9E">
            <w:pPr>
              <w:pStyle w:val="Table-Heading"/>
              <w:jc w:val="center"/>
              <w:rPr>
                <w:color w:val="999999"/>
              </w:rPr>
            </w:pPr>
          </w:p>
        </w:tc>
        <w:tc>
          <w:tcPr>
            <w:tcW w:w="474" w:type="dxa"/>
            <w:vMerge/>
            <w:tcBorders>
              <w:bottom w:val="single" w:sz="12" w:space="0" w:color="auto"/>
            </w:tcBorders>
            <w:shd w:val="clear" w:color="auto" w:fill="auto"/>
          </w:tcPr>
          <w:p w:rsidR="002D4A88" w:rsidRPr="00B37B92" w:rsidRDefault="002D4A88" w:rsidP="009C4A9E">
            <w:pPr>
              <w:pStyle w:val="Table-Heading"/>
              <w:jc w:val="center"/>
              <w:rPr>
                <w:color w:val="999999"/>
              </w:rPr>
            </w:pPr>
          </w:p>
        </w:tc>
        <w:tc>
          <w:tcPr>
            <w:tcW w:w="1255" w:type="dxa"/>
            <w:tcBorders>
              <w:top w:val="single" w:sz="12" w:space="0" w:color="auto"/>
              <w:bottom w:val="single" w:sz="12" w:space="0" w:color="auto"/>
            </w:tcBorders>
            <w:shd w:val="clear" w:color="auto" w:fill="auto"/>
            <w:vAlign w:val="center"/>
          </w:tcPr>
          <w:p w:rsidR="002D4A88" w:rsidRPr="003A7152" w:rsidRDefault="002D4A88" w:rsidP="009C4A9E">
            <w:pPr>
              <w:pStyle w:val="Table-Heading"/>
              <w:jc w:val="center"/>
            </w:pPr>
            <w:proofErr w:type="spellStart"/>
            <w:r w:rsidRPr="003A7152">
              <w:t>C</w:t>
            </w:r>
            <w:r w:rsidRPr="00B37B92">
              <w:rPr>
                <w:vertAlign w:val="subscript"/>
              </w:rPr>
              <w:t>max</w:t>
            </w:r>
            <w:proofErr w:type="spellEnd"/>
          </w:p>
        </w:tc>
        <w:tc>
          <w:tcPr>
            <w:tcW w:w="1338" w:type="dxa"/>
            <w:tcBorders>
              <w:top w:val="single" w:sz="12" w:space="0" w:color="auto"/>
              <w:bottom w:val="single" w:sz="12" w:space="0" w:color="auto"/>
            </w:tcBorders>
            <w:shd w:val="clear" w:color="auto" w:fill="auto"/>
            <w:vAlign w:val="center"/>
          </w:tcPr>
          <w:p w:rsidR="002D4A88" w:rsidRPr="003A7152" w:rsidRDefault="002D4A88" w:rsidP="009C4A9E">
            <w:pPr>
              <w:pStyle w:val="Table-Heading"/>
              <w:jc w:val="center"/>
            </w:pPr>
            <w:r w:rsidRPr="003A7152">
              <w:t>AUC</w:t>
            </w:r>
          </w:p>
        </w:tc>
        <w:tc>
          <w:tcPr>
            <w:tcW w:w="1275" w:type="dxa"/>
            <w:tcBorders>
              <w:top w:val="single" w:sz="12" w:space="0" w:color="auto"/>
              <w:bottom w:val="single" w:sz="12" w:space="0" w:color="auto"/>
              <w:right w:val="nil"/>
            </w:tcBorders>
            <w:shd w:val="clear" w:color="auto" w:fill="auto"/>
            <w:vAlign w:val="center"/>
          </w:tcPr>
          <w:p w:rsidR="002D4A88" w:rsidRPr="003A7152" w:rsidRDefault="002D4A88" w:rsidP="009C4A9E">
            <w:pPr>
              <w:pStyle w:val="Table-Heading"/>
              <w:jc w:val="center"/>
            </w:pPr>
            <w:proofErr w:type="spellStart"/>
            <w:r w:rsidRPr="003A7152">
              <w:t>C</w:t>
            </w:r>
            <w:r w:rsidRPr="00B37B92">
              <w:rPr>
                <w:vertAlign w:val="subscript"/>
              </w:rPr>
              <w:t>min</w:t>
            </w:r>
            <w:proofErr w:type="spellEnd"/>
          </w:p>
        </w:tc>
      </w:tr>
      <w:tr w:rsidR="002D4A88" w:rsidRPr="003A7152" w:rsidTr="009C4A9E">
        <w:trPr>
          <w:trHeight w:val="539"/>
        </w:trPr>
        <w:tc>
          <w:tcPr>
            <w:tcW w:w="1701" w:type="dxa"/>
            <w:tcBorders>
              <w:top w:val="single" w:sz="12" w:space="0" w:color="auto"/>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Cyclosporin</w:t>
            </w:r>
            <w:proofErr w:type="spellEnd"/>
          </w:p>
        </w:tc>
        <w:tc>
          <w:tcPr>
            <w:tcW w:w="1701" w:type="dxa"/>
            <w:tcBorders>
              <w:top w:val="single" w:sz="12" w:space="0" w:color="auto"/>
            </w:tcBorders>
            <w:shd w:val="clear" w:color="auto" w:fill="auto"/>
            <w:vAlign w:val="center"/>
          </w:tcPr>
          <w:p w:rsidR="002D4A88" w:rsidRPr="00B37B92" w:rsidRDefault="002D4A88" w:rsidP="009C4A9E">
            <w:pPr>
              <w:pStyle w:val="Table-Text"/>
              <w:jc w:val="center"/>
              <w:rPr>
                <w:sz w:val="20"/>
              </w:rPr>
            </w:pPr>
            <w:r w:rsidRPr="00B37B92">
              <w:rPr>
                <w:sz w:val="20"/>
              </w:rPr>
              <w:t>600 single dose</w:t>
            </w:r>
          </w:p>
        </w:tc>
        <w:tc>
          <w:tcPr>
            <w:tcW w:w="1328" w:type="dxa"/>
            <w:tcBorders>
              <w:top w:val="single" w:sz="12" w:space="0" w:color="auto"/>
            </w:tcBorders>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tcBorders>
              <w:top w:val="single" w:sz="12" w:space="0" w:color="auto"/>
            </w:tcBorders>
            <w:shd w:val="clear" w:color="auto" w:fill="auto"/>
            <w:vAlign w:val="center"/>
          </w:tcPr>
          <w:p w:rsidR="002D4A88" w:rsidRPr="00B37B92" w:rsidRDefault="002D4A88" w:rsidP="009C4A9E">
            <w:pPr>
              <w:pStyle w:val="Table-Text"/>
              <w:rPr>
                <w:sz w:val="20"/>
              </w:rPr>
            </w:pPr>
            <w:r w:rsidRPr="00B37B92">
              <w:rPr>
                <w:sz w:val="20"/>
              </w:rPr>
              <w:t>19</w:t>
            </w:r>
          </w:p>
        </w:tc>
        <w:tc>
          <w:tcPr>
            <w:tcW w:w="1255" w:type="dxa"/>
            <w:tcBorders>
              <w:top w:val="single" w:sz="12" w:space="0" w:color="auto"/>
            </w:tcBorders>
            <w:shd w:val="clear" w:color="auto" w:fill="auto"/>
            <w:vAlign w:val="center"/>
          </w:tcPr>
          <w:p w:rsidR="002D4A88" w:rsidRPr="00B37B92" w:rsidRDefault="002D4A88" w:rsidP="009C4A9E">
            <w:pPr>
              <w:pStyle w:val="Table-Text"/>
              <w:jc w:val="center"/>
              <w:rPr>
                <w:sz w:val="20"/>
              </w:rPr>
            </w:pPr>
            <w:r w:rsidRPr="00B37B92">
              <w:rPr>
                <w:sz w:val="20"/>
              </w:rPr>
              <w:t xml:space="preserve">1.06       </w:t>
            </w:r>
          </w:p>
          <w:p w:rsidR="002D4A88" w:rsidRPr="00B37B92" w:rsidRDefault="002D4A88" w:rsidP="009C4A9E">
            <w:pPr>
              <w:pStyle w:val="Table-Text"/>
              <w:jc w:val="center"/>
              <w:rPr>
                <w:sz w:val="20"/>
              </w:rPr>
            </w:pPr>
            <w:r w:rsidRPr="00B37B92">
              <w:rPr>
                <w:sz w:val="20"/>
              </w:rPr>
              <w:t>(0.94, 1.18)</w:t>
            </w:r>
          </w:p>
        </w:tc>
        <w:tc>
          <w:tcPr>
            <w:tcW w:w="1338" w:type="dxa"/>
            <w:tcBorders>
              <w:top w:val="single" w:sz="12" w:space="0" w:color="auto"/>
            </w:tcBorders>
            <w:shd w:val="clear" w:color="auto" w:fill="auto"/>
            <w:vAlign w:val="center"/>
          </w:tcPr>
          <w:p w:rsidR="002D4A88" w:rsidRPr="00B37B92" w:rsidRDefault="002D4A88" w:rsidP="009C4A9E">
            <w:pPr>
              <w:pStyle w:val="Table-Text"/>
              <w:jc w:val="center"/>
              <w:rPr>
                <w:sz w:val="20"/>
              </w:rPr>
            </w:pPr>
            <w:r w:rsidRPr="00B37B92">
              <w:rPr>
                <w:sz w:val="20"/>
              </w:rPr>
              <w:t>0.98    (0.85, 1.14)</w:t>
            </w:r>
          </w:p>
        </w:tc>
        <w:tc>
          <w:tcPr>
            <w:tcW w:w="1275" w:type="dxa"/>
            <w:tcBorders>
              <w:top w:val="single" w:sz="12" w:space="0" w:color="auto"/>
              <w:right w:val="nil"/>
            </w:tcBorders>
            <w:shd w:val="clear" w:color="auto" w:fill="auto"/>
            <w:vAlign w:val="center"/>
          </w:tcPr>
          <w:p w:rsidR="002D4A88" w:rsidRPr="00B37B92" w:rsidRDefault="002D4A88" w:rsidP="009C4A9E">
            <w:pPr>
              <w:pStyle w:val="Table-Text"/>
              <w:jc w:val="center"/>
              <w:rPr>
                <w:sz w:val="20"/>
              </w:rPr>
            </w:pPr>
            <w:r w:rsidRPr="00B37B92">
              <w:rPr>
                <w:sz w:val="20"/>
              </w:rPr>
              <w:t>NA</w:t>
            </w:r>
          </w:p>
        </w:tc>
      </w:tr>
      <w:tr w:rsidR="002D4A88" w:rsidRPr="003A7152" w:rsidTr="009C4A9E">
        <w:trPr>
          <w:trHeight w:val="674"/>
        </w:trPr>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Darunavir</w:t>
            </w:r>
            <w:proofErr w:type="spellEnd"/>
            <w:r w:rsidRPr="00B37B92">
              <w:rPr>
                <w:sz w:val="20"/>
              </w:rPr>
              <w:t xml:space="preserve">            (boosted with ritonavir)</w:t>
            </w:r>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800/100 once daily</w:t>
            </w:r>
          </w:p>
        </w:tc>
        <w:tc>
          <w:tcPr>
            <w:tcW w:w="1328" w:type="dxa"/>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shd w:val="clear" w:color="auto" w:fill="auto"/>
            <w:vAlign w:val="center"/>
          </w:tcPr>
          <w:p w:rsidR="002D4A88" w:rsidRPr="00B37B92" w:rsidRDefault="002D4A88" w:rsidP="009C4A9E">
            <w:pPr>
              <w:pStyle w:val="Table-Text"/>
              <w:rPr>
                <w:sz w:val="20"/>
              </w:rPr>
            </w:pPr>
            <w:r w:rsidRPr="00B37B92">
              <w:rPr>
                <w:sz w:val="20"/>
              </w:rPr>
              <w:t>18</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0.97      </w:t>
            </w:r>
          </w:p>
          <w:p w:rsidR="002D4A88" w:rsidRPr="00B37B92" w:rsidRDefault="002D4A88" w:rsidP="009C4A9E">
            <w:pPr>
              <w:pStyle w:val="Table-Text"/>
              <w:jc w:val="center"/>
              <w:rPr>
                <w:sz w:val="20"/>
              </w:rPr>
            </w:pPr>
            <w:r w:rsidRPr="00B37B92">
              <w:rPr>
                <w:sz w:val="20"/>
              </w:rPr>
              <w:t xml:space="preserve"> (0.94, 1.01)</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0.97   </w:t>
            </w:r>
          </w:p>
          <w:p w:rsidR="002D4A88" w:rsidRPr="00B37B92" w:rsidRDefault="002D4A88" w:rsidP="009C4A9E">
            <w:pPr>
              <w:pStyle w:val="Table-Text"/>
              <w:jc w:val="center"/>
              <w:rPr>
                <w:sz w:val="20"/>
              </w:rPr>
            </w:pPr>
            <w:r w:rsidRPr="00B37B92">
              <w:rPr>
                <w:sz w:val="20"/>
              </w:rPr>
              <w:t xml:space="preserve"> (0.94, 1.00)</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0.86        (0.78, 0.96)</w:t>
            </w:r>
          </w:p>
        </w:tc>
      </w:tr>
      <w:tr w:rsidR="002D4A88" w:rsidRPr="003A7152" w:rsidTr="009C4A9E">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Emtricitabine</w:t>
            </w:r>
            <w:r w:rsidRPr="00B37B92">
              <w:rPr>
                <w:sz w:val="20"/>
                <w:vertAlign w:val="superscript"/>
              </w:rPr>
              <w:t>b</w:t>
            </w:r>
            <w:proofErr w:type="spellEnd"/>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200 once daily</w:t>
            </w:r>
          </w:p>
        </w:tc>
        <w:tc>
          <w:tcPr>
            <w:tcW w:w="1328" w:type="dxa"/>
            <w:vMerge w:val="restart"/>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vMerge w:val="restart"/>
            <w:shd w:val="clear" w:color="auto" w:fill="auto"/>
            <w:vAlign w:val="center"/>
          </w:tcPr>
          <w:p w:rsidR="002D4A88" w:rsidRPr="00B37B92" w:rsidRDefault="002D4A88" w:rsidP="009C4A9E">
            <w:pPr>
              <w:pStyle w:val="Table-Text"/>
              <w:rPr>
                <w:sz w:val="20"/>
              </w:rPr>
            </w:pPr>
            <w:r w:rsidRPr="00B37B92">
              <w:rPr>
                <w:sz w:val="20"/>
              </w:rPr>
              <w:t>16</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0.97      </w:t>
            </w:r>
          </w:p>
          <w:p w:rsidR="002D4A88" w:rsidRPr="00B37B92" w:rsidRDefault="002D4A88" w:rsidP="009C4A9E">
            <w:pPr>
              <w:pStyle w:val="Table-Text"/>
              <w:jc w:val="center"/>
              <w:rPr>
                <w:sz w:val="20"/>
              </w:rPr>
            </w:pPr>
            <w:r w:rsidRPr="00B37B92">
              <w:rPr>
                <w:sz w:val="20"/>
              </w:rPr>
              <w:t xml:space="preserve"> (0.88, 1.07)</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0.99   </w:t>
            </w:r>
          </w:p>
          <w:p w:rsidR="002D4A88" w:rsidRPr="00B37B92" w:rsidRDefault="002D4A88" w:rsidP="009C4A9E">
            <w:pPr>
              <w:pStyle w:val="Table-Text"/>
              <w:jc w:val="center"/>
              <w:rPr>
                <w:sz w:val="20"/>
              </w:rPr>
            </w:pPr>
            <w:r w:rsidRPr="00B37B92">
              <w:rPr>
                <w:sz w:val="20"/>
              </w:rPr>
              <w:t xml:space="preserve"> (0.94, 1.05)</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1.04        (0.98, 1.11)</w:t>
            </w:r>
          </w:p>
        </w:tc>
      </w:tr>
      <w:tr w:rsidR="002D4A88" w:rsidRPr="003A7152" w:rsidTr="009C4A9E">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Efavirenz</w:t>
            </w:r>
            <w:r w:rsidRPr="00B37B92">
              <w:rPr>
                <w:sz w:val="20"/>
                <w:vertAlign w:val="superscript"/>
              </w:rPr>
              <w:t>b</w:t>
            </w:r>
            <w:proofErr w:type="spellEnd"/>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600 once daily</w:t>
            </w:r>
          </w:p>
        </w:tc>
        <w:tc>
          <w:tcPr>
            <w:tcW w:w="1328" w:type="dxa"/>
            <w:vMerge/>
            <w:shd w:val="clear" w:color="auto" w:fill="auto"/>
            <w:vAlign w:val="center"/>
          </w:tcPr>
          <w:p w:rsidR="002D4A88" w:rsidRPr="00B37B92" w:rsidRDefault="002D4A88" w:rsidP="009C4A9E">
            <w:pPr>
              <w:pStyle w:val="Table-Text"/>
              <w:jc w:val="center"/>
              <w:rPr>
                <w:sz w:val="20"/>
              </w:rPr>
            </w:pPr>
          </w:p>
        </w:tc>
        <w:tc>
          <w:tcPr>
            <w:tcW w:w="474" w:type="dxa"/>
            <w:vMerge/>
            <w:shd w:val="clear" w:color="auto" w:fill="auto"/>
            <w:vAlign w:val="center"/>
          </w:tcPr>
          <w:p w:rsidR="002D4A88" w:rsidRPr="00B37B92" w:rsidRDefault="002D4A88" w:rsidP="009C4A9E">
            <w:pPr>
              <w:pStyle w:val="Table-Text"/>
              <w:rPr>
                <w:sz w:val="20"/>
              </w:rPr>
            </w:pP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0.95      </w:t>
            </w:r>
          </w:p>
          <w:p w:rsidR="002D4A88" w:rsidRPr="00B37B92" w:rsidRDefault="002D4A88" w:rsidP="009C4A9E">
            <w:pPr>
              <w:pStyle w:val="Table-Text"/>
              <w:jc w:val="center"/>
              <w:rPr>
                <w:sz w:val="20"/>
              </w:rPr>
            </w:pPr>
            <w:r w:rsidRPr="00B37B92">
              <w:rPr>
                <w:sz w:val="20"/>
              </w:rPr>
              <w:t xml:space="preserve"> (0.85, 1.06)</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0.96    </w:t>
            </w:r>
          </w:p>
          <w:p w:rsidR="002D4A88" w:rsidRPr="00B37B92" w:rsidRDefault="002D4A88" w:rsidP="009C4A9E">
            <w:pPr>
              <w:pStyle w:val="Table-Text"/>
              <w:jc w:val="center"/>
              <w:rPr>
                <w:sz w:val="20"/>
              </w:rPr>
            </w:pPr>
            <w:r w:rsidRPr="00B37B92">
              <w:rPr>
                <w:sz w:val="20"/>
              </w:rPr>
              <w:t>(0.91, 1.03)</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0.96        (0.93, 0.98)</w:t>
            </w:r>
          </w:p>
        </w:tc>
      </w:tr>
      <w:tr w:rsidR="002D4A88" w:rsidRPr="003A7152" w:rsidTr="009C4A9E">
        <w:trPr>
          <w:trHeight w:val="674"/>
        </w:trPr>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Tenofovir</w:t>
            </w:r>
            <w:proofErr w:type="spellEnd"/>
            <w:r w:rsidRPr="00B37B92">
              <w:rPr>
                <w:sz w:val="20"/>
              </w:rPr>
              <w:t xml:space="preserve"> </w:t>
            </w:r>
            <w:proofErr w:type="spellStart"/>
            <w:r w:rsidRPr="00B37B92">
              <w:rPr>
                <w:sz w:val="20"/>
              </w:rPr>
              <w:t>disoproxil</w:t>
            </w:r>
            <w:proofErr w:type="spellEnd"/>
            <w:r w:rsidRPr="00B37B92">
              <w:rPr>
                <w:sz w:val="20"/>
              </w:rPr>
              <w:t xml:space="preserve"> </w:t>
            </w:r>
            <w:proofErr w:type="spellStart"/>
            <w:r w:rsidRPr="00B37B92">
              <w:rPr>
                <w:sz w:val="20"/>
              </w:rPr>
              <w:t>fumarate</w:t>
            </w:r>
            <w:r w:rsidRPr="00B37B92">
              <w:rPr>
                <w:sz w:val="20"/>
                <w:vertAlign w:val="superscript"/>
              </w:rPr>
              <w:t>b</w:t>
            </w:r>
            <w:proofErr w:type="spellEnd"/>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300 once daily</w:t>
            </w:r>
          </w:p>
        </w:tc>
        <w:tc>
          <w:tcPr>
            <w:tcW w:w="1328" w:type="dxa"/>
            <w:vMerge/>
            <w:shd w:val="clear" w:color="auto" w:fill="auto"/>
            <w:vAlign w:val="center"/>
          </w:tcPr>
          <w:p w:rsidR="002D4A88" w:rsidRPr="00B37B92" w:rsidRDefault="002D4A88" w:rsidP="009C4A9E">
            <w:pPr>
              <w:pStyle w:val="Table-Text"/>
              <w:jc w:val="center"/>
              <w:rPr>
                <w:sz w:val="20"/>
              </w:rPr>
            </w:pPr>
          </w:p>
        </w:tc>
        <w:tc>
          <w:tcPr>
            <w:tcW w:w="474" w:type="dxa"/>
            <w:vMerge/>
            <w:shd w:val="clear" w:color="auto" w:fill="auto"/>
            <w:vAlign w:val="center"/>
          </w:tcPr>
          <w:p w:rsidR="002D4A88" w:rsidRPr="00B37B92" w:rsidRDefault="002D4A88" w:rsidP="009C4A9E">
            <w:pPr>
              <w:pStyle w:val="Table-Text"/>
              <w:rPr>
                <w:sz w:val="20"/>
              </w:rPr>
            </w:pP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1.25      </w:t>
            </w:r>
          </w:p>
          <w:p w:rsidR="002D4A88" w:rsidRPr="00B37B92" w:rsidRDefault="002D4A88" w:rsidP="009C4A9E">
            <w:pPr>
              <w:pStyle w:val="Table-Text"/>
              <w:jc w:val="center"/>
              <w:rPr>
                <w:sz w:val="20"/>
              </w:rPr>
            </w:pPr>
            <w:r w:rsidRPr="00B37B92">
              <w:rPr>
                <w:sz w:val="20"/>
              </w:rPr>
              <w:t xml:space="preserve"> (1.08, 1.45)</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0.98    </w:t>
            </w:r>
          </w:p>
          <w:p w:rsidR="002D4A88" w:rsidRPr="00B37B92" w:rsidRDefault="002D4A88" w:rsidP="009C4A9E">
            <w:pPr>
              <w:pStyle w:val="Table-Text"/>
              <w:jc w:val="center"/>
              <w:rPr>
                <w:sz w:val="20"/>
              </w:rPr>
            </w:pPr>
            <w:r w:rsidRPr="00B37B92">
              <w:rPr>
                <w:sz w:val="20"/>
              </w:rPr>
              <w:t>(0.91, 1.05)</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0.99        (0.91, 1.07)</w:t>
            </w:r>
          </w:p>
        </w:tc>
      </w:tr>
      <w:tr w:rsidR="002D4A88" w:rsidRPr="003A7152" w:rsidTr="009C4A9E">
        <w:trPr>
          <w:trHeight w:val="350"/>
        </w:trPr>
        <w:tc>
          <w:tcPr>
            <w:tcW w:w="1701" w:type="dxa"/>
            <w:tcBorders>
              <w:left w:val="nil"/>
            </w:tcBorders>
            <w:shd w:val="clear" w:color="auto" w:fill="auto"/>
            <w:vAlign w:val="center"/>
          </w:tcPr>
          <w:p w:rsidR="002D4A88" w:rsidRPr="00B37B92" w:rsidRDefault="002D4A88" w:rsidP="009C4A9E">
            <w:pPr>
              <w:pStyle w:val="Table-Text"/>
              <w:jc w:val="center"/>
              <w:rPr>
                <w:sz w:val="20"/>
              </w:rPr>
            </w:pPr>
            <w:r w:rsidRPr="00B37B92">
              <w:rPr>
                <w:sz w:val="20"/>
              </w:rPr>
              <w:t>R-Methadone</w:t>
            </w:r>
          </w:p>
        </w:tc>
        <w:tc>
          <w:tcPr>
            <w:tcW w:w="1701" w:type="dxa"/>
            <w:vMerge w:val="restart"/>
            <w:shd w:val="clear" w:color="auto" w:fill="auto"/>
            <w:vAlign w:val="center"/>
          </w:tcPr>
          <w:p w:rsidR="002D4A88" w:rsidRPr="00B37B92" w:rsidRDefault="002D4A88" w:rsidP="009C4A9E">
            <w:pPr>
              <w:pStyle w:val="Table-Text"/>
              <w:jc w:val="center"/>
              <w:rPr>
                <w:color w:val="800080"/>
                <w:sz w:val="20"/>
              </w:rPr>
            </w:pPr>
            <w:r w:rsidRPr="00B37B92">
              <w:rPr>
                <w:sz w:val="20"/>
              </w:rPr>
              <w:t>Methadone maintenance therapy (30 to 130 mg/daily)</w:t>
            </w:r>
          </w:p>
        </w:tc>
        <w:tc>
          <w:tcPr>
            <w:tcW w:w="1328" w:type="dxa"/>
            <w:vMerge w:val="restart"/>
            <w:shd w:val="clear" w:color="auto" w:fill="auto"/>
            <w:vAlign w:val="center"/>
          </w:tcPr>
          <w:p w:rsidR="002D4A88" w:rsidRPr="00B37B92" w:rsidRDefault="002D4A88" w:rsidP="009C4A9E">
            <w:pPr>
              <w:pStyle w:val="Table-Text"/>
              <w:jc w:val="center"/>
              <w:rPr>
                <w:color w:val="800080"/>
                <w:sz w:val="20"/>
              </w:rPr>
            </w:pPr>
            <w:r w:rsidRPr="00B37B92">
              <w:rPr>
                <w:sz w:val="20"/>
              </w:rPr>
              <w:t>400 once daily</w:t>
            </w:r>
          </w:p>
        </w:tc>
        <w:tc>
          <w:tcPr>
            <w:tcW w:w="474" w:type="dxa"/>
            <w:vMerge w:val="restart"/>
            <w:shd w:val="clear" w:color="auto" w:fill="auto"/>
            <w:vAlign w:val="center"/>
          </w:tcPr>
          <w:p w:rsidR="002D4A88" w:rsidRPr="00B37B92" w:rsidRDefault="002D4A88" w:rsidP="009C4A9E">
            <w:pPr>
              <w:pStyle w:val="Table-Text"/>
              <w:rPr>
                <w:color w:val="999999"/>
                <w:sz w:val="20"/>
              </w:rPr>
            </w:pPr>
            <w:r w:rsidRPr="00B37B92">
              <w:rPr>
                <w:sz w:val="20"/>
              </w:rPr>
              <w:t>14</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0.99      </w:t>
            </w:r>
          </w:p>
          <w:p w:rsidR="002D4A88" w:rsidRPr="00B37B92" w:rsidRDefault="002D4A88" w:rsidP="009C4A9E">
            <w:pPr>
              <w:pStyle w:val="Table-Text"/>
              <w:jc w:val="center"/>
              <w:rPr>
                <w:sz w:val="20"/>
              </w:rPr>
            </w:pPr>
            <w:r w:rsidRPr="00B37B92">
              <w:rPr>
                <w:sz w:val="20"/>
              </w:rPr>
              <w:t xml:space="preserve"> (0.85, 1.16)</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1.01    </w:t>
            </w:r>
          </w:p>
          <w:p w:rsidR="002D4A88" w:rsidRPr="00B37B92" w:rsidRDefault="002D4A88" w:rsidP="009C4A9E">
            <w:pPr>
              <w:pStyle w:val="Table-Text"/>
              <w:jc w:val="center"/>
              <w:rPr>
                <w:sz w:val="20"/>
              </w:rPr>
            </w:pPr>
            <w:r w:rsidRPr="00B37B92">
              <w:rPr>
                <w:sz w:val="20"/>
              </w:rPr>
              <w:t>(0.85, 1.21)</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0.94        (0.77, 1.14)</w:t>
            </w:r>
          </w:p>
        </w:tc>
      </w:tr>
      <w:tr w:rsidR="002D4A88" w:rsidRPr="003A7152" w:rsidTr="009C4A9E">
        <w:trPr>
          <w:trHeight w:val="350"/>
        </w:trPr>
        <w:tc>
          <w:tcPr>
            <w:tcW w:w="1701" w:type="dxa"/>
            <w:tcBorders>
              <w:left w:val="nil"/>
            </w:tcBorders>
            <w:shd w:val="clear" w:color="auto" w:fill="auto"/>
            <w:vAlign w:val="center"/>
          </w:tcPr>
          <w:p w:rsidR="002D4A88" w:rsidRPr="00B37B92" w:rsidRDefault="002D4A88" w:rsidP="009C4A9E">
            <w:pPr>
              <w:pStyle w:val="Table-Text"/>
              <w:jc w:val="center"/>
              <w:rPr>
                <w:sz w:val="20"/>
              </w:rPr>
            </w:pPr>
            <w:r w:rsidRPr="00B37B92">
              <w:rPr>
                <w:sz w:val="20"/>
              </w:rPr>
              <w:t>S-Methadone</w:t>
            </w:r>
          </w:p>
        </w:tc>
        <w:tc>
          <w:tcPr>
            <w:tcW w:w="1701" w:type="dxa"/>
            <w:vMerge/>
            <w:shd w:val="clear" w:color="auto" w:fill="auto"/>
            <w:vAlign w:val="center"/>
          </w:tcPr>
          <w:p w:rsidR="002D4A88" w:rsidRPr="00B37B92" w:rsidRDefault="002D4A88" w:rsidP="009C4A9E">
            <w:pPr>
              <w:pStyle w:val="Table-Text"/>
              <w:jc w:val="center"/>
              <w:rPr>
                <w:sz w:val="20"/>
              </w:rPr>
            </w:pPr>
          </w:p>
        </w:tc>
        <w:tc>
          <w:tcPr>
            <w:tcW w:w="1328" w:type="dxa"/>
            <w:vMerge/>
            <w:shd w:val="clear" w:color="auto" w:fill="auto"/>
            <w:vAlign w:val="center"/>
          </w:tcPr>
          <w:p w:rsidR="002D4A88" w:rsidRPr="00B37B92" w:rsidRDefault="002D4A88" w:rsidP="009C4A9E">
            <w:pPr>
              <w:pStyle w:val="Table-Text"/>
              <w:jc w:val="center"/>
              <w:rPr>
                <w:sz w:val="20"/>
              </w:rPr>
            </w:pPr>
          </w:p>
        </w:tc>
        <w:tc>
          <w:tcPr>
            <w:tcW w:w="474" w:type="dxa"/>
            <w:vMerge/>
            <w:shd w:val="clear" w:color="auto" w:fill="auto"/>
            <w:vAlign w:val="center"/>
          </w:tcPr>
          <w:p w:rsidR="002D4A88" w:rsidRPr="00B37B92" w:rsidRDefault="002D4A88" w:rsidP="009C4A9E">
            <w:pPr>
              <w:pStyle w:val="Table-Text"/>
              <w:rPr>
                <w:sz w:val="20"/>
              </w:rPr>
            </w:pP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0.95       </w:t>
            </w:r>
          </w:p>
          <w:p w:rsidR="002D4A88" w:rsidRPr="00B37B92" w:rsidRDefault="002D4A88" w:rsidP="009C4A9E">
            <w:pPr>
              <w:pStyle w:val="Table-Text"/>
              <w:jc w:val="center"/>
              <w:rPr>
                <w:sz w:val="20"/>
              </w:rPr>
            </w:pPr>
            <w:r w:rsidRPr="00B37B92">
              <w:rPr>
                <w:sz w:val="20"/>
              </w:rPr>
              <w:t>(0.79, 1.13)</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0.95  </w:t>
            </w:r>
          </w:p>
          <w:p w:rsidR="002D4A88" w:rsidRPr="00B37B92" w:rsidRDefault="002D4A88" w:rsidP="009C4A9E">
            <w:pPr>
              <w:pStyle w:val="Table-Text"/>
              <w:jc w:val="center"/>
              <w:rPr>
                <w:sz w:val="20"/>
              </w:rPr>
            </w:pPr>
            <w:r w:rsidRPr="00B37B92">
              <w:rPr>
                <w:sz w:val="20"/>
              </w:rPr>
              <w:t xml:space="preserve">  (0.77, 1.17)</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0.95        (0.74, 1.22)</w:t>
            </w:r>
          </w:p>
        </w:tc>
      </w:tr>
      <w:tr w:rsidR="002D4A88" w:rsidRPr="003A7152" w:rsidTr="009C4A9E">
        <w:trPr>
          <w:trHeight w:val="494"/>
        </w:trPr>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Raltegravir</w:t>
            </w:r>
            <w:proofErr w:type="spellEnd"/>
          </w:p>
        </w:tc>
        <w:tc>
          <w:tcPr>
            <w:tcW w:w="1701" w:type="dxa"/>
            <w:shd w:val="clear" w:color="auto" w:fill="auto"/>
            <w:vAlign w:val="center"/>
          </w:tcPr>
          <w:p w:rsidR="002D4A88" w:rsidRPr="00B37B92" w:rsidRDefault="002D4A88" w:rsidP="00167CA1">
            <w:pPr>
              <w:pStyle w:val="Table-Text"/>
              <w:jc w:val="center"/>
              <w:rPr>
                <w:sz w:val="20"/>
              </w:rPr>
            </w:pPr>
            <w:r w:rsidRPr="00B37B92">
              <w:rPr>
                <w:sz w:val="20"/>
              </w:rPr>
              <w:t xml:space="preserve">400 </w:t>
            </w:r>
            <w:r w:rsidR="00167CA1">
              <w:rPr>
                <w:sz w:val="20"/>
              </w:rPr>
              <w:t>twice</w:t>
            </w:r>
            <w:r w:rsidR="006B243D">
              <w:rPr>
                <w:sz w:val="20"/>
              </w:rPr>
              <w:t xml:space="preserve"> </w:t>
            </w:r>
            <w:r w:rsidRPr="00B37B92">
              <w:rPr>
                <w:sz w:val="20"/>
              </w:rPr>
              <w:t>daily</w:t>
            </w:r>
          </w:p>
        </w:tc>
        <w:tc>
          <w:tcPr>
            <w:tcW w:w="1328" w:type="dxa"/>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shd w:val="clear" w:color="auto" w:fill="auto"/>
            <w:vAlign w:val="center"/>
          </w:tcPr>
          <w:p w:rsidR="002D4A88" w:rsidRPr="00B37B92" w:rsidRDefault="002D4A88" w:rsidP="009C4A9E">
            <w:pPr>
              <w:pStyle w:val="Table-Text"/>
              <w:rPr>
                <w:sz w:val="20"/>
              </w:rPr>
            </w:pPr>
            <w:r w:rsidRPr="00B37B92">
              <w:rPr>
                <w:sz w:val="20"/>
              </w:rPr>
              <w:t>19</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0.57      </w:t>
            </w:r>
          </w:p>
          <w:p w:rsidR="002D4A88" w:rsidRPr="00B37B92" w:rsidRDefault="002D4A88" w:rsidP="009C4A9E">
            <w:pPr>
              <w:pStyle w:val="Table-Text"/>
              <w:jc w:val="center"/>
              <w:rPr>
                <w:sz w:val="20"/>
              </w:rPr>
            </w:pPr>
            <w:r w:rsidRPr="00B37B92">
              <w:rPr>
                <w:sz w:val="20"/>
              </w:rPr>
              <w:t xml:space="preserve"> (0.44, 0.75)</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0.73   </w:t>
            </w:r>
          </w:p>
          <w:p w:rsidR="002D4A88" w:rsidRPr="00B37B92" w:rsidRDefault="002D4A88" w:rsidP="009C4A9E">
            <w:pPr>
              <w:pStyle w:val="Table-Text"/>
              <w:jc w:val="center"/>
              <w:rPr>
                <w:sz w:val="20"/>
              </w:rPr>
            </w:pPr>
            <w:r w:rsidRPr="00B37B92">
              <w:rPr>
                <w:sz w:val="20"/>
              </w:rPr>
              <w:t xml:space="preserve"> (0.59, 0.91)</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0.95        (0.81, 1.12)</w:t>
            </w:r>
          </w:p>
        </w:tc>
      </w:tr>
      <w:tr w:rsidR="002D4A88" w:rsidRPr="003A7152" w:rsidTr="009C4A9E">
        <w:trPr>
          <w:trHeight w:val="521"/>
        </w:trPr>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Rilpivirine</w:t>
            </w:r>
            <w:proofErr w:type="spellEnd"/>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25 once daily</w:t>
            </w:r>
          </w:p>
        </w:tc>
        <w:tc>
          <w:tcPr>
            <w:tcW w:w="1328" w:type="dxa"/>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shd w:val="clear" w:color="auto" w:fill="auto"/>
            <w:vAlign w:val="center"/>
          </w:tcPr>
          <w:p w:rsidR="002D4A88" w:rsidRPr="00B37B92" w:rsidRDefault="002D4A88" w:rsidP="009C4A9E">
            <w:pPr>
              <w:pStyle w:val="Table-Text"/>
              <w:rPr>
                <w:sz w:val="20"/>
              </w:rPr>
            </w:pPr>
            <w:r w:rsidRPr="00B37B92">
              <w:rPr>
                <w:sz w:val="20"/>
              </w:rPr>
              <w:t>17</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1.05      </w:t>
            </w:r>
          </w:p>
          <w:p w:rsidR="002D4A88" w:rsidRPr="00B37B92" w:rsidRDefault="002D4A88" w:rsidP="009C4A9E">
            <w:pPr>
              <w:pStyle w:val="Table-Text"/>
              <w:jc w:val="center"/>
              <w:rPr>
                <w:sz w:val="20"/>
              </w:rPr>
            </w:pPr>
            <w:r w:rsidRPr="00B37B92">
              <w:rPr>
                <w:sz w:val="20"/>
              </w:rPr>
              <w:t xml:space="preserve"> (0.97, 1.15)</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1.06    </w:t>
            </w:r>
          </w:p>
          <w:p w:rsidR="002D4A88" w:rsidRPr="00B37B92" w:rsidRDefault="002D4A88" w:rsidP="009C4A9E">
            <w:pPr>
              <w:pStyle w:val="Table-Text"/>
              <w:jc w:val="center"/>
              <w:rPr>
                <w:sz w:val="20"/>
              </w:rPr>
            </w:pPr>
            <w:r w:rsidRPr="00B37B92">
              <w:rPr>
                <w:sz w:val="20"/>
              </w:rPr>
              <w:t>(1.02, 1.09)</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0.99        (0.94, 1.04)</w:t>
            </w:r>
          </w:p>
        </w:tc>
      </w:tr>
      <w:tr w:rsidR="002D4A88" w:rsidRPr="003A7152" w:rsidTr="009C4A9E">
        <w:trPr>
          <w:trHeight w:val="530"/>
        </w:trPr>
        <w:tc>
          <w:tcPr>
            <w:tcW w:w="1701" w:type="dxa"/>
            <w:tcBorders>
              <w:left w:val="nil"/>
            </w:tcBorders>
            <w:shd w:val="clear" w:color="auto" w:fill="auto"/>
            <w:vAlign w:val="center"/>
          </w:tcPr>
          <w:p w:rsidR="002D4A88" w:rsidRPr="00B37B92" w:rsidRDefault="002D4A88" w:rsidP="009C4A9E">
            <w:pPr>
              <w:pStyle w:val="Table-Text"/>
              <w:jc w:val="center"/>
              <w:rPr>
                <w:sz w:val="20"/>
              </w:rPr>
            </w:pPr>
            <w:proofErr w:type="spellStart"/>
            <w:r w:rsidRPr="00B37B92">
              <w:rPr>
                <w:sz w:val="20"/>
              </w:rPr>
              <w:t>Tacrolimus</w:t>
            </w:r>
            <w:proofErr w:type="spellEnd"/>
          </w:p>
        </w:tc>
        <w:tc>
          <w:tcPr>
            <w:tcW w:w="1701" w:type="dxa"/>
            <w:shd w:val="clear" w:color="auto" w:fill="auto"/>
            <w:vAlign w:val="center"/>
          </w:tcPr>
          <w:p w:rsidR="002D4A88" w:rsidRPr="00B37B92" w:rsidRDefault="002D4A88" w:rsidP="009C4A9E">
            <w:pPr>
              <w:pStyle w:val="Table-Text"/>
              <w:jc w:val="center"/>
              <w:rPr>
                <w:sz w:val="20"/>
              </w:rPr>
            </w:pPr>
            <w:r w:rsidRPr="00B37B92">
              <w:rPr>
                <w:sz w:val="20"/>
              </w:rPr>
              <w:t>5 single dose</w:t>
            </w:r>
          </w:p>
        </w:tc>
        <w:tc>
          <w:tcPr>
            <w:tcW w:w="1328" w:type="dxa"/>
            <w:shd w:val="clear" w:color="auto" w:fill="auto"/>
            <w:vAlign w:val="center"/>
          </w:tcPr>
          <w:p w:rsidR="002D4A88" w:rsidRPr="00B37B92" w:rsidRDefault="002D4A88" w:rsidP="009C4A9E">
            <w:pPr>
              <w:pStyle w:val="Table-Text"/>
              <w:jc w:val="center"/>
              <w:rPr>
                <w:sz w:val="20"/>
              </w:rPr>
            </w:pPr>
            <w:r w:rsidRPr="00B37B92">
              <w:rPr>
                <w:sz w:val="20"/>
              </w:rPr>
              <w:t>400 single dose</w:t>
            </w:r>
          </w:p>
        </w:tc>
        <w:tc>
          <w:tcPr>
            <w:tcW w:w="474" w:type="dxa"/>
            <w:shd w:val="clear" w:color="auto" w:fill="auto"/>
            <w:vAlign w:val="center"/>
          </w:tcPr>
          <w:p w:rsidR="002D4A88" w:rsidRPr="00B37B92" w:rsidRDefault="002D4A88" w:rsidP="009C4A9E">
            <w:pPr>
              <w:pStyle w:val="Table-Text"/>
              <w:rPr>
                <w:sz w:val="20"/>
              </w:rPr>
            </w:pPr>
            <w:r w:rsidRPr="00B37B92">
              <w:rPr>
                <w:sz w:val="20"/>
              </w:rPr>
              <w:t>16</w:t>
            </w:r>
          </w:p>
        </w:tc>
        <w:tc>
          <w:tcPr>
            <w:tcW w:w="1255" w:type="dxa"/>
            <w:shd w:val="clear" w:color="auto" w:fill="auto"/>
            <w:vAlign w:val="center"/>
          </w:tcPr>
          <w:p w:rsidR="002D4A88" w:rsidRPr="00B37B92" w:rsidRDefault="002D4A88" w:rsidP="009C4A9E">
            <w:pPr>
              <w:pStyle w:val="Table-Text"/>
              <w:jc w:val="center"/>
              <w:rPr>
                <w:sz w:val="20"/>
              </w:rPr>
            </w:pPr>
            <w:r w:rsidRPr="00B37B92">
              <w:rPr>
                <w:sz w:val="20"/>
              </w:rPr>
              <w:t xml:space="preserve">0.73       </w:t>
            </w:r>
          </w:p>
          <w:p w:rsidR="002D4A88" w:rsidRPr="00B37B92" w:rsidRDefault="002D4A88" w:rsidP="009C4A9E">
            <w:pPr>
              <w:pStyle w:val="Table-Text"/>
              <w:jc w:val="center"/>
              <w:rPr>
                <w:sz w:val="20"/>
              </w:rPr>
            </w:pPr>
            <w:r w:rsidRPr="00B37B92">
              <w:rPr>
                <w:sz w:val="20"/>
              </w:rPr>
              <w:t>(0.59, 0.90)</w:t>
            </w:r>
          </w:p>
        </w:tc>
        <w:tc>
          <w:tcPr>
            <w:tcW w:w="1338" w:type="dxa"/>
            <w:shd w:val="clear" w:color="auto" w:fill="auto"/>
            <w:vAlign w:val="center"/>
          </w:tcPr>
          <w:p w:rsidR="006B243D" w:rsidRDefault="002D4A88" w:rsidP="009C4A9E">
            <w:pPr>
              <w:pStyle w:val="Table-Text"/>
              <w:jc w:val="center"/>
              <w:rPr>
                <w:sz w:val="20"/>
              </w:rPr>
            </w:pPr>
            <w:r w:rsidRPr="00B37B92">
              <w:rPr>
                <w:sz w:val="20"/>
              </w:rPr>
              <w:t xml:space="preserve">1.09    </w:t>
            </w:r>
          </w:p>
          <w:p w:rsidR="002D4A88" w:rsidRPr="00B37B92" w:rsidRDefault="002D4A88" w:rsidP="009C4A9E">
            <w:pPr>
              <w:pStyle w:val="Table-Text"/>
              <w:jc w:val="center"/>
              <w:rPr>
                <w:sz w:val="20"/>
              </w:rPr>
            </w:pPr>
            <w:r w:rsidRPr="00B37B92">
              <w:rPr>
                <w:sz w:val="20"/>
              </w:rPr>
              <w:t>(0.84, 1.40)</w:t>
            </w:r>
          </w:p>
        </w:tc>
        <w:tc>
          <w:tcPr>
            <w:tcW w:w="1275" w:type="dxa"/>
            <w:tcBorders>
              <w:right w:val="nil"/>
            </w:tcBorders>
            <w:shd w:val="clear" w:color="auto" w:fill="auto"/>
            <w:vAlign w:val="center"/>
          </w:tcPr>
          <w:p w:rsidR="002D4A88" w:rsidRPr="00B37B92" w:rsidRDefault="002D4A88" w:rsidP="009C4A9E">
            <w:pPr>
              <w:pStyle w:val="Table-Text"/>
              <w:jc w:val="center"/>
              <w:rPr>
                <w:sz w:val="20"/>
              </w:rPr>
            </w:pPr>
            <w:r w:rsidRPr="00B37B92">
              <w:rPr>
                <w:sz w:val="20"/>
              </w:rPr>
              <w:t>NA</w:t>
            </w:r>
          </w:p>
        </w:tc>
      </w:tr>
      <w:tr w:rsidR="002D4A88" w:rsidRPr="00624CAF" w:rsidTr="006B243D">
        <w:trPr>
          <w:trHeight w:val="530"/>
        </w:trPr>
        <w:tc>
          <w:tcPr>
            <w:tcW w:w="1701" w:type="dxa"/>
            <w:tcBorders>
              <w:left w:val="nil"/>
            </w:tcBorders>
            <w:shd w:val="clear" w:color="auto" w:fill="auto"/>
            <w:vAlign w:val="center"/>
          </w:tcPr>
          <w:p w:rsidR="002D4A88" w:rsidRPr="008F5C9E" w:rsidRDefault="002D4A88" w:rsidP="009C4A9E">
            <w:pPr>
              <w:pStyle w:val="Table-Text"/>
              <w:jc w:val="center"/>
              <w:rPr>
                <w:color w:val="000000" w:themeColor="text1"/>
                <w:sz w:val="20"/>
              </w:rPr>
            </w:pPr>
            <w:proofErr w:type="spellStart"/>
            <w:r w:rsidRPr="008F5C9E">
              <w:rPr>
                <w:color w:val="000000" w:themeColor="text1"/>
                <w:sz w:val="20"/>
              </w:rPr>
              <w:t>Norelgestromin</w:t>
            </w:r>
            <w:proofErr w:type="spellEnd"/>
          </w:p>
        </w:tc>
        <w:tc>
          <w:tcPr>
            <w:tcW w:w="1701" w:type="dxa"/>
            <w:vMerge w:val="restart"/>
            <w:shd w:val="clear" w:color="auto" w:fill="auto"/>
            <w:vAlign w:val="center"/>
          </w:tcPr>
          <w:p w:rsidR="002D4A88" w:rsidRPr="008F5C9E" w:rsidRDefault="002D4A88" w:rsidP="009C4A9E">
            <w:pPr>
              <w:pStyle w:val="Table-Text"/>
              <w:jc w:val="center"/>
              <w:rPr>
                <w:color w:val="000000" w:themeColor="text1"/>
                <w:sz w:val="20"/>
              </w:rPr>
            </w:pPr>
            <w:proofErr w:type="spellStart"/>
            <w:r w:rsidRPr="008F5C9E">
              <w:rPr>
                <w:color w:val="000000" w:themeColor="text1"/>
                <w:sz w:val="20"/>
              </w:rPr>
              <w:t>Norgestimate</w:t>
            </w:r>
            <w:proofErr w:type="spellEnd"/>
            <w:r w:rsidRPr="008F5C9E">
              <w:rPr>
                <w:color w:val="000000" w:themeColor="text1"/>
                <w:sz w:val="20"/>
              </w:rPr>
              <w:t xml:space="preserve"> 0.180/0.215/0.250/ </w:t>
            </w:r>
            <w:proofErr w:type="spellStart"/>
            <w:r w:rsidRPr="008F5C9E">
              <w:rPr>
                <w:color w:val="000000" w:themeColor="text1"/>
                <w:sz w:val="20"/>
              </w:rPr>
              <w:t>ethinyl</w:t>
            </w:r>
            <w:proofErr w:type="spellEnd"/>
            <w:r w:rsidRPr="008F5C9E">
              <w:rPr>
                <w:color w:val="000000" w:themeColor="text1"/>
                <w:sz w:val="20"/>
              </w:rPr>
              <w:t xml:space="preserve"> estradiol 0.025 once daily</w:t>
            </w:r>
          </w:p>
        </w:tc>
        <w:tc>
          <w:tcPr>
            <w:tcW w:w="1328" w:type="dxa"/>
            <w:vMerge w:val="restart"/>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400 once daily</w:t>
            </w:r>
          </w:p>
        </w:tc>
        <w:tc>
          <w:tcPr>
            <w:tcW w:w="474" w:type="dxa"/>
            <w:vMerge w:val="restart"/>
            <w:shd w:val="clear" w:color="auto" w:fill="auto"/>
            <w:vAlign w:val="center"/>
          </w:tcPr>
          <w:p w:rsidR="002D4A88" w:rsidRPr="008F5C9E" w:rsidRDefault="002D4A88" w:rsidP="009C4A9E">
            <w:pPr>
              <w:pStyle w:val="Table-Text"/>
              <w:rPr>
                <w:color w:val="000000" w:themeColor="text1"/>
                <w:sz w:val="20"/>
              </w:rPr>
            </w:pPr>
            <w:r w:rsidRPr="008F5C9E">
              <w:rPr>
                <w:color w:val="000000" w:themeColor="text1"/>
                <w:sz w:val="20"/>
              </w:rPr>
              <w:t>15</w:t>
            </w:r>
          </w:p>
        </w:tc>
        <w:tc>
          <w:tcPr>
            <w:tcW w:w="1255" w:type="dxa"/>
            <w:shd w:val="clear" w:color="auto" w:fill="auto"/>
            <w:vAlign w:val="center"/>
          </w:tcPr>
          <w:p w:rsidR="002D4A88" w:rsidRPr="008F5C9E" w:rsidRDefault="002D4A88" w:rsidP="006B243D">
            <w:pPr>
              <w:pStyle w:val="Table-Text"/>
              <w:jc w:val="center"/>
              <w:rPr>
                <w:color w:val="000000" w:themeColor="text1"/>
                <w:sz w:val="20"/>
              </w:rPr>
            </w:pPr>
            <w:r w:rsidRPr="008F5C9E">
              <w:rPr>
                <w:color w:val="000000" w:themeColor="text1"/>
                <w:sz w:val="20"/>
              </w:rPr>
              <w:t>1.07</w:t>
            </w:r>
          </w:p>
          <w:p w:rsidR="002D4A88" w:rsidRPr="008F5C9E" w:rsidRDefault="002D4A88" w:rsidP="006B243D">
            <w:pPr>
              <w:pStyle w:val="Table-Text"/>
              <w:jc w:val="center"/>
              <w:rPr>
                <w:color w:val="000000" w:themeColor="text1"/>
                <w:sz w:val="20"/>
              </w:rPr>
            </w:pPr>
            <w:r w:rsidRPr="008F5C9E">
              <w:rPr>
                <w:color w:val="000000" w:themeColor="text1"/>
                <w:sz w:val="20"/>
              </w:rPr>
              <w:t>(0.94, 1.22)</w:t>
            </w:r>
          </w:p>
        </w:tc>
        <w:tc>
          <w:tcPr>
            <w:tcW w:w="1338" w:type="dxa"/>
            <w:shd w:val="clear" w:color="auto" w:fill="auto"/>
            <w:vAlign w:val="center"/>
          </w:tcPr>
          <w:p w:rsidR="002D4A88" w:rsidRPr="008F5C9E" w:rsidRDefault="002D4A88" w:rsidP="006B243D">
            <w:pPr>
              <w:pStyle w:val="Table-Text"/>
              <w:jc w:val="center"/>
              <w:rPr>
                <w:color w:val="000000" w:themeColor="text1"/>
                <w:sz w:val="20"/>
              </w:rPr>
            </w:pPr>
            <w:r w:rsidRPr="008F5C9E">
              <w:rPr>
                <w:color w:val="000000" w:themeColor="text1"/>
                <w:sz w:val="20"/>
              </w:rPr>
              <w:t>1.06</w:t>
            </w:r>
          </w:p>
          <w:p w:rsidR="002D4A88" w:rsidRPr="008F5C9E" w:rsidRDefault="002D4A88" w:rsidP="006B243D">
            <w:pPr>
              <w:pStyle w:val="Table-Text"/>
              <w:jc w:val="center"/>
              <w:rPr>
                <w:color w:val="000000" w:themeColor="text1"/>
                <w:sz w:val="20"/>
              </w:rPr>
            </w:pPr>
            <w:r w:rsidRPr="008F5C9E">
              <w:rPr>
                <w:color w:val="000000" w:themeColor="text1"/>
                <w:sz w:val="20"/>
              </w:rPr>
              <w:t>(0.92, 1.21)</w:t>
            </w:r>
          </w:p>
          <w:p w:rsidR="002D4A88" w:rsidRPr="008F5C9E" w:rsidRDefault="002D4A88" w:rsidP="006B243D">
            <w:pPr>
              <w:pStyle w:val="Table-Text"/>
              <w:jc w:val="center"/>
              <w:rPr>
                <w:color w:val="000000" w:themeColor="text1"/>
                <w:sz w:val="20"/>
              </w:rPr>
            </w:pPr>
          </w:p>
        </w:tc>
        <w:tc>
          <w:tcPr>
            <w:tcW w:w="1275" w:type="dxa"/>
            <w:tcBorders>
              <w:right w:val="nil"/>
            </w:tcBorders>
            <w:shd w:val="clear" w:color="auto" w:fill="auto"/>
            <w:vAlign w:val="center"/>
          </w:tcPr>
          <w:p w:rsidR="002D4A88" w:rsidRPr="008F5C9E" w:rsidRDefault="002D4A88" w:rsidP="006B243D">
            <w:pPr>
              <w:pStyle w:val="Table-Text"/>
              <w:jc w:val="center"/>
              <w:rPr>
                <w:color w:val="000000" w:themeColor="text1"/>
                <w:sz w:val="20"/>
              </w:rPr>
            </w:pPr>
            <w:r w:rsidRPr="008F5C9E">
              <w:rPr>
                <w:color w:val="000000" w:themeColor="text1"/>
                <w:sz w:val="20"/>
              </w:rPr>
              <w:t>1.07</w:t>
            </w:r>
          </w:p>
          <w:p w:rsidR="002D4A88" w:rsidRPr="008F5C9E" w:rsidRDefault="002D4A88" w:rsidP="006B243D">
            <w:pPr>
              <w:pStyle w:val="Table-Text"/>
              <w:jc w:val="center"/>
              <w:rPr>
                <w:color w:val="000000" w:themeColor="text1"/>
                <w:sz w:val="20"/>
              </w:rPr>
            </w:pPr>
            <w:r w:rsidRPr="008F5C9E">
              <w:rPr>
                <w:color w:val="000000" w:themeColor="text1"/>
                <w:sz w:val="20"/>
              </w:rPr>
              <w:t>(0.89, 1.28)</w:t>
            </w:r>
          </w:p>
        </w:tc>
      </w:tr>
      <w:tr w:rsidR="002D4A88" w:rsidRPr="00624CAF" w:rsidTr="009C4A9E">
        <w:trPr>
          <w:trHeight w:val="530"/>
        </w:trPr>
        <w:tc>
          <w:tcPr>
            <w:tcW w:w="1701" w:type="dxa"/>
            <w:tcBorders>
              <w:left w:val="nil"/>
            </w:tcBorders>
            <w:shd w:val="clear" w:color="auto" w:fill="auto"/>
            <w:vAlign w:val="center"/>
          </w:tcPr>
          <w:p w:rsidR="002D4A88" w:rsidRPr="008F5C9E" w:rsidRDefault="002D4A88" w:rsidP="009C4A9E">
            <w:pPr>
              <w:pStyle w:val="Table-Text"/>
              <w:jc w:val="center"/>
              <w:rPr>
                <w:color w:val="000000" w:themeColor="text1"/>
                <w:sz w:val="20"/>
              </w:rPr>
            </w:pPr>
            <w:proofErr w:type="spellStart"/>
            <w:r w:rsidRPr="008F5C9E">
              <w:rPr>
                <w:color w:val="000000" w:themeColor="text1"/>
                <w:sz w:val="20"/>
              </w:rPr>
              <w:t>Norgestrel</w:t>
            </w:r>
            <w:proofErr w:type="spellEnd"/>
          </w:p>
        </w:tc>
        <w:tc>
          <w:tcPr>
            <w:tcW w:w="1701" w:type="dxa"/>
            <w:vMerge/>
            <w:shd w:val="clear" w:color="auto" w:fill="auto"/>
            <w:vAlign w:val="center"/>
          </w:tcPr>
          <w:p w:rsidR="002D4A88" w:rsidRPr="008F5C9E" w:rsidRDefault="002D4A88" w:rsidP="009C4A9E">
            <w:pPr>
              <w:pStyle w:val="Table-Text"/>
              <w:jc w:val="center"/>
              <w:rPr>
                <w:color w:val="000000" w:themeColor="text1"/>
                <w:sz w:val="20"/>
              </w:rPr>
            </w:pPr>
          </w:p>
        </w:tc>
        <w:tc>
          <w:tcPr>
            <w:tcW w:w="1328" w:type="dxa"/>
            <w:vMerge/>
            <w:shd w:val="clear" w:color="auto" w:fill="auto"/>
            <w:vAlign w:val="center"/>
          </w:tcPr>
          <w:p w:rsidR="002D4A88" w:rsidRPr="008F5C9E" w:rsidRDefault="002D4A88" w:rsidP="009C4A9E">
            <w:pPr>
              <w:pStyle w:val="Table-Text"/>
              <w:jc w:val="center"/>
              <w:rPr>
                <w:color w:val="000000" w:themeColor="text1"/>
                <w:sz w:val="20"/>
              </w:rPr>
            </w:pPr>
          </w:p>
        </w:tc>
        <w:tc>
          <w:tcPr>
            <w:tcW w:w="474" w:type="dxa"/>
            <w:vMerge/>
            <w:shd w:val="clear" w:color="auto" w:fill="auto"/>
            <w:vAlign w:val="center"/>
          </w:tcPr>
          <w:p w:rsidR="002D4A88" w:rsidRPr="008F5C9E" w:rsidRDefault="002D4A88" w:rsidP="009C4A9E">
            <w:pPr>
              <w:pStyle w:val="Table-Text"/>
              <w:rPr>
                <w:color w:val="000000" w:themeColor="text1"/>
                <w:sz w:val="20"/>
              </w:rPr>
            </w:pPr>
          </w:p>
        </w:tc>
        <w:tc>
          <w:tcPr>
            <w:tcW w:w="1255" w:type="dxa"/>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1.18</w:t>
            </w:r>
          </w:p>
          <w:p w:rsidR="002D4A88" w:rsidRPr="008F5C9E" w:rsidRDefault="002D4A88" w:rsidP="009C4A9E">
            <w:pPr>
              <w:pStyle w:val="Table-Text"/>
              <w:jc w:val="center"/>
              <w:rPr>
                <w:color w:val="000000" w:themeColor="text1"/>
                <w:sz w:val="20"/>
              </w:rPr>
            </w:pPr>
            <w:r w:rsidRPr="008F5C9E">
              <w:rPr>
                <w:color w:val="000000" w:themeColor="text1"/>
                <w:sz w:val="20"/>
              </w:rPr>
              <w:t>(0.99, 1.41)</w:t>
            </w:r>
          </w:p>
        </w:tc>
        <w:tc>
          <w:tcPr>
            <w:tcW w:w="1338" w:type="dxa"/>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1.19</w:t>
            </w:r>
          </w:p>
          <w:p w:rsidR="002D4A88" w:rsidRPr="008F5C9E" w:rsidRDefault="002D4A88" w:rsidP="009C4A9E">
            <w:pPr>
              <w:pStyle w:val="Table-Text"/>
              <w:jc w:val="center"/>
              <w:rPr>
                <w:color w:val="000000" w:themeColor="text1"/>
                <w:sz w:val="20"/>
              </w:rPr>
            </w:pPr>
            <w:r w:rsidRPr="008F5C9E">
              <w:rPr>
                <w:color w:val="000000" w:themeColor="text1"/>
                <w:sz w:val="20"/>
              </w:rPr>
              <w:t>(0.98, 1.45)</w:t>
            </w:r>
          </w:p>
        </w:tc>
        <w:tc>
          <w:tcPr>
            <w:tcW w:w="1275" w:type="dxa"/>
            <w:tcBorders>
              <w:right w:val="nil"/>
            </w:tcBorders>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1.23</w:t>
            </w:r>
          </w:p>
          <w:p w:rsidR="002D4A88" w:rsidRPr="008F5C9E" w:rsidRDefault="002D4A88" w:rsidP="009C4A9E">
            <w:pPr>
              <w:pStyle w:val="Table-Text"/>
              <w:jc w:val="center"/>
              <w:rPr>
                <w:color w:val="000000" w:themeColor="text1"/>
                <w:sz w:val="20"/>
              </w:rPr>
            </w:pPr>
            <w:r w:rsidRPr="008F5C9E">
              <w:rPr>
                <w:color w:val="000000" w:themeColor="text1"/>
                <w:sz w:val="20"/>
              </w:rPr>
              <w:t>(1.00, 1.51)</w:t>
            </w:r>
          </w:p>
        </w:tc>
      </w:tr>
      <w:tr w:rsidR="002D4A88" w:rsidRPr="00624CAF" w:rsidTr="009C4A9E">
        <w:trPr>
          <w:trHeight w:val="530"/>
        </w:trPr>
        <w:tc>
          <w:tcPr>
            <w:tcW w:w="1701" w:type="dxa"/>
            <w:tcBorders>
              <w:left w:val="nil"/>
            </w:tcBorders>
            <w:shd w:val="clear" w:color="auto" w:fill="auto"/>
            <w:vAlign w:val="center"/>
          </w:tcPr>
          <w:p w:rsidR="002D4A88" w:rsidRPr="008F5C9E" w:rsidRDefault="002D4A88" w:rsidP="009C4A9E">
            <w:pPr>
              <w:pStyle w:val="Table-Text"/>
              <w:jc w:val="center"/>
              <w:rPr>
                <w:color w:val="000000" w:themeColor="text1"/>
                <w:sz w:val="20"/>
              </w:rPr>
            </w:pPr>
            <w:proofErr w:type="spellStart"/>
            <w:r w:rsidRPr="008F5C9E">
              <w:rPr>
                <w:color w:val="000000" w:themeColor="text1"/>
                <w:sz w:val="20"/>
              </w:rPr>
              <w:t>Ethinyl</w:t>
            </w:r>
            <w:proofErr w:type="spellEnd"/>
            <w:r w:rsidRPr="008F5C9E">
              <w:rPr>
                <w:color w:val="000000" w:themeColor="text1"/>
                <w:sz w:val="20"/>
              </w:rPr>
              <w:t xml:space="preserve"> estradiol</w:t>
            </w:r>
          </w:p>
        </w:tc>
        <w:tc>
          <w:tcPr>
            <w:tcW w:w="1701" w:type="dxa"/>
            <w:vMerge/>
            <w:shd w:val="clear" w:color="auto" w:fill="auto"/>
            <w:vAlign w:val="center"/>
          </w:tcPr>
          <w:p w:rsidR="002D4A88" w:rsidRPr="008F5C9E" w:rsidRDefault="002D4A88" w:rsidP="009C4A9E">
            <w:pPr>
              <w:pStyle w:val="Table-Text"/>
              <w:jc w:val="center"/>
              <w:rPr>
                <w:color w:val="000000" w:themeColor="text1"/>
                <w:sz w:val="20"/>
              </w:rPr>
            </w:pPr>
          </w:p>
        </w:tc>
        <w:tc>
          <w:tcPr>
            <w:tcW w:w="1328" w:type="dxa"/>
            <w:vMerge/>
            <w:shd w:val="clear" w:color="auto" w:fill="auto"/>
            <w:vAlign w:val="center"/>
          </w:tcPr>
          <w:p w:rsidR="002D4A88" w:rsidRPr="008F5C9E" w:rsidRDefault="002D4A88" w:rsidP="009C4A9E">
            <w:pPr>
              <w:pStyle w:val="Table-Text"/>
              <w:jc w:val="center"/>
              <w:rPr>
                <w:color w:val="000000" w:themeColor="text1"/>
                <w:sz w:val="20"/>
              </w:rPr>
            </w:pPr>
          </w:p>
        </w:tc>
        <w:tc>
          <w:tcPr>
            <w:tcW w:w="474" w:type="dxa"/>
            <w:vMerge/>
            <w:shd w:val="clear" w:color="auto" w:fill="auto"/>
            <w:vAlign w:val="center"/>
          </w:tcPr>
          <w:p w:rsidR="002D4A88" w:rsidRPr="008F5C9E" w:rsidRDefault="002D4A88" w:rsidP="009C4A9E">
            <w:pPr>
              <w:pStyle w:val="Table-Text"/>
              <w:rPr>
                <w:color w:val="000000" w:themeColor="text1"/>
                <w:sz w:val="20"/>
              </w:rPr>
            </w:pPr>
          </w:p>
        </w:tc>
        <w:tc>
          <w:tcPr>
            <w:tcW w:w="1255" w:type="dxa"/>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1.15</w:t>
            </w:r>
          </w:p>
          <w:p w:rsidR="002D4A88" w:rsidRPr="008F5C9E" w:rsidRDefault="002D4A88" w:rsidP="009C4A9E">
            <w:pPr>
              <w:pStyle w:val="Table-Text"/>
              <w:jc w:val="center"/>
              <w:rPr>
                <w:color w:val="000000" w:themeColor="text1"/>
                <w:sz w:val="20"/>
              </w:rPr>
            </w:pPr>
            <w:r w:rsidRPr="008F5C9E">
              <w:rPr>
                <w:color w:val="000000" w:themeColor="text1"/>
                <w:sz w:val="20"/>
              </w:rPr>
              <w:t>(0.97, 1.36)</w:t>
            </w:r>
          </w:p>
        </w:tc>
        <w:tc>
          <w:tcPr>
            <w:tcW w:w="1338" w:type="dxa"/>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1.09</w:t>
            </w:r>
          </w:p>
          <w:p w:rsidR="002D4A88" w:rsidRPr="008F5C9E" w:rsidRDefault="002D4A88" w:rsidP="009C4A9E">
            <w:pPr>
              <w:pStyle w:val="Table-Text"/>
              <w:jc w:val="center"/>
              <w:rPr>
                <w:color w:val="000000" w:themeColor="text1"/>
                <w:sz w:val="20"/>
              </w:rPr>
            </w:pPr>
            <w:r w:rsidRPr="008F5C9E">
              <w:rPr>
                <w:color w:val="000000" w:themeColor="text1"/>
                <w:sz w:val="20"/>
              </w:rPr>
              <w:t>(0.94, 1.26)</w:t>
            </w:r>
          </w:p>
        </w:tc>
        <w:tc>
          <w:tcPr>
            <w:tcW w:w="1275" w:type="dxa"/>
            <w:tcBorders>
              <w:right w:val="nil"/>
            </w:tcBorders>
            <w:shd w:val="clear" w:color="auto" w:fill="auto"/>
            <w:vAlign w:val="center"/>
          </w:tcPr>
          <w:p w:rsidR="002D4A88" w:rsidRPr="008F5C9E" w:rsidRDefault="002D4A88" w:rsidP="009C4A9E">
            <w:pPr>
              <w:pStyle w:val="Table-Text"/>
              <w:jc w:val="center"/>
              <w:rPr>
                <w:color w:val="000000" w:themeColor="text1"/>
                <w:sz w:val="20"/>
              </w:rPr>
            </w:pPr>
            <w:r w:rsidRPr="008F5C9E">
              <w:rPr>
                <w:color w:val="000000" w:themeColor="text1"/>
                <w:sz w:val="20"/>
              </w:rPr>
              <w:t>0.99</w:t>
            </w:r>
          </w:p>
          <w:p w:rsidR="002D4A88" w:rsidRPr="008F5C9E" w:rsidRDefault="002D4A88" w:rsidP="009C4A9E">
            <w:pPr>
              <w:pStyle w:val="Table-Text"/>
              <w:jc w:val="center"/>
              <w:rPr>
                <w:color w:val="000000" w:themeColor="text1"/>
                <w:sz w:val="20"/>
              </w:rPr>
            </w:pPr>
            <w:r w:rsidRPr="008F5C9E">
              <w:rPr>
                <w:color w:val="000000" w:themeColor="text1"/>
                <w:sz w:val="20"/>
              </w:rPr>
              <w:t>(0.80, 1.23)</w:t>
            </w:r>
          </w:p>
        </w:tc>
      </w:tr>
    </w:tbl>
    <w:p w:rsidR="002D4A88" w:rsidRPr="00F60B94" w:rsidRDefault="002D4A88" w:rsidP="002D4A88">
      <w:pPr>
        <w:pStyle w:val="Table-Footer"/>
        <w:rPr>
          <w:rFonts w:ascii="Times New Roman" w:hAnsi="Times New Roman"/>
          <w:sz w:val="18"/>
          <w:szCs w:val="18"/>
        </w:rPr>
      </w:pPr>
      <w:r w:rsidRPr="00F60B94">
        <w:rPr>
          <w:rFonts w:ascii="Times New Roman" w:hAnsi="Times New Roman"/>
          <w:sz w:val="18"/>
          <w:szCs w:val="18"/>
        </w:rPr>
        <w:t>NA = not available/not applicable</w:t>
      </w:r>
    </w:p>
    <w:p w:rsidR="002D4A88" w:rsidRPr="00F60B94" w:rsidRDefault="002D4A88" w:rsidP="002D4A88">
      <w:pPr>
        <w:pStyle w:val="Table-Footer"/>
        <w:rPr>
          <w:rFonts w:ascii="Times New Roman" w:hAnsi="Times New Roman"/>
          <w:sz w:val="18"/>
          <w:szCs w:val="18"/>
        </w:rPr>
      </w:pPr>
      <w:r w:rsidRPr="00F60B94">
        <w:rPr>
          <w:rFonts w:ascii="Times New Roman" w:hAnsi="Times New Roman"/>
          <w:sz w:val="18"/>
          <w:szCs w:val="18"/>
        </w:rPr>
        <w:t>a.</w:t>
      </w:r>
      <w:r w:rsidRPr="00F60B94">
        <w:rPr>
          <w:rFonts w:ascii="Times New Roman" w:hAnsi="Times New Roman"/>
          <w:sz w:val="18"/>
          <w:szCs w:val="18"/>
        </w:rPr>
        <w:tab/>
        <w:t>All interaction studies conducted in healthy volunteers.</w:t>
      </w:r>
    </w:p>
    <w:p w:rsidR="002D4A88" w:rsidRPr="00695592" w:rsidRDefault="002D4A88" w:rsidP="002D4A88">
      <w:pPr>
        <w:pStyle w:val="Table-Footer"/>
        <w:rPr>
          <w:rFonts w:ascii="Times New Roman" w:hAnsi="Times New Roman"/>
        </w:rPr>
      </w:pPr>
      <w:r w:rsidRPr="00F60B94">
        <w:rPr>
          <w:rFonts w:ascii="Times New Roman" w:hAnsi="Times New Roman"/>
          <w:sz w:val="18"/>
          <w:szCs w:val="18"/>
        </w:rPr>
        <w:t>b.</w:t>
      </w:r>
      <w:r w:rsidRPr="00F60B94">
        <w:rPr>
          <w:rFonts w:ascii="Times New Roman" w:hAnsi="Times New Roman"/>
          <w:sz w:val="18"/>
          <w:szCs w:val="18"/>
        </w:rPr>
        <w:tab/>
        <w:t>Administered as ATRIPLA</w:t>
      </w:r>
      <w:r w:rsidRPr="00CC5810">
        <w:rPr>
          <w:rFonts w:ascii="Times New Roman" w:hAnsi="Times New Roman"/>
        </w:rPr>
        <w:t>.</w:t>
      </w:r>
    </w:p>
    <w:p w:rsidR="002D4A88" w:rsidRDefault="002D4A88" w:rsidP="002D4A88">
      <w:pPr>
        <w:rPr>
          <w:rFonts w:ascii="Times New Roman" w:hAnsi="Times New Roman"/>
          <w:sz w:val="24"/>
          <w:szCs w:val="24"/>
          <w:lang w:val="en-US"/>
        </w:rPr>
      </w:pPr>
    </w:p>
    <w:p w:rsidR="00E17307" w:rsidRDefault="00E17307" w:rsidP="00BF711F">
      <w:pPr>
        <w:pStyle w:val="Text10"/>
      </w:pPr>
      <w:proofErr w:type="spellStart"/>
      <w:r>
        <w:t>Sofosbuvir</w:t>
      </w:r>
      <w:proofErr w:type="spellEnd"/>
      <w:r>
        <w:t xml:space="preserve"> is a substrate of drug transporter P-</w:t>
      </w:r>
      <w:proofErr w:type="spellStart"/>
      <w:r>
        <w:t>gp</w:t>
      </w:r>
      <w:proofErr w:type="spellEnd"/>
      <w:r>
        <w:t xml:space="preserve"> and breast cancer resistance protein (BCRP) while GS-331007 is not. Drugs that are potent P-</w:t>
      </w:r>
      <w:proofErr w:type="spellStart"/>
      <w:r>
        <w:t>gp</w:t>
      </w:r>
      <w:proofErr w:type="spellEnd"/>
      <w:r>
        <w:t xml:space="preserve"> inducers in the intestine (e.g.</w:t>
      </w:r>
      <w:r w:rsidR="0097535F">
        <w:t>,</w:t>
      </w:r>
      <w:r>
        <w:t xml:space="preserve"> rifampin or </w:t>
      </w:r>
      <w:smartTag w:uri="urn:schemas-microsoft-com:office:smarttags" w:element="place">
        <w:smartTag w:uri="urn:schemas-microsoft-com:office:smarttags" w:element="City">
          <w:r>
            <w:t>St. John’s</w:t>
          </w:r>
        </w:smartTag>
      </w:smartTag>
      <w:r>
        <w:t xml:space="preserve"> </w:t>
      </w:r>
      <w:proofErr w:type="spellStart"/>
      <w:r>
        <w:t>wort</w:t>
      </w:r>
      <w:proofErr w:type="spellEnd"/>
      <w:r>
        <w:t xml:space="preserve">) may decrease </w:t>
      </w:r>
      <w:proofErr w:type="spellStart"/>
      <w:r>
        <w:t>sofosbuvir</w:t>
      </w:r>
      <w:proofErr w:type="spellEnd"/>
      <w:r>
        <w:t xml:space="preserve"> plasma concentration leading to</w:t>
      </w:r>
      <w:r w:rsidR="005D303B">
        <w:t xml:space="preserve"> reduced therapeutic effect of </w:t>
      </w:r>
      <w:r w:rsidR="00D21279">
        <w:t>SOVALDI</w:t>
      </w:r>
      <w:r>
        <w:t xml:space="preserve"> an</w:t>
      </w:r>
      <w:r w:rsidR="005D303B">
        <w:t xml:space="preserve">d thus should not be used with </w:t>
      </w:r>
      <w:r w:rsidR="00D21279">
        <w:t>SOVALDI</w:t>
      </w:r>
      <w:r w:rsidR="00D82619">
        <w:t xml:space="preserve">. </w:t>
      </w:r>
      <w:r w:rsidR="005D303B">
        <w:t xml:space="preserve">  </w:t>
      </w:r>
      <w:proofErr w:type="spellStart"/>
      <w:r w:rsidR="005D303B">
        <w:t>Coadministration</w:t>
      </w:r>
      <w:proofErr w:type="spellEnd"/>
      <w:r w:rsidR="005D303B">
        <w:t xml:space="preserve"> of </w:t>
      </w:r>
      <w:r w:rsidR="00D21279">
        <w:t>SOVALDI</w:t>
      </w:r>
      <w:r>
        <w:t xml:space="preserve"> with drugs that inhibit P-</w:t>
      </w:r>
      <w:proofErr w:type="spellStart"/>
      <w:r>
        <w:t>gp</w:t>
      </w:r>
      <w:proofErr w:type="spellEnd"/>
      <w:r>
        <w:t xml:space="preserve"> and/or BCRP may increase </w:t>
      </w:r>
      <w:proofErr w:type="spellStart"/>
      <w:r>
        <w:t>sofosbuvir</w:t>
      </w:r>
      <w:proofErr w:type="spellEnd"/>
      <w:r>
        <w:t xml:space="preserve"> plasma concentration without increasing GS-331007 plas</w:t>
      </w:r>
      <w:r w:rsidR="005D303B">
        <w:t xml:space="preserve">ma concentration; accordingly, </w:t>
      </w:r>
      <w:r w:rsidR="00D21279">
        <w:t>SOVALDI</w:t>
      </w:r>
      <w:r>
        <w:t xml:space="preserve"> may be </w:t>
      </w:r>
      <w:proofErr w:type="spellStart"/>
      <w:r>
        <w:t>coadministered</w:t>
      </w:r>
      <w:proofErr w:type="spellEnd"/>
      <w:r>
        <w:t xml:space="preserve"> with P-</w:t>
      </w:r>
      <w:proofErr w:type="spellStart"/>
      <w:r>
        <w:t>gp</w:t>
      </w:r>
      <w:proofErr w:type="spellEnd"/>
      <w:r>
        <w:t xml:space="preserve"> and/or BCRP inhibitors.  </w:t>
      </w:r>
      <w:proofErr w:type="spellStart"/>
      <w:r>
        <w:t>Sofosbuvir</w:t>
      </w:r>
      <w:proofErr w:type="spellEnd"/>
      <w:r>
        <w:t xml:space="preserve"> and GS-331007 are not inhibitors of P-</w:t>
      </w:r>
      <w:proofErr w:type="spellStart"/>
      <w:r>
        <w:t>gp</w:t>
      </w:r>
      <w:proofErr w:type="spellEnd"/>
      <w:r>
        <w:t xml:space="preserve"> and BCRP and thus are not expected to increase exposures of drugs that are substrates of these transporters.</w:t>
      </w:r>
    </w:p>
    <w:p w:rsidR="000B013F" w:rsidRDefault="00367CE3" w:rsidP="007B6071">
      <w:pPr>
        <w:pStyle w:val="Text10"/>
      </w:pPr>
      <w:r>
        <w:lastRenderedPageBreak/>
        <w:t xml:space="preserve">Co-administration of </w:t>
      </w:r>
      <w:r w:rsidR="00C652D1">
        <w:t xml:space="preserve">ribavirin and </w:t>
      </w:r>
      <w:proofErr w:type="spellStart"/>
      <w:r w:rsidR="00C652D1">
        <w:t>did</w:t>
      </w:r>
      <w:r>
        <w:t>anosine</w:t>
      </w:r>
      <w:proofErr w:type="spellEnd"/>
      <w:r>
        <w:t xml:space="preserve"> in HIV-HCV co-infected patients is not </w:t>
      </w:r>
      <w:r w:rsidR="00C652D1">
        <w:t xml:space="preserve">permitted, please refer to ribavirin </w:t>
      </w:r>
      <w:r w:rsidR="00D74FAA">
        <w:t>product</w:t>
      </w:r>
      <w:r w:rsidR="00C652D1">
        <w:t xml:space="preserve"> information for guidance</w:t>
      </w:r>
      <w:r>
        <w:t xml:space="preserve">. </w:t>
      </w:r>
    </w:p>
    <w:p w:rsidR="00097C95" w:rsidRDefault="00E17307" w:rsidP="007B6071">
      <w:pPr>
        <w:pStyle w:val="Text10"/>
      </w:pPr>
      <w:r>
        <w:t xml:space="preserve">The intracellular metabolic activation pathway of </w:t>
      </w:r>
      <w:proofErr w:type="spellStart"/>
      <w:r>
        <w:t>sofosbuvir</w:t>
      </w:r>
      <w:proofErr w:type="spellEnd"/>
      <w:r>
        <w:t xml:space="preserve"> is mediated by generally low affinity and high capacity hydrolase and nucleotide phosphorylation pathways that are unlikely to be affected by concomitant drugs. </w:t>
      </w:r>
      <w:bookmarkEnd w:id="18"/>
    </w:p>
    <w:p w:rsidR="00E17307" w:rsidRDefault="00E17307" w:rsidP="00BF711F">
      <w:pPr>
        <w:pStyle w:val="Text10"/>
      </w:pPr>
      <w:r w:rsidRPr="00B21940">
        <w:t>Dr</w:t>
      </w:r>
      <w:r w:rsidR="005D303B">
        <w:t xml:space="preserve">ug interaction information for </w:t>
      </w:r>
      <w:r w:rsidR="00D21279">
        <w:t>SOVALDI</w:t>
      </w:r>
      <w:r w:rsidRPr="00B21940">
        <w:t xml:space="preserve"> with potential concomitant drugs is summariz</w:t>
      </w:r>
      <w:r w:rsidR="00977724">
        <w:t>ed in Table 1</w:t>
      </w:r>
      <w:r w:rsidR="008C68CF">
        <w:t>6</w:t>
      </w:r>
      <w:r w:rsidRPr="00B21940">
        <w:t>.  The drug interactions described are based on potential drug interactions that may oc</w:t>
      </w:r>
      <w:r w:rsidR="008A1F99">
        <w:t xml:space="preserve">cur with </w:t>
      </w:r>
      <w:r w:rsidR="00D21279">
        <w:t>SOVALDI</w:t>
      </w:r>
      <w:r w:rsidRPr="00B21940">
        <w:t>. The table is not all-inclusive</w:t>
      </w:r>
      <w:r>
        <w:t>.</w:t>
      </w:r>
    </w:p>
    <w:p w:rsidR="003B77FC" w:rsidRPr="003B77FC" w:rsidRDefault="004310BF" w:rsidP="00BF711F">
      <w:pPr>
        <w:pStyle w:val="Caption"/>
        <w:rPr>
          <w:rFonts w:ascii="Times New Roman" w:hAnsi="Times New Roman"/>
        </w:rPr>
      </w:pPr>
      <w:bookmarkStart w:id="19" w:name="_Ref267326457"/>
      <w:bookmarkStart w:id="20" w:name="_Toc352326833"/>
      <w:r>
        <w:rPr>
          <w:rFonts w:ascii="Times New Roman" w:hAnsi="Times New Roman"/>
        </w:rPr>
        <w:t>T</w:t>
      </w:r>
      <w:r w:rsidR="003B77FC" w:rsidRPr="003B77FC">
        <w:rPr>
          <w:rFonts w:ascii="Times New Roman" w:hAnsi="Times New Roman"/>
        </w:rPr>
        <w:t xml:space="preserve">able </w:t>
      </w:r>
      <w:bookmarkEnd w:id="19"/>
      <w:r w:rsidR="008A1F99">
        <w:rPr>
          <w:rFonts w:ascii="Times New Roman" w:hAnsi="Times New Roman"/>
        </w:rPr>
        <w:t>1</w:t>
      </w:r>
      <w:r w:rsidR="008C68CF">
        <w:rPr>
          <w:rFonts w:ascii="Times New Roman" w:hAnsi="Times New Roman"/>
        </w:rPr>
        <w:t>6</w:t>
      </w:r>
      <w:r w:rsidR="003B77FC" w:rsidRPr="003B77FC">
        <w:rPr>
          <w:rFonts w:ascii="Times New Roman" w:hAnsi="Times New Roman"/>
        </w:rPr>
        <w:tab/>
        <w:t xml:space="preserve">Potentially </w:t>
      </w:r>
      <w:proofErr w:type="spellStart"/>
      <w:r w:rsidR="003B77FC" w:rsidRPr="003B77FC">
        <w:rPr>
          <w:rFonts w:ascii="Times New Roman" w:hAnsi="Times New Roman"/>
        </w:rPr>
        <w:t>Significant</w:t>
      </w:r>
      <w:r w:rsidR="003B77FC" w:rsidRPr="003B77FC">
        <w:rPr>
          <w:rFonts w:ascii="Times New Roman" w:hAnsi="Times New Roman"/>
          <w:vertAlign w:val="superscript"/>
        </w:rPr>
        <w:t>a</w:t>
      </w:r>
      <w:proofErr w:type="spellEnd"/>
      <w:r w:rsidR="003B77FC" w:rsidRPr="003B77FC">
        <w:rPr>
          <w:rFonts w:ascii="Times New Roman" w:hAnsi="Times New Roman"/>
        </w:rPr>
        <w:t xml:space="preserve"> Drug Interactions</w:t>
      </w:r>
      <w:bookmarkEnd w:id="20"/>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649"/>
        <w:gridCol w:w="1879"/>
        <w:gridCol w:w="5073"/>
      </w:tblGrid>
      <w:tr w:rsidR="003B77FC" w:rsidRPr="003B77FC" w:rsidTr="00B410B7">
        <w:trPr>
          <w:cantSplit/>
          <w:tblHeader/>
        </w:trPr>
        <w:tc>
          <w:tcPr>
            <w:tcW w:w="2538" w:type="dxa"/>
            <w:tcBorders>
              <w:top w:val="single" w:sz="12" w:space="0" w:color="auto"/>
              <w:bottom w:val="single" w:sz="12" w:space="0" w:color="auto"/>
            </w:tcBorders>
            <w:shd w:val="clear" w:color="auto" w:fill="auto"/>
          </w:tcPr>
          <w:p w:rsidR="003B77FC" w:rsidRPr="00951661" w:rsidRDefault="003B77FC" w:rsidP="00BF711F">
            <w:pPr>
              <w:pStyle w:val="Table-Heading"/>
              <w:jc w:val="center"/>
              <w:rPr>
                <w:sz w:val="22"/>
                <w:szCs w:val="22"/>
              </w:rPr>
            </w:pPr>
            <w:r w:rsidRPr="00951661">
              <w:rPr>
                <w:sz w:val="22"/>
                <w:szCs w:val="22"/>
              </w:rPr>
              <w:t xml:space="preserve">Concomitant Drug Class: </w:t>
            </w:r>
            <w:r w:rsidRPr="00951661">
              <w:rPr>
                <w:sz w:val="22"/>
                <w:szCs w:val="22"/>
              </w:rPr>
              <w:br/>
              <w:t>Drug Name</w:t>
            </w:r>
          </w:p>
        </w:tc>
        <w:tc>
          <w:tcPr>
            <w:tcW w:w="1800" w:type="dxa"/>
            <w:tcBorders>
              <w:top w:val="single" w:sz="12" w:space="0" w:color="auto"/>
              <w:bottom w:val="single" w:sz="12" w:space="0" w:color="auto"/>
            </w:tcBorders>
            <w:shd w:val="clear" w:color="auto" w:fill="auto"/>
            <w:vAlign w:val="bottom"/>
          </w:tcPr>
          <w:p w:rsidR="003B77FC" w:rsidRPr="00951661" w:rsidRDefault="003B77FC" w:rsidP="00BF711F">
            <w:pPr>
              <w:pStyle w:val="Table-Heading"/>
              <w:jc w:val="center"/>
              <w:rPr>
                <w:sz w:val="22"/>
                <w:szCs w:val="22"/>
              </w:rPr>
            </w:pPr>
            <w:r w:rsidRPr="00951661">
              <w:rPr>
                <w:sz w:val="22"/>
                <w:szCs w:val="22"/>
              </w:rPr>
              <w:t xml:space="preserve">Effect on </w:t>
            </w:r>
            <w:proofErr w:type="spellStart"/>
            <w:r w:rsidRPr="00951661">
              <w:rPr>
                <w:sz w:val="22"/>
                <w:szCs w:val="22"/>
              </w:rPr>
              <w:t>Concentration</w:t>
            </w:r>
            <w:r w:rsidRPr="00951661">
              <w:rPr>
                <w:sz w:val="22"/>
                <w:szCs w:val="22"/>
                <w:vertAlign w:val="superscript"/>
              </w:rPr>
              <w:t>b</w:t>
            </w:r>
            <w:proofErr w:type="spellEnd"/>
          </w:p>
        </w:tc>
        <w:tc>
          <w:tcPr>
            <w:tcW w:w="4860" w:type="dxa"/>
            <w:tcBorders>
              <w:top w:val="single" w:sz="12" w:space="0" w:color="auto"/>
              <w:bottom w:val="single" w:sz="12" w:space="0" w:color="auto"/>
            </w:tcBorders>
            <w:shd w:val="clear" w:color="auto" w:fill="auto"/>
            <w:vAlign w:val="center"/>
          </w:tcPr>
          <w:p w:rsidR="003B77FC" w:rsidRPr="00951661" w:rsidRDefault="003B77FC" w:rsidP="00BF711F">
            <w:pPr>
              <w:pStyle w:val="Table-Heading"/>
              <w:jc w:val="center"/>
              <w:rPr>
                <w:sz w:val="22"/>
                <w:szCs w:val="22"/>
              </w:rPr>
            </w:pPr>
            <w:r w:rsidRPr="00951661">
              <w:rPr>
                <w:sz w:val="22"/>
                <w:szCs w:val="22"/>
              </w:rPr>
              <w:t>Clinical Comment</w:t>
            </w:r>
          </w:p>
        </w:tc>
      </w:tr>
      <w:tr w:rsidR="003B77FC" w:rsidRPr="009E4330" w:rsidTr="003B77FC">
        <w:trPr>
          <w:cantSplit/>
        </w:trPr>
        <w:tc>
          <w:tcPr>
            <w:tcW w:w="2538" w:type="dxa"/>
            <w:shd w:val="clear" w:color="auto" w:fill="auto"/>
          </w:tcPr>
          <w:p w:rsidR="003B77FC" w:rsidRPr="00951661" w:rsidRDefault="003B77FC" w:rsidP="00BF711F">
            <w:pPr>
              <w:pStyle w:val="Table-Text"/>
              <w:rPr>
                <w:b/>
                <w:sz w:val="22"/>
                <w:szCs w:val="22"/>
              </w:rPr>
            </w:pPr>
            <w:r w:rsidRPr="00951661">
              <w:rPr>
                <w:b/>
                <w:sz w:val="22"/>
                <w:szCs w:val="22"/>
              </w:rPr>
              <w:t xml:space="preserve">Analeptics:  </w:t>
            </w:r>
          </w:p>
          <w:p w:rsidR="003B77FC" w:rsidRPr="00951661" w:rsidRDefault="003B77FC" w:rsidP="00BF711F">
            <w:pPr>
              <w:pStyle w:val="Table-Text"/>
              <w:rPr>
                <w:sz w:val="22"/>
                <w:szCs w:val="22"/>
              </w:rPr>
            </w:pPr>
            <w:proofErr w:type="spellStart"/>
            <w:r w:rsidRPr="00951661">
              <w:rPr>
                <w:sz w:val="22"/>
                <w:szCs w:val="22"/>
              </w:rPr>
              <w:t>modafinil</w:t>
            </w:r>
            <w:proofErr w:type="spellEnd"/>
          </w:p>
        </w:tc>
        <w:tc>
          <w:tcPr>
            <w:tcW w:w="1800" w:type="dxa"/>
            <w:shd w:val="clear" w:color="auto" w:fill="auto"/>
          </w:tcPr>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w:t>
            </w:r>
            <w:proofErr w:type="spellStart"/>
            <w:r w:rsidRPr="00951661">
              <w:rPr>
                <w:sz w:val="22"/>
                <w:szCs w:val="22"/>
              </w:rPr>
              <w:t>sofosbuvir</w:t>
            </w:r>
            <w:proofErr w:type="spellEnd"/>
          </w:p>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GS-331007</w:t>
            </w:r>
          </w:p>
        </w:tc>
        <w:tc>
          <w:tcPr>
            <w:tcW w:w="4860" w:type="dxa"/>
            <w:shd w:val="clear" w:color="auto" w:fill="auto"/>
          </w:tcPr>
          <w:p w:rsidR="003B77FC" w:rsidRPr="00951661" w:rsidRDefault="003B77FC" w:rsidP="00BF711F">
            <w:pPr>
              <w:pStyle w:val="Table-Text"/>
              <w:rPr>
                <w:sz w:val="22"/>
                <w:szCs w:val="22"/>
              </w:rPr>
            </w:pPr>
            <w:proofErr w:type="spellStart"/>
            <w:r w:rsidRPr="00951661">
              <w:rPr>
                <w:sz w:val="22"/>
                <w:szCs w:val="22"/>
              </w:rPr>
              <w:t>Coadminis</w:t>
            </w:r>
            <w:r w:rsidR="00AA1476">
              <w:rPr>
                <w:sz w:val="22"/>
                <w:szCs w:val="22"/>
              </w:rPr>
              <w:t>tration</w:t>
            </w:r>
            <w:proofErr w:type="spellEnd"/>
            <w:r w:rsidR="00AA1476">
              <w:rPr>
                <w:sz w:val="22"/>
                <w:szCs w:val="22"/>
              </w:rPr>
              <w:t xml:space="preserve"> of </w:t>
            </w:r>
            <w:r w:rsidR="00D21279">
              <w:rPr>
                <w:sz w:val="22"/>
                <w:szCs w:val="22"/>
              </w:rPr>
              <w:t>SOVALDI</w:t>
            </w:r>
            <w:r w:rsidRPr="00951661">
              <w:rPr>
                <w:sz w:val="22"/>
                <w:szCs w:val="22"/>
              </w:rPr>
              <w:t xml:space="preserve"> with </w:t>
            </w:r>
            <w:proofErr w:type="spellStart"/>
            <w:r w:rsidRPr="00951661">
              <w:rPr>
                <w:sz w:val="22"/>
                <w:szCs w:val="22"/>
              </w:rPr>
              <w:t>modafinil</w:t>
            </w:r>
            <w:proofErr w:type="spellEnd"/>
            <w:r w:rsidRPr="00951661">
              <w:rPr>
                <w:sz w:val="22"/>
                <w:szCs w:val="22"/>
              </w:rPr>
              <w:t xml:space="preserve"> is expected to decrease the concentration of </w:t>
            </w:r>
            <w:proofErr w:type="spellStart"/>
            <w:r w:rsidRPr="00951661">
              <w:rPr>
                <w:sz w:val="22"/>
                <w:szCs w:val="22"/>
              </w:rPr>
              <w:t>sofosbuvir</w:t>
            </w:r>
            <w:proofErr w:type="spellEnd"/>
            <w:r w:rsidRPr="00951661">
              <w:rPr>
                <w:sz w:val="22"/>
                <w:szCs w:val="22"/>
              </w:rPr>
              <w:t xml:space="preserve">, leading to reduced therapeutic effect of </w:t>
            </w:r>
            <w:r w:rsidR="00D21279">
              <w:rPr>
                <w:sz w:val="22"/>
                <w:szCs w:val="22"/>
              </w:rPr>
              <w:t>SOVALDI</w:t>
            </w:r>
            <w:r w:rsidRPr="00951661">
              <w:rPr>
                <w:sz w:val="22"/>
                <w:szCs w:val="22"/>
              </w:rPr>
              <w:t xml:space="preserve">. Such </w:t>
            </w:r>
            <w:proofErr w:type="spellStart"/>
            <w:r w:rsidRPr="00951661">
              <w:rPr>
                <w:sz w:val="22"/>
                <w:szCs w:val="22"/>
              </w:rPr>
              <w:t>coadministration</w:t>
            </w:r>
            <w:proofErr w:type="spellEnd"/>
            <w:r w:rsidRPr="00951661">
              <w:rPr>
                <w:sz w:val="22"/>
                <w:szCs w:val="22"/>
              </w:rPr>
              <w:t xml:space="preserve"> is not recommended. </w:t>
            </w:r>
          </w:p>
        </w:tc>
      </w:tr>
      <w:tr w:rsidR="003B77FC" w:rsidRPr="009E4330" w:rsidTr="003B77FC">
        <w:trPr>
          <w:cantSplit/>
        </w:trPr>
        <w:tc>
          <w:tcPr>
            <w:tcW w:w="2538" w:type="dxa"/>
            <w:tcBorders>
              <w:bottom w:val="single" w:sz="4" w:space="0" w:color="auto"/>
            </w:tcBorders>
            <w:shd w:val="clear" w:color="auto" w:fill="auto"/>
          </w:tcPr>
          <w:p w:rsidR="003B77FC" w:rsidRPr="00951661" w:rsidRDefault="003B77FC" w:rsidP="00BF711F">
            <w:pPr>
              <w:pStyle w:val="Table-Text"/>
              <w:rPr>
                <w:b/>
                <w:sz w:val="22"/>
                <w:szCs w:val="22"/>
              </w:rPr>
            </w:pPr>
            <w:r w:rsidRPr="00951661">
              <w:rPr>
                <w:b/>
                <w:sz w:val="22"/>
                <w:szCs w:val="22"/>
              </w:rPr>
              <w:t>Anticonvulsants:</w:t>
            </w:r>
          </w:p>
          <w:p w:rsidR="003B77FC" w:rsidRPr="00951661" w:rsidRDefault="003B77FC" w:rsidP="00BF711F">
            <w:pPr>
              <w:pStyle w:val="Table-Text"/>
              <w:rPr>
                <w:sz w:val="22"/>
                <w:szCs w:val="22"/>
              </w:rPr>
            </w:pPr>
            <w:r w:rsidRPr="00951661">
              <w:rPr>
                <w:sz w:val="22"/>
                <w:szCs w:val="22"/>
              </w:rPr>
              <w:t xml:space="preserve">carbamazepine                    phenytoin                            phenobarbital                     </w:t>
            </w:r>
            <w:proofErr w:type="spellStart"/>
            <w:r w:rsidRPr="00951661">
              <w:rPr>
                <w:sz w:val="22"/>
                <w:szCs w:val="22"/>
              </w:rPr>
              <w:t>oxcarbazepine</w:t>
            </w:r>
            <w:proofErr w:type="spellEnd"/>
          </w:p>
        </w:tc>
        <w:tc>
          <w:tcPr>
            <w:tcW w:w="1800" w:type="dxa"/>
            <w:tcBorders>
              <w:bottom w:val="single" w:sz="4" w:space="0" w:color="auto"/>
            </w:tcBorders>
            <w:shd w:val="clear" w:color="auto" w:fill="auto"/>
          </w:tcPr>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w:t>
            </w:r>
            <w:proofErr w:type="spellStart"/>
            <w:r w:rsidRPr="00951661">
              <w:rPr>
                <w:sz w:val="22"/>
                <w:szCs w:val="22"/>
              </w:rPr>
              <w:t>sofosbuvir</w:t>
            </w:r>
            <w:proofErr w:type="spellEnd"/>
          </w:p>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GS-331007</w:t>
            </w:r>
          </w:p>
        </w:tc>
        <w:tc>
          <w:tcPr>
            <w:tcW w:w="4860" w:type="dxa"/>
            <w:tcBorders>
              <w:bottom w:val="single" w:sz="4" w:space="0" w:color="auto"/>
            </w:tcBorders>
            <w:shd w:val="clear" w:color="auto" w:fill="auto"/>
          </w:tcPr>
          <w:p w:rsidR="003B77FC" w:rsidRPr="00951661" w:rsidRDefault="00AA1476" w:rsidP="00BF711F">
            <w:pPr>
              <w:pStyle w:val="Table-Text"/>
              <w:rPr>
                <w:sz w:val="22"/>
                <w:szCs w:val="22"/>
              </w:rPr>
            </w:pPr>
            <w:proofErr w:type="spellStart"/>
            <w:r>
              <w:rPr>
                <w:sz w:val="22"/>
                <w:szCs w:val="22"/>
              </w:rPr>
              <w:t>Coadministration</w:t>
            </w:r>
            <w:proofErr w:type="spellEnd"/>
            <w:r>
              <w:rPr>
                <w:sz w:val="22"/>
                <w:szCs w:val="22"/>
              </w:rPr>
              <w:t xml:space="preserve"> of </w:t>
            </w:r>
            <w:r w:rsidR="00D21279">
              <w:rPr>
                <w:sz w:val="22"/>
                <w:szCs w:val="22"/>
              </w:rPr>
              <w:t>SOVALDI</w:t>
            </w:r>
            <w:r w:rsidR="003B77FC" w:rsidRPr="00951661">
              <w:rPr>
                <w:sz w:val="22"/>
                <w:szCs w:val="22"/>
              </w:rPr>
              <w:t xml:space="preserve"> with carbamazepine, phenytoin, phenobarbital or </w:t>
            </w:r>
            <w:proofErr w:type="spellStart"/>
            <w:r w:rsidR="003B77FC" w:rsidRPr="00951661">
              <w:rPr>
                <w:sz w:val="22"/>
                <w:szCs w:val="22"/>
              </w:rPr>
              <w:t>oxcarbazepine</w:t>
            </w:r>
            <w:proofErr w:type="spellEnd"/>
            <w:r w:rsidR="003B77FC" w:rsidRPr="00951661">
              <w:rPr>
                <w:sz w:val="22"/>
                <w:szCs w:val="22"/>
              </w:rPr>
              <w:t xml:space="preserve"> is expected to decrease the concentration of </w:t>
            </w:r>
            <w:proofErr w:type="spellStart"/>
            <w:r w:rsidR="003B77FC" w:rsidRPr="00951661">
              <w:rPr>
                <w:sz w:val="22"/>
                <w:szCs w:val="22"/>
              </w:rPr>
              <w:t>sofosbuvir</w:t>
            </w:r>
            <w:proofErr w:type="spellEnd"/>
            <w:r w:rsidR="003B77FC" w:rsidRPr="00951661">
              <w:rPr>
                <w:sz w:val="22"/>
                <w:szCs w:val="22"/>
              </w:rPr>
              <w:t>, leading to</w:t>
            </w:r>
            <w:r>
              <w:rPr>
                <w:sz w:val="22"/>
                <w:szCs w:val="22"/>
              </w:rPr>
              <w:t xml:space="preserve"> reduced therapeutic effect of </w:t>
            </w:r>
            <w:r w:rsidR="00D21279">
              <w:rPr>
                <w:sz w:val="22"/>
                <w:szCs w:val="22"/>
              </w:rPr>
              <w:t>SOVALDI</w:t>
            </w:r>
            <w:r w:rsidR="003B77FC" w:rsidRPr="00951661">
              <w:rPr>
                <w:sz w:val="22"/>
                <w:szCs w:val="22"/>
              </w:rPr>
              <w:t xml:space="preserve">. Such </w:t>
            </w:r>
            <w:proofErr w:type="spellStart"/>
            <w:r w:rsidR="003B77FC" w:rsidRPr="00951661">
              <w:rPr>
                <w:sz w:val="22"/>
                <w:szCs w:val="22"/>
              </w:rPr>
              <w:t>coadministration</w:t>
            </w:r>
            <w:proofErr w:type="spellEnd"/>
            <w:r w:rsidR="003B77FC" w:rsidRPr="00951661">
              <w:rPr>
                <w:sz w:val="22"/>
                <w:szCs w:val="22"/>
              </w:rPr>
              <w:t xml:space="preserve"> is not recommended.</w:t>
            </w:r>
          </w:p>
        </w:tc>
      </w:tr>
      <w:tr w:rsidR="003B77FC" w:rsidRPr="009E4330" w:rsidTr="003B77FC">
        <w:trPr>
          <w:cantSplit/>
        </w:trPr>
        <w:tc>
          <w:tcPr>
            <w:tcW w:w="2538" w:type="dxa"/>
            <w:tcBorders>
              <w:top w:val="single" w:sz="4" w:space="0" w:color="auto"/>
              <w:bottom w:val="single" w:sz="4" w:space="0" w:color="auto"/>
            </w:tcBorders>
            <w:shd w:val="clear" w:color="auto" w:fill="auto"/>
          </w:tcPr>
          <w:p w:rsidR="003B77FC" w:rsidRPr="00951661" w:rsidRDefault="003B77FC" w:rsidP="00BF711F">
            <w:pPr>
              <w:pStyle w:val="Table-Text"/>
              <w:rPr>
                <w:sz w:val="22"/>
                <w:szCs w:val="22"/>
              </w:rPr>
            </w:pPr>
            <w:proofErr w:type="spellStart"/>
            <w:r w:rsidRPr="00951661">
              <w:rPr>
                <w:b/>
                <w:sz w:val="22"/>
                <w:szCs w:val="22"/>
              </w:rPr>
              <w:t>Antimycobacterials</w:t>
            </w:r>
            <w:proofErr w:type="spellEnd"/>
            <w:r w:rsidRPr="00951661">
              <w:rPr>
                <w:b/>
                <w:sz w:val="22"/>
                <w:szCs w:val="22"/>
              </w:rPr>
              <w:t>:</w:t>
            </w:r>
            <w:r w:rsidRPr="00951661">
              <w:rPr>
                <w:sz w:val="22"/>
                <w:szCs w:val="22"/>
              </w:rPr>
              <w:t xml:space="preserve">           </w:t>
            </w:r>
          </w:p>
          <w:p w:rsidR="003B77FC" w:rsidRPr="00951661" w:rsidRDefault="003B77FC" w:rsidP="00BF711F">
            <w:pPr>
              <w:pStyle w:val="Table-Text"/>
              <w:rPr>
                <w:sz w:val="22"/>
                <w:szCs w:val="22"/>
              </w:rPr>
            </w:pPr>
            <w:proofErr w:type="spellStart"/>
            <w:r w:rsidRPr="00951661">
              <w:rPr>
                <w:sz w:val="22"/>
                <w:szCs w:val="22"/>
              </w:rPr>
              <w:t>rifabutin</w:t>
            </w:r>
            <w:proofErr w:type="spellEnd"/>
            <w:r w:rsidRPr="00951661">
              <w:rPr>
                <w:sz w:val="22"/>
                <w:szCs w:val="22"/>
              </w:rPr>
              <w:t xml:space="preserve">                    rifampin                           </w:t>
            </w:r>
            <w:proofErr w:type="spellStart"/>
            <w:r w:rsidRPr="00951661">
              <w:rPr>
                <w:sz w:val="22"/>
                <w:szCs w:val="22"/>
              </w:rPr>
              <w:t>rifapentine</w:t>
            </w:r>
            <w:proofErr w:type="spellEnd"/>
          </w:p>
        </w:tc>
        <w:tc>
          <w:tcPr>
            <w:tcW w:w="1800" w:type="dxa"/>
            <w:tcBorders>
              <w:top w:val="single" w:sz="4" w:space="0" w:color="auto"/>
              <w:bottom w:val="single" w:sz="4" w:space="0" w:color="auto"/>
            </w:tcBorders>
            <w:shd w:val="clear" w:color="auto" w:fill="auto"/>
          </w:tcPr>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w:t>
            </w:r>
            <w:proofErr w:type="spellStart"/>
            <w:r w:rsidRPr="00951661">
              <w:rPr>
                <w:sz w:val="22"/>
                <w:szCs w:val="22"/>
              </w:rPr>
              <w:t>sofosbuvir</w:t>
            </w:r>
            <w:proofErr w:type="spellEnd"/>
          </w:p>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GS-331007</w:t>
            </w:r>
          </w:p>
        </w:tc>
        <w:tc>
          <w:tcPr>
            <w:tcW w:w="4860" w:type="dxa"/>
            <w:tcBorders>
              <w:top w:val="single" w:sz="4" w:space="0" w:color="auto"/>
              <w:bottom w:val="single" w:sz="4" w:space="0" w:color="auto"/>
            </w:tcBorders>
            <w:shd w:val="clear" w:color="auto" w:fill="auto"/>
          </w:tcPr>
          <w:p w:rsidR="003B77FC" w:rsidRPr="00951661" w:rsidRDefault="00AA1476" w:rsidP="00BF711F">
            <w:pPr>
              <w:pStyle w:val="Table-Text"/>
              <w:rPr>
                <w:sz w:val="22"/>
                <w:szCs w:val="22"/>
              </w:rPr>
            </w:pPr>
            <w:proofErr w:type="spellStart"/>
            <w:r>
              <w:rPr>
                <w:sz w:val="22"/>
                <w:szCs w:val="22"/>
              </w:rPr>
              <w:t>Coadministration</w:t>
            </w:r>
            <w:proofErr w:type="spellEnd"/>
            <w:r>
              <w:rPr>
                <w:sz w:val="22"/>
                <w:szCs w:val="22"/>
              </w:rPr>
              <w:t xml:space="preserve"> of </w:t>
            </w:r>
            <w:r w:rsidR="00D21279">
              <w:rPr>
                <w:sz w:val="22"/>
                <w:szCs w:val="22"/>
              </w:rPr>
              <w:t>SOVALDI</w:t>
            </w:r>
            <w:r w:rsidR="003B77FC" w:rsidRPr="00951661">
              <w:rPr>
                <w:sz w:val="22"/>
                <w:szCs w:val="22"/>
              </w:rPr>
              <w:t xml:space="preserve"> with </w:t>
            </w:r>
            <w:proofErr w:type="spellStart"/>
            <w:r w:rsidR="003B77FC" w:rsidRPr="00951661">
              <w:rPr>
                <w:sz w:val="22"/>
                <w:szCs w:val="22"/>
              </w:rPr>
              <w:t>rifabutin</w:t>
            </w:r>
            <w:proofErr w:type="spellEnd"/>
            <w:r w:rsidR="003B77FC" w:rsidRPr="00951661">
              <w:rPr>
                <w:sz w:val="22"/>
                <w:szCs w:val="22"/>
              </w:rPr>
              <w:t xml:space="preserve"> or </w:t>
            </w:r>
            <w:proofErr w:type="spellStart"/>
            <w:r w:rsidR="003B77FC" w:rsidRPr="00951661">
              <w:rPr>
                <w:sz w:val="22"/>
                <w:szCs w:val="22"/>
              </w:rPr>
              <w:t>rifapentine</w:t>
            </w:r>
            <w:proofErr w:type="spellEnd"/>
            <w:r w:rsidR="003B77FC" w:rsidRPr="00951661">
              <w:rPr>
                <w:sz w:val="22"/>
                <w:szCs w:val="22"/>
              </w:rPr>
              <w:t xml:space="preserve"> is expected to decrease the concentration of </w:t>
            </w:r>
            <w:proofErr w:type="spellStart"/>
            <w:r w:rsidR="003B77FC" w:rsidRPr="00951661">
              <w:rPr>
                <w:sz w:val="22"/>
                <w:szCs w:val="22"/>
              </w:rPr>
              <w:t>sofosbuvir</w:t>
            </w:r>
            <w:proofErr w:type="spellEnd"/>
            <w:r w:rsidR="003B77FC" w:rsidRPr="00951661">
              <w:rPr>
                <w:sz w:val="22"/>
                <w:szCs w:val="22"/>
              </w:rPr>
              <w:t>, leading to</w:t>
            </w:r>
            <w:r>
              <w:rPr>
                <w:sz w:val="22"/>
                <w:szCs w:val="22"/>
              </w:rPr>
              <w:t xml:space="preserve"> reduced therapeutic effect of </w:t>
            </w:r>
            <w:r w:rsidR="00D21279">
              <w:rPr>
                <w:sz w:val="22"/>
                <w:szCs w:val="22"/>
              </w:rPr>
              <w:t>SOVALDI</w:t>
            </w:r>
            <w:r w:rsidR="003B77FC" w:rsidRPr="00951661">
              <w:rPr>
                <w:sz w:val="22"/>
                <w:szCs w:val="22"/>
              </w:rPr>
              <w:t xml:space="preserve">. Such </w:t>
            </w:r>
            <w:proofErr w:type="spellStart"/>
            <w:r w:rsidR="003B77FC" w:rsidRPr="00951661">
              <w:rPr>
                <w:sz w:val="22"/>
                <w:szCs w:val="22"/>
              </w:rPr>
              <w:t>coadministration</w:t>
            </w:r>
            <w:proofErr w:type="spellEnd"/>
            <w:r w:rsidR="003B77FC" w:rsidRPr="00951661">
              <w:rPr>
                <w:sz w:val="22"/>
                <w:szCs w:val="22"/>
              </w:rPr>
              <w:t xml:space="preserve"> is not recommended.</w:t>
            </w:r>
          </w:p>
          <w:p w:rsidR="003B77FC" w:rsidRPr="00951661" w:rsidRDefault="00D21279" w:rsidP="00BF711F">
            <w:pPr>
              <w:pStyle w:val="Table-Text"/>
              <w:rPr>
                <w:sz w:val="22"/>
                <w:szCs w:val="22"/>
              </w:rPr>
            </w:pPr>
            <w:r>
              <w:rPr>
                <w:sz w:val="22"/>
                <w:szCs w:val="22"/>
              </w:rPr>
              <w:t>SOVALDI</w:t>
            </w:r>
            <w:r w:rsidR="003B77FC" w:rsidRPr="00951661">
              <w:rPr>
                <w:sz w:val="22"/>
                <w:szCs w:val="22"/>
              </w:rPr>
              <w:t xml:space="preserve"> should not be used with rifampin, a potent intestinal P-</w:t>
            </w:r>
            <w:proofErr w:type="spellStart"/>
            <w:r w:rsidR="003B77FC" w:rsidRPr="00951661">
              <w:rPr>
                <w:sz w:val="22"/>
                <w:szCs w:val="22"/>
              </w:rPr>
              <w:t>gp</w:t>
            </w:r>
            <w:proofErr w:type="spellEnd"/>
            <w:r w:rsidR="003B77FC" w:rsidRPr="00951661">
              <w:rPr>
                <w:sz w:val="22"/>
                <w:szCs w:val="22"/>
              </w:rPr>
              <w:t xml:space="preserve"> inducer (see </w:t>
            </w:r>
            <w:r w:rsidR="003B77FC" w:rsidRPr="00951661">
              <w:rPr>
                <w:b/>
                <w:sz w:val="22"/>
                <w:szCs w:val="22"/>
              </w:rPr>
              <w:t>Precautions: Use with Potent P-</w:t>
            </w:r>
            <w:proofErr w:type="spellStart"/>
            <w:r w:rsidR="003B77FC" w:rsidRPr="00951661">
              <w:rPr>
                <w:b/>
                <w:sz w:val="22"/>
                <w:szCs w:val="22"/>
              </w:rPr>
              <w:t>gp</w:t>
            </w:r>
            <w:proofErr w:type="spellEnd"/>
            <w:r w:rsidR="003B77FC" w:rsidRPr="00951661">
              <w:rPr>
                <w:b/>
                <w:sz w:val="22"/>
                <w:szCs w:val="22"/>
              </w:rPr>
              <w:t xml:space="preserve"> Inducers</w:t>
            </w:r>
            <w:r w:rsidR="003B77FC" w:rsidRPr="00951661">
              <w:rPr>
                <w:sz w:val="22"/>
                <w:szCs w:val="22"/>
              </w:rPr>
              <w:t>)</w:t>
            </w:r>
          </w:p>
        </w:tc>
      </w:tr>
      <w:tr w:rsidR="003B77FC" w:rsidRPr="009E4330" w:rsidTr="00573EE5">
        <w:trPr>
          <w:cantSplit/>
        </w:trPr>
        <w:tc>
          <w:tcPr>
            <w:tcW w:w="2538" w:type="dxa"/>
            <w:tcBorders>
              <w:top w:val="single" w:sz="4" w:space="0" w:color="auto"/>
              <w:bottom w:val="single" w:sz="4" w:space="0" w:color="auto"/>
            </w:tcBorders>
            <w:shd w:val="clear" w:color="auto" w:fill="auto"/>
          </w:tcPr>
          <w:p w:rsidR="003B77FC" w:rsidRPr="00951661" w:rsidRDefault="003B77FC" w:rsidP="00BF711F">
            <w:pPr>
              <w:pStyle w:val="Table-Text"/>
              <w:rPr>
                <w:b/>
                <w:sz w:val="22"/>
                <w:szCs w:val="22"/>
              </w:rPr>
            </w:pPr>
            <w:r w:rsidRPr="00951661">
              <w:rPr>
                <w:b/>
                <w:sz w:val="22"/>
                <w:szCs w:val="22"/>
              </w:rPr>
              <w:t>Herbal Supplements:</w:t>
            </w:r>
          </w:p>
          <w:p w:rsidR="003B77FC" w:rsidRPr="00951661" w:rsidRDefault="003B77FC" w:rsidP="00BF711F">
            <w:pPr>
              <w:pStyle w:val="Table-Text"/>
              <w:rPr>
                <w:sz w:val="22"/>
                <w:szCs w:val="22"/>
              </w:rPr>
            </w:pPr>
            <w:smartTag w:uri="urn:schemas-microsoft-com:office:smarttags" w:element="City">
              <w:smartTag w:uri="urn:schemas-microsoft-com:office:smarttags" w:element="place">
                <w:r w:rsidRPr="00951661">
                  <w:rPr>
                    <w:sz w:val="22"/>
                    <w:szCs w:val="22"/>
                  </w:rPr>
                  <w:t>St. John’s</w:t>
                </w:r>
              </w:smartTag>
            </w:smartTag>
            <w:r w:rsidRPr="00951661">
              <w:rPr>
                <w:sz w:val="22"/>
                <w:szCs w:val="22"/>
              </w:rPr>
              <w:t xml:space="preserve"> </w:t>
            </w:r>
            <w:proofErr w:type="spellStart"/>
            <w:r w:rsidRPr="00951661">
              <w:rPr>
                <w:sz w:val="22"/>
                <w:szCs w:val="22"/>
              </w:rPr>
              <w:t>wort</w:t>
            </w:r>
            <w:proofErr w:type="spellEnd"/>
          </w:p>
        </w:tc>
        <w:tc>
          <w:tcPr>
            <w:tcW w:w="1800" w:type="dxa"/>
            <w:tcBorders>
              <w:top w:val="single" w:sz="4" w:space="0" w:color="auto"/>
              <w:bottom w:val="single" w:sz="4" w:space="0" w:color="auto"/>
            </w:tcBorders>
            <w:shd w:val="clear" w:color="auto" w:fill="auto"/>
          </w:tcPr>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w:t>
            </w:r>
            <w:proofErr w:type="spellStart"/>
            <w:r w:rsidRPr="00951661">
              <w:rPr>
                <w:sz w:val="22"/>
                <w:szCs w:val="22"/>
              </w:rPr>
              <w:t>sofosbuvir</w:t>
            </w:r>
            <w:proofErr w:type="spellEnd"/>
          </w:p>
          <w:p w:rsidR="003B77FC" w:rsidRPr="00951661" w:rsidRDefault="003B77FC" w:rsidP="00BF711F">
            <w:pPr>
              <w:pStyle w:val="Table-Text"/>
              <w:rPr>
                <w:sz w:val="22"/>
                <w:szCs w:val="22"/>
              </w:rPr>
            </w:pPr>
            <w:r w:rsidRPr="00951661">
              <w:rPr>
                <w:sz w:val="22"/>
                <w:szCs w:val="22"/>
              </w:rPr>
              <w:sym w:font="Symbol" w:char="F0AF"/>
            </w:r>
            <w:r w:rsidRPr="00951661">
              <w:rPr>
                <w:sz w:val="22"/>
                <w:szCs w:val="22"/>
              </w:rPr>
              <w:t xml:space="preserve"> GS-331007</w:t>
            </w:r>
          </w:p>
        </w:tc>
        <w:tc>
          <w:tcPr>
            <w:tcW w:w="4860" w:type="dxa"/>
            <w:tcBorders>
              <w:top w:val="single" w:sz="4" w:space="0" w:color="auto"/>
              <w:bottom w:val="single" w:sz="4" w:space="0" w:color="auto"/>
            </w:tcBorders>
            <w:shd w:val="clear" w:color="auto" w:fill="auto"/>
          </w:tcPr>
          <w:p w:rsidR="003B77FC" w:rsidRPr="00951661" w:rsidRDefault="00D21279" w:rsidP="00BF711F">
            <w:pPr>
              <w:pStyle w:val="Table-Text"/>
              <w:rPr>
                <w:sz w:val="22"/>
                <w:szCs w:val="22"/>
              </w:rPr>
            </w:pPr>
            <w:r>
              <w:rPr>
                <w:sz w:val="22"/>
                <w:szCs w:val="22"/>
              </w:rPr>
              <w:t>SOVALDI</w:t>
            </w:r>
            <w:r w:rsidR="003B77FC" w:rsidRPr="00951661">
              <w:rPr>
                <w:sz w:val="22"/>
                <w:szCs w:val="22"/>
              </w:rPr>
              <w:t xml:space="preserve"> should not be used with </w:t>
            </w:r>
            <w:smartTag w:uri="urn:schemas-microsoft-com:office:smarttags" w:element="place">
              <w:smartTag w:uri="urn:schemas-microsoft-com:office:smarttags" w:element="City">
                <w:r w:rsidR="003B77FC" w:rsidRPr="00951661">
                  <w:rPr>
                    <w:sz w:val="22"/>
                    <w:szCs w:val="22"/>
                  </w:rPr>
                  <w:t>St. John’s</w:t>
                </w:r>
              </w:smartTag>
            </w:smartTag>
            <w:r w:rsidR="003B77FC" w:rsidRPr="00951661">
              <w:rPr>
                <w:sz w:val="22"/>
                <w:szCs w:val="22"/>
              </w:rPr>
              <w:t xml:space="preserve"> </w:t>
            </w:r>
            <w:proofErr w:type="spellStart"/>
            <w:r w:rsidR="003B77FC" w:rsidRPr="00951661">
              <w:rPr>
                <w:sz w:val="22"/>
                <w:szCs w:val="22"/>
              </w:rPr>
              <w:t>wort</w:t>
            </w:r>
            <w:proofErr w:type="spellEnd"/>
            <w:r w:rsidR="003B77FC" w:rsidRPr="00951661">
              <w:rPr>
                <w:sz w:val="22"/>
                <w:szCs w:val="22"/>
              </w:rPr>
              <w:t>, a potent intestinal P-</w:t>
            </w:r>
            <w:proofErr w:type="spellStart"/>
            <w:r w:rsidR="003B77FC" w:rsidRPr="00951661">
              <w:rPr>
                <w:sz w:val="22"/>
                <w:szCs w:val="22"/>
              </w:rPr>
              <w:t>gp</w:t>
            </w:r>
            <w:proofErr w:type="spellEnd"/>
            <w:r w:rsidR="003B77FC" w:rsidRPr="00951661">
              <w:rPr>
                <w:sz w:val="22"/>
                <w:szCs w:val="22"/>
              </w:rPr>
              <w:t xml:space="preserve"> inducer (see </w:t>
            </w:r>
            <w:r w:rsidR="003B77FC" w:rsidRPr="00951661">
              <w:rPr>
                <w:b/>
                <w:sz w:val="22"/>
                <w:szCs w:val="22"/>
              </w:rPr>
              <w:t>Precautions for Use: Use with Potent P-</w:t>
            </w:r>
            <w:proofErr w:type="spellStart"/>
            <w:r w:rsidR="003B77FC" w:rsidRPr="00951661">
              <w:rPr>
                <w:b/>
                <w:sz w:val="22"/>
                <w:szCs w:val="22"/>
              </w:rPr>
              <w:t>gp</w:t>
            </w:r>
            <w:proofErr w:type="spellEnd"/>
            <w:r w:rsidR="003B77FC" w:rsidRPr="00951661">
              <w:rPr>
                <w:b/>
                <w:sz w:val="22"/>
                <w:szCs w:val="22"/>
              </w:rPr>
              <w:t xml:space="preserve"> Inducers</w:t>
            </w:r>
            <w:r w:rsidR="003B77FC" w:rsidRPr="00951661">
              <w:rPr>
                <w:sz w:val="22"/>
                <w:szCs w:val="22"/>
              </w:rPr>
              <w:t>)</w:t>
            </w:r>
          </w:p>
        </w:tc>
      </w:tr>
      <w:tr w:rsidR="00573EE5" w:rsidRPr="009E4330" w:rsidTr="00977724">
        <w:trPr>
          <w:cantSplit/>
        </w:trPr>
        <w:tc>
          <w:tcPr>
            <w:tcW w:w="2538" w:type="dxa"/>
            <w:tcBorders>
              <w:top w:val="single" w:sz="4" w:space="0" w:color="auto"/>
              <w:bottom w:val="single" w:sz="12" w:space="0" w:color="auto"/>
            </w:tcBorders>
            <w:shd w:val="clear" w:color="auto" w:fill="auto"/>
          </w:tcPr>
          <w:p w:rsidR="00573EE5" w:rsidRDefault="00573EE5" w:rsidP="00BF711F">
            <w:pPr>
              <w:pStyle w:val="Table-Text"/>
              <w:rPr>
                <w:b/>
                <w:sz w:val="22"/>
                <w:szCs w:val="22"/>
              </w:rPr>
            </w:pPr>
            <w:r>
              <w:rPr>
                <w:b/>
                <w:sz w:val="22"/>
                <w:szCs w:val="22"/>
              </w:rPr>
              <w:t>HIV Protease Inhibitors:</w:t>
            </w:r>
          </w:p>
          <w:p w:rsidR="00573EE5" w:rsidRPr="00573EE5" w:rsidRDefault="00573EE5" w:rsidP="00BF711F">
            <w:pPr>
              <w:pStyle w:val="Table-Text"/>
              <w:rPr>
                <w:sz w:val="22"/>
                <w:szCs w:val="22"/>
              </w:rPr>
            </w:pPr>
            <w:proofErr w:type="spellStart"/>
            <w:r>
              <w:rPr>
                <w:sz w:val="22"/>
                <w:szCs w:val="22"/>
              </w:rPr>
              <w:t>Tipranavir</w:t>
            </w:r>
            <w:proofErr w:type="spellEnd"/>
            <w:r>
              <w:rPr>
                <w:sz w:val="22"/>
                <w:szCs w:val="22"/>
              </w:rPr>
              <w:t>/</w:t>
            </w:r>
            <w:proofErr w:type="spellStart"/>
            <w:r>
              <w:rPr>
                <w:sz w:val="22"/>
                <w:szCs w:val="22"/>
              </w:rPr>
              <w:t>ritonavir</w:t>
            </w:r>
            <w:r w:rsidR="007E7DFA">
              <w:rPr>
                <w:sz w:val="22"/>
                <w:szCs w:val="22"/>
                <w:vertAlign w:val="superscript"/>
              </w:rPr>
              <w:t>c</w:t>
            </w:r>
            <w:proofErr w:type="spellEnd"/>
          </w:p>
        </w:tc>
        <w:tc>
          <w:tcPr>
            <w:tcW w:w="1800" w:type="dxa"/>
            <w:tcBorders>
              <w:top w:val="single" w:sz="4" w:space="0" w:color="auto"/>
              <w:bottom w:val="single" w:sz="12" w:space="0" w:color="auto"/>
            </w:tcBorders>
            <w:shd w:val="clear" w:color="auto" w:fill="auto"/>
          </w:tcPr>
          <w:p w:rsidR="00573EE5" w:rsidRPr="00951661" w:rsidRDefault="00573EE5" w:rsidP="00573EE5">
            <w:pPr>
              <w:pStyle w:val="Table-Text"/>
              <w:rPr>
                <w:sz w:val="22"/>
                <w:szCs w:val="22"/>
              </w:rPr>
            </w:pPr>
            <w:r w:rsidRPr="00951661">
              <w:rPr>
                <w:sz w:val="22"/>
                <w:szCs w:val="22"/>
              </w:rPr>
              <w:sym w:font="Symbol" w:char="F0AF"/>
            </w:r>
            <w:r w:rsidRPr="00951661">
              <w:rPr>
                <w:sz w:val="22"/>
                <w:szCs w:val="22"/>
              </w:rPr>
              <w:t xml:space="preserve"> </w:t>
            </w:r>
            <w:proofErr w:type="spellStart"/>
            <w:r w:rsidRPr="00951661">
              <w:rPr>
                <w:sz w:val="22"/>
                <w:szCs w:val="22"/>
              </w:rPr>
              <w:t>sofosbuvir</w:t>
            </w:r>
            <w:proofErr w:type="spellEnd"/>
          </w:p>
          <w:p w:rsidR="00573EE5" w:rsidRPr="00951661" w:rsidRDefault="00573EE5" w:rsidP="00573EE5">
            <w:pPr>
              <w:pStyle w:val="Table-Text"/>
              <w:rPr>
                <w:sz w:val="22"/>
                <w:szCs w:val="22"/>
              </w:rPr>
            </w:pPr>
            <w:r w:rsidRPr="00951661">
              <w:rPr>
                <w:sz w:val="22"/>
                <w:szCs w:val="22"/>
              </w:rPr>
              <w:sym w:font="Symbol" w:char="F0AF"/>
            </w:r>
            <w:r w:rsidRPr="00951661">
              <w:rPr>
                <w:sz w:val="22"/>
                <w:szCs w:val="22"/>
              </w:rPr>
              <w:t xml:space="preserve"> GS-331007</w:t>
            </w:r>
          </w:p>
        </w:tc>
        <w:tc>
          <w:tcPr>
            <w:tcW w:w="4860" w:type="dxa"/>
            <w:tcBorders>
              <w:top w:val="single" w:sz="4" w:space="0" w:color="auto"/>
              <w:bottom w:val="single" w:sz="12" w:space="0" w:color="auto"/>
            </w:tcBorders>
            <w:shd w:val="clear" w:color="auto" w:fill="auto"/>
          </w:tcPr>
          <w:p w:rsidR="00573EE5" w:rsidRDefault="00573EE5" w:rsidP="00C631D3">
            <w:pPr>
              <w:pStyle w:val="Table-Text"/>
              <w:rPr>
                <w:sz w:val="22"/>
                <w:szCs w:val="22"/>
              </w:rPr>
            </w:pPr>
            <w:proofErr w:type="spellStart"/>
            <w:r>
              <w:rPr>
                <w:sz w:val="22"/>
                <w:szCs w:val="22"/>
              </w:rPr>
              <w:t>Coadministration</w:t>
            </w:r>
            <w:proofErr w:type="spellEnd"/>
            <w:r>
              <w:rPr>
                <w:sz w:val="22"/>
                <w:szCs w:val="22"/>
              </w:rPr>
              <w:t xml:space="preserve"> of SOVALDI with </w:t>
            </w:r>
            <w:proofErr w:type="spellStart"/>
            <w:r>
              <w:rPr>
                <w:sz w:val="22"/>
                <w:szCs w:val="22"/>
              </w:rPr>
              <w:t>tipranavir</w:t>
            </w:r>
            <w:proofErr w:type="spellEnd"/>
            <w:r>
              <w:rPr>
                <w:sz w:val="22"/>
                <w:szCs w:val="22"/>
              </w:rPr>
              <w:t>/ritonavir is ex</w:t>
            </w:r>
            <w:r w:rsidR="00C631D3">
              <w:rPr>
                <w:sz w:val="22"/>
                <w:szCs w:val="22"/>
              </w:rPr>
              <w:t>pected</w:t>
            </w:r>
            <w:r>
              <w:rPr>
                <w:sz w:val="22"/>
                <w:szCs w:val="22"/>
              </w:rPr>
              <w:t xml:space="preserve"> to decrease the concentration of </w:t>
            </w:r>
            <w:proofErr w:type="spellStart"/>
            <w:r>
              <w:rPr>
                <w:sz w:val="22"/>
                <w:szCs w:val="22"/>
              </w:rPr>
              <w:t>sofosbuvir</w:t>
            </w:r>
            <w:proofErr w:type="spellEnd"/>
            <w:r>
              <w:rPr>
                <w:sz w:val="22"/>
                <w:szCs w:val="22"/>
              </w:rPr>
              <w:t xml:space="preserve">, leading to reduced therapeutic effect of SOVALDI. </w:t>
            </w:r>
            <w:proofErr w:type="spellStart"/>
            <w:r>
              <w:rPr>
                <w:sz w:val="22"/>
                <w:szCs w:val="22"/>
              </w:rPr>
              <w:t>Coadministration</w:t>
            </w:r>
            <w:proofErr w:type="spellEnd"/>
            <w:r>
              <w:rPr>
                <w:sz w:val="22"/>
                <w:szCs w:val="22"/>
              </w:rPr>
              <w:t xml:space="preserve"> is not recommended,</w:t>
            </w:r>
          </w:p>
        </w:tc>
      </w:tr>
    </w:tbl>
    <w:p w:rsidR="003B77FC" w:rsidRPr="00951661" w:rsidRDefault="003B77FC" w:rsidP="00BF711F">
      <w:pPr>
        <w:pStyle w:val="Table-Footer"/>
        <w:keepNext w:val="0"/>
        <w:keepLines w:val="0"/>
        <w:rPr>
          <w:rFonts w:ascii="Times New Roman" w:hAnsi="Times New Roman"/>
          <w:sz w:val="18"/>
          <w:szCs w:val="18"/>
        </w:rPr>
      </w:pPr>
      <w:r w:rsidRPr="00951661">
        <w:rPr>
          <w:rFonts w:ascii="Times New Roman" w:hAnsi="Times New Roman"/>
          <w:sz w:val="18"/>
          <w:szCs w:val="18"/>
        </w:rPr>
        <w:t>a.</w:t>
      </w:r>
      <w:r w:rsidRPr="00951661">
        <w:rPr>
          <w:rFonts w:ascii="Times New Roman" w:hAnsi="Times New Roman"/>
          <w:sz w:val="18"/>
          <w:szCs w:val="18"/>
        </w:rPr>
        <w:tab/>
        <w:t>This table is not all inclusive.</w:t>
      </w:r>
    </w:p>
    <w:p w:rsidR="003B77FC" w:rsidRDefault="003B77FC" w:rsidP="00BF711F">
      <w:pPr>
        <w:pStyle w:val="Table-Footer"/>
        <w:keepNext w:val="0"/>
        <w:keepLines w:val="0"/>
        <w:rPr>
          <w:rFonts w:ascii="Times New Roman" w:hAnsi="Times New Roman"/>
          <w:sz w:val="18"/>
          <w:szCs w:val="18"/>
        </w:rPr>
      </w:pPr>
      <w:r w:rsidRPr="00951661">
        <w:rPr>
          <w:rFonts w:ascii="Times New Roman" w:hAnsi="Times New Roman"/>
          <w:sz w:val="18"/>
          <w:szCs w:val="18"/>
        </w:rPr>
        <w:t>b.</w:t>
      </w:r>
      <w:r w:rsidRPr="00951661">
        <w:rPr>
          <w:rFonts w:ascii="Times New Roman" w:hAnsi="Times New Roman"/>
          <w:sz w:val="18"/>
          <w:szCs w:val="18"/>
        </w:rPr>
        <w:tab/>
      </w:r>
      <w:r w:rsidR="00951661">
        <w:rPr>
          <w:rFonts w:ascii="Times New Roman" w:hAnsi="Times New Roman"/>
          <w:sz w:val="18"/>
          <w:szCs w:val="18"/>
        </w:rPr>
        <w:t>↑</w:t>
      </w:r>
      <w:r w:rsidRPr="00951661">
        <w:rPr>
          <w:rFonts w:ascii="Times New Roman" w:hAnsi="Times New Roman"/>
          <w:sz w:val="18"/>
          <w:szCs w:val="18"/>
        </w:rPr>
        <w:t xml:space="preserve"> = increase,</w:t>
      </w:r>
      <w:r w:rsidR="00B410B7">
        <w:rPr>
          <w:rFonts w:ascii="Times New Roman" w:hAnsi="Times New Roman"/>
          <w:sz w:val="18"/>
          <w:szCs w:val="18"/>
        </w:rPr>
        <w:t xml:space="preserve"> </w:t>
      </w:r>
      <w:r w:rsidR="00951661">
        <w:rPr>
          <w:rFonts w:ascii="Times New Roman" w:hAnsi="Times New Roman"/>
          <w:sz w:val="18"/>
          <w:szCs w:val="18"/>
        </w:rPr>
        <w:t>↓</w:t>
      </w:r>
      <w:r w:rsidRPr="00951661">
        <w:rPr>
          <w:rFonts w:ascii="Times New Roman" w:hAnsi="Times New Roman"/>
          <w:sz w:val="18"/>
          <w:szCs w:val="18"/>
        </w:rPr>
        <w:t xml:space="preserve"> = decreas</w:t>
      </w:r>
      <w:r w:rsidRPr="003B1BED">
        <w:rPr>
          <w:rFonts w:ascii="Times New Roman" w:hAnsi="Times New Roman"/>
          <w:sz w:val="18"/>
          <w:szCs w:val="18"/>
        </w:rPr>
        <w:t>e</w:t>
      </w:r>
    </w:p>
    <w:p w:rsidR="007E7DFA" w:rsidRPr="00951661" w:rsidRDefault="007E7DFA" w:rsidP="00BF711F">
      <w:pPr>
        <w:pStyle w:val="Table-Footer"/>
        <w:keepNext w:val="0"/>
        <w:keepLines w:val="0"/>
        <w:rPr>
          <w:rFonts w:ascii="Times New Roman" w:hAnsi="Times New Roman"/>
          <w:sz w:val="18"/>
          <w:szCs w:val="18"/>
          <w:shd w:val="clear" w:color="auto" w:fill="CCFFCC"/>
        </w:rPr>
      </w:pPr>
      <w:r>
        <w:rPr>
          <w:rFonts w:ascii="Times New Roman" w:hAnsi="Times New Roman"/>
          <w:sz w:val="18"/>
          <w:szCs w:val="18"/>
        </w:rPr>
        <w:t xml:space="preserve">c.     No dosage adjustment is needed when SOVALDI is </w:t>
      </w:r>
      <w:proofErr w:type="spellStart"/>
      <w:r>
        <w:rPr>
          <w:rFonts w:ascii="Times New Roman" w:hAnsi="Times New Roman"/>
          <w:sz w:val="18"/>
          <w:szCs w:val="18"/>
        </w:rPr>
        <w:t>coadministered</w:t>
      </w:r>
      <w:proofErr w:type="spellEnd"/>
      <w:r>
        <w:rPr>
          <w:rFonts w:ascii="Times New Roman" w:hAnsi="Times New Roman"/>
          <w:sz w:val="18"/>
          <w:szCs w:val="18"/>
        </w:rPr>
        <w:t xml:space="preserve"> with ritonavir and other </w:t>
      </w:r>
      <w:r w:rsidR="00C466BC">
        <w:rPr>
          <w:rFonts w:ascii="Times New Roman" w:hAnsi="Times New Roman"/>
          <w:sz w:val="18"/>
          <w:szCs w:val="18"/>
        </w:rPr>
        <w:t>protease in</w:t>
      </w:r>
      <w:r>
        <w:rPr>
          <w:rFonts w:ascii="Times New Roman" w:hAnsi="Times New Roman"/>
          <w:sz w:val="18"/>
          <w:szCs w:val="18"/>
        </w:rPr>
        <w:t>hibitors</w:t>
      </w:r>
    </w:p>
    <w:p w:rsidR="003B77FC" w:rsidRPr="00E17307" w:rsidRDefault="003B77FC" w:rsidP="00BF711F">
      <w:pPr>
        <w:pStyle w:val="Text10"/>
        <w:spacing w:after="0"/>
        <w:jc w:val="both"/>
      </w:pPr>
    </w:p>
    <w:p w:rsidR="00FE48DC" w:rsidRDefault="001D70B1" w:rsidP="00B74D17">
      <w:pPr>
        <w:pStyle w:val="Text10"/>
        <w:spacing w:after="0"/>
        <w:jc w:val="both"/>
        <w:rPr>
          <w:b/>
          <w:lang w:val="en-AU"/>
        </w:rPr>
      </w:pPr>
      <w:r w:rsidRPr="001D70B1">
        <w:rPr>
          <w:b/>
          <w:lang w:val="en-AU"/>
        </w:rPr>
        <w:t>Drugs without Clinically</w:t>
      </w:r>
      <w:r w:rsidR="00B83E92">
        <w:rPr>
          <w:b/>
          <w:lang w:val="en-AU"/>
        </w:rPr>
        <w:t xml:space="preserve"> Significant Interactions with </w:t>
      </w:r>
      <w:r w:rsidR="00D21279">
        <w:rPr>
          <w:b/>
          <w:lang w:val="en-AU"/>
        </w:rPr>
        <w:t>SOVALDI</w:t>
      </w:r>
    </w:p>
    <w:p w:rsidR="001D70B1" w:rsidRPr="00CC2AFA" w:rsidRDefault="001D70B1" w:rsidP="00BF711F">
      <w:pPr>
        <w:pStyle w:val="Text10"/>
        <w:spacing w:after="0"/>
        <w:rPr>
          <w:vertAlign w:val="superscript"/>
        </w:rPr>
      </w:pPr>
      <w:r w:rsidRPr="00B21940">
        <w:t xml:space="preserve">In addition </w:t>
      </w:r>
      <w:r w:rsidR="002A4D4E">
        <w:t>to the drugs included in Table 1</w:t>
      </w:r>
      <w:r w:rsidR="009F754D">
        <w:t>4</w:t>
      </w:r>
      <w:r w:rsidR="00B83E92">
        <w:t xml:space="preserve">, the interaction between </w:t>
      </w:r>
      <w:r w:rsidR="00D21279">
        <w:t>SOVALDI</w:t>
      </w:r>
      <w:r w:rsidRPr="00B21940">
        <w:t xml:space="preserve"> and the following drugs were evaluated in clinical trials and no dose adjustment is needed for either drug (see </w:t>
      </w:r>
      <w:r w:rsidR="00573EE5">
        <w:t xml:space="preserve">Tables </w:t>
      </w:r>
      <w:r w:rsidR="008C68CF">
        <w:t>14 and 15</w:t>
      </w:r>
      <w:r w:rsidR="00573EE5">
        <w:t xml:space="preserve"> above</w:t>
      </w:r>
      <w:r w:rsidR="00685126">
        <w:t xml:space="preserve">): </w:t>
      </w:r>
      <w:proofErr w:type="spellStart"/>
      <w:r w:rsidR="00685126">
        <w:t>cyclosporin</w:t>
      </w:r>
      <w:proofErr w:type="spellEnd"/>
      <w:r w:rsidRPr="00B21940">
        <w:t xml:space="preserve">, </w:t>
      </w:r>
      <w:proofErr w:type="spellStart"/>
      <w:r w:rsidRPr="00B21940">
        <w:t>darunavir</w:t>
      </w:r>
      <w:proofErr w:type="spellEnd"/>
      <w:r w:rsidRPr="00B21940">
        <w:t xml:space="preserve">/ritonavir, </w:t>
      </w:r>
      <w:proofErr w:type="spellStart"/>
      <w:r w:rsidRPr="00B21940">
        <w:t>emtricitabine</w:t>
      </w:r>
      <w:proofErr w:type="spellEnd"/>
      <w:r w:rsidRPr="00B21940">
        <w:t xml:space="preserve">, </w:t>
      </w:r>
      <w:proofErr w:type="spellStart"/>
      <w:r w:rsidRPr="00B21940">
        <w:t>efavirenz</w:t>
      </w:r>
      <w:proofErr w:type="spellEnd"/>
      <w:r w:rsidRPr="00B21940">
        <w:t xml:space="preserve">, methadone, </w:t>
      </w:r>
      <w:proofErr w:type="spellStart"/>
      <w:r w:rsidRPr="00B21940">
        <w:t>raltegravir</w:t>
      </w:r>
      <w:proofErr w:type="spellEnd"/>
      <w:r w:rsidRPr="00B21940">
        <w:t xml:space="preserve">, </w:t>
      </w:r>
      <w:proofErr w:type="spellStart"/>
      <w:r w:rsidRPr="00B21940">
        <w:t>rilpivirine</w:t>
      </w:r>
      <w:proofErr w:type="spellEnd"/>
      <w:r w:rsidRPr="00B21940">
        <w:t xml:space="preserve">, </w:t>
      </w:r>
      <w:proofErr w:type="spellStart"/>
      <w:r w:rsidRPr="00B21940">
        <w:t>tacrolimus</w:t>
      </w:r>
      <w:proofErr w:type="spellEnd"/>
      <w:r w:rsidRPr="00B21940">
        <w:t xml:space="preserve">, </w:t>
      </w:r>
      <w:proofErr w:type="spellStart"/>
      <w:r w:rsidRPr="00B21940">
        <w:t>tenofovir</w:t>
      </w:r>
      <w:proofErr w:type="spellEnd"/>
      <w:r w:rsidRPr="00B21940">
        <w:t xml:space="preserve"> </w:t>
      </w:r>
      <w:proofErr w:type="spellStart"/>
      <w:r w:rsidRPr="00B21940">
        <w:t>disoproxil</w:t>
      </w:r>
      <w:proofErr w:type="spellEnd"/>
      <w:r w:rsidRPr="00B21940">
        <w:t xml:space="preserve"> </w:t>
      </w:r>
      <w:proofErr w:type="spellStart"/>
      <w:r w:rsidRPr="00B21940">
        <w:t>fumarate</w:t>
      </w:r>
      <w:proofErr w:type="spellEnd"/>
      <w:r w:rsidR="007B0D36">
        <w:t xml:space="preserve"> or </w:t>
      </w:r>
      <w:r w:rsidR="00B8382B">
        <w:t>oral contraceptives</w:t>
      </w:r>
      <w:r w:rsidR="00573EE5">
        <w:t xml:space="preserve"> (</w:t>
      </w:r>
      <w:proofErr w:type="spellStart"/>
      <w:r w:rsidR="00573EE5">
        <w:t>norgestimate</w:t>
      </w:r>
      <w:proofErr w:type="spellEnd"/>
      <w:r w:rsidR="00573EE5">
        <w:t>/</w:t>
      </w:r>
      <w:proofErr w:type="spellStart"/>
      <w:r w:rsidR="00573EE5">
        <w:t>ethinyl</w:t>
      </w:r>
      <w:proofErr w:type="spellEnd"/>
      <w:r w:rsidR="00573EE5">
        <w:t xml:space="preserve"> estradiol)</w:t>
      </w:r>
      <w:r w:rsidRPr="00B21940">
        <w:t>.</w:t>
      </w:r>
    </w:p>
    <w:p w:rsidR="007254DD" w:rsidRPr="00B91472" w:rsidRDefault="007254DD" w:rsidP="00F14815">
      <w:pPr>
        <w:pStyle w:val="Text10"/>
        <w:spacing w:after="0"/>
        <w:jc w:val="both"/>
        <w:rPr>
          <w:b/>
          <w:color w:val="000000"/>
          <w:szCs w:val="24"/>
        </w:rPr>
      </w:pPr>
      <w:r w:rsidRPr="00B91472">
        <w:rPr>
          <w:b/>
          <w:color w:val="000000"/>
          <w:szCs w:val="24"/>
        </w:rPr>
        <w:lastRenderedPageBreak/>
        <w:t>Effects on ability to drive and use machines</w:t>
      </w:r>
    </w:p>
    <w:p w:rsidR="00CE6663" w:rsidRPr="009E4330" w:rsidRDefault="00B83E92" w:rsidP="00F14815">
      <w:pPr>
        <w:pStyle w:val="Text10"/>
        <w:spacing w:after="0"/>
      </w:pPr>
      <w:r>
        <w:t xml:space="preserve">No studies on the effects of </w:t>
      </w:r>
      <w:r w:rsidR="00D21279">
        <w:t>SOVALDI</w:t>
      </w:r>
      <w:r w:rsidR="00CE6663" w:rsidRPr="00B21940">
        <w:t xml:space="preserve"> on the ability to drive and use machines have been performed. However, patients should be informed that fatigue and disturbance in attention have been reported during treatment </w:t>
      </w:r>
      <w:r w:rsidR="00E32303">
        <w:t xml:space="preserve">with </w:t>
      </w:r>
      <w:r w:rsidR="00D21279">
        <w:t>SOVALDI</w:t>
      </w:r>
      <w:r w:rsidR="00CE6663" w:rsidRPr="00B21940">
        <w:t xml:space="preserve"> in combination with ribavirin and fatigue, dizziness, blurred vision and disturbance in attention have been </w:t>
      </w:r>
      <w:r w:rsidR="00E32303">
        <w:t xml:space="preserve">reported during treatment with </w:t>
      </w:r>
      <w:r w:rsidR="00D21279">
        <w:t>SOVALDI</w:t>
      </w:r>
      <w:r w:rsidR="00CE6663" w:rsidRPr="00B21940">
        <w:t xml:space="preserve"> in combination with </w:t>
      </w:r>
      <w:proofErr w:type="spellStart"/>
      <w:r w:rsidR="00CE6663" w:rsidRPr="00B21940">
        <w:t>peginterferon</w:t>
      </w:r>
      <w:proofErr w:type="spellEnd"/>
      <w:r w:rsidR="00CE6663" w:rsidRPr="00B21940">
        <w:t xml:space="preserve"> </w:t>
      </w:r>
      <w:proofErr w:type="spellStart"/>
      <w:r w:rsidR="00CE6663" w:rsidRPr="00B21940">
        <w:t>alfa</w:t>
      </w:r>
      <w:proofErr w:type="spellEnd"/>
      <w:r w:rsidR="00CE6663" w:rsidRPr="00B21940">
        <w:t xml:space="preserve"> and ribavirin.</w:t>
      </w:r>
    </w:p>
    <w:p w:rsidR="00A72531" w:rsidRPr="00A72531" w:rsidRDefault="00A72531" w:rsidP="00BF711F"/>
    <w:p w:rsidR="00B74FDB" w:rsidRDefault="007254DD" w:rsidP="00BF711F">
      <w:pPr>
        <w:pStyle w:val="Text10"/>
        <w:spacing w:after="0"/>
        <w:jc w:val="both"/>
        <w:rPr>
          <w:b/>
          <w:noProof/>
          <w:szCs w:val="24"/>
        </w:rPr>
      </w:pPr>
      <w:r w:rsidRPr="008B7865">
        <w:rPr>
          <w:b/>
          <w:noProof/>
          <w:szCs w:val="24"/>
        </w:rPr>
        <w:t xml:space="preserve">ADVERSE </w:t>
      </w:r>
      <w:r w:rsidR="00B74FDB" w:rsidRPr="008B7865">
        <w:rPr>
          <w:b/>
          <w:noProof/>
          <w:szCs w:val="24"/>
        </w:rPr>
        <w:t>EFFECTS</w:t>
      </w:r>
    </w:p>
    <w:p w:rsidR="007C12CE" w:rsidRPr="008B7865" w:rsidRDefault="007C12CE" w:rsidP="00BF711F">
      <w:pPr>
        <w:autoSpaceDE w:val="0"/>
        <w:autoSpaceDN w:val="0"/>
        <w:adjustRightInd w:val="0"/>
        <w:jc w:val="both"/>
        <w:rPr>
          <w:rFonts w:ascii="Times New Roman" w:hAnsi="Times New Roman"/>
          <w:bCs/>
          <w:sz w:val="24"/>
          <w:szCs w:val="24"/>
          <w:lang w:val="en-US"/>
        </w:rPr>
      </w:pPr>
    </w:p>
    <w:p w:rsidR="007254DD" w:rsidRPr="00575C03" w:rsidRDefault="007254DD" w:rsidP="00BF711F">
      <w:pPr>
        <w:autoSpaceDE w:val="0"/>
        <w:autoSpaceDN w:val="0"/>
        <w:adjustRightInd w:val="0"/>
        <w:jc w:val="both"/>
        <w:rPr>
          <w:rFonts w:ascii="Times New Roman" w:hAnsi="Times New Roman"/>
          <w:b/>
          <w:bCs/>
          <w:sz w:val="24"/>
          <w:szCs w:val="24"/>
          <w:highlight w:val="yellow"/>
          <w:lang w:val="en-US"/>
        </w:rPr>
      </w:pPr>
      <w:r w:rsidRPr="003150E5">
        <w:rPr>
          <w:rFonts w:ascii="Times New Roman" w:hAnsi="Times New Roman"/>
          <w:b/>
          <w:bCs/>
          <w:sz w:val="24"/>
          <w:szCs w:val="24"/>
          <w:lang w:val="en-US"/>
        </w:rPr>
        <w:t>CLINICAL TRIALS</w:t>
      </w:r>
    </w:p>
    <w:p w:rsidR="006A7A64" w:rsidRPr="00575C03" w:rsidRDefault="006A7A64" w:rsidP="00BF711F">
      <w:pPr>
        <w:autoSpaceDE w:val="0"/>
        <w:autoSpaceDN w:val="0"/>
        <w:adjustRightInd w:val="0"/>
        <w:jc w:val="both"/>
        <w:rPr>
          <w:rFonts w:ascii="Times New Roman" w:hAnsi="Times New Roman"/>
          <w:b/>
          <w:bCs/>
          <w:i/>
          <w:sz w:val="24"/>
          <w:szCs w:val="24"/>
          <w:highlight w:val="yellow"/>
          <w:lang w:val="en-US"/>
        </w:rPr>
      </w:pPr>
    </w:p>
    <w:p w:rsidR="00423B84" w:rsidRDefault="00423B84" w:rsidP="00BF711F">
      <w:pPr>
        <w:pStyle w:val="Text10"/>
      </w:pPr>
      <w:bookmarkStart w:id="21" w:name="_Ref307406456"/>
      <w:r>
        <w:t xml:space="preserve">Assessment of adverse reactions is based on pooled Phase 3 </w:t>
      </w:r>
      <w:r w:rsidR="008C68CF">
        <w:t>data</w:t>
      </w:r>
      <w:r>
        <w:t xml:space="preserve"> (both controlled and uncontrolled) inclu</w:t>
      </w:r>
      <w:r w:rsidR="007875A6">
        <w:t xml:space="preserve">ding </w:t>
      </w:r>
      <w:r w:rsidR="008C68CF">
        <w:t>650</w:t>
      </w:r>
      <w:r w:rsidR="007875A6">
        <w:t xml:space="preserve"> </w:t>
      </w:r>
      <w:r w:rsidR="00FD6E81">
        <w:t>patients</w:t>
      </w:r>
      <w:r w:rsidR="007875A6">
        <w:t xml:space="preserve"> who received </w:t>
      </w:r>
      <w:r w:rsidR="00D21279">
        <w:t>SOVALDI</w:t>
      </w:r>
      <w:r>
        <w:t xml:space="preserve"> + ribavirin  combination therapy for 12 w</w:t>
      </w:r>
      <w:r w:rsidR="007875A6">
        <w:t xml:space="preserve">eeks, 98 </w:t>
      </w:r>
      <w:r w:rsidR="00FD6E81">
        <w:t>patients</w:t>
      </w:r>
      <w:r w:rsidR="007875A6">
        <w:t xml:space="preserve"> who received </w:t>
      </w:r>
      <w:r w:rsidR="00D21279">
        <w:t>SOVALDI</w:t>
      </w:r>
      <w:r>
        <w:t xml:space="preserve"> + ribavirin  combination therapy for 16 we</w:t>
      </w:r>
      <w:r w:rsidR="007875A6">
        <w:t xml:space="preserve">eks, </w:t>
      </w:r>
      <w:r w:rsidR="008C68CF">
        <w:t xml:space="preserve">250 patients received SOVALDI + ribavirin combination therapy for 24 weeks, </w:t>
      </w:r>
      <w:r w:rsidR="007875A6">
        <w:t xml:space="preserve">327 </w:t>
      </w:r>
      <w:r w:rsidR="00FD6E81">
        <w:t>patients</w:t>
      </w:r>
      <w:r w:rsidR="007875A6">
        <w:t xml:space="preserve"> who received </w:t>
      </w:r>
      <w:r w:rsidR="00D21279">
        <w:t>SOVALDI</w:t>
      </w:r>
      <w:r>
        <w:t xml:space="preserve"> + </w:t>
      </w:r>
      <w:proofErr w:type="spellStart"/>
      <w:r>
        <w:t>peginterferon</w:t>
      </w:r>
      <w:proofErr w:type="spellEnd"/>
      <w:r>
        <w:t xml:space="preserve"> </w:t>
      </w:r>
      <w:proofErr w:type="spellStart"/>
      <w:r>
        <w:t>alfa</w:t>
      </w:r>
      <w:proofErr w:type="spellEnd"/>
      <w:r>
        <w:t xml:space="preserve"> + ribavirin  combination therapy for 12 weeks, 243 </w:t>
      </w:r>
      <w:r w:rsidR="00FD6E81">
        <w:t>patients</w:t>
      </w:r>
      <w:r>
        <w:t xml:space="preserve"> who received </w:t>
      </w:r>
      <w:proofErr w:type="spellStart"/>
      <w:r>
        <w:t>peginterferon</w:t>
      </w:r>
      <w:proofErr w:type="spellEnd"/>
      <w:r>
        <w:t xml:space="preserve"> </w:t>
      </w:r>
      <w:proofErr w:type="spellStart"/>
      <w:r>
        <w:t>alfa</w:t>
      </w:r>
      <w:proofErr w:type="spellEnd"/>
      <w:r>
        <w:t xml:space="preserve"> + ribavirin for 24 weeks and 71 </w:t>
      </w:r>
      <w:r w:rsidR="00FD6E81">
        <w:t>patients</w:t>
      </w:r>
      <w:r>
        <w:t xml:space="preserve"> who received placebo for 12 weeks. </w:t>
      </w:r>
    </w:p>
    <w:p w:rsidR="007875A6" w:rsidRDefault="00423B84" w:rsidP="00BF711F">
      <w:pPr>
        <w:pStyle w:val="Text10"/>
      </w:pPr>
      <w:r>
        <w:t xml:space="preserve">The proportion of </w:t>
      </w:r>
      <w:r w:rsidR="00FD6E81">
        <w:t>patients</w:t>
      </w:r>
      <w:r>
        <w:t xml:space="preserve"> who permanently discontinued treatment due to adverse events was 4% for </w:t>
      </w:r>
      <w:r w:rsidR="00FD6E81">
        <w:t>patients</w:t>
      </w:r>
      <w:r>
        <w:t xml:space="preserve"> receiving plac</w:t>
      </w:r>
      <w:r w:rsidR="007875A6">
        <w:t xml:space="preserve">ebo, 1% for </w:t>
      </w:r>
      <w:r w:rsidR="00FD6E81">
        <w:t>patients</w:t>
      </w:r>
      <w:r w:rsidR="007875A6">
        <w:t xml:space="preserve"> receiving </w:t>
      </w:r>
      <w:r w:rsidR="00D21279">
        <w:t>SOVALDI</w:t>
      </w:r>
      <w:r>
        <w:t xml:space="preserve"> + ribavirin for 12 we</w:t>
      </w:r>
      <w:r w:rsidR="007875A6">
        <w:t xml:space="preserve">eks, </w:t>
      </w:r>
      <w:r w:rsidR="008C68CF">
        <w:t>&lt;1% for patients receiving SOVALDI + ribavirin for 24 weeks</w:t>
      </w:r>
      <w:r>
        <w:t xml:space="preserve">, 11% for </w:t>
      </w:r>
      <w:r w:rsidR="00FD6E81">
        <w:t>patients</w:t>
      </w:r>
      <w:r>
        <w:t xml:space="preserve"> receiving </w:t>
      </w:r>
      <w:proofErr w:type="spellStart"/>
      <w:r>
        <w:t>peginterferon</w:t>
      </w:r>
      <w:proofErr w:type="spellEnd"/>
      <w:r>
        <w:t xml:space="preserve"> </w:t>
      </w:r>
      <w:proofErr w:type="spellStart"/>
      <w:r>
        <w:t>alfa</w:t>
      </w:r>
      <w:proofErr w:type="spellEnd"/>
      <w:r>
        <w:t xml:space="preserve"> + ribavirin for 24 weeks</w:t>
      </w:r>
      <w:r w:rsidR="007875A6">
        <w:t xml:space="preserve"> and 2% for </w:t>
      </w:r>
      <w:r w:rsidR="00FD6E81">
        <w:t>patients</w:t>
      </w:r>
      <w:r w:rsidR="007875A6">
        <w:t xml:space="preserve"> receiving </w:t>
      </w:r>
      <w:r w:rsidR="00D21279">
        <w:t>SOVALDI</w:t>
      </w:r>
      <w:r>
        <w:t xml:space="preserve"> + </w:t>
      </w:r>
      <w:proofErr w:type="spellStart"/>
      <w:r>
        <w:t>peginterferon</w:t>
      </w:r>
      <w:proofErr w:type="spellEnd"/>
      <w:r>
        <w:t xml:space="preserve"> </w:t>
      </w:r>
      <w:proofErr w:type="spellStart"/>
      <w:r>
        <w:t>alfa</w:t>
      </w:r>
      <w:proofErr w:type="spellEnd"/>
      <w:r>
        <w:t xml:space="preserve"> + ribavirin for 12 weeks</w:t>
      </w:r>
      <w:bookmarkEnd w:id="21"/>
      <w:r w:rsidR="007875A6">
        <w:t>.</w:t>
      </w:r>
    </w:p>
    <w:p w:rsidR="004D390A" w:rsidRDefault="004D390A" w:rsidP="004D390A">
      <w:pPr>
        <w:pStyle w:val="Text10"/>
      </w:pPr>
      <w:r>
        <w:t xml:space="preserve">Treatment-emergent adverse events observed in ≥15% of </w:t>
      </w:r>
      <w:r w:rsidR="00BF7B2A">
        <w:t>patients</w:t>
      </w:r>
      <w:r>
        <w:t xml:space="preserve"> in clinica</w:t>
      </w:r>
      <w:r w:rsidR="00E03B0A">
        <w:t>l trials are provided in Table 17</w:t>
      </w:r>
      <w:r>
        <w:t>. A side-by-side tabulation is to simplify presentation; direct comparison across trials should not be made due to differing trial designs.</w:t>
      </w:r>
    </w:p>
    <w:p w:rsidR="004D390A" w:rsidRDefault="004D390A" w:rsidP="004D390A">
      <w:pPr>
        <w:pStyle w:val="Text10"/>
      </w:pPr>
      <w:r>
        <w:t xml:space="preserve">The most common adverse events (≥ 20%) for SOVALDI + ribavirin combination therapy were fatigue and headache. The most common adverse events (≥ 20%) for SOVALDI + </w:t>
      </w:r>
      <w:proofErr w:type="spellStart"/>
      <w:r>
        <w:t>peginterferon</w:t>
      </w:r>
      <w:proofErr w:type="spellEnd"/>
      <w:r>
        <w:t xml:space="preserve"> </w:t>
      </w:r>
      <w:proofErr w:type="spellStart"/>
      <w:r>
        <w:t>alfa</w:t>
      </w:r>
      <w:proofErr w:type="spellEnd"/>
      <w:r>
        <w:t xml:space="preserve"> + ribavirin combination therapy were fatigue, headache, nausea, insomnia and </w:t>
      </w:r>
      <w:proofErr w:type="spellStart"/>
      <w:r>
        <w:t>anaemia</w:t>
      </w:r>
      <w:proofErr w:type="spellEnd"/>
      <w:r>
        <w:t>.</w:t>
      </w:r>
    </w:p>
    <w:p w:rsidR="00946408" w:rsidRDefault="00946408">
      <w:pPr>
        <w:rPr>
          <w:rFonts w:ascii="Times New Roman" w:hAnsi="Times New Roman"/>
          <w:b/>
          <w:sz w:val="22"/>
          <w:lang w:val="en-US"/>
        </w:rPr>
      </w:pPr>
      <w:r>
        <w:rPr>
          <w:rFonts w:ascii="Times New Roman" w:hAnsi="Times New Roman"/>
        </w:rPr>
        <w:br w:type="page"/>
      </w:r>
    </w:p>
    <w:p w:rsidR="0074278E" w:rsidRPr="0074278E" w:rsidRDefault="004D390A" w:rsidP="0074278E">
      <w:pPr>
        <w:pStyle w:val="Caption"/>
        <w:rPr>
          <w:rFonts w:ascii="Times New Roman" w:hAnsi="Times New Roman"/>
        </w:rPr>
      </w:pPr>
      <w:r w:rsidRPr="00866CDE">
        <w:rPr>
          <w:rFonts w:ascii="Times New Roman" w:hAnsi="Times New Roman"/>
        </w:rPr>
        <w:lastRenderedPageBreak/>
        <w:t xml:space="preserve">Table </w:t>
      </w:r>
      <w:r>
        <w:rPr>
          <w:rFonts w:ascii="Times New Roman" w:hAnsi="Times New Roman"/>
        </w:rPr>
        <w:t>17</w:t>
      </w:r>
      <w:r>
        <w:rPr>
          <w:rFonts w:ascii="Times New Roman" w:hAnsi="Times New Roman"/>
        </w:rPr>
        <w:tab/>
      </w:r>
      <w:r w:rsidR="0074278E" w:rsidRPr="0074278E">
        <w:rPr>
          <w:rFonts w:ascii="Times New Roman" w:hAnsi="Times New Roman"/>
        </w:rPr>
        <w:t xml:space="preserve">Treatment-Emergent Adverse Drug Reactions (Grade 2 and Higher) Reported in at </w:t>
      </w:r>
      <w:r w:rsidR="00064633">
        <w:rPr>
          <w:rFonts w:ascii="Times New Roman" w:hAnsi="Times New Roman"/>
        </w:rPr>
        <w:t>≥ 15</w:t>
      </w:r>
      <w:r w:rsidR="0074278E" w:rsidRPr="0074278E">
        <w:rPr>
          <w:rFonts w:ascii="Times New Roman" w:hAnsi="Times New Roman"/>
        </w:rPr>
        <w:t xml:space="preserve">% of </w:t>
      </w:r>
      <w:r w:rsidR="00BF7B2A">
        <w:rPr>
          <w:rFonts w:ascii="Times New Roman" w:hAnsi="Times New Roman"/>
        </w:rPr>
        <w:t>Patients</w:t>
      </w:r>
      <w:r w:rsidR="0074278E" w:rsidRPr="0074278E">
        <w:rPr>
          <w:rFonts w:ascii="Times New Roman" w:hAnsi="Times New Roman"/>
        </w:rPr>
        <w:t xml:space="preserve"> in Any Treatment </w:t>
      </w:r>
      <w:proofErr w:type="spellStart"/>
      <w:r w:rsidR="0074278E" w:rsidRPr="0074278E">
        <w:rPr>
          <w:rFonts w:ascii="Times New Roman" w:hAnsi="Times New Roman"/>
        </w:rPr>
        <w:t>Arm</w:t>
      </w:r>
      <w:r w:rsidR="0074278E" w:rsidRPr="0074278E">
        <w:rPr>
          <w:rFonts w:ascii="Times New Roman" w:hAnsi="Times New Roman"/>
          <w:vertAlign w:val="superscript"/>
        </w:rPr>
        <w:t>a</w:t>
      </w:r>
      <w:proofErr w:type="gramStart"/>
      <w:r w:rsidR="0074278E" w:rsidRPr="0074278E">
        <w:rPr>
          <w:rFonts w:ascii="Times New Roman" w:hAnsi="Times New Roman"/>
          <w:vertAlign w:val="superscript"/>
        </w:rPr>
        <w:t>,b</w:t>
      </w:r>
      <w:proofErr w:type="spellEnd"/>
      <w:proofErr w:type="gramEnd"/>
    </w:p>
    <w:tbl>
      <w:tblPr>
        <w:tblW w:w="5000" w:type="pct"/>
        <w:tblBorders>
          <w:top w:val="single" w:sz="12" w:space="0" w:color="auto"/>
          <w:bottom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310"/>
        <w:gridCol w:w="1430"/>
        <w:gridCol w:w="1430"/>
        <w:gridCol w:w="1331"/>
        <w:gridCol w:w="1331"/>
        <w:gridCol w:w="1802"/>
      </w:tblGrid>
      <w:tr w:rsidR="00064633" w:rsidRPr="00ED5ECB" w:rsidTr="00064633">
        <w:trPr>
          <w:cantSplit/>
          <w:tblHeader/>
        </w:trPr>
        <w:tc>
          <w:tcPr>
            <w:tcW w:w="1199" w:type="pct"/>
            <w:tcBorders>
              <w:top w:val="single" w:sz="12" w:space="0" w:color="auto"/>
              <w:bottom w:val="single" w:sz="12" w:space="0" w:color="auto"/>
            </w:tcBorders>
            <w:shd w:val="clear" w:color="auto" w:fill="auto"/>
            <w:vAlign w:val="bottom"/>
          </w:tcPr>
          <w:p w:rsidR="00064633" w:rsidRPr="00ED5ECB" w:rsidRDefault="00064633" w:rsidP="0074278E">
            <w:pPr>
              <w:pStyle w:val="Table-Heading"/>
            </w:pPr>
          </w:p>
        </w:tc>
        <w:tc>
          <w:tcPr>
            <w:tcW w:w="2175" w:type="pct"/>
            <w:gridSpan w:val="3"/>
            <w:tcBorders>
              <w:top w:val="single" w:sz="12" w:space="0" w:color="auto"/>
              <w:bottom w:val="single" w:sz="12" w:space="0" w:color="auto"/>
            </w:tcBorders>
            <w:vAlign w:val="bottom"/>
          </w:tcPr>
          <w:p w:rsidR="00064633" w:rsidRPr="00ED5ECB" w:rsidRDefault="00064633" w:rsidP="00064633">
            <w:pPr>
              <w:pStyle w:val="Table-Heading"/>
              <w:jc w:val="center"/>
            </w:pPr>
            <w:r w:rsidRPr="00F3010B">
              <w:rPr>
                <w:rFonts w:cs="Arial"/>
              </w:rPr>
              <w:t>Interferon-free Regimens</w:t>
            </w:r>
          </w:p>
        </w:tc>
        <w:tc>
          <w:tcPr>
            <w:tcW w:w="1626" w:type="pct"/>
            <w:gridSpan w:val="2"/>
            <w:tcBorders>
              <w:top w:val="single" w:sz="12" w:space="0" w:color="auto"/>
              <w:bottom w:val="single" w:sz="12" w:space="0" w:color="auto"/>
            </w:tcBorders>
            <w:vAlign w:val="bottom"/>
          </w:tcPr>
          <w:p w:rsidR="00064633" w:rsidRPr="00ED5ECB" w:rsidRDefault="00064633" w:rsidP="00064633">
            <w:pPr>
              <w:pStyle w:val="Table-Heading"/>
              <w:jc w:val="center"/>
            </w:pPr>
            <w:r w:rsidRPr="00F3010B">
              <w:rPr>
                <w:rFonts w:cs="Arial"/>
              </w:rPr>
              <w:t>Interferon-containing Regimens</w:t>
            </w:r>
          </w:p>
        </w:tc>
      </w:tr>
      <w:tr w:rsidR="0074278E" w:rsidRPr="00ED5ECB" w:rsidTr="00064633">
        <w:trPr>
          <w:cantSplit/>
          <w:tblHeader/>
        </w:trPr>
        <w:tc>
          <w:tcPr>
            <w:tcW w:w="1199" w:type="pct"/>
            <w:tcBorders>
              <w:top w:val="single" w:sz="12" w:space="0" w:color="auto"/>
              <w:bottom w:val="single" w:sz="12" w:space="0" w:color="auto"/>
            </w:tcBorders>
            <w:shd w:val="clear" w:color="auto" w:fill="auto"/>
            <w:vAlign w:val="bottom"/>
          </w:tcPr>
          <w:p w:rsidR="0074278E" w:rsidRPr="00ED5ECB" w:rsidRDefault="0074278E" w:rsidP="0074278E">
            <w:pPr>
              <w:pStyle w:val="Table-Heading"/>
            </w:pPr>
          </w:p>
        </w:tc>
        <w:tc>
          <w:tcPr>
            <w:tcW w:w="742" w:type="pct"/>
            <w:tcBorders>
              <w:top w:val="single" w:sz="12" w:space="0" w:color="auto"/>
              <w:bottom w:val="single" w:sz="12" w:space="0" w:color="auto"/>
            </w:tcBorders>
            <w:vAlign w:val="center"/>
          </w:tcPr>
          <w:p w:rsidR="00064633" w:rsidRDefault="0074278E" w:rsidP="00064633">
            <w:pPr>
              <w:pStyle w:val="Table-Heading"/>
              <w:jc w:val="center"/>
            </w:pPr>
            <w:r w:rsidRPr="00ED5ECB">
              <w:t>PBO</w:t>
            </w:r>
          </w:p>
          <w:p w:rsidR="0074278E" w:rsidRPr="00ED5ECB" w:rsidRDefault="00064633" w:rsidP="00064633">
            <w:pPr>
              <w:pStyle w:val="Table-Heading"/>
              <w:jc w:val="center"/>
            </w:pPr>
            <w:r>
              <w:t>12 weeks</w:t>
            </w:r>
            <w:r w:rsidR="0074278E" w:rsidRPr="00ED5ECB">
              <w:br/>
            </w:r>
          </w:p>
        </w:tc>
        <w:tc>
          <w:tcPr>
            <w:tcW w:w="742" w:type="pct"/>
            <w:tcBorders>
              <w:top w:val="single" w:sz="12" w:space="0" w:color="auto"/>
              <w:bottom w:val="single" w:sz="12" w:space="0" w:color="auto"/>
            </w:tcBorders>
            <w:shd w:val="clear" w:color="auto" w:fill="auto"/>
            <w:vAlign w:val="center"/>
          </w:tcPr>
          <w:p w:rsidR="0074278E" w:rsidRPr="00ED5ECB" w:rsidRDefault="0074278E" w:rsidP="00064633">
            <w:pPr>
              <w:pStyle w:val="Table-Heading"/>
              <w:jc w:val="center"/>
            </w:pPr>
            <w:r w:rsidRPr="00ED5ECB">
              <w:t>SOVALDI</w:t>
            </w:r>
            <w:r w:rsidRPr="00ED5ECB">
              <w:br/>
              <w:t>+RBV</w:t>
            </w:r>
            <w:r w:rsidRPr="00ED5ECB">
              <w:br/>
              <w:t xml:space="preserve">12 weeks </w:t>
            </w:r>
            <w:r w:rsidRPr="00ED5ECB">
              <w:br/>
            </w:r>
          </w:p>
        </w:tc>
        <w:tc>
          <w:tcPr>
            <w:tcW w:w="691" w:type="pct"/>
            <w:tcBorders>
              <w:top w:val="single" w:sz="12" w:space="0" w:color="auto"/>
              <w:bottom w:val="single" w:sz="12" w:space="0" w:color="auto"/>
            </w:tcBorders>
            <w:shd w:val="clear" w:color="auto" w:fill="auto"/>
            <w:vAlign w:val="center"/>
          </w:tcPr>
          <w:p w:rsidR="0074278E" w:rsidRPr="00ED5ECB" w:rsidRDefault="0074278E" w:rsidP="00064633">
            <w:pPr>
              <w:pStyle w:val="Table-Heading"/>
              <w:jc w:val="center"/>
            </w:pPr>
            <w:r w:rsidRPr="00ED5ECB">
              <w:t>SOVALDI</w:t>
            </w:r>
            <w:r w:rsidRPr="00ED5ECB">
              <w:br/>
              <w:t>+RBV</w:t>
            </w:r>
            <w:r w:rsidRPr="00ED5ECB">
              <w:br/>
            </w:r>
            <w:r w:rsidR="00064633">
              <w:t>24</w:t>
            </w:r>
            <w:r w:rsidRPr="00ED5ECB">
              <w:t xml:space="preserve"> weeks</w:t>
            </w:r>
            <w:r w:rsidRPr="00ED5ECB">
              <w:br/>
              <w:t>(N=98)</w:t>
            </w:r>
          </w:p>
        </w:tc>
        <w:tc>
          <w:tcPr>
            <w:tcW w:w="691" w:type="pct"/>
            <w:tcBorders>
              <w:top w:val="single" w:sz="12" w:space="0" w:color="auto"/>
              <w:bottom w:val="single" w:sz="12" w:space="0" w:color="auto"/>
            </w:tcBorders>
            <w:vAlign w:val="center"/>
          </w:tcPr>
          <w:p w:rsidR="0074278E" w:rsidRPr="00ED5ECB" w:rsidRDefault="0074278E" w:rsidP="00064633">
            <w:pPr>
              <w:pStyle w:val="Table-Heading"/>
              <w:jc w:val="center"/>
            </w:pPr>
            <w:r w:rsidRPr="00ED5ECB">
              <w:t>PEG+RBV</w:t>
            </w:r>
            <w:r w:rsidRPr="00ED5ECB">
              <w:br/>
              <w:t>24 weeks</w:t>
            </w:r>
          </w:p>
        </w:tc>
        <w:tc>
          <w:tcPr>
            <w:tcW w:w="935" w:type="pct"/>
            <w:tcBorders>
              <w:top w:val="single" w:sz="12" w:space="0" w:color="auto"/>
              <w:bottom w:val="single" w:sz="12" w:space="0" w:color="auto"/>
            </w:tcBorders>
            <w:vAlign w:val="center"/>
          </w:tcPr>
          <w:p w:rsidR="0074278E" w:rsidRPr="00ED5ECB" w:rsidRDefault="0074278E" w:rsidP="00064633">
            <w:pPr>
              <w:pStyle w:val="Table-Heading"/>
              <w:jc w:val="center"/>
            </w:pPr>
            <w:r w:rsidRPr="00ED5ECB">
              <w:t>SOVALDI</w:t>
            </w:r>
            <w:r w:rsidRPr="00ED5ECB">
              <w:br/>
              <w:t>+PEG+RBV</w:t>
            </w:r>
            <w:r w:rsidRPr="00ED5ECB">
              <w:br/>
              <w:t>12 weeks</w:t>
            </w:r>
            <w:r w:rsidRPr="00ED5ECB">
              <w:br/>
            </w:r>
          </w:p>
        </w:tc>
      </w:tr>
      <w:tr w:rsidR="0074278E" w:rsidRPr="00ED5ECB" w:rsidTr="00064633">
        <w:trPr>
          <w:cantSplit/>
        </w:trPr>
        <w:tc>
          <w:tcPr>
            <w:tcW w:w="1199" w:type="pct"/>
            <w:tcBorders>
              <w:top w:val="single" w:sz="12" w:space="0" w:color="auto"/>
            </w:tcBorders>
            <w:shd w:val="clear" w:color="auto" w:fill="auto"/>
            <w:vAlign w:val="center"/>
          </w:tcPr>
          <w:p w:rsidR="0074278E" w:rsidRPr="00ED5ECB" w:rsidRDefault="0074278E" w:rsidP="0074278E">
            <w:pPr>
              <w:pStyle w:val="TableLeft"/>
              <w:keepNext/>
              <w:keepLines/>
            </w:pPr>
          </w:p>
        </w:tc>
        <w:tc>
          <w:tcPr>
            <w:tcW w:w="742" w:type="pct"/>
            <w:tcBorders>
              <w:top w:val="single" w:sz="12" w:space="0" w:color="auto"/>
            </w:tcBorders>
            <w:vAlign w:val="center"/>
          </w:tcPr>
          <w:p w:rsidR="0074278E" w:rsidRPr="00064633" w:rsidRDefault="00064633" w:rsidP="001308A0">
            <w:pPr>
              <w:pStyle w:val="TableCenter"/>
              <w:keepNext/>
              <w:keepLines/>
              <w:rPr>
                <w:sz w:val="20"/>
                <w:szCs w:val="20"/>
              </w:rPr>
            </w:pPr>
            <w:r w:rsidRPr="00064633">
              <w:rPr>
                <w:sz w:val="20"/>
                <w:szCs w:val="20"/>
              </w:rPr>
              <w:t>N=71</w:t>
            </w:r>
          </w:p>
        </w:tc>
        <w:tc>
          <w:tcPr>
            <w:tcW w:w="742" w:type="pct"/>
            <w:tcBorders>
              <w:top w:val="single" w:sz="12" w:space="0" w:color="auto"/>
            </w:tcBorders>
            <w:shd w:val="clear" w:color="auto" w:fill="auto"/>
            <w:vAlign w:val="center"/>
          </w:tcPr>
          <w:p w:rsidR="0074278E" w:rsidRPr="00064633" w:rsidRDefault="00064633" w:rsidP="001308A0">
            <w:pPr>
              <w:pStyle w:val="TableCenter"/>
              <w:keepNext/>
              <w:keepLines/>
              <w:rPr>
                <w:sz w:val="20"/>
                <w:szCs w:val="20"/>
              </w:rPr>
            </w:pPr>
            <w:r w:rsidRPr="00064633">
              <w:rPr>
                <w:sz w:val="20"/>
                <w:szCs w:val="20"/>
              </w:rPr>
              <w:t>N=650</w:t>
            </w:r>
          </w:p>
        </w:tc>
        <w:tc>
          <w:tcPr>
            <w:tcW w:w="691" w:type="pct"/>
            <w:tcBorders>
              <w:top w:val="single" w:sz="12" w:space="0" w:color="auto"/>
            </w:tcBorders>
            <w:shd w:val="clear" w:color="auto" w:fill="auto"/>
            <w:vAlign w:val="center"/>
          </w:tcPr>
          <w:p w:rsidR="0074278E" w:rsidRPr="00064633" w:rsidRDefault="00064633" w:rsidP="001308A0">
            <w:pPr>
              <w:pStyle w:val="TableCenter"/>
              <w:keepNext/>
              <w:keepLines/>
              <w:rPr>
                <w:sz w:val="20"/>
                <w:szCs w:val="20"/>
              </w:rPr>
            </w:pPr>
            <w:r w:rsidRPr="00064633">
              <w:rPr>
                <w:sz w:val="20"/>
                <w:szCs w:val="20"/>
              </w:rPr>
              <w:t>N=250</w:t>
            </w:r>
          </w:p>
        </w:tc>
        <w:tc>
          <w:tcPr>
            <w:tcW w:w="691" w:type="pct"/>
            <w:tcBorders>
              <w:top w:val="single" w:sz="12" w:space="0" w:color="auto"/>
            </w:tcBorders>
            <w:vAlign w:val="center"/>
          </w:tcPr>
          <w:p w:rsidR="0074278E" w:rsidRPr="00FB1EA9" w:rsidRDefault="00064633" w:rsidP="001308A0">
            <w:pPr>
              <w:pStyle w:val="TableCenter"/>
              <w:keepNext/>
              <w:keepLines/>
              <w:rPr>
                <w:sz w:val="20"/>
                <w:szCs w:val="20"/>
              </w:rPr>
            </w:pPr>
            <w:r w:rsidRPr="00FB1EA9">
              <w:rPr>
                <w:sz w:val="20"/>
                <w:szCs w:val="20"/>
              </w:rPr>
              <w:t>N=243</w:t>
            </w:r>
          </w:p>
        </w:tc>
        <w:tc>
          <w:tcPr>
            <w:tcW w:w="935" w:type="pct"/>
            <w:tcBorders>
              <w:top w:val="single" w:sz="12" w:space="0" w:color="auto"/>
            </w:tcBorders>
            <w:vAlign w:val="center"/>
          </w:tcPr>
          <w:p w:rsidR="0074278E" w:rsidRPr="001308A0" w:rsidRDefault="004B3568" w:rsidP="004B3568">
            <w:pPr>
              <w:pStyle w:val="TableCenter"/>
              <w:keepNext/>
              <w:keepLines/>
              <w:jc w:val="left"/>
              <w:rPr>
                <w:sz w:val="20"/>
                <w:szCs w:val="20"/>
              </w:rPr>
            </w:pPr>
            <w:r>
              <w:rPr>
                <w:sz w:val="20"/>
                <w:szCs w:val="20"/>
              </w:rPr>
              <w:t xml:space="preserve">           </w:t>
            </w:r>
            <w:r w:rsidR="00064633" w:rsidRPr="00FB1EA9">
              <w:rPr>
                <w:sz w:val="20"/>
                <w:szCs w:val="20"/>
              </w:rPr>
              <w:t>N=327</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Fatigue</w:t>
            </w:r>
          </w:p>
        </w:tc>
        <w:tc>
          <w:tcPr>
            <w:tcW w:w="742" w:type="pct"/>
            <w:vAlign w:val="center"/>
          </w:tcPr>
          <w:p w:rsidR="00064633" w:rsidRPr="00ED5ECB" w:rsidRDefault="00064633" w:rsidP="0074278E">
            <w:pPr>
              <w:pStyle w:val="TableCenter"/>
              <w:keepNext/>
              <w:keepLines/>
            </w:pPr>
            <w:r w:rsidRPr="00F3010B">
              <w:rPr>
                <w:rFonts w:cs="Arial"/>
                <w:sz w:val="20"/>
              </w:rPr>
              <w:t>24%</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38%</w:t>
            </w:r>
          </w:p>
        </w:tc>
        <w:tc>
          <w:tcPr>
            <w:tcW w:w="691" w:type="pct"/>
            <w:shd w:val="clear" w:color="auto" w:fill="auto"/>
          </w:tcPr>
          <w:p w:rsidR="00064633" w:rsidRPr="00ED5ECB" w:rsidRDefault="00064633" w:rsidP="0074278E">
            <w:pPr>
              <w:pStyle w:val="TableCenter"/>
              <w:keepNext/>
              <w:keepLines/>
            </w:pPr>
            <w:r w:rsidRPr="00F3010B">
              <w:rPr>
                <w:rFonts w:cs="Arial"/>
                <w:sz w:val="20"/>
              </w:rPr>
              <w:t>30%</w:t>
            </w:r>
          </w:p>
        </w:tc>
        <w:tc>
          <w:tcPr>
            <w:tcW w:w="691" w:type="pct"/>
          </w:tcPr>
          <w:p w:rsidR="00064633" w:rsidRPr="00FB1EA9" w:rsidRDefault="00064633" w:rsidP="0074278E">
            <w:pPr>
              <w:pStyle w:val="TableCenter"/>
              <w:keepNext/>
              <w:keepLines/>
              <w:rPr>
                <w:sz w:val="20"/>
                <w:szCs w:val="20"/>
              </w:rPr>
            </w:pPr>
            <w:r w:rsidRPr="00FB1EA9">
              <w:rPr>
                <w:sz w:val="20"/>
                <w:szCs w:val="20"/>
              </w:rPr>
              <w:t>55%</w:t>
            </w:r>
          </w:p>
        </w:tc>
        <w:tc>
          <w:tcPr>
            <w:tcW w:w="935" w:type="pct"/>
          </w:tcPr>
          <w:p w:rsidR="00064633" w:rsidRPr="00FB1EA9" w:rsidRDefault="00064633" w:rsidP="0074278E">
            <w:pPr>
              <w:pStyle w:val="TableCenter"/>
              <w:keepNext/>
              <w:keepLines/>
              <w:rPr>
                <w:sz w:val="20"/>
                <w:szCs w:val="20"/>
              </w:rPr>
            </w:pPr>
            <w:r w:rsidRPr="00FB1EA9">
              <w:rPr>
                <w:sz w:val="20"/>
                <w:szCs w:val="20"/>
              </w:rPr>
              <w:t>59%</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Headache</w:t>
            </w:r>
          </w:p>
        </w:tc>
        <w:tc>
          <w:tcPr>
            <w:tcW w:w="742" w:type="pct"/>
            <w:vAlign w:val="center"/>
          </w:tcPr>
          <w:p w:rsidR="00064633" w:rsidRPr="00ED5ECB" w:rsidRDefault="00064633" w:rsidP="0074278E">
            <w:pPr>
              <w:pStyle w:val="TableCenter"/>
              <w:keepNext/>
              <w:keepLines/>
            </w:pPr>
            <w:r w:rsidRPr="00F3010B">
              <w:rPr>
                <w:rFonts w:cs="Arial"/>
                <w:sz w:val="20"/>
              </w:rPr>
              <w:t>20%</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24%</w:t>
            </w:r>
          </w:p>
        </w:tc>
        <w:tc>
          <w:tcPr>
            <w:tcW w:w="691" w:type="pct"/>
            <w:shd w:val="clear" w:color="auto" w:fill="auto"/>
          </w:tcPr>
          <w:p w:rsidR="00064633" w:rsidRPr="00ED5ECB" w:rsidRDefault="00064633" w:rsidP="0074278E">
            <w:pPr>
              <w:pStyle w:val="TableCenter"/>
              <w:keepNext/>
              <w:keepLines/>
            </w:pPr>
            <w:r w:rsidRPr="00F3010B">
              <w:rPr>
                <w:rFonts w:cs="Arial"/>
                <w:sz w:val="20"/>
              </w:rPr>
              <w:t>30%</w:t>
            </w:r>
          </w:p>
        </w:tc>
        <w:tc>
          <w:tcPr>
            <w:tcW w:w="691" w:type="pct"/>
          </w:tcPr>
          <w:p w:rsidR="00064633" w:rsidRPr="00FB1EA9" w:rsidRDefault="00064633" w:rsidP="0074278E">
            <w:pPr>
              <w:pStyle w:val="TableCenter"/>
              <w:keepNext/>
              <w:keepLines/>
              <w:rPr>
                <w:sz w:val="20"/>
                <w:szCs w:val="20"/>
              </w:rPr>
            </w:pPr>
            <w:r w:rsidRPr="00FB1EA9">
              <w:rPr>
                <w:sz w:val="20"/>
                <w:szCs w:val="20"/>
              </w:rPr>
              <w:t>44%</w:t>
            </w:r>
          </w:p>
        </w:tc>
        <w:tc>
          <w:tcPr>
            <w:tcW w:w="935" w:type="pct"/>
          </w:tcPr>
          <w:p w:rsidR="00064633" w:rsidRPr="00FB1EA9" w:rsidRDefault="00064633" w:rsidP="0074278E">
            <w:pPr>
              <w:pStyle w:val="TableCenter"/>
              <w:keepNext/>
              <w:keepLines/>
              <w:rPr>
                <w:sz w:val="20"/>
                <w:szCs w:val="20"/>
              </w:rPr>
            </w:pPr>
            <w:r w:rsidRPr="00FB1EA9">
              <w:rPr>
                <w:sz w:val="20"/>
                <w:szCs w:val="20"/>
              </w:rPr>
              <w:t>36%</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Nausea</w:t>
            </w:r>
          </w:p>
        </w:tc>
        <w:tc>
          <w:tcPr>
            <w:tcW w:w="742" w:type="pct"/>
            <w:vAlign w:val="center"/>
          </w:tcPr>
          <w:p w:rsidR="00064633" w:rsidRPr="00ED5ECB" w:rsidRDefault="00064633" w:rsidP="0074278E">
            <w:pPr>
              <w:pStyle w:val="TableCenter"/>
              <w:keepNext/>
              <w:keepLines/>
            </w:pPr>
            <w:r w:rsidRPr="00F3010B">
              <w:rPr>
                <w:rFonts w:cs="Arial"/>
                <w:sz w:val="20"/>
              </w:rPr>
              <w:t>18%</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22%</w:t>
            </w:r>
          </w:p>
        </w:tc>
        <w:tc>
          <w:tcPr>
            <w:tcW w:w="691" w:type="pct"/>
            <w:shd w:val="clear" w:color="auto" w:fill="auto"/>
          </w:tcPr>
          <w:p w:rsidR="00064633" w:rsidRPr="00ED5ECB" w:rsidRDefault="00064633" w:rsidP="0074278E">
            <w:pPr>
              <w:pStyle w:val="TableCenter"/>
              <w:keepNext/>
              <w:keepLines/>
            </w:pPr>
            <w:r w:rsidRPr="00F3010B">
              <w:rPr>
                <w:rFonts w:cs="Arial"/>
                <w:sz w:val="20"/>
              </w:rPr>
              <w:t>13%</w:t>
            </w:r>
          </w:p>
        </w:tc>
        <w:tc>
          <w:tcPr>
            <w:tcW w:w="691" w:type="pct"/>
          </w:tcPr>
          <w:p w:rsidR="00064633" w:rsidRPr="00FB1EA9" w:rsidRDefault="00064633" w:rsidP="0074278E">
            <w:pPr>
              <w:pStyle w:val="TableCenter"/>
              <w:keepNext/>
              <w:keepLines/>
              <w:rPr>
                <w:sz w:val="20"/>
                <w:szCs w:val="20"/>
              </w:rPr>
            </w:pPr>
            <w:r w:rsidRPr="00FB1EA9">
              <w:rPr>
                <w:sz w:val="20"/>
                <w:szCs w:val="20"/>
              </w:rPr>
              <w:t>29%</w:t>
            </w:r>
          </w:p>
        </w:tc>
        <w:tc>
          <w:tcPr>
            <w:tcW w:w="935" w:type="pct"/>
          </w:tcPr>
          <w:p w:rsidR="00064633" w:rsidRPr="00FB1EA9" w:rsidRDefault="00064633" w:rsidP="0074278E">
            <w:pPr>
              <w:pStyle w:val="TableCenter"/>
              <w:keepNext/>
              <w:keepLines/>
              <w:rPr>
                <w:sz w:val="20"/>
                <w:szCs w:val="20"/>
              </w:rPr>
            </w:pPr>
            <w:r w:rsidRPr="00FB1EA9">
              <w:rPr>
                <w:sz w:val="20"/>
                <w:szCs w:val="20"/>
              </w:rPr>
              <w:t>34%</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Insomnia</w:t>
            </w:r>
          </w:p>
        </w:tc>
        <w:tc>
          <w:tcPr>
            <w:tcW w:w="742" w:type="pct"/>
            <w:vAlign w:val="center"/>
          </w:tcPr>
          <w:p w:rsidR="00064633" w:rsidRPr="00ED5ECB" w:rsidRDefault="00064633" w:rsidP="0074278E">
            <w:pPr>
              <w:pStyle w:val="TableCenter"/>
              <w:keepNext/>
              <w:keepLines/>
            </w:pPr>
            <w:r w:rsidRPr="00F3010B">
              <w:rPr>
                <w:rFonts w:cs="Arial"/>
                <w:sz w:val="20"/>
              </w:rPr>
              <w:t>4%</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15%</w:t>
            </w:r>
          </w:p>
        </w:tc>
        <w:tc>
          <w:tcPr>
            <w:tcW w:w="691" w:type="pct"/>
            <w:shd w:val="clear" w:color="auto" w:fill="auto"/>
          </w:tcPr>
          <w:p w:rsidR="00064633" w:rsidRPr="00ED5ECB" w:rsidRDefault="00064633" w:rsidP="0074278E">
            <w:pPr>
              <w:pStyle w:val="TableCenter"/>
              <w:keepNext/>
              <w:keepLines/>
            </w:pPr>
            <w:r w:rsidRPr="00F3010B">
              <w:rPr>
                <w:rFonts w:cs="Arial"/>
                <w:sz w:val="20"/>
              </w:rPr>
              <w:t>16%</w:t>
            </w:r>
          </w:p>
        </w:tc>
        <w:tc>
          <w:tcPr>
            <w:tcW w:w="691" w:type="pct"/>
          </w:tcPr>
          <w:p w:rsidR="00064633" w:rsidRPr="00FB1EA9" w:rsidRDefault="00064633" w:rsidP="0074278E">
            <w:pPr>
              <w:pStyle w:val="TableCenter"/>
              <w:keepNext/>
              <w:keepLines/>
              <w:rPr>
                <w:sz w:val="20"/>
                <w:szCs w:val="20"/>
              </w:rPr>
            </w:pPr>
            <w:r w:rsidRPr="00FB1EA9">
              <w:rPr>
                <w:sz w:val="20"/>
                <w:szCs w:val="20"/>
              </w:rPr>
              <w:t>29%</w:t>
            </w:r>
          </w:p>
        </w:tc>
        <w:tc>
          <w:tcPr>
            <w:tcW w:w="935" w:type="pct"/>
          </w:tcPr>
          <w:p w:rsidR="00064633" w:rsidRPr="00FB1EA9" w:rsidRDefault="00064633" w:rsidP="0074278E">
            <w:pPr>
              <w:pStyle w:val="TableCenter"/>
              <w:keepNext/>
              <w:keepLines/>
              <w:rPr>
                <w:sz w:val="20"/>
                <w:szCs w:val="20"/>
              </w:rPr>
            </w:pPr>
            <w:r w:rsidRPr="00FB1EA9">
              <w:rPr>
                <w:sz w:val="20"/>
                <w:szCs w:val="20"/>
              </w:rPr>
              <w:t>25%</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rPr>
                <w:b/>
              </w:rPr>
            </w:pPr>
            <w:r w:rsidRPr="00F3010B">
              <w:t>Pruritus</w:t>
            </w:r>
          </w:p>
        </w:tc>
        <w:tc>
          <w:tcPr>
            <w:tcW w:w="742" w:type="pct"/>
            <w:vAlign w:val="center"/>
          </w:tcPr>
          <w:p w:rsidR="00064633" w:rsidRPr="00ED5ECB" w:rsidRDefault="00064633" w:rsidP="0074278E">
            <w:pPr>
              <w:pStyle w:val="TableCenter"/>
              <w:keepNext/>
              <w:keepLines/>
            </w:pPr>
            <w:r w:rsidRPr="00F3010B">
              <w:rPr>
                <w:rFonts w:cs="Arial"/>
                <w:sz w:val="20"/>
              </w:rPr>
              <w:t>8%</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11%</w:t>
            </w:r>
          </w:p>
        </w:tc>
        <w:tc>
          <w:tcPr>
            <w:tcW w:w="691" w:type="pct"/>
            <w:shd w:val="clear" w:color="auto" w:fill="auto"/>
          </w:tcPr>
          <w:p w:rsidR="00064633" w:rsidRPr="00ED5ECB" w:rsidRDefault="00064633" w:rsidP="0074278E">
            <w:pPr>
              <w:pStyle w:val="TableCenter"/>
              <w:keepNext/>
              <w:keepLines/>
            </w:pPr>
            <w:r w:rsidRPr="00F3010B">
              <w:rPr>
                <w:rFonts w:cs="Arial"/>
                <w:sz w:val="20"/>
              </w:rPr>
              <w:t>27%</w:t>
            </w:r>
          </w:p>
        </w:tc>
        <w:tc>
          <w:tcPr>
            <w:tcW w:w="691" w:type="pct"/>
          </w:tcPr>
          <w:p w:rsidR="00064633" w:rsidRPr="00FB1EA9" w:rsidRDefault="00064633" w:rsidP="0074278E">
            <w:pPr>
              <w:pStyle w:val="TableCenter"/>
              <w:keepNext/>
              <w:keepLines/>
              <w:rPr>
                <w:sz w:val="20"/>
                <w:szCs w:val="20"/>
              </w:rPr>
            </w:pPr>
            <w:r w:rsidRPr="00FB1EA9">
              <w:rPr>
                <w:sz w:val="20"/>
                <w:szCs w:val="20"/>
              </w:rPr>
              <w:t>17%</w:t>
            </w:r>
          </w:p>
        </w:tc>
        <w:tc>
          <w:tcPr>
            <w:tcW w:w="935" w:type="pct"/>
          </w:tcPr>
          <w:p w:rsidR="00064633" w:rsidRPr="00FB1EA9" w:rsidRDefault="00064633" w:rsidP="0074278E">
            <w:pPr>
              <w:pStyle w:val="TableCenter"/>
              <w:keepNext/>
              <w:keepLines/>
              <w:rPr>
                <w:sz w:val="20"/>
                <w:szCs w:val="20"/>
              </w:rPr>
            </w:pPr>
            <w:r w:rsidRPr="00FB1EA9">
              <w:rPr>
                <w:sz w:val="20"/>
                <w:szCs w:val="20"/>
              </w:rPr>
              <w:t>17%</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proofErr w:type="spellStart"/>
            <w:r w:rsidRPr="00F3010B">
              <w:t>An</w:t>
            </w:r>
            <w:r>
              <w:t>a</w:t>
            </w:r>
            <w:r w:rsidRPr="00F3010B">
              <w:t>emia</w:t>
            </w:r>
            <w:proofErr w:type="spellEnd"/>
          </w:p>
        </w:tc>
        <w:tc>
          <w:tcPr>
            <w:tcW w:w="742" w:type="pct"/>
            <w:vAlign w:val="center"/>
          </w:tcPr>
          <w:p w:rsidR="00064633" w:rsidRPr="00ED5ECB" w:rsidRDefault="00064633" w:rsidP="0074278E">
            <w:pPr>
              <w:pStyle w:val="TableCenter"/>
              <w:keepNext/>
              <w:keepLines/>
            </w:pPr>
            <w:r w:rsidRPr="00F3010B">
              <w:rPr>
                <w:rFonts w:cs="Arial"/>
                <w:sz w:val="20"/>
              </w:rPr>
              <w:t>0%</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10%</w:t>
            </w:r>
          </w:p>
        </w:tc>
        <w:tc>
          <w:tcPr>
            <w:tcW w:w="691" w:type="pct"/>
            <w:shd w:val="clear" w:color="auto" w:fill="auto"/>
          </w:tcPr>
          <w:p w:rsidR="00064633" w:rsidRPr="00ED5ECB" w:rsidRDefault="00064633" w:rsidP="0074278E">
            <w:pPr>
              <w:pStyle w:val="TableCenter"/>
              <w:keepNext/>
              <w:keepLines/>
            </w:pPr>
            <w:r w:rsidRPr="00F3010B">
              <w:rPr>
                <w:rFonts w:cs="Arial"/>
                <w:sz w:val="20"/>
              </w:rPr>
              <w:t>6%</w:t>
            </w:r>
          </w:p>
        </w:tc>
        <w:tc>
          <w:tcPr>
            <w:tcW w:w="691" w:type="pct"/>
          </w:tcPr>
          <w:p w:rsidR="00064633" w:rsidRPr="00FB1EA9" w:rsidRDefault="00064633" w:rsidP="0074278E">
            <w:pPr>
              <w:pStyle w:val="TableCenter"/>
              <w:keepNext/>
              <w:keepLines/>
              <w:rPr>
                <w:sz w:val="20"/>
                <w:szCs w:val="20"/>
              </w:rPr>
            </w:pPr>
            <w:r w:rsidRPr="00FB1EA9">
              <w:rPr>
                <w:sz w:val="20"/>
                <w:szCs w:val="20"/>
              </w:rPr>
              <w:t>12%</w:t>
            </w:r>
          </w:p>
        </w:tc>
        <w:tc>
          <w:tcPr>
            <w:tcW w:w="935" w:type="pct"/>
          </w:tcPr>
          <w:p w:rsidR="00064633" w:rsidRPr="00FB1EA9" w:rsidRDefault="00064633" w:rsidP="0074278E">
            <w:pPr>
              <w:pStyle w:val="TableCenter"/>
              <w:keepNext/>
              <w:keepLines/>
              <w:rPr>
                <w:sz w:val="20"/>
                <w:szCs w:val="20"/>
              </w:rPr>
            </w:pPr>
            <w:r w:rsidRPr="00FB1EA9">
              <w:rPr>
                <w:sz w:val="20"/>
                <w:szCs w:val="20"/>
              </w:rPr>
              <w:t>21%</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Asthenia</w:t>
            </w:r>
          </w:p>
        </w:tc>
        <w:tc>
          <w:tcPr>
            <w:tcW w:w="742" w:type="pct"/>
            <w:vAlign w:val="center"/>
          </w:tcPr>
          <w:p w:rsidR="00064633" w:rsidRPr="00ED5ECB" w:rsidRDefault="00064633" w:rsidP="0074278E">
            <w:pPr>
              <w:pStyle w:val="TableCenter"/>
              <w:keepNext/>
              <w:keepLines/>
            </w:pPr>
            <w:r w:rsidRPr="00F3010B">
              <w:rPr>
                <w:rFonts w:cs="Arial"/>
                <w:sz w:val="20"/>
              </w:rPr>
              <w:t>3%</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6%</w:t>
            </w:r>
          </w:p>
        </w:tc>
        <w:tc>
          <w:tcPr>
            <w:tcW w:w="691" w:type="pct"/>
            <w:shd w:val="clear" w:color="auto" w:fill="auto"/>
          </w:tcPr>
          <w:p w:rsidR="00064633" w:rsidRPr="00ED5ECB" w:rsidRDefault="00064633" w:rsidP="0074278E">
            <w:pPr>
              <w:pStyle w:val="TableCenter"/>
              <w:keepNext/>
              <w:keepLines/>
            </w:pPr>
            <w:r w:rsidRPr="00F3010B">
              <w:rPr>
                <w:rFonts w:cs="Arial"/>
                <w:sz w:val="20"/>
              </w:rPr>
              <w:t>21%</w:t>
            </w:r>
          </w:p>
        </w:tc>
        <w:tc>
          <w:tcPr>
            <w:tcW w:w="691" w:type="pct"/>
          </w:tcPr>
          <w:p w:rsidR="00064633" w:rsidRPr="00FB1EA9" w:rsidRDefault="00064633" w:rsidP="0074278E">
            <w:pPr>
              <w:pStyle w:val="TableCenter"/>
              <w:keepNext/>
              <w:keepLines/>
              <w:rPr>
                <w:sz w:val="20"/>
                <w:szCs w:val="20"/>
              </w:rPr>
            </w:pPr>
            <w:r w:rsidRPr="00FB1EA9">
              <w:rPr>
                <w:sz w:val="20"/>
                <w:szCs w:val="20"/>
              </w:rPr>
              <w:t>3%</w:t>
            </w:r>
          </w:p>
        </w:tc>
        <w:tc>
          <w:tcPr>
            <w:tcW w:w="935" w:type="pct"/>
          </w:tcPr>
          <w:p w:rsidR="00064633" w:rsidRPr="00FB1EA9" w:rsidRDefault="00064633" w:rsidP="0074278E">
            <w:pPr>
              <w:pStyle w:val="TableCenter"/>
              <w:keepNext/>
              <w:keepLines/>
              <w:rPr>
                <w:sz w:val="20"/>
                <w:szCs w:val="20"/>
              </w:rPr>
            </w:pPr>
            <w:r w:rsidRPr="00FB1EA9">
              <w:rPr>
                <w:sz w:val="20"/>
                <w:szCs w:val="20"/>
              </w:rPr>
              <w:t>5%</w:t>
            </w:r>
          </w:p>
        </w:tc>
      </w:tr>
      <w:tr w:rsidR="00064633" w:rsidRPr="00ED5ECB" w:rsidTr="00064633">
        <w:trPr>
          <w:cantSplit/>
        </w:trPr>
        <w:tc>
          <w:tcPr>
            <w:tcW w:w="1199" w:type="pct"/>
            <w:shd w:val="clear" w:color="auto" w:fill="auto"/>
          </w:tcPr>
          <w:p w:rsidR="00064633" w:rsidRPr="00ED5ECB" w:rsidRDefault="00064633" w:rsidP="0074278E">
            <w:pPr>
              <w:pStyle w:val="TableLeft"/>
              <w:keepNext/>
              <w:keepLines/>
            </w:pPr>
            <w:r w:rsidRPr="00F3010B">
              <w:t>Rash</w:t>
            </w:r>
          </w:p>
        </w:tc>
        <w:tc>
          <w:tcPr>
            <w:tcW w:w="742" w:type="pct"/>
            <w:vAlign w:val="center"/>
          </w:tcPr>
          <w:p w:rsidR="00064633" w:rsidRPr="00ED5ECB" w:rsidRDefault="00064633" w:rsidP="0074278E">
            <w:pPr>
              <w:pStyle w:val="TableCenter"/>
              <w:keepNext/>
              <w:keepLines/>
            </w:pPr>
            <w:r w:rsidRPr="00F3010B">
              <w:rPr>
                <w:rFonts w:cs="Arial"/>
                <w:sz w:val="20"/>
              </w:rPr>
              <w:t>8%</w:t>
            </w:r>
          </w:p>
        </w:tc>
        <w:tc>
          <w:tcPr>
            <w:tcW w:w="742" w:type="pct"/>
            <w:shd w:val="clear" w:color="auto" w:fill="auto"/>
            <w:vAlign w:val="center"/>
          </w:tcPr>
          <w:p w:rsidR="00064633" w:rsidRPr="00ED5ECB" w:rsidRDefault="00064633" w:rsidP="0074278E">
            <w:pPr>
              <w:pStyle w:val="TableCenter"/>
              <w:keepNext/>
              <w:keepLines/>
            </w:pPr>
            <w:r w:rsidRPr="00F3010B">
              <w:rPr>
                <w:rFonts w:cs="Arial"/>
                <w:sz w:val="20"/>
              </w:rPr>
              <w:t>8%</w:t>
            </w:r>
          </w:p>
        </w:tc>
        <w:tc>
          <w:tcPr>
            <w:tcW w:w="691" w:type="pct"/>
            <w:shd w:val="clear" w:color="auto" w:fill="auto"/>
          </w:tcPr>
          <w:p w:rsidR="00064633" w:rsidRPr="00ED5ECB" w:rsidRDefault="00064633" w:rsidP="0074278E">
            <w:pPr>
              <w:pStyle w:val="TableCenter"/>
              <w:keepNext/>
              <w:keepLines/>
            </w:pPr>
            <w:r w:rsidRPr="00F3010B">
              <w:rPr>
                <w:rFonts w:cs="Arial"/>
                <w:sz w:val="20"/>
              </w:rPr>
              <w:t>9%</w:t>
            </w:r>
          </w:p>
        </w:tc>
        <w:tc>
          <w:tcPr>
            <w:tcW w:w="691" w:type="pct"/>
          </w:tcPr>
          <w:p w:rsidR="00064633" w:rsidRPr="00FB1EA9" w:rsidRDefault="00064633" w:rsidP="0074278E">
            <w:pPr>
              <w:pStyle w:val="TableCenter"/>
              <w:keepNext/>
              <w:keepLines/>
              <w:rPr>
                <w:sz w:val="20"/>
                <w:szCs w:val="20"/>
              </w:rPr>
            </w:pPr>
            <w:r w:rsidRPr="00FB1EA9">
              <w:rPr>
                <w:sz w:val="20"/>
                <w:szCs w:val="20"/>
              </w:rPr>
              <w:t>18%</w:t>
            </w:r>
          </w:p>
        </w:tc>
        <w:tc>
          <w:tcPr>
            <w:tcW w:w="935" w:type="pct"/>
          </w:tcPr>
          <w:p w:rsidR="00064633" w:rsidRPr="00FB1EA9" w:rsidRDefault="00064633" w:rsidP="0074278E">
            <w:pPr>
              <w:pStyle w:val="TableCenter"/>
              <w:keepNext/>
              <w:keepLines/>
              <w:rPr>
                <w:sz w:val="20"/>
                <w:szCs w:val="20"/>
              </w:rPr>
            </w:pPr>
            <w:r w:rsidRPr="00FB1EA9">
              <w:rPr>
                <w:sz w:val="20"/>
                <w:szCs w:val="20"/>
              </w:rPr>
              <w:t>18%</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Decreased Appetite</w:t>
            </w:r>
          </w:p>
        </w:tc>
        <w:tc>
          <w:tcPr>
            <w:tcW w:w="742" w:type="pct"/>
            <w:vAlign w:val="center"/>
          </w:tcPr>
          <w:p w:rsidR="00064633" w:rsidRPr="00ED5ECB" w:rsidRDefault="00064633" w:rsidP="0074278E">
            <w:pPr>
              <w:pStyle w:val="TableCenter"/>
            </w:pPr>
            <w:r w:rsidRPr="00F3010B">
              <w:rPr>
                <w:rFonts w:cs="Arial"/>
                <w:sz w:val="20"/>
              </w:rPr>
              <w:t>10%</w:t>
            </w:r>
          </w:p>
        </w:tc>
        <w:tc>
          <w:tcPr>
            <w:tcW w:w="742" w:type="pct"/>
            <w:shd w:val="clear" w:color="auto" w:fill="auto"/>
            <w:vAlign w:val="center"/>
          </w:tcPr>
          <w:p w:rsidR="00064633" w:rsidRPr="00ED5ECB" w:rsidRDefault="00064633" w:rsidP="0074278E">
            <w:pPr>
              <w:pStyle w:val="TableCenter"/>
            </w:pPr>
            <w:r w:rsidRPr="00F3010B">
              <w:rPr>
                <w:rFonts w:cs="Arial"/>
                <w:sz w:val="20"/>
              </w:rPr>
              <w:t>6%</w:t>
            </w:r>
          </w:p>
        </w:tc>
        <w:tc>
          <w:tcPr>
            <w:tcW w:w="691" w:type="pct"/>
            <w:shd w:val="clear" w:color="auto" w:fill="auto"/>
            <w:vAlign w:val="center"/>
          </w:tcPr>
          <w:p w:rsidR="00064633" w:rsidRPr="00ED5ECB" w:rsidRDefault="00064633" w:rsidP="0074278E">
            <w:pPr>
              <w:pStyle w:val="TableCenter"/>
            </w:pPr>
            <w:r w:rsidRPr="00F3010B">
              <w:rPr>
                <w:rFonts w:cs="Arial"/>
                <w:sz w:val="20"/>
              </w:rPr>
              <w:t>6%</w:t>
            </w:r>
          </w:p>
        </w:tc>
        <w:tc>
          <w:tcPr>
            <w:tcW w:w="691" w:type="pct"/>
            <w:vAlign w:val="center"/>
          </w:tcPr>
          <w:p w:rsidR="00064633" w:rsidRPr="00FB1EA9" w:rsidRDefault="00064633" w:rsidP="0074278E">
            <w:pPr>
              <w:pStyle w:val="TableCenter"/>
              <w:rPr>
                <w:sz w:val="20"/>
                <w:szCs w:val="20"/>
              </w:rPr>
            </w:pPr>
            <w:r w:rsidRPr="00FB1EA9">
              <w:rPr>
                <w:sz w:val="20"/>
                <w:szCs w:val="20"/>
              </w:rPr>
              <w:t>18%</w:t>
            </w:r>
          </w:p>
        </w:tc>
        <w:tc>
          <w:tcPr>
            <w:tcW w:w="935" w:type="pct"/>
            <w:vAlign w:val="center"/>
          </w:tcPr>
          <w:p w:rsidR="00064633" w:rsidRPr="00FB1EA9" w:rsidRDefault="00064633" w:rsidP="0074278E">
            <w:pPr>
              <w:pStyle w:val="TableCenter"/>
              <w:rPr>
                <w:sz w:val="20"/>
                <w:szCs w:val="20"/>
              </w:rPr>
            </w:pPr>
            <w:r w:rsidRPr="00FB1EA9">
              <w:rPr>
                <w:sz w:val="20"/>
                <w:szCs w:val="20"/>
              </w:rPr>
              <w:t>18%</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Chills</w:t>
            </w:r>
          </w:p>
        </w:tc>
        <w:tc>
          <w:tcPr>
            <w:tcW w:w="742" w:type="pct"/>
            <w:vAlign w:val="center"/>
          </w:tcPr>
          <w:p w:rsidR="00064633" w:rsidRPr="00ED5ECB" w:rsidRDefault="00064633" w:rsidP="0074278E">
            <w:pPr>
              <w:pStyle w:val="TableCenter"/>
            </w:pPr>
            <w:r w:rsidRPr="00F3010B">
              <w:rPr>
                <w:rFonts w:cs="Arial"/>
                <w:sz w:val="20"/>
              </w:rPr>
              <w:t>1%</w:t>
            </w:r>
          </w:p>
        </w:tc>
        <w:tc>
          <w:tcPr>
            <w:tcW w:w="742" w:type="pct"/>
            <w:shd w:val="clear" w:color="auto" w:fill="auto"/>
            <w:vAlign w:val="center"/>
          </w:tcPr>
          <w:p w:rsidR="00064633" w:rsidRPr="00ED5ECB" w:rsidRDefault="00064633" w:rsidP="0074278E">
            <w:pPr>
              <w:pStyle w:val="TableCenter"/>
            </w:pPr>
            <w:r w:rsidRPr="00F3010B">
              <w:rPr>
                <w:rFonts w:cs="Arial"/>
                <w:sz w:val="20"/>
              </w:rPr>
              <w:t>2%</w:t>
            </w:r>
          </w:p>
        </w:tc>
        <w:tc>
          <w:tcPr>
            <w:tcW w:w="691" w:type="pct"/>
            <w:shd w:val="clear" w:color="auto" w:fill="auto"/>
          </w:tcPr>
          <w:p w:rsidR="00064633" w:rsidRPr="00ED5ECB" w:rsidRDefault="00064633" w:rsidP="0074278E">
            <w:pPr>
              <w:pStyle w:val="TableCenter"/>
            </w:pPr>
            <w:r w:rsidRPr="00F3010B">
              <w:rPr>
                <w:rFonts w:cs="Arial"/>
                <w:sz w:val="20"/>
              </w:rPr>
              <w:t>2%</w:t>
            </w:r>
          </w:p>
        </w:tc>
        <w:tc>
          <w:tcPr>
            <w:tcW w:w="691" w:type="pct"/>
          </w:tcPr>
          <w:p w:rsidR="00064633" w:rsidRPr="00FB1EA9" w:rsidRDefault="00064633" w:rsidP="0074278E">
            <w:pPr>
              <w:pStyle w:val="TableCenter"/>
              <w:rPr>
                <w:sz w:val="20"/>
                <w:szCs w:val="20"/>
              </w:rPr>
            </w:pPr>
            <w:r w:rsidRPr="00FB1EA9">
              <w:rPr>
                <w:sz w:val="20"/>
                <w:szCs w:val="20"/>
              </w:rPr>
              <w:t>18%</w:t>
            </w:r>
          </w:p>
        </w:tc>
        <w:tc>
          <w:tcPr>
            <w:tcW w:w="935" w:type="pct"/>
          </w:tcPr>
          <w:p w:rsidR="00064633" w:rsidRPr="00FB1EA9" w:rsidRDefault="00064633" w:rsidP="0074278E">
            <w:pPr>
              <w:pStyle w:val="TableCenter"/>
              <w:rPr>
                <w:sz w:val="20"/>
                <w:szCs w:val="20"/>
              </w:rPr>
            </w:pPr>
            <w:r w:rsidRPr="00FB1EA9">
              <w:rPr>
                <w:sz w:val="20"/>
                <w:szCs w:val="20"/>
              </w:rPr>
              <w:t>17%</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Influenza Like Illness</w:t>
            </w:r>
          </w:p>
        </w:tc>
        <w:tc>
          <w:tcPr>
            <w:tcW w:w="742" w:type="pct"/>
            <w:vAlign w:val="center"/>
          </w:tcPr>
          <w:p w:rsidR="00064633" w:rsidRPr="00ED5ECB" w:rsidRDefault="00064633" w:rsidP="0074278E">
            <w:pPr>
              <w:pStyle w:val="TableCenter"/>
            </w:pPr>
            <w:r w:rsidRPr="00F3010B">
              <w:rPr>
                <w:rFonts w:cs="Arial"/>
                <w:sz w:val="20"/>
              </w:rPr>
              <w:t>3%</w:t>
            </w:r>
          </w:p>
        </w:tc>
        <w:tc>
          <w:tcPr>
            <w:tcW w:w="742" w:type="pct"/>
            <w:shd w:val="clear" w:color="auto" w:fill="auto"/>
            <w:vAlign w:val="center"/>
          </w:tcPr>
          <w:p w:rsidR="00064633" w:rsidRPr="00ED5ECB" w:rsidRDefault="00064633" w:rsidP="0074278E">
            <w:pPr>
              <w:pStyle w:val="TableCenter"/>
            </w:pPr>
            <w:r w:rsidRPr="00F3010B">
              <w:rPr>
                <w:rFonts w:cs="Arial"/>
                <w:sz w:val="20"/>
              </w:rPr>
              <w:t>3%</w:t>
            </w:r>
          </w:p>
        </w:tc>
        <w:tc>
          <w:tcPr>
            <w:tcW w:w="691" w:type="pct"/>
            <w:shd w:val="clear" w:color="auto" w:fill="auto"/>
            <w:vAlign w:val="center"/>
          </w:tcPr>
          <w:p w:rsidR="00064633" w:rsidRPr="00ED5ECB" w:rsidRDefault="00064633" w:rsidP="0074278E">
            <w:pPr>
              <w:pStyle w:val="TableCenter"/>
            </w:pPr>
            <w:r w:rsidRPr="00F3010B">
              <w:rPr>
                <w:rFonts w:cs="Arial"/>
                <w:sz w:val="20"/>
              </w:rPr>
              <w:t>6%</w:t>
            </w:r>
          </w:p>
        </w:tc>
        <w:tc>
          <w:tcPr>
            <w:tcW w:w="691" w:type="pct"/>
            <w:vAlign w:val="center"/>
          </w:tcPr>
          <w:p w:rsidR="00064633" w:rsidRPr="00FB1EA9" w:rsidRDefault="00064633" w:rsidP="0074278E">
            <w:pPr>
              <w:pStyle w:val="TableCenter"/>
              <w:rPr>
                <w:sz w:val="20"/>
                <w:szCs w:val="20"/>
              </w:rPr>
            </w:pPr>
            <w:r w:rsidRPr="00FB1EA9">
              <w:rPr>
                <w:sz w:val="20"/>
                <w:szCs w:val="20"/>
              </w:rPr>
              <w:t>18%</w:t>
            </w:r>
          </w:p>
        </w:tc>
        <w:tc>
          <w:tcPr>
            <w:tcW w:w="935" w:type="pct"/>
            <w:vAlign w:val="center"/>
          </w:tcPr>
          <w:p w:rsidR="00064633" w:rsidRPr="00FB1EA9" w:rsidRDefault="00064633" w:rsidP="0074278E">
            <w:pPr>
              <w:pStyle w:val="TableCenter"/>
              <w:rPr>
                <w:sz w:val="20"/>
                <w:szCs w:val="20"/>
              </w:rPr>
            </w:pPr>
            <w:r w:rsidRPr="00FB1EA9">
              <w:rPr>
                <w:sz w:val="20"/>
                <w:szCs w:val="20"/>
              </w:rPr>
              <w:t>16%</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Pyrexia</w:t>
            </w:r>
          </w:p>
        </w:tc>
        <w:tc>
          <w:tcPr>
            <w:tcW w:w="742" w:type="pct"/>
            <w:vAlign w:val="center"/>
          </w:tcPr>
          <w:p w:rsidR="00064633" w:rsidRPr="00ED5ECB" w:rsidRDefault="00064633" w:rsidP="0074278E">
            <w:pPr>
              <w:pStyle w:val="TableCenter"/>
            </w:pPr>
            <w:r w:rsidRPr="00F3010B">
              <w:rPr>
                <w:rFonts w:cs="Arial"/>
                <w:sz w:val="20"/>
              </w:rPr>
              <w:t>0%</w:t>
            </w:r>
          </w:p>
        </w:tc>
        <w:tc>
          <w:tcPr>
            <w:tcW w:w="742" w:type="pct"/>
            <w:shd w:val="clear" w:color="auto" w:fill="auto"/>
            <w:vAlign w:val="center"/>
          </w:tcPr>
          <w:p w:rsidR="00064633" w:rsidRPr="00ED5ECB" w:rsidRDefault="00064633" w:rsidP="0074278E">
            <w:pPr>
              <w:pStyle w:val="TableCenter"/>
            </w:pPr>
            <w:r w:rsidRPr="00F3010B">
              <w:rPr>
                <w:rFonts w:cs="Arial"/>
                <w:sz w:val="20"/>
              </w:rPr>
              <w:t>4%</w:t>
            </w:r>
          </w:p>
        </w:tc>
        <w:tc>
          <w:tcPr>
            <w:tcW w:w="691" w:type="pct"/>
            <w:shd w:val="clear" w:color="auto" w:fill="auto"/>
          </w:tcPr>
          <w:p w:rsidR="00064633" w:rsidRPr="00ED5ECB" w:rsidRDefault="00064633" w:rsidP="0074278E">
            <w:pPr>
              <w:pStyle w:val="TableCenter"/>
            </w:pPr>
            <w:r w:rsidRPr="00F3010B">
              <w:rPr>
                <w:rFonts w:cs="Arial"/>
                <w:sz w:val="20"/>
              </w:rPr>
              <w:t>4%</w:t>
            </w:r>
          </w:p>
        </w:tc>
        <w:tc>
          <w:tcPr>
            <w:tcW w:w="691" w:type="pct"/>
          </w:tcPr>
          <w:p w:rsidR="00064633" w:rsidRPr="00FB1EA9" w:rsidRDefault="00064633" w:rsidP="0074278E">
            <w:pPr>
              <w:pStyle w:val="TableCenter"/>
              <w:rPr>
                <w:sz w:val="20"/>
                <w:szCs w:val="20"/>
              </w:rPr>
            </w:pPr>
            <w:r w:rsidRPr="00FB1EA9">
              <w:rPr>
                <w:sz w:val="20"/>
                <w:szCs w:val="20"/>
              </w:rPr>
              <w:t>14%</w:t>
            </w:r>
          </w:p>
        </w:tc>
        <w:tc>
          <w:tcPr>
            <w:tcW w:w="935" w:type="pct"/>
          </w:tcPr>
          <w:p w:rsidR="00064633" w:rsidRPr="00FB1EA9" w:rsidRDefault="00064633" w:rsidP="0074278E">
            <w:pPr>
              <w:pStyle w:val="TableCenter"/>
              <w:rPr>
                <w:sz w:val="20"/>
                <w:szCs w:val="20"/>
              </w:rPr>
            </w:pPr>
            <w:r w:rsidRPr="00FB1EA9">
              <w:rPr>
                <w:sz w:val="20"/>
                <w:szCs w:val="20"/>
              </w:rPr>
              <w:t>18%</w:t>
            </w:r>
          </w:p>
        </w:tc>
      </w:tr>
      <w:tr w:rsidR="00064633" w:rsidRPr="00ED5ECB" w:rsidTr="00064633">
        <w:trPr>
          <w:cantSplit/>
        </w:trPr>
        <w:tc>
          <w:tcPr>
            <w:tcW w:w="1199" w:type="pct"/>
            <w:shd w:val="clear" w:color="auto" w:fill="auto"/>
          </w:tcPr>
          <w:p w:rsidR="00064633" w:rsidRPr="00ED5ECB" w:rsidRDefault="00064633" w:rsidP="0074278E">
            <w:pPr>
              <w:pStyle w:val="TableLeft"/>
            </w:pPr>
            <w:proofErr w:type="spellStart"/>
            <w:r w:rsidRPr="00F3010B">
              <w:t>Diarrh</w:t>
            </w:r>
            <w:r w:rsidR="00BC112B">
              <w:t>o</w:t>
            </w:r>
            <w:r w:rsidRPr="00F3010B">
              <w:t>ea</w:t>
            </w:r>
            <w:proofErr w:type="spellEnd"/>
          </w:p>
        </w:tc>
        <w:tc>
          <w:tcPr>
            <w:tcW w:w="742" w:type="pct"/>
            <w:vAlign w:val="center"/>
          </w:tcPr>
          <w:p w:rsidR="00064633" w:rsidRPr="00ED5ECB" w:rsidRDefault="00064633" w:rsidP="0074278E">
            <w:pPr>
              <w:pStyle w:val="TableCenter"/>
            </w:pPr>
            <w:r w:rsidRPr="00F3010B">
              <w:rPr>
                <w:rFonts w:cs="Arial"/>
                <w:sz w:val="20"/>
              </w:rPr>
              <w:t>6%</w:t>
            </w:r>
          </w:p>
        </w:tc>
        <w:tc>
          <w:tcPr>
            <w:tcW w:w="742" w:type="pct"/>
            <w:shd w:val="clear" w:color="auto" w:fill="auto"/>
            <w:vAlign w:val="center"/>
          </w:tcPr>
          <w:p w:rsidR="00064633" w:rsidRPr="00ED5ECB" w:rsidRDefault="00064633" w:rsidP="0074278E">
            <w:pPr>
              <w:pStyle w:val="TableCenter"/>
            </w:pPr>
            <w:r w:rsidRPr="00F3010B">
              <w:rPr>
                <w:rFonts w:cs="Arial"/>
                <w:sz w:val="20"/>
              </w:rPr>
              <w:t>9%</w:t>
            </w:r>
          </w:p>
        </w:tc>
        <w:tc>
          <w:tcPr>
            <w:tcW w:w="691" w:type="pct"/>
            <w:shd w:val="clear" w:color="auto" w:fill="auto"/>
          </w:tcPr>
          <w:p w:rsidR="00064633" w:rsidRPr="00ED5ECB" w:rsidRDefault="00064633" w:rsidP="0074278E">
            <w:pPr>
              <w:pStyle w:val="TableCenter"/>
            </w:pPr>
            <w:r w:rsidRPr="00F3010B">
              <w:rPr>
                <w:rFonts w:cs="Arial"/>
                <w:sz w:val="20"/>
              </w:rPr>
              <w:t>12%</w:t>
            </w:r>
          </w:p>
        </w:tc>
        <w:tc>
          <w:tcPr>
            <w:tcW w:w="691" w:type="pct"/>
          </w:tcPr>
          <w:p w:rsidR="00064633" w:rsidRPr="00FB1EA9" w:rsidRDefault="00064633" w:rsidP="0074278E">
            <w:pPr>
              <w:pStyle w:val="TableCenter"/>
              <w:rPr>
                <w:sz w:val="20"/>
                <w:szCs w:val="20"/>
              </w:rPr>
            </w:pPr>
            <w:r w:rsidRPr="00FB1EA9">
              <w:rPr>
                <w:sz w:val="20"/>
                <w:szCs w:val="20"/>
              </w:rPr>
              <w:t>17%</w:t>
            </w:r>
          </w:p>
        </w:tc>
        <w:tc>
          <w:tcPr>
            <w:tcW w:w="935" w:type="pct"/>
          </w:tcPr>
          <w:p w:rsidR="00064633" w:rsidRPr="00FB1EA9" w:rsidRDefault="00064633" w:rsidP="0074278E">
            <w:pPr>
              <w:pStyle w:val="TableCenter"/>
              <w:rPr>
                <w:sz w:val="20"/>
                <w:szCs w:val="20"/>
              </w:rPr>
            </w:pPr>
            <w:r w:rsidRPr="00FB1EA9">
              <w:rPr>
                <w:sz w:val="20"/>
                <w:szCs w:val="20"/>
              </w:rPr>
              <w:t>12%</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Neutropenia</w:t>
            </w:r>
          </w:p>
        </w:tc>
        <w:tc>
          <w:tcPr>
            <w:tcW w:w="742" w:type="pct"/>
            <w:vAlign w:val="center"/>
          </w:tcPr>
          <w:p w:rsidR="00064633" w:rsidRPr="00ED5ECB" w:rsidRDefault="00064633" w:rsidP="0074278E">
            <w:pPr>
              <w:pStyle w:val="TableCenter"/>
            </w:pPr>
            <w:r w:rsidRPr="00F3010B">
              <w:rPr>
                <w:rFonts w:cs="Arial"/>
                <w:sz w:val="20"/>
              </w:rPr>
              <w:t>0%</w:t>
            </w:r>
          </w:p>
        </w:tc>
        <w:tc>
          <w:tcPr>
            <w:tcW w:w="742" w:type="pct"/>
            <w:shd w:val="clear" w:color="auto" w:fill="auto"/>
            <w:vAlign w:val="center"/>
          </w:tcPr>
          <w:p w:rsidR="00064633" w:rsidRPr="00ED5ECB" w:rsidRDefault="00064633" w:rsidP="0074278E">
            <w:pPr>
              <w:pStyle w:val="TableCenter"/>
            </w:pPr>
            <w:r w:rsidRPr="00F3010B">
              <w:rPr>
                <w:rFonts w:cs="Arial"/>
                <w:sz w:val="20"/>
              </w:rPr>
              <w:t>&lt;1%</w:t>
            </w:r>
          </w:p>
        </w:tc>
        <w:tc>
          <w:tcPr>
            <w:tcW w:w="691" w:type="pct"/>
            <w:shd w:val="clear" w:color="auto" w:fill="auto"/>
          </w:tcPr>
          <w:p w:rsidR="00064633" w:rsidRPr="00ED5ECB" w:rsidRDefault="00064633" w:rsidP="0074278E">
            <w:pPr>
              <w:pStyle w:val="TableCenter"/>
            </w:pPr>
            <w:r w:rsidRPr="00F3010B">
              <w:rPr>
                <w:rFonts w:cs="Arial"/>
                <w:sz w:val="20"/>
              </w:rPr>
              <w:t>&lt;1%</w:t>
            </w:r>
          </w:p>
        </w:tc>
        <w:tc>
          <w:tcPr>
            <w:tcW w:w="691" w:type="pct"/>
          </w:tcPr>
          <w:p w:rsidR="00064633" w:rsidRPr="00FB1EA9" w:rsidRDefault="00064633" w:rsidP="0074278E">
            <w:pPr>
              <w:pStyle w:val="TableCenter"/>
              <w:rPr>
                <w:sz w:val="20"/>
                <w:szCs w:val="20"/>
              </w:rPr>
            </w:pPr>
            <w:r w:rsidRPr="00FB1EA9">
              <w:rPr>
                <w:sz w:val="20"/>
                <w:szCs w:val="20"/>
              </w:rPr>
              <w:t>12%</w:t>
            </w:r>
          </w:p>
        </w:tc>
        <w:tc>
          <w:tcPr>
            <w:tcW w:w="935" w:type="pct"/>
          </w:tcPr>
          <w:p w:rsidR="00064633" w:rsidRPr="00FB1EA9" w:rsidRDefault="00064633" w:rsidP="0074278E">
            <w:pPr>
              <w:pStyle w:val="TableCenter"/>
              <w:rPr>
                <w:sz w:val="20"/>
                <w:szCs w:val="20"/>
              </w:rPr>
            </w:pPr>
            <w:r w:rsidRPr="00FB1EA9">
              <w:rPr>
                <w:sz w:val="20"/>
                <w:szCs w:val="20"/>
              </w:rPr>
              <w:t>17%</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Myalgia</w:t>
            </w:r>
          </w:p>
        </w:tc>
        <w:tc>
          <w:tcPr>
            <w:tcW w:w="742" w:type="pct"/>
            <w:vAlign w:val="center"/>
          </w:tcPr>
          <w:p w:rsidR="00064633" w:rsidRPr="00ED5ECB" w:rsidRDefault="00064633" w:rsidP="0074278E">
            <w:pPr>
              <w:pStyle w:val="TableCenter"/>
            </w:pPr>
            <w:r w:rsidRPr="00F3010B">
              <w:rPr>
                <w:rFonts w:cs="Arial"/>
                <w:sz w:val="20"/>
              </w:rPr>
              <w:t>0%</w:t>
            </w:r>
          </w:p>
        </w:tc>
        <w:tc>
          <w:tcPr>
            <w:tcW w:w="742" w:type="pct"/>
            <w:shd w:val="clear" w:color="auto" w:fill="auto"/>
            <w:vAlign w:val="center"/>
          </w:tcPr>
          <w:p w:rsidR="00064633" w:rsidRPr="00ED5ECB" w:rsidRDefault="00064633" w:rsidP="0074278E">
            <w:pPr>
              <w:pStyle w:val="TableCenter"/>
            </w:pPr>
            <w:r w:rsidRPr="00F3010B">
              <w:rPr>
                <w:rFonts w:cs="Arial"/>
                <w:sz w:val="20"/>
              </w:rPr>
              <w:t>6%</w:t>
            </w:r>
          </w:p>
        </w:tc>
        <w:tc>
          <w:tcPr>
            <w:tcW w:w="691" w:type="pct"/>
            <w:shd w:val="clear" w:color="auto" w:fill="auto"/>
          </w:tcPr>
          <w:p w:rsidR="00064633" w:rsidRPr="00ED5ECB" w:rsidRDefault="00064633" w:rsidP="0074278E">
            <w:pPr>
              <w:pStyle w:val="TableCenter"/>
            </w:pPr>
            <w:r w:rsidRPr="00F3010B">
              <w:rPr>
                <w:rFonts w:cs="Arial"/>
                <w:sz w:val="20"/>
              </w:rPr>
              <w:t>9%</w:t>
            </w:r>
          </w:p>
        </w:tc>
        <w:tc>
          <w:tcPr>
            <w:tcW w:w="691" w:type="pct"/>
          </w:tcPr>
          <w:p w:rsidR="00064633" w:rsidRPr="00FB1EA9" w:rsidRDefault="00064633" w:rsidP="0074278E">
            <w:pPr>
              <w:pStyle w:val="TableCenter"/>
              <w:rPr>
                <w:sz w:val="20"/>
                <w:szCs w:val="20"/>
              </w:rPr>
            </w:pPr>
            <w:r w:rsidRPr="00FB1EA9">
              <w:rPr>
                <w:sz w:val="20"/>
                <w:szCs w:val="20"/>
              </w:rPr>
              <w:t>16%</w:t>
            </w:r>
          </w:p>
        </w:tc>
        <w:tc>
          <w:tcPr>
            <w:tcW w:w="935" w:type="pct"/>
          </w:tcPr>
          <w:p w:rsidR="00064633" w:rsidRPr="00FB1EA9" w:rsidRDefault="00064633" w:rsidP="0074278E">
            <w:pPr>
              <w:pStyle w:val="TableCenter"/>
              <w:rPr>
                <w:sz w:val="20"/>
                <w:szCs w:val="20"/>
              </w:rPr>
            </w:pPr>
            <w:r w:rsidRPr="00FB1EA9">
              <w:rPr>
                <w:sz w:val="20"/>
                <w:szCs w:val="20"/>
              </w:rPr>
              <w:t>14%</w:t>
            </w:r>
          </w:p>
        </w:tc>
      </w:tr>
      <w:tr w:rsidR="00064633" w:rsidRPr="00ED5ECB" w:rsidTr="00064633">
        <w:trPr>
          <w:cantSplit/>
        </w:trPr>
        <w:tc>
          <w:tcPr>
            <w:tcW w:w="1199" w:type="pct"/>
            <w:shd w:val="clear" w:color="auto" w:fill="auto"/>
          </w:tcPr>
          <w:p w:rsidR="00064633" w:rsidRPr="00ED5ECB" w:rsidRDefault="00064633" w:rsidP="0074278E">
            <w:pPr>
              <w:pStyle w:val="TableLeft"/>
            </w:pPr>
            <w:r w:rsidRPr="00F3010B">
              <w:t>Irritability</w:t>
            </w:r>
          </w:p>
        </w:tc>
        <w:tc>
          <w:tcPr>
            <w:tcW w:w="742" w:type="pct"/>
            <w:vAlign w:val="center"/>
          </w:tcPr>
          <w:p w:rsidR="00064633" w:rsidRPr="00ED5ECB" w:rsidRDefault="00064633" w:rsidP="0074278E">
            <w:pPr>
              <w:pStyle w:val="TableCenter"/>
            </w:pPr>
            <w:r w:rsidRPr="00F3010B">
              <w:rPr>
                <w:rFonts w:cs="Arial"/>
                <w:sz w:val="20"/>
              </w:rPr>
              <w:t>1%</w:t>
            </w:r>
          </w:p>
        </w:tc>
        <w:tc>
          <w:tcPr>
            <w:tcW w:w="742" w:type="pct"/>
            <w:shd w:val="clear" w:color="auto" w:fill="auto"/>
            <w:vAlign w:val="center"/>
          </w:tcPr>
          <w:p w:rsidR="00064633" w:rsidRPr="00ED5ECB" w:rsidRDefault="00064633" w:rsidP="0074278E">
            <w:pPr>
              <w:pStyle w:val="TableCenter"/>
            </w:pPr>
            <w:r w:rsidRPr="00F3010B">
              <w:rPr>
                <w:rFonts w:cs="Arial"/>
                <w:sz w:val="20"/>
              </w:rPr>
              <w:t>10%</w:t>
            </w:r>
          </w:p>
        </w:tc>
        <w:tc>
          <w:tcPr>
            <w:tcW w:w="691" w:type="pct"/>
            <w:shd w:val="clear" w:color="auto" w:fill="auto"/>
          </w:tcPr>
          <w:p w:rsidR="00064633" w:rsidRPr="00ED5ECB" w:rsidRDefault="00064633" w:rsidP="0074278E">
            <w:pPr>
              <w:pStyle w:val="TableCenter"/>
            </w:pPr>
            <w:r w:rsidRPr="00F3010B">
              <w:rPr>
                <w:rFonts w:cs="Arial"/>
                <w:sz w:val="20"/>
              </w:rPr>
              <w:t>10%</w:t>
            </w:r>
          </w:p>
        </w:tc>
        <w:tc>
          <w:tcPr>
            <w:tcW w:w="691" w:type="pct"/>
          </w:tcPr>
          <w:p w:rsidR="00064633" w:rsidRPr="00FB1EA9" w:rsidRDefault="00064633" w:rsidP="0074278E">
            <w:pPr>
              <w:pStyle w:val="TableCenter"/>
              <w:rPr>
                <w:sz w:val="20"/>
                <w:szCs w:val="20"/>
              </w:rPr>
            </w:pPr>
            <w:r w:rsidRPr="00FB1EA9">
              <w:rPr>
                <w:sz w:val="20"/>
                <w:szCs w:val="20"/>
              </w:rPr>
              <w:t>16%</w:t>
            </w:r>
          </w:p>
        </w:tc>
        <w:tc>
          <w:tcPr>
            <w:tcW w:w="935" w:type="pct"/>
          </w:tcPr>
          <w:p w:rsidR="00064633" w:rsidRPr="00FB1EA9" w:rsidRDefault="00064633" w:rsidP="0074278E">
            <w:pPr>
              <w:pStyle w:val="TableCenter"/>
              <w:rPr>
                <w:sz w:val="20"/>
                <w:szCs w:val="20"/>
              </w:rPr>
            </w:pPr>
            <w:r w:rsidRPr="00FB1EA9">
              <w:rPr>
                <w:sz w:val="20"/>
                <w:szCs w:val="20"/>
              </w:rPr>
              <w:t>13%</w:t>
            </w:r>
          </w:p>
        </w:tc>
      </w:tr>
    </w:tbl>
    <w:p w:rsidR="00064633" w:rsidRPr="00064633" w:rsidRDefault="00BF7B2A" w:rsidP="0074278E">
      <w:pPr>
        <w:pStyle w:val="TableFootnoteLetter"/>
        <w:numPr>
          <w:ilvl w:val="0"/>
          <w:numId w:val="46"/>
        </w:numPr>
        <w:rPr>
          <w:lang w:val="en-CA"/>
        </w:rPr>
      </w:pPr>
      <w:r>
        <w:rPr>
          <w:rFonts w:cs="Arial"/>
          <w:szCs w:val="18"/>
        </w:rPr>
        <w:t>Patients</w:t>
      </w:r>
      <w:r w:rsidR="00064633" w:rsidRPr="00F3010B">
        <w:rPr>
          <w:rFonts w:cs="Arial"/>
          <w:szCs w:val="18"/>
        </w:rPr>
        <w:t xml:space="preserve"> received weight-based ribavirin (1000 mg per day if weighing &lt; 75 kg or 1200 mg per day if weighing ≥ 75 kg)</w:t>
      </w:r>
    </w:p>
    <w:p w:rsidR="0074278E" w:rsidRDefault="00064633" w:rsidP="00BF711F">
      <w:pPr>
        <w:pStyle w:val="Text10"/>
      </w:pPr>
      <w:r>
        <w:rPr>
          <w:sz w:val="18"/>
          <w:szCs w:val="18"/>
        </w:rPr>
        <w:t xml:space="preserve">b      </w:t>
      </w:r>
      <w:r w:rsidR="00BF7B2A">
        <w:rPr>
          <w:sz w:val="18"/>
          <w:szCs w:val="18"/>
        </w:rPr>
        <w:t>Patients</w:t>
      </w:r>
      <w:r w:rsidRPr="00F3010B">
        <w:rPr>
          <w:sz w:val="18"/>
          <w:szCs w:val="18"/>
        </w:rPr>
        <w:t xml:space="preserve"> received 800 mg ribavirin per day regardless of weight.</w:t>
      </w:r>
    </w:p>
    <w:p w:rsidR="007A5772" w:rsidRDefault="007A5772" w:rsidP="007A5772">
      <w:pPr>
        <w:pStyle w:val="Text10"/>
      </w:pPr>
      <w:r>
        <w:t xml:space="preserve">With the exception of </w:t>
      </w:r>
      <w:proofErr w:type="spellStart"/>
      <w:r>
        <w:t>an</w:t>
      </w:r>
      <w:r w:rsidR="00084202">
        <w:t>a</w:t>
      </w:r>
      <w:r>
        <w:t>emia</w:t>
      </w:r>
      <w:proofErr w:type="spellEnd"/>
      <w:r>
        <w:t xml:space="preserve"> and neutropenia, the majority of events presented in Table </w:t>
      </w:r>
      <w:r w:rsidR="00BF7B2A">
        <w:t>17</w:t>
      </w:r>
      <w:r>
        <w:t xml:space="preserve"> occurred at severity of grade 1 in SOVALDI-containing regimens.</w:t>
      </w:r>
    </w:p>
    <w:p w:rsidR="007A5772" w:rsidRDefault="007A5772" w:rsidP="007A5772">
      <w:pPr>
        <w:pStyle w:val="Text10"/>
      </w:pPr>
      <w:r>
        <w:t xml:space="preserve">Less Common Adverse Reactions Reported in Clinical Trials (&lt;1%): The following ADRs occurred in &lt;1% of </w:t>
      </w:r>
      <w:r w:rsidR="00BF7B2A">
        <w:t>patients</w:t>
      </w:r>
      <w:r>
        <w:t xml:space="preserve"> receiving SOVALDI in a combination regimen in any one trial. These events have been included because of their seriousness or assessment of potential causal relationship.</w:t>
      </w:r>
    </w:p>
    <w:p w:rsidR="007A5772" w:rsidRDefault="007A5772" w:rsidP="007A5772">
      <w:pPr>
        <w:pStyle w:val="Text10"/>
      </w:pPr>
      <w:proofErr w:type="spellStart"/>
      <w:r>
        <w:t>Haematologic</w:t>
      </w:r>
      <w:proofErr w:type="spellEnd"/>
      <w:r>
        <w:t xml:space="preserve"> Effects: pancytopenia (particularly in </w:t>
      </w:r>
      <w:r w:rsidR="00BF7B2A">
        <w:t>patients</w:t>
      </w:r>
      <w:r>
        <w:t xml:space="preserve"> receiving concomitant </w:t>
      </w:r>
      <w:proofErr w:type="spellStart"/>
      <w:r>
        <w:t>pegylated</w:t>
      </w:r>
      <w:proofErr w:type="spellEnd"/>
      <w:r>
        <w:t xml:space="preserve"> interferon).</w:t>
      </w:r>
    </w:p>
    <w:p w:rsidR="005304F2" w:rsidRDefault="007A5772" w:rsidP="007A5772">
      <w:pPr>
        <w:pStyle w:val="Text10"/>
      </w:pPr>
      <w:r>
        <w:t xml:space="preserve">Psychiatric Disorders: severe depression (particularly in </w:t>
      </w:r>
      <w:r w:rsidR="00BF7B2A">
        <w:t>patients</w:t>
      </w:r>
      <w:r>
        <w:t xml:space="preserve"> with pre-existing history of psychiatric illness), including suicidal ideation and suicide.</w:t>
      </w:r>
    </w:p>
    <w:p w:rsidR="00FD4031" w:rsidRDefault="00FD4031" w:rsidP="00BF711F">
      <w:pPr>
        <w:pStyle w:val="Text10"/>
      </w:pPr>
    </w:p>
    <w:p w:rsidR="00097C95" w:rsidRDefault="00097C95" w:rsidP="00BF711F">
      <w:pPr>
        <w:pStyle w:val="Text10"/>
        <w:rPr>
          <w:u w:val="single"/>
        </w:rPr>
      </w:pPr>
      <w:r>
        <w:rPr>
          <w:u w:val="single"/>
        </w:rPr>
        <w:lastRenderedPageBreak/>
        <w:t>Other special population(s)</w:t>
      </w:r>
    </w:p>
    <w:p w:rsidR="00097C95" w:rsidRPr="00097C95" w:rsidRDefault="00097C95" w:rsidP="00097C95">
      <w:pPr>
        <w:jc w:val="both"/>
        <w:rPr>
          <w:rFonts w:ascii="Times New Roman" w:hAnsi="Times New Roman"/>
          <w:i/>
          <w:noProof/>
          <w:sz w:val="24"/>
          <w:szCs w:val="24"/>
        </w:rPr>
      </w:pPr>
      <w:r w:rsidRPr="00097C95">
        <w:rPr>
          <w:rFonts w:ascii="Times New Roman" w:hAnsi="Times New Roman"/>
          <w:i/>
          <w:noProof/>
          <w:sz w:val="24"/>
          <w:szCs w:val="24"/>
        </w:rPr>
        <w:t>HIV/HCV co-infection</w:t>
      </w:r>
    </w:p>
    <w:p w:rsidR="00097C95" w:rsidRDefault="00097C95" w:rsidP="00097C95">
      <w:pPr>
        <w:jc w:val="both"/>
        <w:rPr>
          <w:rFonts w:ascii="Times New Roman" w:hAnsi="Times New Roman"/>
          <w:noProof/>
          <w:sz w:val="24"/>
          <w:szCs w:val="24"/>
        </w:rPr>
      </w:pPr>
      <w:r>
        <w:rPr>
          <w:rFonts w:ascii="Times New Roman" w:hAnsi="Times New Roman"/>
          <w:noProof/>
          <w:sz w:val="24"/>
          <w:szCs w:val="24"/>
        </w:rPr>
        <w:t>The safety profile of SOVALDI and ribavirin in HCV/HIV co-infected patients was similar to that observed in mono-infected HCV patients treated with SOVALDI and ribavirin in Phase 3 clinical studies.</w:t>
      </w:r>
    </w:p>
    <w:p w:rsidR="00097C95" w:rsidRDefault="00097C95" w:rsidP="00097C95">
      <w:pPr>
        <w:jc w:val="both"/>
        <w:rPr>
          <w:rFonts w:ascii="Times New Roman" w:hAnsi="Times New Roman"/>
          <w:noProof/>
          <w:sz w:val="24"/>
          <w:szCs w:val="24"/>
        </w:rPr>
      </w:pPr>
    </w:p>
    <w:p w:rsidR="00097C95" w:rsidRPr="00097C95" w:rsidRDefault="00097C95" w:rsidP="00097C95">
      <w:pPr>
        <w:jc w:val="both"/>
        <w:rPr>
          <w:rFonts w:ascii="Times New Roman" w:hAnsi="Times New Roman"/>
          <w:i/>
          <w:noProof/>
          <w:sz w:val="24"/>
          <w:szCs w:val="24"/>
        </w:rPr>
      </w:pPr>
      <w:r w:rsidRPr="00097C95">
        <w:rPr>
          <w:rFonts w:ascii="Times New Roman" w:hAnsi="Times New Roman"/>
          <w:i/>
          <w:noProof/>
          <w:sz w:val="24"/>
          <w:szCs w:val="24"/>
        </w:rPr>
        <w:t>Patients awaiting liver transplantation</w:t>
      </w:r>
    </w:p>
    <w:p w:rsidR="00097C95" w:rsidRDefault="00097C95" w:rsidP="00097C95">
      <w:pPr>
        <w:jc w:val="both"/>
        <w:rPr>
          <w:rFonts w:ascii="Times New Roman" w:hAnsi="Times New Roman"/>
          <w:noProof/>
          <w:sz w:val="24"/>
          <w:szCs w:val="24"/>
        </w:rPr>
      </w:pPr>
      <w:r>
        <w:rPr>
          <w:rFonts w:ascii="Times New Roman" w:hAnsi="Times New Roman"/>
          <w:noProof/>
          <w:sz w:val="24"/>
          <w:szCs w:val="24"/>
        </w:rPr>
        <w:t>The safety profile of SOVALDI and ribavirin in HCV infected patients prior to liver transplantation was similar to that observed in patients treated with SOVALDI and ribavirin in Phase 3 clinical studies.</w:t>
      </w:r>
    </w:p>
    <w:p w:rsidR="00392CAB" w:rsidRDefault="00392CAB" w:rsidP="00097C95">
      <w:pPr>
        <w:pStyle w:val="TableFootnote"/>
        <w:ind w:left="0" w:firstLine="0"/>
        <w:rPr>
          <w:rFonts w:ascii="Times New Roman" w:hAnsi="Times New Roman"/>
          <w:b/>
          <w:noProof/>
          <w:sz w:val="24"/>
          <w:szCs w:val="24"/>
        </w:rPr>
      </w:pPr>
    </w:p>
    <w:p w:rsidR="007254DD" w:rsidRPr="00064472" w:rsidRDefault="007254DD" w:rsidP="00097C95">
      <w:pPr>
        <w:pStyle w:val="TableFootnote"/>
        <w:ind w:left="0" w:firstLine="0"/>
        <w:rPr>
          <w:rFonts w:ascii="Times New Roman" w:hAnsi="Times New Roman"/>
          <w:b/>
          <w:noProof/>
          <w:sz w:val="24"/>
          <w:szCs w:val="24"/>
        </w:rPr>
      </w:pPr>
      <w:r w:rsidRPr="00064472">
        <w:rPr>
          <w:rFonts w:ascii="Times New Roman" w:hAnsi="Times New Roman"/>
          <w:b/>
          <w:noProof/>
          <w:sz w:val="24"/>
          <w:szCs w:val="24"/>
        </w:rPr>
        <w:t>DOSAGE AND ADMINISTRATION</w:t>
      </w:r>
    </w:p>
    <w:p w:rsidR="000074C9" w:rsidRDefault="007254DD" w:rsidP="00BF711F">
      <w:pPr>
        <w:jc w:val="both"/>
        <w:rPr>
          <w:rFonts w:ascii="Times New Roman" w:hAnsi="Times New Roman"/>
          <w:noProof/>
          <w:sz w:val="24"/>
          <w:szCs w:val="24"/>
        </w:rPr>
      </w:pPr>
      <w:r w:rsidRPr="008B7865">
        <w:rPr>
          <w:rFonts w:ascii="Times New Roman" w:hAnsi="Times New Roman"/>
          <w:noProof/>
          <w:sz w:val="24"/>
          <w:szCs w:val="24"/>
        </w:rPr>
        <w:t xml:space="preserve">The recommended dose of </w:t>
      </w:r>
      <w:r w:rsidR="00D21279">
        <w:rPr>
          <w:rFonts w:ascii="Times New Roman" w:hAnsi="Times New Roman"/>
          <w:noProof/>
          <w:sz w:val="24"/>
          <w:szCs w:val="24"/>
        </w:rPr>
        <w:t>SOVALDI</w:t>
      </w:r>
      <w:r w:rsidR="00E07F0F">
        <w:rPr>
          <w:rFonts w:ascii="Times New Roman" w:hAnsi="Times New Roman"/>
          <w:noProof/>
          <w:sz w:val="24"/>
          <w:szCs w:val="24"/>
        </w:rPr>
        <w:t xml:space="preserve"> </w:t>
      </w:r>
      <w:r w:rsidR="008350C2">
        <w:rPr>
          <w:rFonts w:ascii="Times New Roman" w:hAnsi="Times New Roman"/>
          <w:noProof/>
          <w:sz w:val="24"/>
          <w:szCs w:val="24"/>
        </w:rPr>
        <w:t xml:space="preserve">tablets </w:t>
      </w:r>
      <w:r w:rsidRPr="008B7865">
        <w:rPr>
          <w:rFonts w:ascii="Times New Roman" w:hAnsi="Times New Roman"/>
          <w:noProof/>
          <w:sz w:val="24"/>
          <w:szCs w:val="24"/>
        </w:rPr>
        <w:t xml:space="preserve">is </w:t>
      </w:r>
      <w:r w:rsidR="000074C9">
        <w:rPr>
          <w:rFonts w:ascii="Times New Roman" w:hAnsi="Times New Roman"/>
          <w:noProof/>
          <w:sz w:val="24"/>
          <w:szCs w:val="24"/>
        </w:rPr>
        <w:t>400</w:t>
      </w:r>
      <w:r w:rsidR="008350C2">
        <w:rPr>
          <w:rFonts w:ascii="Times New Roman" w:hAnsi="Times New Roman"/>
          <w:noProof/>
          <w:sz w:val="24"/>
          <w:szCs w:val="24"/>
        </w:rPr>
        <w:t xml:space="preserve"> mg </w:t>
      </w:r>
      <w:r w:rsidRPr="008B7865">
        <w:rPr>
          <w:rFonts w:ascii="Times New Roman" w:hAnsi="Times New Roman"/>
          <w:noProof/>
          <w:sz w:val="24"/>
          <w:szCs w:val="24"/>
        </w:rPr>
        <w:t xml:space="preserve">once daily taken orally </w:t>
      </w:r>
      <w:r w:rsidR="00512D9D">
        <w:rPr>
          <w:rFonts w:ascii="Times New Roman" w:hAnsi="Times New Roman"/>
          <w:noProof/>
          <w:sz w:val="24"/>
          <w:szCs w:val="24"/>
        </w:rPr>
        <w:t>with</w:t>
      </w:r>
      <w:r w:rsidR="00C04B26">
        <w:rPr>
          <w:rFonts w:ascii="Times New Roman" w:hAnsi="Times New Roman"/>
          <w:noProof/>
          <w:sz w:val="24"/>
          <w:szCs w:val="24"/>
        </w:rPr>
        <w:t xml:space="preserve"> or without</w:t>
      </w:r>
      <w:r w:rsidR="00512D9D">
        <w:rPr>
          <w:rFonts w:ascii="Times New Roman" w:hAnsi="Times New Roman"/>
          <w:noProof/>
          <w:sz w:val="24"/>
          <w:szCs w:val="24"/>
        </w:rPr>
        <w:t xml:space="preserve"> </w:t>
      </w:r>
      <w:r w:rsidR="008350C2">
        <w:rPr>
          <w:rFonts w:ascii="Times New Roman" w:hAnsi="Times New Roman"/>
          <w:noProof/>
          <w:sz w:val="24"/>
          <w:szCs w:val="24"/>
        </w:rPr>
        <w:t xml:space="preserve">food.  </w:t>
      </w:r>
    </w:p>
    <w:p w:rsidR="00FD5946" w:rsidRDefault="00FD5946" w:rsidP="00BF711F">
      <w:pPr>
        <w:jc w:val="both"/>
        <w:rPr>
          <w:rFonts w:ascii="Times New Roman" w:hAnsi="Times New Roman"/>
          <w:noProof/>
          <w:sz w:val="24"/>
          <w:szCs w:val="24"/>
        </w:rPr>
      </w:pPr>
    </w:p>
    <w:p w:rsidR="00F26D0A" w:rsidRDefault="00D21279" w:rsidP="00BF711F">
      <w:pPr>
        <w:jc w:val="both"/>
        <w:rPr>
          <w:rFonts w:ascii="Times New Roman" w:hAnsi="Times New Roman"/>
          <w:noProof/>
          <w:sz w:val="24"/>
          <w:szCs w:val="24"/>
        </w:rPr>
      </w:pPr>
      <w:r>
        <w:rPr>
          <w:rFonts w:ascii="Times New Roman" w:hAnsi="Times New Roman"/>
          <w:noProof/>
          <w:sz w:val="24"/>
          <w:szCs w:val="24"/>
        </w:rPr>
        <w:t>SOVALDI</w:t>
      </w:r>
      <w:r w:rsidR="000074C9" w:rsidRPr="000074C9">
        <w:rPr>
          <w:rFonts w:ascii="Times New Roman" w:hAnsi="Times New Roman"/>
          <w:noProof/>
          <w:sz w:val="24"/>
          <w:szCs w:val="24"/>
        </w:rPr>
        <w:t xml:space="preserve"> should be used in combination with other agents. The recommended d</w:t>
      </w:r>
      <w:r w:rsidR="00CA04DC">
        <w:rPr>
          <w:rFonts w:ascii="Times New Roman" w:hAnsi="Times New Roman"/>
          <w:noProof/>
          <w:sz w:val="24"/>
          <w:szCs w:val="24"/>
        </w:rPr>
        <w:t xml:space="preserve">ose and treatment duration for </w:t>
      </w:r>
      <w:r>
        <w:rPr>
          <w:rFonts w:ascii="Times New Roman" w:hAnsi="Times New Roman"/>
          <w:noProof/>
          <w:sz w:val="24"/>
          <w:szCs w:val="24"/>
        </w:rPr>
        <w:t>SOVALDI</w:t>
      </w:r>
      <w:r w:rsidR="000074C9" w:rsidRPr="000074C9">
        <w:rPr>
          <w:rFonts w:ascii="Times New Roman" w:hAnsi="Times New Roman"/>
          <w:noProof/>
          <w:sz w:val="24"/>
          <w:szCs w:val="24"/>
        </w:rPr>
        <w:t xml:space="preserve"> combination therapy is provided in Table </w:t>
      </w:r>
      <w:r w:rsidR="0067329E">
        <w:rPr>
          <w:rFonts w:ascii="Times New Roman" w:hAnsi="Times New Roman"/>
          <w:noProof/>
          <w:sz w:val="24"/>
          <w:szCs w:val="24"/>
        </w:rPr>
        <w:t>1</w:t>
      </w:r>
      <w:r w:rsidR="008C68CF">
        <w:rPr>
          <w:rFonts w:ascii="Times New Roman" w:hAnsi="Times New Roman"/>
          <w:noProof/>
          <w:sz w:val="24"/>
          <w:szCs w:val="24"/>
        </w:rPr>
        <w:t>8</w:t>
      </w:r>
      <w:r w:rsidR="00981C8E">
        <w:rPr>
          <w:rFonts w:ascii="Times New Roman" w:hAnsi="Times New Roman"/>
          <w:noProof/>
          <w:sz w:val="24"/>
          <w:szCs w:val="24"/>
        </w:rPr>
        <w:t xml:space="preserve"> and Figure 1</w:t>
      </w:r>
      <w:r w:rsidR="0067329E">
        <w:rPr>
          <w:rFonts w:ascii="Times New Roman" w:hAnsi="Times New Roman"/>
          <w:noProof/>
          <w:sz w:val="24"/>
          <w:szCs w:val="24"/>
        </w:rPr>
        <w:t>.</w:t>
      </w:r>
      <w:r w:rsidR="006165E0" w:rsidRPr="008B7865">
        <w:rPr>
          <w:rFonts w:ascii="Times New Roman" w:hAnsi="Times New Roman"/>
          <w:noProof/>
          <w:sz w:val="24"/>
          <w:szCs w:val="24"/>
        </w:rPr>
        <w:t xml:space="preserve">  </w:t>
      </w:r>
    </w:p>
    <w:p w:rsidR="00DC4C59" w:rsidRDefault="00DC4C59" w:rsidP="00BF711F">
      <w:pPr>
        <w:jc w:val="both"/>
        <w:rPr>
          <w:rFonts w:ascii="Times New Roman" w:hAnsi="Times New Roman"/>
          <w:noProof/>
          <w:sz w:val="24"/>
          <w:szCs w:val="24"/>
        </w:rPr>
      </w:pPr>
    </w:p>
    <w:p w:rsidR="000074C9" w:rsidRDefault="000074C9" w:rsidP="00BF711F">
      <w:pPr>
        <w:pStyle w:val="Caption"/>
        <w:ind w:left="1440" w:hanging="1440"/>
        <w:rPr>
          <w:rFonts w:ascii="Times New Roman" w:hAnsi="Times New Roman"/>
          <w:sz w:val="24"/>
          <w:szCs w:val="24"/>
        </w:rPr>
      </w:pPr>
      <w:bookmarkStart w:id="22" w:name="_Toc352326831"/>
      <w:r w:rsidRPr="00246A82">
        <w:rPr>
          <w:rFonts w:ascii="Times New Roman" w:hAnsi="Times New Roman"/>
          <w:sz w:val="24"/>
          <w:szCs w:val="24"/>
        </w:rPr>
        <w:t xml:space="preserve">Table </w:t>
      </w:r>
      <w:r w:rsidR="00CA04DC" w:rsidRPr="00246A82">
        <w:rPr>
          <w:rFonts w:ascii="Times New Roman" w:hAnsi="Times New Roman"/>
          <w:sz w:val="24"/>
          <w:szCs w:val="24"/>
        </w:rPr>
        <w:t>1</w:t>
      </w:r>
      <w:r w:rsidR="008C68CF">
        <w:rPr>
          <w:rFonts w:ascii="Times New Roman" w:hAnsi="Times New Roman"/>
          <w:sz w:val="24"/>
          <w:szCs w:val="24"/>
        </w:rPr>
        <w:t>8</w:t>
      </w:r>
      <w:r w:rsidRPr="00246A82">
        <w:rPr>
          <w:rFonts w:ascii="Times New Roman" w:hAnsi="Times New Roman"/>
          <w:sz w:val="24"/>
          <w:szCs w:val="24"/>
        </w:rPr>
        <w:tab/>
        <w:t xml:space="preserve">Recommended Dose and Treatment Duration for </w:t>
      </w:r>
      <w:r w:rsidR="00D21279">
        <w:rPr>
          <w:rFonts w:ascii="Times New Roman" w:hAnsi="Times New Roman"/>
          <w:sz w:val="24"/>
          <w:szCs w:val="24"/>
        </w:rPr>
        <w:t>SOVALDI</w:t>
      </w:r>
      <w:r w:rsidRPr="00246A82">
        <w:rPr>
          <w:rFonts w:ascii="Times New Roman" w:hAnsi="Times New Roman"/>
          <w:sz w:val="24"/>
          <w:szCs w:val="24"/>
        </w:rPr>
        <w:t xml:space="preserve"> Combination Therapy</w:t>
      </w:r>
      <w:bookmarkEnd w:id="22"/>
    </w:p>
    <w:tbl>
      <w:tblPr>
        <w:tblW w:w="4941" w:type="pct"/>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730"/>
        <w:gridCol w:w="1593"/>
        <w:gridCol w:w="2055"/>
        <w:gridCol w:w="1702"/>
        <w:gridCol w:w="1426"/>
      </w:tblGrid>
      <w:tr w:rsidR="00DC4C59" w:rsidRPr="00246A82" w:rsidTr="00816542">
        <w:trPr>
          <w:cantSplit/>
          <w:trHeight w:val="679"/>
          <w:tblHeader/>
        </w:trPr>
        <w:tc>
          <w:tcPr>
            <w:tcW w:w="1436" w:type="pct"/>
            <w:tcBorders>
              <w:top w:val="single" w:sz="12" w:space="0" w:color="auto"/>
              <w:left w:val="nil"/>
              <w:bottom w:val="single" w:sz="12" w:space="0" w:color="auto"/>
              <w:right w:val="single" w:sz="8" w:space="0" w:color="auto"/>
            </w:tcBorders>
            <w:shd w:val="clear" w:color="auto" w:fill="auto"/>
          </w:tcPr>
          <w:p w:rsidR="00DC4C59" w:rsidRPr="00246A82" w:rsidRDefault="00DC4C59" w:rsidP="00816542">
            <w:pPr>
              <w:pStyle w:val="Table-Heading"/>
            </w:pPr>
          </w:p>
        </w:tc>
        <w:tc>
          <w:tcPr>
            <w:tcW w:w="838" w:type="pct"/>
            <w:tcBorders>
              <w:top w:val="single" w:sz="12" w:space="0" w:color="auto"/>
              <w:left w:val="single" w:sz="8" w:space="0" w:color="auto"/>
              <w:bottom w:val="single" w:sz="12" w:space="0" w:color="auto"/>
              <w:right w:val="single" w:sz="8" w:space="0" w:color="auto"/>
            </w:tcBorders>
            <w:shd w:val="clear" w:color="auto" w:fill="auto"/>
            <w:vAlign w:val="center"/>
          </w:tcPr>
          <w:p w:rsidR="00DC4C59" w:rsidRPr="00246A82" w:rsidRDefault="00DC4C59" w:rsidP="00816542">
            <w:pPr>
              <w:pStyle w:val="Table-Heading"/>
              <w:jc w:val="center"/>
              <w:rPr>
                <w:sz w:val="24"/>
                <w:szCs w:val="24"/>
              </w:rPr>
            </w:pPr>
            <w:r w:rsidRPr="00246A82">
              <w:rPr>
                <w:sz w:val="24"/>
                <w:szCs w:val="24"/>
              </w:rPr>
              <w:t>Duration</w:t>
            </w:r>
          </w:p>
        </w:tc>
        <w:tc>
          <w:tcPr>
            <w:tcW w:w="1081" w:type="pct"/>
            <w:tcBorders>
              <w:top w:val="single" w:sz="12" w:space="0" w:color="auto"/>
              <w:left w:val="single" w:sz="8" w:space="0" w:color="auto"/>
              <w:bottom w:val="single" w:sz="12" w:space="0" w:color="auto"/>
              <w:right w:val="single" w:sz="8" w:space="0" w:color="auto"/>
            </w:tcBorders>
            <w:shd w:val="clear" w:color="auto" w:fill="auto"/>
            <w:vAlign w:val="center"/>
          </w:tcPr>
          <w:p w:rsidR="00DC4C59" w:rsidRPr="00246A82" w:rsidRDefault="00D21279" w:rsidP="00816542">
            <w:pPr>
              <w:pStyle w:val="Table-Heading"/>
              <w:jc w:val="center"/>
              <w:rPr>
                <w:sz w:val="24"/>
                <w:szCs w:val="24"/>
              </w:rPr>
            </w:pPr>
            <w:r>
              <w:rPr>
                <w:sz w:val="24"/>
                <w:szCs w:val="24"/>
              </w:rPr>
              <w:t>SOVALDI</w:t>
            </w:r>
            <w:r w:rsidR="00DC4C59">
              <w:rPr>
                <w:sz w:val="24"/>
                <w:szCs w:val="24"/>
              </w:rPr>
              <w:t xml:space="preserve"> </w:t>
            </w:r>
            <w:r w:rsidR="00DC4C59" w:rsidRPr="00246A82">
              <w:rPr>
                <w:sz w:val="24"/>
                <w:szCs w:val="24"/>
              </w:rPr>
              <w:t>Dose</w:t>
            </w:r>
          </w:p>
          <w:p w:rsidR="00DC4C59" w:rsidRPr="00246A82" w:rsidRDefault="00DC4C59" w:rsidP="00816542">
            <w:pPr>
              <w:pStyle w:val="Table-Heading"/>
              <w:jc w:val="center"/>
              <w:rPr>
                <w:sz w:val="24"/>
                <w:szCs w:val="24"/>
              </w:rPr>
            </w:pPr>
            <w:r w:rsidRPr="00246A82">
              <w:rPr>
                <w:sz w:val="24"/>
                <w:szCs w:val="24"/>
              </w:rPr>
              <w:t>(daily)</w:t>
            </w:r>
          </w:p>
        </w:tc>
        <w:tc>
          <w:tcPr>
            <w:tcW w:w="895" w:type="pct"/>
            <w:tcBorders>
              <w:top w:val="single" w:sz="12" w:space="0" w:color="auto"/>
              <w:left w:val="single" w:sz="8" w:space="0" w:color="auto"/>
              <w:bottom w:val="single" w:sz="12" w:space="0" w:color="auto"/>
              <w:right w:val="single" w:sz="8" w:space="0" w:color="auto"/>
            </w:tcBorders>
            <w:shd w:val="clear" w:color="auto" w:fill="auto"/>
            <w:vAlign w:val="center"/>
          </w:tcPr>
          <w:p w:rsidR="00DC4C59" w:rsidRPr="00246A82" w:rsidRDefault="00DC4C59" w:rsidP="00816542">
            <w:pPr>
              <w:pStyle w:val="Table-Heading"/>
              <w:jc w:val="center"/>
              <w:rPr>
                <w:sz w:val="24"/>
                <w:szCs w:val="24"/>
              </w:rPr>
            </w:pPr>
            <w:proofErr w:type="spellStart"/>
            <w:r w:rsidRPr="00246A82">
              <w:rPr>
                <w:sz w:val="24"/>
                <w:szCs w:val="24"/>
              </w:rPr>
              <w:t>Peginterferon</w:t>
            </w:r>
            <w:proofErr w:type="spellEnd"/>
            <w:r w:rsidRPr="00246A82">
              <w:rPr>
                <w:sz w:val="24"/>
                <w:szCs w:val="24"/>
              </w:rPr>
              <w:t xml:space="preserve"> </w:t>
            </w:r>
            <w:proofErr w:type="spellStart"/>
            <w:r w:rsidRPr="00246A82">
              <w:rPr>
                <w:sz w:val="24"/>
                <w:szCs w:val="24"/>
              </w:rPr>
              <w:t>alfa</w:t>
            </w:r>
            <w:proofErr w:type="spellEnd"/>
            <w:r w:rsidRPr="00246A82">
              <w:rPr>
                <w:sz w:val="24"/>
                <w:szCs w:val="24"/>
              </w:rPr>
              <w:t xml:space="preserve"> Dose</w:t>
            </w:r>
          </w:p>
        </w:tc>
        <w:tc>
          <w:tcPr>
            <w:tcW w:w="750" w:type="pct"/>
            <w:tcBorders>
              <w:top w:val="single" w:sz="12" w:space="0" w:color="auto"/>
              <w:left w:val="single" w:sz="8" w:space="0" w:color="auto"/>
              <w:bottom w:val="single" w:sz="12" w:space="0" w:color="auto"/>
              <w:right w:val="nil"/>
            </w:tcBorders>
            <w:shd w:val="clear" w:color="auto" w:fill="auto"/>
            <w:vAlign w:val="center"/>
          </w:tcPr>
          <w:p w:rsidR="00DC4C59" w:rsidRPr="00246A82" w:rsidRDefault="00DC4C59" w:rsidP="00816542">
            <w:pPr>
              <w:pStyle w:val="Table-Heading"/>
              <w:jc w:val="center"/>
              <w:rPr>
                <w:sz w:val="24"/>
                <w:szCs w:val="24"/>
              </w:rPr>
            </w:pPr>
            <w:r w:rsidRPr="00246A82">
              <w:rPr>
                <w:sz w:val="24"/>
                <w:szCs w:val="24"/>
              </w:rPr>
              <w:t>Ribavirin Dose (daily)</w:t>
            </w:r>
          </w:p>
        </w:tc>
      </w:tr>
      <w:tr w:rsidR="00DC4C59" w:rsidRPr="00246A82" w:rsidTr="00816542">
        <w:trPr>
          <w:cantSplit/>
        </w:trPr>
        <w:tc>
          <w:tcPr>
            <w:tcW w:w="1436" w:type="pct"/>
            <w:tcBorders>
              <w:top w:val="single" w:sz="12" w:space="0" w:color="auto"/>
              <w:left w:val="nil"/>
              <w:bottom w:val="single" w:sz="4" w:space="0" w:color="auto"/>
              <w:right w:val="single" w:sz="8" w:space="0" w:color="auto"/>
            </w:tcBorders>
            <w:shd w:val="clear" w:color="auto" w:fill="auto"/>
          </w:tcPr>
          <w:p w:rsidR="00DC4C59" w:rsidRPr="00246A82" w:rsidRDefault="00D93272" w:rsidP="00D93272">
            <w:pPr>
              <w:pStyle w:val="TableText"/>
              <w:jc w:val="left"/>
              <w:rPr>
                <w:bCs/>
                <w:sz w:val="22"/>
                <w:szCs w:val="22"/>
              </w:rPr>
            </w:pPr>
            <w:r>
              <w:rPr>
                <w:rFonts w:ascii="Times New Roman" w:hAnsi="Times New Roman" w:cs="Times New Roman"/>
                <w:sz w:val="22"/>
                <w:szCs w:val="22"/>
              </w:rPr>
              <w:t>P</w:t>
            </w:r>
            <w:r w:rsidR="00DC4C59" w:rsidRPr="00246A82">
              <w:rPr>
                <w:rFonts w:ascii="Times New Roman" w:hAnsi="Times New Roman" w:cs="Times New Roman"/>
                <w:sz w:val="22"/>
                <w:szCs w:val="22"/>
              </w:rPr>
              <w:t>atients with genotype 1, 4, 5 or 6 CHC</w:t>
            </w:r>
          </w:p>
        </w:tc>
        <w:tc>
          <w:tcPr>
            <w:tcW w:w="838" w:type="pct"/>
            <w:tcBorders>
              <w:top w:val="single" w:sz="12" w:space="0" w:color="auto"/>
              <w:left w:val="single" w:sz="8" w:space="0" w:color="auto"/>
              <w:right w:val="single" w:sz="8" w:space="0" w:color="auto"/>
            </w:tcBorders>
            <w:shd w:val="clear" w:color="auto" w:fill="auto"/>
            <w:vAlign w:val="center"/>
          </w:tcPr>
          <w:p w:rsidR="00DC4C59" w:rsidRPr="00246A82" w:rsidRDefault="00DC4C59" w:rsidP="00816542">
            <w:pPr>
              <w:pStyle w:val="Table-Text"/>
              <w:jc w:val="center"/>
              <w:rPr>
                <w:b/>
                <w:sz w:val="22"/>
                <w:szCs w:val="22"/>
              </w:rPr>
            </w:pPr>
            <w:r w:rsidRPr="00246A82">
              <w:rPr>
                <w:sz w:val="22"/>
                <w:szCs w:val="22"/>
              </w:rPr>
              <w:t>12 weeks</w:t>
            </w:r>
            <w:r w:rsidR="000E46B9">
              <w:rPr>
                <w:sz w:val="22"/>
                <w:szCs w:val="22"/>
              </w:rPr>
              <w:t xml:space="preserve"> </w:t>
            </w:r>
            <w:proofErr w:type="spellStart"/>
            <w:r w:rsidR="000E46B9" w:rsidRPr="000E46B9">
              <w:rPr>
                <w:sz w:val="22"/>
                <w:szCs w:val="22"/>
                <w:vertAlign w:val="superscript"/>
              </w:rPr>
              <w:t>a,b</w:t>
            </w:r>
            <w:proofErr w:type="spellEnd"/>
          </w:p>
        </w:tc>
        <w:tc>
          <w:tcPr>
            <w:tcW w:w="1081" w:type="pct"/>
            <w:vMerge w:val="restart"/>
            <w:tcBorders>
              <w:top w:val="single" w:sz="12" w:space="0" w:color="auto"/>
              <w:left w:val="single" w:sz="8" w:space="0" w:color="auto"/>
              <w:right w:val="single" w:sz="8" w:space="0" w:color="auto"/>
            </w:tcBorders>
            <w:shd w:val="clear" w:color="auto" w:fill="auto"/>
            <w:vAlign w:val="center"/>
          </w:tcPr>
          <w:p w:rsidR="00DC4C59" w:rsidRPr="00246A82" w:rsidRDefault="00DC4C59" w:rsidP="00816542">
            <w:pPr>
              <w:pStyle w:val="Table-Text"/>
              <w:jc w:val="center"/>
              <w:rPr>
                <w:sz w:val="22"/>
                <w:szCs w:val="22"/>
              </w:rPr>
            </w:pPr>
            <w:r w:rsidRPr="00246A82">
              <w:rPr>
                <w:sz w:val="22"/>
                <w:szCs w:val="22"/>
              </w:rPr>
              <w:t>400 mg</w:t>
            </w:r>
          </w:p>
        </w:tc>
        <w:tc>
          <w:tcPr>
            <w:tcW w:w="895" w:type="pct"/>
            <w:tcBorders>
              <w:top w:val="single" w:sz="12" w:space="0" w:color="auto"/>
              <w:left w:val="single" w:sz="8" w:space="0" w:color="auto"/>
              <w:right w:val="single" w:sz="8" w:space="0" w:color="auto"/>
            </w:tcBorders>
            <w:shd w:val="clear" w:color="auto" w:fill="auto"/>
            <w:vAlign w:val="center"/>
          </w:tcPr>
          <w:p w:rsidR="00DC4C59" w:rsidRPr="00246A82" w:rsidRDefault="00DC4C59" w:rsidP="00C6105E">
            <w:pPr>
              <w:pStyle w:val="Table-Text"/>
              <w:jc w:val="center"/>
              <w:rPr>
                <w:sz w:val="22"/>
                <w:szCs w:val="22"/>
              </w:rPr>
            </w:pPr>
            <w:r w:rsidRPr="00246A82">
              <w:rPr>
                <w:sz w:val="22"/>
                <w:szCs w:val="22"/>
              </w:rPr>
              <w:t xml:space="preserve">See </w:t>
            </w:r>
            <w:proofErr w:type="spellStart"/>
            <w:r w:rsidRPr="00246A82">
              <w:rPr>
                <w:sz w:val="22"/>
                <w:szCs w:val="22"/>
              </w:rPr>
              <w:t>peginterferon</w:t>
            </w:r>
            <w:proofErr w:type="spellEnd"/>
            <w:r w:rsidRPr="00246A82">
              <w:rPr>
                <w:sz w:val="22"/>
                <w:szCs w:val="22"/>
              </w:rPr>
              <w:t xml:space="preserve"> </w:t>
            </w:r>
            <w:proofErr w:type="spellStart"/>
            <w:r w:rsidRPr="00246A82">
              <w:rPr>
                <w:sz w:val="22"/>
                <w:szCs w:val="22"/>
              </w:rPr>
              <w:t>alfa</w:t>
            </w:r>
            <w:proofErr w:type="spellEnd"/>
            <w:r w:rsidRPr="00246A82">
              <w:rPr>
                <w:sz w:val="22"/>
                <w:szCs w:val="22"/>
              </w:rPr>
              <w:t xml:space="preserve"> </w:t>
            </w:r>
            <w:r w:rsidR="00C6105E">
              <w:rPr>
                <w:sz w:val="22"/>
                <w:szCs w:val="22"/>
              </w:rPr>
              <w:t>product</w:t>
            </w:r>
            <w:r w:rsidR="00C6105E" w:rsidRPr="00246A82">
              <w:rPr>
                <w:sz w:val="22"/>
                <w:szCs w:val="22"/>
              </w:rPr>
              <w:t xml:space="preserve"> </w:t>
            </w:r>
            <w:proofErr w:type="spellStart"/>
            <w:r w:rsidRPr="00246A82">
              <w:rPr>
                <w:sz w:val="22"/>
                <w:szCs w:val="22"/>
              </w:rPr>
              <w:t>information</w:t>
            </w:r>
            <w:r w:rsidR="00A00356">
              <w:rPr>
                <w:sz w:val="22"/>
                <w:szCs w:val="22"/>
                <w:vertAlign w:val="superscript"/>
              </w:rPr>
              <w:t>c</w:t>
            </w:r>
            <w:proofErr w:type="spellEnd"/>
          </w:p>
        </w:tc>
        <w:tc>
          <w:tcPr>
            <w:tcW w:w="750" w:type="pct"/>
            <w:tcBorders>
              <w:top w:val="single" w:sz="12" w:space="0" w:color="auto"/>
              <w:left w:val="single" w:sz="8" w:space="0" w:color="auto"/>
              <w:right w:val="nil"/>
            </w:tcBorders>
            <w:shd w:val="clear" w:color="auto" w:fill="auto"/>
            <w:vAlign w:val="center"/>
          </w:tcPr>
          <w:p w:rsidR="00DC4C59" w:rsidRPr="00246A82" w:rsidRDefault="00DC4C59" w:rsidP="00C6105E">
            <w:pPr>
              <w:pStyle w:val="Table-Text"/>
              <w:jc w:val="center"/>
              <w:rPr>
                <w:sz w:val="22"/>
                <w:szCs w:val="22"/>
              </w:rPr>
            </w:pPr>
            <w:r w:rsidRPr="00246A82">
              <w:rPr>
                <w:sz w:val="22"/>
                <w:szCs w:val="22"/>
              </w:rPr>
              <w:t xml:space="preserve">See ribavirin </w:t>
            </w:r>
            <w:r w:rsidR="00C6105E">
              <w:rPr>
                <w:sz w:val="22"/>
                <w:szCs w:val="22"/>
              </w:rPr>
              <w:t xml:space="preserve">product </w:t>
            </w:r>
            <w:proofErr w:type="spellStart"/>
            <w:r w:rsidRPr="00246A82">
              <w:rPr>
                <w:sz w:val="22"/>
                <w:szCs w:val="22"/>
              </w:rPr>
              <w:t>information</w:t>
            </w:r>
            <w:r w:rsidR="00A00356">
              <w:rPr>
                <w:sz w:val="22"/>
                <w:szCs w:val="22"/>
                <w:vertAlign w:val="superscript"/>
              </w:rPr>
              <w:t>d</w:t>
            </w:r>
            <w:proofErr w:type="spellEnd"/>
          </w:p>
        </w:tc>
      </w:tr>
      <w:tr w:rsidR="00DC4C59" w:rsidRPr="00246A82" w:rsidTr="00816542">
        <w:trPr>
          <w:cantSplit/>
        </w:trPr>
        <w:tc>
          <w:tcPr>
            <w:tcW w:w="1436" w:type="pct"/>
            <w:tcBorders>
              <w:top w:val="single" w:sz="4" w:space="0" w:color="auto"/>
              <w:left w:val="nil"/>
              <w:bottom w:val="single" w:sz="4" w:space="0" w:color="auto"/>
              <w:right w:val="single" w:sz="8" w:space="0" w:color="auto"/>
            </w:tcBorders>
            <w:shd w:val="clear" w:color="auto" w:fill="auto"/>
          </w:tcPr>
          <w:p w:rsidR="00DC4C59" w:rsidRPr="00246A82" w:rsidRDefault="00DC4C59" w:rsidP="00816542">
            <w:pPr>
              <w:pStyle w:val="Table-Heading"/>
              <w:rPr>
                <w:bCs/>
                <w:sz w:val="22"/>
                <w:szCs w:val="22"/>
              </w:rPr>
            </w:pPr>
            <w:r w:rsidRPr="00246A82">
              <w:rPr>
                <w:b w:val="0"/>
                <w:bCs/>
                <w:sz w:val="22"/>
                <w:szCs w:val="22"/>
              </w:rPr>
              <w:t>Patients with genotype 2 CHC</w:t>
            </w:r>
          </w:p>
        </w:tc>
        <w:tc>
          <w:tcPr>
            <w:tcW w:w="838" w:type="pct"/>
            <w:tcBorders>
              <w:left w:val="single" w:sz="8" w:space="0" w:color="auto"/>
              <w:bottom w:val="single" w:sz="4" w:space="0" w:color="auto"/>
              <w:right w:val="single" w:sz="8" w:space="0" w:color="auto"/>
            </w:tcBorders>
            <w:shd w:val="clear" w:color="auto" w:fill="auto"/>
            <w:vAlign w:val="center"/>
          </w:tcPr>
          <w:p w:rsidR="00DC4C59" w:rsidRPr="00246A82" w:rsidRDefault="00DC4C59" w:rsidP="00816542">
            <w:pPr>
              <w:pStyle w:val="Table-Text"/>
              <w:jc w:val="center"/>
              <w:rPr>
                <w:sz w:val="22"/>
                <w:szCs w:val="22"/>
              </w:rPr>
            </w:pPr>
            <w:r w:rsidRPr="00246A82">
              <w:rPr>
                <w:sz w:val="22"/>
                <w:szCs w:val="22"/>
              </w:rPr>
              <w:t>12 weeks</w:t>
            </w:r>
          </w:p>
        </w:tc>
        <w:tc>
          <w:tcPr>
            <w:tcW w:w="1081" w:type="pct"/>
            <w:vMerge/>
            <w:tcBorders>
              <w:left w:val="single" w:sz="8" w:space="0" w:color="auto"/>
              <w:bottom w:val="single" w:sz="4" w:space="0" w:color="auto"/>
              <w:right w:val="single" w:sz="8" w:space="0" w:color="auto"/>
            </w:tcBorders>
            <w:shd w:val="clear" w:color="auto" w:fill="auto"/>
          </w:tcPr>
          <w:p w:rsidR="00DC4C59" w:rsidRPr="00246A82" w:rsidRDefault="00DC4C59" w:rsidP="00816542">
            <w:pPr>
              <w:pStyle w:val="Table-Text"/>
              <w:rPr>
                <w:sz w:val="22"/>
                <w:szCs w:val="22"/>
              </w:rPr>
            </w:pPr>
          </w:p>
        </w:tc>
        <w:tc>
          <w:tcPr>
            <w:tcW w:w="895" w:type="pct"/>
            <w:vMerge w:val="restart"/>
            <w:tcBorders>
              <w:left w:val="single" w:sz="8" w:space="0" w:color="auto"/>
              <w:bottom w:val="single" w:sz="4" w:space="0" w:color="auto"/>
              <w:right w:val="single" w:sz="8" w:space="0" w:color="auto"/>
            </w:tcBorders>
            <w:shd w:val="clear" w:color="auto" w:fill="auto"/>
            <w:vAlign w:val="center"/>
          </w:tcPr>
          <w:p w:rsidR="00DC4C59" w:rsidRPr="00246A82" w:rsidRDefault="00DC4C59" w:rsidP="00816542">
            <w:pPr>
              <w:pStyle w:val="Table-Text"/>
              <w:jc w:val="center"/>
              <w:rPr>
                <w:sz w:val="22"/>
                <w:szCs w:val="22"/>
              </w:rPr>
            </w:pPr>
            <w:r w:rsidRPr="00246A82">
              <w:rPr>
                <w:sz w:val="22"/>
                <w:szCs w:val="22"/>
              </w:rPr>
              <w:t>NA</w:t>
            </w:r>
          </w:p>
        </w:tc>
        <w:tc>
          <w:tcPr>
            <w:tcW w:w="750" w:type="pct"/>
            <w:vMerge w:val="restart"/>
            <w:tcBorders>
              <w:left w:val="single" w:sz="8" w:space="0" w:color="auto"/>
              <w:bottom w:val="single" w:sz="4" w:space="0" w:color="auto"/>
              <w:right w:val="nil"/>
            </w:tcBorders>
            <w:shd w:val="clear" w:color="auto" w:fill="auto"/>
            <w:vAlign w:val="center"/>
          </w:tcPr>
          <w:p w:rsidR="00DC4C59" w:rsidRPr="00246A82" w:rsidRDefault="00DC4C59" w:rsidP="00816542">
            <w:pPr>
              <w:pStyle w:val="Table-Text"/>
              <w:jc w:val="center"/>
              <w:rPr>
                <w:sz w:val="22"/>
                <w:szCs w:val="22"/>
              </w:rPr>
            </w:pPr>
            <w:r w:rsidRPr="00246A82">
              <w:rPr>
                <w:sz w:val="22"/>
                <w:szCs w:val="22"/>
              </w:rPr>
              <w:t xml:space="preserve">&lt;75 kg = 1000 </w:t>
            </w:r>
            <w:proofErr w:type="spellStart"/>
            <w:r w:rsidRPr="00246A82">
              <w:rPr>
                <w:sz w:val="22"/>
                <w:szCs w:val="22"/>
              </w:rPr>
              <w:t>mg</w:t>
            </w:r>
            <w:r w:rsidR="00D93272">
              <w:rPr>
                <w:sz w:val="22"/>
                <w:szCs w:val="22"/>
                <w:vertAlign w:val="superscript"/>
              </w:rPr>
              <w:t>c</w:t>
            </w:r>
            <w:proofErr w:type="spellEnd"/>
          </w:p>
          <w:p w:rsidR="00DC4C59" w:rsidRPr="00246A82" w:rsidRDefault="00DC4C59" w:rsidP="00816542">
            <w:pPr>
              <w:pStyle w:val="Table-Text"/>
              <w:jc w:val="center"/>
              <w:rPr>
                <w:sz w:val="22"/>
                <w:szCs w:val="22"/>
              </w:rPr>
            </w:pPr>
            <w:r w:rsidRPr="00246A82">
              <w:rPr>
                <w:sz w:val="22"/>
                <w:szCs w:val="22"/>
              </w:rPr>
              <w:t xml:space="preserve">≥75 kg = 1200 </w:t>
            </w:r>
            <w:proofErr w:type="spellStart"/>
            <w:r w:rsidRPr="00246A82">
              <w:rPr>
                <w:sz w:val="22"/>
                <w:szCs w:val="22"/>
              </w:rPr>
              <w:t>mg</w:t>
            </w:r>
            <w:r w:rsidR="00D93272">
              <w:rPr>
                <w:sz w:val="22"/>
                <w:szCs w:val="22"/>
                <w:vertAlign w:val="superscript"/>
              </w:rPr>
              <w:t>c</w:t>
            </w:r>
            <w:proofErr w:type="spellEnd"/>
          </w:p>
        </w:tc>
      </w:tr>
      <w:tr w:rsidR="00DC4C59" w:rsidRPr="00246A82" w:rsidTr="00816542">
        <w:trPr>
          <w:cantSplit/>
        </w:trPr>
        <w:tc>
          <w:tcPr>
            <w:tcW w:w="1436" w:type="pct"/>
            <w:tcBorders>
              <w:top w:val="single" w:sz="4" w:space="0" w:color="auto"/>
              <w:left w:val="nil"/>
              <w:bottom w:val="single" w:sz="4" w:space="0" w:color="auto"/>
              <w:right w:val="single" w:sz="8" w:space="0" w:color="auto"/>
            </w:tcBorders>
            <w:shd w:val="clear" w:color="auto" w:fill="auto"/>
          </w:tcPr>
          <w:p w:rsidR="00DC4C59" w:rsidRPr="00246A82" w:rsidRDefault="00DC4C59" w:rsidP="00816542">
            <w:pPr>
              <w:pStyle w:val="Table-Heading"/>
              <w:rPr>
                <w:b w:val="0"/>
                <w:bCs/>
                <w:sz w:val="22"/>
                <w:szCs w:val="22"/>
              </w:rPr>
            </w:pPr>
            <w:r w:rsidRPr="00246A82">
              <w:rPr>
                <w:b w:val="0"/>
                <w:bCs/>
                <w:sz w:val="22"/>
                <w:szCs w:val="22"/>
              </w:rPr>
              <w:t>Patients with genotype 3 CHC</w:t>
            </w:r>
          </w:p>
        </w:tc>
        <w:tc>
          <w:tcPr>
            <w:tcW w:w="838" w:type="pct"/>
            <w:tcBorders>
              <w:top w:val="single" w:sz="4" w:space="0" w:color="auto"/>
              <w:left w:val="single" w:sz="8" w:space="0" w:color="auto"/>
              <w:right w:val="single" w:sz="8" w:space="0" w:color="auto"/>
            </w:tcBorders>
            <w:shd w:val="clear" w:color="auto" w:fill="auto"/>
            <w:vAlign w:val="center"/>
          </w:tcPr>
          <w:p w:rsidR="00DC4C59" w:rsidRPr="00246A82" w:rsidRDefault="00DC4C59" w:rsidP="00816542">
            <w:pPr>
              <w:pStyle w:val="Table-Text"/>
              <w:jc w:val="center"/>
              <w:rPr>
                <w:sz w:val="22"/>
                <w:szCs w:val="22"/>
              </w:rPr>
            </w:pPr>
            <w:r w:rsidRPr="00246A82">
              <w:rPr>
                <w:sz w:val="22"/>
                <w:szCs w:val="22"/>
              </w:rPr>
              <w:t xml:space="preserve">16 </w:t>
            </w:r>
            <w:proofErr w:type="spellStart"/>
            <w:r w:rsidRPr="00246A82">
              <w:rPr>
                <w:sz w:val="22"/>
                <w:szCs w:val="22"/>
              </w:rPr>
              <w:t>weeks</w:t>
            </w:r>
            <w:r w:rsidR="00A00356" w:rsidRPr="00A00356">
              <w:rPr>
                <w:sz w:val="22"/>
                <w:szCs w:val="22"/>
                <w:vertAlign w:val="superscript"/>
              </w:rPr>
              <w:t>e</w:t>
            </w:r>
            <w:proofErr w:type="spellEnd"/>
          </w:p>
        </w:tc>
        <w:tc>
          <w:tcPr>
            <w:tcW w:w="1081" w:type="pct"/>
            <w:vMerge/>
            <w:tcBorders>
              <w:top w:val="single" w:sz="4" w:space="0" w:color="auto"/>
              <w:left w:val="single" w:sz="8" w:space="0" w:color="auto"/>
              <w:right w:val="single" w:sz="8" w:space="0" w:color="auto"/>
            </w:tcBorders>
            <w:shd w:val="clear" w:color="auto" w:fill="auto"/>
          </w:tcPr>
          <w:p w:rsidR="00DC4C59" w:rsidRPr="00246A82" w:rsidRDefault="00DC4C59" w:rsidP="00816542">
            <w:pPr>
              <w:pStyle w:val="Table-Text"/>
              <w:rPr>
                <w:sz w:val="22"/>
                <w:szCs w:val="22"/>
                <w:shd w:val="clear" w:color="auto" w:fill="CCFFCC"/>
              </w:rPr>
            </w:pPr>
          </w:p>
        </w:tc>
        <w:tc>
          <w:tcPr>
            <w:tcW w:w="895" w:type="pct"/>
            <w:vMerge/>
            <w:tcBorders>
              <w:top w:val="single" w:sz="4" w:space="0" w:color="auto"/>
              <w:left w:val="single" w:sz="8" w:space="0" w:color="auto"/>
              <w:right w:val="single" w:sz="8" w:space="0" w:color="auto"/>
            </w:tcBorders>
            <w:shd w:val="clear" w:color="auto" w:fill="auto"/>
          </w:tcPr>
          <w:p w:rsidR="00DC4C59" w:rsidRPr="00246A82" w:rsidRDefault="00DC4C59" w:rsidP="00816542">
            <w:pPr>
              <w:pStyle w:val="Table-Text"/>
              <w:rPr>
                <w:sz w:val="22"/>
                <w:szCs w:val="22"/>
                <w:shd w:val="clear" w:color="auto" w:fill="CCFFCC"/>
              </w:rPr>
            </w:pPr>
          </w:p>
        </w:tc>
        <w:tc>
          <w:tcPr>
            <w:tcW w:w="750" w:type="pct"/>
            <w:vMerge/>
            <w:tcBorders>
              <w:top w:val="single" w:sz="4" w:space="0" w:color="auto"/>
              <w:left w:val="single" w:sz="8" w:space="0" w:color="auto"/>
              <w:right w:val="nil"/>
            </w:tcBorders>
            <w:shd w:val="clear" w:color="auto" w:fill="auto"/>
          </w:tcPr>
          <w:p w:rsidR="00DC4C59" w:rsidRPr="00246A82" w:rsidRDefault="00DC4C59" w:rsidP="00816542">
            <w:pPr>
              <w:pStyle w:val="Table-Text"/>
              <w:rPr>
                <w:sz w:val="22"/>
                <w:szCs w:val="22"/>
                <w:shd w:val="clear" w:color="auto" w:fill="CCFFCC"/>
              </w:rPr>
            </w:pPr>
          </w:p>
        </w:tc>
      </w:tr>
      <w:tr w:rsidR="00DC4C59" w:rsidRPr="00246A82" w:rsidTr="00816542">
        <w:trPr>
          <w:cantSplit/>
        </w:trPr>
        <w:tc>
          <w:tcPr>
            <w:tcW w:w="1436" w:type="pct"/>
            <w:tcBorders>
              <w:top w:val="single" w:sz="4" w:space="0" w:color="auto"/>
              <w:left w:val="nil"/>
              <w:bottom w:val="single" w:sz="6" w:space="0" w:color="auto"/>
              <w:right w:val="single" w:sz="8" w:space="0" w:color="auto"/>
            </w:tcBorders>
            <w:shd w:val="clear" w:color="auto" w:fill="auto"/>
          </w:tcPr>
          <w:p w:rsidR="00DC4C59" w:rsidRPr="00246A82" w:rsidRDefault="00DC4C59" w:rsidP="00816542">
            <w:pPr>
              <w:pStyle w:val="Table-Heading"/>
              <w:rPr>
                <w:b w:val="0"/>
                <w:bCs/>
                <w:sz w:val="22"/>
                <w:szCs w:val="22"/>
              </w:rPr>
            </w:pPr>
            <w:r w:rsidRPr="00246A82">
              <w:rPr>
                <w:b w:val="0"/>
                <w:bCs/>
                <w:sz w:val="22"/>
                <w:szCs w:val="22"/>
              </w:rPr>
              <w:t>Patients with CHC awaiting liver transplantation</w:t>
            </w:r>
          </w:p>
        </w:tc>
        <w:tc>
          <w:tcPr>
            <w:tcW w:w="838" w:type="pct"/>
            <w:tcBorders>
              <w:left w:val="single" w:sz="8" w:space="0" w:color="auto"/>
              <w:bottom w:val="single" w:sz="6" w:space="0" w:color="auto"/>
              <w:right w:val="single" w:sz="8" w:space="0" w:color="auto"/>
            </w:tcBorders>
            <w:shd w:val="clear" w:color="auto" w:fill="auto"/>
            <w:vAlign w:val="center"/>
          </w:tcPr>
          <w:p w:rsidR="00DC4C59" w:rsidRPr="00246A82" w:rsidRDefault="00DC4C59" w:rsidP="00C00175">
            <w:pPr>
              <w:pStyle w:val="Table-Text"/>
              <w:jc w:val="center"/>
              <w:rPr>
                <w:sz w:val="22"/>
                <w:szCs w:val="22"/>
              </w:rPr>
            </w:pPr>
            <w:r w:rsidRPr="00246A82">
              <w:rPr>
                <w:sz w:val="22"/>
                <w:szCs w:val="22"/>
              </w:rPr>
              <w:t xml:space="preserve">Until liver </w:t>
            </w:r>
            <w:proofErr w:type="spellStart"/>
            <w:r w:rsidRPr="00246A82">
              <w:rPr>
                <w:sz w:val="22"/>
                <w:szCs w:val="22"/>
              </w:rPr>
              <w:t>transplantation</w:t>
            </w:r>
            <w:r w:rsidR="0025175E">
              <w:rPr>
                <w:sz w:val="22"/>
                <w:szCs w:val="22"/>
                <w:vertAlign w:val="superscript"/>
              </w:rPr>
              <w:t>f</w:t>
            </w:r>
            <w:proofErr w:type="spellEnd"/>
          </w:p>
        </w:tc>
        <w:tc>
          <w:tcPr>
            <w:tcW w:w="1081" w:type="pct"/>
            <w:vMerge/>
            <w:tcBorders>
              <w:left w:val="single" w:sz="8" w:space="0" w:color="auto"/>
              <w:bottom w:val="single" w:sz="6" w:space="0" w:color="auto"/>
              <w:right w:val="single" w:sz="8" w:space="0" w:color="auto"/>
            </w:tcBorders>
            <w:shd w:val="clear" w:color="auto" w:fill="auto"/>
          </w:tcPr>
          <w:p w:rsidR="00DC4C59" w:rsidRPr="00246A82" w:rsidRDefault="00DC4C59" w:rsidP="00816542">
            <w:pPr>
              <w:pStyle w:val="Table-Text"/>
              <w:rPr>
                <w:sz w:val="22"/>
                <w:szCs w:val="22"/>
                <w:shd w:val="clear" w:color="auto" w:fill="CCFFCC"/>
              </w:rPr>
            </w:pPr>
          </w:p>
        </w:tc>
        <w:tc>
          <w:tcPr>
            <w:tcW w:w="895" w:type="pct"/>
            <w:vMerge/>
            <w:tcBorders>
              <w:left w:val="single" w:sz="8" w:space="0" w:color="auto"/>
              <w:bottom w:val="single" w:sz="6" w:space="0" w:color="auto"/>
              <w:right w:val="single" w:sz="8" w:space="0" w:color="auto"/>
            </w:tcBorders>
            <w:shd w:val="clear" w:color="auto" w:fill="auto"/>
          </w:tcPr>
          <w:p w:rsidR="00DC4C59" w:rsidRPr="00246A82" w:rsidRDefault="00DC4C59" w:rsidP="00816542">
            <w:pPr>
              <w:pStyle w:val="Table-Text"/>
              <w:rPr>
                <w:sz w:val="22"/>
                <w:szCs w:val="22"/>
                <w:shd w:val="clear" w:color="auto" w:fill="CCFFCC"/>
              </w:rPr>
            </w:pPr>
          </w:p>
        </w:tc>
        <w:tc>
          <w:tcPr>
            <w:tcW w:w="750" w:type="pct"/>
            <w:vMerge/>
            <w:tcBorders>
              <w:left w:val="single" w:sz="8" w:space="0" w:color="auto"/>
              <w:bottom w:val="single" w:sz="6" w:space="0" w:color="auto"/>
              <w:right w:val="nil"/>
            </w:tcBorders>
            <w:shd w:val="clear" w:color="auto" w:fill="auto"/>
          </w:tcPr>
          <w:p w:rsidR="00DC4C59" w:rsidRPr="00246A82" w:rsidRDefault="00DC4C59" w:rsidP="00816542">
            <w:pPr>
              <w:pStyle w:val="Table-Text"/>
              <w:rPr>
                <w:sz w:val="22"/>
                <w:szCs w:val="22"/>
                <w:shd w:val="clear" w:color="auto" w:fill="CCFFCC"/>
              </w:rPr>
            </w:pPr>
          </w:p>
        </w:tc>
      </w:tr>
    </w:tbl>
    <w:p w:rsidR="00DC4C59" w:rsidRPr="00246A82" w:rsidRDefault="00DC4C59" w:rsidP="00DC4C59">
      <w:pPr>
        <w:pStyle w:val="Table-Footer"/>
        <w:rPr>
          <w:rFonts w:ascii="Times New Roman" w:hAnsi="Times New Roman"/>
          <w:sz w:val="18"/>
          <w:szCs w:val="18"/>
        </w:rPr>
      </w:pPr>
      <w:r w:rsidRPr="00246A82">
        <w:rPr>
          <w:rFonts w:ascii="Times New Roman" w:hAnsi="Times New Roman"/>
          <w:sz w:val="18"/>
          <w:szCs w:val="18"/>
        </w:rPr>
        <w:t>NA = not applicable</w:t>
      </w:r>
    </w:p>
    <w:p w:rsidR="000E46B9" w:rsidRDefault="00D93272" w:rsidP="00A00356">
      <w:pPr>
        <w:pStyle w:val="Table-Footer"/>
        <w:numPr>
          <w:ilvl w:val="0"/>
          <w:numId w:val="44"/>
        </w:numPr>
        <w:rPr>
          <w:rFonts w:ascii="Times New Roman" w:hAnsi="Times New Roman"/>
          <w:sz w:val="18"/>
          <w:szCs w:val="18"/>
        </w:rPr>
      </w:pPr>
      <w:r>
        <w:rPr>
          <w:rFonts w:ascii="Times New Roman" w:hAnsi="Times New Roman"/>
          <w:sz w:val="18"/>
          <w:szCs w:val="18"/>
        </w:rPr>
        <w:t xml:space="preserve">For previously treated patients with HCV genotype 1 infection, no data exists with the combination of SOVALDI, ribavirin and </w:t>
      </w:r>
      <w:proofErr w:type="spellStart"/>
      <w:r>
        <w:rPr>
          <w:rFonts w:ascii="Times New Roman" w:hAnsi="Times New Roman"/>
          <w:sz w:val="18"/>
          <w:szCs w:val="18"/>
        </w:rPr>
        <w:t>peginterferon</w:t>
      </w:r>
      <w:proofErr w:type="spellEnd"/>
      <w:r>
        <w:rPr>
          <w:rFonts w:ascii="Times New Roman" w:hAnsi="Times New Roman"/>
          <w:sz w:val="18"/>
          <w:szCs w:val="18"/>
        </w:rPr>
        <w:t xml:space="preserve"> </w:t>
      </w:r>
      <w:proofErr w:type="spellStart"/>
      <w:r>
        <w:rPr>
          <w:rFonts w:ascii="Times New Roman" w:hAnsi="Times New Roman"/>
          <w:sz w:val="18"/>
          <w:szCs w:val="18"/>
        </w:rPr>
        <w:t>alfa</w:t>
      </w:r>
      <w:proofErr w:type="spellEnd"/>
      <w:r>
        <w:rPr>
          <w:rFonts w:ascii="Times New Roman" w:hAnsi="Times New Roman"/>
          <w:sz w:val="18"/>
          <w:szCs w:val="18"/>
        </w:rPr>
        <w:t xml:space="preserve"> (see CLINICAL TRIALS</w:t>
      </w:r>
      <w:r w:rsidR="007663E8">
        <w:rPr>
          <w:rFonts w:ascii="Times New Roman" w:hAnsi="Times New Roman"/>
          <w:sz w:val="18"/>
          <w:szCs w:val="18"/>
        </w:rPr>
        <w:t>)</w:t>
      </w:r>
    </w:p>
    <w:p w:rsidR="0085531B" w:rsidRDefault="000A2C24" w:rsidP="00EE3BFD">
      <w:pPr>
        <w:pStyle w:val="Table-Footer"/>
        <w:ind w:left="329" w:hanging="405"/>
        <w:rPr>
          <w:rFonts w:ascii="Times New Roman" w:hAnsi="Times New Roman"/>
          <w:sz w:val="18"/>
          <w:szCs w:val="18"/>
        </w:rPr>
      </w:pPr>
      <w:r>
        <w:rPr>
          <w:rFonts w:ascii="Times New Roman" w:hAnsi="Times New Roman"/>
          <w:sz w:val="18"/>
          <w:szCs w:val="18"/>
        </w:rPr>
        <w:t xml:space="preserve"> </w:t>
      </w:r>
      <w:r w:rsidR="00A00356">
        <w:rPr>
          <w:rFonts w:ascii="Times New Roman" w:hAnsi="Times New Roman"/>
          <w:sz w:val="18"/>
          <w:szCs w:val="18"/>
        </w:rPr>
        <w:t>b.</w:t>
      </w:r>
      <w:r w:rsidR="00A00356">
        <w:rPr>
          <w:rFonts w:ascii="Times New Roman" w:hAnsi="Times New Roman"/>
          <w:sz w:val="18"/>
          <w:szCs w:val="18"/>
        </w:rPr>
        <w:tab/>
      </w:r>
      <w:r w:rsidR="00A00356" w:rsidRPr="00A00356">
        <w:rPr>
          <w:rFonts w:ascii="Times New Roman" w:hAnsi="Times New Roman"/>
          <w:sz w:val="18"/>
          <w:szCs w:val="18"/>
        </w:rPr>
        <w:t xml:space="preserve">Consideration should be given to potentially extending the duration of therapy beyond 12 weeks and up to 24 weeks; </w:t>
      </w:r>
      <w:r w:rsidR="00EE3BFD">
        <w:rPr>
          <w:rFonts w:ascii="Times New Roman" w:hAnsi="Times New Roman"/>
          <w:sz w:val="18"/>
          <w:szCs w:val="18"/>
        </w:rPr>
        <w:t xml:space="preserve">   </w:t>
      </w:r>
      <w:r w:rsidR="00A00356" w:rsidRPr="00A00356">
        <w:rPr>
          <w:rFonts w:ascii="Times New Roman" w:hAnsi="Times New Roman"/>
          <w:sz w:val="18"/>
          <w:szCs w:val="18"/>
        </w:rPr>
        <w:t xml:space="preserve">especially for those subgroups who have one or more factors historically associated with lower response rates to interferon based therapies (e.g. advanced fibrosis/cirrhosis, high baseline viral concentrations, black race, IL28B non CC genotype, prior null response to </w:t>
      </w:r>
      <w:proofErr w:type="spellStart"/>
      <w:r w:rsidR="00A00356" w:rsidRPr="00A00356">
        <w:rPr>
          <w:rFonts w:ascii="Times New Roman" w:hAnsi="Times New Roman"/>
          <w:sz w:val="18"/>
          <w:szCs w:val="18"/>
        </w:rPr>
        <w:t>peginterferon</w:t>
      </w:r>
      <w:proofErr w:type="spellEnd"/>
      <w:r w:rsidR="00A00356" w:rsidRPr="00A00356">
        <w:rPr>
          <w:rFonts w:ascii="Times New Roman" w:hAnsi="Times New Roman"/>
          <w:sz w:val="18"/>
          <w:szCs w:val="18"/>
        </w:rPr>
        <w:t xml:space="preserve"> </w:t>
      </w:r>
      <w:proofErr w:type="spellStart"/>
      <w:r w:rsidR="00A00356" w:rsidRPr="00A00356">
        <w:rPr>
          <w:rFonts w:ascii="Times New Roman" w:hAnsi="Times New Roman"/>
          <w:sz w:val="18"/>
          <w:szCs w:val="18"/>
        </w:rPr>
        <w:t>alfa</w:t>
      </w:r>
      <w:proofErr w:type="spellEnd"/>
      <w:r w:rsidR="00A00356" w:rsidRPr="00A00356">
        <w:rPr>
          <w:rFonts w:ascii="Times New Roman" w:hAnsi="Times New Roman"/>
          <w:sz w:val="18"/>
          <w:szCs w:val="18"/>
        </w:rPr>
        <w:t xml:space="preserve"> and ribavirin therapy</w:t>
      </w:r>
      <w:r w:rsidR="000E46B9" w:rsidRPr="00A00356">
        <w:rPr>
          <w:rFonts w:ascii="Times New Roman" w:hAnsi="Times New Roman"/>
          <w:sz w:val="18"/>
          <w:szCs w:val="18"/>
        </w:rPr>
        <w:t>).</w:t>
      </w:r>
      <w:r w:rsidR="00D93272">
        <w:rPr>
          <w:rFonts w:ascii="Times New Roman" w:hAnsi="Times New Roman"/>
          <w:sz w:val="18"/>
          <w:szCs w:val="18"/>
        </w:rPr>
        <w:t xml:space="preserve"> </w:t>
      </w:r>
    </w:p>
    <w:p w:rsidR="00DC4C59" w:rsidRPr="00246A82" w:rsidRDefault="000A2C24" w:rsidP="00EE3BFD">
      <w:pPr>
        <w:pStyle w:val="Table-Footer"/>
        <w:ind w:left="329" w:hanging="405"/>
        <w:rPr>
          <w:rFonts w:ascii="Times New Roman" w:hAnsi="Times New Roman"/>
          <w:sz w:val="18"/>
          <w:szCs w:val="18"/>
        </w:rPr>
      </w:pPr>
      <w:r>
        <w:rPr>
          <w:rFonts w:ascii="Times New Roman" w:hAnsi="Times New Roman"/>
          <w:sz w:val="18"/>
          <w:szCs w:val="18"/>
        </w:rPr>
        <w:t xml:space="preserve">  </w:t>
      </w:r>
      <w:r w:rsidR="00A00356">
        <w:rPr>
          <w:rFonts w:ascii="Times New Roman" w:hAnsi="Times New Roman"/>
          <w:sz w:val="18"/>
          <w:szCs w:val="18"/>
        </w:rPr>
        <w:t>c</w:t>
      </w:r>
      <w:r w:rsidR="00D93272">
        <w:rPr>
          <w:rFonts w:ascii="Times New Roman" w:hAnsi="Times New Roman"/>
          <w:sz w:val="18"/>
          <w:szCs w:val="18"/>
        </w:rPr>
        <w:t xml:space="preserve">.     </w:t>
      </w:r>
      <w:r w:rsidR="00DC4C59" w:rsidRPr="00246A82">
        <w:rPr>
          <w:rFonts w:ascii="Times New Roman" w:hAnsi="Times New Roman"/>
          <w:sz w:val="18"/>
          <w:szCs w:val="18"/>
        </w:rPr>
        <w:t>For patients with genotype 5 or 6 CHC, refer to the dosing recommendation for patients with genotype 1 or 4 CHC.</w:t>
      </w:r>
    </w:p>
    <w:p w:rsidR="00DC4C59" w:rsidRDefault="00A00356" w:rsidP="00D93272">
      <w:pPr>
        <w:pStyle w:val="Table-Footer"/>
        <w:rPr>
          <w:rFonts w:ascii="Times New Roman" w:hAnsi="Times New Roman"/>
          <w:sz w:val="18"/>
          <w:szCs w:val="18"/>
        </w:rPr>
      </w:pPr>
      <w:r>
        <w:rPr>
          <w:rFonts w:ascii="Times New Roman" w:hAnsi="Times New Roman"/>
          <w:sz w:val="18"/>
          <w:szCs w:val="18"/>
        </w:rPr>
        <w:t>d</w:t>
      </w:r>
      <w:r w:rsidR="00EE3BFD">
        <w:rPr>
          <w:rFonts w:ascii="Times New Roman" w:hAnsi="Times New Roman"/>
          <w:sz w:val="18"/>
          <w:szCs w:val="18"/>
        </w:rPr>
        <w:t xml:space="preserve">.   </w:t>
      </w:r>
      <w:r w:rsidR="00EE3BFD">
        <w:rPr>
          <w:rFonts w:ascii="Times New Roman" w:hAnsi="Times New Roman"/>
          <w:sz w:val="18"/>
          <w:szCs w:val="18"/>
        </w:rPr>
        <w:tab/>
      </w:r>
      <w:r w:rsidR="00437CE8" w:rsidRPr="00437CE8">
        <w:rPr>
          <w:rFonts w:ascii="Times New Roman" w:hAnsi="Times New Roman"/>
          <w:sz w:val="18"/>
          <w:szCs w:val="18"/>
        </w:rPr>
        <w:t xml:space="preserve">The dose of ribavirin, when used in combination with </w:t>
      </w:r>
      <w:r w:rsidR="008B093A">
        <w:rPr>
          <w:rFonts w:ascii="Times New Roman" w:hAnsi="Times New Roman"/>
          <w:sz w:val="18"/>
          <w:szCs w:val="18"/>
        </w:rPr>
        <w:t>SOVALDI</w:t>
      </w:r>
      <w:r w:rsidR="00437CE8" w:rsidRPr="00437CE8">
        <w:rPr>
          <w:rFonts w:ascii="Times New Roman" w:hAnsi="Times New Roman"/>
          <w:sz w:val="18"/>
          <w:szCs w:val="18"/>
        </w:rPr>
        <w:t>, is weight-based (&lt;75 kg = 1,000 mg and ≥75 kg = 1,200 mg) and administered orally in two divided doses with food.</w:t>
      </w:r>
      <w:r w:rsidR="00C6105E">
        <w:rPr>
          <w:rFonts w:ascii="Times New Roman" w:hAnsi="Times New Roman"/>
          <w:sz w:val="18"/>
          <w:szCs w:val="18"/>
        </w:rPr>
        <w:t xml:space="preserve">   </w:t>
      </w:r>
    </w:p>
    <w:p w:rsidR="00A00356" w:rsidRPr="00246A82" w:rsidRDefault="000A2C24" w:rsidP="00D93272">
      <w:pPr>
        <w:pStyle w:val="Table-Footer"/>
        <w:rPr>
          <w:rFonts w:ascii="Times New Roman" w:hAnsi="Times New Roman"/>
          <w:sz w:val="18"/>
          <w:szCs w:val="18"/>
        </w:rPr>
      </w:pPr>
      <w:r>
        <w:rPr>
          <w:rFonts w:ascii="Times New Roman" w:hAnsi="Times New Roman"/>
          <w:sz w:val="18"/>
          <w:szCs w:val="18"/>
        </w:rPr>
        <w:t xml:space="preserve"> </w:t>
      </w:r>
      <w:r w:rsidR="00A00356">
        <w:rPr>
          <w:rFonts w:ascii="Times New Roman" w:hAnsi="Times New Roman"/>
          <w:sz w:val="18"/>
          <w:szCs w:val="18"/>
        </w:rPr>
        <w:t>e</w:t>
      </w:r>
      <w:r w:rsidR="00A00356">
        <w:rPr>
          <w:rFonts w:ascii="Times New Roman" w:hAnsi="Times New Roman"/>
          <w:sz w:val="18"/>
          <w:szCs w:val="18"/>
        </w:rPr>
        <w:tab/>
      </w:r>
      <w:r w:rsidR="00A00356" w:rsidRPr="00A00356">
        <w:rPr>
          <w:rFonts w:ascii="Times New Roman" w:hAnsi="Times New Roman"/>
          <w:sz w:val="18"/>
          <w:szCs w:val="18"/>
        </w:rPr>
        <w:t>Consideration should be given to potentially extending t</w:t>
      </w:r>
      <w:r w:rsidR="00A00356">
        <w:rPr>
          <w:rFonts w:ascii="Times New Roman" w:hAnsi="Times New Roman"/>
          <w:sz w:val="18"/>
          <w:szCs w:val="18"/>
        </w:rPr>
        <w:t>he duration of therapy beyond 16</w:t>
      </w:r>
      <w:r w:rsidR="00A00356" w:rsidRPr="00A00356">
        <w:rPr>
          <w:rFonts w:ascii="Times New Roman" w:hAnsi="Times New Roman"/>
          <w:sz w:val="18"/>
          <w:szCs w:val="18"/>
        </w:rPr>
        <w:t xml:space="preserve"> weeks and up to 24 weeks</w:t>
      </w:r>
      <w:r w:rsidR="00A00356">
        <w:rPr>
          <w:rFonts w:ascii="Times New Roman" w:hAnsi="Times New Roman"/>
          <w:sz w:val="18"/>
          <w:szCs w:val="18"/>
        </w:rPr>
        <w:t xml:space="preserve"> guided by an assessment of the potential benefits and risks for the individual patient (these factors may include cirrhosis status and treatment history)</w:t>
      </w:r>
    </w:p>
    <w:p w:rsidR="00DC4C59" w:rsidRDefault="000A2C24" w:rsidP="00D93272">
      <w:pPr>
        <w:pStyle w:val="Table-Footer"/>
        <w:rPr>
          <w:sz w:val="18"/>
          <w:szCs w:val="18"/>
        </w:rPr>
      </w:pPr>
      <w:r>
        <w:rPr>
          <w:rFonts w:ascii="Times New Roman" w:hAnsi="Times New Roman"/>
          <w:sz w:val="18"/>
          <w:szCs w:val="18"/>
        </w:rPr>
        <w:t xml:space="preserve"> </w:t>
      </w:r>
      <w:r w:rsidR="0025175E">
        <w:rPr>
          <w:rFonts w:ascii="Times New Roman" w:hAnsi="Times New Roman"/>
          <w:sz w:val="18"/>
          <w:szCs w:val="18"/>
        </w:rPr>
        <w:t>f</w:t>
      </w:r>
      <w:r w:rsidR="00DC4C59" w:rsidRPr="00246A82">
        <w:rPr>
          <w:rFonts w:ascii="Times New Roman" w:hAnsi="Times New Roman"/>
          <w:sz w:val="18"/>
          <w:szCs w:val="18"/>
        </w:rPr>
        <w:t xml:space="preserve">.   </w:t>
      </w:r>
      <w:r w:rsidR="00EE3BFD">
        <w:rPr>
          <w:rFonts w:ascii="Times New Roman" w:hAnsi="Times New Roman"/>
          <w:sz w:val="18"/>
          <w:szCs w:val="18"/>
        </w:rPr>
        <w:tab/>
      </w:r>
      <w:r w:rsidR="00DC4C59" w:rsidRPr="00246A82">
        <w:rPr>
          <w:rFonts w:ascii="Times New Roman" w:hAnsi="Times New Roman"/>
          <w:sz w:val="18"/>
          <w:szCs w:val="18"/>
        </w:rPr>
        <w:t xml:space="preserve">See Dosing Recommendations: </w:t>
      </w:r>
      <w:r w:rsidR="005571A5">
        <w:rPr>
          <w:rFonts w:ascii="Times New Roman" w:hAnsi="Times New Roman"/>
          <w:sz w:val="18"/>
          <w:szCs w:val="18"/>
        </w:rPr>
        <w:t>Special Patient Populations</w:t>
      </w:r>
      <w:r w:rsidR="00DC4C59" w:rsidRPr="00246A82">
        <w:rPr>
          <w:sz w:val="18"/>
          <w:szCs w:val="18"/>
        </w:rPr>
        <w:t>.</w:t>
      </w:r>
    </w:p>
    <w:p w:rsidR="00DC4C59" w:rsidRPr="00DC4C59" w:rsidRDefault="00DC4C59" w:rsidP="00DC4C59">
      <w:pPr>
        <w:pStyle w:val="TextTi11"/>
      </w:pPr>
    </w:p>
    <w:p w:rsidR="00EA17AA" w:rsidRPr="00981C8E" w:rsidRDefault="00EA17AA" w:rsidP="00EA17AA">
      <w:pPr>
        <w:pStyle w:val="Table-Footer"/>
        <w:ind w:left="270" w:hanging="270"/>
        <w:rPr>
          <w:rFonts w:ascii="Times New Roman" w:hAnsi="Times New Roman"/>
          <w:b/>
          <w:sz w:val="24"/>
          <w:szCs w:val="24"/>
        </w:rPr>
      </w:pPr>
      <w:r w:rsidRPr="00981C8E">
        <w:rPr>
          <w:rFonts w:ascii="Times New Roman" w:hAnsi="Times New Roman"/>
          <w:b/>
          <w:sz w:val="24"/>
          <w:szCs w:val="24"/>
        </w:rPr>
        <w:lastRenderedPageBreak/>
        <w:t>Figure 1</w:t>
      </w:r>
      <w:r w:rsidRPr="00981C8E">
        <w:rPr>
          <w:rFonts w:ascii="Times New Roman" w:hAnsi="Times New Roman"/>
          <w:b/>
          <w:sz w:val="24"/>
          <w:szCs w:val="24"/>
        </w:rPr>
        <w:tab/>
      </w:r>
      <w:r w:rsidRPr="00981C8E">
        <w:rPr>
          <w:rFonts w:ascii="Times New Roman" w:hAnsi="Times New Roman"/>
          <w:b/>
          <w:sz w:val="24"/>
          <w:szCs w:val="24"/>
        </w:rPr>
        <w:tab/>
        <w:t xml:space="preserve">Illustrative Dosage and Treatment </w:t>
      </w:r>
      <w:r w:rsidR="000B750C" w:rsidRPr="00981C8E">
        <w:rPr>
          <w:rFonts w:ascii="Times New Roman" w:hAnsi="Times New Roman"/>
          <w:b/>
          <w:sz w:val="24"/>
          <w:szCs w:val="24"/>
        </w:rPr>
        <w:t>Duration</w:t>
      </w:r>
      <w:r w:rsidR="000B750C" w:rsidRPr="000B750C">
        <w:rPr>
          <w:rFonts w:ascii="Times New Roman" w:hAnsi="Times New Roman"/>
          <w:b/>
          <w:sz w:val="24"/>
          <w:szCs w:val="24"/>
        </w:rPr>
        <w:t xml:space="preserve"> </w:t>
      </w:r>
      <w:r w:rsidR="0085727C">
        <w:rPr>
          <w:rFonts w:ascii="Times New Roman" w:hAnsi="Times New Roman"/>
          <w:b/>
          <w:noProof/>
          <w:sz w:val="24"/>
          <w:szCs w:val="24"/>
          <w:lang w:val="en-AU" w:eastAsia="en-AU"/>
        </w:rPr>
        <w:drawing>
          <wp:inline distT="0" distB="0" distL="0" distR="0" wp14:anchorId="0F1E9544" wp14:editId="23510F5F">
            <wp:extent cx="5267325" cy="4210050"/>
            <wp:effectExtent l="0" t="0" r="9525" b="0"/>
            <wp:docPr id="2" name="Picture 2" descr="Recommended dose &amp; Treatment duration for Tradename combination therapy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mmended dose &amp; Treatment duration for Tradename combination therapy -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4210050"/>
                    </a:xfrm>
                    <a:prstGeom prst="rect">
                      <a:avLst/>
                    </a:prstGeom>
                    <a:noFill/>
                    <a:ln>
                      <a:noFill/>
                    </a:ln>
                  </pic:spPr>
                </pic:pic>
              </a:graphicData>
            </a:graphic>
          </wp:inline>
        </w:drawing>
      </w:r>
    </w:p>
    <w:p w:rsidR="00FD5946" w:rsidRDefault="00FD5946" w:rsidP="00FD5946">
      <w:pPr>
        <w:pStyle w:val="Table-Footer"/>
        <w:ind w:left="270" w:hanging="270"/>
        <w:rPr>
          <w:rFonts w:ascii="Times New Roman" w:hAnsi="Times New Roman"/>
          <w:sz w:val="18"/>
          <w:szCs w:val="18"/>
        </w:rPr>
      </w:pPr>
      <w:r w:rsidRPr="00246A82">
        <w:rPr>
          <w:sz w:val="18"/>
          <w:szCs w:val="18"/>
        </w:rPr>
        <w:t>a.</w:t>
      </w:r>
      <w:r w:rsidRPr="00246A82">
        <w:rPr>
          <w:rFonts w:ascii="Times New Roman" w:hAnsi="Times New Roman"/>
          <w:sz w:val="18"/>
          <w:szCs w:val="18"/>
        </w:rPr>
        <w:tab/>
      </w:r>
      <w:r>
        <w:rPr>
          <w:rFonts w:ascii="Times New Roman" w:hAnsi="Times New Roman"/>
          <w:sz w:val="18"/>
          <w:szCs w:val="18"/>
        </w:rPr>
        <w:t xml:space="preserve">See Ribavirin Dosage requirements (Table </w:t>
      </w:r>
      <w:r w:rsidR="00984C32">
        <w:rPr>
          <w:rFonts w:ascii="Times New Roman" w:hAnsi="Times New Roman"/>
          <w:sz w:val="18"/>
          <w:szCs w:val="18"/>
        </w:rPr>
        <w:t>19</w:t>
      </w:r>
      <w:r>
        <w:rPr>
          <w:rFonts w:ascii="Times New Roman" w:hAnsi="Times New Roman"/>
          <w:sz w:val="18"/>
          <w:szCs w:val="18"/>
        </w:rPr>
        <w:t>)</w:t>
      </w:r>
      <w:r w:rsidR="00D36556">
        <w:rPr>
          <w:rFonts w:ascii="Times New Roman" w:hAnsi="Times New Roman"/>
          <w:sz w:val="18"/>
          <w:szCs w:val="18"/>
        </w:rPr>
        <w:t xml:space="preserve">.  </w:t>
      </w:r>
      <w:proofErr w:type="spellStart"/>
      <w:r w:rsidR="00D36556">
        <w:rPr>
          <w:rFonts w:ascii="Times New Roman" w:hAnsi="Times New Roman"/>
          <w:sz w:val="18"/>
          <w:szCs w:val="18"/>
        </w:rPr>
        <w:t>Ribasphere</w:t>
      </w:r>
      <w:proofErr w:type="spellEnd"/>
      <w:r w:rsidR="00D36556">
        <w:rPr>
          <w:rFonts w:ascii="Times New Roman" w:hAnsi="Times New Roman"/>
          <w:sz w:val="18"/>
          <w:szCs w:val="18"/>
        </w:rPr>
        <w:t xml:space="preserve"> was used in the Phase 3 studies (See CLINICAL TRIALS</w:t>
      </w:r>
      <w:r w:rsidR="00430C5C">
        <w:rPr>
          <w:rFonts w:ascii="Times New Roman" w:hAnsi="Times New Roman"/>
          <w:sz w:val="18"/>
          <w:szCs w:val="18"/>
        </w:rPr>
        <w:t>).</w:t>
      </w:r>
    </w:p>
    <w:p w:rsidR="00FD5946" w:rsidRPr="00FD5946" w:rsidRDefault="00FD5946" w:rsidP="00FD5946">
      <w:pPr>
        <w:pStyle w:val="TextTi11"/>
      </w:pPr>
    </w:p>
    <w:p w:rsidR="000074C9" w:rsidRDefault="00DC4C59" w:rsidP="00BF711F">
      <w:pPr>
        <w:pStyle w:val="Text10"/>
        <w:spacing w:before="240"/>
      </w:pPr>
      <w:r>
        <w:t>M</w:t>
      </w:r>
      <w:r w:rsidR="00BE6D38">
        <w:t xml:space="preserve">onotherapy of </w:t>
      </w:r>
      <w:r w:rsidR="00D21279">
        <w:t>SOVALDI</w:t>
      </w:r>
      <w:r w:rsidR="000074C9">
        <w:t xml:space="preserve"> is not recommended.</w:t>
      </w:r>
    </w:p>
    <w:p w:rsidR="00C374B7" w:rsidRPr="00C374B7" w:rsidRDefault="00C374B7" w:rsidP="00C374B7">
      <w:pPr>
        <w:pStyle w:val="Table-Footer"/>
        <w:ind w:left="0" w:firstLine="0"/>
        <w:rPr>
          <w:rFonts w:ascii="Times New Roman" w:hAnsi="Times New Roman"/>
          <w:b/>
          <w:sz w:val="24"/>
          <w:szCs w:val="24"/>
        </w:rPr>
      </w:pPr>
      <w:r w:rsidRPr="00C374B7">
        <w:rPr>
          <w:rFonts w:ascii="Times New Roman" w:hAnsi="Times New Roman"/>
          <w:b/>
          <w:sz w:val="24"/>
          <w:szCs w:val="24"/>
        </w:rPr>
        <w:t>Special Patient Populations:</w:t>
      </w:r>
    </w:p>
    <w:p w:rsidR="00C374B7" w:rsidRDefault="00C374B7" w:rsidP="00C374B7">
      <w:pPr>
        <w:pStyle w:val="Table-Footer"/>
        <w:ind w:left="0" w:firstLine="0"/>
        <w:rPr>
          <w:rFonts w:ascii="Times New Roman" w:hAnsi="Times New Roman"/>
          <w:i/>
          <w:sz w:val="24"/>
          <w:szCs w:val="24"/>
        </w:rPr>
      </w:pPr>
    </w:p>
    <w:p w:rsidR="00C374B7" w:rsidRPr="00915908" w:rsidRDefault="00C374B7" w:rsidP="00C374B7">
      <w:pPr>
        <w:pStyle w:val="Table-Footer"/>
        <w:ind w:left="0" w:firstLine="0"/>
        <w:rPr>
          <w:rFonts w:ascii="Times New Roman" w:hAnsi="Times New Roman"/>
          <w:sz w:val="24"/>
          <w:szCs w:val="24"/>
        </w:rPr>
      </w:pPr>
      <w:r>
        <w:rPr>
          <w:rFonts w:ascii="Times New Roman" w:hAnsi="Times New Roman"/>
          <w:i/>
          <w:sz w:val="24"/>
          <w:szCs w:val="24"/>
        </w:rPr>
        <w:t xml:space="preserve">Children and Adolescents up to 18 Years of Age: </w:t>
      </w:r>
      <w:r w:rsidRPr="00915908">
        <w:rPr>
          <w:rFonts w:ascii="Times New Roman" w:hAnsi="Times New Roman"/>
          <w:sz w:val="24"/>
          <w:szCs w:val="24"/>
        </w:rPr>
        <w:t>No data are available on which to make a dose recommendation for children &lt; 18 years of age.</w:t>
      </w:r>
    </w:p>
    <w:p w:rsidR="00C374B7" w:rsidRDefault="00C374B7" w:rsidP="00C374B7">
      <w:pPr>
        <w:pStyle w:val="Table-Footer"/>
        <w:ind w:left="0" w:firstLine="0"/>
        <w:rPr>
          <w:rFonts w:ascii="Times New Roman" w:hAnsi="Times New Roman"/>
          <w:i/>
          <w:sz w:val="24"/>
          <w:szCs w:val="24"/>
        </w:rPr>
      </w:pPr>
    </w:p>
    <w:p w:rsidR="00C374B7" w:rsidRPr="0009428C" w:rsidRDefault="00C374B7" w:rsidP="00C374B7">
      <w:pPr>
        <w:pStyle w:val="Table-Footer"/>
        <w:ind w:left="0" w:firstLine="0"/>
        <w:rPr>
          <w:rFonts w:ascii="Times New Roman" w:hAnsi="Times New Roman"/>
          <w:sz w:val="24"/>
          <w:szCs w:val="24"/>
        </w:rPr>
      </w:pPr>
      <w:r>
        <w:rPr>
          <w:rFonts w:ascii="Times New Roman" w:hAnsi="Times New Roman"/>
          <w:i/>
          <w:sz w:val="24"/>
          <w:szCs w:val="24"/>
        </w:rPr>
        <w:t xml:space="preserve">Elderly: </w:t>
      </w:r>
      <w:r w:rsidRPr="0009428C">
        <w:rPr>
          <w:rFonts w:ascii="Times New Roman" w:hAnsi="Times New Roman"/>
          <w:sz w:val="24"/>
          <w:szCs w:val="24"/>
        </w:rPr>
        <w:t>No dose adjustment is warranted for elderly patients</w:t>
      </w:r>
    </w:p>
    <w:p w:rsidR="00C374B7" w:rsidRPr="0036593C" w:rsidRDefault="00C374B7" w:rsidP="00C374B7">
      <w:pPr>
        <w:pStyle w:val="Table-Footer"/>
      </w:pPr>
    </w:p>
    <w:p w:rsidR="00C374B7" w:rsidRPr="009E4330" w:rsidRDefault="00C374B7" w:rsidP="00C374B7">
      <w:pPr>
        <w:pStyle w:val="Text10"/>
      </w:pPr>
      <w:r>
        <w:rPr>
          <w:i/>
          <w:noProof/>
          <w:szCs w:val="24"/>
        </w:rPr>
        <w:t>Patients with r</w:t>
      </w:r>
      <w:r w:rsidRPr="00F25CC9">
        <w:rPr>
          <w:i/>
          <w:noProof/>
          <w:szCs w:val="24"/>
        </w:rPr>
        <w:t>enal impairment:</w:t>
      </w:r>
      <w:r w:rsidRPr="008B7865">
        <w:rPr>
          <w:noProof/>
          <w:szCs w:val="24"/>
        </w:rPr>
        <w:t xml:space="preserve"> </w:t>
      </w:r>
      <w:r>
        <w:t>No dose adjustment of SOVALDI</w:t>
      </w:r>
      <w:r w:rsidRPr="00CA35A7">
        <w:t xml:space="preserve"> is required for patients with mild or moderate r</w:t>
      </w:r>
      <w:r>
        <w:t>enal impairment. The safety of SOVALDI</w:t>
      </w:r>
      <w:r w:rsidRPr="00CA35A7">
        <w:t xml:space="preserve"> has not been assessed in patients with severe renal impairment (</w:t>
      </w:r>
      <w:proofErr w:type="spellStart"/>
      <w:r w:rsidRPr="00CA35A7">
        <w:t>eGFR</w:t>
      </w:r>
      <w:proofErr w:type="spellEnd"/>
      <w:r w:rsidRPr="00CA35A7">
        <w:t xml:space="preserve"> &lt; 30 mL/min/1.73m</w:t>
      </w:r>
      <w:r w:rsidRPr="00CA35A7">
        <w:rPr>
          <w:vertAlign w:val="superscript"/>
        </w:rPr>
        <w:t>2</w:t>
      </w:r>
      <w:r w:rsidRPr="00CA35A7">
        <w:t xml:space="preserve">) or end stage renal disease (ESRD) requiring </w:t>
      </w:r>
      <w:proofErr w:type="spellStart"/>
      <w:r w:rsidRPr="00CA35A7">
        <w:t>h</w:t>
      </w:r>
      <w:r>
        <w:t>a</w:t>
      </w:r>
      <w:r w:rsidRPr="00CA35A7">
        <w:t>emodialysis</w:t>
      </w:r>
      <w:proofErr w:type="spellEnd"/>
      <w:r w:rsidRPr="00CA35A7">
        <w:t xml:space="preserve"> (see: </w:t>
      </w:r>
      <w:r>
        <w:t>PHARMACOKINETICS</w:t>
      </w:r>
      <w:r w:rsidRPr="00CA35A7">
        <w:t xml:space="preserve">). </w:t>
      </w:r>
      <w:r>
        <w:t xml:space="preserve">There are no data to support SOVALDI in patients with severe renal failure. </w:t>
      </w:r>
      <w:r w:rsidRPr="00CA35A7">
        <w:t xml:space="preserve">Refer also to ribavirin </w:t>
      </w:r>
      <w:r w:rsidR="005C5DFE">
        <w:t>product</w:t>
      </w:r>
      <w:r w:rsidRPr="00CA35A7">
        <w:t xml:space="preserve"> information for patients with </w:t>
      </w:r>
      <w:proofErr w:type="spellStart"/>
      <w:r w:rsidRPr="00CA35A7">
        <w:t>CrCL</w:t>
      </w:r>
      <w:proofErr w:type="spellEnd"/>
      <w:r w:rsidRPr="00CA35A7">
        <w:t xml:space="preserve"> &lt;</w:t>
      </w:r>
      <w:r>
        <w:t xml:space="preserve"> </w:t>
      </w:r>
      <w:r w:rsidRPr="00CA35A7">
        <w:t>50 mL/min.</w:t>
      </w:r>
    </w:p>
    <w:p w:rsidR="00C374B7" w:rsidRDefault="00C374B7" w:rsidP="00C374B7">
      <w:pPr>
        <w:pStyle w:val="Text10"/>
      </w:pPr>
      <w:r>
        <w:rPr>
          <w:i/>
          <w:noProof/>
          <w:szCs w:val="24"/>
        </w:rPr>
        <w:t>Patients with h</w:t>
      </w:r>
      <w:r w:rsidRPr="002E0203">
        <w:rPr>
          <w:i/>
          <w:noProof/>
          <w:szCs w:val="24"/>
        </w:rPr>
        <w:t>epatic impairment:</w:t>
      </w:r>
      <w:r>
        <w:rPr>
          <w:i/>
          <w:noProof/>
          <w:szCs w:val="24"/>
        </w:rPr>
        <w:t xml:space="preserve"> </w:t>
      </w:r>
      <w:r>
        <w:rPr>
          <w:noProof/>
          <w:szCs w:val="24"/>
        </w:rPr>
        <w:t xml:space="preserve"> </w:t>
      </w:r>
      <w:r>
        <w:t>No dose adjustment of SOVALDI</w:t>
      </w:r>
      <w:r w:rsidRPr="00CA35A7">
        <w:t xml:space="preserve"> is required for patients with mild, moderate or severe hepatic impairment (Child-Pugh Class A, B or C) (see </w:t>
      </w:r>
      <w:r w:rsidRPr="004158BB">
        <w:t>PHARMACOKINETICS</w:t>
      </w:r>
      <w:r>
        <w:t>). Safety and efficacy of SOVALDI</w:t>
      </w:r>
      <w:r w:rsidRPr="00CA35A7">
        <w:t xml:space="preserve"> have not been established in </w:t>
      </w:r>
      <w:r w:rsidRPr="00CA35A7">
        <w:lastRenderedPageBreak/>
        <w:t xml:space="preserve">patients with decompensated cirrhosis. See </w:t>
      </w:r>
      <w:proofErr w:type="spellStart"/>
      <w:r w:rsidRPr="00CA35A7">
        <w:t>peginterferon</w:t>
      </w:r>
      <w:proofErr w:type="spellEnd"/>
      <w:r w:rsidRPr="00CA35A7">
        <w:t xml:space="preserve"> </w:t>
      </w:r>
      <w:proofErr w:type="spellStart"/>
      <w:r w:rsidRPr="00CA35A7">
        <w:t>alfa</w:t>
      </w:r>
      <w:proofErr w:type="spellEnd"/>
      <w:r w:rsidRPr="00CA35A7">
        <w:t xml:space="preserve"> </w:t>
      </w:r>
      <w:r w:rsidR="005C5DFE">
        <w:t>product</w:t>
      </w:r>
      <w:r w:rsidRPr="00CA35A7">
        <w:t xml:space="preserve"> information for contraindication in hepatic decompensation.</w:t>
      </w:r>
    </w:p>
    <w:p w:rsidR="00C374B7" w:rsidRPr="005C14FF" w:rsidRDefault="00C374B7" w:rsidP="00C374B7">
      <w:pPr>
        <w:pStyle w:val="Text10"/>
      </w:pPr>
      <w:r>
        <w:rPr>
          <w:i/>
        </w:rPr>
        <w:t xml:space="preserve">Patients awaiting Liver Transplantation:   </w:t>
      </w:r>
      <w:r>
        <w:t xml:space="preserve">SOVALDI </w:t>
      </w:r>
      <w:r w:rsidRPr="005C14FF">
        <w:t xml:space="preserve">in combination with ribavirin was administered for up to 24 weeks to 28 patients with hepatocellular carcinoma awaiting liver transplantation </w:t>
      </w:r>
      <w:r>
        <w:t>to prevent post-transplant HCV reinfection</w:t>
      </w:r>
      <w:r w:rsidRPr="005C14FF">
        <w:t>. The</w:t>
      </w:r>
      <w:r>
        <w:t xml:space="preserve"> duration of administration of SOVALDI</w:t>
      </w:r>
      <w:r w:rsidRPr="005C14FF">
        <w:t xml:space="preserve"> in patients awaiting liver transplantation should be guided by an assessment of the potential benefits and risks for the individual patient.</w:t>
      </w:r>
    </w:p>
    <w:p w:rsidR="00531137" w:rsidRDefault="00C04B26" w:rsidP="00BF711F">
      <w:pPr>
        <w:jc w:val="both"/>
        <w:rPr>
          <w:rFonts w:ascii="Times New Roman" w:hAnsi="Times New Roman"/>
          <w:b/>
          <w:noProof/>
          <w:sz w:val="24"/>
          <w:szCs w:val="24"/>
        </w:rPr>
      </w:pPr>
      <w:r>
        <w:rPr>
          <w:rFonts w:ascii="Times New Roman" w:hAnsi="Times New Roman"/>
          <w:b/>
          <w:noProof/>
          <w:sz w:val="24"/>
          <w:szCs w:val="24"/>
        </w:rPr>
        <w:t>Dose Modification</w:t>
      </w:r>
    </w:p>
    <w:p w:rsidR="00C04B26" w:rsidRPr="00C04B26" w:rsidRDefault="00C04B26" w:rsidP="00BF711F">
      <w:pPr>
        <w:jc w:val="both"/>
        <w:rPr>
          <w:rFonts w:ascii="Times New Roman" w:hAnsi="Times New Roman"/>
          <w:noProof/>
          <w:sz w:val="24"/>
          <w:szCs w:val="24"/>
        </w:rPr>
      </w:pPr>
      <w:r>
        <w:rPr>
          <w:rFonts w:ascii="Times New Roman" w:hAnsi="Times New Roman"/>
          <w:noProof/>
          <w:sz w:val="24"/>
          <w:szCs w:val="24"/>
        </w:rPr>
        <w:t xml:space="preserve">Dose reduction of </w:t>
      </w:r>
      <w:r w:rsidR="00D21279">
        <w:rPr>
          <w:rFonts w:ascii="Times New Roman" w:hAnsi="Times New Roman"/>
          <w:noProof/>
          <w:sz w:val="24"/>
          <w:szCs w:val="24"/>
        </w:rPr>
        <w:t>SOVALDI</w:t>
      </w:r>
      <w:r>
        <w:rPr>
          <w:rFonts w:ascii="Times New Roman" w:hAnsi="Times New Roman"/>
          <w:noProof/>
          <w:sz w:val="24"/>
          <w:szCs w:val="24"/>
        </w:rPr>
        <w:t xml:space="preserve"> is not recommended. </w:t>
      </w:r>
    </w:p>
    <w:p w:rsidR="00531137" w:rsidRDefault="00531137" w:rsidP="00BF711F">
      <w:pPr>
        <w:jc w:val="both"/>
        <w:rPr>
          <w:rFonts w:ascii="Times New Roman" w:hAnsi="Times New Roman"/>
          <w:i/>
          <w:noProof/>
          <w:sz w:val="24"/>
          <w:szCs w:val="24"/>
        </w:rPr>
      </w:pPr>
    </w:p>
    <w:p w:rsidR="00531137" w:rsidRPr="008544B8" w:rsidRDefault="00531137" w:rsidP="00BF711F">
      <w:pPr>
        <w:pStyle w:val="Text10"/>
        <w:rPr>
          <w:u w:val="single"/>
        </w:rPr>
      </w:pPr>
      <w:r w:rsidRPr="008544B8">
        <w:rPr>
          <w:u w:val="single"/>
        </w:rPr>
        <w:t>Genotype 1, 4, 5 and 6</w:t>
      </w:r>
    </w:p>
    <w:p w:rsidR="00531137" w:rsidRDefault="00531137" w:rsidP="00BF711F">
      <w:pPr>
        <w:pStyle w:val="Text10"/>
      </w:pPr>
      <w:r>
        <w:t xml:space="preserve">If a patient has a serious adverse reaction potentially related to </w:t>
      </w:r>
      <w:proofErr w:type="spellStart"/>
      <w:r>
        <w:t>peginterferon</w:t>
      </w:r>
      <w:proofErr w:type="spellEnd"/>
      <w:r>
        <w:t xml:space="preserve"> </w:t>
      </w:r>
      <w:proofErr w:type="spellStart"/>
      <w:r>
        <w:t>alfa</w:t>
      </w:r>
      <w:proofErr w:type="spellEnd"/>
      <w:r>
        <w:t xml:space="preserve"> and/or ribavirin, the </w:t>
      </w:r>
      <w:proofErr w:type="spellStart"/>
      <w:r>
        <w:t>peginterferon</w:t>
      </w:r>
      <w:proofErr w:type="spellEnd"/>
      <w:r>
        <w:t xml:space="preserve"> </w:t>
      </w:r>
      <w:proofErr w:type="spellStart"/>
      <w:r>
        <w:t>alfa</w:t>
      </w:r>
      <w:proofErr w:type="spellEnd"/>
      <w:r>
        <w:t xml:space="preserve"> and/or ribavirin dose should be reduced or discontinued. Refer to the </w:t>
      </w:r>
      <w:proofErr w:type="spellStart"/>
      <w:r>
        <w:t>peginterferon</w:t>
      </w:r>
      <w:proofErr w:type="spellEnd"/>
      <w:r>
        <w:t xml:space="preserve"> </w:t>
      </w:r>
      <w:proofErr w:type="spellStart"/>
      <w:r>
        <w:t>alfa</w:t>
      </w:r>
      <w:proofErr w:type="spellEnd"/>
      <w:r>
        <w:t xml:space="preserve"> and ribavirin </w:t>
      </w:r>
      <w:r w:rsidR="005C5DFE">
        <w:t xml:space="preserve">product </w:t>
      </w:r>
      <w:r>
        <w:t xml:space="preserve">information for additional information about how to reduce and/or discontinue the </w:t>
      </w:r>
      <w:proofErr w:type="spellStart"/>
      <w:r>
        <w:t>peginterferon</w:t>
      </w:r>
      <w:proofErr w:type="spellEnd"/>
      <w:r>
        <w:t xml:space="preserve"> </w:t>
      </w:r>
      <w:proofErr w:type="spellStart"/>
      <w:r>
        <w:t>alfa</w:t>
      </w:r>
      <w:proofErr w:type="spellEnd"/>
      <w:r>
        <w:t xml:space="preserve"> and/or ribavirin dose.</w:t>
      </w:r>
    </w:p>
    <w:p w:rsidR="00531137" w:rsidRPr="008544B8" w:rsidRDefault="00531137" w:rsidP="00BF711F">
      <w:pPr>
        <w:pStyle w:val="Text10"/>
        <w:rPr>
          <w:u w:val="single"/>
        </w:rPr>
      </w:pPr>
      <w:r w:rsidRPr="008544B8">
        <w:rPr>
          <w:u w:val="single"/>
        </w:rPr>
        <w:t>Genotype 2 and 3</w:t>
      </w:r>
    </w:p>
    <w:p w:rsidR="00531137" w:rsidRDefault="00531137" w:rsidP="00BF711F">
      <w:pPr>
        <w:pStyle w:val="Text10"/>
      </w:pPr>
      <w:r>
        <w:t xml:space="preserve">If a patient has a serious adverse reaction potentially related to ribavirin, the ribavirin dose should be modified or discontinued, if appropriate, until the adverse reaction abates or decreases in severity. Table </w:t>
      </w:r>
      <w:r w:rsidR="00247236">
        <w:t>1</w:t>
      </w:r>
      <w:r w:rsidR="008C68CF">
        <w:t>9</w:t>
      </w:r>
      <w:r>
        <w:t xml:space="preserve"> provides guidelines for dose modifications and discontinuation based on the patient’s </w:t>
      </w:r>
      <w:proofErr w:type="spellStart"/>
      <w:r>
        <w:t>h</w:t>
      </w:r>
      <w:r w:rsidR="00B96CB0">
        <w:t>a</w:t>
      </w:r>
      <w:r>
        <w:t>emoglobin</w:t>
      </w:r>
      <w:proofErr w:type="spellEnd"/>
      <w:r>
        <w:t xml:space="preserve"> concentration and cardiac status.</w:t>
      </w:r>
    </w:p>
    <w:p w:rsidR="00531137" w:rsidRDefault="00531137" w:rsidP="00BF711F">
      <w:pPr>
        <w:pStyle w:val="Caption"/>
        <w:rPr>
          <w:rFonts w:ascii="Times New Roman" w:hAnsi="Times New Roman"/>
        </w:rPr>
      </w:pPr>
      <w:bookmarkStart w:id="23" w:name="_Toc352326832"/>
      <w:r w:rsidRPr="0036593C">
        <w:rPr>
          <w:rFonts w:ascii="Times New Roman" w:hAnsi="Times New Roman"/>
        </w:rPr>
        <w:t xml:space="preserve">Table </w:t>
      </w:r>
      <w:r w:rsidR="006D3C1E">
        <w:rPr>
          <w:rFonts w:ascii="Times New Roman" w:hAnsi="Times New Roman"/>
        </w:rPr>
        <w:t>1</w:t>
      </w:r>
      <w:r w:rsidR="008C68CF">
        <w:rPr>
          <w:rFonts w:ascii="Times New Roman" w:hAnsi="Times New Roman"/>
        </w:rPr>
        <w:t>9</w:t>
      </w:r>
      <w:r w:rsidRPr="0036593C">
        <w:rPr>
          <w:rFonts w:ascii="Times New Roman" w:hAnsi="Times New Roman"/>
        </w:rPr>
        <w:tab/>
        <w:t>Ribavirin Dose Modification Guide</w:t>
      </w:r>
      <w:r w:rsidR="006D3C1E">
        <w:rPr>
          <w:rFonts w:ascii="Times New Roman" w:hAnsi="Times New Roman"/>
        </w:rPr>
        <w:t xml:space="preserve">line for </w:t>
      </w:r>
      <w:proofErr w:type="spellStart"/>
      <w:r w:rsidR="006D3C1E">
        <w:rPr>
          <w:rFonts w:ascii="Times New Roman" w:hAnsi="Times New Roman"/>
        </w:rPr>
        <w:t>Coadministration</w:t>
      </w:r>
      <w:proofErr w:type="spellEnd"/>
      <w:r w:rsidR="006D3C1E">
        <w:rPr>
          <w:rFonts w:ascii="Times New Roman" w:hAnsi="Times New Roman"/>
        </w:rPr>
        <w:t xml:space="preserve"> with </w:t>
      </w:r>
      <w:bookmarkEnd w:id="23"/>
      <w:r w:rsidR="00D21279">
        <w:rPr>
          <w:rFonts w:ascii="Times New Roman" w:hAnsi="Times New Roman"/>
        </w:rPr>
        <w:t>SOVALDI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072"/>
        <w:gridCol w:w="3072"/>
      </w:tblGrid>
      <w:tr w:rsidR="00531137" w:rsidRPr="0036593C" w:rsidTr="00B37B92">
        <w:tc>
          <w:tcPr>
            <w:tcW w:w="2964" w:type="dxa"/>
            <w:tcBorders>
              <w:top w:val="single" w:sz="12" w:space="0" w:color="auto"/>
              <w:left w:val="nil"/>
              <w:bottom w:val="single" w:sz="12" w:space="0" w:color="auto"/>
            </w:tcBorders>
            <w:shd w:val="clear" w:color="auto" w:fill="auto"/>
            <w:vAlign w:val="center"/>
          </w:tcPr>
          <w:p w:rsidR="00531137" w:rsidRPr="00B37B92" w:rsidRDefault="00531137" w:rsidP="00B37B92">
            <w:pPr>
              <w:pStyle w:val="Table-Heading"/>
              <w:jc w:val="center"/>
              <w:rPr>
                <w:sz w:val="22"/>
                <w:szCs w:val="22"/>
              </w:rPr>
            </w:pPr>
            <w:r w:rsidRPr="00B37B92">
              <w:rPr>
                <w:sz w:val="22"/>
                <w:szCs w:val="22"/>
              </w:rPr>
              <w:t>Laboratory Values</w:t>
            </w:r>
          </w:p>
        </w:tc>
        <w:tc>
          <w:tcPr>
            <w:tcW w:w="3072" w:type="dxa"/>
            <w:tcBorders>
              <w:top w:val="single" w:sz="12" w:space="0" w:color="auto"/>
              <w:bottom w:val="single" w:sz="12" w:space="0" w:color="auto"/>
            </w:tcBorders>
            <w:shd w:val="clear" w:color="auto" w:fill="auto"/>
          </w:tcPr>
          <w:p w:rsidR="0007287D" w:rsidRPr="00B37B92" w:rsidRDefault="00531137" w:rsidP="00B37B92">
            <w:pPr>
              <w:pStyle w:val="Table-Heading"/>
              <w:jc w:val="center"/>
              <w:rPr>
                <w:sz w:val="22"/>
                <w:szCs w:val="22"/>
              </w:rPr>
            </w:pPr>
            <w:r w:rsidRPr="00B37B92">
              <w:rPr>
                <w:sz w:val="22"/>
                <w:szCs w:val="22"/>
              </w:rPr>
              <w:t xml:space="preserve">Reduce Ribavirin Dose to </w:t>
            </w:r>
          </w:p>
          <w:p w:rsidR="00531137" w:rsidRPr="00B37B92" w:rsidRDefault="00531137" w:rsidP="00B37B92">
            <w:pPr>
              <w:pStyle w:val="Table-Heading"/>
              <w:jc w:val="center"/>
              <w:rPr>
                <w:sz w:val="22"/>
                <w:szCs w:val="22"/>
              </w:rPr>
            </w:pPr>
            <w:r w:rsidRPr="00B37B92">
              <w:rPr>
                <w:sz w:val="22"/>
                <w:szCs w:val="22"/>
              </w:rPr>
              <w:t>600 mg/</w:t>
            </w:r>
            <w:proofErr w:type="spellStart"/>
            <w:r w:rsidRPr="00B37B92">
              <w:rPr>
                <w:sz w:val="22"/>
                <w:szCs w:val="22"/>
              </w:rPr>
              <w:t>day</w:t>
            </w:r>
            <w:r w:rsidRPr="00B37B92">
              <w:rPr>
                <w:rFonts w:ascii="Times New Roman Bold" w:hAnsi="Times New Roman Bold"/>
                <w:sz w:val="22"/>
                <w:szCs w:val="22"/>
                <w:vertAlign w:val="superscript"/>
              </w:rPr>
              <w:t>a</w:t>
            </w:r>
            <w:proofErr w:type="spellEnd"/>
            <w:r w:rsidRPr="00B37B92">
              <w:rPr>
                <w:sz w:val="22"/>
                <w:szCs w:val="22"/>
              </w:rPr>
              <w:t xml:space="preserve"> If:</w:t>
            </w:r>
          </w:p>
        </w:tc>
        <w:tc>
          <w:tcPr>
            <w:tcW w:w="3072" w:type="dxa"/>
            <w:tcBorders>
              <w:top w:val="single" w:sz="12" w:space="0" w:color="auto"/>
              <w:bottom w:val="single" w:sz="12" w:space="0" w:color="auto"/>
              <w:right w:val="nil"/>
            </w:tcBorders>
            <w:shd w:val="clear" w:color="auto" w:fill="auto"/>
          </w:tcPr>
          <w:p w:rsidR="00531137" w:rsidRPr="00B37B92" w:rsidRDefault="00531137" w:rsidP="00B37B92">
            <w:pPr>
              <w:pStyle w:val="Table-Heading"/>
              <w:jc w:val="center"/>
              <w:rPr>
                <w:sz w:val="22"/>
                <w:szCs w:val="22"/>
              </w:rPr>
            </w:pPr>
            <w:r w:rsidRPr="00B37B92">
              <w:rPr>
                <w:sz w:val="22"/>
                <w:szCs w:val="22"/>
              </w:rPr>
              <w:t xml:space="preserve">Discontinue Ribavirin </w:t>
            </w:r>
            <w:proofErr w:type="spellStart"/>
            <w:r w:rsidRPr="00B37B92">
              <w:rPr>
                <w:sz w:val="22"/>
                <w:szCs w:val="22"/>
              </w:rPr>
              <w:t>If:</w:t>
            </w:r>
            <w:r w:rsidRPr="00B37B92">
              <w:rPr>
                <w:rFonts w:ascii="Times New Roman Bold" w:hAnsi="Times New Roman Bold"/>
                <w:sz w:val="22"/>
                <w:szCs w:val="22"/>
                <w:vertAlign w:val="superscript"/>
              </w:rPr>
              <w:t>b</w:t>
            </w:r>
            <w:proofErr w:type="spellEnd"/>
          </w:p>
        </w:tc>
      </w:tr>
      <w:tr w:rsidR="00531137" w:rsidRPr="0036593C" w:rsidTr="00B37B92">
        <w:trPr>
          <w:trHeight w:val="602"/>
        </w:trPr>
        <w:tc>
          <w:tcPr>
            <w:tcW w:w="2964" w:type="dxa"/>
            <w:tcBorders>
              <w:top w:val="single" w:sz="12" w:space="0" w:color="auto"/>
              <w:left w:val="nil"/>
            </w:tcBorders>
            <w:shd w:val="clear" w:color="auto" w:fill="auto"/>
            <w:vAlign w:val="center"/>
          </w:tcPr>
          <w:p w:rsidR="00531137" w:rsidRPr="00B37B92" w:rsidRDefault="00531137" w:rsidP="00BF711F">
            <w:pPr>
              <w:pStyle w:val="Table-Text"/>
              <w:rPr>
                <w:sz w:val="22"/>
                <w:szCs w:val="22"/>
              </w:rPr>
            </w:pPr>
            <w:proofErr w:type="spellStart"/>
            <w:r w:rsidRPr="00B37B92">
              <w:rPr>
                <w:sz w:val="22"/>
                <w:szCs w:val="22"/>
              </w:rPr>
              <w:t>H</w:t>
            </w:r>
            <w:r w:rsidR="006D3C1E" w:rsidRPr="00B37B92">
              <w:rPr>
                <w:sz w:val="22"/>
                <w:szCs w:val="22"/>
              </w:rPr>
              <w:t>a</w:t>
            </w:r>
            <w:r w:rsidRPr="00B37B92">
              <w:rPr>
                <w:sz w:val="22"/>
                <w:szCs w:val="22"/>
              </w:rPr>
              <w:t>emoglobin</w:t>
            </w:r>
            <w:proofErr w:type="spellEnd"/>
            <w:r w:rsidRPr="00B37B92">
              <w:rPr>
                <w:sz w:val="22"/>
                <w:szCs w:val="22"/>
              </w:rPr>
              <w:t xml:space="preserve"> in </w:t>
            </w:r>
            <w:r w:rsidR="00FD6E81" w:rsidRPr="00B37B92">
              <w:rPr>
                <w:sz w:val="22"/>
                <w:szCs w:val="22"/>
              </w:rPr>
              <w:t>patients</w:t>
            </w:r>
            <w:r w:rsidRPr="00B37B92">
              <w:rPr>
                <w:sz w:val="22"/>
                <w:szCs w:val="22"/>
              </w:rPr>
              <w:t xml:space="preserve"> with no cardiac disease</w:t>
            </w:r>
          </w:p>
        </w:tc>
        <w:tc>
          <w:tcPr>
            <w:tcW w:w="3072" w:type="dxa"/>
            <w:tcBorders>
              <w:top w:val="single" w:sz="12" w:space="0" w:color="auto"/>
            </w:tcBorders>
            <w:shd w:val="clear" w:color="auto" w:fill="auto"/>
            <w:vAlign w:val="center"/>
          </w:tcPr>
          <w:p w:rsidR="00531137" w:rsidRPr="00B37B92" w:rsidRDefault="00531137" w:rsidP="005571A5">
            <w:pPr>
              <w:pStyle w:val="Table-Text"/>
              <w:jc w:val="center"/>
              <w:rPr>
                <w:sz w:val="22"/>
                <w:szCs w:val="22"/>
              </w:rPr>
            </w:pPr>
            <w:r w:rsidRPr="00B37B92">
              <w:rPr>
                <w:sz w:val="22"/>
                <w:szCs w:val="22"/>
              </w:rPr>
              <w:t>&lt;</w:t>
            </w:r>
            <w:r w:rsidR="00490270" w:rsidRPr="00B37B92">
              <w:rPr>
                <w:sz w:val="22"/>
                <w:szCs w:val="22"/>
              </w:rPr>
              <w:t xml:space="preserve"> </w:t>
            </w:r>
            <w:r w:rsidRPr="00B37B92">
              <w:rPr>
                <w:sz w:val="22"/>
                <w:szCs w:val="22"/>
              </w:rPr>
              <w:t>10</w:t>
            </w:r>
            <w:r w:rsidR="005571A5">
              <w:rPr>
                <w:sz w:val="22"/>
                <w:szCs w:val="22"/>
              </w:rPr>
              <w:t>0</w:t>
            </w:r>
            <w:r w:rsidRPr="00B37B92">
              <w:rPr>
                <w:sz w:val="22"/>
                <w:szCs w:val="22"/>
              </w:rPr>
              <w:t xml:space="preserve"> g/L</w:t>
            </w:r>
          </w:p>
        </w:tc>
        <w:tc>
          <w:tcPr>
            <w:tcW w:w="3072" w:type="dxa"/>
            <w:tcBorders>
              <w:top w:val="single" w:sz="12" w:space="0" w:color="auto"/>
              <w:right w:val="nil"/>
            </w:tcBorders>
            <w:shd w:val="clear" w:color="auto" w:fill="auto"/>
            <w:vAlign w:val="center"/>
          </w:tcPr>
          <w:p w:rsidR="00531137" w:rsidRPr="00B37B92" w:rsidRDefault="00531137" w:rsidP="00B37B92">
            <w:pPr>
              <w:pStyle w:val="Table-Text"/>
              <w:jc w:val="center"/>
              <w:rPr>
                <w:sz w:val="22"/>
                <w:szCs w:val="22"/>
              </w:rPr>
            </w:pPr>
            <w:r w:rsidRPr="00B37B92">
              <w:rPr>
                <w:sz w:val="22"/>
                <w:szCs w:val="22"/>
              </w:rPr>
              <w:t>&lt;</w:t>
            </w:r>
            <w:r w:rsidR="00490270" w:rsidRPr="00B37B92">
              <w:rPr>
                <w:sz w:val="22"/>
                <w:szCs w:val="22"/>
              </w:rPr>
              <w:t xml:space="preserve"> </w:t>
            </w:r>
            <w:r w:rsidRPr="00B37B92">
              <w:rPr>
                <w:sz w:val="22"/>
                <w:szCs w:val="22"/>
              </w:rPr>
              <w:t>85 g/L</w:t>
            </w:r>
          </w:p>
        </w:tc>
      </w:tr>
      <w:tr w:rsidR="00531137" w:rsidRPr="0036593C" w:rsidTr="00B37B92">
        <w:tc>
          <w:tcPr>
            <w:tcW w:w="2964" w:type="dxa"/>
            <w:tcBorders>
              <w:left w:val="nil"/>
            </w:tcBorders>
            <w:shd w:val="clear" w:color="auto" w:fill="auto"/>
            <w:vAlign w:val="center"/>
          </w:tcPr>
          <w:p w:rsidR="00531137" w:rsidRPr="00B37B92" w:rsidRDefault="00531137" w:rsidP="00BF711F">
            <w:pPr>
              <w:pStyle w:val="Table-Text"/>
              <w:rPr>
                <w:b/>
                <w:sz w:val="22"/>
                <w:szCs w:val="22"/>
                <w:u w:val="single"/>
              </w:rPr>
            </w:pPr>
            <w:proofErr w:type="spellStart"/>
            <w:r w:rsidRPr="00B37B92">
              <w:rPr>
                <w:sz w:val="22"/>
                <w:szCs w:val="22"/>
              </w:rPr>
              <w:t>H</w:t>
            </w:r>
            <w:r w:rsidR="006D3C1E" w:rsidRPr="00B37B92">
              <w:rPr>
                <w:sz w:val="22"/>
                <w:szCs w:val="22"/>
              </w:rPr>
              <w:t>a</w:t>
            </w:r>
            <w:r w:rsidRPr="00B37B92">
              <w:rPr>
                <w:sz w:val="22"/>
                <w:szCs w:val="22"/>
              </w:rPr>
              <w:t>emoglobin</w:t>
            </w:r>
            <w:proofErr w:type="spellEnd"/>
            <w:r w:rsidRPr="00B37B92">
              <w:rPr>
                <w:sz w:val="22"/>
                <w:szCs w:val="22"/>
              </w:rPr>
              <w:t xml:space="preserve"> in </w:t>
            </w:r>
            <w:r w:rsidR="00FD6E81" w:rsidRPr="00B37B92">
              <w:rPr>
                <w:sz w:val="22"/>
                <w:szCs w:val="22"/>
              </w:rPr>
              <w:t>patients</w:t>
            </w:r>
            <w:r w:rsidRPr="00B37B92">
              <w:rPr>
                <w:sz w:val="22"/>
                <w:szCs w:val="22"/>
              </w:rPr>
              <w:t xml:space="preserve"> with history of stable cardiac disease</w:t>
            </w:r>
          </w:p>
        </w:tc>
        <w:tc>
          <w:tcPr>
            <w:tcW w:w="3072" w:type="dxa"/>
            <w:shd w:val="clear" w:color="auto" w:fill="auto"/>
            <w:vAlign w:val="center"/>
          </w:tcPr>
          <w:p w:rsidR="00531137" w:rsidRPr="00B37B92" w:rsidRDefault="00531137" w:rsidP="005571A5">
            <w:pPr>
              <w:pStyle w:val="Table-Text"/>
              <w:rPr>
                <w:sz w:val="22"/>
                <w:szCs w:val="22"/>
              </w:rPr>
            </w:pPr>
            <w:r w:rsidRPr="00B37B92">
              <w:rPr>
                <w:sz w:val="22"/>
                <w:szCs w:val="22"/>
              </w:rPr>
              <w:t>≥</w:t>
            </w:r>
            <w:r w:rsidR="00490270" w:rsidRPr="00B37B92">
              <w:rPr>
                <w:sz w:val="22"/>
                <w:szCs w:val="22"/>
              </w:rPr>
              <w:t xml:space="preserve"> </w:t>
            </w:r>
            <w:r w:rsidRPr="00B37B92">
              <w:rPr>
                <w:sz w:val="22"/>
                <w:szCs w:val="22"/>
              </w:rPr>
              <w:t>2</w:t>
            </w:r>
            <w:r w:rsidR="005571A5">
              <w:rPr>
                <w:sz w:val="22"/>
                <w:szCs w:val="22"/>
              </w:rPr>
              <w:t>0</w:t>
            </w:r>
            <w:r w:rsidRPr="00B37B92">
              <w:rPr>
                <w:sz w:val="22"/>
                <w:szCs w:val="22"/>
              </w:rPr>
              <w:t xml:space="preserve"> g/L decrease in </w:t>
            </w:r>
            <w:proofErr w:type="spellStart"/>
            <w:r w:rsidRPr="00B37B92">
              <w:rPr>
                <w:sz w:val="22"/>
                <w:szCs w:val="22"/>
              </w:rPr>
              <w:t>h</w:t>
            </w:r>
            <w:r w:rsidR="006D3C1E" w:rsidRPr="00B37B92">
              <w:rPr>
                <w:sz w:val="22"/>
                <w:szCs w:val="22"/>
              </w:rPr>
              <w:t>a</w:t>
            </w:r>
            <w:r w:rsidRPr="00B37B92">
              <w:rPr>
                <w:sz w:val="22"/>
                <w:szCs w:val="22"/>
              </w:rPr>
              <w:t>emoglobin</w:t>
            </w:r>
            <w:proofErr w:type="spellEnd"/>
            <w:r w:rsidRPr="00B37B92">
              <w:rPr>
                <w:sz w:val="22"/>
                <w:szCs w:val="22"/>
              </w:rPr>
              <w:t xml:space="preserve"> during any 4 week period treatment</w:t>
            </w:r>
          </w:p>
        </w:tc>
        <w:tc>
          <w:tcPr>
            <w:tcW w:w="3072" w:type="dxa"/>
            <w:tcBorders>
              <w:right w:val="nil"/>
            </w:tcBorders>
            <w:shd w:val="clear" w:color="auto" w:fill="auto"/>
            <w:vAlign w:val="center"/>
          </w:tcPr>
          <w:p w:rsidR="00531137" w:rsidRPr="00B37B92" w:rsidRDefault="00531137" w:rsidP="005571A5">
            <w:pPr>
              <w:pStyle w:val="Table-Text"/>
              <w:rPr>
                <w:sz w:val="22"/>
                <w:szCs w:val="22"/>
              </w:rPr>
            </w:pPr>
            <w:r w:rsidRPr="00B37B92">
              <w:rPr>
                <w:sz w:val="22"/>
                <w:szCs w:val="22"/>
              </w:rPr>
              <w:t>&lt;</w:t>
            </w:r>
            <w:r w:rsidR="00490270" w:rsidRPr="00B37B92">
              <w:rPr>
                <w:sz w:val="22"/>
                <w:szCs w:val="22"/>
              </w:rPr>
              <w:t xml:space="preserve"> </w:t>
            </w:r>
            <w:r w:rsidRPr="00B37B92">
              <w:rPr>
                <w:sz w:val="22"/>
                <w:szCs w:val="22"/>
              </w:rPr>
              <w:t>12</w:t>
            </w:r>
            <w:r w:rsidR="005571A5">
              <w:rPr>
                <w:sz w:val="22"/>
                <w:szCs w:val="22"/>
              </w:rPr>
              <w:t>0</w:t>
            </w:r>
            <w:r w:rsidRPr="00B37B92">
              <w:rPr>
                <w:sz w:val="22"/>
                <w:szCs w:val="22"/>
              </w:rPr>
              <w:t xml:space="preserve"> g/L despite 4 weeks at reduced dose</w:t>
            </w:r>
          </w:p>
        </w:tc>
      </w:tr>
    </w:tbl>
    <w:p w:rsidR="0036593C" w:rsidRDefault="0036593C" w:rsidP="00BF711F">
      <w:pPr>
        <w:pStyle w:val="Table-Footer"/>
      </w:pPr>
    </w:p>
    <w:p w:rsidR="00531137" w:rsidRPr="000A7B01" w:rsidRDefault="00531137" w:rsidP="00BF711F">
      <w:pPr>
        <w:pStyle w:val="Table-Footer"/>
        <w:rPr>
          <w:rFonts w:ascii="Times New Roman" w:hAnsi="Times New Roman"/>
          <w:sz w:val="18"/>
          <w:szCs w:val="18"/>
        </w:rPr>
      </w:pPr>
      <w:r w:rsidRPr="000A7B01">
        <w:rPr>
          <w:rFonts w:ascii="Times New Roman" w:hAnsi="Times New Roman"/>
          <w:sz w:val="18"/>
          <w:szCs w:val="18"/>
        </w:rPr>
        <w:t>a.</w:t>
      </w:r>
      <w:r w:rsidRPr="000A7B01">
        <w:rPr>
          <w:rFonts w:ascii="Times New Roman" w:hAnsi="Times New Roman"/>
          <w:sz w:val="18"/>
          <w:szCs w:val="18"/>
        </w:rPr>
        <w:tab/>
        <w:t>The daily dose of ribavirin is administered orally in two divided doses with food.</w:t>
      </w:r>
    </w:p>
    <w:p w:rsidR="00531137" w:rsidRPr="000A7B01" w:rsidRDefault="00531137" w:rsidP="00BF711F">
      <w:pPr>
        <w:pStyle w:val="Table-Footer"/>
        <w:rPr>
          <w:rFonts w:ascii="Times New Roman" w:hAnsi="Times New Roman"/>
          <w:sz w:val="18"/>
          <w:szCs w:val="18"/>
        </w:rPr>
      </w:pPr>
      <w:r w:rsidRPr="000A7B01">
        <w:rPr>
          <w:rFonts w:ascii="Times New Roman" w:hAnsi="Times New Roman"/>
          <w:sz w:val="18"/>
          <w:szCs w:val="18"/>
        </w:rPr>
        <w:t>b.</w:t>
      </w:r>
      <w:r w:rsidRPr="000A7B01">
        <w:rPr>
          <w:rFonts w:ascii="Times New Roman" w:hAnsi="Times New Roman"/>
          <w:sz w:val="18"/>
          <w:szCs w:val="18"/>
        </w:rPr>
        <w:tab/>
        <w:t>Once ribavirin has been withheld due to either a laboratory abnormality or clinical manifestation, an attempt may be made to restart ribavirin at 600 mg daily and further increase the dose to 800 mg daily. However, it is not recommended that ribavirin be increased to the original assigned dose (1000 mg to 1200 mg daily).</w:t>
      </w:r>
    </w:p>
    <w:p w:rsidR="0009428C" w:rsidRDefault="0009428C" w:rsidP="00BF711F">
      <w:pPr>
        <w:pStyle w:val="Table-Footer"/>
      </w:pPr>
    </w:p>
    <w:p w:rsidR="0009428C" w:rsidRPr="00671185" w:rsidRDefault="0009428C" w:rsidP="00BF711F">
      <w:pPr>
        <w:pStyle w:val="Table-Footer"/>
        <w:rPr>
          <w:rFonts w:ascii="Times New Roman" w:hAnsi="Times New Roman"/>
          <w:b/>
          <w:sz w:val="24"/>
          <w:szCs w:val="24"/>
        </w:rPr>
      </w:pPr>
      <w:r w:rsidRPr="00671185">
        <w:rPr>
          <w:rFonts w:ascii="Times New Roman" w:hAnsi="Times New Roman"/>
          <w:b/>
          <w:sz w:val="24"/>
          <w:szCs w:val="24"/>
        </w:rPr>
        <w:t>Discontinuation of Dosing</w:t>
      </w:r>
    </w:p>
    <w:p w:rsidR="0009428C" w:rsidRPr="0009428C" w:rsidRDefault="0009428C" w:rsidP="00BF711F">
      <w:pPr>
        <w:pStyle w:val="Table-Footer"/>
        <w:rPr>
          <w:rFonts w:ascii="Times New Roman" w:hAnsi="Times New Roman"/>
          <w:sz w:val="24"/>
          <w:szCs w:val="24"/>
        </w:rPr>
      </w:pPr>
    </w:p>
    <w:p w:rsidR="0009428C" w:rsidRDefault="0009428C" w:rsidP="00BF711F">
      <w:pPr>
        <w:pStyle w:val="Table-Footer"/>
        <w:ind w:left="0" w:firstLine="0"/>
        <w:rPr>
          <w:rFonts w:ascii="Times New Roman" w:hAnsi="Times New Roman"/>
          <w:sz w:val="24"/>
          <w:szCs w:val="24"/>
        </w:rPr>
      </w:pPr>
      <w:r w:rsidRPr="0009428C">
        <w:rPr>
          <w:rFonts w:ascii="Times New Roman" w:hAnsi="Times New Roman"/>
          <w:sz w:val="24"/>
          <w:szCs w:val="24"/>
        </w:rPr>
        <w:t>If the other a</w:t>
      </w:r>
      <w:r w:rsidR="006D3C1E">
        <w:rPr>
          <w:rFonts w:ascii="Times New Roman" w:hAnsi="Times New Roman"/>
          <w:sz w:val="24"/>
          <w:szCs w:val="24"/>
        </w:rPr>
        <w:t xml:space="preserve">gents used in combination with </w:t>
      </w:r>
      <w:r w:rsidR="00D21279">
        <w:rPr>
          <w:rFonts w:ascii="Times New Roman" w:hAnsi="Times New Roman"/>
          <w:sz w:val="24"/>
          <w:szCs w:val="24"/>
        </w:rPr>
        <w:t>SOVALDI</w:t>
      </w:r>
      <w:r>
        <w:rPr>
          <w:rFonts w:ascii="Times New Roman" w:hAnsi="Times New Roman"/>
          <w:sz w:val="24"/>
          <w:szCs w:val="24"/>
        </w:rPr>
        <w:t xml:space="preserve"> are permanently discontinued, </w:t>
      </w:r>
      <w:r w:rsidR="00D21279">
        <w:rPr>
          <w:rFonts w:ascii="Times New Roman" w:hAnsi="Times New Roman"/>
          <w:sz w:val="24"/>
          <w:szCs w:val="24"/>
        </w:rPr>
        <w:t>SOVALDI</w:t>
      </w:r>
      <w:r w:rsidRPr="0009428C">
        <w:rPr>
          <w:rFonts w:ascii="Times New Roman" w:hAnsi="Times New Roman"/>
          <w:sz w:val="24"/>
          <w:szCs w:val="24"/>
        </w:rPr>
        <w:t xml:space="preserve"> should also be discontinued</w:t>
      </w:r>
      <w:r w:rsidR="00490270">
        <w:rPr>
          <w:rFonts w:ascii="Times New Roman" w:hAnsi="Times New Roman"/>
          <w:sz w:val="24"/>
          <w:szCs w:val="24"/>
        </w:rPr>
        <w:t>.</w:t>
      </w:r>
    </w:p>
    <w:p w:rsidR="00946408" w:rsidRDefault="00946408">
      <w:pPr>
        <w:rPr>
          <w:rFonts w:ascii="Times New Roman" w:hAnsi="Times New Roman"/>
          <w:b/>
          <w:noProof/>
          <w:sz w:val="24"/>
          <w:szCs w:val="24"/>
        </w:rPr>
      </w:pPr>
      <w:r>
        <w:rPr>
          <w:rFonts w:ascii="Times New Roman" w:hAnsi="Times New Roman"/>
          <w:b/>
          <w:noProof/>
          <w:sz w:val="24"/>
          <w:szCs w:val="24"/>
        </w:rPr>
        <w:br w:type="page"/>
      </w:r>
    </w:p>
    <w:p w:rsidR="007254DD" w:rsidRDefault="007254DD" w:rsidP="00B74D17">
      <w:pPr>
        <w:jc w:val="both"/>
        <w:outlineLvl w:val="0"/>
        <w:rPr>
          <w:rFonts w:ascii="Times New Roman" w:hAnsi="Times New Roman"/>
          <w:b/>
          <w:noProof/>
          <w:sz w:val="24"/>
          <w:szCs w:val="24"/>
        </w:rPr>
      </w:pPr>
      <w:r w:rsidRPr="00311ADB">
        <w:rPr>
          <w:rFonts w:ascii="Times New Roman" w:hAnsi="Times New Roman"/>
          <w:b/>
          <w:noProof/>
          <w:sz w:val="24"/>
          <w:szCs w:val="24"/>
        </w:rPr>
        <w:lastRenderedPageBreak/>
        <w:t>OVERDOSAGE</w:t>
      </w:r>
    </w:p>
    <w:p w:rsidR="00240556" w:rsidRDefault="00240556" w:rsidP="00B74D17">
      <w:pPr>
        <w:jc w:val="both"/>
        <w:outlineLvl w:val="0"/>
        <w:rPr>
          <w:rFonts w:ascii="Times New Roman" w:hAnsi="Times New Roman"/>
          <w:b/>
          <w:noProof/>
          <w:sz w:val="24"/>
          <w:szCs w:val="24"/>
        </w:rPr>
      </w:pPr>
    </w:p>
    <w:p w:rsidR="00240556" w:rsidRDefault="00240556" w:rsidP="00BF711F">
      <w:pPr>
        <w:pStyle w:val="Text10"/>
      </w:pPr>
      <w:bookmarkStart w:id="24" w:name="_Ref307407660"/>
      <w:r>
        <w:t xml:space="preserve">The highest documented dose of </w:t>
      </w:r>
      <w:proofErr w:type="spellStart"/>
      <w:r>
        <w:t>sofosbuvir</w:t>
      </w:r>
      <w:proofErr w:type="spellEnd"/>
      <w:r>
        <w:t xml:space="preserve"> was a single </w:t>
      </w:r>
      <w:proofErr w:type="spellStart"/>
      <w:r>
        <w:t>supratherapeutic</w:t>
      </w:r>
      <w:proofErr w:type="spellEnd"/>
      <w:r>
        <w:t xml:space="preserve"> dose of </w:t>
      </w:r>
      <w:proofErr w:type="spellStart"/>
      <w:r>
        <w:t>sofosbuvir</w:t>
      </w:r>
      <w:proofErr w:type="spellEnd"/>
      <w:r>
        <w:t xml:space="preserve"> 1200 mg administered to 59 healthy </w:t>
      </w:r>
      <w:r w:rsidR="00FD6E81">
        <w:t>patients</w:t>
      </w:r>
      <w:r>
        <w:t xml:space="preserve">.  In that trial, there were no untoward effects observed at this dose level, and adverse events were similar in frequency and severity to those reported in the placebo and </w:t>
      </w:r>
      <w:proofErr w:type="spellStart"/>
      <w:r>
        <w:t>sofosbuvir</w:t>
      </w:r>
      <w:proofErr w:type="spellEnd"/>
      <w:r>
        <w:t xml:space="preserve"> 400 mg treatment groups. The effects of higher doses are not known. </w:t>
      </w:r>
    </w:p>
    <w:p w:rsidR="00240556" w:rsidRPr="00240D2D" w:rsidRDefault="00240556" w:rsidP="00BF711F">
      <w:pPr>
        <w:pStyle w:val="Text10"/>
      </w:pPr>
      <w:r>
        <w:t xml:space="preserve">No specific antidote </w:t>
      </w:r>
      <w:r w:rsidR="001B7EF0">
        <w:t xml:space="preserve">is available for overdose with </w:t>
      </w:r>
      <w:r w:rsidR="00D21279">
        <w:t>SOVALDI</w:t>
      </w:r>
      <w:r>
        <w:t>. If overdose occurs the patient must be monitored for evidence of toxicity.  Treatment o</w:t>
      </w:r>
      <w:r w:rsidR="001B7EF0">
        <w:t xml:space="preserve">f overdose with </w:t>
      </w:r>
      <w:r w:rsidR="00D21279">
        <w:t>SOVALDI</w:t>
      </w:r>
      <w:r>
        <w:t xml:space="preserve"> consists of general supportive measures including monitoring of vital signs as well as observation of the clinical status of the patient. </w:t>
      </w:r>
      <w:proofErr w:type="spellStart"/>
      <w:r>
        <w:t>H</w:t>
      </w:r>
      <w:r w:rsidR="001B7EF0">
        <w:t>a</w:t>
      </w:r>
      <w:r>
        <w:t>emodialysis</w:t>
      </w:r>
      <w:proofErr w:type="spellEnd"/>
      <w:r>
        <w:t xml:space="preserve"> can efficiently remove the predominant circulating metabolite GS-331007 with an extraction ratio of 53%.</w:t>
      </w:r>
      <w:bookmarkEnd w:id="24"/>
    </w:p>
    <w:p w:rsidR="00240556" w:rsidRPr="00240556" w:rsidRDefault="00240556" w:rsidP="00BF711F">
      <w:pPr>
        <w:jc w:val="both"/>
        <w:outlineLvl w:val="0"/>
        <w:rPr>
          <w:rFonts w:ascii="Times New Roman" w:hAnsi="Times New Roman"/>
          <w:noProof/>
          <w:sz w:val="24"/>
          <w:szCs w:val="24"/>
          <w:lang w:val="en-US"/>
        </w:rPr>
      </w:pPr>
    </w:p>
    <w:p w:rsidR="00EB7871" w:rsidRPr="00015C34" w:rsidRDefault="00EB7871" w:rsidP="00B74D17">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For information on the management of overdose, contact the Poison Information Centre on 131126 (</w:t>
      </w:r>
      <w:smartTag w:uri="urn:schemas-microsoft-com:office:smarttags" w:element="country-region">
        <w:r>
          <w:rPr>
            <w:rFonts w:ascii="Times New Roman" w:hAnsi="Times New Roman"/>
            <w:b w:val="0"/>
            <w:sz w:val="24"/>
            <w:szCs w:val="24"/>
            <w:lang w:val="en-AU"/>
          </w:rPr>
          <w:t>Australia</w:t>
        </w:r>
      </w:smartTag>
      <w:r>
        <w:rPr>
          <w:rFonts w:ascii="Times New Roman" w:hAnsi="Times New Roman"/>
          <w:b w:val="0"/>
          <w:sz w:val="24"/>
          <w:szCs w:val="24"/>
          <w:lang w:val="en-AU"/>
        </w:rPr>
        <w:t>) and 0800 764 766 (</w:t>
      </w:r>
      <w:smartTag w:uri="urn:schemas-microsoft-com:office:smarttags" w:element="place">
        <w:smartTag w:uri="urn:schemas-microsoft-com:office:smarttags" w:element="country-region">
          <w:r>
            <w:rPr>
              <w:rFonts w:ascii="Times New Roman" w:hAnsi="Times New Roman"/>
              <w:b w:val="0"/>
              <w:sz w:val="24"/>
              <w:szCs w:val="24"/>
              <w:lang w:val="en-AU"/>
            </w:rPr>
            <w:t>New Zealand</w:t>
          </w:r>
        </w:smartTag>
      </w:smartTag>
      <w:r>
        <w:rPr>
          <w:rFonts w:ascii="Times New Roman" w:hAnsi="Times New Roman"/>
          <w:b w:val="0"/>
          <w:sz w:val="24"/>
          <w:szCs w:val="24"/>
          <w:lang w:val="en-AU"/>
        </w:rPr>
        <w:t>).</w:t>
      </w:r>
    </w:p>
    <w:p w:rsidR="00A50E2A" w:rsidRPr="008B7865" w:rsidRDefault="00A50E2A" w:rsidP="00B74D17">
      <w:pPr>
        <w:jc w:val="both"/>
        <w:rPr>
          <w:rFonts w:ascii="Times New Roman" w:hAnsi="Times New Roman"/>
          <w:sz w:val="24"/>
          <w:szCs w:val="24"/>
        </w:rPr>
      </w:pPr>
    </w:p>
    <w:p w:rsidR="007254DD" w:rsidRPr="008B7865" w:rsidRDefault="007254DD" w:rsidP="00B74D17">
      <w:pPr>
        <w:jc w:val="both"/>
        <w:rPr>
          <w:rFonts w:ascii="Times New Roman" w:hAnsi="Times New Roman"/>
          <w:b/>
          <w:noProof/>
          <w:sz w:val="24"/>
          <w:szCs w:val="24"/>
        </w:rPr>
      </w:pPr>
      <w:r w:rsidRPr="008B7865">
        <w:rPr>
          <w:rFonts w:ascii="Times New Roman" w:hAnsi="Times New Roman"/>
          <w:b/>
          <w:noProof/>
          <w:sz w:val="24"/>
          <w:szCs w:val="24"/>
        </w:rPr>
        <w:t>PRESENTATION AND STORAGE CONDITIONS</w:t>
      </w:r>
    </w:p>
    <w:p w:rsidR="007254DD" w:rsidRPr="008B7865" w:rsidRDefault="00D21279" w:rsidP="00BF711F">
      <w:pPr>
        <w:numPr>
          <w:ilvl w:val="12"/>
          <w:numId w:val="0"/>
        </w:numPr>
        <w:ind w:right="-2"/>
        <w:jc w:val="both"/>
        <w:rPr>
          <w:rFonts w:ascii="Times New Roman" w:hAnsi="Times New Roman"/>
          <w:iCs/>
          <w:noProof/>
          <w:color w:val="FF0000"/>
          <w:sz w:val="24"/>
          <w:szCs w:val="24"/>
        </w:rPr>
      </w:pPr>
      <w:r>
        <w:rPr>
          <w:rFonts w:ascii="Times New Roman" w:hAnsi="Times New Roman"/>
          <w:noProof/>
          <w:sz w:val="24"/>
          <w:szCs w:val="24"/>
        </w:rPr>
        <w:t>SOVALDI</w:t>
      </w:r>
      <w:r w:rsidR="00E07F0F">
        <w:rPr>
          <w:rFonts w:ascii="Times New Roman" w:hAnsi="Times New Roman"/>
          <w:noProof/>
          <w:sz w:val="24"/>
          <w:szCs w:val="24"/>
        </w:rPr>
        <w:t xml:space="preserve"> </w:t>
      </w:r>
      <w:r w:rsidR="007254DD" w:rsidRPr="008B7865">
        <w:rPr>
          <w:rFonts w:ascii="Times New Roman" w:hAnsi="Times New Roman"/>
          <w:noProof/>
          <w:sz w:val="24"/>
          <w:szCs w:val="24"/>
        </w:rPr>
        <w:t xml:space="preserve">is available as </w:t>
      </w:r>
      <w:r w:rsidR="00133149">
        <w:rPr>
          <w:rFonts w:ascii="Times New Roman" w:hAnsi="Times New Roman"/>
          <w:noProof/>
          <w:sz w:val="24"/>
          <w:szCs w:val="24"/>
        </w:rPr>
        <w:t xml:space="preserve">400 mg </w:t>
      </w:r>
      <w:r w:rsidR="007254DD" w:rsidRPr="008B7865">
        <w:rPr>
          <w:rFonts w:ascii="Times New Roman" w:hAnsi="Times New Roman"/>
          <w:noProof/>
          <w:sz w:val="24"/>
          <w:szCs w:val="24"/>
        </w:rPr>
        <w:t>tablets</w:t>
      </w:r>
      <w:r w:rsidR="00133149">
        <w:rPr>
          <w:rFonts w:ascii="Times New Roman" w:hAnsi="Times New Roman"/>
          <w:noProof/>
          <w:sz w:val="24"/>
          <w:szCs w:val="24"/>
        </w:rPr>
        <w:t>, which</w:t>
      </w:r>
      <w:r w:rsidR="00815B4D">
        <w:rPr>
          <w:rFonts w:ascii="Times New Roman" w:hAnsi="Times New Roman"/>
          <w:noProof/>
          <w:sz w:val="24"/>
          <w:szCs w:val="24"/>
        </w:rPr>
        <w:t xml:space="preserve"> </w:t>
      </w:r>
      <w:r w:rsidR="00133149">
        <w:rPr>
          <w:rFonts w:ascii="Times New Roman" w:hAnsi="Times New Roman"/>
          <w:noProof/>
          <w:sz w:val="24"/>
          <w:szCs w:val="24"/>
        </w:rPr>
        <w:t>contain</w:t>
      </w:r>
      <w:r w:rsidR="007254DD" w:rsidRPr="008B7865">
        <w:rPr>
          <w:rFonts w:ascii="Times New Roman" w:hAnsi="Times New Roman"/>
          <w:noProof/>
          <w:sz w:val="24"/>
          <w:szCs w:val="24"/>
        </w:rPr>
        <w:t xml:space="preserve"> </w:t>
      </w:r>
      <w:r w:rsidR="00133149">
        <w:rPr>
          <w:rFonts w:ascii="Times New Roman" w:hAnsi="Times New Roman"/>
          <w:noProof/>
          <w:sz w:val="24"/>
          <w:szCs w:val="24"/>
        </w:rPr>
        <w:t>400</w:t>
      </w:r>
      <w:r w:rsidR="00815B4D">
        <w:rPr>
          <w:rFonts w:ascii="Times New Roman" w:hAnsi="Times New Roman"/>
          <w:noProof/>
          <w:sz w:val="24"/>
          <w:szCs w:val="24"/>
        </w:rPr>
        <w:t xml:space="preserve"> mg </w:t>
      </w:r>
      <w:r w:rsidR="00133149">
        <w:rPr>
          <w:rFonts w:ascii="Times New Roman" w:hAnsi="Times New Roman"/>
          <w:noProof/>
          <w:sz w:val="24"/>
          <w:szCs w:val="24"/>
        </w:rPr>
        <w:t>sofosbuvir</w:t>
      </w:r>
      <w:r w:rsidR="00815B4D">
        <w:rPr>
          <w:rFonts w:ascii="Times New Roman" w:hAnsi="Times New Roman"/>
          <w:noProof/>
          <w:sz w:val="24"/>
          <w:szCs w:val="24"/>
        </w:rPr>
        <w:t xml:space="preserve"> </w:t>
      </w:r>
      <w:r w:rsidR="000D57FF">
        <w:rPr>
          <w:rFonts w:ascii="Times New Roman" w:hAnsi="Times New Roman"/>
          <w:noProof/>
          <w:sz w:val="24"/>
          <w:szCs w:val="24"/>
        </w:rPr>
        <w:t xml:space="preserve">and are </w:t>
      </w:r>
      <w:r w:rsidR="00133149">
        <w:rPr>
          <w:rFonts w:ascii="Times New Roman" w:hAnsi="Times New Roman"/>
          <w:noProof/>
          <w:sz w:val="24"/>
          <w:szCs w:val="24"/>
        </w:rPr>
        <w:t>yellow</w:t>
      </w:r>
      <w:r w:rsidR="000D57FF">
        <w:rPr>
          <w:rFonts w:ascii="Times New Roman" w:hAnsi="Times New Roman"/>
          <w:noProof/>
          <w:sz w:val="24"/>
          <w:szCs w:val="24"/>
        </w:rPr>
        <w:t xml:space="preserve">, </w:t>
      </w:r>
      <w:r w:rsidR="00133149">
        <w:rPr>
          <w:rFonts w:ascii="Times New Roman" w:hAnsi="Times New Roman"/>
          <w:noProof/>
          <w:sz w:val="24"/>
          <w:szCs w:val="24"/>
        </w:rPr>
        <w:t>capsule</w:t>
      </w:r>
      <w:r w:rsidR="000D57FF">
        <w:rPr>
          <w:rFonts w:ascii="Times New Roman" w:hAnsi="Times New Roman"/>
          <w:noProof/>
          <w:sz w:val="24"/>
          <w:szCs w:val="24"/>
        </w:rPr>
        <w:t xml:space="preserve"> shaped, film coated with </w:t>
      </w:r>
      <w:r w:rsidR="002D719A">
        <w:rPr>
          <w:rFonts w:ascii="Times New Roman" w:hAnsi="Times New Roman"/>
          <w:noProof/>
          <w:sz w:val="24"/>
          <w:szCs w:val="24"/>
        </w:rPr>
        <w:t>“</w:t>
      </w:r>
      <w:r w:rsidR="000D57FF">
        <w:rPr>
          <w:rFonts w:ascii="Times New Roman" w:hAnsi="Times New Roman"/>
          <w:noProof/>
          <w:sz w:val="24"/>
          <w:szCs w:val="24"/>
        </w:rPr>
        <w:t>GSI</w:t>
      </w:r>
      <w:r w:rsidR="002D719A">
        <w:rPr>
          <w:rFonts w:ascii="Times New Roman" w:hAnsi="Times New Roman"/>
          <w:noProof/>
          <w:sz w:val="24"/>
          <w:szCs w:val="24"/>
        </w:rPr>
        <w:t>”</w:t>
      </w:r>
      <w:r w:rsidR="000D57FF">
        <w:rPr>
          <w:rFonts w:ascii="Times New Roman" w:hAnsi="Times New Roman"/>
          <w:noProof/>
          <w:sz w:val="24"/>
          <w:szCs w:val="24"/>
        </w:rPr>
        <w:t xml:space="preserve"> on one side and “</w:t>
      </w:r>
      <w:r w:rsidR="00133149">
        <w:rPr>
          <w:rFonts w:ascii="Times New Roman" w:hAnsi="Times New Roman"/>
          <w:noProof/>
          <w:sz w:val="24"/>
          <w:szCs w:val="24"/>
        </w:rPr>
        <w:t>7977</w:t>
      </w:r>
      <w:r w:rsidR="000D57FF">
        <w:rPr>
          <w:rFonts w:ascii="Times New Roman" w:hAnsi="Times New Roman"/>
          <w:noProof/>
          <w:sz w:val="24"/>
          <w:szCs w:val="24"/>
        </w:rPr>
        <w:t xml:space="preserve">” on the other side.  </w:t>
      </w:r>
    </w:p>
    <w:p w:rsidR="007254DD" w:rsidRPr="008B7865" w:rsidRDefault="007254DD" w:rsidP="00B74D17">
      <w:pPr>
        <w:jc w:val="both"/>
        <w:rPr>
          <w:rFonts w:ascii="Times New Roman" w:hAnsi="Times New Roman"/>
          <w:sz w:val="24"/>
          <w:szCs w:val="24"/>
        </w:rPr>
      </w:pPr>
    </w:p>
    <w:p w:rsidR="007254DD" w:rsidRPr="008B7865" w:rsidRDefault="00D21279" w:rsidP="00B74D17">
      <w:pPr>
        <w:jc w:val="both"/>
        <w:rPr>
          <w:rFonts w:ascii="Times New Roman" w:hAnsi="Times New Roman"/>
          <w:sz w:val="24"/>
          <w:szCs w:val="24"/>
        </w:rPr>
      </w:pPr>
      <w:r>
        <w:rPr>
          <w:rFonts w:ascii="Times New Roman" w:hAnsi="Times New Roman"/>
          <w:noProof/>
          <w:sz w:val="24"/>
          <w:szCs w:val="24"/>
        </w:rPr>
        <w:t>SOVALDI</w:t>
      </w:r>
      <w:r w:rsidR="00E07F0F" w:rsidRPr="008B7865">
        <w:rPr>
          <w:rFonts w:ascii="Times New Roman" w:hAnsi="Times New Roman"/>
          <w:sz w:val="24"/>
          <w:szCs w:val="24"/>
        </w:rPr>
        <w:t xml:space="preserve"> </w:t>
      </w:r>
      <w:r w:rsidR="007254DD" w:rsidRPr="008B7865">
        <w:rPr>
          <w:rFonts w:ascii="Times New Roman" w:hAnsi="Times New Roman"/>
          <w:sz w:val="24"/>
          <w:szCs w:val="24"/>
        </w:rPr>
        <w:t xml:space="preserve">is supplied in high density polyethylene (HDPE) bottles containing </w:t>
      </w:r>
      <w:r w:rsidR="00133149">
        <w:rPr>
          <w:rFonts w:ascii="Times New Roman" w:hAnsi="Times New Roman"/>
          <w:sz w:val="24"/>
          <w:szCs w:val="24"/>
        </w:rPr>
        <w:t>28</w:t>
      </w:r>
      <w:r w:rsidR="007254DD" w:rsidRPr="008B7865">
        <w:rPr>
          <w:rFonts w:ascii="Times New Roman" w:hAnsi="Times New Roman"/>
          <w:sz w:val="24"/>
          <w:szCs w:val="24"/>
        </w:rPr>
        <w:t xml:space="preserve"> </w:t>
      </w:r>
      <w:r w:rsidR="0094496F" w:rsidRPr="008B7865">
        <w:rPr>
          <w:rFonts w:ascii="Times New Roman" w:hAnsi="Times New Roman"/>
          <w:sz w:val="24"/>
          <w:szCs w:val="24"/>
        </w:rPr>
        <w:t xml:space="preserve">tablets </w:t>
      </w:r>
      <w:r w:rsidR="0094496F" w:rsidRPr="00E21D68">
        <w:rPr>
          <w:rFonts w:ascii="Times New Roman" w:hAnsi="Times New Roman"/>
          <w:sz w:val="24"/>
          <w:szCs w:val="24"/>
        </w:rPr>
        <w:t>and</w:t>
      </w:r>
      <w:r w:rsidR="007254DD" w:rsidRPr="00E21D68">
        <w:rPr>
          <w:rFonts w:ascii="Times New Roman" w:hAnsi="Times New Roman"/>
          <w:sz w:val="24"/>
          <w:szCs w:val="24"/>
        </w:rPr>
        <w:t xml:space="preserve"> is</w:t>
      </w:r>
      <w:r w:rsidR="007254DD" w:rsidRPr="008B7865">
        <w:rPr>
          <w:rFonts w:ascii="Times New Roman" w:hAnsi="Times New Roman"/>
          <w:sz w:val="24"/>
          <w:szCs w:val="24"/>
        </w:rPr>
        <w:t xml:space="preserve"> closed with a </w:t>
      </w:r>
      <w:r w:rsidR="00877E57">
        <w:rPr>
          <w:rFonts w:ascii="Times New Roman" w:hAnsi="Times New Roman"/>
          <w:sz w:val="24"/>
          <w:szCs w:val="24"/>
        </w:rPr>
        <w:t>child resistant</w:t>
      </w:r>
      <w:r w:rsidR="007254DD" w:rsidRPr="008B7865">
        <w:rPr>
          <w:rFonts w:ascii="Times New Roman" w:hAnsi="Times New Roman"/>
          <w:sz w:val="24"/>
          <w:szCs w:val="24"/>
        </w:rPr>
        <w:t xml:space="preserve"> closure.</w:t>
      </w:r>
    </w:p>
    <w:p w:rsidR="007254DD" w:rsidRPr="008B7865" w:rsidRDefault="007254DD" w:rsidP="00B74D17">
      <w:pPr>
        <w:jc w:val="both"/>
        <w:rPr>
          <w:rFonts w:ascii="Times New Roman" w:hAnsi="Times New Roman"/>
          <w:sz w:val="24"/>
          <w:szCs w:val="24"/>
        </w:rPr>
      </w:pPr>
    </w:p>
    <w:p w:rsidR="007254DD" w:rsidRPr="008B7865" w:rsidRDefault="00D21279" w:rsidP="00B74D17">
      <w:pPr>
        <w:jc w:val="both"/>
        <w:rPr>
          <w:rFonts w:ascii="Times New Roman" w:hAnsi="Times New Roman"/>
          <w:sz w:val="24"/>
          <w:szCs w:val="24"/>
        </w:rPr>
      </w:pPr>
      <w:r>
        <w:rPr>
          <w:rFonts w:ascii="Times New Roman" w:hAnsi="Times New Roman"/>
          <w:noProof/>
          <w:sz w:val="24"/>
          <w:szCs w:val="24"/>
        </w:rPr>
        <w:t>SOVALDI</w:t>
      </w:r>
      <w:r w:rsidR="00E07F0F" w:rsidRPr="008B7865">
        <w:rPr>
          <w:rFonts w:ascii="Times New Roman" w:hAnsi="Times New Roman"/>
          <w:sz w:val="24"/>
          <w:szCs w:val="24"/>
        </w:rPr>
        <w:t xml:space="preserve"> </w:t>
      </w:r>
      <w:r w:rsidR="007254DD" w:rsidRPr="008B7865">
        <w:rPr>
          <w:rFonts w:ascii="Times New Roman" w:hAnsi="Times New Roman"/>
          <w:sz w:val="24"/>
          <w:szCs w:val="24"/>
        </w:rPr>
        <w:t xml:space="preserve">should be stored </w:t>
      </w:r>
      <w:r w:rsidR="00F26D0A" w:rsidRPr="008B7865">
        <w:rPr>
          <w:rFonts w:ascii="Times New Roman" w:hAnsi="Times New Roman"/>
          <w:sz w:val="24"/>
          <w:szCs w:val="24"/>
        </w:rPr>
        <w:t xml:space="preserve">below </w:t>
      </w:r>
      <w:r w:rsidR="00CA6A9D">
        <w:rPr>
          <w:rFonts w:ascii="Times New Roman" w:hAnsi="Times New Roman"/>
          <w:sz w:val="24"/>
          <w:szCs w:val="24"/>
        </w:rPr>
        <w:t>30</w:t>
      </w:r>
      <w:r w:rsidR="00F26D0A" w:rsidRPr="008B7865">
        <w:rPr>
          <w:rFonts w:ascii="Times New Roman" w:hAnsi="Times New Roman"/>
          <w:sz w:val="24"/>
          <w:szCs w:val="24"/>
        </w:rPr>
        <w:t xml:space="preserve"> °C.</w:t>
      </w:r>
    </w:p>
    <w:p w:rsidR="00F14815" w:rsidRDefault="00F14815" w:rsidP="00B74D17">
      <w:pPr>
        <w:jc w:val="both"/>
        <w:rPr>
          <w:rFonts w:ascii="Times New Roman" w:hAnsi="Times New Roman"/>
          <w:b/>
          <w:noProof/>
          <w:sz w:val="24"/>
          <w:szCs w:val="24"/>
        </w:rPr>
      </w:pPr>
    </w:p>
    <w:p w:rsidR="007254DD" w:rsidRPr="008B7865" w:rsidRDefault="007254DD" w:rsidP="00B74D17">
      <w:pPr>
        <w:jc w:val="both"/>
        <w:rPr>
          <w:rFonts w:ascii="Times New Roman" w:hAnsi="Times New Roman"/>
          <w:noProof/>
          <w:sz w:val="24"/>
          <w:szCs w:val="24"/>
        </w:rPr>
      </w:pPr>
      <w:r w:rsidRPr="008B7865">
        <w:rPr>
          <w:rFonts w:ascii="Times New Roman" w:hAnsi="Times New Roman"/>
          <w:b/>
          <w:noProof/>
          <w:sz w:val="24"/>
          <w:szCs w:val="24"/>
        </w:rPr>
        <w:t>NAME AND ADDRESS OF THE SPONSOR</w:t>
      </w:r>
    </w:p>
    <w:p w:rsidR="007254DD" w:rsidRPr="008B7865" w:rsidRDefault="007254DD" w:rsidP="00B74D17">
      <w:pPr>
        <w:jc w:val="both"/>
        <w:rPr>
          <w:rFonts w:ascii="Times New Roman" w:hAnsi="Times New Roman"/>
          <w:sz w:val="24"/>
          <w:szCs w:val="24"/>
        </w:rPr>
      </w:pPr>
      <w:r w:rsidRPr="008B7865">
        <w:rPr>
          <w:rFonts w:ascii="Times New Roman" w:hAnsi="Times New Roman"/>
          <w:sz w:val="24"/>
          <w:szCs w:val="24"/>
        </w:rPr>
        <w:t>Gilead Sciences Pty Ltd</w:t>
      </w:r>
    </w:p>
    <w:p w:rsidR="007254DD" w:rsidRPr="008B7865" w:rsidRDefault="00A302C8" w:rsidP="00B74D17">
      <w:pPr>
        <w:jc w:val="both"/>
        <w:rPr>
          <w:rFonts w:ascii="Times New Roman" w:hAnsi="Times New Roman"/>
          <w:sz w:val="24"/>
          <w:szCs w:val="24"/>
        </w:rPr>
      </w:pPr>
      <w:r>
        <w:rPr>
          <w:rFonts w:ascii="Times New Roman" w:hAnsi="Times New Roman"/>
          <w:sz w:val="24"/>
          <w:szCs w:val="24"/>
        </w:rPr>
        <w:t>Level 6</w:t>
      </w:r>
      <w:r w:rsidR="007254DD" w:rsidRPr="008B7865">
        <w:rPr>
          <w:rFonts w:ascii="Times New Roman" w:hAnsi="Times New Roman"/>
          <w:sz w:val="24"/>
          <w:szCs w:val="24"/>
        </w:rPr>
        <w:t xml:space="preserve">, </w:t>
      </w:r>
      <w:smartTag w:uri="urn:schemas-microsoft-com:office:smarttags" w:element="Street">
        <w:smartTag w:uri="urn:schemas-microsoft-com:office:smarttags" w:element="address">
          <w:r>
            <w:rPr>
              <w:rFonts w:ascii="Times New Roman" w:hAnsi="Times New Roman"/>
              <w:sz w:val="24"/>
              <w:szCs w:val="24"/>
            </w:rPr>
            <w:t>417 St Kilda Road</w:t>
          </w:r>
        </w:smartTag>
      </w:smartTag>
    </w:p>
    <w:p w:rsidR="007254DD" w:rsidRDefault="007254DD" w:rsidP="00B74D17">
      <w:pPr>
        <w:jc w:val="both"/>
        <w:rPr>
          <w:rFonts w:ascii="Times New Roman" w:hAnsi="Times New Roman"/>
          <w:sz w:val="24"/>
          <w:szCs w:val="24"/>
        </w:rPr>
      </w:pPr>
      <w:smartTag w:uri="urn:schemas-microsoft-com:office:smarttags" w:element="place">
        <w:smartTag w:uri="urn:schemas-microsoft-com:office:smarttags" w:element="City">
          <w:r w:rsidRPr="008B7865">
            <w:rPr>
              <w:rFonts w:ascii="Times New Roman" w:hAnsi="Times New Roman"/>
              <w:sz w:val="24"/>
              <w:szCs w:val="24"/>
            </w:rPr>
            <w:t>Melbourne</w:t>
          </w:r>
        </w:smartTag>
        <w:r w:rsidRPr="008B7865">
          <w:rPr>
            <w:rFonts w:ascii="Times New Roman" w:hAnsi="Times New Roman"/>
            <w:sz w:val="24"/>
            <w:szCs w:val="24"/>
          </w:rPr>
          <w:t xml:space="preserve">, </w:t>
        </w:r>
        <w:smartTag w:uri="urn:schemas-microsoft-com:office:smarttags" w:element="State">
          <w:r w:rsidRPr="008B7865">
            <w:rPr>
              <w:rFonts w:ascii="Times New Roman" w:hAnsi="Times New Roman"/>
              <w:sz w:val="24"/>
              <w:szCs w:val="24"/>
            </w:rPr>
            <w:t>Victoria</w:t>
          </w:r>
        </w:smartTag>
      </w:smartTag>
      <w:r w:rsidR="00A302C8">
        <w:rPr>
          <w:rFonts w:ascii="Times New Roman" w:hAnsi="Times New Roman"/>
          <w:sz w:val="24"/>
          <w:szCs w:val="24"/>
        </w:rPr>
        <w:t xml:space="preserve"> 3004</w:t>
      </w:r>
    </w:p>
    <w:p w:rsidR="00311ADB" w:rsidRPr="008B7865" w:rsidRDefault="00311ADB" w:rsidP="00B74D17">
      <w:pPr>
        <w:jc w:val="both"/>
        <w:rPr>
          <w:rFonts w:ascii="Times New Roman" w:hAnsi="Times New Roman"/>
          <w:b/>
          <w:noProof/>
          <w:sz w:val="24"/>
          <w:szCs w:val="24"/>
        </w:rPr>
      </w:pPr>
    </w:p>
    <w:p w:rsidR="007254DD" w:rsidRPr="008B7865" w:rsidRDefault="007254DD" w:rsidP="00B74D17">
      <w:pPr>
        <w:jc w:val="both"/>
        <w:rPr>
          <w:rFonts w:ascii="Times New Roman" w:hAnsi="Times New Roman"/>
          <w:b/>
          <w:noProof/>
          <w:sz w:val="24"/>
          <w:szCs w:val="24"/>
        </w:rPr>
      </w:pPr>
      <w:r w:rsidRPr="008B7865">
        <w:rPr>
          <w:rFonts w:ascii="Times New Roman" w:hAnsi="Times New Roman"/>
          <w:b/>
          <w:noProof/>
          <w:sz w:val="24"/>
          <w:szCs w:val="24"/>
        </w:rPr>
        <w:t>POISON SCHEDULE OF THE DRUG</w:t>
      </w:r>
    </w:p>
    <w:p w:rsidR="007254DD" w:rsidRPr="008B7865" w:rsidRDefault="007254DD" w:rsidP="00B74D17">
      <w:pPr>
        <w:jc w:val="both"/>
        <w:rPr>
          <w:rFonts w:ascii="Times New Roman" w:hAnsi="Times New Roman"/>
          <w:noProof/>
          <w:sz w:val="24"/>
          <w:szCs w:val="24"/>
        </w:rPr>
      </w:pPr>
      <w:r w:rsidRPr="008B7865">
        <w:rPr>
          <w:rFonts w:ascii="Times New Roman" w:hAnsi="Times New Roman"/>
          <w:noProof/>
          <w:sz w:val="24"/>
          <w:szCs w:val="24"/>
        </w:rPr>
        <w:t>S4</w:t>
      </w:r>
    </w:p>
    <w:p w:rsidR="00F14815" w:rsidRDefault="00F14815" w:rsidP="00B74D17">
      <w:pPr>
        <w:jc w:val="both"/>
        <w:rPr>
          <w:rFonts w:ascii="Times New Roman" w:hAnsi="Times New Roman"/>
          <w:b/>
          <w:noProof/>
          <w:sz w:val="24"/>
          <w:szCs w:val="24"/>
        </w:rPr>
      </w:pPr>
    </w:p>
    <w:p w:rsidR="007254DD" w:rsidRDefault="007254DD" w:rsidP="00B74D17">
      <w:pPr>
        <w:jc w:val="both"/>
        <w:rPr>
          <w:rFonts w:ascii="Times New Roman" w:hAnsi="Times New Roman"/>
          <w:noProof/>
          <w:sz w:val="24"/>
          <w:szCs w:val="24"/>
        </w:rPr>
      </w:pPr>
      <w:r w:rsidRPr="008B7865">
        <w:rPr>
          <w:rFonts w:ascii="Times New Roman" w:hAnsi="Times New Roman"/>
          <w:b/>
          <w:noProof/>
          <w:sz w:val="24"/>
          <w:szCs w:val="24"/>
        </w:rPr>
        <w:t xml:space="preserve">DATE OF </w:t>
      </w:r>
      <w:r w:rsidR="00C15D9D">
        <w:rPr>
          <w:rFonts w:ascii="Times New Roman" w:hAnsi="Times New Roman"/>
          <w:b/>
          <w:noProof/>
          <w:sz w:val="24"/>
          <w:szCs w:val="24"/>
        </w:rPr>
        <w:t>INCLUSION ON ARTG</w:t>
      </w:r>
      <w:r w:rsidR="00850F16" w:rsidRPr="008B7865">
        <w:rPr>
          <w:rFonts w:ascii="Times New Roman" w:hAnsi="Times New Roman"/>
          <w:b/>
          <w:noProof/>
          <w:sz w:val="24"/>
          <w:szCs w:val="24"/>
        </w:rPr>
        <w:t>:</w:t>
      </w:r>
      <w:r w:rsidRPr="008B7865">
        <w:rPr>
          <w:rFonts w:ascii="Times New Roman" w:hAnsi="Times New Roman"/>
          <w:b/>
          <w:noProof/>
          <w:sz w:val="24"/>
          <w:szCs w:val="24"/>
        </w:rPr>
        <w:t xml:space="preserve"> </w:t>
      </w:r>
    </w:p>
    <w:p w:rsidR="00C3388F" w:rsidRDefault="002222D1" w:rsidP="00B74D17">
      <w:pPr>
        <w:jc w:val="both"/>
        <w:rPr>
          <w:rFonts w:ascii="Times New Roman" w:hAnsi="Times New Roman"/>
          <w:noProof/>
          <w:sz w:val="24"/>
          <w:szCs w:val="24"/>
        </w:rPr>
      </w:pPr>
      <w:r>
        <w:rPr>
          <w:rFonts w:ascii="Times New Roman" w:hAnsi="Times New Roman"/>
          <w:noProof/>
          <w:sz w:val="24"/>
          <w:szCs w:val="24"/>
        </w:rPr>
        <w:t>30</w:t>
      </w:r>
      <w:r w:rsidR="00CA2EC6">
        <w:rPr>
          <w:rFonts w:ascii="Times New Roman" w:hAnsi="Times New Roman"/>
          <w:noProof/>
          <w:sz w:val="24"/>
          <w:szCs w:val="24"/>
        </w:rPr>
        <w:t xml:space="preserve"> June</w:t>
      </w:r>
      <w:r w:rsidR="00F14815">
        <w:rPr>
          <w:rFonts w:ascii="Times New Roman" w:hAnsi="Times New Roman"/>
          <w:noProof/>
          <w:sz w:val="24"/>
          <w:szCs w:val="24"/>
        </w:rPr>
        <w:t xml:space="preserve"> 2014</w:t>
      </w:r>
    </w:p>
    <w:p w:rsidR="00CD6D20" w:rsidRDefault="00CD6D20" w:rsidP="00B74D17">
      <w:pPr>
        <w:jc w:val="both"/>
        <w:rPr>
          <w:rFonts w:ascii="Times New Roman" w:hAnsi="Times New Roman"/>
          <w:noProof/>
          <w:sz w:val="24"/>
          <w:szCs w:val="24"/>
        </w:rPr>
      </w:pPr>
    </w:p>
    <w:p w:rsidR="00CD6D20" w:rsidRDefault="00CD6D20" w:rsidP="00B74D17">
      <w:pPr>
        <w:jc w:val="both"/>
        <w:rPr>
          <w:rFonts w:ascii="Times New Roman" w:hAnsi="Times New Roman"/>
          <w:noProof/>
          <w:sz w:val="24"/>
          <w:szCs w:val="24"/>
        </w:rPr>
        <w:sectPr w:rsidR="00CD6D20" w:rsidSect="00CC5810">
          <w:headerReference w:type="default" r:id="rId12"/>
          <w:footerReference w:type="default" r:id="rId13"/>
          <w:pgSz w:w="12240" w:h="15840" w:code="1"/>
          <w:pgMar w:top="1134" w:right="1418" w:bottom="960" w:left="1418" w:header="720" w:footer="720" w:gutter="0"/>
          <w:paperSrc w:first="1" w:other="1"/>
          <w:pgNumType w:start="1"/>
          <w:cols w:space="720"/>
        </w:sectPr>
      </w:pPr>
      <w:r>
        <w:rPr>
          <w:rFonts w:ascii="Times New Roman" w:hAnsi="Times New Roman"/>
        </w:rPr>
        <w:t>SOVALDI, 7977 and GSI are trademarks</w:t>
      </w:r>
      <w:r w:rsidRPr="008B7865">
        <w:rPr>
          <w:rFonts w:ascii="Times New Roman" w:hAnsi="Times New Roman"/>
        </w:rPr>
        <w:t xml:space="preserve"> of Gilead Sciences, Inc</w:t>
      </w:r>
      <w:r>
        <w:rPr>
          <w:rFonts w:ascii="Times New Roman" w:hAnsi="Times New Roman"/>
        </w:rPr>
        <w:t>. or one of its related companies</w:t>
      </w:r>
      <w:r w:rsidRPr="008B7865">
        <w:rPr>
          <w:rFonts w:ascii="Times New Roman" w:hAnsi="Times New Roman"/>
        </w:rPr>
        <w:t xml:space="preserve">.  </w:t>
      </w:r>
      <w:r w:rsidRPr="000C2FCC">
        <w:rPr>
          <w:rFonts w:ascii="Times New Roman" w:hAnsi="Times New Roman"/>
          <w:snapToGrid w:val="0"/>
        </w:rPr>
        <w:t>Other brands listed are trademarks of their respective owners and are not trademarks of Gilead Sciences,</w:t>
      </w:r>
      <w:r>
        <w:rPr>
          <w:rFonts w:ascii="Times New Roman" w:hAnsi="Times New Roman"/>
          <w:snapToGrid w:val="0"/>
        </w:rPr>
        <w:t xml:space="preserve"> </w:t>
      </w:r>
      <w:proofErr w:type="spellStart"/>
      <w:r>
        <w:rPr>
          <w:rFonts w:ascii="Times New Roman" w:hAnsi="Times New Roman"/>
          <w:snapToGrid w:val="0"/>
        </w:rPr>
        <w:t>Inc</w:t>
      </w:r>
      <w:proofErr w:type="spellEnd"/>
    </w:p>
    <w:p w:rsidR="001379D5" w:rsidRPr="00AA4EB7" w:rsidRDefault="001379D5" w:rsidP="00CD6D20">
      <w:pPr>
        <w:jc w:val="both"/>
        <w:rPr>
          <w:b/>
          <w:sz w:val="18"/>
          <w:szCs w:val="18"/>
        </w:rPr>
      </w:pPr>
    </w:p>
    <w:sectPr w:rsidR="001379D5" w:rsidRPr="00AA4EB7" w:rsidSect="00CD6D20">
      <w:footerReference w:type="default" r:id="rId14"/>
      <w:type w:val="continuous"/>
      <w:pgSz w:w="12240" w:h="15840" w:code="1"/>
      <w:pgMar w:top="1134" w:right="1418" w:bottom="960" w:left="1418"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51" w:rsidRDefault="00443951">
      <w:r>
        <w:separator/>
      </w:r>
    </w:p>
  </w:endnote>
  <w:endnote w:type="continuationSeparator" w:id="0">
    <w:p w:rsidR="00443951" w:rsidRDefault="0044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51" w:rsidRPr="008B7865" w:rsidRDefault="00443951" w:rsidP="00B809C8">
    <w:pPr>
      <w:pStyle w:val="Footer"/>
      <w:jc w:val="center"/>
      <w:rPr>
        <w:rStyle w:val="PageNumber"/>
        <w:rFonts w:ascii="Times New Roman" w:hAnsi="Times New Roman"/>
        <w:sz w:val="20"/>
      </w:rPr>
    </w:pPr>
    <w:r>
      <w:rPr>
        <w:rFonts w:ascii="Times New Roman" w:hAnsi="Times New Roman"/>
        <w:noProof/>
        <w:sz w:val="20"/>
      </w:rPr>
      <w:t xml:space="preserve">SOVALDI </w:t>
    </w:r>
    <w:r w:rsidR="00EF4FA4">
      <w:rPr>
        <w:rFonts w:ascii="Times New Roman" w:hAnsi="Times New Roman"/>
        <w:sz w:val="20"/>
      </w:rPr>
      <w:t>Product Information v1.0</w:t>
    </w:r>
    <w:r w:rsidRPr="00E7636B">
      <w:rPr>
        <w:rFonts w:ascii="Times New Roman" w:hAnsi="Times New Roman"/>
        <w:sz w:val="20"/>
      </w:rPr>
      <w:t xml:space="preserve"> </w:t>
    </w:r>
    <w:r>
      <w:rPr>
        <w:rFonts w:ascii="Times New Roman" w:hAnsi="Times New Roman"/>
        <w:sz w:val="20"/>
      </w:rPr>
      <w:t>– (</w:t>
    </w:r>
    <w:r w:rsidR="00AD3EDD">
      <w:rPr>
        <w:rFonts w:ascii="Times New Roman" w:hAnsi="Times New Roman"/>
        <w:sz w:val="20"/>
      </w:rPr>
      <w:t>30</w:t>
    </w:r>
    <w:r>
      <w:rPr>
        <w:rFonts w:ascii="Times New Roman" w:hAnsi="Times New Roman"/>
        <w:sz w:val="20"/>
      </w:rPr>
      <w:t xml:space="preserve">June2014)                  </w:t>
    </w:r>
    <w:r w:rsidRPr="00D37FDB">
      <w:rPr>
        <w:rFonts w:ascii="Times New Roman" w:hAnsi="Times New Roman"/>
        <w:sz w:val="20"/>
      </w:rPr>
      <w:t xml:space="preserve">Page </w:t>
    </w:r>
    <w:r w:rsidRPr="00D37FDB">
      <w:rPr>
        <w:rFonts w:ascii="Times New Roman" w:hAnsi="Times New Roman"/>
        <w:sz w:val="20"/>
      </w:rPr>
      <w:fldChar w:fldCharType="begin"/>
    </w:r>
    <w:r w:rsidRPr="00D37FDB">
      <w:rPr>
        <w:rFonts w:ascii="Times New Roman" w:hAnsi="Times New Roman"/>
        <w:sz w:val="20"/>
      </w:rPr>
      <w:instrText xml:space="preserve"> PAGE </w:instrText>
    </w:r>
    <w:r w:rsidRPr="00D37FDB">
      <w:rPr>
        <w:rFonts w:ascii="Times New Roman" w:hAnsi="Times New Roman"/>
        <w:sz w:val="20"/>
      </w:rPr>
      <w:fldChar w:fldCharType="separate"/>
    </w:r>
    <w:r w:rsidR="001A2728">
      <w:rPr>
        <w:rFonts w:ascii="Times New Roman" w:hAnsi="Times New Roman"/>
        <w:noProof/>
        <w:sz w:val="20"/>
      </w:rPr>
      <w:t>2</w:t>
    </w:r>
    <w:r w:rsidRPr="00D37FDB">
      <w:rPr>
        <w:rFonts w:ascii="Times New Roman" w:hAnsi="Times New Roman"/>
        <w:sz w:val="20"/>
      </w:rPr>
      <w:fldChar w:fldCharType="end"/>
    </w:r>
    <w:r w:rsidRPr="00D37FDB">
      <w:rPr>
        <w:rFonts w:ascii="Times New Roman" w:hAnsi="Times New Roman"/>
        <w:sz w:val="20"/>
      </w:rPr>
      <w:t xml:space="preserve"> of </w:t>
    </w:r>
    <w:r w:rsidR="00800E10">
      <w:rPr>
        <w:rFonts w:ascii="Times New Roman" w:hAnsi="Times New Roman"/>
        <w:sz w:val="20"/>
      </w:rPr>
      <w:t>24</w:t>
    </w:r>
  </w:p>
  <w:p w:rsidR="00443951" w:rsidRDefault="00443951">
    <w:pPr>
      <w:pStyle w:val="Footer"/>
      <w:tabs>
        <w:tab w:val="clear" w:pos="9361"/>
        <w:tab w:val="right" w:pos="8910"/>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51" w:rsidRPr="008A3FCF" w:rsidRDefault="00443951" w:rsidP="008A3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51" w:rsidRDefault="00443951">
      <w:r>
        <w:separator/>
      </w:r>
    </w:p>
  </w:footnote>
  <w:footnote w:type="continuationSeparator" w:id="0">
    <w:p w:rsidR="00443951" w:rsidRDefault="0044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A7B5D" w:rsidTr="00F34C41">
      <w:tc>
        <w:tcPr>
          <w:tcW w:w="8720" w:type="dxa"/>
          <w:shd w:val="clear" w:color="auto" w:fill="E4F2E0"/>
        </w:tcPr>
        <w:p w:rsidR="00FA7B5D" w:rsidRPr="00FA7B5D" w:rsidRDefault="00FA7B5D" w:rsidP="00FA7B5D">
          <w:pPr>
            <w:spacing w:before="40" w:after="40"/>
            <w:rPr>
              <w:rFonts w:ascii="Cambria" w:hAnsi="Cambria"/>
              <w:b/>
            </w:rPr>
          </w:pPr>
          <w:r w:rsidRPr="00FA7B5D">
            <w:rPr>
              <w:rFonts w:ascii="Cambria" w:hAnsi="Cambria"/>
              <w:b/>
            </w:rPr>
            <w:t xml:space="preserve">Attachment 1: Product information for </w:t>
          </w:r>
          <w:proofErr w:type="spellStart"/>
          <w:r w:rsidRPr="00FA7B5D">
            <w:rPr>
              <w:rFonts w:ascii="Cambria" w:hAnsi="Cambria"/>
              <w:b/>
            </w:rPr>
            <w:t>AusPAR</w:t>
          </w:r>
          <w:proofErr w:type="spellEnd"/>
          <w:r w:rsidRPr="00FA7B5D">
            <w:rPr>
              <w:rFonts w:ascii="Cambria" w:hAnsi="Cambria"/>
              <w:b/>
            </w:rPr>
            <w:t xml:space="preserve"> </w:t>
          </w:r>
          <w:proofErr w:type="spellStart"/>
          <w:r w:rsidR="00946408">
            <w:rPr>
              <w:rFonts w:ascii="Cambria" w:hAnsi="Cambria"/>
              <w:b/>
            </w:rPr>
            <w:t>Sofosbuvir</w:t>
          </w:r>
          <w:proofErr w:type="spellEnd"/>
          <w:r w:rsidR="00946408">
            <w:rPr>
              <w:rFonts w:ascii="Cambria" w:hAnsi="Cambria"/>
              <w:b/>
            </w:rPr>
            <w:t xml:space="preserve"> </w:t>
          </w:r>
          <w:proofErr w:type="spellStart"/>
          <w:r w:rsidRPr="00FA7B5D">
            <w:rPr>
              <w:rFonts w:ascii="Cambria" w:hAnsi="Cambria"/>
              <w:b/>
            </w:rPr>
            <w:t>Sovaldi</w:t>
          </w:r>
          <w:proofErr w:type="spellEnd"/>
          <w:r w:rsidRPr="00FA7B5D">
            <w:rPr>
              <w:rFonts w:ascii="Cambria" w:hAnsi="Cambria"/>
              <w:b/>
            </w:rPr>
            <w:t xml:space="preserve"> Gilead Sciences Pty Ltd PM-2013-01283-1-2</w:t>
          </w:r>
          <w:r>
            <w:rPr>
              <w:rFonts w:ascii="Cambria" w:hAnsi="Cambria"/>
              <w:b/>
            </w:rPr>
            <w:t xml:space="preserve"> </w:t>
          </w:r>
          <w:r w:rsidRPr="00FA7B5D">
            <w:rPr>
              <w:rFonts w:ascii="Cambria" w:hAnsi="Cambria"/>
              <w:b/>
            </w:rPr>
            <w:t xml:space="preserve">Final 5 August 2014. This Product Information was approved at the time this </w:t>
          </w:r>
          <w:proofErr w:type="spellStart"/>
          <w:r w:rsidRPr="00FA7B5D">
            <w:rPr>
              <w:rFonts w:ascii="Cambria" w:hAnsi="Cambria"/>
              <w:b/>
            </w:rPr>
            <w:t>AusPAR</w:t>
          </w:r>
          <w:proofErr w:type="spellEnd"/>
          <w:r w:rsidRPr="00FA7B5D">
            <w:rPr>
              <w:rFonts w:ascii="Cambria" w:hAnsi="Cambria"/>
              <w:b/>
            </w:rPr>
            <w:t xml:space="preserve"> was published.</w:t>
          </w:r>
        </w:p>
      </w:tc>
    </w:tr>
  </w:tbl>
  <w:p w:rsidR="00FA7B5D" w:rsidRDefault="00FA7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80B46C2"/>
    <w:multiLevelType w:val="hybridMultilevel"/>
    <w:tmpl w:val="7098DF08"/>
    <w:lvl w:ilvl="0" w:tplc="0C090001">
      <w:start w:val="1"/>
      <w:numFmt w:val="bullet"/>
      <w:lvlText w:val=""/>
      <w:lvlJc w:val="left"/>
      <w:pPr>
        <w:tabs>
          <w:tab w:val="num" w:pos="1080"/>
        </w:tabs>
        <w:ind w:left="1080" w:hanging="360"/>
      </w:pPr>
      <w:rPr>
        <w:rFonts w:ascii="Symbol" w:hAnsi="Symbol" w:hint="default"/>
      </w:rPr>
    </w:lvl>
    <w:lvl w:ilvl="1" w:tplc="04090019">
      <w:start w:val="1"/>
      <w:numFmt w:val="bullet"/>
      <w:lvlText w:val="-"/>
      <w:legacy w:legacy="1" w:legacySpace="360" w:legacyIndent="360"/>
      <w:lvlJc w:val="left"/>
      <w:pPr>
        <w:ind w:left="1800" w:hanging="360"/>
      </w:pPr>
      <w:rPr>
        <w:rFont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08210A33"/>
    <w:multiLevelType w:val="hybridMultilevel"/>
    <w:tmpl w:val="E11ECF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86411A0"/>
    <w:multiLevelType w:val="hybridMultilevel"/>
    <w:tmpl w:val="9FE240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0FBE22E8"/>
    <w:multiLevelType w:val="hybridMultilevel"/>
    <w:tmpl w:val="F4F61850"/>
    <w:lvl w:ilvl="0" w:tplc="E612DC24">
      <w:start w:val="1"/>
      <w:numFmt w:val="lowerLetter"/>
      <w:lvlText w:val="%1."/>
      <w:lvlJc w:val="left"/>
      <w:pPr>
        <w:ind w:left="329" w:hanging="360"/>
      </w:pPr>
      <w:rPr>
        <w:rFonts w:hint="default"/>
      </w:rPr>
    </w:lvl>
    <w:lvl w:ilvl="1" w:tplc="0C090019" w:tentative="1">
      <w:start w:val="1"/>
      <w:numFmt w:val="lowerLetter"/>
      <w:lvlText w:val="%2."/>
      <w:lvlJc w:val="left"/>
      <w:pPr>
        <w:ind w:left="1049" w:hanging="360"/>
      </w:pPr>
    </w:lvl>
    <w:lvl w:ilvl="2" w:tplc="0C09001B" w:tentative="1">
      <w:start w:val="1"/>
      <w:numFmt w:val="lowerRoman"/>
      <w:lvlText w:val="%3."/>
      <w:lvlJc w:val="right"/>
      <w:pPr>
        <w:ind w:left="1769" w:hanging="180"/>
      </w:pPr>
    </w:lvl>
    <w:lvl w:ilvl="3" w:tplc="0C09000F" w:tentative="1">
      <w:start w:val="1"/>
      <w:numFmt w:val="decimal"/>
      <w:lvlText w:val="%4."/>
      <w:lvlJc w:val="left"/>
      <w:pPr>
        <w:ind w:left="2489" w:hanging="360"/>
      </w:pPr>
    </w:lvl>
    <w:lvl w:ilvl="4" w:tplc="0C090019" w:tentative="1">
      <w:start w:val="1"/>
      <w:numFmt w:val="lowerLetter"/>
      <w:lvlText w:val="%5."/>
      <w:lvlJc w:val="left"/>
      <w:pPr>
        <w:ind w:left="3209" w:hanging="360"/>
      </w:pPr>
    </w:lvl>
    <w:lvl w:ilvl="5" w:tplc="0C09001B" w:tentative="1">
      <w:start w:val="1"/>
      <w:numFmt w:val="lowerRoman"/>
      <w:lvlText w:val="%6."/>
      <w:lvlJc w:val="right"/>
      <w:pPr>
        <w:ind w:left="3929" w:hanging="180"/>
      </w:pPr>
    </w:lvl>
    <w:lvl w:ilvl="6" w:tplc="0C09000F" w:tentative="1">
      <w:start w:val="1"/>
      <w:numFmt w:val="decimal"/>
      <w:lvlText w:val="%7."/>
      <w:lvlJc w:val="left"/>
      <w:pPr>
        <w:ind w:left="4649" w:hanging="360"/>
      </w:pPr>
    </w:lvl>
    <w:lvl w:ilvl="7" w:tplc="0C090019" w:tentative="1">
      <w:start w:val="1"/>
      <w:numFmt w:val="lowerLetter"/>
      <w:lvlText w:val="%8."/>
      <w:lvlJc w:val="left"/>
      <w:pPr>
        <w:ind w:left="5369" w:hanging="360"/>
      </w:pPr>
    </w:lvl>
    <w:lvl w:ilvl="8" w:tplc="0C09001B" w:tentative="1">
      <w:start w:val="1"/>
      <w:numFmt w:val="lowerRoman"/>
      <w:lvlText w:val="%9."/>
      <w:lvlJc w:val="right"/>
      <w:pPr>
        <w:ind w:left="6089" w:hanging="180"/>
      </w:pPr>
    </w:lvl>
  </w:abstractNum>
  <w:abstractNum w:abstractNumId="16">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8">
    <w:nsid w:val="14A123DA"/>
    <w:multiLevelType w:val="multilevel"/>
    <w:tmpl w:val="2F7CF78E"/>
    <w:lvl w:ilvl="0">
      <w:start w:val="1"/>
      <w:numFmt w:val="bullet"/>
      <w:lvlText w:val=""/>
      <w:lvlJc w:val="left"/>
      <w:pPr>
        <w:tabs>
          <w:tab w:val="num" w:pos="1080"/>
        </w:tabs>
        <w:ind w:left="1080" w:hanging="360"/>
      </w:pPr>
      <w:rPr>
        <w:rFonts w:ascii="Symbol" w:hAnsi="Symbol" w:hint="default"/>
      </w:rPr>
    </w:lvl>
    <w:lvl w:ilvl="1">
      <w:start w:val="1"/>
      <w:numFmt w:val="bullet"/>
      <w:lvlText w:val="-"/>
      <w:legacy w:legacy="1" w:legacySpace="360" w:legacyIndent="360"/>
      <w:lvlJc w:val="left"/>
      <w:pPr>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F1B67F1"/>
    <w:multiLevelType w:val="hybridMultilevel"/>
    <w:tmpl w:val="8E6A00A2"/>
    <w:lvl w:ilvl="0" w:tplc="7AB02FA8">
      <w:start w:val="1"/>
      <w:numFmt w:val="bullet"/>
      <w:lvlText w:val=""/>
      <w:lvlJc w:val="left"/>
      <w:pPr>
        <w:tabs>
          <w:tab w:val="num" w:pos="1139"/>
        </w:tabs>
        <w:ind w:left="11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965570"/>
    <w:multiLevelType w:val="hybridMultilevel"/>
    <w:tmpl w:val="2F7CF78E"/>
    <w:lvl w:ilvl="0" w:tplc="B888CF38">
      <w:start w:val="1"/>
      <w:numFmt w:val="bullet"/>
      <w:lvlText w:val=""/>
      <w:lvlJc w:val="left"/>
      <w:pPr>
        <w:tabs>
          <w:tab w:val="num" w:pos="1080"/>
        </w:tabs>
        <w:ind w:left="1080" w:hanging="360"/>
      </w:pPr>
      <w:rPr>
        <w:rFonts w:ascii="Symbol" w:hAnsi="Symbol" w:hint="default"/>
      </w:rPr>
    </w:lvl>
    <w:lvl w:ilvl="1" w:tplc="04090019">
      <w:start w:val="1"/>
      <w:numFmt w:val="bullet"/>
      <w:lvlText w:val="-"/>
      <w:legacy w:legacy="1" w:legacySpace="360" w:legacyIndent="360"/>
      <w:lvlJc w:val="left"/>
      <w:pPr>
        <w:ind w:left="1800" w:hanging="360"/>
      </w:pPr>
      <w:rPr>
        <w:rFont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D825EE6"/>
    <w:multiLevelType w:val="hybridMultilevel"/>
    <w:tmpl w:val="2028DEB4"/>
    <w:lvl w:ilvl="0" w:tplc="29D42F56">
      <w:start w:val="1"/>
      <w:numFmt w:val="bullet"/>
      <w:lvlText w:val=""/>
      <w:lvlJc w:val="left"/>
      <w:pPr>
        <w:tabs>
          <w:tab w:val="num" w:pos="360"/>
        </w:tabs>
        <w:ind w:left="360" w:hanging="360"/>
      </w:pPr>
      <w:rPr>
        <w:rFonts w:ascii="Symbol" w:hAnsi="Symbol" w:hint="default"/>
        <w:strik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3E296555"/>
    <w:multiLevelType w:val="hybridMultilevel"/>
    <w:tmpl w:val="5210BD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0E7303"/>
    <w:multiLevelType w:val="multilevel"/>
    <w:tmpl w:val="CD48D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6F445DA"/>
    <w:multiLevelType w:val="multilevel"/>
    <w:tmpl w:val="CD48D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nsid w:val="4CD4287A"/>
    <w:multiLevelType w:val="hybridMultilevel"/>
    <w:tmpl w:val="31C25D3E"/>
    <w:lvl w:ilvl="0" w:tplc="B46E721E">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C97BAF"/>
    <w:multiLevelType w:val="singleLevel"/>
    <w:tmpl w:val="0409000F"/>
    <w:lvl w:ilvl="0">
      <w:start w:val="1"/>
      <w:numFmt w:val="decimal"/>
      <w:lvlText w:val="%1."/>
      <w:lvlJc w:val="left"/>
      <w:pPr>
        <w:tabs>
          <w:tab w:val="num" w:pos="360"/>
        </w:tabs>
        <w:ind w:left="360" w:hanging="360"/>
      </w:pPr>
    </w:lvl>
  </w:abstractNum>
  <w:abstractNum w:abstractNumId="33">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6">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6090B43"/>
    <w:multiLevelType w:val="singleLevel"/>
    <w:tmpl w:val="68D88B92"/>
    <w:lvl w:ilvl="0">
      <w:start w:val="1"/>
      <w:numFmt w:val="lowerLetter"/>
      <w:pStyle w:val="TableFootnoteLetter"/>
      <w:lvlText w:val="%1"/>
      <w:lvlJc w:val="left"/>
      <w:pPr>
        <w:tabs>
          <w:tab w:val="num" w:pos="360"/>
        </w:tabs>
        <w:ind w:left="360" w:hanging="360"/>
      </w:pPr>
      <w:rPr>
        <w:rFonts w:ascii="Times New Roman" w:hAnsi="Times New Roman" w:cs="Times New Roman" w:hint="default"/>
        <w:b w:val="0"/>
        <w:i w:val="0"/>
        <w:caps w:val="0"/>
        <w:sz w:val="18"/>
        <w:u w:val="none"/>
        <w:vertAlign w:val="baseline"/>
      </w:rPr>
    </w:lvl>
  </w:abstractNum>
  <w:abstractNum w:abstractNumId="38">
    <w:nsid w:val="76C70CE2"/>
    <w:multiLevelType w:val="hybridMultilevel"/>
    <w:tmpl w:val="F80A49A0"/>
    <w:lvl w:ilvl="0" w:tplc="3634F1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8A29CD"/>
    <w:multiLevelType w:val="hybridMultilevel"/>
    <w:tmpl w:val="CA28FAF6"/>
    <w:lvl w:ilvl="0" w:tplc="6A12B3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F655D"/>
    <w:multiLevelType w:val="hybridMultilevel"/>
    <w:tmpl w:val="C9288A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D3537B1"/>
    <w:multiLevelType w:val="hybridMultilevel"/>
    <w:tmpl w:val="96C23FE8"/>
    <w:lvl w:ilvl="0" w:tplc="EDE2B9D2">
      <w:start w:val="1"/>
      <w:numFmt w:val="bullet"/>
      <w:lvlText w:val=""/>
      <w:lvlJc w:val="left"/>
      <w:pPr>
        <w:tabs>
          <w:tab w:val="num" w:pos="360"/>
        </w:tabs>
        <w:ind w:left="36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DE47216"/>
    <w:multiLevelType w:val="hybridMultilevel"/>
    <w:tmpl w:val="7A463846"/>
    <w:lvl w:ilvl="0" w:tplc="B46E721E">
      <w:start w:val="1"/>
      <w:numFmt w:val="bullet"/>
      <w:lvlText w:val=""/>
      <w:lvlJc w:val="left"/>
      <w:pPr>
        <w:tabs>
          <w:tab w:val="num" w:pos="600"/>
        </w:tabs>
        <w:ind w:left="600" w:hanging="360"/>
      </w:pPr>
      <w:rPr>
        <w:rFonts w:ascii="Symbol" w:hAnsi="Symbol" w:hint="default"/>
      </w:rPr>
    </w:lvl>
    <w:lvl w:ilvl="1" w:tplc="0C090001">
      <w:start w:val="1"/>
      <w:numFmt w:val="bullet"/>
      <w:lvlText w:val=""/>
      <w:lvlJc w:val="left"/>
      <w:pPr>
        <w:tabs>
          <w:tab w:val="num" w:pos="1320"/>
        </w:tabs>
        <w:ind w:left="1320" w:hanging="360"/>
      </w:pPr>
      <w:rPr>
        <w:rFonts w:ascii="Symbol" w:hAnsi="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num>
  <w:num w:numId="14">
    <w:abstractNumId w:val="20"/>
  </w:num>
  <w:num w:numId="15">
    <w:abstractNumId w:val="29"/>
  </w:num>
  <w:num w:numId="16">
    <w:abstractNumId w:val="16"/>
  </w:num>
  <w:num w:numId="17">
    <w:abstractNumId w:val="14"/>
  </w:num>
  <w:num w:numId="18">
    <w:abstractNumId w:val="30"/>
  </w:num>
  <w:num w:numId="19">
    <w:abstractNumId w:val="31"/>
  </w:num>
  <w:num w:numId="20">
    <w:abstractNumId w:val="34"/>
  </w:num>
  <w:num w:numId="21">
    <w:abstractNumId w:val="43"/>
  </w:num>
  <w:num w:numId="22">
    <w:abstractNumId w:val="17"/>
  </w:num>
  <w:num w:numId="23">
    <w:abstractNumId w:val="19"/>
  </w:num>
  <w:num w:numId="24">
    <w:abstractNumId w:val="24"/>
  </w:num>
  <w:num w:numId="25">
    <w:abstractNumId w:val="21"/>
  </w:num>
  <w:num w:numId="26">
    <w:abstractNumId w:val="41"/>
  </w:num>
  <w:num w:numId="27">
    <w:abstractNumId w:val="33"/>
  </w:num>
  <w:num w:numId="28">
    <w:abstractNumId w:val="10"/>
  </w:num>
  <w:num w:numId="29">
    <w:abstractNumId w:val="42"/>
  </w:num>
  <w:num w:numId="30">
    <w:abstractNumId w:val="25"/>
  </w:num>
  <w:num w:numId="31">
    <w:abstractNumId w:val="22"/>
  </w:num>
  <w:num w:numId="32">
    <w:abstractNumId w:val="38"/>
  </w:num>
  <w:num w:numId="33">
    <w:abstractNumId w:val="12"/>
  </w:num>
  <w:num w:numId="34">
    <w:abstractNumId w:val="40"/>
  </w:num>
  <w:num w:numId="35">
    <w:abstractNumId w:val="17"/>
  </w:num>
  <w:num w:numId="36">
    <w:abstractNumId w:val="26"/>
  </w:num>
  <w:num w:numId="37">
    <w:abstractNumId w:val="23"/>
  </w:num>
  <w:num w:numId="38">
    <w:abstractNumId w:val="28"/>
  </w:num>
  <w:num w:numId="39">
    <w:abstractNumId w:val="27"/>
  </w:num>
  <w:num w:numId="40">
    <w:abstractNumId w:val="13"/>
  </w:num>
  <w:num w:numId="41">
    <w:abstractNumId w:val="18"/>
  </w:num>
  <w:num w:numId="42">
    <w:abstractNumId w:val="11"/>
  </w:num>
  <w:num w:numId="43">
    <w:abstractNumId w:val="39"/>
  </w:num>
  <w:num w:numId="44">
    <w:abstractNumId w:val="15"/>
  </w:num>
  <w:num w:numId="45">
    <w:abstractNumId w:val="37"/>
  </w:num>
  <w:num w:numId="46">
    <w:abstractNumId w:val="37"/>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16E"/>
    <w:rsid w:val="00000812"/>
    <w:rsid w:val="00000DB0"/>
    <w:rsid w:val="0000147A"/>
    <w:rsid w:val="00001DE8"/>
    <w:rsid w:val="00001F32"/>
    <w:rsid w:val="000025EA"/>
    <w:rsid w:val="00002AB5"/>
    <w:rsid w:val="00002FB1"/>
    <w:rsid w:val="000047B2"/>
    <w:rsid w:val="00004A2F"/>
    <w:rsid w:val="000055C4"/>
    <w:rsid w:val="00005BD9"/>
    <w:rsid w:val="00005C1B"/>
    <w:rsid w:val="000068E7"/>
    <w:rsid w:val="00006996"/>
    <w:rsid w:val="00006C5F"/>
    <w:rsid w:val="00007008"/>
    <w:rsid w:val="000074C9"/>
    <w:rsid w:val="00007824"/>
    <w:rsid w:val="00007A04"/>
    <w:rsid w:val="00007DAF"/>
    <w:rsid w:val="00012037"/>
    <w:rsid w:val="00012100"/>
    <w:rsid w:val="0001214B"/>
    <w:rsid w:val="00012233"/>
    <w:rsid w:val="000126A6"/>
    <w:rsid w:val="00013A95"/>
    <w:rsid w:val="0001433A"/>
    <w:rsid w:val="00014EEA"/>
    <w:rsid w:val="00015A5C"/>
    <w:rsid w:val="000169CA"/>
    <w:rsid w:val="00016B55"/>
    <w:rsid w:val="00020ACE"/>
    <w:rsid w:val="000210DF"/>
    <w:rsid w:val="00021C2B"/>
    <w:rsid w:val="00022055"/>
    <w:rsid w:val="000230A1"/>
    <w:rsid w:val="00024D8B"/>
    <w:rsid w:val="00024DE5"/>
    <w:rsid w:val="00024E08"/>
    <w:rsid w:val="00025A3E"/>
    <w:rsid w:val="00026CE8"/>
    <w:rsid w:val="0002711D"/>
    <w:rsid w:val="00027C10"/>
    <w:rsid w:val="0003026C"/>
    <w:rsid w:val="0003061C"/>
    <w:rsid w:val="00030B64"/>
    <w:rsid w:val="0003221E"/>
    <w:rsid w:val="0003230B"/>
    <w:rsid w:val="00032B9F"/>
    <w:rsid w:val="00032CB2"/>
    <w:rsid w:val="0003333A"/>
    <w:rsid w:val="00034CC3"/>
    <w:rsid w:val="000350CB"/>
    <w:rsid w:val="00035FF9"/>
    <w:rsid w:val="0003741C"/>
    <w:rsid w:val="00041A2A"/>
    <w:rsid w:val="000425B2"/>
    <w:rsid w:val="00042FCE"/>
    <w:rsid w:val="00043411"/>
    <w:rsid w:val="0004393E"/>
    <w:rsid w:val="00044570"/>
    <w:rsid w:val="00044F2B"/>
    <w:rsid w:val="00045157"/>
    <w:rsid w:val="00045728"/>
    <w:rsid w:val="000457F3"/>
    <w:rsid w:val="00045D78"/>
    <w:rsid w:val="00045EAF"/>
    <w:rsid w:val="00046496"/>
    <w:rsid w:val="00046588"/>
    <w:rsid w:val="0004669A"/>
    <w:rsid w:val="00046AE1"/>
    <w:rsid w:val="00046CA5"/>
    <w:rsid w:val="0004728A"/>
    <w:rsid w:val="00047333"/>
    <w:rsid w:val="00047754"/>
    <w:rsid w:val="00047E91"/>
    <w:rsid w:val="00050499"/>
    <w:rsid w:val="00050A3A"/>
    <w:rsid w:val="00050BCC"/>
    <w:rsid w:val="000511EB"/>
    <w:rsid w:val="00051323"/>
    <w:rsid w:val="00051F42"/>
    <w:rsid w:val="00053909"/>
    <w:rsid w:val="000539A5"/>
    <w:rsid w:val="00053DCA"/>
    <w:rsid w:val="00053F4E"/>
    <w:rsid w:val="00054EDE"/>
    <w:rsid w:val="00055005"/>
    <w:rsid w:val="000551E1"/>
    <w:rsid w:val="00055AF0"/>
    <w:rsid w:val="00056AF5"/>
    <w:rsid w:val="00056CFA"/>
    <w:rsid w:val="0005714F"/>
    <w:rsid w:val="0005720A"/>
    <w:rsid w:val="00057658"/>
    <w:rsid w:val="00057BFD"/>
    <w:rsid w:val="00060633"/>
    <w:rsid w:val="00060FA8"/>
    <w:rsid w:val="0006112E"/>
    <w:rsid w:val="000618DB"/>
    <w:rsid w:val="00061A1C"/>
    <w:rsid w:val="0006234F"/>
    <w:rsid w:val="00062612"/>
    <w:rsid w:val="00062CE1"/>
    <w:rsid w:val="00062DE1"/>
    <w:rsid w:val="00063E22"/>
    <w:rsid w:val="0006444E"/>
    <w:rsid w:val="00064472"/>
    <w:rsid w:val="0006452E"/>
    <w:rsid w:val="00064633"/>
    <w:rsid w:val="000653E1"/>
    <w:rsid w:val="0006540A"/>
    <w:rsid w:val="000654CF"/>
    <w:rsid w:val="0006675C"/>
    <w:rsid w:val="00066897"/>
    <w:rsid w:val="0006741C"/>
    <w:rsid w:val="0007025E"/>
    <w:rsid w:val="000713D4"/>
    <w:rsid w:val="000714B0"/>
    <w:rsid w:val="000714F3"/>
    <w:rsid w:val="00071704"/>
    <w:rsid w:val="00071854"/>
    <w:rsid w:val="00072459"/>
    <w:rsid w:val="0007287D"/>
    <w:rsid w:val="00072C00"/>
    <w:rsid w:val="0007379F"/>
    <w:rsid w:val="00073D0F"/>
    <w:rsid w:val="00074A4E"/>
    <w:rsid w:val="00074F9A"/>
    <w:rsid w:val="00075298"/>
    <w:rsid w:val="000768EA"/>
    <w:rsid w:val="00076C18"/>
    <w:rsid w:val="00076C5E"/>
    <w:rsid w:val="00081D78"/>
    <w:rsid w:val="0008230E"/>
    <w:rsid w:val="00083AA4"/>
    <w:rsid w:val="00083D63"/>
    <w:rsid w:val="00084110"/>
    <w:rsid w:val="00084202"/>
    <w:rsid w:val="00084A7E"/>
    <w:rsid w:val="0008558E"/>
    <w:rsid w:val="000861BA"/>
    <w:rsid w:val="00086971"/>
    <w:rsid w:val="00086D89"/>
    <w:rsid w:val="0008774B"/>
    <w:rsid w:val="0008796D"/>
    <w:rsid w:val="000905B2"/>
    <w:rsid w:val="00091868"/>
    <w:rsid w:val="00091D16"/>
    <w:rsid w:val="00092C50"/>
    <w:rsid w:val="00093030"/>
    <w:rsid w:val="0009428C"/>
    <w:rsid w:val="00094BF8"/>
    <w:rsid w:val="00095804"/>
    <w:rsid w:val="00095F87"/>
    <w:rsid w:val="00096C04"/>
    <w:rsid w:val="00097C95"/>
    <w:rsid w:val="000A184D"/>
    <w:rsid w:val="000A2C24"/>
    <w:rsid w:val="000A3839"/>
    <w:rsid w:val="000A3956"/>
    <w:rsid w:val="000A44A2"/>
    <w:rsid w:val="000A58E8"/>
    <w:rsid w:val="000A6251"/>
    <w:rsid w:val="000A7B01"/>
    <w:rsid w:val="000A7C0A"/>
    <w:rsid w:val="000B013F"/>
    <w:rsid w:val="000B04D3"/>
    <w:rsid w:val="000B097F"/>
    <w:rsid w:val="000B1807"/>
    <w:rsid w:val="000B1EF1"/>
    <w:rsid w:val="000B2A25"/>
    <w:rsid w:val="000B420B"/>
    <w:rsid w:val="000B4EB8"/>
    <w:rsid w:val="000B523C"/>
    <w:rsid w:val="000B53D5"/>
    <w:rsid w:val="000B6EFD"/>
    <w:rsid w:val="000B73D4"/>
    <w:rsid w:val="000B750C"/>
    <w:rsid w:val="000B79E7"/>
    <w:rsid w:val="000C050F"/>
    <w:rsid w:val="000C1270"/>
    <w:rsid w:val="000C1AE8"/>
    <w:rsid w:val="000C1E4F"/>
    <w:rsid w:val="000C214C"/>
    <w:rsid w:val="000C2C4E"/>
    <w:rsid w:val="000C3121"/>
    <w:rsid w:val="000C3D51"/>
    <w:rsid w:val="000C3FEA"/>
    <w:rsid w:val="000C7DBF"/>
    <w:rsid w:val="000D097D"/>
    <w:rsid w:val="000D0A56"/>
    <w:rsid w:val="000D156A"/>
    <w:rsid w:val="000D1715"/>
    <w:rsid w:val="000D1C93"/>
    <w:rsid w:val="000D1DFD"/>
    <w:rsid w:val="000D25B5"/>
    <w:rsid w:val="000D2B4F"/>
    <w:rsid w:val="000D3BCC"/>
    <w:rsid w:val="000D48CA"/>
    <w:rsid w:val="000D57FF"/>
    <w:rsid w:val="000D5D0D"/>
    <w:rsid w:val="000D5F6B"/>
    <w:rsid w:val="000D612F"/>
    <w:rsid w:val="000D6F4A"/>
    <w:rsid w:val="000D7776"/>
    <w:rsid w:val="000E13C5"/>
    <w:rsid w:val="000E186B"/>
    <w:rsid w:val="000E19CA"/>
    <w:rsid w:val="000E21B7"/>
    <w:rsid w:val="000E24A6"/>
    <w:rsid w:val="000E2A84"/>
    <w:rsid w:val="000E2FBB"/>
    <w:rsid w:val="000E37DA"/>
    <w:rsid w:val="000E42CA"/>
    <w:rsid w:val="000E44A3"/>
    <w:rsid w:val="000E46B9"/>
    <w:rsid w:val="000E7DBC"/>
    <w:rsid w:val="000E7DF4"/>
    <w:rsid w:val="000E7E67"/>
    <w:rsid w:val="000F1AE8"/>
    <w:rsid w:val="000F215E"/>
    <w:rsid w:val="000F3DCA"/>
    <w:rsid w:val="000F3F04"/>
    <w:rsid w:val="000F4322"/>
    <w:rsid w:val="000F4A75"/>
    <w:rsid w:val="000F63F4"/>
    <w:rsid w:val="000F7C57"/>
    <w:rsid w:val="000F7E6D"/>
    <w:rsid w:val="000F7E9D"/>
    <w:rsid w:val="001007CE"/>
    <w:rsid w:val="00101309"/>
    <w:rsid w:val="00101ECF"/>
    <w:rsid w:val="001029D3"/>
    <w:rsid w:val="00102C73"/>
    <w:rsid w:val="00103400"/>
    <w:rsid w:val="001040B8"/>
    <w:rsid w:val="00105646"/>
    <w:rsid w:val="00105822"/>
    <w:rsid w:val="00107128"/>
    <w:rsid w:val="001072EA"/>
    <w:rsid w:val="00107C6A"/>
    <w:rsid w:val="00111012"/>
    <w:rsid w:val="00113DCF"/>
    <w:rsid w:val="0011491A"/>
    <w:rsid w:val="00114E75"/>
    <w:rsid w:val="001150D4"/>
    <w:rsid w:val="00116056"/>
    <w:rsid w:val="00116591"/>
    <w:rsid w:val="0011690C"/>
    <w:rsid w:val="00116A33"/>
    <w:rsid w:val="00117239"/>
    <w:rsid w:val="00117494"/>
    <w:rsid w:val="001206B6"/>
    <w:rsid w:val="00121A98"/>
    <w:rsid w:val="00121C75"/>
    <w:rsid w:val="001220E6"/>
    <w:rsid w:val="0012236A"/>
    <w:rsid w:val="00122593"/>
    <w:rsid w:val="00122D67"/>
    <w:rsid w:val="001234C6"/>
    <w:rsid w:val="00123904"/>
    <w:rsid w:val="0012393B"/>
    <w:rsid w:val="00123B1F"/>
    <w:rsid w:val="00123F0D"/>
    <w:rsid w:val="0012469B"/>
    <w:rsid w:val="0012496D"/>
    <w:rsid w:val="00124DC5"/>
    <w:rsid w:val="00125402"/>
    <w:rsid w:val="00125C77"/>
    <w:rsid w:val="00126448"/>
    <w:rsid w:val="001275B1"/>
    <w:rsid w:val="001276D0"/>
    <w:rsid w:val="00127D51"/>
    <w:rsid w:val="001308A0"/>
    <w:rsid w:val="00130B1E"/>
    <w:rsid w:val="001310A9"/>
    <w:rsid w:val="00131819"/>
    <w:rsid w:val="001320B1"/>
    <w:rsid w:val="0013221C"/>
    <w:rsid w:val="0013258A"/>
    <w:rsid w:val="00132C5C"/>
    <w:rsid w:val="001330A7"/>
    <w:rsid w:val="00133149"/>
    <w:rsid w:val="00133447"/>
    <w:rsid w:val="00133E25"/>
    <w:rsid w:val="00134310"/>
    <w:rsid w:val="00135001"/>
    <w:rsid w:val="00135147"/>
    <w:rsid w:val="001358B0"/>
    <w:rsid w:val="00135B48"/>
    <w:rsid w:val="001369E9"/>
    <w:rsid w:val="001371D6"/>
    <w:rsid w:val="001376A9"/>
    <w:rsid w:val="001379D5"/>
    <w:rsid w:val="00140245"/>
    <w:rsid w:val="00140CE7"/>
    <w:rsid w:val="00140E6D"/>
    <w:rsid w:val="001417F4"/>
    <w:rsid w:val="00144322"/>
    <w:rsid w:val="0014544B"/>
    <w:rsid w:val="0014779E"/>
    <w:rsid w:val="00150652"/>
    <w:rsid w:val="00150AC1"/>
    <w:rsid w:val="00151489"/>
    <w:rsid w:val="00151600"/>
    <w:rsid w:val="00153048"/>
    <w:rsid w:val="0015386D"/>
    <w:rsid w:val="00153F93"/>
    <w:rsid w:val="00155474"/>
    <w:rsid w:val="0015625B"/>
    <w:rsid w:val="00160D54"/>
    <w:rsid w:val="00160F57"/>
    <w:rsid w:val="0016139D"/>
    <w:rsid w:val="00162E06"/>
    <w:rsid w:val="0016441F"/>
    <w:rsid w:val="00165C2F"/>
    <w:rsid w:val="00165EB3"/>
    <w:rsid w:val="0016689A"/>
    <w:rsid w:val="00167CA1"/>
    <w:rsid w:val="001706C0"/>
    <w:rsid w:val="00171D2F"/>
    <w:rsid w:val="00171E4A"/>
    <w:rsid w:val="00172152"/>
    <w:rsid w:val="0017284C"/>
    <w:rsid w:val="001736AE"/>
    <w:rsid w:val="00174021"/>
    <w:rsid w:val="001747D5"/>
    <w:rsid w:val="00174FFC"/>
    <w:rsid w:val="00175FBA"/>
    <w:rsid w:val="00176750"/>
    <w:rsid w:val="00177000"/>
    <w:rsid w:val="00177684"/>
    <w:rsid w:val="00177D42"/>
    <w:rsid w:val="0018088F"/>
    <w:rsid w:val="00180A28"/>
    <w:rsid w:val="00181294"/>
    <w:rsid w:val="00181B7D"/>
    <w:rsid w:val="00183211"/>
    <w:rsid w:val="00185E01"/>
    <w:rsid w:val="00185E59"/>
    <w:rsid w:val="00185EB5"/>
    <w:rsid w:val="00187C0D"/>
    <w:rsid w:val="00187EA0"/>
    <w:rsid w:val="001908CB"/>
    <w:rsid w:val="0019221F"/>
    <w:rsid w:val="00192B92"/>
    <w:rsid w:val="001930DC"/>
    <w:rsid w:val="0019392E"/>
    <w:rsid w:val="001943A7"/>
    <w:rsid w:val="0019510F"/>
    <w:rsid w:val="0019511F"/>
    <w:rsid w:val="00195B21"/>
    <w:rsid w:val="00195B43"/>
    <w:rsid w:val="00197655"/>
    <w:rsid w:val="00197A86"/>
    <w:rsid w:val="001A001B"/>
    <w:rsid w:val="001A0AB9"/>
    <w:rsid w:val="001A10D0"/>
    <w:rsid w:val="001A1525"/>
    <w:rsid w:val="001A17AE"/>
    <w:rsid w:val="001A1DB5"/>
    <w:rsid w:val="001A207F"/>
    <w:rsid w:val="001A2728"/>
    <w:rsid w:val="001A29CF"/>
    <w:rsid w:val="001A409C"/>
    <w:rsid w:val="001A49F5"/>
    <w:rsid w:val="001A5F79"/>
    <w:rsid w:val="001A65C7"/>
    <w:rsid w:val="001A6C97"/>
    <w:rsid w:val="001A7BE0"/>
    <w:rsid w:val="001B0430"/>
    <w:rsid w:val="001B2B5A"/>
    <w:rsid w:val="001B2C2E"/>
    <w:rsid w:val="001B3130"/>
    <w:rsid w:val="001B3752"/>
    <w:rsid w:val="001B4144"/>
    <w:rsid w:val="001B426C"/>
    <w:rsid w:val="001B577E"/>
    <w:rsid w:val="001B5997"/>
    <w:rsid w:val="001B5B76"/>
    <w:rsid w:val="001B5D18"/>
    <w:rsid w:val="001B6745"/>
    <w:rsid w:val="001B6C67"/>
    <w:rsid w:val="001B7160"/>
    <w:rsid w:val="001B75B0"/>
    <w:rsid w:val="001B7EF0"/>
    <w:rsid w:val="001C0238"/>
    <w:rsid w:val="001C045E"/>
    <w:rsid w:val="001C060E"/>
    <w:rsid w:val="001C10C2"/>
    <w:rsid w:val="001C1A28"/>
    <w:rsid w:val="001C1C8D"/>
    <w:rsid w:val="001C233D"/>
    <w:rsid w:val="001C2A04"/>
    <w:rsid w:val="001C2ABF"/>
    <w:rsid w:val="001C3089"/>
    <w:rsid w:val="001C333B"/>
    <w:rsid w:val="001C39AD"/>
    <w:rsid w:val="001C3DE3"/>
    <w:rsid w:val="001C4190"/>
    <w:rsid w:val="001C438C"/>
    <w:rsid w:val="001C53E9"/>
    <w:rsid w:val="001C5B62"/>
    <w:rsid w:val="001C62DA"/>
    <w:rsid w:val="001D05B5"/>
    <w:rsid w:val="001D100F"/>
    <w:rsid w:val="001D18CD"/>
    <w:rsid w:val="001D1BEF"/>
    <w:rsid w:val="001D2279"/>
    <w:rsid w:val="001D23DE"/>
    <w:rsid w:val="001D2DBC"/>
    <w:rsid w:val="001D328D"/>
    <w:rsid w:val="001D37B9"/>
    <w:rsid w:val="001D3FDA"/>
    <w:rsid w:val="001D5057"/>
    <w:rsid w:val="001D5FA1"/>
    <w:rsid w:val="001D6462"/>
    <w:rsid w:val="001D70B1"/>
    <w:rsid w:val="001E0B05"/>
    <w:rsid w:val="001E12F4"/>
    <w:rsid w:val="001E146D"/>
    <w:rsid w:val="001E24D3"/>
    <w:rsid w:val="001E2D12"/>
    <w:rsid w:val="001E4190"/>
    <w:rsid w:val="001E5096"/>
    <w:rsid w:val="001E5173"/>
    <w:rsid w:val="001E5C8B"/>
    <w:rsid w:val="001E66BE"/>
    <w:rsid w:val="001F0256"/>
    <w:rsid w:val="001F0403"/>
    <w:rsid w:val="001F08AC"/>
    <w:rsid w:val="001F1046"/>
    <w:rsid w:val="001F15BC"/>
    <w:rsid w:val="001F208B"/>
    <w:rsid w:val="001F291B"/>
    <w:rsid w:val="001F33BC"/>
    <w:rsid w:val="001F3A3E"/>
    <w:rsid w:val="001F44CF"/>
    <w:rsid w:val="001F4E8F"/>
    <w:rsid w:val="001F57AF"/>
    <w:rsid w:val="001F58D5"/>
    <w:rsid w:val="001F59C9"/>
    <w:rsid w:val="001F6559"/>
    <w:rsid w:val="001F6CAA"/>
    <w:rsid w:val="001F73F0"/>
    <w:rsid w:val="00200F9B"/>
    <w:rsid w:val="002012E1"/>
    <w:rsid w:val="00202902"/>
    <w:rsid w:val="002029BD"/>
    <w:rsid w:val="00203120"/>
    <w:rsid w:val="002031C9"/>
    <w:rsid w:val="002034A5"/>
    <w:rsid w:val="0020363E"/>
    <w:rsid w:val="002038C2"/>
    <w:rsid w:val="002067FF"/>
    <w:rsid w:val="00206AAF"/>
    <w:rsid w:val="002073C0"/>
    <w:rsid w:val="002100D8"/>
    <w:rsid w:val="002102C5"/>
    <w:rsid w:val="002104AE"/>
    <w:rsid w:val="0021102D"/>
    <w:rsid w:val="00211372"/>
    <w:rsid w:val="00211E65"/>
    <w:rsid w:val="00212133"/>
    <w:rsid w:val="00214036"/>
    <w:rsid w:val="002142CE"/>
    <w:rsid w:val="00214347"/>
    <w:rsid w:val="00215155"/>
    <w:rsid w:val="002152A8"/>
    <w:rsid w:val="00217C0A"/>
    <w:rsid w:val="00221679"/>
    <w:rsid w:val="002222D1"/>
    <w:rsid w:val="00222660"/>
    <w:rsid w:val="002234AE"/>
    <w:rsid w:val="00224708"/>
    <w:rsid w:val="00224D19"/>
    <w:rsid w:val="00224DDC"/>
    <w:rsid w:val="0022631E"/>
    <w:rsid w:val="00226D04"/>
    <w:rsid w:val="002270CA"/>
    <w:rsid w:val="00227226"/>
    <w:rsid w:val="00227397"/>
    <w:rsid w:val="002275B0"/>
    <w:rsid w:val="00230090"/>
    <w:rsid w:val="00230283"/>
    <w:rsid w:val="00230A50"/>
    <w:rsid w:val="00230B7A"/>
    <w:rsid w:val="00231170"/>
    <w:rsid w:val="00231421"/>
    <w:rsid w:val="00231550"/>
    <w:rsid w:val="00232D90"/>
    <w:rsid w:val="0023326F"/>
    <w:rsid w:val="002352C7"/>
    <w:rsid w:val="002354B4"/>
    <w:rsid w:val="002363AC"/>
    <w:rsid w:val="002365E0"/>
    <w:rsid w:val="00236FA5"/>
    <w:rsid w:val="00237F6F"/>
    <w:rsid w:val="002404ED"/>
    <w:rsid w:val="00240556"/>
    <w:rsid w:val="00240840"/>
    <w:rsid w:val="0024113D"/>
    <w:rsid w:val="00241507"/>
    <w:rsid w:val="002425EE"/>
    <w:rsid w:val="0024263B"/>
    <w:rsid w:val="00242CFF"/>
    <w:rsid w:val="00242D2C"/>
    <w:rsid w:val="00243320"/>
    <w:rsid w:val="00243DD0"/>
    <w:rsid w:val="00244D8A"/>
    <w:rsid w:val="00245C52"/>
    <w:rsid w:val="00246A82"/>
    <w:rsid w:val="00246EC7"/>
    <w:rsid w:val="00247236"/>
    <w:rsid w:val="0024763F"/>
    <w:rsid w:val="002476D1"/>
    <w:rsid w:val="002479C9"/>
    <w:rsid w:val="00247C8B"/>
    <w:rsid w:val="002507FC"/>
    <w:rsid w:val="00250D77"/>
    <w:rsid w:val="00251526"/>
    <w:rsid w:val="0025175E"/>
    <w:rsid w:val="00252F00"/>
    <w:rsid w:val="00253429"/>
    <w:rsid w:val="002553F1"/>
    <w:rsid w:val="0025554F"/>
    <w:rsid w:val="00255DCC"/>
    <w:rsid w:val="0025603B"/>
    <w:rsid w:val="00257383"/>
    <w:rsid w:val="002575EB"/>
    <w:rsid w:val="0026191B"/>
    <w:rsid w:val="00261D5A"/>
    <w:rsid w:val="00261DBC"/>
    <w:rsid w:val="00264A2E"/>
    <w:rsid w:val="002661D7"/>
    <w:rsid w:val="002665B4"/>
    <w:rsid w:val="00266D06"/>
    <w:rsid w:val="002670D4"/>
    <w:rsid w:val="00267672"/>
    <w:rsid w:val="00267A7C"/>
    <w:rsid w:val="00267B8E"/>
    <w:rsid w:val="00270FD5"/>
    <w:rsid w:val="00271844"/>
    <w:rsid w:val="002746FB"/>
    <w:rsid w:val="00275002"/>
    <w:rsid w:val="002750AE"/>
    <w:rsid w:val="00275BBD"/>
    <w:rsid w:val="00275FDA"/>
    <w:rsid w:val="00275FF4"/>
    <w:rsid w:val="002764CA"/>
    <w:rsid w:val="00277530"/>
    <w:rsid w:val="0027757D"/>
    <w:rsid w:val="0027781F"/>
    <w:rsid w:val="002802A1"/>
    <w:rsid w:val="002817F7"/>
    <w:rsid w:val="00281A2C"/>
    <w:rsid w:val="00281B79"/>
    <w:rsid w:val="00281BF9"/>
    <w:rsid w:val="002821FC"/>
    <w:rsid w:val="00282338"/>
    <w:rsid w:val="00283209"/>
    <w:rsid w:val="00283C7A"/>
    <w:rsid w:val="002840AA"/>
    <w:rsid w:val="0028481D"/>
    <w:rsid w:val="002849D3"/>
    <w:rsid w:val="00284BF3"/>
    <w:rsid w:val="00284D9D"/>
    <w:rsid w:val="00285132"/>
    <w:rsid w:val="002857DD"/>
    <w:rsid w:val="00285C64"/>
    <w:rsid w:val="00286B72"/>
    <w:rsid w:val="00286C68"/>
    <w:rsid w:val="00287CBA"/>
    <w:rsid w:val="00290F68"/>
    <w:rsid w:val="00291069"/>
    <w:rsid w:val="00291934"/>
    <w:rsid w:val="00291E1A"/>
    <w:rsid w:val="00292819"/>
    <w:rsid w:val="00292D66"/>
    <w:rsid w:val="00293189"/>
    <w:rsid w:val="002937B4"/>
    <w:rsid w:val="00293908"/>
    <w:rsid w:val="00293A60"/>
    <w:rsid w:val="0029456B"/>
    <w:rsid w:val="0029502C"/>
    <w:rsid w:val="00295121"/>
    <w:rsid w:val="00295BC4"/>
    <w:rsid w:val="00296D9D"/>
    <w:rsid w:val="002A0014"/>
    <w:rsid w:val="002A0179"/>
    <w:rsid w:val="002A0305"/>
    <w:rsid w:val="002A08DE"/>
    <w:rsid w:val="002A1A64"/>
    <w:rsid w:val="002A1F54"/>
    <w:rsid w:val="002A2E28"/>
    <w:rsid w:val="002A3068"/>
    <w:rsid w:val="002A3531"/>
    <w:rsid w:val="002A3C64"/>
    <w:rsid w:val="002A41B2"/>
    <w:rsid w:val="002A4B1B"/>
    <w:rsid w:val="002A4D4E"/>
    <w:rsid w:val="002A50EF"/>
    <w:rsid w:val="002A692D"/>
    <w:rsid w:val="002A6AC7"/>
    <w:rsid w:val="002B138C"/>
    <w:rsid w:val="002B161E"/>
    <w:rsid w:val="002B1E33"/>
    <w:rsid w:val="002B26C9"/>
    <w:rsid w:val="002B3A61"/>
    <w:rsid w:val="002B46DA"/>
    <w:rsid w:val="002B56FB"/>
    <w:rsid w:val="002B59FE"/>
    <w:rsid w:val="002B5AD2"/>
    <w:rsid w:val="002B5E71"/>
    <w:rsid w:val="002B6788"/>
    <w:rsid w:val="002B6B96"/>
    <w:rsid w:val="002B7511"/>
    <w:rsid w:val="002B75B5"/>
    <w:rsid w:val="002C01D7"/>
    <w:rsid w:val="002C0523"/>
    <w:rsid w:val="002C06A5"/>
    <w:rsid w:val="002C0F6D"/>
    <w:rsid w:val="002C16F0"/>
    <w:rsid w:val="002C1F6B"/>
    <w:rsid w:val="002C2F37"/>
    <w:rsid w:val="002C3EAC"/>
    <w:rsid w:val="002C4A9D"/>
    <w:rsid w:val="002C5297"/>
    <w:rsid w:val="002C5608"/>
    <w:rsid w:val="002C59A8"/>
    <w:rsid w:val="002C604E"/>
    <w:rsid w:val="002C62FD"/>
    <w:rsid w:val="002C6CEE"/>
    <w:rsid w:val="002C72C1"/>
    <w:rsid w:val="002C748F"/>
    <w:rsid w:val="002C7847"/>
    <w:rsid w:val="002D0F06"/>
    <w:rsid w:val="002D1790"/>
    <w:rsid w:val="002D1E76"/>
    <w:rsid w:val="002D24FF"/>
    <w:rsid w:val="002D31FE"/>
    <w:rsid w:val="002D343F"/>
    <w:rsid w:val="002D39DD"/>
    <w:rsid w:val="002D3D5F"/>
    <w:rsid w:val="002D403C"/>
    <w:rsid w:val="002D4243"/>
    <w:rsid w:val="002D4A88"/>
    <w:rsid w:val="002D509E"/>
    <w:rsid w:val="002D5DCE"/>
    <w:rsid w:val="002D5EA9"/>
    <w:rsid w:val="002D6296"/>
    <w:rsid w:val="002D6E15"/>
    <w:rsid w:val="002D719A"/>
    <w:rsid w:val="002D73CB"/>
    <w:rsid w:val="002E0188"/>
    <w:rsid w:val="002E0203"/>
    <w:rsid w:val="002E0CB7"/>
    <w:rsid w:val="002E0DF5"/>
    <w:rsid w:val="002E0F7B"/>
    <w:rsid w:val="002E12A5"/>
    <w:rsid w:val="002E12C4"/>
    <w:rsid w:val="002E23F9"/>
    <w:rsid w:val="002E243C"/>
    <w:rsid w:val="002E250C"/>
    <w:rsid w:val="002E2547"/>
    <w:rsid w:val="002E2A53"/>
    <w:rsid w:val="002E2BF0"/>
    <w:rsid w:val="002E344F"/>
    <w:rsid w:val="002E382B"/>
    <w:rsid w:val="002E3D2B"/>
    <w:rsid w:val="002E4494"/>
    <w:rsid w:val="002E4658"/>
    <w:rsid w:val="002E4CEA"/>
    <w:rsid w:val="002E5869"/>
    <w:rsid w:val="002E58EF"/>
    <w:rsid w:val="002E6F8C"/>
    <w:rsid w:val="002E7604"/>
    <w:rsid w:val="002E7A4F"/>
    <w:rsid w:val="002F1034"/>
    <w:rsid w:val="002F1173"/>
    <w:rsid w:val="002F1183"/>
    <w:rsid w:val="002F224A"/>
    <w:rsid w:val="002F2C2A"/>
    <w:rsid w:val="002F340F"/>
    <w:rsid w:val="002F357F"/>
    <w:rsid w:val="002F3E06"/>
    <w:rsid w:val="002F49B4"/>
    <w:rsid w:val="002F4BBE"/>
    <w:rsid w:val="002F4EC9"/>
    <w:rsid w:val="002F59E9"/>
    <w:rsid w:val="002F61C4"/>
    <w:rsid w:val="002F67BA"/>
    <w:rsid w:val="00300D51"/>
    <w:rsid w:val="003016D8"/>
    <w:rsid w:val="00302FD8"/>
    <w:rsid w:val="00305411"/>
    <w:rsid w:val="00305E54"/>
    <w:rsid w:val="003066DC"/>
    <w:rsid w:val="0030683B"/>
    <w:rsid w:val="00307095"/>
    <w:rsid w:val="003071C6"/>
    <w:rsid w:val="00310447"/>
    <w:rsid w:val="00311545"/>
    <w:rsid w:val="003119F3"/>
    <w:rsid w:val="00311ADB"/>
    <w:rsid w:val="00311F98"/>
    <w:rsid w:val="00312EEA"/>
    <w:rsid w:val="0031428B"/>
    <w:rsid w:val="003142F6"/>
    <w:rsid w:val="00314B0E"/>
    <w:rsid w:val="003150E5"/>
    <w:rsid w:val="003159FD"/>
    <w:rsid w:val="0031640C"/>
    <w:rsid w:val="00317927"/>
    <w:rsid w:val="00317BE0"/>
    <w:rsid w:val="00320B21"/>
    <w:rsid w:val="00320F50"/>
    <w:rsid w:val="0032110E"/>
    <w:rsid w:val="00321DE2"/>
    <w:rsid w:val="00321E8F"/>
    <w:rsid w:val="00322180"/>
    <w:rsid w:val="003232BD"/>
    <w:rsid w:val="00324691"/>
    <w:rsid w:val="00324D0C"/>
    <w:rsid w:val="00324F5C"/>
    <w:rsid w:val="003264EF"/>
    <w:rsid w:val="00326504"/>
    <w:rsid w:val="00327037"/>
    <w:rsid w:val="00327762"/>
    <w:rsid w:val="00327F0E"/>
    <w:rsid w:val="003300F0"/>
    <w:rsid w:val="0033085C"/>
    <w:rsid w:val="00331C2F"/>
    <w:rsid w:val="00331DF9"/>
    <w:rsid w:val="0033236A"/>
    <w:rsid w:val="003326EA"/>
    <w:rsid w:val="0033308A"/>
    <w:rsid w:val="00333200"/>
    <w:rsid w:val="003332E8"/>
    <w:rsid w:val="003337DE"/>
    <w:rsid w:val="00333ADE"/>
    <w:rsid w:val="00334188"/>
    <w:rsid w:val="00334A2C"/>
    <w:rsid w:val="00334A76"/>
    <w:rsid w:val="00337D95"/>
    <w:rsid w:val="00340738"/>
    <w:rsid w:val="00341022"/>
    <w:rsid w:val="00342129"/>
    <w:rsid w:val="003424BE"/>
    <w:rsid w:val="003437D9"/>
    <w:rsid w:val="003439F3"/>
    <w:rsid w:val="00343D30"/>
    <w:rsid w:val="00344B09"/>
    <w:rsid w:val="00344DF9"/>
    <w:rsid w:val="003454A9"/>
    <w:rsid w:val="00346DEA"/>
    <w:rsid w:val="00347E7B"/>
    <w:rsid w:val="00350232"/>
    <w:rsid w:val="003503B1"/>
    <w:rsid w:val="00350625"/>
    <w:rsid w:val="00350F44"/>
    <w:rsid w:val="00352812"/>
    <w:rsid w:val="00352928"/>
    <w:rsid w:val="00352C65"/>
    <w:rsid w:val="003530F2"/>
    <w:rsid w:val="00353371"/>
    <w:rsid w:val="00353B93"/>
    <w:rsid w:val="00353F7D"/>
    <w:rsid w:val="00355111"/>
    <w:rsid w:val="0035566E"/>
    <w:rsid w:val="003571EB"/>
    <w:rsid w:val="00357A50"/>
    <w:rsid w:val="003600BB"/>
    <w:rsid w:val="00362971"/>
    <w:rsid w:val="00363080"/>
    <w:rsid w:val="003638EF"/>
    <w:rsid w:val="00364C27"/>
    <w:rsid w:val="003650DA"/>
    <w:rsid w:val="003656BA"/>
    <w:rsid w:val="0036593C"/>
    <w:rsid w:val="00366516"/>
    <w:rsid w:val="0036677F"/>
    <w:rsid w:val="00366A8A"/>
    <w:rsid w:val="003676CA"/>
    <w:rsid w:val="00367CE3"/>
    <w:rsid w:val="00367D4D"/>
    <w:rsid w:val="003706B9"/>
    <w:rsid w:val="003711DA"/>
    <w:rsid w:val="00371C29"/>
    <w:rsid w:val="003725A6"/>
    <w:rsid w:val="00373E2F"/>
    <w:rsid w:val="0037436E"/>
    <w:rsid w:val="00374375"/>
    <w:rsid w:val="00376834"/>
    <w:rsid w:val="00376895"/>
    <w:rsid w:val="00376B03"/>
    <w:rsid w:val="00377B5F"/>
    <w:rsid w:val="00377EC1"/>
    <w:rsid w:val="0038012F"/>
    <w:rsid w:val="003811D8"/>
    <w:rsid w:val="003825D5"/>
    <w:rsid w:val="00382A90"/>
    <w:rsid w:val="00382CB0"/>
    <w:rsid w:val="0038383D"/>
    <w:rsid w:val="003838D3"/>
    <w:rsid w:val="003844EB"/>
    <w:rsid w:val="003847FC"/>
    <w:rsid w:val="003861E3"/>
    <w:rsid w:val="00386F7F"/>
    <w:rsid w:val="00387183"/>
    <w:rsid w:val="00387350"/>
    <w:rsid w:val="00387A59"/>
    <w:rsid w:val="0039119C"/>
    <w:rsid w:val="00391A5B"/>
    <w:rsid w:val="00391D18"/>
    <w:rsid w:val="00392C2C"/>
    <w:rsid w:val="00392CAB"/>
    <w:rsid w:val="0039378B"/>
    <w:rsid w:val="00393C6A"/>
    <w:rsid w:val="00393F21"/>
    <w:rsid w:val="00394D34"/>
    <w:rsid w:val="00395527"/>
    <w:rsid w:val="00395A78"/>
    <w:rsid w:val="0039610C"/>
    <w:rsid w:val="00396E56"/>
    <w:rsid w:val="003A178D"/>
    <w:rsid w:val="003A35B1"/>
    <w:rsid w:val="003A3A53"/>
    <w:rsid w:val="003A3DBD"/>
    <w:rsid w:val="003A4FFD"/>
    <w:rsid w:val="003A5001"/>
    <w:rsid w:val="003A5D96"/>
    <w:rsid w:val="003A6EEB"/>
    <w:rsid w:val="003A7152"/>
    <w:rsid w:val="003A7DDB"/>
    <w:rsid w:val="003B0970"/>
    <w:rsid w:val="003B09A6"/>
    <w:rsid w:val="003B0C89"/>
    <w:rsid w:val="003B152B"/>
    <w:rsid w:val="003B187C"/>
    <w:rsid w:val="003B1985"/>
    <w:rsid w:val="003B1BDE"/>
    <w:rsid w:val="003B1BED"/>
    <w:rsid w:val="003B1CF1"/>
    <w:rsid w:val="003B2643"/>
    <w:rsid w:val="003B26BC"/>
    <w:rsid w:val="003B2D2E"/>
    <w:rsid w:val="003B3254"/>
    <w:rsid w:val="003B330F"/>
    <w:rsid w:val="003B4008"/>
    <w:rsid w:val="003B4472"/>
    <w:rsid w:val="003B5046"/>
    <w:rsid w:val="003B5398"/>
    <w:rsid w:val="003B599B"/>
    <w:rsid w:val="003B6101"/>
    <w:rsid w:val="003B6292"/>
    <w:rsid w:val="003B69E7"/>
    <w:rsid w:val="003B77FC"/>
    <w:rsid w:val="003B7C92"/>
    <w:rsid w:val="003B7E46"/>
    <w:rsid w:val="003B7FD3"/>
    <w:rsid w:val="003C0AB7"/>
    <w:rsid w:val="003C0FCF"/>
    <w:rsid w:val="003C1588"/>
    <w:rsid w:val="003C17B9"/>
    <w:rsid w:val="003C1AC9"/>
    <w:rsid w:val="003C2A35"/>
    <w:rsid w:val="003C391B"/>
    <w:rsid w:val="003C42BF"/>
    <w:rsid w:val="003C547D"/>
    <w:rsid w:val="003C55C8"/>
    <w:rsid w:val="003C5DD4"/>
    <w:rsid w:val="003C61CA"/>
    <w:rsid w:val="003C66B5"/>
    <w:rsid w:val="003C70D1"/>
    <w:rsid w:val="003C7887"/>
    <w:rsid w:val="003D08E7"/>
    <w:rsid w:val="003D1781"/>
    <w:rsid w:val="003D1980"/>
    <w:rsid w:val="003D21C3"/>
    <w:rsid w:val="003D376F"/>
    <w:rsid w:val="003D3FD7"/>
    <w:rsid w:val="003D4836"/>
    <w:rsid w:val="003D5D6B"/>
    <w:rsid w:val="003D63E4"/>
    <w:rsid w:val="003D648C"/>
    <w:rsid w:val="003D65DF"/>
    <w:rsid w:val="003D6F12"/>
    <w:rsid w:val="003D7105"/>
    <w:rsid w:val="003D7369"/>
    <w:rsid w:val="003E1F20"/>
    <w:rsid w:val="003E21F0"/>
    <w:rsid w:val="003E2A98"/>
    <w:rsid w:val="003E3448"/>
    <w:rsid w:val="003E3FF4"/>
    <w:rsid w:val="003E4685"/>
    <w:rsid w:val="003E5511"/>
    <w:rsid w:val="003E6D2D"/>
    <w:rsid w:val="003E78F1"/>
    <w:rsid w:val="003E7FEE"/>
    <w:rsid w:val="003F003F"/>
    <w:rsid w:val="003F021B"/>
    <w:rsid w:val="003F21EF"/>
    <w:rsid w:val="003F24B2"/>
    <w:rsid w:val="003F2502"/>
    <w:rsid w:val="003F2735"/>
    <w:rsid w:val="003F5D88"/>
    <w:rsid w:val="003F5EB7"/>
    <w:rsid w:val="003F6D9D"/>
    <w:rsid w:val="003F77BA"/>
    <w:rsid w:val="004006B4"/>
    <w:rsid w:val="00401CBC"/>
    <w:rsid w:val="00403CA3"/>
    <w:rsid w:val="004040AC"/>
    <w:rsid w:val="00404211"/>
    <w:rsid w:val="00404258"/>
    <w:rsid w:val="00404E84"/>
    <w:rsid w:val="0040506C"/>
    <w:rsid w:val="004053F9"/>
    <w:rsid w:val="004068A4"/>
    <w:rsid w:val="00406A6A"/>
    <w:rsid w:val="00406E51"/>
    <w:rsid w:val="00410257"/>
    <w:rsid w:val="004112DE"/>
    <w:rsid w:val="00413D80"/>
    <w:rsid w:val="00413ED3"/>
    <w:rsid w:val="004140EC"/>
    <w:rsid w:val="004141A8"/>
    <w:rsid w:val="0041479A"/>
    <w:rsid w:val="004158BB"/>
    <w:rsid w:val="00415A03"/>
    <w:rsid w:val="0041748C"/>
    <w:rsid w:val="0041779F"/>
    <w:rsid w:val="00417BA6"/>
    <w:rsid w:val="00417D06"/>
    <w:rsid w:val="00420CF9"/>
    <w:rsid w:val="004226C4"/>
    <w:rsid w:val="00422F0F"/>
    <w:rsid w:val="00423148"/>
    <w:rsid w:val="00423917"/>
    <w:rsid w:val="00423B84"/>
    <w:rsid w:val="00423E56"/>
    <w:rsid w:val="00424DDD"/>
    <w:rsid w:val="00426E99"/>
    <w:rsid w:val="00427186"/>
    <w:rsid w:val="00427D1B"/>
    <w:rsid w:val="00430144"/>
    <w:rsid w:val="00430BBA"/>
    <w:rsid w:val="00430C5C"/>
    <w:rsid w:val="004310BF"/>
    <w:rsid w:val="0043117A"/>
    <w:rsid w:val="00431211"/>
    <w:rsid w:val="004318FE"/>
    <w:rsid w:val="00431920"/>
    <w:rsid w:val="00431BFC"/>
    <w:rsid w:val="00431F78"/>
    <w:rsid w:val="0043288F"/>
    <w:rsid w:val="00432D7C"/>
    <w:rsid w:val="00433E0A"/>
    <w:rsid w:val="00434A1E"/>
    <w:rsid w:val="00434E68"/>
    <w:rsid w:val="00436B79"/>
    <w:rsid w:val="0043780F"/>
    <w:rsid w:val="00437CE8"/>
    <w:rsid w:val="0044051B"/>
    <w:rsid w:val="00440F18"/>
    <w:rsid w:val="00440F81"/>
    <w:rsid w:val="00442BC4"/>
    <w:rsid w:val="00442F70"/>
    <w:rsid w:val="0044378F"/>
    <w:rsid w:val="00443951"/>
    <w:rsid w:val="00443D41"/>
    <w:rsid w:val="00444043"/>
    <w:rsid w:val="00444376"/>
    <w:rsid w:val="00444B16"/>
    <w:rsid w:val="00444CDF"/>
    <w:rsid w:val="004454E6"/>
    <w:rsid w:val="004460ED"/>
    <w:rsid w:val="00446134"/>
    <w:rsid w:val="00447825"/>
    <w:rsid w:val="00447B6D"/>
    <w:rsid w:val="004507B2"/>
    <w:rsid w:val="00451760"/>
    <w:rsid w:val="004523E4"/>
    <w:rsid w:val="00452E57"/>
    <w:rsid w:val="00452FCE"/>
    <w:rsid w:val="004530B1"/>
    <w:rsid w:val="004530ED"/>
    <w:rsid w:val="00453E2D"/>
    <w:rsid w:val="00454413"/>
    <w:rsid w:val="004547E1"/>
    <w:rsid w:val="004547FA"/>
    <w:rsid w:val="00454FC1"/>
    <w:rsid w:val="00456582"/>
    <w:rsid w:val="004570F8"/>
    <w:rsid w:val="004572CE"/>
    <w:rsid w:val="00457900"/>
    <w:rsid w:val="00457E5C"/>
    <w:rsid w:val="004601F9"/>
    <w:rsid w:val="004603A7"/>
    <w:rsid w:val="00460A9D"/>
    <w:rsid w:val="004635B6"/>
    <w:rsid w:val="004637E0"/>
    <w:rsid w:val="0046454E"/>
    <w:rsid w:val="00465181"/>
    <w:rsid w:val="00465733"/>
    <w:rsid w:val="00465B31"/>
    <w:rsid w:val="004662D0"/>
    <w:rsid w:val="00466739"/>
    <w:rsid w:val="00466ACA"/>
    <w:rsid w:val="00467E1B"/>
    <w:rsid w:val="004707C4"/>
    <w:rsid w:val="00470832"/>
    <w:rsid w:val="00470861"/>
    <w:rsid w:val="00470B9E"/>
    <w:rsid w:val="00470D1F"/>
    <w:rsid w:val="00471127"/>
    <w:rsid w:val="004714D4"/>
    <w:rsid w:val="00471C03"/>
    <w:rsid w:val="0047335A"/>
    <w:rsid w:val="004746C5"/>
    <w:rsid w:val="00474B55"/>
    <w:rsid w:val="00475350"/>
    <w:rsid w:val="00476C03"/>
    <w:rsid w:val="004774EA"/>
    <w:rsid w:val="00480A27"/>
    <w:rsid w:val="004827DB"/>
    <w:rsid w:val="00482D86"/>
    <w:rsid w:val="004836EB"/>
    <w:rsid w:val="0048562F"/>
    <w:rsid w:val="004856E1"/>
    <w:rsid w:val="004858B8"/>
    <w:rsid w:val="0048762F"/>
    <w:rsid w:val="0049007A"/>
    <w:rsid w:val="00490270"/>
    <w:rsid w:val="00490385"/>
    <w:rsid w:val="00490A26"/>
    <w:rsid w:val="00490A66"/>
    <w:rsid w:val="0049137E"/>
    <w:rsid w:val="0049310F"/>
    <w:rsid w:val="00493CF9"/>
    <w:rsid w:val="00494317"/>
    <w:rsid w:val="00494CD9"/>
    <w:rsid w:val="00495AD5"/>
    <w:rsid w:val="00495C45"/>
    <w:rsid w:val="004A04F6"/>
    <w:rsid w:val="004A13EC"/>
    <w:rsid w:val="004A2EEE"/>
    <w:rsid w:val="004A3D4F"/>
    <w:rsid w:val="004A44B9"/>
    <w:rsid w:val="004A4EA2"/>
    <w:rsid w:val="004A568D"/>
    <w:rsid w:val="004A6E59"/>
    <w:rsid w:val="004A740D"/>
    <w:rsid w:val="004A7889"/>
    <w:rsid w:val="004B04C4"/>
    <w:rsid w:val="004B1A14"/>
    <w:rsid w:val="004B270A"/>
    <w:rsid w:val="004B318E"/>
    <w:rsid w:val="004B32B6"/>
    <w:rsid w:val="004B3568"/>
    <w:rsid w:val="004B3810"/>
    <w:rsid w:val="004B4302"/>
    <w:rsid w:val="004B47D0"/>
    <w:rsid w:val="004B4CCE"/>
    <w:rsid w:val="004B4F90"/>
    <w:rsid w:val="004B64C4"/>
    <w:rsid w:val="004B719A"/>
    <w:rsid w:val="004B7406"/>
    <w:rsid w:val="004C0D25"/>
    <w:rsid w:val="004C192A"/>
    <w:rsid w:val="004C1E8D"/>
    <w:rsid w:val="004C21AB"/>
    <w:rsid w:val="004C2380"/>
    <w:rsid w:val="004C32BB"/>
    <w:rsid w:val="004C3384"/>
    <w:rsid w:val="004C3474"/>
    <w:rsid w:val="004C3EAB"/>
    <w:rsid w:val="004C6616"/>
    <w:rsid w:val="004C6C7F"/>
    <w:rsid w:val="004C7EBB"/>
    <w:rsid w:val="004D003C"/>
    <w:rsid w:val="004D0A44"/>
    <w:rsid w:val="004D1164"/>
    <w:rsid w:val="004D12B4"/>
    <w:rsid w:val="004D14FB"/>
    <w:rsid w:val="004D3790"/>
    <w:rsid w:val="004D390A"/>
    <w:rsid w:val="004D48B6"/>
    <w:rsid w:val="004D50C5"/>
    <w:rsid w:val="004D59B6"/>
    <w:rsid w:val="004D5ECA"/>
    <w:rsid w:val="004D693A"/>
    <w:rsid w:val="004E09F5"/>
    <w:rsid w:val="004E17AD"/>
    <w:rsid w:val="004E32C4"/>
    <w:rsid w:val="004E386A"/>
    <w:rsid w:val="004E4030"/>
    <w:rsid w:val="004E459A"/>
    <w:rsid w:val="004E4C6B"/>
    <w:rsid w:val="004E6DF4"/>
    <w:rsid w:val="004E74B3"/>
    <w:rsid w:val="004E77A0"/>
    <w:rsid w:val="004F08A2"/>
    <w:rsid w:val="004F1DDA"/>
    <w:rsid w:val="004F252D"/>
    <w:rsid w:val="004F4941"/>
    <w:rsid w:val="004F514D"/>
    <w:rsid w:val="004F534F"/>
    <w:rsid w:val="004F683E"/>
    <w:rsid w:val="00500492"/>
    <w:rsid w:val="0050068B"/>
    <w:rsid w:val="00500A08"/>
    <w:rsid w:val="00500BAB"/>
    <w:rsid w:val="005042FB"/>
    <w:rsid w:val="005048CC"/>
    <w:rsid w:val="0050639A"/>
    <w:rsid w:val="005074DD"/>
    <w:rsid w:val="00507991"/>
    <w:rsid w:val="00507DD8"/>
    <w:rsid w:val="00507EC3"/>
    <w:rsid w:val="00507F57"/>
    <w:rsid w:val="005100C7"/>
    <w:rsid w:val="00510392"/>
    <w:rsid w:val="00511970"/>
    <w:rsid w:val="00512972"/>
    <w:rsid w:val="00512D9D"/>
    <w:rsid w:val="00513A0F"/>
    <w:rsid w:val="005164E5"/>
    <w:rsid w:val="0051690D"/>
    <w:rsid w:val="00516CB4"/>
    <w:rsid w:val="00517425"/>
    <w:rsid w:val="00517C2B"/>
    <w:rsid w:val="00520328"/>
    <w:rsid w:val="0052040F"/>
    <w:rsid w:val="005213EC"/>
    <w:rsid w:val="00523683"/>
    <w:rsid w:val="00524AAE"/>
    <w:rsid w:val="00525003"/>
    <w:rsid w:val="00525366"/>
    <w:rsid w:val="00526EF0"/>
    <w:rsid w:val="00530411"/>
    <w:rsid w:val="005304F2"/>
    <w:rsid w:val="00531105"/>
    <w:rsid w:val="00531137"/>
    <w:rsid w:val="0053183A"/>
    <w:rsid w:val="0053225B"/>
    <w:rsid w:val="00533085"/>
    <w:rsid w:val="00533949"/>
    <w:rsid w:val="0053403C"/>
    <w:rsid w:val="00535554"/>
    <w:rsid w:val="00535E6A"/>
    <w:rsid w:val="00536748"/>
    <w:rsid w:val="00536BAC"/>
    <w:rsid w:val="00536D4F"/>
    <w:rsid w:val="00540525"/>
    <w:rsid w:val="0054096B"/>
    <w:rsid w:val="00540B76"/>
    <w:rsid w:val="005415E5"/>
    <w:rsid w:val="00541767"/>
    <w:rsid w:val="00541F55"/>
    <w:rsid w:val="00544047"/>
    <w:rsid w:val="00544319"/>
    <w:rsid w:val="00545FCE"/>
    <w:rsid w:val="00546225"/>
    <w:rsid w:val="005475B4"/>
    <w:rsid w:val="00550215"/>
    <w:rsid w:val="00552526"/>
    <w:rsid w:val="005533D9"/>
    <w:rsid w:val="00554F32"/>
    <w:rsid w:val="005551D7"/>
    <w:rsid w:val="005561E3"/>
    <w:rsid w:val="005571A5"/>
    <w:rsid w:val="005607C3"/>
    <w:rsid w:val="005613F5"/>
    <w:rsid w:val="005615D9"/>
    <w:rsid w:val="00561D54"/>
    <w:rsid w:val="005622C3"/>
    <w:rsid w:val="00562E43"/>
    <w:rsid w:val="00562FA0"/>
    <w:rsid w:val="00563B19"/>
    <w:rsid w:val="0056428C"/>
    <w:rsid w:val="00565DC1"/>
    <w:rsid w:val="0056708A"/>
    <w:rsid w:val="0056723B"/>
    <w:rsid w:val="00567D26"/>
    <w:rsid w:val="00567E1C"/>
    <w:rsid w:val="005700A6"/>
    <w:rsid w:val="0057010E"/>
    <w:rsid w:val="00570467"/>
    <w:rsid w:val="00570963"/>
    <w:rsid w:val="0057125F"/>
    <w:rsid w:val="00571AD2"/>
    <w:rsid w:val="00571B04"/>
    <w:rsid w:val="00571E90"/>
    <w:rsid w:val="005724B4"/>
    <w:rsid w:val="0057337E"/>
    <w:rsid w:val="00573D74"/>
    <w:rsid w:val="00573EE5"/>
    <w:rsid w:val="00574439"/>
    <w:rsid w:val="00574503"/>
    <w:rsid w:val="00574F74"/>
    <w:rsid w:val="00575BDF"/>
    <w:rsid w:val="00575C03"/>
    <w:rsid w:val="00580779"/>
    <w:rsid w:val="00581761"/>
    <w:rsid w:val="00581844"/>
    <w:rsid w:val="00582846"/>
    <w:rsid w:val="0058298A"/>
    <w:rsid w:val="00582E16"/>
    <w:rsid w:val="00583C9D"/>
    <w:rsid w:val="0058445F"/>
    <w:rsid w:val="00585A56"/>
    <w:rsid w:val="005869E7"/>
    <w:rsid w:val="00587202"/>
    <w:rsid w:val="0059013D"/>
    <w:rsid w:val="0059053A"/>
    <w:rsid w:val="00591D03"/>
    <w:rsid w:val="00591EAC"/>
    <w:rsid w:val="00591ECE"/>
    <w:rsid w:val="0059259A"/>
    <w:rsid w:val="00593D96"/>
    <w:rsid w:val="005941CD"/>
    <w:rsid w:val="005949AC"/>
    <w:rsid w:val="00594C0A"/>
    <w:rsid w:val="00595BF7"/>
    <w:rsid w:val="00596A8A"/>
    <w:rsid w:val="00596C32"/>
    <w:rsid w:val="00596CFF"/>
    <w:rsid w:val="00597433"/>
    <w:rsid w:val="00597647"/>
    <w:rsid w:val="00597752"/>
    <w:rsid w:val="005A04E3"/>
    <w:rsid w:val="005A0690"/>
    <w:rsid w:val="005A10EF"/>
    <w:rsid w:val="005A1133"/>
    <w:rsid w:val="005A115E"/>
    <w:rsid w:val="005A16FD"/>
    <w:rsid w:val="005A1A26"/>
    <w:rsid w:val="005A241E"/>
    <w:rsid w:val="005A2425"/>
    <w:rsid w:val="005A2705"/>
    <w:rsid w:val="005A34B4"/>
    <w:rsid w:val="005A4B76"/>
    <w:rsid w:val="005A5524"/>
    <w:rsid w:val="005A5C18"/>
    <w:rsid w:val="005A5D62"/>
    <w:rsid w:val="005A5FD3"/>
    <w:rsid w:val="005A6310"/>
    <w:rsid w:val="005A6724"/>
    <w:rsid w:val="005A77BC"/>
    <w:rsid w:val="005B0A80"/>
    <w:rsid w:val="005B2636"/>
    <w:rsid w:val="005B31A3"/>
    <w:rsid w:val="005B377A"/>
    <w:rsid w:val="005B37DD"/>
    <w:rsid w:val="005B37FE"/>
    <w:rsid w:val="005B3AF1"/>
    <w:rsid w:val="005B414A"/>
    <w:rsid w:val="005B4165"/>
    <w:rsid w:val="005B436D"/>
    <w:rsid w:val="005B4382"/>
    <w:rsid w:val="005B46DE"/>
    <w:rsid w:val="005B66A2"/>
    <w:rsid w:val="005C07BE"/>
    <w:rsid w:val="005C0A93"/>
    <w:rsid w:val="005C2274"/>
    <w:rsid w:val="005C3220"/>
    <w:rsid w:val="005C3625"/>
    <w:rsid w:val="005C43CE"/>
    <w:rsid w:val="005C4561"/>
    <w:rsid w:val="005C47EE"/>
    <w:rsid w:val="005C5DFE"/>
    <w:rsid w:val="005C6292"/>
    <w:rsid w:val="005C6C8E"/>
    <w:rsid w:val="005C6EFC"/>
    <w:rsid w:val="005C713E"/>
    <w:rsid w:val="005C7407"/>
    <w:rsid w:val="005C7DDA"/>
    <w:rsid w:val="005D0A7A"/>
    <w:rsid w:val="005D1991"/>
    <w:rsid w:val="005D1D38"/>
    <w:rsid w:val="005D1F79"/>
    <w:rsid w:val="005D2173"/>
    <w:rsid w:val="005D2747"/>
    <w:rsid w:val="005D303B"/>
    <w:rsid w:val="005D4AAC"/>
    <w:rsid w:val="005D5408"/>
    <w:rsid w:val="005D551D"/>
    <w:rsid w:val="005D5526"/>
    <w:rsid w:val="005D5663"/>
    <w:rsid w:val="005D5F0C"/>
    <w:rsid w:val="005D6203"/>
    <w:rsid w:val="005E0C6F"/>
    <w:rsid w:val="005E0FAF"/>
    <w:rsid w:val="005E0FB6"/>
    <w:rsid w:val="005E1D5D"/>
    <w:rsid w:val="005E24ED"/>
    <w:rsid w:val="005E29C3"/>
    <w:rsid w:val="005E3432"/>
    <w:rsid w:val="005E426F"/>
    <w:rsid w:val="005E42E8"/>
    <w:rsid w:val="005E532E"/>
    <w:rsid w:val="005E5ABD"/>
    <w:rsid w:val="005E695A"/>
    <w:rsid w:val="005E71C4"/>
    <w:rsid w:val="005E7CC0"/>
    <w:rsid w:val="005E7D65"/>
    <w:rsid w:val="005F0027"/>
    <w:rsid w:val="005F07E2"/>
    <w:rsid w:val="005F2015"/>
    <w:rsid w:val="005F2D34"/>
    <w:rsid w:val="005F3290"/>
    <w:rsid w:val="005F389A"/>
    <w:rsid w:val="005F63A5"/>
    <w:rsid w:val="005F6D0C"/>
    <w:rsid w:val="006013ED"/>
    <w:rsid w:val="00601FAA"/>
    <w:rsid w:val="0060261C"/>
    <w:rsid w:val="00603302"/>
    <w:rsid w:val="00605A1A"/>
    <w:rsid w:val="0060671B"/>
    <w:rsid w:val="0060713E"/>
    <w:rsid w:val="00607615"/>
    <w:rsid w:val="00607A5B"/>
    <w:rsid w:val="00607B93"/>
    <w:rsid w:val="00607D6C"/>
    <w:rsid w:val="00607F7A"/>
    <w:rsid w:val="00610651"/>
    <w:rsid w:val="00611261"/>
    <w:rsid w:val="00611AAD"/>
    <w:rsid w:val="00612C76"/>
    <w:rsid w:val="00612D86"/>
    <w:rsid w:val="006139B8"/>
    <w:rsid w:val="00614958"/>
    <w:rsid w:val="006149CD"/>
    <w:rsid w:val="00614EDA"/>
    <w:rsid w:val="00614EEA"/>
    <w:rsid w:val="0061539A"/>
    <w:rsid w:val="006154D0"/>
    <w:rsid w:val="00615864"/>
    <w:rsid w:val="006165E0"/>
    <w:rsid w:val="00616A0E"/>
    <w:rsid w:val="00616D69"/>
    <w:rsid w:val="00620162"/>
    <w:rsid w:val="0062069B"/>
    <w:rsid w:val="00620946"/>
    <w:rsid w:val="00621485"/>
    <w:rsid w:val="006220C2"/>
    <w:rsid w:val="00622131"/>
    <w:rsid w:val="006232C0"/>
    <w:rsid w:val="0062418C"/>
    <w:rsid w:val="006252D2"/>
    <w:rsid w:val="0062590E"/>
    <w:rsid w:val="00625AA5"/>
    <w:rsid w:val="0062622A"/>
    <w:rsid w:val="00626317"/>
    <w:rsid w:val="0062640F"/>
    <w:rsid w:val="006266ED"/>
    <w:rsid w:val="00627082"/>
    <w:rsid w:val="00627150"/>
    <w:rsid w:val="006278C1"/>
    <w:rsid w:val="00632051"/>
    <w:rsid w:val="0063469D"/>
    <w:rsid w:val="006348A6"/>
    <w:rsid w:val="0063562B"/>
    <w:rsid w:val="006360A1"/>
    <w:rsid w:val="006379CA"/>
    <w:rsid w:val="00640415"/>
    <w:rsid w:val="00640513"/>
    <w:rsid w:val="00640913"/>
    <w:rsid w:val="00641537"/>
    <w:rsid w:val="006416BC"/>
    <w:rsid w:val="00641B67"/>
    <w:rsid w:val="006420EB"/>
    <w:rsid w:val="00642E33"/>
    <w:rsid w:val="0064484A"/>
    <w:rsid w:val="00644AE7"/>
    <w:rsid w:val="0064577C"/>
    <w:rsid w:val="00646C61"/>
    <w:rsid w:val="00646D89"/>
    <w:rsid w:val="00647741"/>
    <w:rsid w:val="006504AA"/>
    <w:rsid w:val="00650D31"/>
    <w:rsid w:val="00650F89"/>
    <w:rsid w:val="00651014"/>
    <w:rsid w:val="00653C9D"/>
    <w:rsid w:val="00654131"/>
    <w:rsid w:val="0065441E"/>
    <w:rsid w:val="006546D7"/>
    <w:rsid w:val="00654CA4"/>
    <w:rsid w:val="0065668C"/>
    <w:rsid w:val="00657E96"/>
    <w:rsid w:val="006605F1"/>
    <w:rsid w:val="00660FCF"/>
    <w:rsid w:val="0066135A"/>
    <w:rsid w:val="006613EF"/>
    <w:rsid w:val="00662F1F"/>
    <w:rsid w:val="0066333F"/>
    <w:rsid w:val="00663671"/>
    <w:rsid w:val="00663DA0"/>
    <w:rsid w:val="00665271"/>
    <w:rsid w:val="0066561A"/>
    <w:rsid w:val="006657BB"/>
    <w:rsid w:val="00666343"/>
    <w:rsid w:val="006668B8"/>
    <w:rsid w:val="00666EB7"/>
    <w:rsid w:val="006673A7"/>
    <w:rsid w:val="00667804"/>
    <w:rsid w:val="0067060A"/>
    <w:rsid w:val="00670625"/>
    <w:rsid w:val="00670663"/>
    <w:rsid w:val="00671185"/>
    <w:rsid w:val="00671260"/>
    <w:rsid w:val="006718F1"/>
    <w:rsid w:val="00672A88"/>
    <w:rsid w:val="0067329E"/>
    <w:rsid w:val="00673520"/>
    <w:rsid w:val="006736F7"/>
    <w:rsid w:val="00673DE9"/>
    <w:rsid w:val="00674263"/>
    <w:rsid w:val="00676038"/>
    <w:rsid w:val="006767B5"/>
    <w:rsid w:val="00676D63"/>
    <w:rsid w:val="00677117"/>
    <w:rsid w:val="0067758A"/>
    <w:rsid w:val="006775A5"/>
    <w:rsid w:val="00677731"/>
    <w:rsid w:val="00677C5B"/>
    <w:rsid w:val="00677FAE"/>
    <w:rsid w:val="006804BD"/>
    <w:rsid w:val="00680740"/>
    <w:rsid w:val="006811AF"/>
    <w:rsid w:val="006817FB"/>
    <w:rsid w:val="00681956"/>
    <w:rsid w:val="00681B6E"/>
    <w:rsid w:val="006821FD"/>
    <w:rsid w:val="006827B5"/>
    <w:rsid w:val="00683001"/>
    <w:rsid w:val="006830F7"/>
    <w:rsid w:val="006831A5"/>
    <w:rsid w:val="00683599"/>
    <w:rsid w:val="006838B1"/>
    <w:rsid w:val="0068424C"/>
    <w:rsid w:val="00684EBF"/>
    <w:rsid w:val="00685126"/>
    <w:rsid w:val="00685919"/>
    <w:rsid w:val="006860AD"/>
    <w:rsid w:val="0068700D"/>
    <w:rsid w:val="0068753A"/>
    <w:rsid w:val="006875E8"/>
    <w:rsid w:val="00687A5D"/>
    <w:rsid w:val="00687BFE"/>
    <w:rsid w:val="00687CFC"/>
    <w:rsid w:val="006900EF"/>
    <w:rsid w:val="0069025B"/>
    <w:rsid w:val="0069040F"/>
    <w:rsid w:val="0069051E"/>
    <w:rsid w:val="0069190E"/>
    <w:rsid w:val="00691F65"/>
    <w:rsid w:val="00692388"/>
    <w:rsid w:val="00693263"/>
    <w:rsid w:val="00693370"/>
    <w:rsid w:val="006934BC"/>
    <w:rsid w:val="00693577"/>
    <w:rsid w:val="00693A17"/>
    <w:rsid w:val="006940D1"/>
    <w:rsid w:val="00694D8C"/>
    <w:rsid w:val="00695592"/>
    <w:rsid w:val="00695E27"/>
    <w:rsid w:val="00696156"/>
    <w:rsid w:val="0069626B"/>
    <w:rsid w:val="00696724"/>
    <w:rsid w:val="00697014"/>
    <w:rsid w:val="006A0A05"/>
    <w:rsid w:val="006A1E09"/>
    <w:rsid w:val="006A2A92"/>
    <w:rsid w:val="006A2D3A"/>
    <w:rsid w:val="006A336E"/>
    <w:rsid w:val="006A54D3"/>
    <w:rsid w:val="006A5948"/>
    <w:rsid w:val="006A59AC"/>
    <w:rsid w:val="006A5EA4"/>
    <w:rsid w:val="006A5EFE"/>
    <w:rsid w:val="006A6518"/>
    <w:rsid w:val="006A70A8"/>
    <w:rsid w:val="006A711E"/>
    <w:rsid w:val="006A7A64"/>
    <w:rsid w:val="006B0B0F"/>
    <w:rsid w:val="006B156C"/>
    <w:rsid w:val="006B15D9"/>
    <w:rsid w:val="006B1855"/>
    <w:rsid w:val="006B22F0"/>
    <w:rsid w:val="006B243D"/>
    <w:rsid w:val="006B2C35"/>
    <w:rsid w:val="006B3AFB"/>
    <w:rsid w:val="006B3D4D"/>
    <w:rsid w:val="006B3F03"/>
    <w:rsid w:val="006B4428"/>
    <w:rsid w:val="006B447B"/>
    <w:rsid w:val="006B46DF"/>
    <w:rsid w:val="006B5171"/>
    <w:rsid w:val="006B7006"/>
    <w:rsid w:val="006B73AA"/>
    <w:rsid w:val="006B7474"/>
    <w:rsid w:val="006B7C23"/>
    <w:rsid w:val="006C133F"/>
    <w:rsid w:val="006C1E4E"/>
    <w:rsid w:val="006C2525"/>
    <w:rsid w:val="006C4E81"/>
    <w:rsid w:val="006C51A5"/>
    <w:rsid w:val="006C57EA"/>
    <w:rsid w:val="006C6993"/>
    <w:rsid w:val="006C7AB0"/>
    <w:rsid w:val="006C7C78"/>
    <w:rsid w:val="006D0B4A"/>
    <w:rsid w:val="006D1042"/>
    <w:rsid w:val="006D1B85"/>
    <w:rsid w:val="006D1E01"/>
    <w:rsid w:val="006D25D7"/>
    <w:rsid w:val="006D35AA"/>
    <w:rsid w:val="006D36CC"/>
    <w:rsid w:val="006D373D"/>
    <w:rsid w:val="006D3A2E"/>
    <w:rsid w:val="006D3C1E"/>
    <w:rsid w:val="006D435F"/>
    <w:rsid w:val="006D451B"/>
    <w:rsid w:val="006D4942"/>
    <w:rsid w:val="006D5AA5"/>
    <w:rsid w:val="006D61FE"/>
    <w:rsid w:val="006D678B"/>
    <w:rsid w:val="006D72D4"/>
    <w:rsid w:val="006D7554"/>
    <w:rsid w:val="006E207A"/>
    <w:rsid w:val="006E2B7F"/>
    <w:rsid w:val="006E2C4B"/>
    <w:rsid w:val="006E33C4"/>
    <w:rsid w:val="006E4032"/>
    <w:rsid w:val="006E452C"/>
    <w:rsid w:val="006E53F2"/>
    <w:rsid w:val="006E5D7C"/>
    <w:rsid w:val="006E65A8"/>
    <w:rsid w:val="006E6675"/>
    <w:rsid w:val="006E741D"/>
    <w:rsid w:val="006F0CDD"/>
    <w:rsid w:val="006F39BD"/>
    <w:rsid w:val="006F43CF"/>
    <w:rsid w:val="006F4483"/>
    <w:rsid w:val="006F4F8A"/>
    <w:rsid w:val="006F5050"/>
    <w:rsid w:val="006F5271"/>
    <w:rsid w:val="006F618F"/>
    <w:rsid w:val="006F61CE"/>
    <w:rsid w:val="007000E2"/>
    <w:rsid w:val="00700667"/>
    <w:rsid w:val="00700D12"/>
    <w:rsid w:val="00701002"/>
    <w:rsid w:val="00701988"/>
    <w:rsid w:val="00701D35"/>
    <w:rsid w:val="00702580"/>
    <w:rsid w:val="007027D7"/>
    <w:rsid w:val="00703B96"/>
    <w:rsid w:val="00704175"/>
    <w:rsid w:val="007041CD"/>
    <w:rsid w:val="007042C1"/>
    <w:rsid w:val="00704A6E"/>
    <w:rsid w:val="00704A88"/>
    <w:rsid w:val="00704CF6"/>
    <w:rsid w:val="007052DA"/>
    <w:rsid w:val="00705A01"/>
    <w:rsid w:val="00705E67"/>
    <w:rsid w:val="007074D7"/>
    <w:rsid w:val="00707B33"/>
    <w:rsid w:val="00710342"/>
    <w:rsid w:val="007103D1"/>
    <w:rsid w:val="00710C81"/>
    <w:rsid w:val="00710D89"/>
    <w:rsid w:val="00712971"/>
    <w:rsid w:val="00712C92"/>
    <w:rsid w:val="00712ED8"/>
    <w:rsid w:val="007131E5"/>
    <w:rsid w:val="00713738"/>
    <w:rsid w:val="00714382"/>
    <w:rsid w:val="007149B7"/>
    <w:rsid w:val="007153FE"/>
    <w:rsid w:val="0072075E"/>
    <w:rsid w:val="007218C3"/>
    <w:rsid w:val="00721D61"/>
    <w:rsid w:val="00721E62"/>
    <w:rsid w:val="007220CE"/>
    <w:rsid w:val="007241E9"/>
    <w:rsid w:val="00724325"/>
    <w:rsid w:val="007254DD"/>
    <w:rsid w:val="00725974"/>
    <w:rsid w:val="00725BDD"/>
    <w:rsid w:val="00727074"/>
    <w:rsid w:val="00727FA5"/>
    <w:rsid w:val="00733E72"/>
    <w:rsid w:val="007358C2"/>
    <w:rsid w:val="0073590C"/>
    <w:rsid w:val="00735948"/>
    <w:rsid w:val="007362EC"/>
    <w:rsid w:val="00736814"/>
    <w:rsid w:val="00736E38"/>
    <w:rsid w:val="00737310"/>
    <w:rsid w:val="007402F6"/>
    <w:rsid w:val="0074278E"/>
    <w:rsid w:val="007428D7"/>
    <w:rsid w:val="00743851"/>
    <w:rsid w:val="00747180"/>
    <w:rsid w:val="00747569"/>
    <w:rsid w:val="00747E13"/>
    <w:rsid w:val="007500B0"/>
    <w:rsid w:val="00750113"/>
    <w:rsid w:val="0075131C"/>
    <w:rsid w:val="007519D8"/>
    <w:rsid w:val="00751DB6"/>
    <w:rsid w:val="007522B9"/>
    <w:rsid w:val="007524F2"/>
    <w:rsid w:val="007525AD"/>
    <w:rsid w:val="00752B19"/>
    <w:rsid w:val="00752F5E"/>
    <w:rsid w:val="00752F9A"/>
    <w:rsid w:val="007533D2"/>
    <w:rsid w:val="007548A1"/>
    <w:rsid w:val="00754C14"/>
    <w:rsid w:val="00757AAA"/>
    <w:rsid w:val="00760BBA"/>
    <w:rsid w:val="00761072"/>
    <w:rsid w:val="007613AB"/>
    <w:rsid w:val="00761C55"/>
    <w:rsid w:val="00763444"/>
    <w:rsid w:val="00764443"/>
    <w:rsid w:val="00764E17"/>
    <w:rsid w:val="00765673"/>
    <w:rsid w:val="007663E8"/>
    <w:rsid w:val="007665EC"/>
    <w:rsid w:val="00766661"/>
    <w:rsid w:val="00766AA8"/>
    <w:rsid w:val="00766D0A"/>
    <w:rsid w:val="00770E8D"/>
    <w:rsid w:val="00771816"/>
    <w:rsid w:val="00773022"/>
    <w:rsid w:val="00777F8D"/>
    <w:rsid w:val="00780B75"/>
    <w:rsid w:val="00782C7D"/>
    <w:rsid w:val="00783843"/>
    <w:rsid w:val="007840C3"/>
    <w:rsid w:val="00784436"/>
    <w:rsid w:val="007848E9"/>
    <w:rsid w:val="007865A9"/>
    <w:rsid w:val="007875A6"/>
    <w:rsid w:val="00787B68"/>
    <w:rsid w:val="007918BF"/>
    <w:rsid w:val="00791B82"/>
    <w:rsid w:val="007926DB"/>
    <w:rsid w:val="00792A67"/>
    <w:rsid w:val="00792B92"/>
    <w:rsid w:val="007931D3"/>
    <w:rsid w:val="00793E04"/>
    <w:rsid w:val="0079502B"/>
    <w:rsid w:val="007954E1"/>
    <w:rsid w:val="00795556"/>
    <w:rsid w:val="00796655"/>
    <w:rsid w:val="0079674B"/>
    <w:rsid w:val="007973AF"/>
    <w:rsid w:val="00797573"/>
    <w:rsid w:val="00797694"/>
    <w:rsid w:val="007978D4"/>
    <w:rsid w:val="007A02E2"/>
    <w:rsid w:val="007A10B8"/>
    <w:rsid w:val="007A25E5"/>
    <w:rsid w:val="007A2C08"/>
    <w:rsid w:val="007A395A"/>
    <w:rsid w:val="007A45EE"/>
    <w:rsid w:val="007A5772"/>
    <w:rsid w:val="007A5A28"/>
    <w:rsid w:val="007A5A67"/>
    <w:rsid w:val="007A6F6E"/>
    <w:rsid w:val="007A7712"/>
    <w:rsid w:val="007A7F0E"/>
    <w:rsid w:val="007B0326"/>
    <w:rsid w:val="007B072D"/>
    <w:rsid w:val="007B0768"/>
    <w:rsid w:val="007B0D36"/>
    <w:rsid w:val="007B0D49"/>
    <w:rsid w:val="007B0FCC"/>
    <w:rsid w:val="007B152A"/>
    <w:rsid w:val="007B26BE"/>
    <w:rsid w:val="007B2CB9"/>
    <w:rsid w:val="007B34E2"/>
    <w:rsid w:val="007B40A5"/>
    <w:rsid w:val="007B4852"/>
    <w:rsid w:val="007B55F1"/>
    <w:rsid w:val="007B6071"/>
    <w:rsid w:val="007B613D"/>
    <w:rsid w:val="007B69A0"/>
    <w:rsid w:val="007B6A0E"/>
    <w:rsid w:val="007B6F98"/>
    <w:rsid w:val="007B74F5"/>
    <w:rsid w:val="007C0253"/>
    <w:rsid w:val="007C06B6"/>
    <w:rsid w:val="007C12CE"/>
    <w:rsid w:val="007C2975"/>
    <w:rsid w:val="007C35F3"/>
    <w:rsid w:val="007C4B24"/>
    <w:rsid w:val="007C4FC9"/>
    <w:rsid w:val="007C5021"/>
    <w:rsid w:val="007C50B5"/>
    <w:rsid w:val="007C5282"/>
    <w:rsid w:val="007C6D22"/>
    <w:rsid w:val="007C7940"/>
    <w:rsid w:val="007C7B46"/>
    <w:rsid w:val="007D04A1"/>
    <w:rsid w:val="007D120A"/>
    <w:rsid w:val="007D1403"/>
    <w:rsid w:val="007D1845"/>
    <w:rsid w:val="007D2208"/>
    <w:rsid w:val="007D2219"/>
    <w:rsid w:val="007D2657"/>
    <w:rsid w:val="007D26C1"/>
    <w:rsid w:val="007D3F82"/>
    <w:rsid w:val="007D4458"/>
    <w:rsid w:val="007D4831"/>
    <w:rsid w:val="007D49A6"/>
    <w:rsid w:val="007D4F0B"/>
    <w:rsid w:val="007D5B37"/>
    <w:rsid w:val="007D6347"/>
    <w:rsid w:val="007D6B0B"/>
    <w:rsid w:val="007D6DC9"/>
    <w:rsid w:val="007D6EFF"/>
    <w:rsid w:val="007D7972"/>
    <w:rsid w:val="007D7AC6"/>
    <w:rsid w:val="007D7DB6"/>
    <w:rsid w:val="007E00B1"/>
    <w:rsid w:val="007E0475"/>
    <w:rsid w:val="007E057B"/>
    <w:rsid w:val="007E05D5"/>
    <w:rsid w:val="007E158E"/>
    <w:rsid w:val="007E1B56"/>
    <w:rsid w:val="007E2E1A"/>
    <w:rsid w:val="007E3151"/>
    <w:rsid w:val="007E4183"/>
    <w:rsid w:val="007E44A4"/>
    <w:rsid w:val="007E47C0"/>
    <w:rsid w:val="007E4FE1"/>
    <w:rsid w:val="007E58A2"/>
    <w:rsid w:val="007E6010"/>
    <w:rsid w:val="007E632B"/>
    <w:rsid w:val="007E662F"/>
    <w:rsid w:val="007E6FBD"/>
    <w:rsid w:val="007E7DFA"/>
    <w:rsid w:val="007F032E"/>
    <w:rsid w:val="007F0580"/>
    <w:rsid w:val="007F0959"/>
    <w:rsid w:val="007F0BA9"/>
    <w:rsid w:val="007F3725"/>
    <w:rsid w:val="007F3EED"/>
    <w:rsid w:val="007F48BD"/>
    <w:rsid w:val="007F553A"/>
    <w:rsid w:val="007F5599"/>
    <w:rsid w:val="007F5E6C"/>
    <w:rsid w:val="007F5FCA"/>
    <w:rsid w:val="007F6070"/>
    <w:rsid w:val="007F629C"/>
    <w:rsid w:val="007F667C"/>
    <w:rsid w:val="007F6AA8"/>
    <w:rsid w:val="007F6ABB"/>
    <w:rsid w:val="007F7126"/>
    <w:rsid w:val="007F733C"/>
    <w:rsid w:val="007F7FED"/>
    <w:rsid w:val="00800E10"/>
    <w:rsid w:val="00800F2E"/>
    <w:rsid w:val="0080140A"/>
    <w:rsid w:val="008018C4"/>
    <w:rsid w:val="00801F67"/>
    <w:rsid w:val="00802012"/>
    <w:rsid w:val="00802297"/>
    <w:rsid w:val="0080230C"/>
    <w:rsid w:val="008028F0"/>
    <w:rsid w:val="008030ED"/>
    <w:rsid w:val="00804449"/>
    <w:rsid w:val="0080493A"/>
    <w:rsid w:val="00804F67"/>
    <w:rsid w:val="00805F79"/>
    <w:rsid w:val="00806F05"/>
    <w:rsid w:val="00807009"/>
    <w:rsid w:val="00810681"/>
    <w:rsid w:val="008112B9"/>
    <w:rsid w:val="008115BC"/>
    <w:rsid w:val="00811610"/>
    <w:rsid w:val="00812D29"/>
    <w:rsid w:val="0081346A"/>
    <w:rsid w:val="00814467"/>
    <w:rsid w:val="00815B4D"/>
    <w:rsid w:val="00815B53"/>
    <w:rsid w:val="00816006"/>
    <w:rsid w:val="00816542"/>
    <w:rsid w:val="00816C7D"/>
    <w:rsid w:val="00816C9D"/>
    <w:rsid w:val="00820A45"/>
    <w:rsid w:val="00820D56"/>
    <w:rsid w:val="00821224"/>
    <w:rsid w:val="0082131F"/>
    <w:rsid w:val="008225F9"/>
    <w:rsid w:val="00823249"/>
    <w:rsid w:val="00825FB5"/>
    <w:rsid w:val="00827C5F"/>
    <w:rsid w:val="00830013"/>
    <w:rsid w:val="008303A8"/>
    <w:rsid w:val="00830747"/>
    <w:rsid w:val="00830A26"/>
    <w:rsid w:val="00831902"/>
    <w:rsid w:val="00831B83"/>
    <w:rsid w:val="00831BB9"/>
    <w:rsid w:val="00831BD4"/>
    <w:rsid w:val="00832A0D"/>
    <w:rsid w:val="00834C1E"/>
    <w:rsid w:val="008350C2"/>
    <w:rsid w:val="0083514C"/>
    <w:rsid w:val="00835F97"/>
    <w:rsid w:val="00836216"/>
    <w:rsid w:val="00836326"/>
    <w:rsid w:val="008375B1"/>
    <w:rsid w:val="00837F7E"/>
    <w:rsid w:val="00840604"/>
    <w:rsid w:val="0084086A"/>
    <w:rsid w:val="00840925"/>
    <w:rsid w:val="008431E7"/>
    <w:rsid w:val="008444B3"/>
    <w:rsid w:val="00844DB4"/>
    <w:rsid w:val="008459D4"/>
    <w:rsid w:val="008501C5"/>
    <w:rsid w:val="008503B3"/>
    <w:rsid w:val="0085064E"/>
    <w:rsid w:val="00850AF5"/>
    <w:rsid w:val="00850F16"/>
    <w:rsid w:val="008511A5"/>
    <w:rsid w:val="008515E8"/>
    <w:rsid w:val="008515F6"/>
    <w:rsid w:val="00851646"/>
    <w:rsid w:val="00852150"/>
    <w:rsid w:val="00852831"/>
    <w:rsid w:val="008537F2"/>
    <w:rsid w:val="00853EFE"/>
    <w:rsid w:val="0085531B"/>
    <w:rsid w:val="00855381"/>
    <w:rsid w:val="008558A4"/>
    <w:rsid w:val="008570E3"/>
    <w:rsid w:val="0085727C"/>
    <w:rsid w:val="008575C4"/>
    <w:rsid w:val="00857F7D"/>
    <w:rsid w:val="008609C7"/>
    <w:rsid w:val="00860E6C"/>
    <w:rsid w:val="00863214"/>
    <w:rsid w:val="008637BF"/>
    <w:rsid w:val="00863D22"/>
    <w:rsid w:val="00864977"/>
    <w:rsid w:val="00864D26"/>
    <w:rsid w:val="008652B0"/>
    <w:rsid w:val="008653F8"/>
    <w:rsid w:val="008663DA"/>
    <w:rsid w:val="00866711"/>
    <w:rsid w:val="00866CDE"/>
    <w:rsid w:val="00866DF9"/>
    <w:rsid w:val="00867031"/>
    <w:rsid w:val="00867CE9"/>
    <w:rsid w:val="0087127B"/>
    <w:rsid w:val="0087149C"/>
    <w:rsid w:val="00871ACA"/>
    <w:rsid w:val="00871F14"/>
    <w:rsid w:val="00871FAC"/>
    <w:rsid w:val="00872321"/>
    <w:rsid w:val="008743B0"/>
    <w:rsid w:val="008753B1"/>
    <w:rsid w:val="0087562A"/>
    <w:rsid w:val="008757A3"/>
    <w:rsid w:val="008762C1"/>
    <w:rsid w:val="0087656C"/>
    <w:rsid w:val="008769AC"/>
    <w:rsid w:val="00877E57"/>
    <w:rsid w:val="008802E8"/>
    <w:rsid w:val="00880CD3"/>
    <w:rsid w:val="00880EB2"/>
    <w:rsid w:val="008812B3"/>
    <w:rsid w:val="00881B32"/>
    <w:rsid w:val="00882852"/>
    <w:rsid w:val="00882D37"/>
    <w:rsid w:val="00883245"/>
    <w:rsid w:val="0088334B"/>
    <w:rsid w:val="00883E97"/>
    <w:rsid w:val="00885246"/>
    <w:rsid w:val="00885329"/>
    <w:rsid w:val="00885A1F"/>
    <w:rsid w:val="00885ADF"/>
    <w:rsid w:val="008869C5"/>
    <w:rsid w:val="0088704C"/>
    <w:rsid w:val="008909AD"/>
    <w:rsid w:val="00891274"/>
    <w:rsid w:val="0089165A"/>
    <w:rsid w:val="0089176A"/>
    <w:rsid w:val="00891A9D"/>
    <w:rsid w:val="00891C36"/>
    <w:rsid w:val="00892A59"/>
    <w:rsid w:val="0089323A"/>
    <w:rsid w:val="00893AF0"/>
    <w:rsid w:val="00893B57"/>
    <w:rsid w:val="00893D04"/>
    <w:rsid w:val="00894AD3"/>
    <w:rsid w:val="008950D9"/>
    <w:rsid w:val="00895BFB"/>
    <w:rsid w:val="00895E5F"/>
    <w:rsid w:val="00896394"/>
    <w:rsid w:val="008963A3"/>
    <w:rsid w:val="00896AD9"/>
    <w:rsid w:val="0089733C"/>
    <w:rsid w:val="00897918"/>
    <w:rsid w:val="008A04BB"/>
    <w:rsid w:val="008A09DB"/>
    <w:rsid w:val="008A12BD"/>
    <w:rsid w:val="008A13C8"/>
    <w:rsid w:val="008A1A09"/>
    <w:rsid w:val="008A1F99"/>
    <w:rsid w:val="008A22FE"/>
    <w:rsid w:val="008A2690"/>
    <w:rsid w:val="008A2796"/>
    <w:rsid w:val="008A3FCF"/>
    <w:rsid w:val="008A462C"/>
    <w:rsid w:val="008A47CC"/>
    <w:rsid w:val="008A4F31"/>
    <w:rsid w:val="008A5AB0"/>
    <w:rsid w:val="008A6145"/>
    <w:rsid w:val="008A7DCB"/>
    <w:rsid w:val="008B019F"/>
    <w:rsid w:val="008B093A"/>
    <w:rsid w:val="008B129B"/>
    <w:rsid w:val="008B1AF9"/>
    <w:rsid w:val="008B1C29"/>
    <w:rsid w:val="008B2BB9"/>
    <w:rsid w:val="008B320D"/>
    <w:rsid w:val="008B440C"/>
    <w:rsid w:val="008B44DF"/>
    <w:rsid w:val="008B5714"/>
    <w:rsid w:val="008B5ADF"/>
    <w:rsid w:val="008B6D2B"/>
    <w:rsid w:val="008B71E8"/>
    <w:rsid w:val="008B7865"/>
    <w:rsid w:val="008B7E7E"/>
    <w:rsid w:val="008C05FB"/>
    <w:rsid w:val="008C14AF"/>
    <w:rsid w:val="008C29AC"/>
    <w:rsid w:val="008C2B70"/>
    <w:rsid w:val="008C3926"/>
    <w:rsid w:val="008C3952"/>
    <w:rsid w:val="008C45B6"/>
    <w:rsid w:val="008C4CAD"/>
    <w:rsid w:val="008C53FC"/>
    <w:rsid w:val="008C5AA0"/>
    <w:rsid w:val="008C5C07"/>
    <w:rsid w:val="008C65EF"/>
    <w:rsid w:val="008C68CF"/>
    <w:rsid w:val="008C704F"/>
    <w:rsid w:val="008C74B1"/>
    <w:rsid w:val="008D017D"/>
    <w:rsid w:val="008D0E90"/>
    <w:rsid w:val="008D10C2"/>
    <w:rsid w:val="008D211C"/>
    <w:rsid w:val="008D2153"/>
    <w:rsid w:val="008D2BA5"/>
    <w:rsid w:val="008D3B33"/>
    <w:rsid w:val="008D3F95"/>
    <w:rsid w:val="008D610B"/>
    <w:rsid w:val="008D6204"/>
    <w:rsid w:val="008D62A7"/>
    <w:rsid w:val="008D6E77"/>
    <w:rsid w:val="008E057A"/>
    <w:rsid w:val="008E0D59"/>
    <w:rsid w:val="008E107F"/>
    <w:rsid w:val="008E24AD"/>
    <w:rsid w:val="008E3721"/>
    <w:rsid w:val="008E37FF"/>
    <w:rsid w:val="008E3EB0"/>
    <w:rsid w:val="008E470D"/>
    <w:rsid w:val="008E4BE2"/>
    <w:rsid w:val="008E4CE9"/>
    <w:rsid w:val="008E5E22"/>
    <w:rsid w:val="008E5E2F"/>
    <w:rsid w:val="008E5FB6"/>
    <w:rsid w:val="008E624D"/>
    <w:rsid w:val="008E6380"/>
    <w:rsid w:val="008E642F"/>
    <w:rsid w:val="008E7557"/>
    <w:rsid w:val="008E7624"/>
    <w:rsid w:val="008F0911"/>
    <w:rsid w:val="008F0CCA"/>
    <w:rsid w:val="008F108F"/>
    <w:rsid w:val="008F1ABE"/>
    <w:rsid w:val="008F2665"/>
    <w:rsid w:val="008F2918"/>
    <w:rsid w:val="008F2E73"/>
    <w:rsid w:val="008F3AA4"/>
    <w:rsid w:val="008F4809"/>
    <w:rsid w:val="008F4BCD"/>
    <w:rsid w:val="008F5C9E"/>
    <w:rsid w:val="008F63F1"/>
    <w:rsid w:val="008F7265"/>
    <w:rsid w:val="008F7466"/>
    <w:rsid w:val="008F7571"/>
    <w:rsid w:val="009001DD"/>
    <w:rsid w:val="009013DE"/>
    <w:rsid w:val="0090155C"/>
    <w:rsid w:val="009020D7"/>
    <w:rsid w:val="00902795"/>
    <w:rsid w:val="00902F63"/>
    <w:rsid w:val="009034EC"/>
    <w:rsid w:val="0090399B"/>
    <w:rsid w:val="00904241"/>
    <w:rsid w:val="009043F4"/>
    <w:rsid w:val="00904727"/>
    <w:rsid w:val="00904975"/>
    <w:rsid w:val="009051A2"/>
    <w:rsid w:val="0090589F"/>
    <w:rsid w:val="0090711D"/>
    <w:rsid w:val="009073C6"/>
    <w:rsid w:val="00910222"/>
    <w:rsid w:val="009102D3"/>
    <w:rsid w:val="009104DA"/>
    <w:rsid w:val="009106A4"/>
    <w:rsid w:val="00911E8C"/>
    <w:rsid w:val="00911ED9"/>
    <w:rsid w:val="009121E0"/>
    <w:rsid w:val="00912C1C"/>
    <w:rsid w:val="0091337A"/>
    <w:rsid w:val="00914DCF"/>
    <w:rsid w:val="00915908"/>
    <w:rsid w:val="00917A18"/>
    <w:rsid w:val="00917B22"/>
    <w:rsid w:val="009206D1"/>
    <w:rsid w:val="00921E97"/>
    <w:rsid w:val="00921EFA"/>
    <w:rsid w:val="00922011"/>
    <w:rsid w:val="0092248D"/>
    <w:rsid w:val="00922DCA"/>
    <w:rsid w:val="00922EF4"/>
    <w:rsid w:val="00924A61"/>
    <w:rsid w:val="00924EDA"/>
    <w:rsid w:val="009259E1"/>
    <w:rsid w:val="009262E4"/>
    <w:rsid w:val="009268E9"/>
    <w:rsid w:val="0092781D"/>
    <w:rsid w:val="00930ADB"/>
    <w:rsid w:val="00930B3B"/>
    <w:rsid w:val="0093189D"/>
    <w:rsid w:val="00931B66"/>
    <w:rsid w:val="009326DF"/>
    <w:rsid w:val="009328DA"/>
    <w:rsid w:val="00932BC3"/>
    <w:rsid w:val="009334FE"/>
    <w:rsid w:val="00933C6F"/>
    <w:rsid w:val="0093468D"/>
    <w:rsid w:val="009346BC"/>
    <w:rsid w:val="009346E4"/>
    <w:rsid w:val="009348CE"/>
    <w:rsid w:val="00934C26"/>
    <w:rsid w:val="0093575A"/>
    <w:rsid w:val="0093702D"/>
    <w:rsid w:val="00940379"/>
    <w:rsid w:val="00940782"/>
    <w:rsid w:val="009409A5"/>
    <w:rsid w:val="00941E4D"/>
    <w:rsid w:val="00943570"/>
    <w:rsid w:val="00943B9B"/>
    <w:rsid w:val="00943C80"/>
    <w:rsid w:val="0094496F"/>
    <w:rsid w:val="00945549"/>
    <w:rsid w:val="00945815"/>
    <w:rsid w:val="0094593B"/>
    <w:rsid w:val="00945E19"/>
    <w:rsid w:val="00946408"/>
    <w:rsid w:val="00946583"/>
    <w:rsid w:val="00946591"/>
    <w:rsid w:val="00947331"/>
    <w:rsid w:val="00947B29"/>
    <w:rsid w:val="00950805"/>
    <w:rsid w:val="00950F9A"/>
    <w:rsid w:val="00951389"/>
    <w:rsid w:val="00951661"/>
    <w:rsid w:val="009522E8"/>
    <w:rsid w:val="009524F2"/>
    <w:rsid w:val="00952CAE"/>
    <w:rsid w:val="009536F6"/>
    <w:rsid w:val="009536FA"/>
    <w:rsid w:val="0095393F"/>
    <w:rsid w:val="00953A50"/>
    <w:rsid w:val="00953BE4"/>
    <w:rsid w:val="00953DA2"/>
    <w:rsid w:val="00954E8D"/>
    <w:rsid w:val="009557BD"/>
    <w:rsid w:val="009557E9"/>
    <w:rsid w:val="00955E10"/>
    <w:rsid w:val="009567A2"/>
    <w:rsid w:val="00956A0D"/>
    <w:rsid w:val="00957EA0"/>
    <w:rsid w:val="00960384"/>
    <w:rsid w:val="009607BD"/>
    <w:rsid w:val="00962725"/>
    <w:rsid w:val="00962807"/>
    <w:rsid w:val="0096290C"/>
    <w:rsid w:val="009629B2"/>
    <w:rsid w:val="00962C49"/>
    <w:rsid w:val="00962CC6"/>
    <w:rsid w:val="009636C3"/>
    <w:rsid w:val="00964138"/>
    <w:rsid w:val="00964EAD"/>
    <w:rsid w:val="00965296"/>
    <w:rsid w:val="009666EC"/>
    <w:rsid w:val="00966784"/>
    <w:rsid w:val="00966ABA"/>
    <w:rsid w:val="00970152"/>
    <w:rsid w:val="00970607"/>
    <w:rsid w:val="009714DF"/>
    <w:rsid w:val="009716CD"/>
    <w:rsid w:val="00971E88"/>
    <w:rsid w:val="00971EE4"/>
    <w:rsid w:val="00972089"/>
    <w:rsid w:val="00972E51"/>
    <w:rsid w:val="00973385"/>
    <w:rsid w:val="00973728"/>
    <w:rsid w:val="009748C7"/>
    <w:rsid w:val="0097535F"/>
    <w:rsid w:val="00975621"/>
    <w:rsid w:val="00975DC0"/>
    <w:rsid w:val="009767BB"/>
    <w:rsid w:val="00976935"/>
    <w:rsid w:val="009771D6"/>
    <w:rsid w:val="00977724"/>
    <w:rsid w:val="00980085"/>
    <w:rsid w:val="00981C8E"/>
    <w:rsid w:val="009821FE"/>
    <w:rsid w:val="009832B3"/>
    <w:rsid w:val="00984843"/>
    <w:rsid w:val="0098487B"/>
    <w:rsid w:val="00984C32"/>
    <w:rsid w:val="0098661D"/>
    <w:rsid w:val="00986BE6"/>
    <w:rsid w:val="00986C5B"/>
    <w:rsid w:val="00987FDE"/>
    <w:rsid w:val="009914F7"/>
    <w:rsid w:val="00991A4D"/>
    <w:rsid w:val="00992555"/>
    <w:rsid w:val="00992878"/>
    <w:rsid w:val="009929DF"/>
    <w:rsid w:val="00993086"/>
    <w:rsid w:val="0099381C"/>
    <w:rsid w:val="00993FD1"/>
    <w:rsid w:val="0099535D"/>
    <w:rsid w:val="00995AD5"/>
    <w:rsid w:val="0099665E"/>
    <w:rsid w:val="00997808"/>
    <w:rsid w:val="009A0471"/>
    <w:rsid w:val="009A11AD"/>
    <w:rsid w:val="009A1AFB"/>
    <w:rsid w:val="009A1CCD"/>
    <w:rsid w:val="009A2BF4"/>
    <w:rsid w:val="009A3FA4"/>
    <w:rsid w:val="009A46C4"/>
    <w:rsid w:val="009A4959"/>
    <w:rsid w:val="009A4A3F"/>
    <w:rsid w:val="009A5C99"/>
    <w:rsid w:val="009A5CBF"/>
    <w:rsid w:val="009A6559"/>
    <w:rsid w:val="009A76AD"/>
    <w:rsid w:val="009B068D"/>
    <w:rsid w:val="009B0BF8"/>
    <w:rsid w:val="009B1C4F"/>
    <w:rsid w:val="009B2183"/>
    <w:rsid w:val="009B254B"/>
    <w:rsid w:val="009B2827"/>
    <w:rsid w:val="009B3404"/>
    <w:rsid w:val="009B791D"/>
    <w:rsid w:val="009C06C9"/>
    <w:rsid w:val="009C1898"/>
    <w:rsid w:val="009C2EB7"/>
    <w:rsid w:val="009C3054"/>
    <w:rsid w:val="009C36BF"/>
    <w:rsid w:val="009C3E37"/>
    <w:rsid w:val="009C3E7B"/>
    <w:rsid w:val="009C4A0E"/>
    <w:rsid w:val="009C4A9E"/>
    <w:rsid w:val="009C50CF"/>
    <w:rsid w:val="009C55D2"/>
    <w:rsid w:val="009C5E1C"/>
    <w:rsid w:val="009C6281"/>
    <w:rsid w:val="009C67EE"/>
    <w:rsid w:val="009C72D4"/>
    <w:rsid w:val="009C7377"/>
    <w:rsid w:val="009C761A"/>
    <w:rsid w:val="009C7F5D"/>
    <w:rsid w:val="009D08D0"/>
    <w:rsid w:val="009D0CE6"/>
    <w:rsid w:val="009D13E1"/>
    <w:rsid w:val="009D22E3"/>
    <w:rsid w:val="009D2BE0"/>
    <w:rsid w:val="009D2DD0"/>
    <w:rsid w:val="009D2E2D"/>
    <w:rsid w:val="009D3308"/>
    <w:rsid w:val="009D34F2"/>
    <w:rsid w:val="009D42C9"/>
    <w:rsid w:val="009D4F24"/>
    <w:rsid w:val="009D5863"/>
    <w:rsid w:val="009D6982"/>
    <w:rsid w:val="009D7C0D"/>
    <w:rsid w:val="009E02CC"/>
    <w:rsid w:val="009E0336"/>
    <w:rsid w:val="009E080B"/>
    <w:rsid w:val="009E1D46"/>
    <w:rsid w:val="009E22BF"/>
    <w:rsid w:val="009E4854"/>
    <w:rsid w:val="009E4AAE"/>
    <w:rsid w:val="009E615C"/>
    <w:rsid w:val="009E63A4"/>
    <w:rsid w:val="009E6A66"/>
    <w:rsid w:val="009E6EAD"/>
    <w:rsid w:val="009E7846"/>
    <w:rsid w:val="009E795D"/>
    <w:rsid w:val="009F01A0"/>
    <w:rsid w:val="009F0CF8"/>
    <w:rsid w:val="009F13B4"/>
    <w:rsid w:val="009F166D"/>
    <w:rsid w:val="009F3051"/>
    <w:rsid w:val="009F3522"/>
    <w:rsid w:val="009F3B43"/>
    <w:rsid w:val="009F3E1B"/>
    <w:rsid w:val="009F4D03"/>
    <w:rsid w:val="009F536A"/>
    <w:rsid w:val="009F5792"/>
    <w:rsid w:val="009F6CC6"/>
    <w:rsid w:val="009F6E5E"/>
    <w:rsid w:val="009F6FAA"/>
    <w:rsid w:val="009F7206"/>
    <w:rsid w:val="009F754D"/>
    <w:rsid w:val="009F7AB1"/>
    <w:rsid w:val="00A00356"/>
    <w:rsid w:val="00A0046B"/>
    <w:rsid w:val="00A00484"/>
    <w:rsid w:val="00A00772"/>
    <w:rsid w:val="00A00B7A"/>
    <w:rsid w:val="00A012CD"/>
    <w:rsid w:val="00A014AF"/>
    <w:rsid w:val="00A01880"/>
    <w:rsid w:val="00A02AF6"/>
    <w:rsid w:val="00A02BBA"/>
    <w:rsid w:val="00A02E54"/>
    <w:rsid w:val="00A03413"/>
    <w:rsid w:val="00A03A62"/>
    <w:rsid w:val="00A03DA3"/>
    <w:rsid w:val="00A04352"/>
    <w:rsid w:val="00A04D15"/>
    <w:rsid w:val="00A054C6"/>
    <w:rsid w:val="00A0564A"/>
    <w:rsid w:val="00A063DC"/>
    <w:rsid w:val="00A0684B"/>
    <w:rsid w:val="00A0777E"/>
    <w:rsid w:val="00A078FC"/>
    <w:rsid w:val="00A07A7E"/>
    <w:rsid w:val="00A1068B"/>
    <w:rsid w:val="00A112F4"/>
    <w:rsid w:val="00A11BB1"/>
    <w:rsid w:val="00A120B8"/>
    <w:rsid w:val="00A12751"/>
    <w:rsid w:val="00A137F2"/>
    <w:rsid w:val="00A14741"/>
    <w:rsid w:val="00A1577D"/>
    <w:rsid w:val="00A15E5A"/>
    <w:rsid w:val="00A1627E"/>
    <w:rsid w:val="00A16434"/>
    <w:rsid w:val="00A169FD"/>
    <w:rsid w:val="00A16B33"/>
    <w:rsid w:val="00A16F21"/>
    <w:rsid w:val="00A20A28"/>
    <w:rsid w:val="00A2173F"/>
    <w:rsid w:val="00A2252D"/>
    <w:rsid w:val="00A22840"/>
    <w:rsid w:val="00A245B1"/>
    <w:rsid w:val="00A24755"/>
    <w:rsid w:val="00A25789"/>
    <w:rsid w:val="00A25928"/>
    <w:rsid w:val="00A25D7C"/>
    <w:rsid w:val="00A2627A"/>
    <w:rsid w:val="00A265D3"/>
    <w:rsid w:val="00A26F17"/>
    <w:rsid w:val="00A27D90"/>
    <w:rsid w:val="00A302C8"/>
    <w:rsid w:val="00A3066D"/>
    <w:rsid w:val="00A31D2F"/>
    <w:rsid w:val="00A3269F"/>
    <w:rsid w:val="00A32A3B"/>
    <w:rsid w:val="00A33781"/>
    <w:rsid w:val="00A33AF6"/>
    <w:rsid w:val="00A33D37"/>
    <w:rsid w:val="00A341AB"/>
    <w:rsid w:val="00A34416"/>
    <w:rsid w:val="00A348A0"/>
    <w:rsid w:val="00A3584D"/>
    <w:rsid w:val="00A36875"/>
    <w:rsid w:val="00A3695C"/>
    <w:rsid w:val="00A37727"/>
    <w:rsid w:val="00A403BE"/>
    <w:rsid w:val="00A4088E"/>
    <w:rsid w:val="00A40F90"/>
    <w:rsid w:val="00A43FD7"/>
    <w:rsid w:val="00A44216"/>
    <w:rsid w:val="00A44B27"/>
    <w:rsid w:val="00A44E1F"/>
    <w:rsid w:val="00A44E41"/>
    <w:rsid w:val="00A45319"/>
    <w:rsid w:val="00A454AF"/>
    <w:rsid w:val="00A4644F"/>
    <w:rsid w:val="00A46FE2"/>
    <w:rsid w:val="00A5005C"/>
    <w:rsid w:val="00A50173"/>
    <w:rsid w:val="00A50400"/>
    <w:rsid w:val="00A50549"/>
    <w:rsid w:val="00A50E2A"/>
    <w:rsid w:val="00A51D0A"/>
    <w:rsid w:val="00A534A2"/>
    <w:rsid w:val="00A5393D"/>
    <w:rsid w:val="00A54F1D"/>
    <w:rsid w:val="00A551FE"/>
    <w:rsid w:val="00A55386"/>
    <w:rsid w:val="00A56112"/>
    <w:rsid w:val="00A577E0"/>
    <w:rsid w:val="00A606B3"/>
    <w:rsid w:val="00A60F9B"/>
    <w:rsid w:val="00A6145D"/>
    <w:rsid w:val="00A61A73"/>
    <w:rsid w:val="00A620C1"/>
    <w:rsid w:val="00A630D1"/>
    <w:rsid w:val="00A63884"/>
    <w:rsid w:val="00A6486F"/>
    <w:rsid w:val="00A65CD2"/>
    <w:rsid w:val="00A6751D"/>
    <w:rsid w:val="00A67C72"/>
    <w:rsid w:val="00A67DF4"/>
    <w:rsid w:val="00A703CE"/>
    <w:rsid w:val="00A70FDA"/>
    <w:rsid w:val="00A7132A"/>
    <w:rsid w:val="00A72531"/>
    <w:rsid w:val="00A725A6"/>
    <w:rsid w:val="00A74F06"/>
    <w:rsid w:val="00A75B1D"/>
    <w:rsid w:val="00A767FD"/>
    <w:rsid w:val="00A77D9F"/>
    <w:rsid w:val="00A8187D"/>
    <w:rsid w:val="00A82B42"/>
    <w:rsid w:val="00A82C2D"/>
    <w:rsid w:val="00A8379A"/>
    <w:rsid w:val="00A839F4"/>
    <w:rsid w:val="00A83EE0"/>
    <w:rsid w:val="00A8411C"/>
    <w:rsid w:val="00A872ED"/>
    <w:rsid w:val="00A87786"/>
    <w:rsid w:val="00A87D64"/>
    <w:rsid w:val="00A90437"/>
    <w:rsid w:val="00A90E23"/>
    <w:rsid w:val="00A913CC"/>
    <w:rsid w:val="00A927A8"/>
    <w:rsid w:val="00A9288C"/>
    <w:rsid w:val="00A9376D"/>
    <w:rsid w:val="00A9415D"/>
    <w:rsid w:val="00A9696D"/>
    <w:rsid w:val="00A969AC"/>
    <w:rsid w:val="00A96A40"/>
    <w:rsid w:val="00A97451"/>
    <w:rsid w:val="00A97636"/>
    <w:rsid w:val="00AA006D"/>
    <w:rsid w:val="00AA0C0F"/>
    <w:rsid w:val="00AA0F5C"/>
    <w:rsid w:val="00AA1476"/>
    <w:rsid w:val="00AA1F73"/>
    <w:rsid w:val="00AA3442"/>
    <w:rsid w:val="00AA3C37"/>
    <w:rsid w:val="00AA3F70"/>
    <w:rsid w:val="00AA4EB7"/>
    <w:rsid w:val="00AA757E"/>
    <w:rsid w:val="00AA76B1"/>
    <w:rsid w:val="00AB0023"/>
    <w:rsid w:val="00AB00C6"/>
    <w:rsid w:val="00AB03A8"/>
    <w:rsid w:val="00AB0AF3"/>
    <w:rsid w:val="00AB0E85"/>
    <w:rsid w:val="00AB159C"/>
    <w:rsid w:val="00AB1850"/>
    <w:rsid w:val="00AB3777"/>
    <w:rsid w:val="00AB4047"/>
    <w:rsid w:val="00AB5E26"/>
    <w:rsid w:val="00AB6525"/>
    <w:rsid w:val="00AB6A43"/>
    <w:rsid w:val="00AB6E98"/>
    <w:rsid w:val="00AB74C4"/>
    <w:rsid w:val="00AB788F"/>
    <w:rsid w:val="00AC03B8"/>
    <w:rsid w:val="00AC1489"/>
    <w:rsid w:val="00AC1600"/>
    <w:rsid w:val="00AC2275"/>
    <w:rsid w:val="00AC300B"/>
    <w:rsid w:val="00AC3607"/>
    <w:rsid w:val="00AC426C"/>
    <w:rsid w:val="00AC4C97"/>
    <w:rsid w:val="00AC5F1B"/>
    <w:rsid w:val="00AC6262"/>
    <w:rsid w:val="00AC6C0B"/>
    <w:rsid w:val="00AC7246"/>
    <w:rsid w:val="00AD0070"/>
    <w:rsid w:val="00AD05FF"/>
    <w:rsid w:val="00AD14B2"/>
    <w:rsid w:val="00AD1E8D"/>
    <w:rsid w:val="00AD2FF4"/>
    <w:rsid w:val="00AD31AA"/>
    <w:rsid w:val="00AD38F0"/>
    <w:rsid w:val="00AD3D3D"/>
    <w:rsid w:val="00AD3EDD"/>
    <w:rsid w:val="00AD3EFB"/>
    <w:rsid w:val="00AD4130"/>
    <w:rsid w:val="00AD4ABA"/>
    <w:rsid w:val="00AD4F09"/>
    <w:rsid w:val="00AD5144"/>
    <w:rsid w:val="00AD5561"/>
    <w:rsid w:val="00AD627D"/>
    <w:rsid w:val="00AD698F"/>
    <w:rsid w:val="00AD6996"/>
    <w:rsid w:val="00AD7EA9"/>
    <w:rsid w:val="00AE0880"/>
    <w:rsid w:val="00AE2669"/>
    <w:rsid w:val="00AE3118"/>
    <w:rsid w:val="00AE3A07"/>
    <w:rsid w:val="00AE5AD2"/>
    <w:rsid w:val="00AE6E1B"/>
    <w:rsid w:val="00AE7C1F"/>
    <w:rsid w:val="00AE7C65"/>
    <w:rsid w:val="00AF017B"/>
    <w:rsid w:val="00AF01B8"/>
    <w:rsid w:val="00AF0FB4"/>
    <w:rsid w:val="00AF0FE0"/>
    <w:rsid w:val="00AF169C"/>
    <w:rsid w:val="00AF19F7"/>
    <w:rsid w:val="00AF1F63"/>
    <w:rsid w:val="00AF2219"/>
    <w:rsid w:val="00AF22A9"/>
    <w:rsid w:val="00AF2A69"/>
    <w:rsid w:val="00AF3264"/>
    <w:rsid w:val="00AF3C20"/>
    <w:rsid w:val="00AF4730"/>
    <w:rsid w:val="00AF4B34"/>
    <w:rsid w:val="00AF4FE4"/>
    <w:rsid w:val="00AF5946"/>
    <w:rsid w:val="00AF6BE0"/>
    <w:rsid w:val="00AF76FB"/>
    <w:rsid w:val="00AF78CE"/>
    <w:rsid w:val="00B0094D"/>
    <w:rsid w:val="00B01670"/>
    <w:rsid w:val="00B02047"/>
    <w:rsid w:val="00B02DCB"/>
    <w:rsid w:val="00B02F43"/>
    <w:rsid w:val="00B02F9A"/>
    <w:rsid w:val="00B03098"/>
    <w:rsid w:val="00B03BB4"/>
    <w:rsid w:val="00B04C65"/>
    <w:rsid w:val="00B05107"/>
    <w:rsid w:val="00B05B2D"/>
    <w:rsid w:val="00B103A1"/>
    <w:rsid w:val="00B105E4"/>
    <w:rsid w:val="00B108D8"/>
    <w:rsid w:val="00B10963"/>
    <w:rsid w:val="00B10BFF"/>
    <w:rsid w:val="00B11A40"/>
    <w:rsid w:val="00B11B9F"/>
    <w:rsid w:val="00B123AD"/>
    <w:rsid w:val="00B15038"/>
    <w:rsid w:val="00B20A3A"/>
    <w:rsid w:val="00B20B57"/>
    <w:rsid w:val="00B217A0"/>
    <w:rsid w:val="00B230A5"/>
    <w:rsid w:val="00B23236"/>
    <w:rsid w:val="00B26313"/>
    <w:rsid w:val="00B26477"/>
    <w:rsid w:val="00B27688"/>
    <w:rsid w:val="00B303A4"/>
    <w:rsid w:val="00B306F8"/>
    <w:rsid w:val="00B30741"/>
    <w:rsid w:val="00B30A89"/>
    <w:rsid w:val="00B32347"/>
    <w:rsid w:val="00B324F7"/>
    <w:rsid w:val="00B328BB"/>
    <w:rsid w:val="00B328D4"/>
    <w:rsid w:val="00B32FEF"/>
    <w:rsid w:val="00B33484"/>
    <w:rsid w:val="00B35377"/>
    <w:rsid w:val="00B3538D"/>
    <w:rsid w:val="00B37790"/>
    <w:rsid w:val="00B37B92"/>
    <w:rsid w:val="00B41026"/>
    <w:rsid w:val="00B410B7"/>
    <w:rsid w:val="00B4183C"/>
    <w:rsid w:val="00B41C0A"/>
    <w:rsid w:val="00B425F6"/>
    <w:rsid w:val="00B42E64"/>
    <w:rsid w:val="00B439C3"/>
    <w:rsid w:val="00B4421F"/>
    <w:rsid w:val="00B443AB"/>
    <w:rsid w:val="00B44973"/>
    <w:rsid w:val="00B44C0B"/>
    <w:rsid w:val="00B45B19"/>
    <w:rsid w:val="00B45B35"/>
    <w:rsid w:val="00B45C09"/>
    <w:rsid w:val="00B4652D"/>
    <w:rsid w:val="00B46CDA"/>
    <w:rsid w:val="00B46E31"/>
    <w:rsid w:val="00B46ECB"/>
    <w:rsid w:val="00B478B6"/>
    <w:rsid w:val="00B47B7F"/>
    <w:rsid w:val="00B503DA"/>
    <w:rsid w:val="00B50D4E"/>
    <w:rsid w:val="00B51371"/>
    <w:rsid w:val="00B523CC"/>
    <w:rsid w:val="00B5303E"/>
    <w:rsid w:val="00B53C0C"/>
    <w:rsid w:val="00B5482C"/>
    <w:rsid w:val="00B5510F"/>
    <w:rsid w:val="00B5689A"/>
    <w:rsid w:val="00B57020"/>
    <w:rsid w:val="00B571C7"/>
    <w:rsid w:val="00B5781D"/>
    <w:rsid w:val="00B579FA"/>
    <w:rsid w:val="00B579FD"/>
    <w:rsid w:val="00B57A60"/>
    <w:rsid w:val="00B601D6"/>
    <w:rsid w:val="00B60E8C"/>
    <w:rsid w:val="00B625A9"/>
    <w:rsid w:val="00B628D1"/>
    <w:rsid w:val="00B62912"/>
    <w:rsid w:val="00B62DA6"/>
    <w:rsid w:val="00B62EE3"/>
    <w:rsid w:val="00B63B03"/>
    <w:rsid w:val="00B64389"/>
    <w:rsid w:val="00B6496F"/>
    <w:rsid w:val="00B65496"/>
    <w:rsid w:val="00B6610F"/>
    <w:rsid w:val="00B66243"/>
    <w:rsid w:val="00B6681E"/>
    <w:rsid w:val="00B66E78"/>
    <w:rsid w:val="00B66FF3"/>
    <w:rsid w:val="00B670D4"/>
    <w:rsid w:val="00B67D89"/>
    <w:rsid w:val="00B70C3B"/>
    <w:rsid w:val="00B71B63"/>
    <w:rsid w:val="00B71EA0"/>
    <w:rsid w:val="00B71F4E"/>
    <w:rsid w:val="00B72F6E"/>
    <w:rsid w:val="00B7308F"/>
    <w:rsid w:val="00B7369B"/>
    <w:rsid w:val="00B73929"/>
    <w:rsid w:val="00B73995"/>
    <w:rsid w:val="00B739CE"/>
    <w:rsid w:val="00B73CA7"/>
    <w:rsid w:val="00B7441E"/>
    <w:rsid w:val="00B74643"/>
    <w:rsid w:val="00B748D8"/>
    <w:rsid w:val="00B74C3A"/>
    <w:rsid w:val="00B74D17"/>
    <w:rsid w:val="00B74FDB"/>
    <w:rsid w:val="00B75FDF"/>
    <w:rsid w:val="00B766DF"/>
    <w:rsid w:val="00B775B3"/>
    <w:rsid w:val="00B77998"/>
    <w:rsid w:val="00B77FDE"/>
    <w:rsid w:val="00B8019A"/>
    <w:rsid w:val="00B809C8"/>
    <w:rsid w:val="00B80A6E"/>
    <w:rsid w:val="00B81550"/>
    <w:rsid w:val="00B81620"/>
    <w:rsid w:val="00B81658"/>
    <w:rsid w:val="00B81A87"/>
    <w:rsid w:val="00B81D6B"/>
    <w:rsid w:val="00B81D85"/>
    <w:rsid w:val="00B8285B"/>
    <w:rsid w:val="00B8382B"/>
    <w:rsid w:val="00B838B5"/>
    <w:rsid w:val="00B83E92"/>
    <w:rsid w:val="00B84001"/>
    <w:rsid w:val="00B85688"/>
    <w:rsid w:val="00B86206"/>
    <w:rsid w:val="00B86F81"/>
    <w:rsid w:val="00B908E3"/>
    <w:rsid w:val="00B90DDD"/>
    <w:rsid w:val="00B91472"/>
    <w:rsid w:val="00B91A01"/>
    <w:rsid w:val="00B91F4F"/>
    <w:rsid w:val="00B92905"/>
    <w:rsid w:val="00B94332"/>
    <w:rsid w:val="00B949C5"/>
    <w:rsid w:val="00B94CB6"/>
    <w:rsid w:val="00B95325"/>
    <w:rsid w:val="00B967EE"/>
    <w:rsid w:val="00B96A42"/>
    <w:rsid w:val="00B96CB0"/>
    <w:rsid w:val="00B9762B"/>
    <w:rsid w:val="00B97A4D"/>
    <w:rsid w:val="00BA0977"/>
    <w:rsid w:val="00BA09CB"/>
    <w:rsid w:val="00BA0D59"/>
    <w:rsid w:val="00BA0F96"/>
    <w:rsid w:val="00BA1169"/>
    <w:rsid w:val="00BA1D0E"/>
    <w:rsid w:val="00BA2ACD"/>
    <w:rsid w:val="00BA376E"/>
    <w:rsid w:val="00BA3E2D"/>
    <w:rsid w:val="00BA56C7"/>
    <w:rsid w:val="00BA65F5"/>
    <w:rsid w:val="00BA7106"/>
    <w:rsid w:val="00BA7166"/>
    <w:rsid w:val="00BB08F4"/>
    <w:rsid w:val="00BB096E"/>
    <w:rsid w:val="00BB1781"/>
    <w:rsid w:val="00BB1A5D"/>
    <w:rsid w:val="00BB1B2E"/>
    <w:rsid w:val="00BB1BF3"/>
    <w:rsid w:val="00BB253E"/>
    <w:rsid w:val="00BB2EE8"/>
    <w:rsid w:val="00BB35EC"/>
    <w:rsid w:val="00BB3947"/>
    <w:rsid w:val="00BB3AC6"/>
    <w:rsid w:val="00BB415D"/>
    <w:rsid w:val="00BB644D"/>
    <w:rsid w:val="00BB69F2"/>
    <w:rsid w:val="00BB6F60"/>
    <w:rsid w:val="00BB79F3"/>
    <w:rsid w:val="00BB7DB9"/>
    <w:rsid w:val="00BB7E50"/>
    <w:rsid w:val="00BB7F61"/>
    <w:rsid w:val="00BC01DE"/>
    <w:rsid w:val="00BC09B4"/>
    <w:rsid w:val="00BC112B"/>
    <w:rsid w:val="00BC27BD"/>
    <w:rsid w:val="00BC27F9"/>
    <w:rsid w:val="00BC32EB"/>
    <w:rsid w:val="00BC3312"/>
    <w:rsid w:val="00BC3A6E"/>
    <w:rsid w:val="00BC4430"/>
    <w:rsid w:val="00BC5CAF"/>
    <w:rsid w:val="00BC5E39"/>
    <w:rsid w:val="00BC69DC"/>
    <w:rsid w:val="00BC7C72"/>
    <w:rsid w:val="00BD0903"/>
    <w:rsid w:val="00BD0F86"/>
    <w:rsid w:val="00BD16ED"/>
    <w:rsid w:val="00BD362F"/>
    <w:rsid w:val="00BD4871"/>
    <w:rsid w:val="00BD64A7"/>
    <w:rsid w:val="00BD699C"/>
    <w:rsid w:val="00BE01A1"/>
    <w:rsid w:val="00BE01AA"/>
    <w:rsid w:val="00BE0BF1"/>
    <w:rsid w:val="00BE0DB9"/>
    <w:rsid w:val="00BE1443"/>
    <w:rsid w:val="00BE16CB"/>
    <w:rsid w:val="00BE2787"/>
    <w:rsid w:val="00BE32AD"/>
    <w:rsid w:val="00BE39C1"/>
    <w:rsid w:val="00BE4C2F"/>
    <w:rsid w:val="00BE4E0D"/>
    <w:rsid w:val="00BE5149"/>
    <w:rsid w:val="00BE53F5"/>
    <w:rsid w:val="00BE5DA5"/>
    <w:rsid w:val="00BE5EF0"/>
    <w:rsid w:val="00BE6268"/>
    <w:rsid w:val="00BE6327"/>
    <w:rsid w:val="00BE6C22"/>
    <w:rsid w:val="00BE6D38"/>
    <w:rsid w:val="00BF0973"/>
    <w:rsid w:val="00BF0D15"/>
    <w:rsid w:val="00BF1ADA"/>
    <w:rsid w:val="00BF2D74"/>
    <w:rsid w:val="00BF3B87"/>
    <w:rsid w:val="00BF42A8"/>
    <w:rsid w:val="00BF4C5C"/>
    <w:rsid w:val="00BF5841"/>
    <w:rsid w:val="00BF5EA5"/>
    <w:rsid w:val="00BF70F2"/>
    <w:rsid w:val="00BF711F"/>
    <w:rsid w:val="00BF73A5"/>
    <w:rsid w:val="00BF7B2A"/>
    <w:rsid w:val="00BF7C8F"/>
    <w:rsid w:val="00C0003C"/>
    <w:rsid w:val="00C00175"/>
    <w:rsid w:val="00C003EA"/>
    <w:rsid w:val="00C006C5"/>
    <w:rsid w:val="00C01B93"/>
    <w:rsid w:val="00C022C0"/>
    <w:rsid w:val="00C02D75"/>
    <w:rsid w:val="00C03BF7"/>
    <w:rsid w:val="00C0419F"/>
    <w:rsid w:val="00C04354"/>
    <w:rsid w:val="00C04B26"/>
    <w:rsid w:val="00C06F1A"/>
    <w:rsid w:val="00C070A2"/>
    <w:rsid w:val="00C10077"/>
    <w:rsid w:val="00C1149F"/>
    <w:rsid w:val="00C12BFA"/>
    <w:rsid w:val="00C133DC"/>
    <w:rsid w:val="00C1385E"/>
    <w:rsid w:val="00C13AA9"/>
    <w:rsid w:val="00C14413"/>
    <w:rsid w:val="00C156B7"/>
    <w:rsid w:val="00C15D9D"/>
    <w:rsid w:val="00C16864"/>
    <w:rsid w:val="00C16987"/>
    <w:rsid w:val="00C1700D"/>
    <w:rsid w:val="00C1762F"/>
    <w:rsid w:val="00C17698"/>
    <w:rsid w:val="00C17B8C"/>
    <w:rsid w:val="00C20108"/>
    <w:rsid w:val="00C203FB"/>
    <w:rsid w:val="00C2149A"/>
    <w:rsid w:val="00C21CF9"/>
    <w:rsid w:val="00C222AD"/>
    <w:rsid w:val="00C22627"/>
    <w:rsid w:val="00C2295F"/>
    <w:rsid w:val="00C22EF4"/>
    <w:rsid w:val="00C2357A"/>
    <w:rsid w:val="00C245A9"/>
    <w:rsid w:val="00C248C8"/>
    <w:rsid w:val="00C25064"/>
    <w:rsid w:val="00C25D23"/>
    <w:rsid w:val="00C2794B"/>
    <w:rsid w:val="00C27D21"/>
    <w:rsid w:val="00C27E1F"/>
    <w:rsid w:val="00C301FE"/>
    <w:rsid w:val="00C30639"/>
    <w:rsid w:val="00C319A6"/>
    <w:rsid w:val="00C31BCB"/>
    <w:rsid w:val="00C33303"/>
    <w:rsid w:val="00C3388F"/>
    <w:rsid w:val="00C343ED"/>
    <w:rsid w:val="00C35AAA"/>
    <w:rsid w:val="00C35E05"/>
    <w:rsid w:val="00C3606E"/>
    <w:rsid w:val="00C36085"/>
    <w:rsid w:val="00C369D9"/>
    <w:rsid w:val="00C36C2F"/>
    <w:rsid w:val="00C37073"/>
    <w:rsid w:val="00C374B7"/>
    <w:rsid w:val="00C37B6C"/>
    <w:rsid w:val="00C37B7A"/>
    <w:rsid w:val="00C41255"/>
    <w:rsid w:val="00C42189"/>
    <w:rsid w:val="00C424E9"/>
    <w:rsid w:val="00C42964"/>
    <w:rsid w:val="00C42F84"/>
    <w:rsid w:val="00C4515E"/>
    <w:rsid w:val="00C45F5F"/>
    <w:rsid w:val="00C465B4"/>
    <w:rsid w:val="00C466BC"/>
    <w:rsid w:val="00C466F2"/>
    <w:rsid w:val="00C467D7"/>
    <w:rsid w:val="00C479AF"/>
    <w:rsid w:val="00C50963"/>
    <w:rsid w:val="00C5190F"/>
    <w:rsid w:val="00C5220D"/>
    <w:rsid w:val="00C52A8C"/>
    <w:rsid w:val="00C532BA"/>
    <w:rsid w:val="00C536EC"/>
    <w:rsid w:val="00C538F4"/>
    <w:rsid w:val="00C5407A"/>
    <w:rsid w:val="00C549F8"/>
    <w:rsid w:val="00C56601"/>
    <w:rsid w:val="00C56CE2"/>
    <w:rsid w:val="00C57AA7"/>
    <w:rsid w:val="00C6059E"/>
    <w:rsid w:val="00C6105E"/>
    <w:rsid w:val="00C62057"/>
    <w:rsid w:val="00C623EA"/>
    <w:rsid w:val="00C631D3"/>
    <w:rsid w:val="00C634B3"/>
    <w:rsid w:val="00C652D1"/>
    <w:rsid w:val="00C6584E"/>
    <w:rsid w:val="00C65C6A"/>
    <w:rsid w:val="00C66999"/>
    <w:rsid w:val="00C67B97"/>
    <w:rsid w:val="00C67D8F"/>
    <w:rsid w:val="00C67FD3"/>
    <w:rsid w:val="00C70AAA"/>
    <w:rsid w:val="00C70BFB"/>
    <w:rsid w:val="00C70C72"/>
    <w:rsid w:val="00C71303"/>
    <w:rsid w:val="00C724B0"/>
    <w:rsid w:val="00C72953"/>
    <w:rsid w:val="00C743DE"/>
    <w:rsid w:val="00C755B1"/>
    <w:rsid w:val="00C76209"/>
    <w:rsid w:val="00C765E2"/>
    <w:rsid w:val="00C76696"/>
    <w:rsid w:val="00C76A7C"/>
    <w:rsid w:val="00C76EAB"/>
    <w:rsid w:val="00C770B0"/>
    <w:rsid w:val="00C77EFD"/>
    <w:rsid w:val="00C804AA"/>
    <w:rsid w:val="00C8160E"/>
    <w:rsid w:val="00C817BA"/>
    <w:rsid w:val="00C8198A"/>
    <w:rsid w:val="00C822E9"/>
    <w:rsid w:val="00C83164"/>
    <w:rsid w:val="00C836EF"/>
    <w:rsid w:val="00C83F1C"/>
    <w:rsid w:val="00C84209"/>
    <w:rsid w:val="00C84604"/>
    <w:rsid w:val="00C85409"/>
    <w:rsid w:val="00C858A8"/>
    <w:rsid w:val="00C8592F"/>
    <w:rsid w:val="00C8604A"/>
    <w:rsid w:val="00C86E87"/>
    <w:rsid w:val="00C87CF6"/>
    <w:rsid w:val="00C906F3"/>
    <w:rsid w:val="00C90C27"/>
    <w:rsid w:val="00C93EC9"/>
    <w:rsid w:val="00C94F3A"/>
    <w:rsid w:val="00CA01D5"/>
    <w:rsid w:val="00CA0287"/>
    <w:rsid w:val="00CA0495"/>
    <w:rsid w:val="00CA04DC"/>
    <w:rsid w:val="00CA1306"/>
    <w:rsid w:val="00CA1412"/>
    <w:rsid w:val="00CA15BB"/>
    <w:rsid w:val="00CA1C49"/>
    <w:rsid w:val="00CA22A4"/>
    <w:rsid w:val="00CA2EC6"/>
    <w:rsid w:val="00CA3DAF"/>
    <w:rsid w:val="00CA3E4F"/>
    <w:rsid w:val="00CA61EC"/>
    <w:rsid w:val="00CA63B2"/>
    <w:rsid w:val="00CA6A9D"/>
    <w:rsid w:val="00CA72C2"/>
    <w:rsid w:val="00CB0BAB"/>
    <w:rsid w:val="00CB0CDF"/>
    <w:rsid w:val="00CB1903"/>
    <w:rsid w:val="00CB197A"/>
    <w:rsid w:val="00CB2072"/>
    <w:rsid w:val="00CB30BE"/>
    <w:rsid w:val="00CB3395"/>
    <w:rsid w:val="00CB3773"/>
    <w:rsid w:val="00CB3FC8"/>
    <w:rsid w:val="00CB47E0"/>
    <w:rsid w:val="00CB4B48"/>
    <w:rsid w:val="00CB58C0"/>
    <w:rsid w:val="00CB7445"/>
    <w:rsid w:val="00CC0E0A"/>
    <w:rsid w:val="00CC1A0F"/>
    <w:rsid w:val="00CC1CB8"/>
    <w:rsid w:val="00CC2896"/>
    <w:rsid w:val="00CC2F6F"/>
    <w:rsid w:val="00CC48F1"/>
    <w:rsid w:val="00CC4C6C"/>
    <w:rsid w:val="00CC4D68"/>
    <w:rsid w:val="00CC534A"/>
    <w:rsid w:val="00CC5810"/>
    <w:rsid w:val="00CC5C5A"/>
    <w:rsid w:val="00CC6359"/>
    <w:rsid w:val="00CC6D65"/>
    <w:rsid w:val="00CC732C"/>
    <w:rsid w:val="00CD03AF"/>
    <w:rsid w:val="00CD075C"/>
    <w:rsid w:val="00CD0BC2"/>
    <w:rsid w:val="00CD1610"/>
    <w:rsid w:val="00CD1B1F"/>
    <w:rsid w:val="00CD2CA9"/>
    <w:rsid w:val="00CD2CE5"/>
    <w:rsid w:val="00CD38AB"/>
    <w:rsid w:val="00CD3A3F"/>
    <w:rsid w:val="00CD4B09"/>
    <w:rsid w:val="00CD5057"/>
    <w:rsid w:val="00CD5D19"/>
    <w:rsid w:val="00CD5F3C"/>
    <w:rsid w:val="00CD61B2"/>
    <w:rsid w:val="00CD6D20"/>
    <w:rsid w:val="00CE0303"/>
    <w:rsid w:val="00CE0356"/>
    <w:rsid w:val="00CE0C3A"/>
    <w:rsid w:val="00CE0F9D"/>
    <w:rsid w:val="00CE1071"/>
    <w:rsid w:val="00CE150E"/>
    <w:rsid w:val="00CE17AB"/>
    <w:rsid w:val="00CE26FD"/>
    <w:rsid w:val="00CE2FFB"/>
    <w:rsid w:val="00CE34F4"/>
    <w:rsid w:val="00CE3C57"/>
    <w:rsid w:val="00CE3F03"/>
    <w:rsid w:val="00CE5B34"/>
    <w:rsid w:val="00CE6076"/>
    <w:rsid w:val="00CE6183"/>
    <w:rsid w:val="00CE6663"/>
    <w:rsid w:val="00CE6A14"/>
    <w:rsid w:val="00CE7738"/>
    <w:rsid w:val="00CE7DC1"/>
    <w:rsid w:val="00CF03D5"/>
    <w:rsid w:val="00CF15FE"/>
    <w:rsid w:val="00CF1E3A"/>
    <w:rsid w:val="00CF3717"/>
    <w:rsid w:val="00CF3DCF"/>
    <w:rsid w:val="00CF57F9"/>
    <w:rsid w:val="00CF5E15"/>
    <w:rsid w:val="00CF5F47"/>
    <w:rsid w:val="00CF67E8"/>
    <w:rsid w:val="00CF6B32"/>
    <w:rsid w:val="00CF735B"/>
    <w:rsid w:val="00CF7454"/>
    <w:rsid w:val="00D008E0"/>
    <w:rsid w:val="00D0148E"/>
    <w:rsid w:val="00D01ABF"/>
    <w:rsid w:val="00D02827"/>
    <w:rsid w:val="00D02971"/>
    <w:rsid w:val="00D02B19"/>
    <w:rsid w:val="00D02D64"/>
    <w:rsid w:val="00D043E5"/>
    <w:rsid w:val="00D054AF"/>
    <w:rsid w:val="00D05725"/>
    <w:rsid w:val="00D0744C"/>
    <w:rsid w:val="00D07795"/>
    <w:rsid w:val="00D11CD7"/>
    <w:rsid w:val="00D12A8F"/>
    <w:rsid w:val="00D12DEC"/>
    <w:rsid w:val="00D131A3"/>
    <w:rsid w:val="00D13214"/>
    <w:rsid w:val="00D14358"/>
    <w:rsid w:val="00D14D84"/>
    <w:rsid w:val="00D1551A"/>
    <w:rsid w:val="00D15FAC"/>
    <w:rsid w:val="00D16696"/>
    <w:rsid w:val="00D16DF0"/>
    <w:rsid w:val="00D17E5C"/>
    <w:rsid w:val="00D2096A"/>
    <w:rsid w:val="00D20AFC"/>
    <w:rsid w:val="00D21279"/>
    <w:rsid w:val="00D214FC"/>
    <w:rsid w:val="00D2175C"/>
    <w:rsid w:val="00D22521"/>
    <w:rsid w:val="00D23B0E"/>
    <w:rsid w:val="00D24D51"/>
    <w:rsid w:val="00D24D7D"/>
    <w:rsid w:val="00D264E0"/>
    <w:rsid w:val="00D26DF2"/>
    <w:rsid w:val="00D30015"/>
    <w:rsid w:val="00D306D0"/>
    <w:rsid w:val="00D308D1"/>
    <w:rsid w:val="00D30B6C"/>
    <w:rsid w:val="00D32457"/>
    <w:rsid w:val="00D33194"/>
    <w:rsid w:val="00D3382C"/>
    <w:rsid w:val="00D33E6D"/>
    <w:rsid w:val="00D34236"/>
    <w:rsid w:val="00D3453C"/>
    <w:rsid w:val="00D34B52"/>
    <w:rsid w:val="00D3507E"/>
    <w:rsid w:val="00D3635C"/>
    <w:rsid w:val="00D36556"/>
    <w:rsid w:val="00D36877"/>
    <w:rsid w:val="00D36DAE"/>
    <w:rsid w:val="00D3706B"/>
    <w:rsid w:val="00D3718B"/>
    <w:rsid w:val="00D37FDB"/>
    <w:rsid w:val="00D40648"/>
    <w:rsid w:val="00D40764"/>
    <w:rsid w:val="00D41091"/>
    <w:rsid w:val="00D4170A"/>
    <w:rsid w:val="00D41823"/>
    <w:rsid w:val="00D41991"/>
    <w:rsid w:val="00D41CAE"/>
    <w:rsid w:val="00D41DBE"/>
    <w:rsid w:val="00D425AD"/>
    <w:rsid w:val="00D42794"/>
    <w:rsid w:val="00D43159"/>
    <w:rsid w:val="00D43546"/>
    <w:rsid w:val="00D441FD"/>
    <w:rsid w:val="00D448F0"/>
    <w:rsid w:val="00D45208"/>
    <w:rsid w:val="00D45531"/>
    <w:rsid w:val="00D45882"/>
    <w:rsid w:val="00D45928"/>
    <w:rsid w:val="00D45E3B"/>
    <w:rsid w:val="00D45EC1"/>
    <w:rsid w:val="00D461E2"/>
    <w:rsid w:val="00D46E2D"/>
    <w:rsid w:val="00D47230"/>
    <w:rsid w:val="00D47362"/>
    <w:rsid w:val="00D47520"/>
    <w:rsid w:val="00D4788E"/>
    <w:rsid w:val="00D479EB"/>
    <w:rsid w:val="00D47B48"/>
    <w:rsid w:val="00D47DFA"/>
    <w:rsid w:val="00D50123"/>
    <w:rsid w:val="00D5086B"/>
    <w:rsid w:val="00D511A9"/>
    <w:rsid w:val="00D511AB"/>
    <w:rsid w:val="00D516BD"/>
    <w:rsid w:val="00D5205F"/>
    <w:rsid w:val="00D52180"/>
    <w:rsid w:val="00D52CC5"/>
    <w:rsid w:val="00D5309B"/>
    <w:rsid w:val="00D53587"/>
    <w:rsid w:val="00D53943"/>
    <w:rsid w:val="00D54E1D"/>
    <w:rsid w:val="00D55FF6"/>
    <w:rsid w:val="00D56352"/>
    <w:rsid w:val="00D5646E"/>
    <w:rsid w:val="00D5716D"/>
    <w:rsid w:val="00D577DD"/>
    <w:rsid w:val="00D6096E"/>
    <w:rsid w:val="00D60A52"/>
    <w:rsid w:val="00D61196"/>
    <w:rsid w:val="00D61476"/>
    <w:rsid w:val="00D62735"/>
    <w:rsid w:val="00D628DE"/>
    <w:rsid w:val="00D62BEE"/>
    <w:rsid w:val="00D6378C"/>
    <w:rsid w:val="00D639B4"/>
    <w:rsid w:val="00D65AB0"/>
    <w:rsid w:val="00D66E1B"/>
    <w:rsid w:val="00D67503"/>
    <w:rsid w:val="00D709AF"/>
    <w:rsid w:val="00D70A41"/>
    <w:rsid w:val="00D70F3C"/>
    <w:rsid w:val="00D71149"/>
    <w:rsid w:val="00D71E70"/>
    <w:rsid w:val="00D72706"/>
    <w:rsid w:val="00D74CD5"/>
    <w:rsid w:val="00D74FAA"/>
    <w:rsid w:val="00D75204"/>
    <w:rsid w:val="00D753CB"/>
    <w:rsid w:val="00D755F4"/>
    <w:rsid w:val="00D76152"/>
    <w:rsid w:val="00D770DB"/>
    <w:rsid w:val="00D779BD"/>
    <w:rsid w:val="00D81B12"/>
    <w:rsid w:val="00D824DA"/>
    <w:rsid w:val="00D82619"/>
    <w:rsid w:val="00D82B46"/>
    <w:rsid w:val="00D83A81"/>
    <w:rsid w:val="00D83B12"/>
    <w:rsid w:val="00D8471D"/>
    <w:rsid w:val="00D84EC8"/>
    <w:rsid w:val="00D852BF"/>
    <w:rsid w:val="00D857DE"/>
    <w:rsid w:val="00D858B8"/>
    <w:rsid w:val="00D87EF7"/>
    <w:rsid w:val="00D90FA2"/>
    <w:rsid w:val="00D91774"/>
    <w:rsid w:val="00D926F4"/>
    <w:rsid w:val="00D930FB"/>
    <w:rsid w:val="00D93272"/>
    <w:rsid w:val="00D934D9"/>
    <w:rsid w:val="00D93D88"/>
    <w:rsid w:val="00D9459C"/>
    <w:rsid w:val="00D94ADC"/>
    <w:rsid w:val="00D958D0"/>
    <w:rsid w:val="00D958DE"/>
    <w:rsid w:val="00D96B17"/>
    <w:rsid w:val="00D96C9C"/>
    <w:rsid w:val="00DA0CA1"/>
    <w:rsid w:val="00DA0CC0"/>
    <w:rsid w:val="00DA0EB2"/>
    <w:rsid w:val="00DA0F33"/>
    <w:rsid w:val="00DA10A0"/>
    <w:rsid w:val="00DA1597"/>
    <w:rsid w:val="00DA16B8"/>
    <w:rsid w:val="00DA1A28"/>
    <w:rsid w:val="00DA1A5E"/>
    <w:rsid w:val="00DA2B20"/>
    <w:rsid w:val="00DA67D3"/>
    <w:rsid w:val="00DA6955"/>
    <w:rsid w:val="00DA6A13"/>
    <w:rsid w:val="00DB00EF"/>
    <w:rsid w:val="00DB03A9"/>
    <w:rsid w:val="00DB03E2"/>
    <w:rsid w:val="00DB1A2A"/>
    <w:rsid w:val="00DB1ABC"/>
    <w:rsid w:val="00DB1DFF"/>
    <w:rsid w:val="00DB2317"/>
    <w:rsid w:val="00DB2827"/>
    <w:rsid w:val="00DB3747"/>
    <w:rsid w:val="00DB3D2B"/>
    <w:rsid w:val="00DB46C2"/>
    <w:rsid w:val="00DB4755"/>
    <w:rsid w:val="00DB4B8F"/>
    <w:rsid w:val="00DB62F6"/>
    <w:rsid w:val="00DB6676"/>
    <w:rsid w:val="00DB70E5"/>
    <w:rsid w:val="00DB756C"/>
    <w:rsid w:val="00DB7B75"/>
    <w:rsid w:val="00DC04C3"/>
    <w:rsid w:val="00DC1E19"/>
    <w:rsid w:val="00DC3480"/>
    <w:rsid w:val="00DC43BD"/>
    <w:rsid w:val="00DC4827"/>
    <w:rsid w:val="00DC4C59"/>
    <w:rsid w:val="00DC4C5D"/>
    <w:rsid w:val="00DC611F"/>
    <w:rsid w:val="00DC632B"/>
    <w:rsid w:val="00DC68B7"/>
    <w:rsid w:val="00DC6AFC"/>
    <w:rsid w:val="00DC6CDB"/>
    <w:rsid w:val="00DC7628"/>
    <w:rsid w:val="00DD03BE"/>
    <w:rsid w:val="00DD0430"/>
    <w:rsid w:val="00DD0633"/>
    <w:rsid w:val="00DD1383"/>
    <w:rsid w:val="00DD1904"/>
    <w:rsid w:val="00DD2960"/>
    <w:rsid w:val="00DD4918"/>
    <w:rsid w:val="00DD5949"/>
    <w:rsid w:val="00DD5EDD"/>
    <w:rsid w:val="00DD6137"/>
    <w:rsid w:val="00DD6CB1"/>
    <w:rsid w:val="00DD6D60"/>
    <w:rsid w:val="00DE00E4"/>
    <w:rsid w:val="00DE01F2"/>
    <w:rsid w:val="00DE0A41"/>
    <w:rsid w:val="00DE1EB8"/>
    <w:rsid w:val="00DE3BF8"/>
    <w:rsid w:val="00DE3EC3"/>
    <w:rsid w:val="00DE53E2"/>
    <w:rsid w:val="00DE5C72"/>
    <w:rsid w:val="00DE67ED"/>
    <w:rsid w:val="00DE6E3F"/>
    <w:rsid w:val="00DE7290"/>
    <w:rsid w:val="00DE76F4"/>
    <w:rsid w:val="00DE7A8F"/>
    <w:rsid w:val="00DF0A1B"/>
    <w:rsid w:val="00DF0C03"/>
    <w:rsid w:val="00DF0E2A"/>
    <w:rsid w:val="00DF196F"/>
    <w:rsid w:val="00DF22EF"/>
    <w:rsid w:val="00DF24D9"/>
    <w:rsid w:val="00DF25A2"/>
    <w:rsid w:val="00DF25EB"/>
    <w:rsid w:val="00DF28F3"/>
    <w:rsid w:val="00DF42FD"/>
    <w:rsid w:val="00DF4680"/>
    <w:rsid w:val="00DF4EC0"/>
    <w:rsid w:val="00DF59D6"/>
    <w:rsid w:val="00DF75A7"/>
    <w:rsid w:val="00DF7982"/>
    <w:rsid w:val="00DF7E36"/>
    <w:rsid w:val="00E0177D"/>
    <w:rsid w:val="00E01889"/>
    <w:rsid w:val="00E02FA8"/>
    <w:rsid w:val="00E03A48"/>
    <w:rsid w:val="00E03B0A"/>
    <w:rsid w:val="00E0425C"/>
    <w:rsid w:val="00E04336"/>
    <w:rsid w:val="00E0693D"/>
    <w:rsid w:val="00E077EC"/>
    <w:rsid w:val="00E07F0F"/>
    <w:rsid w:val="00E11033"/>
    <w:rsid w:val="00E12D2A"/>
    <w:rsid w:val="00E1372C"/>
    <w:rsid w:val="00E13CDE"/>
    <w:rsid w:val="00E1408B"/>
    <w:rsid w:val="00E1578D"/>
    <w:rsid w:val="00E17013"/>
    <w:rsid w:val="00E17018"/>
    <w:rsid w:val="00E17307"/>
    <w:rsid w:val="00E20F7A"/>
    <w:rsid w:val="00E2117C"/>
    <w:rsid w:val="00E21D68"/>
    <w:rsid w:val="00E23D5F"/>
    <w:rsid w:val="00E25BB7"/>
    <w:rsid w:val="00E27894"/>
    <w:rsid w:val="00E30475"/>
    <w:rsid w:val="00E32303"/>
    <w:rsid w:val="00E33108"/>
    <w:rsid w:val="00E33425"/>
    <w:rsid w:val="00E33930"/>
    <w:rsid w:val="00E34279"/>
    <w:rsid w:val="00E349AC"/>
    <w:rsid w:val="00E34D7E"/>
    <w:rsid w:val="00E3552A"/>
    <w:rsid w:val="00E357BB"/>
    <w:rsid w:val="00E35ACB"/>
    <w:rsid w:val="00E371EB"/>
    <w:rsid w:val="00E37975"/>
    <w:rsid w:val="00E379FD"/>
    <w:rsid w:val="00E4091D"/>
    <w:rsid w:val="00E40B51"/>
    <w:rsid w:val="00E410F0"/>
    <w:rsid w:val="00E41505"/>
    <w:rsid w:val="00E41745"/>
    <w:rsid w:val="00E41805"/>
    <w:rsid w:val="00E43943"/>
    <w:rsid w:val="00E43E68"/>
    <w:rsid w:val="00E4465F"/>
    <w:rsid w:val="00E45871"/>
    <w:rsid w:val="00E4596C"/>
    <w:rsid w:val="00E45F33"/>
    <w:rsid w:val="00E45FE7"/>
    <w:rsid w:val="00E462C8"/>
    <w:rsid w:val="00E46AA8"/>
    <w:rsid w:val="00E475EA"/>
    <w:rsid w:val="00E47D83"/>
    <w:rsid w:val="00E50564"/>
    <w:rsid w:val="00E5151E"/>
    <w:rsid w:val="00E51EE9"/>
    <w:rsid w:val="00E52A00"/>
    <w:rsid w:val="00E52D23"/>
    <w:rsid w:val="00E53903"/>
    <w:rsid w:val="00E53C32"/>
    <w:rsid w:val="00E54165"/>
    <w:rsid w:val="00E54A82"/>
    <w:rsid w:val="00E55701"/>
    <w:rsid w:val="00E5599E"/>
    <w:rsid w:val="00E560FE"/>
    <w:rsid w:val="00E5614F"/>
    <w:rsid w:val="00E57A15"/>
    <w:rsid w:val="00E600FD"/>
    <w:rsid w:val="00E618BD"/>
    <w:rsid w:val="00E629FF"/>
    <w:rsid w:val="00E63E2A"/>
    <w:rsid w:val="00E63F6C"/>
    <w:rsid w:val="00E63F9E"/>
    <w:rsid w:val="00E63FEF"/>
    <w:rsid w:val="00E64D87"/>
    <w:rsid w:val="00E65918"/>
    <w:rsid w:val="00E663A2"/>
    <w:rsid w:val="00E66BE0"/>
    <w:rsid w:val="00E67311"/>
    <w:rsid w:val="00E6749D"/>
    <w:rsid w:val="00E67797"/>
    <w:rsid w:val="00E67902"/>
    <w:rsid w:val="00E67C65"/>
    <w:rsid w:val="00E703EA"/>
    <w:rsid w:val="00E734AB"/>
    <w:rsid w:val="00E73D0E"/>
    <w:rsid w:val="00E73D69"/>
    <w:rsid w:val="00E741CE"/>
    <w:rsid w:val="00E74B2D"/>
    <w:rsid w:val="00E74C09"/>
    <w:rsid w:val="00E754BA"/>
    <w:rsid w:val="00E757C1"/>
    <w:rsid w:val="00E75E72"/>
    <w:rsid w:val="00E7636B"/>
    <w:rsid w:val="00E76EBE"/>
    <w:rsid w:val="00E77851"/>
    <w:rsid w:val="00E80346"/>
    <w:rsid w:val="00E8131F"/>
    <w:rsid w:val="00E81C05"/>
    <w:rsid w:val="00E85819"/>
    <w:rsid w:val="00E86A97"/>
    <w:rsid w:val="00E87815"/>
    <w:rsid w:val="00E87BFC"/>
    <w:rsid w:val="00E90672"/>
    <w:rsid w:val="00E90C8E"/>
    <w:rsid w:val="00E90D63"/>
    <w:rsid w:val="00E90EE1"/>
    <w:rsid w:val="00E91109"/>
    <w:rsid w:val="00E91B4D"/>
    <w:rsid w:val="00E92CE5"/>
    <w:rsid w:val="00E92D31"/>
    <w:rsid w:val="00E93328"/>
    <w:rsid w:val="00E94855"/>
    <w:rsid w:val="00E95F9F"/>
    <w:rsid w:val="00E965EA"/>
    <w:rsid w:val="00E970D5"/>
    <w:rsid w:val="00E97538"/>
    <w:rsid w:val="00E976EE"/>
    <w:rsid w:val="00E97A31"/>
    <w:rsid w:val="00EA0AD9"/>
    <w:rsid w:val="00EA17AA"/>
    <w:rsid w:val="00EA1F80"/>
    <w:rsid w:val="00EA2B46"/>
    <w:rsid w:val="00EA3620"/>
    <w:rsid w:val="00EA3CE6"/>
    <w:rsid w:val="00EA5AE1"/>
    <w:rsid w:val="00EA5B54"/>
    <w:rsid w:val="00EA649B"/>
    <w:rsid w:val="00EA6B52"/>
    <w:rsid w:val="00EA74D6"/>
    <w:rsid w:val="00EB0407"/>
    <w:rsid w:val="00EB0AAE"/>
    <w:rsid w:val="00EB0EA1"/>
    <w:rsid w:val="00EB122A"/>
    <w:rsid w:val="00EB134A"/>
    <w:rsid w:val="00EB3D82"/>
    <w:rsid w:val="00EB45D5"/>
    <w:rsid w:val="00EB4C5C"/>
    <w:rsid w:val="00EB4F47"/>
    <w:rsid w:val="00EB607F"/>
    <w:rsid w:val="00EB6539"/>
    <w:rsid w:val="00EB69F5"/>
    <w:rsid w:val="00EB755A"/>
    <w:rsid w:val="00EB7871"/>
    <w:rsid w:val="00EC0618"/>
    <w:rsid w:val="00EC1C58"/>
    <w:rsid w:val="00EC1ED0"/>
    <w:rsid w:val="00EC22FC"/>
    <w:rsid w:val="00EC294F"/>
    <w:rsid w:val="00EC2F61"/>
    <w:rsid w:val="00EC346C"/>
    <w:rsid w:val="00EC5029"/>
    <w:rsid w:val="00EC59FD"/>
    <w:rsid w:val="00EC5ADB"/>
    <w:rsid w:val="00EC5E8D"/>
    <w:rsid w:val="00EC6512"/>
    <w:rsid w:val="00EC709B"/>
    <w:rsid w:val="00EC749A"/>
    <w:rsid w:val="00EC78C2"/>
    <w:rsid w:val="00ED05C3"/>
    <w:rsid w:val="00ED075D"/>
    <w:rsid w:val="00ED0AA3"/>
    <w:rsid w:val="00ED0EFB"/>
    <w:rsid w:val="00ED1160"/>
    <w:rsid w:val="00ED156E"/>
    <w:rsid w:val="00ED17DD"/>
    <w:rsid w:val="00ED227E"/>
    <w:rsid w:val="00ED315F"/>
    <w:rsid w:val="00ED3484"/>
    <w:rsid w:val="00ED4E19"/>
    <w:rsid w:val="00ED5BB9"/>
    <w:rsid w:val="00ED5BEB"/>
    <w:rsid w:val="00ED6A5E"/>
    <w:rsid w:val="00ED6ADA"/>
    <w:rsid w:val="00EE2CA9"/>
    <w:rsid w:val="00EE3537"/>
    <w:rsid w:val="00EE3BFD"/>
    <w:rsid w:val="00EE3DE3"/>
    <w:rsid w:val="00EE41EA"/>
    <w:rsid w:val="00EE42C4"/>
    <w:rsid w:val="00EE45D1"/>
    <w:rsid w:val="00EE5AC0"/>
    <w:rsid w:val="00EE6265"/>
    <w:rsid w:val="00EE6579"/>
    <w:rsid w:val="00EE7192"/>
    <w:rsid w:val="00EF117F"/>
    <w:rsid w:val="00EF11F7"/>
    <w:rsid w:val="00EF126F"/>
    <w:rsid w:val="00EF15A3"/>
    <w:rsid w:val="00EF267F"/>
    <w:rsid w:val="00EF3428"/>
    <w:rsid w:val="00EF3432"/>
    <w:rsid w:val="00EF3EC4"/>
    <w:rsid w:val="00EF44B2"/>
    <w:rsid w:val="00EF4854"/>
    <w:rsid w:val="00EF4A6F"/>
    <w:rsid w:val="00EF4FA4"/>
    <w:rsid w:val="00EF55F3"/>
    <w:rsid w:val="00EF5894"/>
    <w:rsid w:val="00EF6B39"/>
    <w:rsid w:val="00EF7271"/>
    <w:rsid w:val="00F00AC4"/>
    <w:rsid w:val="00F00C2A"/>
    <w:rsid w:val="00F00C48"/>
    <w:rsid w:val="00F010B3"/>
    <w:rsid w:val="00F016F7"/>
    <w:rsid w:val="00F01A6E"/>
    <w:rsid w:val="00F01FA6"/>
    <w:rsid w:val="00F02052"/>
    <w:rsid w:val="00F0288F"/>
    <w:rsid w:val="00F029CF"/>
    <w:rsid w:val="00F02E11"/>
    <w:rsid w:val="00F03122"/>
    <w:rsid w:val="00F0370D"/>
    <w:rsid w:val="00F03FE5"/>
    <w:rsid w:val="00F04342"/>
    <w:rsid w:val="00F04EEB"/>
    <w:rsid w:val="00F05984"/>
    <w:rsid w:val="00F075B6"/>
    <w:rsid w:val="00F07DCC"/>
    <w:rsid w:val="00F1055B"/>
    <w:rsid w:val="00F1055E"/>
    <w:rsid w:val="00F1097B"/>
    <w:rsid w:val="00F11165"/>
    <w:rsid w:val="00F12265"/>
    <w:rsid w:val="00F1258B"/>
    <w:rsid w:val="00F1261C"/>
    <w:rsid w:val="00F127DD"/>
    <w:rsid w:val="00F13292"/>
    <w:rsid w:val="00F1407A"/>
    <w:rsid w:val="00F14469"/>
    <w:rsid w:val="00F14636"/>
    <w:rsid w:val="00F14815"/>
    <w:rsid w:val="00F15AFD"/>
    <w:rsid w:val="00F16D5A"/>
    <w:rsid w:val="00F20C7D"/>
    <w:rsid w:val="00F21204"/>
    <w:rsid w:val="00F212CB"/>
    <w:rsid w:val="00F2133F"/>
    <w:rsid w:val="00F2181F"/>
    <w:rsid w:val="00F218E6"/>
    <w:rsid w:val="00F21D64"/>
    <w:rsid w:val="00F21D73"/>
    <w:rsid w:val="00F2243D"/>
    <w:rsid w:val="00F234D4"/>
    <w:rsid w:val="00F237EE"/>
    <w:rsid w:val="00F241FF"/>
    <w:rsid w:val="00F25CC9"/>
    <w:rsid w:val="00F26938"/>
    <w:rsid w:val="00F26D0A"/>
    <w:rsid w:val="00F27096"/>
    <w:rsid w:val="00F27137"/>
    <w:rsid w:val="00F30230"/>
    <w:rsid w:val="00F3273C"/>
    <w:rsid w:val="00F32938"/>
    <w:rsid w:val="00F32DE4"/>
    <w:rsid w:val="00F350B9"/>
    <w:rsid w:val="00F36874"/>
    <w:rsid w:val="00F36D9A"/>
    <w:rsid w:val="00F3786F"/>
    <w:rsid w:val="00F40EEF"/>
    <w:rsid w:val="00F41E98"/>
    <w:rsid w:val="00F43623"/>
    <w:rsid w:val="00F448E8"/>
    <w:rsid w:val="00F467BD"/>
    <w:rsid w:val="00F476DD"/>
    <w:rsid w:val="00F50E09"/>
    <w:rsid w:val="00F50F93"/>
    <w:rsid w:val="00F51265"/>
    <w:rsid w:val="00F519A4"/>
    <w:rsid w:val="00F51A23"/>
    <w:rsid w:val="00F52139"/>
    <w:rsid w:val="00F52A83"/>
    <w:rsid w:val="00F52C36"/>
    <w:rsid w:val="00F52D12"/>
    <w:rsid w:val="00F53461"/>
    <w:rsid w:val="00F544F2"/>
    <w:rsid w:val="00F56084"/>
    <w:rsid w:val="00F56095"/>
    <w:rsid w:val="00F56BC2"/>
    <w:rsid w:val="00F56CB4"/>
    <w:rsid w:val="00F56E65"/>
    <w:rsid w:val="00F56EFA"/>
    <w:rsid w:val="00F5716E"/>
    <w:rsid w:val="00F572D2"/>
    <w:rsid w:val="00F602F0"/>
    <w:rsid w:val="00F6094B"/>
    <w:rsid w:val="00F60B94"/>
    <w:rsid w:val="00F60DAA"/>
    <w:rsid w:val="00F61B59"/>
    <w:rsid w:val="00F62056"/>
    <w:rsid w:val="00F62CA0"/>
    <w:rsid w:val="00F62F7E"/>
    <w:rsid w:val="00F63984"/>
    <w:rsid w:val="00F64784"/>
    <w:rsid w:val="00F65362"/>
    <w:rsid w:val="00F659A4"/>
    <w:rsid w:val="00F65B44"/>
    <w:rsid w:val="00F65BFB"/>
    <w:rsid w:val="00F6693D"/>
    <w:rsid w:val="00F70398"/>
    <w:rsid w:val="00F70690"/>
    <w:rsid w:val="00F70CF7"/>
    <w:rsid w:val="00F71568"/>
    <w:rsid w:val="00F7189A"/>
    <w:rsid w:val="00F7219B"/>
    <w:rsid w:val="00F72229"/>
    <w:rsid w:val="00F72444"/>
    <w:rsid w:val="00F72B85"/>
    <w:rsid w:val="00F73127"/>
    <w:rsid w:val="00F73CBF"/>
    <w:rsid w:val="00F74006"/>
    <w:rsid w:val="00F74935"/>
    <w:rsid w:val="00F74E41"/>
    <w:rsid w:val="00F74F09"/>
    <w:rsid w:val="00F76BF9"/>
    <w:rsid w:val="00F76C6E"/>
    <w:rsid w:val="00F76FE6"/>
    <w:rsid w:val="00F772ED"/>
    <w:rsid w:val="00F77307"/>
    <w:rsid w:val="00F8158A"/>
    <w:rsid w:val="00F82D8B"/>
    <w:rsid w:val="00F83019"/>
    <w:rsid w:val="00F83863"/>
    <w:rsid w:val="00F83EFC"/>
    <w:rsid w:val="00F8604F"/>
    <w:rsid w:val="00F86167"/>
    <w:rsid w:val="00F869B2"/>
    <w:rsid w:val="00F86A77"/>
    <w:rsid w:val="00F86F34"/>
    <w:rsid w:val="00F8772F"/>
    <w:rsid w:val="00F878C8"/>
    <w:rsid w:val="00F92B3C"/>
    <w:rsid w:val="00F92CE7"/>
    <w:rsid w:val="00F938D9"/>
    <w:rsid w:val="00F93E48"/>
    <w:rsid w:val="00F94F58"/>
    <w:rsid w:val="00F94F74"/>
    <w:rsid w:val="00F95931"/>
    <w:rsid w:val="00F9788B"/>
    <w:rsid w:val="00F97A19"/>
    <w:rsid w:val="00FA0727"/>
    <w:rsid w:val="00FA0747"/>
    <w:rsid w:val="00FA0EA6"/>
    <w:rsid w:val="00FA1221"/>
    <w:rsid w:val="00FA2D58"/>
    <w:rsid w:val="00FA355B"/>
    <w:rsid w:val="00FA3CA5"/>
    <w:rsid w:val="00FA4276"/>
    <w:rsid w:val="00FA5EEB"/>
    <w:rsid w:val="00FA60FF"/>
    <w:rsid w:val="00FA6642"/>
    <w:rsid w:val="00FA6C5B"/>
    <w:rsid w:val="00FA7B5D"/>
    <w:rsid w:val="00FB1EA9"/>
    <w:rsid w:val="00FB3058"/>
    <w:rsid w:val="00FB586B"/>
    <w:rsid w:val="00FB6D2B"/>
    <w:rsid w:val="00FB6F8F"/>
    <w:rsid w:val="00FB788D"/>
    <w:rsid w:val="00FB7C19"/>
    <w:rsid w:val="00FC170F"/>
    <w:rsid w:val="00FC1BE2"/>
    <w:rsid w:val="00FC1E92"/>
    <w:rsid w:val="00FC2055"/>
    <w:rsid w:val="00FC2171"/>
    <w:rsid w:val="00FC2854"/>
    <w:rsid w:val="00FC2D52"/>
    <w:rsid w:val="00FC3DD2"/>
    <w:rsid w:val="00FC53FF"/>
    <w:rsid w:val="00FC579C"/>
    <w:rsid w:val="00FC6A9A"/>
    <w:rsid w:val="00FC77C3"/>
    <w:rsid w:val="00FC7CCE"/>
    <w:rsid w:val="00FD032E"/>
    <w:rsid w:val="00FD0ABF"/>
    <w:rsid w:val="00FD0FF5"/>
    <w:rsid w:val="00FD2569"/>
    <w:rsid w:val="00FD27B9"/>
    <w:rsid w:val="00FD382D"/>
    <w:rsid w:val="00FD3868"/>
    <w:rsid w:val="00FD4031"/>
    <w:rsid w:val="00FD413B"/>
    <w:rsid w:val="00FD4693"/>
    <w:rsid w:val="00FD5946"/>
    <w:rsid w:val="00FD5DE5"/>
    <w:rsid w:val="00FD6693"/>
    <w:rsid w:val="00FD6944"/>
    <w:rsid w:val="00FD6E81"/>
    <w:rsid w:val="00FD7104"/>
    <w:rsid w:val="00FD7CD9"/>
    <w:rsid w:val="00FE0191"/>
    <w:rsid w:val="00FE01B7"/>
    <w:rsid w:val="00FE1039"/>
    <w:rsid w:val="00FE1B73"/>
    <w:rsid w:val="00FE34B9"/>
    <w:rsid w:val="00FE426C"/>
    <w:rsid w:val="00FE431B"/>
    <w:rsid w:val="00FE48DC"/>
    <w:rsid w:val="00FE501B"/>
    <w:rsid w:val="00FE66AA"/>
    <w:rsid w:val="00FE7FAA"/>
    <w:rsid w:val="00FF02E6"/>
    <w:rsid w:val="00FF1224"/>
    <w:rsid w:val="00FF1457"/>
    <w:rsid w:val="00FF1656"/>
    <w:rsid w:val="00FF1EAB"/>
    <w:rsid w:val="00FF2611"/>
    <w:rsid w:val="00FF27E3"/>
    <w:rsid w:val="00FF2996"/>
    <w:rsid w:val="00FF29A8"/>
    <w:rsid w:val="00FF3047"/>
    <w:rsid w:val="00FF3206"/>
    <w:rsid w:val="00FF376E"/>
    <w:rsid w:val="00FF3CB3"/>
    <w:rsid w:val="00FF4287"/>
    <w:rsid w:val="00FF54BB"/>
    <w:rsid w:val="00FF583B"/>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E56"/>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9E6EAD"/>
    <w:rPr>
      <w:color w:val="000000"/>
      <w:sz w:val="24"/>
      <w:lang w:val="en-US" w:eastAsia="en-US" w:bidi="ar-SA"/>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Revision">
    <w:name w:val="Revision"/>
    <w:hidden/>
    <w:uiPriority w:val="99"/>
    <w:semiHidden/>
    <w:rsid w:val="00CE6A14"/>
    <w:rPr>
      <w:rFonts w:ascii="Arial" w:hAnsi="Arial"/>
      <w:lang w:val="en-AU"/>
    </w:rPr>
  </w:style>
  <w:style w:type="paragraph" w:styleId="ListParagraph">
    <w:name w:val="List Paragraph"/>
    <w:basedOn w:val="Normal"/>
    <w:uiPriority w:val="34"/>
    <w:qFormat/>
    <w:rsid w:val="00DC6CDB"/>
    <w:pPr>
      <w:ind w:left="720"/>
      <w:contextualSpacing/>
    </w:pPr>
  </w:style>
  <w:style w:type="paragraph" w:customStyle="1" w:styleId="TableLeft">
    <w:name w:val="Table Left"/>
    <w:basedOn w:val="Normal"/>
    <w:rsid w:val="0074278E"/>
    <w:pPr>
      <w:spacing w:before="60" w:after="60"/>
    </w:pPr>
    <w:rPr>
      <w:rFonts w:ascii="Times New Roman" w:eastAsia="Arial Unicode MS" w:hAnsi="Times New Roman"/>
      <w:szCs w:val="24"/>
      <w:lang w:val="en-US"/>
    </w:rPr>
  </w:style>
  <w:style w:type="paragraph" w:customStyle="1" w:styleId="TableFootnoteLetter">
    <w:name w:val="Table Footnote Letter"/>
    <w:basedOn w:val="Normal"/>
    <w:rsid w:val="0074278E"/>
    <w:pPr>
      <w:numPr>
        <w:numId w:val="45"/>
      </w:numPr>
      <w:spacing w:before="60"/>
    </w:pPr>
    <w:rPr>
      <w:rFonts w:ascii="Times New Roman" w:eastAsia="Arial Unicode MS" w:hAnsi="Times New Roman"/>
      <w:sz w:val="1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E56"/>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9E6EAD"/>
    <w:rPr>
      <w:color w:val="000000"/>
      <w:sz w:val="24"/>
      <w:lang w:val="en-US" w:eastAsia="en-US" w:bidi="ar-SA"/>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Revision">
    <w:name w:val="Revision"/>
    <w:hidden/>
    <w:uiPriority w:val="99"/>
    <w:semiHidden/>
    <w:rsid w:val="00CE6A14"/>
    <w:rPr>
      <w:rFonts w:ascii="Arial" w:hAnsi="Arial"/>
      <w:lang w:val="en-AU"/>
    </w:rPr>
  </w:style>
  <w:style w:type="paragraph" w:styleId="ListParagraph">
    <w:name w:val="List Paragraph"/>
    <w:basedOn w:val="Normal"/>
    <w:uiPriority w:val="34"/>
    <w:qFormat/>
    <w:rsid w:val="00DC6CDB"/>
    <w:pPr>
      <w:ind w:left="720"/>
      <w:contextualSpacing/>
    </w:pPr>
  </w:style>
  <w:style w:type="paragraph" w:customStyle="1" w:styleId="TableLeft">
    <w:name w:val="Table Left"/>
    <w:basedOn w:val="Normal"/>
    <w:rsid w:val="0074278E"/>
    <w:pPr>
      <w:spacing w:before="60" w:after="60"/>
    </w:pPr>
    <w:rPr>
      <w:rFonts w:ascii="Times New Roman" w:eastAsia="Arial Unicode MS" w:hAnsi="Times New Roman"/>
      <w:szCs w:val="24"/>
      <w:lang w:val="en-US"/>
    </w:rPr>
  </w:style>
  <w:style w:type="paragraph" w:customStyle="1" w:styleId="TableFootnoteLetter">
    <w:name w:val="Table Footnote Letter"/>
    <w:basedOn w:val="Normal"/>
    <w:rsid w:val="0074278E"/>
    <w:pPr>
      <w:numPr>
        <w:numId w:val="45"/>
      </w:numPr>
      <w:spacing w:before="60"/>
    </w:pPr>
    <w:rPr>
      <w:rFonts w:ascii="Times New Roman" w:eastAsia="Arial Unicode MS" w:hAnsi="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BF62-3F5E-45B5-9061-40E75DB8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25</Pages>
  <Words>8386</Words>
  <Characters>47303</Characters>
  <Application>Microsoft Office Word</Application>
  <DocSecurity>0</DocSecurity>
  <Lines>801</Lines>
  <Paragraphs>329</Paragraphs>
  <ScaleCrop>false</ScaleCrop>
  <HeadingPairs>
    <vt:vector size="2" baseType="variant">
      <vt:variant>
        <vt:lpstr>Title</vt:lpstr>
      </vt:variant>
      <vt:variant>
        <vt:i4>1</vt:i4>
      </vt:variant>
    </vt:vector>
  </HeadingPairs>
  <TitlesOfParts>
    <vt:vector size="1" baseType="lpstr">
      <vt:lpstr>AusPAR Attachment 1.Product Information for sofosbuvir </vt:lpstr>
    </vt:vector>
  </TitlesOfParts>
  <Company>Gilead Sciences</Company>
  <LinksUpToDate>false</LinksUpToDate>
  <CharactersWithSpaces>55360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sofosbuvir </dc:title>
  <dc:subject>prescription medicine regulation</dc:subject>
  <dc:creator>Gilead Sciences</dc:creator>
  <cp:keywords>product, information, pi, prescription, medicine, regulation, sofosbuvir, sovaldi, gilead sciences</cp:keywords>
  <cp:lastModifiedBy>Sheppard, Fran</cp:lastModifiedBy>
  <cp:revision>20</cp:revision>
  <cp:lastPrinted>2014-05-13T04:14:00Z</cp:lastPrinted>
  <dcterms:created xsi:type="dcterms:W3CDTF">2014-06-26T06:53:00Z</dcterms:created>
  <dcterms:modified xsi:type="dcterms:W3CDTF">2014-08-29T05:35:00Z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0000000002AD37D853BFBE4AA2E080BCA375EC1D0700B5212860E8BF6F4098CA6A662B67D28900182F7E55E400002F3F61356383E9438B5911CEBBDDA4B1000D1E62E1220000</vt:lpwstr>
  </property>
  <property fmtid="{D5CDD505-2E9C-101B-9397-08002B2CF9AE}" pid="5" name="_EmailStoreID">
    <vt:lpwstr>0000000038A1BB1005E5101AA1BB08002B2A56C20000454D534D44422E444C4C00000000000000001B55FA20AA6611CD9BC800AA002FC45A0C0000004D42584D423032002F4F3D47696C65616420536369656E6365732F4F553D4175737472616C69612F636E3D526563697069656E74732F636E3D4B4D617900</vt:lpwstr>
  </property>
  <property fmtid="{D5CDD505-2E9C-101B-9397-08002B2CF9AE}" pid="6" name="_EmailStoreID0">
    <vt:lpwstr>0000000038A1BB1005E5101AA1BB08002B2A56C20000454D534D44422E444C4C00000000000000001B55FA20AA6611CD9BC800AA002FC45A0C00000046435856533031002F6F3D47696C65616420536369656E6365732F6F753D45786368616E67652041646D696E6973747261746976652047726F7570202846594449424F4</vt:lpwstr>
  </property>
  <property fmtid="{D5CDD505-2E9C-101B-9397-08002B2CF9AE}" pid="7" name="_EmailStoreID1">
    <vt:lpwstr>84632335350444C54292F636E3D526563697069656E74732F636E3D64627261696E61726400</vt:lpwstr>
  </property>
  <property fmtid="{D5CDD505-2E9C-101B-9397-08002B2CF9AE}" pid="8" name="_ReviewingToolsShownOnce">
    <vt:lpwstr/>
  </property>
</Properties>
</file>