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5E895B56" w14:textId="77777777" w:rsidTr="00BF1190">
        <w:trPr>
          <w:trHeight w:val="1863"/>
        </w:trPr>
        <w:tc>
          <w:tcPr>
            <w:tcW w:w="3652" w:type="dxa"/>
            <w:tcBorders>
              <w:top w:val="nil"/>
              <w:left w:val="nil"/>
              <w:bottom w:val="nil"/>
              <w:right w:val="nil"/>
            </w:tcBorders>
          </w:tcPr>
          <w:p w14:paraId="0005187E" w14:textId="1B07C022" w:rsidR="008E7846" w:rsidRPr="00096AA7" w:rsidRDefault="00CD6AF5" w:rsidP="00096AA7">
            <w:pPr>
              <w:rPr>
                <w:rFonts w:ascii="Arial" w:hAnsi="Arial" w:cs="Arial"/>
                <w:b/>
                <w:color w:val="002C47"/>
                <w:sz w:val="36"/>
                <w:szCs w:val="36"/>
              </w:rPr>
            </w:pPr>
            <w:r>
              <w:rPr>
                <w:rFonts w:ascii="Arial" w:hAnsi="Arial" w:cs="Arial"/>
                <w:b/>
                <w:color w:val="002C47"/>
                <w:sz w:val="36"/>
                <w:szCs w:val="36"/>
              </w:rPr>
              <w:t>February</w:t>
            </w:r>
            <w:r w:rsidR="008E1B10">
              <w:rPr>
                <w:rFonts w:ascii="Arial" w:hAnsi="Arial" w:cs="Arial"/>
                <w:b/>
                <w:color w:val="002C47"/>
                <w:sz w:val="36"/>
                <w:szCs w:val="36"/>
              </w:rPr>
              <w:t xml:space="preserve"> 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4C20456E" w14:textId="77777777" w:rsidTr="0032583B">
        <w:trPr>
          <w:trHeight w:val="868"/>
        </w:trPr>
        <w:tc>
          <w:tcPr>
            <w:tcW w:w="9079" w:type="dxa"/>
          </w:tcPr>
          <w:p w14:paraId="5681C99C" w14:textId="76696F78" w:rsidR="0032583B" w:rsidRPr="00A964D1" w:rsidRDefault="0032583B" w:rsidP="00610490">
            <w:pPr>
              <w:pStyle w:val="Title"/>
              <w:rPr>
                <w:color w:val="FFFFFF" w:themeColor="background1"/>
              </w:rPr>
            </w:pPr>
            <w:r w:rsidRPr="00A964D1">
              <w:rPr>
                <w:color w:val="FFFFFF" w:themeColor="background1"/>
              </w:rPr>
              <w:t xml:space="preserve">Australian Public Assessment Report for </w:t>
            </w:r>
            <w:r w:rsidR="00610490">
              <w:rPr>
                <w:color w:val="FFFFFF" w:themeColor="background1"/>
              </w:rPr>
              <w:t>S</w:t>
            </w:r>
            <w:r w:rsidR="005F54E8" w:rsidRPr="005F54E8">
              <w:rPr>
                <w:color w:val="FFFFFF" w:themeColor="background1"/>
              </w:rPr>
              <w:t xml:space="preserve">odium </w:t>
            </w:r>
            <w:r w:rsidR="005F54E8">
              <w:rPr>
                <w:color w:val="FFFFFF" w:themeColor="background1"/>
              </w:rPr>
              <w:t>zirconium cyclosilicate hydrate</w:t>
            </w:r>
          </w:p>
        </w:tc>
      </w:tr>
      <w:tr w:rsidR="0032583B" w:rsidRPr="00B64760" w14:paraId="6381CF17" w14:textId="77777777" w:rsidTr="0032583B">
        <w:tc>
          <w:tcPr>
            <w:tcW w:w="9079" w:type="dxa"/>
          </w:tcPr>
          <w:p w14:paraId="0D146C0C" w14:textId="77777777"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5F54E8" w:rsidRPr="005F54E8">
              <w:rPr>
                <w:color w:val="FFFFFF" w:themeColor="background1"/>
              </w:rPr>
              <w:t>Lokelma</w:t>
            </w:r>
          </w:p>
        </w:tc>
      </w:tr>
      <w:tr w:rsidR="0032583B" w:rsidRPr="00B64760" w14:paraId="45B853CC" w14:textId="77777777" w:rsidTr="0032583B">
        <w:trPr>
          <w:trHeight w:val="486"/>
        </w:trPr>
        <w:tc>
          <w:tcPr>
            <w:tcW w:w="9079" w:type="dxa"/>
          </w:tcPr>
          <w:p w14:paraId="05F2912E" w14:textId="2D6A10E1" w:rsidR="0032583B" w:rsidRPr="008E7846" w:rsidRDefault="0032583B" w:rsidP="0032583B">
            <w:pPr>
              <w:pStyle w:val="Subtitle"/>
              <w:rPr>
                <w:color w:val="FFFFFF" w:themeColor="background1"/>
              </w:rPr>
            </w:pPr>
            <w:r w:rsidRPr="008E7846">
              <w:rPr>
                <w:color w:val="FFFFFF" w:themeColor="background1"/>
              </w:rPr>
              <w:t xml:space="preserve">Sponsor: </w:t>
            </w:r>
            <w:r w:rsidR="004A46CF">
              <w:rPr>
                <w:color w:val="FFFFFF" w:themeColor="background1"/>
              </w:rPr>
              <w:t>AstraZeneca</w:t>
            </w:r>
            <w:r w:rsidR="005F54E8" w:rsidRPr="005F54E8">
              <w:rPr>
                <w:color w:val="FFFFFF" w:themeColor="background1"/>
              </w:rPr>
              <w:t xml:space="preserve"> Pty Ltd</w:t>
            </w:r>
          </w:p>
        </w:tc>
      </w:tr>
    </w:tbl>
    <w:p w14:paraId="4B739AE4" w14:textId="77777777" w:rsidR="008E7846" w:rsidRPr="0085156D" w:rsidRDefault="008E7846" w:rsidP="0085156D">
      <w:r w:rsidRPr="0085156D">
        <w:br w:type="page"/>
      </w:r>
    </w:p>
    <w:p w14:paraId="2D09F83E" w14:textId="77777777" w:rsidR="008E7846" w:rsidRPr="001F6CBA" w:rsidRDefault="008E7846" w:rsidP="008E7846">
      <w:pPr>
        <w:pStyle w:val="NonTOCHeading2"/>
      </w:pPr>
      <w:r w:rsidRPr="001F6CBA">
        <w:lastRenderedPageBreak/>
        <w:t>About the Therapeutic Goods Administration (TGA)</w:t>
      </w:r>
    </w:p>
    <w:p w14:paraId="72852D13"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7A1F27D6"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1848395A"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25CCE7DF"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40E81600" w14:textId="508F0676"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7313A">
        <w:t xml:space="preserve">&gt; </w:t>
      </w:r>
    </w:p>
    <w:p w14:paraId="22A0DC7D" w14:textId="77777777" w:rsidR="008E7846" w:rsidRDefault="008E7846" w:rsidP="00875A6B">
      <w:pPr>
        <w:pStyle w:val="NonTOCHeading2"/>
      </w:pPr>
      <w:r>
        <w:t xml:space="preserve">About </w:t>
      </w:r>
      <w:proofErr w:type="spellStart"/>
      <w:r>
        <w:t>AusPARs</w:t>
      </w:r>
      <w:proofErr w:type="spellEnd"/>
    </w:p>
    <w:p w14:paraId="10375CC3"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36EE64E8" w14:textId="77777777"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14:paraId="72A1D75E"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45D02F1A"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5EABDF52"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02A335B1" w14:textId="77777777" w:rsidR="00924482" w:rsidRPr="00DF1D7F" w:rsidRDefault="00924482" w:rsidP="00F54B65">
      <w:pPr>
        <w:pStyle w:val="LegalSubheading"/>
        <w:spacing w:before="3120"/>
      </w:pPr>
      <w:r w:rsidRPr="00DF1D7F">
        <w:t>Copyright</w:t>
      </w:r>
    </w:p>
    <w:p w14:paraId="4A4F862A" w14:textId="20DA773F" w:rsidR="00924482" w:rsidRDefault="00924482" w:rsidP="00924482">
      <w:pPr>
        <w:pStyle w:val="LegalCopy"/>
      </w:pPr>
      <w:r w:rsidRPr="00191B3B">
        <w:rPr>
          <w:rFonts w:cs="Arial"/>
          <w:lang w:val="en-GB"/>
        </w:rPr>
        <w:t>© Comm</w:t>
      </w:r>
      <w:r>
        <w:rPr>
          <w:rFonts w:cs="Arial"/>
          <w:lang w:val="en-GB"/>
        </w:rPr>
        <w:t>onwealth of Australia 201</w:t>
      </w:r>
      <w:r w:rsidR="00610490">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proofErr w:type="gramStart"/>
      <w:r w:rsidR="0047313A">
        <w:rPr>
          <w:rFonts w:cs="Arial"/>
        </w:rPr>
        <w:t xml:space="preserve">&gt; </w:t>
      </w:r>
      <w:r w:rsidRPr="00191B3B">
        <w:rPr>
          <w:rFonts w:cs="Arial"/>
        </w:rPr>
        <w:t>.</w:t>
      </w:r>
      <w:proofErr w:type="gramEnd"/>
    </w:p>
    <w:p w14:paraId="67DAE24F"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328D481" w14:textId="77777777" w:rsidR="0089635C" w:rsidRPr="0089635C" w:rsidRDefault="0089635C" w:rsidP="0010788A">
          <w:pPr>
            <w:pStyle w:val="Contents"/>
          </w:pPr>
          <w:r w:rsidRPr="0010788A">
            <w:t>Conte</w:t>
          </w:r>
          <w:bookmarkStart w:id="2" w:name="_GoBack"/>
          <w:bookmarkEnd w:id="2"/>
          <w:r w:rsidRPr="0010788A">
            <w:t>nts</w:t>
          </w:r>
        </w:p>
        <w:p w14:paraId="639AF386" w14:textId="77777777" w:rsidR="007B4BEB"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05252912" w:history="1">
            <w:r w:rsidR="007B4BEB" w:rsidRPr="00FE66D2">
              <w:rPr>
                <w:rStyle w:val="Hyperlink"/>
                <w:noProof/>
              </w:rPr>
              <w:t>Common abbreviations</w:t>
            </w:r>
            <w:r w:rsidR="007B4BEB">
              <w:rPr>
                <w:noProof/>
                <w:webHidden/>
              </w:rPr>
              <w:tab/>
            </w:r>
            <w:r w:rsidR="007B4BEB">
              <w:rPr>
                <w:noProof/>
                <w:webHidden/>
              </w:rPr>
              <w:fldChar w:fldCharType="begin"/>
            </w:r>
            <w:r w:rsidR="007B4BEB">
              <w:rPr>
                <w:noProof/>
                <w:webHidden/>
              </w:rPr>
              <w:instrText xml:space="preserve"> PAGEREF _Toc505252912 \h </w:instrText>
            </w:r>
            <w:r w:rsidR="007B4BEB">
              <w:rPr>
                <w:noProof/>
                <w:webHidden/>
              </w:rPr>
            </w:r>
            <w:r w:rsidR="007B4BEB">
              <w:rPr>
                <w:noProof/>
                <w:webHidden/>
              </w:rPr>
              <w:fldChar w:fldCharType="separate"/>
            </w:r>
            <w:r w:rsidR="007B4BEB">
              <w:rPr>
                <w:noProof/>
                <w:webHidden/>
              </w:rPr>
              <w:t>5</w:t>
            </w:r>
            <w:r w:rsidR="007B4BEB">
              <w:rPr>
                <w:noProof/>
                <w:webHidden/>
              </w:rPr>
              <w:fldChar w:fldCharType="end"/>
            </w:r>
          </w:hyperlink>
        </w:p>
        <w:p w14:paraId="4A7D41E2" w14:textId="77777777" w:rsidR="007B4BEB" w:rsidRDefault="007B4BEB">
          <w:pPr>
            <w:pStyle w:val="TOC2"/>
            <w:rPr>
              <w:rFonts w:asciiTheme="minorHAnsi" w:eastAsiaTheme="minorEastAsia" w:hAnsiTheme="minorHAnsi" w:cstheme="minorBidi"/>
              <w:b w:val="0"/>
              <w:noProof/>
              <w:sz w:val="22"/>
              <w:lang w:eastAsia="en-AU"/>
            </w:rPr>
          </w:pPr>
          <w:hyperlink w:anchor="_Toc505252913" w:history="1">
            <w:r w:rsidRPr="00FE66D2">
              <w:rPr>
                <w:rStyle w:val="Hyperlink"/>
                <w:noProof/>
              </w:rPr>
              <w:t>I. Introduction to product submission</w:t>
            </w:r>
            <w:r>
              <w:rPr>
                <w:noProof/>
                <w:webHidden/>
              </w:rPr>
              <w:tab/>
            </w:r>
            <w:r>
              <w:rPr>
                <w:noProof/>
                <w:webHidden/>
              </w:rPr>
              <w:fldChar w:fldCharType="begin"/>
            </w:r>
            <w:r>
              <w:rPr>
                <w:noProof/>
                <w:webHidden/>
              </w:rPr>
              <w:instrText xml:space="preserve"> PAGEREF _Toc505252913 \h </w:instrText>
            </w:r>
            <w:r>
              <w:rPr>
                <w:noProof/>
                <w:webHidden/>
              </w:rPr>
            </w:r>
            <w:r>
              <w:rPr>
                <w:noProof/>
                <w:webHidden/>
              </w:rPr>
              <w:fldChar w:fldCharType="separate"/>
            </w:r>
            <w:r>
              <w:rPr>
                <w:noProof/>
                <w:webHidden/>
              </w:rPr>
              <w:t>7</w:t>
            </w:r>
            <w:r>
              <w:rPr>
                <w:noProof/>
                <w:webHidden/>
              </w:rPr>
              <w:fldChar w:fldCharType="end"/>
            </w:r>
          </w:hyperlink>
        </w:p>
        <w:p w14:paraId="42554BA6" w14:textId="77777777" w:rsidR="007B4BEB" w:rsidRDefault="007B4BEB">
          <w:pPr>
            <w:pStyle w:val="TOC3"/>
            <w:rPr>
              <w:rFonts w:asciiTheme="minorHAnsi" w:eastAsiaTheme="minorEastAsia" w:hAnsiTheme="minorHAnsi" w:cstheme="minorBidi"/>
              <w:noProof/>
              <w:lang w:eastAsia="en-AU"/>
            </w:rPr>
          </w:pPr>
          <w:hyperlink w:anchor="_Toc505252914" w:history="1">
            <w:r w:rsidRPr="00FE66D2">
              <w:rPr>
                <w:rStyle w:val="Hyperlink"/>
                <w:noProof/>
                <w:lang w:eastAsia="en-AU"/>
              </w:rPr>
              <w:t>Submission details</w:t>
            </w:r>
            <w:r>
              <w:rPr>
                <w:noProof/>
                <w:webHidden/>
              </w:rPr>
              <w:tab/>
            </w:r>
            <w:r>
              <w:rPr>
                <w:noProof/>
                <w:webHidden/>
              </w:rPr>
              <w:fldChar w:fldCharType="begin"/>
            </w:r>
            <w:r>
              <w:rPr>
                <w:noProof/>
                <w:webHidden/>
              </w:rPr>
              <w:instrText xml:space="preserve"> PAGEREF _Toc505252914 \h </w:instrText>
            </w:r>
            <w:r>
              <w:rPr>
                <w:noProof/>
                <w:webHidden/>
              </w:rPr>
            </w:r>
            <w:r>
              <w:rPr>
                <w:noProof/>
                <w:webHidden/>
              </w:rPr>
              <w:fldChar w:fldCharType="separate"/>
            </w:r>
            <w:r>
              <w:rPr>
                <w:noProof/>
                <w:webHidden/>
              </w:rPr>
              <w:t>7</w:t>
            </w:r>
            <w:r>
              <w:rPr>
                <w:noProof/>
                <w:webHidden/>
              </w:rPr>
              <w:fldChar w:fldCharType="end"/>
            </w:r>
          </w:hyperlink>
        </w:p>
        <w:p w14:paraId="5D440342" w14:textId="77777777" w:rsidR="007B4BEB" w:rsidRDefault="007B4BEB">
          <w:pPr>
            <w:pStyle w:val="TOC3"/>
            <w:rPr>
              <w:rFonts w:asciiTheme="minorHAnsi" w:eastAsiaTheme="minorEastAsia" w:hAnsiTheme="minorHAnsi" w:cstheme="minorBidi"/>
              <w:noProof/>
              <w:lang w:eastAsia="en-AU"/>
            </w:rPr>
          </w:pPr>
          <w:hyperlink w:anchor="_Toc505252915" w:history="1">
            <w:r w:rsidRPr="00FE66D2">
              <w:rPr>
                <w:rStyle w:val="Hyperlink"/>
                <w:noProof/>
              </w:rPr>
              <w:t>Product background</w:t>
            </w:r>
            <w:r>
              <w:rPr>
                <w:noProof/>
                <w:webHidden/>
              </w:rPr>
              <w:tab/>
            </w:r>
            <w:r>
              <w:rPr>
                <w:noProof/>
                <w:webHidden/>
              </w:rPr>
              <w:fldChar w:fldCharType="begin"/>
            </w:r>
            <w:r>
              <w:rPr>
                <w:noProof/>
                <w:webHidden/>
              </w:rPr>
              <w:instrText xml:space="preserve"> PAGEREF _Toc505252915 \h </w:instrText>
            </w:r>
            <w:r>
              <w:rPr>
                <w:noProof/>
                <w:webHidden/>
              </w:rPr>
            </w:r>
            <w:r>
              <w:rPr>
                <w:noProof/>
                <w:webHidden/>
              </w:rPr>
              <w:fldChar w:fldCharType="separate"/>
            </w:r>
            <w:r>
              <w:rPr>
                <w:noProof/>
                <w:webHidden/>
              </w:rPr>
              <w:t>7</w:t>
            </w:r>
            <w:r>
              <w:rPr>
                <w:noProof/>
                <w:webHidden/>
              </w:rPr>
              <w:fldChar w:fldCharType="end"/>
            </w:r>
          </w:hyperlink>
        </w:p>
        <w:p w14:paraId="153DE0A8" w14:textId="77777777" w:rsidR="007B4BEB" w:rsidRDefault="007B4BEB">
          <w:pPr>
            <w:pStyle w:val="TOC3"/>
            <w:rPr>
              <w:rFonts w:asciiTheme="minorHAnsi" w:eastAsiaTheme="minorEastAsia" w:hAnsiTheme="minorHAnsi" w:cstheme="minorBidi"/>
              <w:noProof/>
              <w:lang w:eastAsia="en-AU"/>
            </w:rPr>
          </w:pPr>
          <w:hyperlink w:anchor="_Toc505252916" w:history="1">
            <w:r w:rsidRPr="00FE66D2">
              <w:rPr>
                <w:rStyle w:val="Hyperlink"/>
                <w:noProof/>
              </w:rPr>
              <w:t>Regulatory status</w:t>
            </w:r>
            <w:r>
              <w:rPr>
                <w:noProof/>
                <w:webHidden/>
              </w:rPr>
              <w:tab/>
            </w:r>
            <w:r>
              <w:rPr>
                <w:noProof/>
                <w:webHidden/>
              </w:rPr>
              <w:fldChar w:fldCharType="begin"/>
            </w:r>
            <w:r>
              <w:rPr>
                <w:noProof/>
                <w:webHidden/>
              </w:rPr>
              <w:instrText xml:space="preserve"> PAGEREF _Toc505252916 \h </w:instrText>
            </w:r>
            <w:r>
              <w:rPr>
                <w:noProof/>
                <w:webHidden/>
              </w:rPr>
            </w:r>
            <w:r>
              <w:rPr>
                <w:noProof/>
                <w:webHidden/>
              </w:rPr>
              <w:fldChar w:fldCharType="separate"/>
            </w:r>
            <w:r>
              <w:rPr>
                <w:noProof/>
                <w:webHidden/>
              </w:rPr>
              <w:t>8</w:t>
            </w:r>
            <w:r>
              <w:rPr>
                <w:noProof/>
                <w:webHidden/>
              </w:rPr>
              <w:fldChar w:fldCharType="end"/>
            </w:r>
          </w:hyperlink>
        </w:p>
        <w:p w14:paraId="01E0532B" w14:textId="77777777" w:rsidR="007B4BEB" w:rsidRDefault="007B4BEB">
          <w:pPr>
            <w:pStyle w:val="TOC2"/>
            <w:rPr>
              <w:rFonts w:asciiTheme="minorHAnsi" w:eastAsiaTheme="minorEastAsia" w:hAnsiTheme="minorHAnsi" w:cstheme="minorBidi"/>
              <w:b w:val="0"/>
              <w:noProof/>
              <w:sz w:val="22"/>
              <w:lang w:eastAsia="en-AU"/>
            </w:rPr>
          </w:pPr>
          <w:hyperlink w:anchor="_Toc505252917" w:history="1">
            <w:r w:rsidRPr="00FE66D2">
              <w:rPr>
                <w:rStyle w:val="Hyperlink"/>
                <w:noProof/>
              </w:rPr>
              <w:t>Registration timeline</w:t>
            </w:r>
            <w:r>
              <w:rPr>
                <w:noProof/>
                <w:webHidden/>
              </w:rPr>
              <w:tab/>
            </w:r>
            <w:r>
              <w:rPr>
                <w:noProof/>
                <w:webHidden/>
              </w:rPr>
              <w:fldChar w:fldCharType="begin"/>
            </w:r>
            <w:r>
              <w:rPr>
                <w:noProof/>
                <w:webHidden/>
              </w:rPr>
              <w:instrText xml:space="preserve"> PAGEREF _Toc505252917 \h </w:instrText>
            </w:r>
            <w:r>
              <w:rPr>
                <w:noProof/>
                <w:webHidden/>
              </w:rPr>
            </w:r>
            <w:r>
              <w:rPr>
                <w:noProof/>
                <w:webHidden/>
              </w:rPr>
              <w:fldChar w:fldCharType="separate"/>
            </w:r>
            <w:r>
              <w:rPr>
                <w:noProof/>
                <w:webHidden/>
              </w:rPr>
              <w:t>8</w:t>
            </w:r>
            <w:r>
              <w:rPr>
                <w:noProof/>
                <w:webHidden/>
              </w:rPr>
              <w:fldChar w:fldCharType="end"/>
            </w:r>
          </w:hyperlink>
        </w:p>
        <w:p w14:paraId="15E34CB3" w14:textId="77777777" w:rsidR="007B4BEB" w:rsidRDefault="007B4BEB">
          <w:pPr>
            <w:pStyle w:val="TOC2"/>
            <w:rPr>
              <w:rFonts w:asciiTheme="minorHAnsi" w:eastAsiaTheme="minorEastAsia" w:hAnsiTheme="minorHAnsi" w:cstheme="minorBidi"/>
              <w:b w:val="0"/>
              <w:noProof/>
              <w:sz w:val="22"/>
              <w:lang w:eastAsia="en-AU"/>
            </w:rPr>
          </w:pPr>
          <w:hyperlink w:anchor="_Toc505252918" w:history="1">
            <w:r w:rsidRPr="00FE66D2">
              <w:rPr>
                <w:rStyle w:val="Hyperlink"/>
                <w:noProof/>
              </w:rPr>
              <w:t>II. Quality findings</w:t>
            </w:r>
            <w:r>
              <w:rPr>
                <w:noProof/>
                <w:webHidden/>
              </w:rPr>
              <w:tab/>
            </w:r>
            <w:r>
              <w:rPr>
                <w:noProof/>
                <w:webHidden/>
              </w:rPr>
              <w:fldChar w:fldCharType="begin"/>
            </w:r>
            <w:r>
              <w:rPr>
                <w:noProof/>
                <w:webHidden/>
              </w:rPr>
              <w:instrText xml:space="preserve"> PAGEREF _Toc505252918 \h </w:instrText>
            </w:r>
            <w:r>
              <w:rPr>
                <w:noProof/>
                <w:webHidden/>
              </w:rPr>
            </w:r>
            <w:r>
              <w:rPr>
                <w:noProof/>
                <w:webHidden/>
              </w:rPr>
              <w:fldChar w:fldCharType="separate"/>
            </w:r>
            <w:r>
              <w:rPr>
                <w:noProof/>
                <w:webHidden/>
              </w:rPr>
              <w:t>8</w:t>
            </w:r>
            <w:r>
              <w:rPr>
                <w:noProof/>
                <w:webHidden/>
              </w:rPr>
              <w:fldChar w:fldCharType="end"/>
            </w:r>
          </w:hyperlink>
        </w:p>
        <w:p w14:paraId="4C022BB9" w14:textId="77777777" w:rsidR="007B4BEB" w:rsidRDefault="007B4BEB">
          <w:pPr>
            <w:pStyle w:val="TOC3"/>
            <w:rPr>
              <w:rFonts w:asciiTheme="minorHAnsi" w:eastAsiaTheme="minorEastAsia" w:hAnsiTheme="minorHAnsi" w:cstheme="minorBidi"/>
              <w:noProof/>
              <w:lang w:eastAsia="en-AU"/>
            </w:rPr>
          </w:pPr>
          <w:hyperlink w:anchor="_Toc505252919" w:history="1">
            <w:r w:rsidRPr="00FE66D2">
              <w:rPr>
                <w:rStyle w:val="Hyperlink"/>
                <w:noProof/>
              </w:rPr>
              <w:t>Introduction</w:t>
            </w:r>
            <w:r>
              <w:rPr>
                <w:noProof/>
                <w:webHidden/>
              </w:rPr>
              <w:tab/>
            </w:r>
            <w:r>
              <w:rPr>
                <w:noProof/>
                <w:webHidden/>
              </w:rPr>
              <w:fldChar w:fldCharType="begin"/>
            </w:r>
            <w:r>
              <w:rPr>
                <w:noProof/>
                <w:webHidden/>
              </w:rPr>
              <w:instrText xml:space="preserve"> PAGEREF _Toc505252919 \h </w:instrText>
            </w:r>
            <w:r>
              <w:rPr>
                <w:noProof/>
                <w:webHidden/>
              </w:rPr>
            </w:r>
            <w:r>
              <w:rPr>
                <w:noProof/>
                <w:webHidden/>
              </w:rPr>
              <w:fldChar w:fldCharType="separate"/>
            </w:r>
            <w:r>
              <w:rPr>
                <w:noProof/>
                <w:webHidden/>
              </w:rPr>
              <w:t>8</w:t>
            </w:r>
            <w:r>
              <w:rPr>
                <w:noProof/>
                <w:webHidden/>
              </w:rPr>
              <w:fldChar w:fldCharType="end"/>
            </w:r>
          </w:hyperlink>
        </w:p>
        <w:p w14:paraId="0A5427A2" w14:textId="77777777" w:rsidR="007B4BEB" w:rsidRDefault="007B4BEB">
          <w:pPr>
            <w:pStyle w:val="TOC3"/>
            <w:rPr>
              <w:rFonts w:asciiTheme="minorHAnsi" w:eastAsiaTheme="minorEastAsia" w:hAnsiTheme="minorHAnsi" w:cstheme="minorBidi"/>
              <w:noProof/>
              <w:lang w:eastAsia="en-AU"/>
            </w:rPr>
          </w:pPr>
          <w:hyperlink w:anchor="_Toc505252920" w:history="1">
            <w:r w:rsidRPr="00FE66D2">
              <w:rPr>
                <w:rStyle w:val="Hyperlink"/>
                <w:noProof/>
              </w:rPr>
              <w:t>Drug substance (active ingredient)</w:t>
            </w:r>
            <w:r>
              <w:rPr>
                <w:noProof/>
                <w:webHidden/>
              </w:rPr>
              <w:tab/>
            </w:r>
            <w:r>
              <w:rPr>
                <w:noProof/>
                <w:webHidden/>
              </w:rPr>
              <w:fldChar w:fldCharType="begin"/>
            </w:r>
            <w:r>
              <w:rPr>
                <w:noProof/>
                <w:webHidden/>
              </w:rPr>
              <w:instrText xml:space="preserve"> PAGEREF _Toc505252920 \h </w:instrText>
            </w:r>
            <w:r>
              <w:rPr>
                <w:noProof/>
                <w:webHidden/>
              </w:rPr>
            </w:r>
            <w:r>
              <w:rPr>
                <w:noProof/>
                <w:webHidden/>
              </w:rPr>
              <w:fldChar w:fldCharType="separate"/>
            </w:r>
            <w:r>
              <w:rPr>
                <w:noProof/>
                <w:webHidden/>
              </w:rPr>
              <w:t>9</w:t>
            </w:r>
            <w:r>
              <w:rPr>
                <w:noProof/>
                <w:webHidden/>
              </w:rPr>
              <w:fldChar w:fldCharType="end"/>
            </w:r>
          </w:hyperlink>
        </w:p>
        <w:p w14:paraId="59813A02" w14:textId="77777777" w:rsidR="007B4BEB" w:rsidRDefault="007B4BEB">
          <w:pPr>
            <w:pStyle w:val="TOC3"/>
            <w:rPr>
              <w:rFonts w:asciiTheme="minorHAnsi" w:eastAsiaTheme="minorEastAsia" w:hAnsiTheme="minorHAnsi" w:cstheme="minorBidi"/>
              <w:noProof/>
              <w:lang w:eastAsia="en-AU"/>
            </w:rPr>
          </w:pPr>
          <w:hyperlink w:anchor="_Toc505252921" w:history="1">
            <w:r w:rsidRPr="00FE66D2">
              <w:rPr>
                <w:rStyle w:val="Hyperlink"/>
                <w:noProof/>
              </w:rPr>
              <w:t>Drug product</w:t>
            </w:r>
            <w:r>
              <w:rPr>
                <w:noProof/>
                <w:webHidden/>
              </w:rPr>
              <w:tab/>
            </w:r>
            <w:r>
              <w:rPr>
                <w:noProof/>
                <w:webHidden/>
              </w:rPr>
              <w:fldChar w:fldCharType="begin"/>
            </w:r>
            <w:r>
              <w:rPr>
                <w:noProof/>
                <w:webHidden/>
              </w:rPr>
              <w:instrText xml:space="preserve"> PAGEREF _Toc505252921 \h </w:instrText>
            </w:r>
            <w:r>
              <w:rPr>
                <w:noProof/>
                <w:webHidden/>
              </w:rPr>
            </w:r>
            <w:r>
              <w:rPr>
                <w:noProof/>
                <w:webHidden/>
              </w:rPr>
              <w:fldChar w:fldCharType="separate"/>
            </w:r>
            <w:r>
              <w:rPr>
                <w:noProof/>
                <w:webHidden/>
              </w:rPr>
              <w:t>10</w:t>
            </w:r>
            <w:r>
              <w:rPr>
                <w:noProof/>
                <w:webHidden/>
              </w:rPr>
              <w:fldChar w:fldCharType="end"/>
            </w:r>
          </w:hyperlink>
        </w:p>
        <w:p w14:paraId="4D9B357E" w14:textId="77777777" w:rsidR="007B4BEB" w:rsidRDefault="007B4BEB">
          <w:pPr>
            <w:pStyle w:val="TOC3"/>
            <w:rPr>
              <w:rFonts w:asciiTheme="minorHAnsi" w:eastAsiaTheme="minorEastAsia" w:hAnsiTheme="minorHAnsi" w:cstheme="minorBidi"/>
              <w:noProof/>
              <w:lang w:eastAsia="en-AU"/>
            </w:rPr>
          </w:pPr>
          <w:hyperlink w:anchor="_Toc505252922" w:history="1">
            <w:r w:rsidRPr="00FE66D2">
              <w:rPr>
                <w:rStyle w:val="Hyperlink"/>
                <w:noProof/>
              </w:rPr>
              <w:t>Biopharmaceutics</w:t>
            </w:r>
            <w:r>
              <w:rPr>
                <w:noProof/>
                <w:webHidden/>
              </w:rPr>
              <w:tab/>
            </w:r>
            <w:r>
              <w:rPr>
                <w:noProof/>
                <w:webHidden/>
              </w:rPr>
              <w:fldChar w:fldCharType="begin"/>
            </w:r>
            <w:r>
              <w:rPr>
                <w:noProof/>
                <w:webHidden/>
              </w:rPr>
              <w:instrText xml:space="preserve"> PAGEREF _Toc505252922 \h </w:instrText>
            </w:r>
            <w:r>
              <w:rPr>
                <w:noProof/>
                <w:webHidden/>
              </w:rPr>
            </w:r>
            <w:r>
              <w:rPr>
                <w:noProof/>
                <w:webHidden/>
              </w:rPr>
              <w:fldChar w:fldCharType="separate"/>
            </w:r>
            <w:r>
              <w:rPr>
                <w:noProof/>
                <w:webHidden/>
              </w:rPr>
              <w:t>11</w:t>
            </w:r>
            <w:r>
              <w:rPr>
                <w:noProof/>
                <w:webHidden/>
              </w:rPr>
              <w:fldChar w:fldCharType="end"/>
            </w:r>
          </w:hyperlink>
        </w:p>
        <w:p w14:paraId="566009A6" w14:textId="77777777" w:rsidR="007B4BEB" w:rsidRDefault="007B4BEB">
          <w:pPr>
            <w:pStyle w:val="TOC3"/>
            <w:rPr>
              <w:rFonts w:asciiTheme="minorHAnsi" w:eastAsiaTheme="minorEastAsia" w:hAnsiTheme="minorHAnsi" w:cstheme="minorBidi"/>
              <w:noProof/>
              <w:lang w:eastAsia="en-AU"/>
            </w:rPr>
          </w:pPr>
          <w:hyperlink w:anchor="_Toc505252923" w:history="1">
            <w:r w:rsidRPr="00FE66D2">
              <w:rPr>
                <w:rStyle w:val="Hyperlink"/>
                <w:noProof/>
              </w:rPr>
              <w:t>Quality summary and conclusions</w:t>
            </w:r>
            <w:r>
              <w:rPr>
                <w:noProof/>
                <w:webHidden/>
              </w:rPr>
              <w:tab/>
            </w:r>
            <w:r>
              <w:rPr>
                <w:noProof/>
                <w:webHidden/>
              </w:rPr>
              <w:fldChar w:fldCharType="begin"/>
            </w:r>
            <w:r>
              <w:rPr>
                <w:noProof/>
                <w:webHidden/>
              </w:rPr>
              <w:instrText xml:space="preserve"> PAGEREF _Toc505252923 \h </w:instrText>
            </w:r>
            <w:r>
              <w:rPr>
                <w:noProof/>
                <w:webHidden/>
              </w:rPr>
            </w:r>
            <w:r>
              <w:rPr>
                <w:noProof/>
                <w:webHidden/>
              </w:rPr>
              <w:fldChar w:fldCharType="separate"/>
            </w:r>
            <w:r>
              <w:rPr>
                <w:noProof/>
                <w:webHidden/>
              </w:rPr>
              <w:t>11</w:t>
            </w:r>
            <w:r>
              <w:rPr>
                <w:noProof/>
                <w:webHidden/>
              </w:rPr>
              <w:fldChar w:fldCharType="end"/>
            </w:r>
          </w:hyperlink>
        </w:p>
        <w:p w14:paraId="3D5F0E34" w14:textId="77777777" w:rsidR="007B4BEB" w:rsidRDefault="007B4BEB">
          <w:pPr>
            <w:pStyle w:val="TOC2"/>
            <w:rPr>
              <w:rFonts w:asciiTheme="minorHAnsi" w:eastAsiaTheme="minorEastAsia" w:hAnsiTheme="minorHAnsi" w:cstheme="minorBidi"/>
              <w:b w:val="0"/>
              <w:noProof/>
              <w:sz w:val="22"/>
              <w:lang w:eastAsia="en-AU"/>
            </w:rPr>
          </w:pPr>
          <w:hyperlink w:anchor="_Toc505252924" w:history="1">
            <w:r w:rsidRPr="00FE66D2">
              <w:rPr>
                <w:rStyle w:val="Hyperlink"/>
                <w:noProof/>
              </w:rPr>
              <w:t>III. Nonclinical findings</w:t>
            </w:r>
            <w:r>
              <w:rPr>
                <w:noProof/>
                <w:webHidden/>
              </w:rPr>
              <w:tab/>
            </w:r>
            <w:r>
              <w:rPr>
                <w:noProof/>
                <w:webHidden/>
              </w:rPr>
              <w:fldChar w:fldCharType="begin"/>
            </w:r>
            <w:r>
              <w:rPr>
                <w:noProof/>
                <w:webHidden/>
              </w:rPr>
              <w:instrText xml:space="preserve"> PAGEREF _Toc505252924 \h </w:instrText>
            </w:r>
            <w:r>
              <w:rPr>
                <w:noProof/>
                <w:webHidden/>
              </w:rPr>
            </w:r>
            <w:r>
              <w:rPr>
                <w:noProof/>
                <w:webHidden/>
              </w:rPr>
              <w:fldChar w:fldCharType="separate"/>
            </w:r>
            <w:r>
              <w:rPr>
                <w:noProof/>
                <w:webHidden/>
              </w:rPr>
              <w:t>12</w:t>
            </w:r>
            <w:r>
              <w:rPr>
                <w:noProof/>
                <w:webHidden/>
              </w:rPr>
              <w:fldChar w:fldCharType="end"/>
            </w:r>
          </w:hyperlink>
        </w:p>
        <w:p w14:paraId="02B0C61F" w14:textId="77777777" w:rsidR="007B4BEB" w:rsidRDefault="007B4BEB">
          <w:pPr>
            <w:pStyle w:val="TOC3"/>
            <w:rPr>
              <w:rFonts w:asciiTheme="minorHAnsi" w:eastAsiaTheme="minorEastAsia" w:hAnsiTheme="minorHAnsi" w:cstheme="minorBidi"/>
              <w:noProof/>
              <w:lang w:eastAsia="en-AU"/>
            </w:rPr>
          </w:pPr>
          <w:hyperlink w:anchor="_Toc505252925" w:history="1">
            <w:r w:rsidRPr="00FE66D2">
              <w:rPr>
                <w:rStyle w:val="Hyperlink"/>
                <w:noProof/>
              </w:rPr>
              <w:t>Introduction</w:t>
            </w:r>
            <w:r>
              <w:rPr>
                <w:noProof/>
                <w:webHidden/>
              </w:rPr>
              <w:tab/>
            </w:r>
            <w:r>
              <w:rPr>
                <w:noProof/>
                <w:webHidden/>
              </w:rPr>
              <w:fldChar w:fldCharType="begin"/>
            </w:r>
            <w:r>
              <w:rPr>
                <w:noProof/>
                <w:webHidden/>
              </w:rPr>
              <w:instrText xml:space="preserve"> PAGEREF _Toc505252925 \h </w:instrText>
            </w:r>
            <w:r>
              <w:rPr>
                <w:noProof/>
                <w:webHidden/>
              </w:rPr>
            </w:r>
            <w:r>
              <w:rPr>
                <w:noProof/>
                <w:webHidden/>
              </w:rPr>
              <w:fldChar w:fldCharType="separate"/>
            </w:r>
            <w:r>
              <w:rPr>
                <w:noProof/>
                <w:webHidden/>
              </w:rPr>
              <w:t>12</w:t>
            </w:r>
            <w:r>
              <w:rPr>
                <w:noProof/>
                <w:webHidden/>
              </w:rPr>
              <w:fldChar w:fldCharType="end"/>
            </w:r>
          </w:hyperlink>
        </w:p>
        <w:p w14:paraId="52AD55F2" w14:textId="77777777" w:rsidR="007B4BEB" w:rsidRDefault="007B4BEB">
          <w:pPr>
            <w:pStyle w:val="TOC3"/>
            <w:rPr>
              <w:rFonts w:asciiTheme="minorHAnsi" w:eastAsiaTheme="minorEastAsia" w:hAnsiTheme="minorHAnsi" w:cstheme="minorBidi"/>
              <w:noProof/>
              <w:lang w:eastAsia="en-AU"/>
            </w:rPr>
          </w:pPr>
          <w:hyperlink w:anchor="_Toc505252926" w:history="1">
            <w:r w:rsidRPr="00FE66D2">
              <w:rPr>
                <w:rStyle w:val="Hyperlink"/>
                <w:noProof/>
              </w:rPr>
              <w:t>Pharmacology</w:t>
            </w:r>
            <w:r>
              <w:rPr>
                <w:noProof/>
                <w:webHidden/>
              </w:rPr>
              <w:tab/>
            </w:r>
            <w:r>
              <w:rPr>
                <w:noProof/>
                <w:webHidden/>
              </w:rPr>
              <w:fldChar w:fldCharType="begin"/>
            </w:r>
            <w:r>
              <w:rPr>
                <w:noProof/>
                <w:webHidden/>
              </w:rPr>
              <w:instrText xml:space="preserve"> PAGEREF _Toc505252926 \h </w:instrText>
            </w:r>
            <w:r>
              <w:rPr>
                <w:noProof/>
                <w:webHidden/>
              </w:rPr>
            </w:r>
            <w:r>
              <w:rPr>
                <w:noProof/>
                <w:webHidden/>
              </w:rPr>
              <w:fldChar w:fldCharType="separate"/>
            </w:r>
            <w:r>
              <w:rPr>
                <w:noProof/>
                <w:webHidden/>
              </w:rPr>
              <w:t>12</w:t>
            </w:r>
            <w:r>
              <w:rPr>
                <w:noProof/>
                <w:webHidden/>
              </w:rPr>
              <w:fldChar w:fldCharType="end"/>
            </w:r>
          </w:hyperlink>
        </w:p>
        <w:p w14:paraId="5EC71814" w14:textId="77777777" w:rsidR="007B4BEB" w:rsidRDefault="007B4BEB">
          <w:pPr>
            <w:pStyle w:val="TOC3"/>
            <w:rPr>
              <w:rFonts w:asciiTheme="minorHAnsi" w:eastAsiaTheme="minorEastAsia" w:hAnsiTheme="minorHAnsi" w:cstheme="minorBidi"/>
              <w:noProof/>
              <w:lang w:eastAsia="en-AU"/>
            </w:rPr>
          </w:pPr>
          <w:hyperlink w:anchor="_Toc505252927" w:history="1">
            <w:r w:rsidRPr="00FE66D2">
              <w:rPr>
                <w:rStyle w:val="Hyperlink"/>
                <w:noProof/>
              </w:rPr>
              <w:t>Pharmacokinetics</w:t>
            </w:r>
            <w:r>
              <w:rPr>
                <w:noProof/>
                <w:webHidden/>
              </w:rPr>
              <w:tab/>
            </w:r>
            <w:r>
              <w:rPr>
                <w:noProof/>
                <w:webHidden/>
              </w:rPr>
              <w:fldChar w:fldCharType="begin"/>
            </w:r>
            <w:r>
              <w:rPr>
                <w:noProof/>
                <w:webHidden/>
              </w:rPr>
              <w:instrText xml:space="preserve"> PAGEREF _Toc505252927 \h </w:instrText>
            </w:r>
            <w:r>
              <w:rPr>
                <w:noProof/>
                <w:webHidden/>
              </w:rPr>
            </w:r>
            <w:r>
              <w:rPr>
                <w:noProof/>
                <w:webHidden/>
              </w:rPr>
              <w:fldChar w:fldCharType="separate"/>
            </w:r>
            <w:r>
              <w:rPr>
                <w:noProof/>
                <w:webHidden/>
              </w:rPr>
              <w:t>13</w:t>
            </w:r>
            <w:r>
              <w:rPr>
                <w:noProof/>
                <w:webHidden/>
              </w:rPr>
              <w:fldChar w:fldCharType="end"/>
            </w:r>
          </w:hyperlink>
        </w:p>
        <w:p w14:paraId="16F3AF14" w14:textId="77777777" w:rsidR="007B4BEB" w:rsidRDefault="007B4BEB">
          <w:pPr>
            <w:pStyle w:val="TOC3"/>
            <w:rPr>
              <w:rFonts w:asciiTheme="minorHAnsi" w:eastAsiaTheme="minorEastAsia" w:hAnsiTheme="minorHAnsi" w:cstheme="minorBidi"/>
              <w:noProof/>
              <w:lang w:eastAsia="en-AU"/>
            </w:rPr>
          </w:pPr>
          <w:hyperlink w:anchor="_Toc505252928" w:history="1">
            <w:r w:rsidRPr="00FE66D2">
              <w:rPr>
                <w:rStyle w:val="Hyperlink"/>
                <w:noProof/>
              </w:rPr>
              <w:t>Toxicology</w:t>
            </w:r>
            <w:r>
              <w:rPr>
                <w:noProof/>
                <w:webHidden/>
              </w:rPr>
              <w:tab/>
            </w:r>
            <w:r>
              <w:rPr>
                <w:noProof/>
                <w:webHidden/>
              </w:rPr>
              <w:fldChar w:fldCharType="begin"/>
            </w:r>
            <w:r>
              <w:rPr>
                <w:noProof/>
                <w:webHidden/>
              </w:rPr>
              <w:instrText xml:space="preserve"> PAGEREF _Toc505252928 \h </w:instrText>
            </w:r>
            <w:r>
              <w:rPr>
                <w:noProof/>
                <w:webHidden/>
              </w:rPr>
            </w:r>
            <w:r>
              <w:rPr>
                <w:noProof/>
                <w:webHidden/>
              </w:rPr>
              <w:fldChar w:fldCharType="separate"/>
            </w:r>
            <w:r>
              <w:rPr>
                <w:noProof/>
                <w:webHidden/>
              </w:rPr>
              <w:t>15</w:t>
            </w:r>
            <w:r>
              <w:rPr>
                <w:noProof/>
                <w:webHidden/>
              </w:rPr>
              <w:fldChar w:fldCharType="end"/>
            </w:r>
          </w:hyperlink>
        </w:p>
        <w:p w14:paraId="1D9056C1" w14:textId="77777777" w:rsidR="007B4BEB" w:rsidRDefault="007B4BEB">
          <w:pPr>
            <w:pStyle w:val="TOC3"/>
            <w:rPr>
              <w:rFonts w:asciiTheme="minorHAnsi" w:eastAsiaTheme="minorEastAsia" w:hAnsiTheme="minorHAnsi" w:cstheme="minorBidi"/>
              <w:noProof/>
              <w:lang w:eastAsia="en-AU"/>
            </w:rPr>
          </w:pPr>
          <w:hyperlink w:anchor="_Toc505252929" w:history="1">
            <w:r w:rsidRPr="00FE66D2">
              <w:rPr>
                <w:rStyle w:val="Hyperlink"/>
                <w:noProof/>
              </w:rPr>
              <w:t>Nonclinical summary and conclusions</w:t>
            </w:r>
            <w:r>
              <w:rPr>
                <w:noProof/>
                <w:webHidden/>
              </w:rPr>
              <w:tab/>
            </w:r>
            <w:r>
              <w:rPr>
                <w:noProof/>
                <w:webHidden/>
              </w:rPr>
              <w:fldChar w:fldCharType="begin"/>
            </w:r>
            <w:r>
              <w:rPr>
                <w:noProof/>
                <w:webHidden/>
              </w:rPr>
              <w:instrText xml:space="preserve"> PAGEREF _Toc505252929 \h </w:instrText>
            </w:r>
            <w:r>
              <w:rPr>
                <w:noProof/>
                <w:webHidden/>
              </w:rPr>
            </w:r>
            <w:r>
              <w:rPr>
                <w:noProof/>
                <w:webHidden/>
              </w:rPr>
              <w:fldChar w:fldCharType="separate"/>
            </w:r>
            <w:r>
              <w:rPr>
                <w:noProof/>
                <w:webHidden/>
              </w:rPr>
              <w:t>18</w:t>
            </w:r>
            <w:r>
              <w:rPr>
                <w:noProof/>
                <w:webHidden/>
              </w:rPr>
              <w:fldChar w:fldCharType="end"/>
            </w:r>
          </w:hyperlink>
        </w:p>
        <w:p w14:paraId="455CDE57" w14:textId="77777777" w:rsidR="007B4BEB" w:rsidRDefault="007B4BEB">
          <w:pPr>
            <w:pStyle w:val="TOC2"/>
            <w:rPr>
              <w:rFonts w:asciiTheme="minorHAnsi" w:eastAsiaTheme="minorEastAsia" w:hAnsiTheme="minorHAnsi" w:cstheme="minorBidi"/>
              <w:b w:val="0"/>
              <w:noProof/>
              <w:sz w:val="22"/>
              <w:lang w:eastAsia="en-AU"/>
            </w:rPr>
          </w:pPr>
          <w:hyperlink w:anchor="_Toc505252930" w:history="1">
            <w:r w:rsidRPr="00FE66D2">
              <w:rPr>
                <w:rStyle w:val="Hyperlink"/>
                <w:noProof/>
              </w:rPr>
              <w:t>IV. Clinical findings</w:t>
            </w:r>
            <w:r>
              <w:rPr>
                <w:noProof/>
                <w:webHidden/>
              </w:rPr>
              <w:tab/>
            </w:r>
            <w:r>
              <w:rPr>
                <w:noProof/>
                <w:webHidden/>
              </w:rPr>
              <w:fldChar w:fldCharType="begin"/>
            </w:r>
            <w:r>
              <w:rPr>
                <w:noProof/>
                <w:webHidden/>
              </w:rPr>
              <w:instrText xml:space="preserve"> PAGEREF _Toc505252930 \h </w:instrText>
            </w:r>
            <w:r>
              <w:rPr>
                <w:noProof/>
                <w:webHidden/>
              </w:rPr>
            </w:r>
            <w:r>
              <w:rPr>
                <w:noProof/>
                <w:webHidden/>
              </w:rPr>
              <w:fldChar w:fldCharType="separate"/>
            </w:r>
            <w:r>
              <w:rPr>
                <w:noProof/>
                <w:webHidden/>
              </w:rPr>
              <w:t>19</w:t>
            </w:r>
            <w:r>
              <w:rPr>
                <w:noProof/>
                <w:webHidden/>
              </w:rPr>
              <w:fldChar w:fldCharType="end"/>
            </w:r>
          </w:hyperlink>
        </w:p>
        <w:p w14:paraId="16CA7A3D" w14:textId="77777777" w:rsidR="007B4BEB" w:rsidRDefault="007B4BEB">
          <w:pPr>
            <w:pStyle w:val="TOC3"/>
            <w:rPr>
              <w:rFonts w:asciiTheme="minorHAnsi" w:eastAsiaTheme="minorEastAsia" w:hAnsiTheme="minorHAnsi" w:cstheme="minorBidi"/>
              <w:noProof/>
              <w:lang w:eastAsia="en-AU"/>
            </w:rPr>
          </w:pPr>
          <w:hyperlink w:anchor="_Toc505252931" w:history="1">
            <w:r w:rsidRPr="00FE66D2">
              <w:rPr>
                <w:rStyle w:val="Hyperlink"/>
                <w:noProof/>
              </w:rPr>
              <w:t>Introduction</w:t>
            </w:r>
            <w:r>
              <w:rPr>
                <w:noProof/>
                <w:webHidden/>
              </w:rPr>
              <w:tab/>
            </w:r>
            <w:r>
              <w:rPr>
                <w:noProof/>
                <w:webHidden/>
              </w:rPr>
              <w:fldChar w:fldCharType="begin"/>
            </w:r>
            <w:r>
              <w:rPr>
                <w:noProof/>
                <w:webHidden/>
              </w:rPr>
              <w:instrText xml:space="preserve"> PAGEREF _Toc505252931 \h </w:instrText>
            </w:r>
            <w:r>
              <w:rPr>
                <w:noProof/>
                <w:webHidden/>
              </w:rPr>
            </w:r>
            <w:r>
              <w:rPr>
                <w:noProof/>
                <w:webHidden/>
              </w:rPr>
              <w:fldChar w:fldCharType="separate"/>
            </w:r>
            <w:r>
              <w:rPr>
                <w:noProof/>
                <w:webHidden/>
              </w:rPr>
              <w:t>19</w:t>
            </w:r>
            <w:r>
              <w:rPr>
                <w:noProof/>
                <w:webHidden/>
              </w:rPr>
              <w:fldChar w:fldCharType="end"/>
            </w:r>
          </w:hyperlink>
        </w:p>
        <w:p w14:paraId="70C02656" w14:textId="77777777" w:rsidR="007B4BEB" w:rsidRDefault="007B4BEB">
          <w:pPr>
            <w:pStyle w:val="TOC3"/>
            <w:rPr>
              <w:rFonts w:asciiTheme="minorHAnsi" w:eastAsiaTheme="minorEastAsia" w:hAnsiTheme="minorHAnsi" w:cstheme="minorBidi"/>
              <w:noProof/>
              <w:lang w:eastAsia="en-AU"/>
            </w:rPr>
          </w:pPr>
          <w:hyperlink w:anchor="_Toc505252932" w:history="1">
            <w:r w:rsidRPr="00FE66D2">
              <w:rPr>
                <w:rStyle w:val="Hyperlink"/>
                <w:noProof/>
              </w:rPr>
              <w:t>Pharmacokinetics</w:t>
            </w:r>
            <w:r>
              <w:rPr>
                <w:noProof/>
                <w:webHidden/>
              </w:rPr>
              <w:tab/>
            </w:r>
            <w:r>
              <w:rPr>
                <w:noProof/>
                <w:webHidden/>
              </w:rPr>
              <w:fldChar w:fldCharType="begin"/>
            </w:r>
            <w:r>
              <w:rPr>
                <w:noProof/>
                <w:webHidden/>
              </w:rPr>
              <w:instrText xml:space="preserve"> PAGEREF _Toc505252932 \h </w:instrText>
            </w:r>
            <w:r>
              <w:rPr>
                <w:noProof/>
                <w:webHidden/>
              </w:rPr>
            </w:r>
            <w:r>
              <w:rPr>
                <w:noProof/>
                <w:webHidden/>
              </w:rPr>
              <w:fldChar w:fldCharType="separate"/>
            </w:r>
            <w:r>
              <w:rPr>
                <w:noProof/>
                <w:webHidden/>
              </w:rPr>
              <w:t>20</w:t>
            </w:r>
            <w:r>
              <w:rPr>
                <w:noProof/>
                <w:webHidden/>
              </w:rPr>
              <w:fldChar w:fldCharType="end"/>
            </w:r>
          </w:hyperlink>
        </w:p>
        <w:p w14:paraId="168BA994" w14:textId="77777777" w:rsidR="007B4BEB" w:rsidRDefault="007B4BEB">
          <w:pPr>
            <w:pStyle w:val="TOC3"/>
            <w:rPr>
              <w:rFonts w:asciiTheme="minorHAnsi" w:eastAsiaTheme="minorEastAsia" w:hAnsiTheme="minorHAnsi" w:cstheme="minorBidi"/>
              <w:noProof/>
              <w:lang w:eastAsia="en-AU"/>
            </w:rPr>
          </w:pPr>
          <w:hyperlink w:anchor="_Toc505252933" w:history="1">
            <w:r w:rsidRPr="00FE66D2">
              <w:rPr>
                <w:rStyle w:val="Hyperlink"/>
                <w:noProof/>
              </w:rPr>
              <w:t>Pharmacodynamics</w:t>
            </w:r>
            <w:r>
              <w:rPr>
                <w:noProof/>
                <w:webHidden/>
              </w:rPr>
              <w:tab/>
            </w:r>
            <w:r>
              <w:rPr>
                <w:noProof/>
                <w:webHidden/>
              </w:rPr>
              <w:fldChar w:fldCharType="begin"/>
            </w:r>
            <w:r>
              <w:rPr>
                <w:noProof/>
                <w:webHidden/>
              </w:rPr>
              <w:instrText xml:space="preserve"> PAGEREF _Toc505252933 \h </w:instrText>
            </w:r>
            <w:r>
              <w:rPr>
                <w:noProof/>
                <w:webHidden/>
              </w:rPr>
            </w:r>
            <w:r>
              <w:rPr>
                <w:noProof/>
                <w:webHidden/>
              </w:rPr>
              <w:fldChar w:fldCharType="separate"/>
            </w:r>
            <w:r>
              <w:rPr>
                <w:noProof/>
                <w:webHidden/>
              </w:rPr>
              <w:t>21</w:t>
            </w:r>
            <w:r>
              <w:rPr>
                <w:noProof/>
                <w:webHidden/>
              </w:rPr>
              <w:fldChar w:fldCharType="end"/>
            </w:r>
          </w:hyperlink>
        </w:p>
        <w:p w14:paraId="06F561AB" w14:textId="77777777" w:rsidR="007B4BEB" w:rsidRDefault="007B4BEB">
          <w:pPr>
            <w:pStyle w:val="TOC3"/>
            <w:rPr>
              <w:rFonts w:asciiTheme="minorHAnsi" w:eastAsiaTheme="minorEastAsia" w:hAnsiTheme="minorHAnsi" w:cstheme="minorBidi"/>
              <w:noProof/>
              <w:lang w:eastAsia="en-AU"/>
            </w:rPr>
          </w:pPr>
          <w:hyperlink w:anchor="_Toc505252934" w:history="1">
            <w:r w:rsidRPr="00FE66D2">
              <w:rPr>
                <w:rStyle w:val="Hyperlink"/>
                <w:noProof/>
              </w:rPr>
              <w:t>Dosage selection for the pivotal studies</w:t>
            </w:r>
            <w:r>
              <w:rPr>
                <w:noProof/>
                <w:webHidden/>
              </w:rPr>
              <w:tab/>
            </w:r>
            <w:r>
              <w:rPr>
                <w:noProof/>
                <w:webHidden/>
              </w:rPr>
              <w:fldChar w:fldCharType="begin"/>
            </w:r>
            <w:r>
              <w:rPr>
                <w:noProof/>
                <w:webHidden/>
              </w:rPr>
              <w:instrText xml:space="preserve"> PAGEREF _Toc505252934 \h </w:instrText>
            </w:r>
            <w:r>
              <w:rPr>
                <w:noProof/>
                <w:webHidden/>
              </w:rPr>
            </w:r>
            <w:r>
              <w:rPr>
                <w:noProof/>
                <w:webHidden/>
              </w:rPr>
              <w:fldChar w:fldCharType="separate"/>
            </w:r>
            <w:r>
              <w:rPr>
                <w:noProof/>
                <w:webHidden/>
              </w:rPr>
              <w:t>21</w:t>
            </w:r>
            <w:r>
              <w:rPr>
                <w:noProof/>
                <w:webHidden/>
              </w:rPr>
              <w:fldChar w:fldCharType="end"/>
            </w:r>
          </w:hyperlink>
        </w:p>
        <w:p w14:paraId="0EB09ADE" w14:textId="77777777" w:rsidR="007B4BEB" w:rsidRDefault="007B4BEB">
          <w:pPr>
            <w:pStyle w:val="TOC3"/>
            <w:rPr>
              <w:rFonts w:asciiTheme="minorHAnsi" w:eastAsiaTheme="minorEastAsia" w:hAnsiTheme="minorHAnsi" w:cstheme="minorBidi"/>
              <w:noProof/>
              <w:lang w:eastAsia="en-AU"/>
            </w:rPr>
          </w:pPr>
          <w:hyperlink w:anchor="_Toc505252935" w:history="1">
            <w:r w:rsidRPr="00FE66D2">
              <w:rPr>
                <w:rStyle w:val="Hyperlink"/>
                <w:noProof/>
              </w:rPr>
              <w:t>Efficacy</w:t>
            </w:r>
            <w:r>
              <w:rPr>
                <w:noProof/>
                <w:webHidden/>
              </w:rPr>
              <w:tab/>
            </w:r>
            <w:r>
              <w:rPr>
                <w:noProof/>
                <w:webHidden/>
              </w:rPr>
              <w:fldChar w:fldCharType="begin"/>
            </w:r>
            <w:r>
              <w:rPr>
                <w:noProof/>
                <w:webHidden/>
              </w:rPr>
              <w:instrText xml:space="preserve"> PAGEREF _Toc505252935 \h </w:instrText>
            </w:r>
            <w:r>
              <w:rPr>
                <w:noProof/>
                <w:webHidden/>
              </w:rPr>
            </w:r>
            <w:r>
              <w:rPr>
                <w:noProof/>
                <w:webHidden/>
              </w:rPr>
              <w:fldChar w:fldCharType="separate"/>
            </w:r>
            <w:r>
              <w:rPr>
                <w:noProof/>
                <w:webHidden/>
              </w:rPr>
              <w:t>22</w:t>
            </w:r>
            <w:r>
              <w:rPr>
                <w:noProof/>
                <w:webHidden/>
              </w:rPr>
              <w:fldChar w:fldCharType="end"/>
            </w:r>
          </w:hyperlink>
        </w:p>
        <w:p w14:paraId="2831DD8A" w14:textId="77777777" w:rsidR="007B4BEB" w:rsidRDefault="007B4BEB">
          <w:pPr>
            <w:pStyle w:val="TOC3"/>
            <w:rPr>
              <w:rFonts w:asciiTheme="minorHAnsi" w:eastAsiaTheme="minorEastAsia" w:hAnsiTheme="minorHAnsi" w:cstheme="minorBidi"/>
              <w:noProof/>
              <w:lang w:eastAsia="en-AU"/>
            </w:rPr>
          </w:pPr>
          <w:hyperlink w:anchor="_Toc505252936" w:history="1">
            <w:r w:rsidRPr="00FE66D2">
              <w:rPr>
                <w:rStyle w:val="Hyperlink"/>
                <w:noProof/>
              </w:rPr>
              <w:t>Safety</w:t>
            </w:r>
            <w:r>
              <w:rPr>
                <w:noProof/>
                <w:webHidden/>
              </w:rPr>
              <w:tab/>
            </w:r>
            <w:r>
              <w:rPr>
                <w:noProof/>
                <w:webHidden/>
              </w:rPr>
              <w:fldChar w:fldCharType="begin"/>
            </w:r>
            <w:r>
              <w:rPr>
                <w:noProof/>
                <w:webHidden/>
              </w:rPr>
              <w:instrText xml:space="preserve"> PAGEREF _Toc505252936 \h </w:instrText>
            </w:r>
            <w:r>
              <w:rPr>
                <w:noProof/>
                <w:webHidden/>
              </w:rPr>
            </w:r>
            <w:r>
              <w:rPr>
                <w:noProof/>
                <w:webHidden/>
              </w:rPr>
              <w:fldChar w:fldCharType="separate"/>
            </w:r>
            <w:r>
              <w:rPr>
                <w:noProof/>
                <w:webHidden/>
              </w:rPr>
              <w:t>22</w:t>
            </w:r>
            <w:r>
              <w:rPr>
                <w:noProof/>
                <w:webHidden/>
              </w:rPr>
              <w:fldChar w:fldCharType="end"/>
            </w:r>
          </w:hyperlink>
        </w:p>
        <w:p w14:paraId="1C0CB507" w14:textId="77777777" w:rsidR="007B4BEB" w:rsidRDefault="007B4BEB">
          <w:pPr>
            <w:pStyle w:val="TOC3"/>
            <w:rPr>
              <w:rFonts w:asciiTheme="minorHAnsi" w:eastAsiaTheme="minorEastAsia" w:hAnsiTheme="minorHAnsi" w:cstheme="minorBidi"/>
              <w:noProof/>
              <w:lang w:eastAsia="en-AU"/>
            </w:rPr>
          </w:pPr>
          <w:hyperlink w:anchor="_Toc505252937" w:history="1">
            <w:r w:rsidRPr="00FE66D2">
              <w:rPr>
                <w:rStyle w:val="Hyperlink"/>
                <w:noProof/>
              </w:rPr>
              <w:t>First round benefit-risk assessment</w:t>
            </w:r>
            <w:r>
              <w:rPr>
                <w:noProof/>
                <w:webHidden/>
              </w:rPr>
              <w:tab/>
            </w:r>
            <w:r>
              <w:rPr>
                <w:noProof/>
                <w:webHidden/>
              </w:rPr>
              <w:fldChar w:fldCharType="begin"/>
            </w:r>
            <w:r>
              <w:rPr>
                <w:noProof/>
                <w:webHidden/>
              </w:rPr>
              <w:instrText xml:space="preserve"> PAGEREF _Toc505252937 \h </w:instrText>
            </w:r>
            <w:r>
              <w:rPr>
                <w:noProof/>
                <w:webHidden/>
              </w:rPr>
            </w:r>
            <w:r>
              <w:rPr>
                <w:noProof/>
                <w:webHidden/>
              </w:rPr>
              <w:fldChar w:fldCharType="separate"/>
            </w:r>
            <w:r>
              <w:rPr>
                <w:noProof/>
                <w:webHidden/>
              </w:rPr>
              <w:t>23</w:t>
            </w:r>
            <w:r>
              <w:rPr>
                <w:noProof/>
                <w:webHidden/>
              </w:rPr>
              <w:fldChar w:fldCharType="end"/>
            </w:r>
          </w:hyperlink>
        </w:p>
        <w:p w14:paraId="2E89825E" w14:textId="77777777" w:rsidR="007B4BEB" w:rsidRDefault="007B4BEB">
          <w:pPr>
            <w:pStyle w:val="TOC3"/>
            <w:rPr>
              <w:rFonts w:asciiTheme="minorHAnsi" w:eastAsiaTheme="minorEastAsia" w:hAnsiTheme="minorHAnsi" w:cstheme="minorBidi"/>
              <w:noProof/>
              <w:lang w:eastAsia="en-AU"/>
            </w:rPr>
          </w:pPr>
          <w:hyperlink w:anchor="_Toc505252938" w:history="1">
            <w:r w:rsidRPr="00FE66D2">
              <w:rPr>
                <w:rStyle w:val="Hyperlink"/>
                <w:noProof/>
              </w:rPr>
              <w:t>First round recommendation regarding authorisation</w:t>
            </w:r>
            <w:r>
              <w:rPr>
                <w:noProof/>
                <w:webHidden/>
              </w:rPr>
              <w:tab/>
            </w:r>
            <w:r>
              <w:rPr>
                <w:noProof/>
                <w:webHidden/>
              </w:rPr>
              <w:fldChar w:fldCharType="begin"/>
            </w:r>
            <w:r>
              <w:rPr>
                <w:noProof/>
                <w:webHidden/>
              </w:rPr>
              <w:instrText xml:space="preserve"> PAGEREF _Toc505252938 \h </w:instrText>
            </w:r>
            <w:r>
              <w:rPr>
                <w:noProof/>
                <w:webHidden/>
              </w:rPr>
            </w:r>
            <w:r>
              <w:rPr>
                <w:noProof/>
                <w:webHidden/>
              </w:rPr>
              <w:fldChar w:fldCharType="separate"/>
            </w:r>
            <w:r>
              <w:rPr>
                <w:noProof/>
                <w:webHidden/>
              </w:rPr>
              <w:t>24</w:t>
            </w:r>
            <w:r>
              <w:rPr>
                <w:noProof/>
                <w:webHidden/>
              </w:rPr>
              <w:fldChar w:fldCharType="end"/>
            </w:r>
          </w:hyperlink>
        </w:p>
        <w:p w14:paraId="6C5B2C28" w14:textId="77777777" w:rsidR="007B4BEB" w:rsidRDefault="007B4BEB">
          <w:pPr>
            <w:pStyle w:val="TOC3"/>
            <w:rPr>
              <w:rFonts w:asciiTheme="minorHAnsi" w:eastAsiaTheme="minorEastAsia" w:hAnsiTheme="minorHAnsi" w:cstheme="minorBidi"/>
              <w:noProof/>
              <w:lang w:eastAsia="en-AU"/>
            </w:rPr>
          </w:pPr>
          <w:hyperlink w:anchor="_Toc505252939" w:history="1">
            <w:r w:rsidRPr="00FE66D2">
              <w:rPr>
                <w:rStyle w:val="Hyperlink"/>
                <w:noProof/>
              </w:rPr>
              <w:t>Clinical questions and second round evaluation of clinical data submitted in response to questions</w:t>
            </w:r>
            <w:r>
              <w:rPr>
                <w:noProof/>
                <w:webHidden/>
              </w:rPr>
              <w:tab/>
            </w:r>
            <w:r>
              <w:rPr>
                <w:noProof/>
                <w:webHidden/>
              </w:rPr>
              <w:fldChar w:fldCharType="begin"/>
            </w:r>
            <w:r>
              <w:rPr>
                <w:noProof/>
                <w:webHidden/>
              </w:rPr>
              <w:instrText xml:space="preserve"> PAGEREF _Toc505252939 \h </w:instrText>
            </w:r>
            <w:r>
              <w:rPr>
                <w:noProof/>
                <w:webHidden/>
              </w:rPr>
            </w:r>
            <w:r>
              <w:rPr>
                <w:noProof/>
                <w:webHidden/>
              </w:rPr>
              <w:fldChar w:fldCharType="separate"/>
            </w:r>
            <w:r>
              <w:rPr>
                <w:noProof/>
                <w:webHidden/>
              </w:rPr>
              <w:t>24</w:t>
            </w:r>
            <w:r>
              <w:rPr>
                <w:noProof/>
                <w:webHidden/>
              </w:rPr>
              <w:fldChar w:fldCharType="end"/>
            </w:r>
          </w:hyperlink>
        </w:p>
        <w:p w14:paraId="00B9FCD6" w14:textId="77777777" w:rsidR="007B4BEB" w:rsidRDefault="007B4BEB">
          <w:pPr>
            <w:pStyle w:val="TOC3"/>
            <w:rPr>
              <w:rFonts w:asciiTheme="minorHAnsi" w:eastAsiaTheme="minorEastAsia" w:hAnsiTheme="minorHAnsi" w:cstheme="minorBidi"/>
              <w:noProof/>
              <w:lang w:eastAsia="en-AU"/>
            </w:rPr>
          </w:pPr>
          <w:hyperlink w:anchor="_Toc505252940" w:history="1">
            <w:r w:rsidRPr="00FE66D2">
              <w:rPr>
                <w:rStyle w:val="Hyperlink"/>
                <w:noProof/>
              </w:rPr>
              <w:t>Second round benefit-risk assessment</w:t>
            </w:r>
            <w:r>
              <w:rPr>
                <w:noProof/>
                <w:webHidden/>
              </w:rPr>
              <w:tab/>
            </w:r>
            <w:r>
              <w:rPr>
                <w:noProof/>
                <w:webHidden/>
              </w:rPr>
              <w:fldChar w:fldCharType="begin"/>
            </w:r>
            <w:r>
              <w:rPr>
                <w:noProof/>
                <w:webHidden/>
              </w:rPr>
              <w:instrText xml:space="preserve"> PAGEREF _Toc505252940 \h </w:instrText>
            </w:r>
            <w:r>
              <w:rPr>
                <w:noProof/>
                <w:webHidden/>
              </w:rPr>
            </w:r>
            <w:r>
              <w:rPr>
                <w:noProof/>
                <w:webHidden/>
              </w:rPr>
              <w:fldChar w:fldCharType="separate"/>
            </w:r>
            <w:r>
              <w:rPr>
                <w:noProof/>
                <w:webHidden/>
              </w:rPr>
              <w:t>24</w:t>
            </w:r>
            <w:r>
              <w:rPr>
                <w:noProof/>
                <w:webHidden/>
              </w:rPr>
              <w:fldChar w:fldCharType="end"/>
            </w:r>
          </w:hyperlink>
        </w:p>
        <w:p w14:paraId="7A254C6B" w14:textId="77777777" w:rsidR="007B4BEB" w:rsidRDefault="007B4BEB">
          <w:pPr>
            <w:pStyle w:val="TOC2"/>
            <w:rPr>
              <w:rFonts w:asciiTheme="minorHAnsi" w:eastAsiaTheme="minorEastAsia" w:hAnsiTheme="minorHAnsi" w:cstheme="minorBidi"/>
              <w:b w:val="0"/>
              <w:noProof/>
              <w:sz w:val="22"/>
              <w:lang w:eastAsia="en-AU"/>
            </w:rPr>
          </w:pPr>
          <w:hyperlink w:anchor="_Toc505252941" w:history="1">
            <w:r w:rsidRPr="00FE66D2">
              <w:rPr>
                <w:rStyle w:val="Hyperlink"/>
                <w:noProof/>
              </w:rPr>
              <w:t>V. Pharmacovigilance findings</w:t>
            </w:r>
            <w:r>
              <w:rPr>
                <w:noProof/>
                <w:webHidden/>
              </w:rPr>
              <w:tab/>
            </w:r>
            <w:r>
              <w:rPr>
                <w:noProof/>
                <w:webHidden/>
              </w:rPr>
              <w:fldChar w:fldCharType="begin"/>
            </w:r>
            <w:r>
              <w:rPr>
                <w:noProof/>
                <w:webHidden/>
              </w:rPr>
              <w:instrText xml:space="preserve"> PAGEREF _Toc505252941 \h </w:instrText>
            </w:r>
            <w:r>
              <w:rPr>
                <w:noProof/>
                <w:webHidden/>
              </w:rPr>
            </w:r>
            <w:r>
              <w:rPr>
                <w:noProof/>
                <w:webHidden/>
              </w:rPr>
              <w:fldChar w:fldCharType="separate"/>
            </w:r>
            <w:r>
              <w:rPr>
                <w:noProof/>
                <w:webHidden/>
              </w:rPr>
              <w:t>24</w:t>
            </w:r>
            <w:r>
              <w:rPr>
                <w:noProof/>
                <w:webHidden/>
              </w:rPr>
              <w:fldChar w:fldCharType="end"/>
            </w:r>
          </w:hyperlink>
        </w:p>
        <w:p w14:paraId="03F1AB4C" w14:textId="77777777" w:rsidR="007B4BEB" w:rsidRDefault="007B4BEB">
          <w:pPr>
            <w:pStyle w:val="TOC3"/>
            <w:rPr>
              <w:rFonts w:asciiTheme="minorHAnsi" w:eastAsiaTheme="minorEastAsia" w:hAnsiTheme="minorHAnsi" w:cstheme="minorBidi"/>
              <w:noProof/>
              <w:lang w:eastAsia="en-AU"/>
            </w:rPr>
          </w:pPr>
          <w:hyperlink w:anchor="_Toc505252942" w:history="1">
            <w:r w:rsidRPr="00FE66D2">
              <w:rPr>
                <w:rStyle w:val="Hyperlink"/>
                <w:noProof/>
                <w:lang w:eastAsia="en-AU"/>
              </w:rPr>
              <w:t>Risk management plan</w:t>
            </w:r>
            <w:r>
              <w:rPr>
                <w:noProof/>
                <w:webHidden/>
              </w:rPr>
              <w:tab/>
            </w:r>
            <w:r>
              <w:rPr>
                <w:noProof/>
                <w:webHidden/>
              </w:rPr>
              <w:fldChar w:fldCharType="begin"/>
            </w:r>
            <w:r>
              <w:rPr>
                <w:noProof/>
                <w:webHidden/>
              </w:rPr>
              <w:instrText xml:space="preserve"> PAGEREF _Toc505252942 \h </w:instrText>
            </w:r>
            <w:r>
              <w:rPr>
                <w:noProof/>
                <w:webHidden/>
              </w:rPr>
            </w:r>
            <w:r>
              <w:rPr>
                <w:noProof/>
                <w:webHidden/>
              </w:rPr>
              <w:fldChar w:fldCharType="separate"/>
            </w:r>
            <w:r>
              <w:rPr>
                <w:noProof/>
                <w:webHidden/>
              </w:rPr>
              <w:t>24</w:t>
            </w:r>
            <w:r>
              <w:rPr>
                <w:noProof/>
                <w:webHidden/>
              </w:rPr>
              <w:fldChar w:fldCharType="end"/>
            </w:r>
          </w:hyperlink>
        </w:p>
        <w:p w14:paraId="69453C60" w14:textId="77777777" w:rsidR="007B4BEB" w:rsidRDefault="007B4BEB">
          <w:pPr>
            <w:pStyle w:val="TOC2"/>
            <w:rPr>
              <w:rFonts w:asciiTheme="minorHAnsi" w:eastAsiaTheme="minorEastAsia" w:hAnsiTheme="minorHAnsi" w:cstheme="minorBidi"/>
              <w:b w:val="0"/>
              <w:noProof/>
              <w:sz w:val="22"/>
              <w:lang w:eastAsia="en-AU"/>
            </w:rPr>
          </w:pPr>
          <w:hyperlink w:anchor="_Toc505252943" w:history="1">
            <w:r w:rsidRPr="00FE66D2">
              <w:rPr>
                <w:rStyle w:val="Hyperlink"/>
                <w:noProof/>
              </w:rPr>
              <w:t>VI. Overall conclusion and risk/benefit assessment</w:t>
            </w:r>
            <w:r>
              <w:rPr>
                <w:noProof/>
                <w:webHidden/>
              </w:rPr>
              <w:tab/>
            </w:r>
            <w:r>
              <w:rPr>
                <w:noProof/>
                <w:webHidden/>
              </w:rPr>
              <w:fldChar w:fldCharType="begin"/>
            </w:r>
            <w:r>
              <w:rPr>
                <w:noProof/>
                <w:webHidden/>
              </w:rPr>
              <w:instrText xml:space="preserve"> PAGEREF _Toc505252943 \h </w:instrText>
            </w:r>
            <w:r>
              <w:rPr>
                <w:noProof/>
                <w:webHidden/>
              </w:rPr>
            </w:r>
            <w:r>
              <w:rPr>
                <w:noProof/>
                <w:webHidden/>
              </w:rPr>
              <w:fldChar w:fldCharType="separate"/>
            </w:r>
            <w:r>
              <w:rPr>
                <w:noProof/>
                <w:webHidden/>
              </w:rPr>
              <w:t>26</w:t>
            </w:r>
            <w:r>
              <w:rPr>
                <w:noProof/>
                <w:webHidden/>
              </w:rPr>
              <w:fldChar w:fldCharType="end"/>
            </w:r>
          </w:hyperlink>
        </w:p>
        <w:p w14:paraId="202A30CE" w14:textId="77777777" w:rsidR="007B4BEB" w:rsidRDefault="007B4BEB">
          <w:pPr>
            <w:pStyle w:val="TOC3"/>
            <w:rPr>
              <w:rFonts w:asciiTheme="minorHAnsi" w:eastAsiaTheme="minorEastAsia" w:hAnsiTheme="minorHAnsi" w:cstheme="minorBidi"/>
              <w:noProof/>
              <w:lang w:eastAsia="en-AU"/>
            </w:rPr>
          </w:pPr>
          <w:hyperlink w:anchor="_Toc505252944" w:history="1">
            <w:r w:rsidRPr="00FE66D2">
              <w:rPr>
                <w:rStyle w:val="Hyperlink"/>
                <w:noProof/>
              </w:rPr>
              <w:t>Background</w:t>
            </w:r>
            <w:r>
              <w:rPr>
                <w:noProof/>
                <w:webHidden/>
              </w:rPr>
              <w:tab/>
            </w:r>
            <w:r>
              <w:rPr>
                <w:noProof/>
                <w:webHidden/>
              </w:rPr>
              <w:fldChar w:fldCharType="begin"/>
            </w:r>
            <w:r>
              <w:rPr>
                <w:noProof/>
                <w:webHidden/>
              </w:rPr>
              <w:instrText xml:space="preserve"> PAGEREF _Toc505252944 \h </w:instrText>
            </w:r>
            <w:r>
              <w:rPr>
                <w:noProof/>
                <w:webHidden/>
              </w:rPr>
            </w:r>
            <w:r>
              <w:rPr>
                <w:noProof/>
                <w:webHidden/>
              </w:rPr>
              <w:fldChar w:fldCharType="separate"/>
            </w:r>
            <w:r>
              <w:rPr>
                <w:noProof/>
                <w:webHidden/>
              </w:rPr>
              <w:t>26</w:t>
            </w:r>
            <w:r>
              <w:rPr>
                <w:noProof/>
                <w:webHidden/>
              </w:rPr>
              <w:fldChar w:fldCharType="end"/>
            </w:r>
          </w:hyperlink>
        </w:p>
        <w:p w14:paraId="0D9F00F7" w14:textId="77777777" w:rsidR="007B4BEB" w:rsidRDefault="007B4BEB">
          <w:pPr>
            <w:pStyle w:val="TOC3"/>
            <w:rPr>
              <w:rFonts w:asciiTheme="minorHAnsi" w:eastAsiaTheme="minorEastAsia" w:hAnsiTheme="minorHAnsi" w:cstheme="minorBidi"/>
              <w:noProof/>
              <w:lang w:eastAsia="en-AU"/>
            </w:rPr>
          </w:pPr>
          <w:hyperlink w:anchor="_Toc505252945" w:history="1">
            <w:r w:rsidRPr="00FE66D2">
              <w:rPr>
                <w:rStyle w:val="Hyperlink"/>
                <w:noProof/>
              </w:rPr>
              <w:t>Quality</w:t>
            </w:r>
            <w:r>
              <w:rPr>
                <w:noProof/>
                <w:webHidden/>
              </w:rPr>
              <w:tab/>
            </w:r>
            <w:r>
              <w:rPr>
                <w:noProof/>
                <w:webHidden/>
              </w:rPr>
              <w:fldChar w:fldCharType="begin"/>
            </w:r>
            <w:r>
              <w:rPr>
                <w:noProof/>
                <w:webHidden/>
              </w:rPr>
              <w:instrText xml:space="preserve"> PAGEREF _Toc505252945 \h </w:instrText>
            </w:r>
            <w:r>
              <w:rPr>
                <w:noProof/>
                <w:webHidden/>
              </w:rPr>
            </w:r>
            <w:r>
              <w:rPr>
                <w:noProof/>
                <w:webHidden/>
              </w:rPr>
              <w:fldChar w:fldCharType="separate"/>
            </w:r>
            <w:r>
              <w:rPr>
                <w:noProof/>
                <w:webHidden/>
              </w:rPr>
              <w:t>26</w:t>
            </w:r>
            <w:r>
              <w:rPr>
                <w:noProof/>
                <w:webHidden/>
              </w:rPr>
              <w:fldChar w:fldCharType="end"/>
            </w:r>
          </w:hyperlink>
        </w:p>
        <w:p w14:paraId="27F4CB10" w14:textId="77777777" w:rsidR="007B4BEB" w:rsidRDefault="007B4BEB">
          <w:pPr>
            <w:pStyle w:val="TOC3"/>
            <w:rPr>
              <w:rFonts w:asciiTheme="minorHAnsi" w:eastAsiaTheme="minorEastAsia" w:hAnsiTheme="minorHAnsi" w:cstheme="minorBidi"/>
              <w:noProof/>
              <w:lang w:eastAsia="en-AU"/>
            </w:rPr>
          </w:pPr>
          <w:hyperlink w:anchor="_Toc505252946" w:history="1">
            <w:r w:rsidRPr="00FE66D2">
              <w:rPr>
                <w:rStyle w:val="Hyperlink"/>
                <w:noProof/>
              </w:rPr>
              <w:t>Nonclinical</w:t>
            </w:r>
            <w:r>
              <w:rPr>
                <w:noProof/>
                <w:webHidden/>
              </w:rPr>
              <w:tab/>
            </w:r>
            <w:r>
              <w:rPr>
                <w:noProof/>
                <w:webHidden/>
              </w:rPr>
              <w:fldChar w:fldCharType="begin"/>
            </w:r>
            <w:r>
              <w:rPr>
                <w:noProof/>
                <w:webHidden/>
              </w:rPr>
              <w:instrText xml:space="preserve"> PAGEREF _Toc505252946 \h </w:instrText>
            </w:r>
            <w:r>
              <w:rPr>
                <w:noProof/>
                <w:webHidden/>
              </w:rPr>
            </w:r>
            <w:r>
              <w:rPr>
                <w:noProof/>
                <w:webHidden/>
              </w:rPr>
              <w:fldChar w:fldCharType="separate"/>
            </w:r>
            <w:r>
              <w:rPr>
                <w:noProof/>
                <w:webHidden/>
              </w:rPr>
              <w:t>27</w:t>
            </w:r>
            <w:r>
              <w:rPr>
                <w:noProof/>
                <w:webHidden/>
              </w:rPr>
              <w:fldChar w:fldCharType="end"/>
            </w:r>
          </w:hyperlink>
        </w:p>
        <w:p w14:paraId="751EFBA7" w14:textId="77777777" w:rsidR="007B4BEB" w:rsidRDefault="007B4BEB">
          <w:pPr>
            <w:pStyle w:val="TOC3"/>
            <w:rPr>
              <w:rFonts w:asciiTheme="minorHAnsi" w:eastAsiaTheme="minorEastAsia" w:hAnsiTheme="minorHAnsi" w:cstheme="minorBidi"/>
              <w:noProof/>
              <w:lang w:eastAsia="en-AU"/>
            </w:rPr>
          </w:pPr>
          <w:hyperlink w:anchor="_Toc505252947" w:history="1">
            <w:r w:rsidRPr="00FE66D2">
              <w:rPr>
                <w:rStyle w:val="Hyperlink"/>
                <w:noProof/>
              </w:rPr>
              <w:t>Clinical</w:t>
            </w:r>
            <w:r>
              <w:rPr>
                <w:noProof/>
                <w:webHidden/>
              </w:rPr>
              <w:tab/>
            </w:r>
            <w:r>
              <w:rPr>
                <w:noProof/>
                <w:webHidden/>
              </w:rPr>
              <w:fldChar w:fldCharType="begin"/>
            </w:r>
            <w:r>
              <w:rPr>
                <w:noProof/>
                <w:webHidden/>
              </w:rPr>
              <w:instrText xml:space="preserve"> PAGEREF _Toc505252947 \h </w:instrText>
            </w:r>
            <w:r>
              <w:rPr>
                <w:noProof/>
                <w:webHidden/>
              </w:rPr>
            </w:r>
            <w:r>
              <w:rPr>
                <w:noProof/>
                <w:webHidden/>
              </w:rPr>
              <w:fldChar w:fldCharType="separate"/>
            </w:r>
            <w:r>
              <w:rPr>
                <w:noProof/>
                <w:webHidden/>
              </w:rPr>
              <w:t>27</w:t>
            </w:r>
            <w:r>
              <w:rPr>
                <w:noProof/>
                <w:webHidden/>
              </w:rPr>
              <w:fldChar w:fldCharType="end"/>
            </w:r>
          </w:hyperlink>
        </w:p>
        <w:p w14:paraId="40A92383" w14:textId="77777777" w:rsidR="007B4BEB" w:rsidRDefault="007B4BEB">
          <w:pPr>
            <w:pStyle w:val="TOC3"/>
            <w:rPr>
              <w:rFonts w:asciiTheme="minorHAnsi" w:eastAsiaTheme="minorEastAsia" w:hAnsiTheme="minorHAnsi" w:cstheme="minorBidi"/>
              <w:noProof/>
              <w:lang w:eastAsia="en-AU"/>
            </w:rPr>
          </w:pPr>
          <w:hyperlink w:anchor="_Toc505252948" w:history="1">
            <w:r w:rsidRPr="00FE66D2">
              <w:rPr>
                <w:rStyle w:val="Hyperlink"/>
                <w:noProof/>
                <w:lang w:eastAsia="en-AU"/>
              </w:rPr>
              <w:t>Risk management plan</w:t>
            </w:r>
            <w:r>
              <w:rPr>
                <w:noProof/>
                <w:webHidden/>
              </w:rPr>
              <w:tab/>
            </w:r>
            <w:r>
              <w:rPr>
                <w:noProof/>
                <w:webHidden/>
              </w:rPr>
              <w:fldChar w:fldCharType="begin"/>
            </w:r>
            <w:r>
              <w:rPr>
                <w:noProof/>
                <w:webHidden/>
              </w:rPr>
              <w:instrText xml:space="preserve"> PAGEREF _Toc505252948 \h </w:instrText>
            </w:r>
            <w:r>
              <w:rPr>
                <w:noProof/>
                <w:webHidden/>
              </w:rPr>
            </w:r>
            <w:r>
              <w:rPr>
                <w:noProof/>
                <w:webHidden/>
              </w:rPr>
              <w:fldChar w:fldCharType="separate"/>
            </w:r>
            <w:r>
              <w:rPr>
                <w:noProof/>
                <w:webHidden/>
              </w:rPr>
              <w:t>36</w:t>
            </w:r>
            <w:r>
              <w:rPr>
                <w:noProof/>
                <w:webHidden/>
              </w:rPr>
              <w:fldChar w:fldCharType="end"/>
            </w:r>
          </w:hyperlink>
        </w:p>
        <w:p w14:paraId="33C43D5F" w14:textId="77777777" w:rsidR="007B4BEB" w:rsidRDefault="007B4BEB">
          <w:pPr>
            <w:pStyle w:val="TOC3"/>
            <w:rPr>
              <w:rFonts w:asciiTheme="minorHAnsi" w:eastAsiaTheme="minorEastAsia" w:hAnsiTheme="minorHAnsi" w:cstheme="minorBidi"/>
              <w:noProof/>
              <w:lang w:eastAsia="en-AU"/>
            </w:rPr>
          </w:pPr>
          <w:hyperlink w:anchor="_Toc505252949" w:history="1">
            <w:r w:rsidRPr="00FE66D2">
              <w:rPr>
                <w:rStyle w:val="Hyperlink"/>
                <w:noProof/>
              </w:rPr>
              <w:t>Risk-benefit analysis</w:t>
            </w:r>
            <w:r>
              <w:rPr>
                <w:noProof/>
                <w:webHidden/>
              </w:rPr>
              <w:tab/>
            </w:r>
            <w:r>
              <w:rPr>
                <w:noProof/>
                <w:webHidden/>
              </w:rPr>
              <w:fldChar w:fldCharType="begin"/>
            </w:r>
            <w:r>
              <w:rPr>
                <w:noProof/>
                <w:webHidden/>
              </w:rPr>
              <w:instrText xml:space="preserve"> PAGEREF _Toc505252949 \h </w:instrText>
            </w:r>
            <w:r>
              <w:rPr>
                <w:noProof/>
                <w:webHidden/>
              </w:rPr>
            </w:r>
            <w:r>
              <w:rPr>
                <w:noProof/>
                <w:webHidden/>
              </w:rPr>
              <w:fldChar w:fldCharType="separate"/>
            </w:r>
            <w:r>
              <w:rPr>
                <w:noProof/>
                <w:webHidden/>
              </w:rPr>
              <w:t>37</w:t>
            </w:r>
            <w:r>
              <w:rPr>
                <w:noProof/>
                <w:webHidden/>
              </w:rPr>
              <w:fldChar w:fldCharType="end"/>
            </w:r>
          </w:hyperlink>
        </w:p>
        <w:p w14:paraId="0A7324C1" w14:textId="77777777" w:rsidR="007B4BEB" w:rsidRDefault="007B4BEB">
          <w:pPr>
            <w:pStyle w:val="TOC3"/>
            <w:rPr>
              <w:rFonts w:asciiTheme="minorHAnsi" w:eastAsiaTheme="minorEastAsia" w:hAnsiTheme="minorHAnsi" w:cstheme="minorBidi"/>
              <w:noProof/>
              <w:lang w:eastAsia="en-AU"/>
            </w:rPr>
          </w:pPr>
          <w:hyperlink w:anchor="_Toc505252950" w:history="1">
            <w:r w:rsidRPr="00FE66D2">
              <w:rPr>
                <w:rStyle w:val="Hyperlink"/>
                <w:noProof/>
              </w:rPr>
              <w:t>Outcome</w:t>
            </w:r>
            <w:r>
              <w:rPr>
                <w:noProof/>
                <w:webHidden/>
              </w:rPr>
              <w:tab/>
            </w:r>
            <w:r>
              <w:rPr>
                <w:noProof/>
                <w:webHidden/>
              </w:rPr>
              <w:fldChar w:fldCharType="begin"/>
            </w:r>
            <w:r>
              <w:rPr>
                <w:noProof/>
                <w:webHidden/>
              </w:rPr>
              <w:instrText xml:space="preserve"> PAGEREF _Toc505252950 \h </w:instrText>
            </w:r>
            <w:r>
              <w:rPr>
                <w:noProof/>
                <w:webHidden/>
              </w:rPr>
            </w:r>
            <w:r>
              <w:rPr>
                <w:noProof/>
                <w:webHidden/>
              </w:rPr>
              <w:fldChar w:fldCharType="separate"/>
            </w:r>
            <w:r>
              <w:rPr>
                <w:noProof/>
                <w:webHidden/>
              </w:rPr>
              <w:t>42</w:t>
            </w:r>
            <w:r>
              <w:rPr>
                <w:noProof/>
                <w:webHidden/>
              </w:rPr>
              <w:fldChar w:fldCharType="end"/>
            </w:r>
          </w:hyperlink>
        </w:p>
        <w:p w14:paraId="71159FF2" w14:textId="77777777" w:rsidR="003A7F6C" w:rsidRPr="00B811C6" w:rsidRDefault="00DB6124" w:rsidP="00B811C6">
          <w:pPr>
            <w:pStyle w:val="TOC2"/>
          </w:pPr>
          <w:r>
            <w:fldChar w:fldCharType="end"/>
          </w:r>
        </w:p>
      </w:sdtContent>
    </w:sdt>
    <w:bookmarkStart w:id="3" w:name="_Toc314842482" w:displacedByCustomXml="prev"/>
    <w:p w14:paraId="65A5FAAD" w14:textId="77777777" w:rsidR="00FD119B" w:rsidRDefault="00FD119B">
      <w:pPr>
        <w:spacing w:before="0" w:after="200" w:line="0" w:lineRule="auto"/>
      </w:pPr>
      <w:r>
        <w:br w:type="page"/>
      </w:r>
    </w:p>
    <w:p w14:paraId="2B8EB11D" w14:textId="77777777"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505252912"/>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FD119B" w14:paraId="637DD923"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1C2D7F74"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14:paraId="187F376C" w14:textId="77777777" w:rsidR="00FD119B" w:rsidRPr="00FD119B" w:rsidRDefault="00FD119B" w:rsidP="00FD119B">
            <w:pPr>
              <w:keepNext w:val="0"/>
              <w:ind w:left="0" w:right="0"/>
              <w:rPr>
                <w:szCs w:val="22"/>
                <w:lang w:eastAsia="en-US"/>
              </w:rPr>
            </w:pPr>
            <w:r w:rsidRPr="00FD119B">
              <w:rPr>
                <w:szCs w:val="22"/>
                <w:lang w:eastAsia="en-US"/>
              </w:rPr>
              <w:t>Meaning</w:t>
            </w:r>
          </w:p>
        </w:tc>
      </w:tr>
      <w:tr w:rsidR="00B83803" w:rsidRPr="00FD119B" w14:paraId="18ABA3CA" w14:textId="77777777" w:rsidTr="00FD119B">
        <w:tc>
          <w:tcPr>
            <w:tcW w:w="1809" w:type="dxa"/>
          </w:tcPr>
          <w:p w14:paraId="6E0008AD" w14:textId="77777777" w:rsidR="00B83803" w:rsidRPr="00C06969" w:rsidRDefault="00B83803" w:rsidP="00B83803">
            <w:r w:rsidRPr="00C06969">
              <w:t>ACE</w:t>
            </w:r>
          </w:p>
        </w:tc>
        <w:tc>
          <w:tcPr>
            <w:tcW w:w="6911" w:type="dxa"/>
          </w:tcPr>
          <w:p w14:paraId="1259C372" w14:textId="77777777" w:rsidR="00B83803" w:rsidRPr="00C06969" w:rsidRDefault="00B83803" w:rsidP="00B83803">
            <w:r w:rsidRPr="00C06969">
              <w:t>angiotensin converting enzyme</w:t>
            </w:r>
          </w:p>
        </w:tc>
      </w:tr>
      <w:tr w:rsidR="00E557DC" w:rsidRPr="00FD119B" w14:paraId="0ADDC59A" w14:textId="77777777" w:rsidTr="00FD119B">
        <w:tc>
          <w:tcPr>
            <w:tcW w:w="1809" w:type="dxa"/>
          </w:tcPr>
          <w:p w14:paraId="0BB738C7" w14:textId="77777777" w:rsidR="00E557DC" w:rsidRPr="00C06969" w:rsidRDefault="00E557DC" w:rsidP="00B83803">
            <w:r w:rsidRPr="00E9044D">
              <w:t>ACPM</w:t>
            </w:r>
          </w:p>
        </w:tc>
        <w:tc>
          <w:tcPr>
            <w:tcW w:w="6911" w:type="dxa"/>
          </w:tcPr>
          <w:p w14:paraId="0F09ED35" w14:textId="77777777" w:rsidR="00E557DC" w:rsidRPr="00C06969" w:rsidRDefault="00E557DC" w:rsidP="00B83803">
            <w:r>
              <w:t>Advisory committee for prescription medicines</w:t>
            </w:r>
          </w:p>
        </w:tc>
      </w:tr>
      <w:tr w:rsidR="00B83803" w:rsidRPr="00FD119B" w14:paraId="4829EDB1" w14:textId="77777777" w:rsidTr="00FD119B">
        <w:tc>
          <w:tcPr>
            <w:tcW w:w="1809" w:type="dxa"/>
          </w:tcPr>
          <w:p w14:paraId="78F25306" w14:textId="77777777" w:rsidR="00B83803" w:rsidRPr="00C06969" w:rsidRDefault="00B83803" w:rsidP="00B83803">
            <w:r w:rsidRPr="00C06969">
              <w:t>AE</w:t>
            </w:r>
          </w:p>
        </w:tc>
        <w:tc>
          <w:tcPr>
            <w:tcW w:w="6911" w:type="dxa"/>
          </w:tcPr>
          <w:p w14:paraId="03680239" w14:textId="77777777" w:rsidR="00B83803" w:rsidRPr="00C06969" w:rsidRDefault="00B83803" w:rsidP="00B83803">
            <w:r w:rsidRPr="00C06969">
              <w:t>adverse event</w:t>
            </w:r>
          </w:p>
        </w:tc>
      </w:tr>
      <w:tr w:rsidR="006C0B8E" w:rsidRPr="00FD119B" w14:paraId="7DE4F021" w14:textId="77777777" w:rsidTr="00FD119B">
        <w:tc>
          <w:tcPr>
            <w:tcW w:w="1809" w:type="dxa"/>
          </w:tcPr>
          <w:p w14:paraId="0B9086DB" w14:textId="77777777" w:rsidR="006C0B8E" w:rsidRPr="00C06969" w:rsidRDefault="006C0B8E" w:rsidP="00B83803">
            <w:r w:rsidRPr="00E36D21">
              <w:t>ASA</w:t>
            </w:r>
          </w:p>
        </w:tc>
        <w:tc>
          <w:tcPr>
            <w:tcW w:w="6911" w:type="dxa"/>
          </w:tcPr>
          <w:p w14:paraId="42923415" w14:textId="77777777" w:rsidR="006C0B8E" w:rsidRPr="00C06969" w:rsidRDefault="006C0B8E" w:rsidP="006C0B8E">
            <w:r>
              <w:t>Australian Specific Annex</w:t>
            </w:r>
          </w:p>
        </w:tc>
      </w:tr>
      <w:tr w:rsidR="00B83803" w:rsidRPr="00FD119B" w14:paraId="66A73F14" w14:textId="77777777" w:rsidTr="00FD119B">
        <w:tc>
          <w:tcPr>
            <w:tcW w:w="1809" w:type="dxa"/>
          </w:tcPr>
          <w:p w14:paraId="52DD0E69" w14:textId="77777777" w:rsidR="00B83803" w:rsidRPr="00C06969" w:rsidRDefault="00B83803" w:rsidP="00B83803">
            <w:r w:rsidRPr="00C06969">
              <w:t>BP</w:t>
            </w:r>
          </w:p>
        </w:tc>
        <w:tc>
          <w:tcPr>
            <w:tcW w:w="6911" w:type="dxa"/>
          </w:tcPr>
          <w:p w14:paraId="057EA5B2" w14:textId="77777777" w:rsidR="00B83803" w:rsidRPr="00C06969" w:rsidRDefault="00B83803" w:rsidP="00B83803">
            <w:r w:rsidRPr="00C06969">
              <w:t>blood pressure</w:t>
            </w:r>
          </w:p>
        </w:tc>
      </w:tr>
      <w:tr w:rsidR="00B83803" w:rsidRPr="00FD119B" w14:paraId="04AA7071" w14:textId="77777777" w:rsidTr="00FD119B">
        <w:tc>
          <w:tcPr>
            <w:tcW w:w="1809" w:type="dxa"/>
          </w:tcPr>
          <w:p w14:paraId="392BE2EB" w14:textId="77777777" w:rsidR="00B83803" w:rsidRPr="00C06969" w:rsidRDefault="00B83803" w:rsidP="00B83803">
            <w:r w:rsidRPr="00C06969">
              <w:t>BUN</w:t>
            </w:r>
          </w:p>
        </w:tc>
        <w:tc>
          <w:tcPr>
            <w:tcW w:w="6911" w:type="dxa"/>
          </w:tcPr>
          <w:p w14:paraId="63AD267D" w14:textId="77777777" w:rsidR="00B83803" w:rsidRPr="00C06969" w:rsidRDefault="00B83803" w:rsidP="00B83803">
            <w:r w:rsidRPr="00C06969">
              <w:t>blood urea nitrogen</w:t>
            </w:r>
          </w:p>
        </w:tc>
      </w:tr>
      <w:tr w:rsidR="00B83803" w:rsidRPr="00FD119B" w14:paraId="1D424F8A" w14:textId="77777777" w:rsidTr="00FD119B">
        <w:tc>
          <w:tcPr>
            <w:tcW w:w="1809" w:type="dxa"/>
          </w:tcPr>
          <w:p w14:paraId="19A8492A" w14:textId="77777777" w:rsidR="00B83803" w:rsidRPr="00C06969" w:rsidRDefault="00B83803" w:rsidP="00B83803">
            <w:r w:rsidRPr="00C06969">
              <w:t>CKD</w:t>
            </w:r>
          </w:p>
        </w:tc>
        <w:tc>
          <w:tcPr>
            <w:tcW w:w="6911" w:type="dxa"/>
          </w:tcPr>
          <w:p w14:paraId="680B86E1" w14:textId="77777777" w:rsidR="00B83803" w:rsidRPr="00C06969" w:rsidRDefault="00B83803" w:rsidP="00B83803">
            <w:r w:rsidRPr="00C06969">
              <w:t>chronic kidney disease</w:t>
            </w:r>
          </w:p>
        </w:tc>
      </w:tr>
      <w:tr w:rsidR="00E557DC" w:rsidRPr="00FD119B" w14:paraId="3F9ED4AE" w14:textId="77777777" w:rsidTr="00FD119B">
        <w:tc>
          <w:tcPr>
            <w:tcW w:w="1809" w:type="dxa"/>
          </w:tcPr>
          <w:p w14:paraId="13F226E5" w14:textId="77777777" w:rsidR="00E557DC" w:rsidRPr="00C06969" w:rsidRDefault="00E557DC" w:rsidP="00B83803">
            <w:r w:rsidRPr="00E54E4F">
              <w:t>ECG</w:t>
            </w:r>
          </w:p>
        </w:tc>
        <w:tc>
          <w:tcPr>
            <w:tcW w:w="6911" w:type="dxa"/>
          </w:tcPr>
          <w:p w14:paraId="4BCAD6CA" w14:textId="77777777" w:rsidR="00E557DC" w:rsidRPr="00C06969" w:rsidRDefault="00E557DC" w:rsidP="00B83803">
            <w:r>
              <w:t>Electrocardiograph</w:t>
            </w:r>
          </w:p>
        </w:tc>
      </w:tr>
      <w:tr w:rsidR="00B83803" w:rsidRPr="00FD119B" w14:paraId="3B1B5E99" w14:textId="77777777" w:rsidTr="00FD119B">
        <w:tc>
          <w:tcPr>
            <w:tcW w:w="1809" w:type="dxa"/>
          </w:tcPr>
          <w:p w14:paraId="4B51F41F" w14:textId="77777777" w:rsidR="00B83803" w:rsidRPr="00C06969" w:rsidRDefault="00B83803" w:rsidP="00B83803">
            <w:r w:rsidRPr="00C06969">
              <w:t>FDA</w:t>
            </w:r>
          </w:p>
        </w:tc>
        <w:tc>
          <w:tcPr>
            <w:tcW w:w="6911" w:type="dxa"/>
          </w:tcPr>
          <w:p w14:paraId="220F2C18" w14:textId="77777777" w:rsidR="00B83803" w:rsidRPr="00C06969" w:rsidRDefault="00B83803" w:rsidP="00B83803">
            <w:r w:rsidRPr="00C06969">
              <w:t>United States Food and Drug Administration</w:t>
            </w:r>
          </w:p>
        </w:tc>
      </w:tr>
      <w:tr w:rsidR="00B83803" w:rsidRPr="00FD119B" w14:paraId="01746135" w14:textId="77777777" w:rsidTr="00FD119B">
        <w:tc>
          <w:tcPr>
            <w:tcW w:w="1809" w:type="dxa"/>
          </w:tcPr>
          <w:p w14:paraId="2408F12B" w14:textId="77777777" w:rsidR="00B83803" w:rsidRPr="00C06969" w:rsidRDefault="00B83803" w:rsidP="00B83803">
            <w:r w:rsidRPr="00C06969">
              <w:t>g</w:t>
            </w:r>
          </w:p>
        </w:tc>
        <w:tc>
          <w:tcPr>
            <w:tcW w:w="6911" w:type="dxa"/>
          </w:tcPr>
          <w:p w14:paraId="0618D372" w14:textId="77777777" w:rsidR="00B83803" w:rsidRPr="00C06969" w:rsidRDefault="00B83803" w:rsidP="00B83803">
            <w:r w:rsidRPr="00C06969">
              <w:t>grams</w:t>
            </w:r>
          </w:p>
        </w:tc>
      </w:tr>
      <w:tr w:rsidR="009D0573" w:rsidRPr="00FD119B" w14:paraId="375C2EC7" w14:textId="77777777" w:rsidTr="00FD119B">
        <w:tc>
          <w:tcPr>
            <w:tcW w:w="1809" w:type="dxa"/>
          </w:tcPr>
          <w:p w14:paraId="68C1E8D8" w14:textId="77777777" w:rsidR="009D0573" w:rsidRPr="00C06969" w:rsidRDefault="009D0573" w:rsidP="00B83803">
            <w:r>
              <w:t>GCP</w:t>
            </w:r>
          </w:p>
        </w:tc>
        <w:tc>
          <w:tcPr>
            <w:tcW w:w="6911" w:type="dxa"/>
          </w:tcPr>
          <w:p w14:paraId="720EA851" w14:textId="77777777" w:rsidR="009D0573" w:rsidRPr="00C06969" w:rsidRDefault="009D0573" w:rsidP="009D0573">
            <w:r>
              <w:t>good clinical practice</w:t>
            </w:r>
          </w:p>
        </w:tc>
      </w:tr>
      <w:tr w:rsidR="00534366" w:rsidRPr="00FD119B" w14:paraId="678E7026" w14:textId="77777777" w:rsidTr="00FD119B">
        <w:tc>
          <w:tcPr>
            <w:tcW w:w="1809" w:type="dxa"/>
          </w:tcPr>
          <w:p w14:paraId="667B4BCD" w14:textId="77777777" w:rsidR="00534366" w:rsidRDefault="00534366" w:rsidP="00B83803">
            <w:r w:rsidRPr="00E03B6D">
              <w:t>GFR</w:t>
            </w:r>
          </w:p>
        </w:tc>
        <w:tc>
          <w:tcPr>
            <w:tcW w:w="6911" w:type="dxa"/>
          </w:tcPr>
          <w:p w14:paraId="2317EA91" w14:textId="77777777" w:rsidR="00534366" w:rsidRPr="00534366" w:rsidRDefault="00534366" w:rsidP="00534366">
            <w:r w:rsidRPr="00534366">
              <w:t>glomerular filtration rate</w:t>
            </w:r>
          </w:p>
        </w:tc>
      </w:tr>
      <w:tr w:rsidR="00B83803" w:rsidRPr="00FD119B" w14:paraId="67B8E45C" w14:textId="77777777" w:rsidTr="00FD119B">
        <w:tc>
          <w:tcPr>
            <w:tcW w:w="1809" w:type="dxa"/>
          </w:tcPr>
          <w:p w14:paraId="5E7159D7" w14:textId="77777777" w:rsidR="00B83803" w:rsidRPr="00C06969" w:rsidRDefault="00B83803" w:rsidP="00B83803">
            <w:r w:rsidRPr="00C06969">
              <w:t>GI</w:t>
            </w:r>
          </w:p>
        </w:tc>
        <w:tc>
          <w:tcPr>
            <w:tcW w:w="6911" w:type="dxa"/>
          </w:tcPr>
          <w:p w14:paraId="3D90667F" w14:textId="77777777" w:rsidR="00B83803" w:rsidRPr="00C06969" w:rsidRDefault="00B83803" w:rsidP="00B83803">
            <w:r w:rsidRPr="00C06969">
              <w:t>gastrointestinal</w:t>
            </w:r>
          </w:p>
        </w:tc>
      </w:tr>
      <w:tr w:rsidR="00B83803" w:rsidRPr="00FD119B" w14:paraId="5C1EAC0E" w14:textId="77777777" w:rsidTr="00FD119B">
        <w:tc>
          <w:tcPr>
            <w:tcW w:w="1809" w:type="dxa"/>
          </w:tcPr>
          <w:p w14:paraId="3B1D8F8A" w14:textId="77777777" w:rsidR="00B83803" w:rsidRPr="00C06969" w:rsidRDefault="00B83803" w:rsidP="00B83803">
            <w:r w:rsidRPr="00C06969">
              <w:t>HIV</w:t>
            </w:r>
          </w:p>
        </w:tc>
        <w:tc>
          <w:tcPr>
            <w:tcW w:w="6911" w:type="dxa"/>
          </w:tcPr>
          <w:p w14:paraId="78186D1B" w14:textId="77777777" w:rsidR="00B83803" w:rsidRPr="00C06969" w:rsidRDefault="00B83803" w:rsidP="00B83803">
            <w:r w:rsidRPr="00C06969">
              <w:t>Human Immunodeficiency Virus</w:t>
            </w:r>
          </w:p>
        </w:tc>
      </w:tr>
      <w:tr w:rsidR="00B83803" w:rsidRPr="00FD119B" w14:paraId="5D75A99C" w14:textId="77777777" w:rsidTr="00FD119B">
        <w:tc>
          <w:tcPr>
            <w:tcW w:w="1809" w:type="dxa"/>
          </w:tcPr>
          <w:p w14:paraId="1FBB69AF" w14:textId="77777777" w:rsidR="00B83803" w:rsidRPr="00C06969" w:rsidRDefault="00B83803" w:rsidP="00B83803">
            <w:r w:rsidRPr="00C06969">
              <w:t>IP</w:t>
            </w:r>
          </w:p>
        </w:tc>
        <w:tc>
          <w:tcPr>
            <w:tcW w:w="6911" w:type="dxa"/>
          </w:tcPr>
          <w:p w14:paraId="73D214D2" w14:textId="77777777" w:rsidR="00B83803" w:rsidRPr="00C06969" w:rsidRDefault="00B83803" w:rsidP="00B83803">
            <w:r w:rsidRPr="00C06969">
              <w:t>investigational product</w:t>
            </w:r>
          </w:p>
        </w:tc>
      </w:tr>
      <w:tr w:rsidR="00B83803" w:rsidRPr="00FD119B" w14:paraId="17BDD0DB" w14:textId="77777777" w:rsidTr="00FD119B">
        <w:tc>
          <w:tcPr>
            <w:tcW w:w="1809" w:type="dxa"/>
          </w:tcPr>
          <w:p w14:paraId="05F8A01D" w14:textId="77777777" w:rsidR="00B83803" w:rsidRPr="00C06969" w:rsidRDefault="00B83803" w:rsidP="00B83803">
            <w:r w:rsidRPr="00C06969">
              <w:t>ITT</w:t>
            </w:r>
          </w:p>
        </w:tc>
        <w:tc>
          <w:tcPr>
            <w:tcW w:w="6911" w:type="dxa"/>
          </w:tcPr>
          <w:p w14:paraId="2E23353A" w14:textId="77777777" w:rsidR="00B83803" w:rsidRPr="00C06969" w:rsidRDefault="00B83803" w:rsidP="00B83803">
            <w:r w:rsidRPr="00C06969">
              <w:t>intention to treat</w:t>
            </w:r>
          </w:p>
        </w:tc>
      </w:tr>
      <w:tr w:rsidR="00B83803" w:rsidRPr="00FD119B" w14:paraId="6AE7EC88" w14:textId="77777777" w:rsidTr="00FD119B">
        <w:tc>
          <w:tcPr>
            <w:tcW w:w="1809" w:type="dxa"/>
          </w:tcPr>
          <w:p w14:paraId="680232C7" w14:textId="77777777" w:rsidR="00B83803" w:rsidRPr="00C06969" w:rsidRDefault="00B83803" w:rsidP="00B83803">
            <w:r w:rsidRPr="00C06969">
              <w:t>KEC</w:t>
            </w:r>
          </w:p>
        </w:tc>
        <w:tc>
          <w:tcPr>
            <w:tcW w:w="6911" w:type="dxa"/>
          </w:tcPr>
          <w:p w14:paraId="3762F89A" w14:textId="77777777" w:rsidR="00B83803" w:rsidRPr="00C06969" w:rsidRDefault="00B83803" w:rsidP="00B83803">
            <w:r w:rsidRPr="00C06969">
              <w:t>potassium exchange capacity</w:t>
            </w:r>
          </w:p>
        </w:tc>
      </w:tr>
      <w:tr w:rsidR="00B83803" w:rsidRPr="00FD119B" w14:paraId="0A72AC11" w14:textId="77777777" w:rsidTr="00FD119B">
        <w:tc>
          <w:tcPr>
            <w:tcW w:w="1809" w:type="dxa"/>
          </w:tcPr>
          <w:p w14:paraId="5E6A0D46" w14:textId="77777777" w:rsidR="00B83803" w:rsidRPr="00C06969" w:rsidRDefault="00B83803" w:rsidP="00B83803">
            <w:r w:rsidRPr="00C06969">
              <w:t>LLOQ</w:t>
            </w:r>
          </w:p>
        </w:tc>
        <w:tc>
          <w:tcPr>
            <w:tcW w:w="6911" w:type="dxa"/>
          </w:tcPr>
          <w:p w14:paraId="258C179D" w14:textId="77777777" w:rsidR="00B83803" w:rsidRPr="00C06969" w:rsidRDefault="00B83803" w:rsidP="00B83803">
            <w:r w:rsidRPr="00C06969">
              <w:t>lower limit of quantification</w:t>
            </w:r>
          </w:p>
        </w:tc>
      </w:tr>
      <w:tr w:rsidR="00B83803" w:rsidRPr="00FD119B" w14:paraId="4EEBCC57" w14:textId="77777777" w:rsidTr="00FD119B">
        <w:tc>
          <w:tcPr>
            <w:tcW w:w="1809" w:type="dxa"/>
          </w:tcPr>
          <w:p w14:paraId="6C3FCD55" w14:textId="77777777" w:rsidR="00B83803" w:rsidRPr="00C06969" w:rsidRDefault="00B83803" w:rsidP="00B83803">
            <w:r w:rsidRPr="00C06969">
              <w:t>ml</w:t>
            </w:r>
          </w:p>
        </w:tc>
        <w:tc>
          <w:tcPr>
            <w:tcW w:w="6911" w:type="dxa"/>
          </w:tcPr>
          <w:p w14:paraId="66B528D1" w14:textId="77777777" w:rsidR="00B83803" w:rsidRPr="00C06969" w:rsidRDefault="00B83803" w:rsidP="00B83803">
            <w:r w:rsidRPr="00C06969">
              <w:t>millilitres</w:t>
            </w:r>
          </w:p>
        </w:tc>
      </w:tr>
      <w:tr w:rsidR="00B83803" w:rsidRPr="00FD119B" w14:paraId="198BA0F0" w14:textId="77777777" w:rsidTr="00FD119B">
        <w:tc>
          <w:tcPr>
            <w:tcW w:w="1809" w:type="dxa"/>
          </w:tcPr>
          <w:p w14:paraId="470B0D75" w14:textId="77777777" w:rsidR="00B83803" w:rsidRPr="00C06969" w:rsidRDefault="00B83803" w:rsidP="00B83803">
            <w:proofErr w:type="spellStart"/>
            <w:r w:rsidRPr="00C06969">
              <w:t>mmol</w:t>
            </w:r>
            <w:proofErr w:type="spellEnd"/>
            <w:r w:rsidRPr="00C06969">
              <w:t>/L</w:t>
            </w:r>
          </w:p>
        </w:tc>
        <w:tc>
          <w:tcPr>
            <w:tcW w:w="6911" w:type="dxa"/>
          </w:tcPr>
          <w:p w14:paraId="0E1011E8" w14:textId="77777777" w:rsidR="00B83803" w:rsidRPr="00C06969" w:rsidRDefault="00B83803" w:rsidP="00B83803">
            <w:proofErr w:type="spellStart"/>
            <w:r w:rsidRPr="00C06969">
              <w:t>millimoles</w:t>
            </w:r>
            <w:proofErr w:type="spellEnd"/>
            <w:r w:rsidRPr="00C06969">
              <w:t xml:space="preserve"> per litre</w:t>
            </w:r>
          </w:p>
        </w:tc>
      </w:tr>
      <w:tr w:rsidR="0047313A" w:rsidRPr="00FD119B" w14:paraId="2A51090D" w14:textId="77777777" w:rsidTr="00FD119B">
        <w:tc>
          <w:tcPr>
            <w:tcW w:w="1809" w:type="dxa"/>
          </w:tcPr>
          <w:p w14:paraId="1CA9DEBF" w14:textId="77777777" w:rsidR="0047313A" w:rsidRPr="00C06969" w:rsidRDefault="0047313A" w:rsidP="00B83803">
            <w:r w:rsidRPr="005B1F2F">
              <w:t>NOAEL</w:t>
            </w:r>
          </w:p>
        </w:tc>
        <w:tc>
          <w:tcPr>
            <w:tcW w:w="6911" w:type="dxa"/>
          </w:tcPr>
          <w:p w14:paraId="3BD30AC5" w14:textId="77777777" w:rsidR="0047313A" w:rsidRPr="00C06969" w:rsidRDefault="0047313A" w:rsidP="00B83803">
            <w:r>
              <w:t>No observable adverse effect level</w:t>
            </w:r>
          </w:p>
        </w:tc>
      </w:tr>
      <w:tr w:rsidR="00886664" w:rsidRPr="00FD119B" w14:paraId="4BFB7751" w14:textId="77777777" w:rsidTr="00FD119B">
        <w:tc>
          <w:tcPr>
            <w:tcW w:w="1809" w:type="dxa"/>
          </w:tcPr>
          <w:p w14:paraId="01D4F744" w14:textId="77777777" w:rsidR="00886664" w:rsidRPr="00C06969" w:rsidRDefault="00886664" w:rsidP="00B83803">
            <w:r w:rsidRPr="00E9044D">
              <w:t>PDE</w:t>
            </w:r>
          </w:p>
        </w:tc>
        <w:tc>
          <w:tcPr>
            <w:tcW w:w="6911" w:type="dxa"/>
          </w:tcPr>
          <w:p w14:paraId="621EA060" w14:textId="77777777" w:rsidR="00886664" w:rsidRPr="00C06969" w:rsidRDefault="00886664" w:rsidP="00886664">
            <w:r>
              <w:t>Permitted Daily Exposure</w:t>
            </w:r>
          </w:p>
        </w:tc>
      </w:tr>
      <w:tr w:rsidR="00BE0DF4" w:rsidRPr="00FD119B" w14:paraId="029E3798" w14:textId="77777777" w:rsidTr="00FD119B">
        <w:tc>
          <w:tcPr>
            <w:tcW w:w="1809" w:type="dxa"/>
          </w:tcPr>
          <w:p w14:paraId="091D3340" w14:textId="77777777" w:rsidR="00BE0DF4" w:rsidRPr="00C06969" w:rsidRDefault="00BE0DF4" w:rsidP="00B83803">
            <w:r w:rsidRPr="00E9044D">
              <w:t>PXRD</w:t>
            </w:r>
          </w:p>
        </w:tc>
        <w:tc>
          <w:tcPr>
            <w:tcW w:w="6911" w:type="dxa"/>
          </w:tcPr>
          <w:p w14:paraId="4043C30A" w14:textId="77777777" w:rsidR="00BE0DF4" w:rsidRPr="00C06969" w:rsidRDefault="00BE0DF4" w:rsidP="00BE0DF4">
            <w:r>
              <w:t>Powder X-ray diffraction</w:t>
            </w:r>
          </w:p>
        </w:tc>
      </w:tr>
      <w:tr w:rsidR="00B83803" w:rsidRPr="00FD119B" w14:paraId="522F9038" w14:textId="77777777" w:rsidTr="00FD119B">
        <w:tc>
          <w:tcPr>
            <w:tcW w:w="1809" w:type="dxa"/>
          </w:tcPr>
          <w:p w14:paraId="0AC77759" w14:textId="77777777" w:rsidR="00B83803" w:rsidRPr="00C06969" w:rsidRDefault="00B83803" w:rsidP="00B83803">
            <w:r w:rsidRPr="00C06969">
              <w:t>QD</w:t>
            </w:r>
          </w:p>
        </w:tc>
        <w:tc>
          <w:tcPr>
            <w:tcW w:w="6911" w:type="dxa"/>
          </w:tcPr>
          <w:p w14:paraId="213A3C7F" w14:textId="77777777" w:rsidR="00B83803" w:rsidRPr="00C06969" w:rsidRDefault="00B83803" w:rsidP="00B83803">
            <w:r w:rsidRPr="00C06969">
              <w:t>once daily</w:t>
            </w:r>
          </w:p>
        </w:tc>
      </w:tr>
      <w:tr w:rsidR="00B83803" w:rsidRPr="00FD119B" w14:paraId="6E1A6442" w14:textId="77777777" w:rsidTr="00FD119B">
        <w:tc>
          <w:tcPr>
            <w:tcW w:w="1809" w:type="dxa"/>
          </w:tcPr>
          <w:p w14:paraId="05BC98DD" w14:textId="77777777" w:rsidR="00B83803" w:rsidRPr="00C06969" w:rsidRDefault="00B83803" w:rsidP="00B83803">
            <w:proofErr w:type="spellStart"/>
            <w:r w:rsidRPr="00C06969">
              <w:t>QTc</w:t>
            </w:r>
            <w:proofErr w:type="spellEnd"/>
          </w:p>
        </w:tc>
        <w:tc>
          <w:tcPr>
            <w:tcW w:w="6911" w:type="dxa"/>
          </w:tcPr>
          <w:p w14:paraId="2F411048" w14:textId="77777777" w:rsidR="00B83803" w:rsidRPr="00C06969" w:rsidRDefault="00B83803" w:rsidP="00B83803">
            <w:r w:rsidRPr="00C06969">
              <w:t>corrected QT interval on ECG</w:t>
            </w:r>
          </w:p>
        </w:tc>
      </w:tr>
      <w:tr w:rsidR="00B83803" w:rsidRPr="00FD119B" w14:paraId="01E3ED01" w14:textId="77777777" w:rsidTr="00FD119B">
        <w:tc>
          <w:tcPr>
            <w:tcW w:w="1809" w:type="dxa"/>
          </w:tcPr>
          <w:p w14:paraId="05852A79" w14:textId="77777777" w:rsidR="00B83803" w:rsidRPr="00C06969" w:rsidRDefault="00B83803" w:rsidP="00B83803">
            <w:r w:rsidRPr="00C06969">
              <w:lastRenderedPageBreak/>
              <w:t>RAAS</w:t>
            </w:r>
          </w:p>
        </w:tc>
        <w:tc>
          <w:tcPr>
            <w:tcW w:w="6911" w:type="dxa"/>
          </w:tcPr>
          <w:p w14:paraId="60BB060C" w14:textId="77777777" w:rsidR="00B83803" w:rsidRPr="00C06969" w:rsidRDefault="00B83803" w:rsidP="00B83803">
            <w:r w:rsidRPr="00C06969">
              <w:t>renin-angiotensin aldosterone system</w:t>
            </w:r>
          </w:p>
        </w:tc>
      </w:tr>
      <w:tr w:rsidR="00B83803" w:rsidRPr="00FD119B" w14:paraId="6B1D02B6" w14:textId="77777777" w:rsidTr="00FD119B">
        <w:tc>
          <w:tcPr>
            <w:tcW w:w="1809" w:type="dxa"/>
          </w:tcPr>
          <w:p w14:paraId="2007EF65" w14:textId="77777777" w:rsidR="00B83803" w:rsidRPr="00C06969" w:rsidRDefault="00B83803" w:rsidP="00B83803">
            <w:r w:rsidRPr="00C06969">
              <w:t>SAE</w:t>
            </w:r>
          </w:p>
        </w:tc>
        <w:tc>
          <w:tcPr>
            <w:tcW w:w="6911" w:type="dxa"/>
          </w:tcPr>
          <w:p w14:paraId="6B77B9BA" w14:textId="77777777" w:rsidR="00B83803" w:rsidRPr="00C06969" w:rsidRDefault="00B83803" w:rsidP="00B83803">
            <w:r w:rsidRPr="00C06969">
              <w:t>serious adverse event</w:t>
            </w:r>
          </w:p>
        </w:tc>
      </w:tr>
      <w:tr w:rsidR="00B83803" w:rsidRPr="00FD119B" w14:paraId="4EE38641" w14:textId="77777777" w:rsidTr="00FD119B">
        <w:tc>
          <w:tcPr>
            <w:tcW w:w="1809" w:type="dxa"/>
          </w:tcPr>
          <w:p w14:paraId="52FE00EB" w14:textId="77777777" w:rsidR="00B83803" w:rsidRPr="00C06969" w:rsidRDefault="00B83803" w:rsidP="00B83803">
            <w:r w:rsidRPr="00C06969">
              <w:t>SK</w:t>
            </w:r>
          </w:p>
        </w:tc>
        <w:tc>
          <w:tcPr>
            <w:tcW w:w="6911" w:type="dxa"/>
          </w:tcPr>
          <w:p w14:paraId="75761A80" w14:textId="77777777" w:rsidR="00B83803" w:rsidRPr="00C06969" w:rsidRDefault="00B83803" w:rsidP="00B83803">
            <w:r w:rsidRPr="00C06969">
              <w:t>serum potassium</w:t>
            </w:r>
          </w:p>
        </w:tc>
      </w:tr>
      <w:tr w:rsidR="00B83803" w:rsidRPr="00FD119B" w14:paraId="6ADA3B51" w14:textId="77777777" w:rsidTr="00FD119B">
        <w:tc>
          <w:tcPr>
            <w:tcW w:w="1809" w:type="dxa"/>
          </w:tcPr>
          <w:p w14:paraId="09A238DE" w14:textId="77777777" w:rsidR="00B83803" w:rsidRPr="00C06969" w:rsidRDefault="00B83803" w:rsidP="00B83803">
            <w:r w:rsidRPr="00C06969">
              <w:t>SPS</w:t>
            </w:r>
          </w:p>
        </w:tc>
        <w:tc>
          <w:tcPr>
            <w:tcW w:w="6911" w:type="dxa"/>
          </w:tcPr>
          <w:p w14:paraId="2F6C5A8A" w14:textId="77777777" w:rsidR="00B83803" w:rsidRPr="00C06969" w:rsidRDefault="00B83803" w:rsidP="00B83803">
            <w:r w:rsidRPr="00C06969">
              <w:t>sodium polystyrene sulfonate</w:t>
            </w:r>
          </w:p>
        </w:tc>
      </w:tr>
      <w:tr w:rsidR="00B83803" w:rsidRPr="00FD119B" w14:paraId="1953891E" w14:textId="77777777" w:rsidTr="00FD119B">
        <w:tc>
          <w:tcPr>
            <w:tcW w:w="1809" w:type="dxa"/>
          </w:tcPr>
          <w:p w14:paraId="512294CD" w14:textId="77777777" w:rsidR="00B83803" w:rsidRPr="00C06969" w:rsidRDefault="00B83803" w:rsidP="00B83803">
            <w:r w:rsidRPr="00C06969">
              <w:t>TEAE</w:t>
            </w:r>
          </w:p>
        </w:tc>
        <w:tc>
          <w:tcPr>
            <w:tcW w:w="6911" w:type="dxa"/>
          </w:tcPr>
          <w:p w14:paraId="36B35869" w14:textId="77777777" w:rsidR="00B83803" w:rsidRPr="00C06969" w:rsidRDefault="00B83803" w:rsidP="00B83803">
            <w:r w:rsidRPr="00C06969">
              <w:t>treatment-emergent adverse event</w:t>
            </w:r>
          </w:p>
        </w:tc>
      </w:tr>
      <w:tr w:rsidR="00B83803" w:rsidRPr="00FD119B" w14:paraId="1C0F8458" w14:textId="77777777" w:rsidTr="00FD119B">
        <w:tc>
          <w:tcPr>
            <w:tcW w:w="1809" w:type="dxa"/>
          </w:tcPr>
          <w:p w14:paraId="34BFF6A0" w14:textId="77777777" w:rsidR="00B83803" w:rsidRPr="00C06969" w:rsidRDefault="00E557DC" w:rsidP="00B83803">
            <w:r>
              <w:t>TDS</w:t>
            </w:r>
          </w:p>
        </w:tc>
        <w:tc>
          <w:tcPr>
            <w:tcW w:w="6911" w:type="dxa"/>
          </w:tcPr>
          <w:p w14:paraId="436530D7" w14:textId="77777777" w:rsidR="00B83803" w:rsidRPr="00C06969" w:rsidRDefault="00B83803" w:rsidP="00B83803">
            <w:r w:rsidRPr="00C06969">
              <w:t>three times daily</w:t>
            </w:r>
          </w:p>
        </w:tc>
      </w:tr>
      <w:tr w:rsidR="00B83803" w:rsidRPr="00FD119B" w14:paraId="5BFFDBD0" w14:textId="77777777" w:rsidTr="00FD119B">
        <w:tc>
          <w:tcPr>
            <w:tcW w:w="1809" w:type="dxa"/>
          </w:tcPr>
          <w:p w14:paraId="1A54EE73" w14:textId="77777777" w:rsidR="00B83803" w:rsidRPr="00C06969" w:rsidRDefault="00B83803" w:rsidP="00B83803">
            <w:r w:rsidRPr="00C06969">
              <w:t>ZS</w:t>
            </w:r>
          </w:p>
        </w:tc>
        <w:tc>
          <w:tcPr>
            <w:tcW w:w="6911" w:type="dxa"/>
          </w:tcPr>
          <w:p w14:paraId="474C7A62" w14:textId="77777777" w:rsidR="00B83803" w:rsidRPr="00C06969" w:rsidRDefault="00B83803" w:rsidP="00B83803">
            <w:r w:rsidRPr="00C06969">
              <w:t>sodium zirconium cyclosilicate</w:t>
            </w:r>
          </w:p>
        </w:tc>
      </w:tr>
    </w:tbl>
    <w:p w14:paraId="01A0AF15" w14:textId="77777777" w:rsidR="00FD119B" w:rsidRDefault="00FD119B" w:rsidP="00FD119B"/>
    <w:p w14:paraId="0C69570E" w14:textId="77777777" w:rsidR="00FD119B" w:rsidRPr="00FD119B" w:rsidRDefault="00FD119B" w:rsidP="00FD119B">
      <w:pPr>
        <w:spacing w:before="0" w:after="200" w:line="0" w:lineRule="auto"/>
        <w:rPr>
          <w:b/>
          <w:i/>
          <w:sz w:val="24"/>
          <w:szCs w:val="24"/>
        </w:rPr>
      </w:pPr>
      <w:r w:rsidRPr="00FD119B">
        <w:rPr>
          <w:b/>
          <w:i/>
          <w:sz w:val="24"/>
          <w:szCs w:val="24"/>
        </w:rPr>
        <w:br w:type="page"/>
      </w:r>
    </w:p>
    <w:p w14:paraId="403D5DD3" w14:textId="77777777" w:rsidR="008E7846" w:rsidRDefault="00F53C07" w:rsidP="008E7846">
      <w:pPr>
        <w:pStyle w:val="Heading2"/>
      </w:pPr>
      <w:bookmarkStart w:id="9" w:name="_Toc505252913"/>
      <w:r>
        <w:lastRenderedPageBreak/>
        <w:t>I.</w:t>
      </w:r>
      <w:r w:rsidR="008E7846">
        <w:t xml:space="preserve"> Introduction to product submission</w:t>
      </w:r>
      <w:bookmarkEnd w:id="0"/>
      <w:bookmarkEnd w:id="3"/>
      <w:bookmarkEnd w:id="9"/>
    </w:p>
    <w:p w14:paraId="0D452D4D" w14:textId="77777777" w:rsidR="008E7846" w:rsidRDefault="008E7846" w:rsidP="008E7846">
      <w:pPr>
        <w:pStyle w:val="Heading3"/>
        <w:rPr>
          <w:lang w:eastAsia="en-AU"/>
        </w:rPr>
      </w:pPr>
      <w:bookmarkStart w:id="10" w:name="_Toc247691502"/>
      <w:bookmarkStart w:id="11" w:name="_Toc314842483"/>
      <w:bookmarkStart w:id="12" w:name="_Toc505252914"/>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26924F79" w14:textId="77777777" w:rsidTr="007B4BEB">
        <w:trPr>
          <w:trHeight w:hRule="exact" w:val="454"/>
        </w:trPr>
        <w:tc>
          <w:tcPr>
            <w:tcW w:w="2907" w:type="dxa"/>
          </w:tcPr>
          <w:p w14:paraId="31E7A343"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1E6F1556" w14:textId="77777777" w:rsidR="008E7846" w:rsidRPr="003D1E62" w:rsidRDefault="008E7846" w:rsidP="001B5C90">
            <w:r w:rsidRPr="003D1E62">
              <w:t xml:space="preserve">New </w:t>
            </w:r>
            <w:r w:rsidR="001B5C90">
              <w:t>c</w:t>
            </w:r>
            <w:r w:rsidRPr="003D1E62">
              <w:t xml:space="preserve">hemical </w:t>
            </w:r>
            <w:r w:rsidR="001B5C90">
              <w:t>e</w:t>
            </w:r>
            <w:r w:rsidR="00E36F77">
              <w:t>ntity</w:t>
            </w:r>
          </w:p>
        </w:tc>
      </w:tr>
      <w:tr w:rsidR="008E7846" w:rsidRPr="003D1E62" w14:paraId="74B76278" w14:textId="77777777" w:rsidTr="007B4BEB">
        <w:trPr>
          <w:trHeight w:hRule="exact" w:val="454"/>
        </w:trPr>
        <w:tc>
          <w:tcPr>
            <w:tcW w:w="2907" w:type="dxa"/>
          </w:tcPr>
          <w:p w14:paraId="55FF9685" w14:textId="77777777" w:rsidR="008E7846" w:rsidRPr="003D1E62" w:rsidRDefault="008E7846" w:rsidP="003D1E62">
            <w:r w:rsidRPr="003D1E62">
              <w:rPr>
                <w:i/>
              </w:rPr>
              <w:t>Decision</w:t>
            </w:r>
            <w:r w:rsidRPr="003D1E62">
              <w:t>:</w:t>
            </w:r>
          </w:p>
        </w:tc>
        <w:tc>
          <w:tcPr>
            <w:tcW w:w="6307" w:type="dxa"/>
          </w:tcPr>
          <w:p w14:paraId="493E43AF" w14:textId="77777777" w:rsidR="008E7846" w:rsidRPr="003D1E62" w:rsidRDefault="00E36F77" w:rsidP="001B5C90">
            <w:r>
              <w:t>W</w:t>
            </w:r>
            <w:r w:rsidR="008E7846" w:rsidRPr="003D1E62">
              <w:t>ithdrawn</w:t>
            </w:r>
          </w:p>
        </w:tc>
      </w:tr>
      <w:tr w:rsidR="008E7846" w:rsidRPr="003D1E62" w14:paraId="38A9EA2E" w14:textId="77777777" w:rsidTr="007B4BEB">
        <w:trPr>
          <w:trHeight w:hRule="exact" w:val="454"/>
        </w:trPr>
        <w:tc>
          <w:tcPr>
            <w:tcW w:w="2907" w:type="dxa"/>
          </w:tcPr>
          <w:p w14:paraId="3A4983E4"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315583B1" w14:textId="77777777" w:rsidR="008E7846" w:rsidRPr="003D1E62" w:rsidRDefault="00E36F77" w:rsidP="001B5C90">
            <w:r>
              <w:t>13 April 2017</w:t>
            </w:r>
          </w:p>
        </w:tc>
      </w:tr>
      <w:tr w:rsidR="00ED2922" w:rsidRPr="003D1E62" w14:paraId="62ACFC39" w14:textId="77777777" w:rsidTr="007B4BEB">
        <w:trPr>
          <w:trHeight w:hRule="exact" w:val="454"/>
        </w:trPr>
        <w:tc>
          <w:tcPr>
            <w:tcW w:w="2907" w:type="dxa"/>
          </w:tcPr>
          <w:p w14:paraId="6989A81F" w14:textId="77777777" w:rsidR="00ED2922" w:rsidRPr="00441C3F" w:rsidRDefault="00ED2922" w:rsidP="001B5C90">
            <w:pPr>
              <w:rPr>
                <w:i/>
              </w:rPr>
            </w:pPr>
            <w:r w:rsidRPr="00441C3F">
              <w:rPr>
                <w:i/>
              </w:rPr>
              <w:t>Date of entry onto ARTG</w:t>
            </w:r>
          </w:p>
        </w:tc>
        <w:tc>
          <w:tcPr>
            <w:tcW w:w="6307" w:type="dxa"/>
          </w:tcPr>
          <w:p w14:paraId="61039D0E" w14:textId="77777777" w:rsidR="00ED2922" w:rsidRPr="00441C3F" w:rsidRDefault="00E36F77" w:rsidP="00EC463D">
            <w:pPr>
              <w:rPr>
                <w:i/>
              </w:rPr>
            </w:pPr>
            <w:r>
              <w:t>NA</w:t>
            </w:r>
          </w:p>
        </w:tc>
      </w:tr>
      <w:tr w:rsidR="008E7846" w:rsidRPr="00487162" w14:paraId="0F8DB3AA" w14:textId="77777777" w:rsidTr="007B4BEB">
        <w:tc>
          <w:tcPr>
            <w:tcW w:w="2907" w:type="dxa"/>
          </w:tcPr>
          <w:p w14:paraId="5590FA84" w14:textId="77777777" w:rsidR="008E7846" w:rsidRPr="00487162" w:rsidRDefault="00E36F77" w:rsidP="00E45619">
            <w:pPr>
              <w:rPr>
                <w:i/>
              </w:rPr>
            </w:pPr>
            <w:r>
              <w:rPr>
                <w:i/>
              </w:rPr>
              <w:t>Active ingredient</w:t>
            </w:r>
            <w:r w:rsidR="001B5C90">
              <w:rPr>
                <w:i/>
              </w:rPr>
              <w:t>:</w:t>
            </w:r>
          </w:p>
        </w:tc>
        <w:tc>
          <w:tcPr>
            <w:tcW w:w="6307" w:type="dxa"/>
          </w:tcPr>
          <w:p w14:paraId="35E7900B" w14:textId="77777777" w:rsidR="008E7846" w:rsidRPr="00487162" w:rsidRDefault="00E36F77" w:rsidP="00E45619">
            <w:r>
              <w:t>Sodium zirconium cyclosilicate hydrate</w:t>
            </w:r>
          </w:p>
        </w:tc>
      </w:tr>
      <w:tr w:rsidR="008E7846" w:rsidRPr="00487162" w14:paraId="6B9DAE8A" w14:textId="77777777" w:rsidTr="007B4BEB">
        <w:tc>
          <w:tcPr>
            <w:tcW w:w="2907" w:type="dxa"/>
          </w:tcPr>
          <w:p w14:paraId="4A32470A" w14:textId="77777777" w:rsidR="008E7846" w:rsidRPr="00487162" w:rsidRDefault="008E7846" w:rsidP="001B5C90">
            <w:pPr>
              <w:rPr>
                <w:i/>
              </w:rPr>
            </w:pPr>
            <w:r w:rsidRPr="00487162">
              <w:rPr>
                <w:i/>
              </w:rPr>
              <w:t>Product</w:t>
            </w:r>
            <w:r w:rsidR="000F2ED4">
              <w:rPr>
                <w:i/>
              </w:rPr>
              <w:t xml:space="preserve"> name</w:t>
            </w:r>
            <w:r w:rsidR="001B5C90">
              <w:rPr>
                <w:i/>
              </w:rPr>
              <w:t>:</w:t>
            </w:r>
          </w:p>
        </w:tc>
        <w:tc>
          <w:tcPr>
            <w:tcW w:w="6307" w:type="dxa"/>
          </w:tcPr>
          <w:p w14:paraId="05DC3303" w14:textId="77777777" w:rsidR="008E7846" w:rsidRPr="00487162" w:rsidRDefault="00E36F77" w:rsidP="00E45619">
            <w:r>
              <w:t>Lokelma</w:t>
            </w:r>
          </w:p>
        </w:tc>
      </w:tr>
      <w:tr w:rsidR="008E7846" w:rsidRPr="00487162" w14:paraId="43D7D63B" w14:textId="77777777" w:rsidTr="007B4BEB">
        <w:tc>
          <w:tcPr>
            <w:tcW w:w="2907" w:type="dxa"/>
          </w:tcPr>
          <w:p w14:paraId="1B3DC3AB"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2B884160" w14:textId="6D93A177" w:rsidR="00E91169" w:rsidRDefault="00E91169" w:rsidP="00E45619">
            <w:r w:rsidRPr="00E9044D">
              <w:t>AstraZeneca Pty Ltd</w:t>
            </w:r>
            <w:bookmarkStart w:id="13" w:name="_Ref500750337"/>
            <w:r>
              <w:rPr>
                <w:rStyle w:val="FootnoteReference"/>
              </w:rPr>
              <w:footnoteReference w:id="1"/>
            </w:r>
            <w:bookmarkEnd w:id="13"/>
          </w:p>
          <w:p w14:paraId="2540D9F1" w14:textId="77777777" w:rsidR="00E36F77" w:rsidRDefault="00E91169" w:rsidP="00E45619">
            <w:r>
              <w:t>PO Box</w:t>
            </w:r>
            <w:r w:rsidR="00BE0DF4">
              <w:t xml:space="preserve"> 131</w:t>
            </w:r>
          </w:p>
          <w:p w14:paraId="43F5B2C4" w14:textId="77777777" w:rsidR="00BE0DF4" w:rsidRPr="00487162" w:rsidRDefault="00BE0DF4" w:rsidP="00E45619">
            <w:r>
              <w:t>North Ryde NSW 1670</w:t>
            </w:r>
          </w:p>
        </w:tc>
      </w:tr>
      <w:tr w:rsidR="008E7846" w:rsidRPr="00487162" w14:paraId="44DCB024" w14:textId="77777777" w:rsidTr="007B4BEB">
        <w:tc>
          <w:tcPr>
            <w:tcW w:w="2907" w:type="dxa"/>
          </w:tcPr>
          <w:p w14:paraId="4A4264C8" w14:textId="77777777" w:rsidR="008E7846" w:rsidRPr="00487162" w:rsidRDefault="00E36F77" w:rsidP="00E45619">
            <w:pPr>
              <w:rPr>
                <w:i/>
              </w:rPr>
            </w:pPr>
            <w:r>
              <w:rPr>
                <w:i/>
              </w:rPr>
              <w:t>Dose form</w:t>
            </w:r>
            <w:r w:rsidR="001B5C90">
              <w:rPr>
                <w:i/>
              </w:rPr>
              <w:t>:</w:t>
            </w:r>
          </w:p>
        </w:tc>
        <w:tc>
          <w:tcPr>
            <w:tcW w:w="6307" w:type="dxa"/>
          </w:tcPr>
          <w:p w14:paraId="70213434" w14:textId="77777777" w:rsidR="008E7846" w:rsidRPr="00487162" w:rsidRDefault="00E36F77" w:rsidP="00E36F77">
            <w:r>
              <w:t>Powder, oral</w:t>
            </w:r>
          </w:p>
        </w:tc>
      </w:tr>
      <w:tr w:rsidR="008E7846" w:rsidRPr="00487162" w14:paraId="248233CD" w14:textId="77777777" w:rsidTr="007B4BEB">
        <w:tc>
          <w:tcPr>
            <w:tcW w:w="2907" w:type="dxa"/>
          </w:tcPr>
          <w:p w14:paraId="615E3BA7" w14:textId="77777777" w:rsidR="008E7846" w:rsidRPr="00487162" w:rsidRDefault="000F2ED4" w:rsidP="00E45619">
            <w:pPr>
              <w:rPr>
                <w:i/>
              </w:rPr>
            </w:pPr>
            <w:r>
              <w:rPr>
                <w:i/>
              </w:rPr>
              <w:t>Strengths</w:t>
            </w:r>
            <w:r w:rsidR="008E7846" w:rsidRPr="00487162">
              <w:rPr>
                <w:i/>
              </w:rPr>
              <w:t xml:space="preserve">: </w:t>
            </w:r>
          </w:p>
        </w:tc>
        <w:tc>
          <w:tcPr>
            <w:tcW w:w="6307" w:type="dxa"/>
          </w:tcPr>
          <w:p w14:paraId="7723690E" w14:textId="77777777" w:rsidR="008E7846" w:rsidRPr="00487162" w:rsidRDefault="00E36F77" w:rsidP="00E36F77">
            <w:r>
              <w:t>5 g</w:t>
            </w:r>
            <w:r w:rsidR="008E7846" w:rsidRPr="00487162">
              <w:t xml:space="preserve"> and </w:t>
            </w:r>
            <w:r>
              <w:t>10 g</w:t>
            </w:r>
          </w:p>
        </w:tc>
      </w:tr>
      <w:tr w:rsidR="008E7846" w:rsidRPr="00487162" w14:paraId="3CEAD08D" w14:textId="77777777" w:rsidTr="007B4BEB">
        <w:tc>
          <w:tcPr>
            <w:tcW w:w="2907" w:type="dxa"/>
          </w:tcPr>
          <w:p w14:paraId="320A00BD" w14:textId="77777777" w:rsidR="008E7846" w:rsidRPr="00487162" w:rsidRDefault="000F2ED4" w:rsidP="00E45619">
            <w:pPr>
              <w:rPr>
                <w:i/>
              </w:rPr>
            </w:pPr>
            <w:r>
              <w:rPr>
                <w:i/>
              </w:rPr>
              <w:t>Container</w:t>
            </w:r>
            <w:r w:rsidR="008E7846" w:rsidRPr="00487162">
              <w:rPr>
                <w:i/>
              </w:rPr>
              <w:t>:</w:t>
            </w:r>
          </w:p>
        </w:tc>
        <w:tc>
          <w:tcPr>
            <w:tcW w:w="6307" w:type="dxa"/>
          </w:tcPr>
          <w:p w14:paraId="44CB0E27" w14:textId="77777777" w:rsidR="008E7846" w:rsidRPr="00487162" w:rsidRDefault="00E36F77" w:rsidP="00E45619">
            <w:r>
              <w:t>Sachet</w:t>
            </w:r>
          </w:p>
        </w:tc>
      </w:tr>
      <w:tr w:rsidR="008E7846" w:rsidRPr="00487162" w14:paraId="5CA66AC1" w14:textId="77777777" w:rsidTr="007B4BEB">
        <w:tc>
          <w:tcPr>
            <w:tcW w:w="2907" w:type="dxa"/>
          </w:tcPr>
          <w:p w14:paraId="174F77A8" w14:textId="77777777" w:rsidR="008E7846" w:rsidRPr="00487162" w:rsidRDefault="008E7846" w:rsidP="00E45619">
            <w:pPr>
              <w:rPr>
                <w:i/>
              </w:rPr>
            </w:pPr>
            <w:r w:rsidRPr="00487162">
              <w:rPr>
                <w:i/>
              </w:rPr>
              <w:t>Pack siz</w:t>
            </w:r>
            <w:r w:rsidR="000F2ED4">
              <w:rPr>
                <w:i/>
              </w:rPr>
              <w:t>es</w:t>
            </w:r>
            <w:r w:rsidRPr="00487162">
              <w:rPr>
                <w:i/>
              </w:rPr>
              <w:t>:</w:t>
            </w:r>
          </w:p>
        </w:tc>
        <w:tc>
          <w:tcPr>
            <w:tcW w:w="6307" w:type="dxa"/>
          </w:tcPr>
          <w:p w14:paraId="5EAE37FA" w14:textId="77777777" w:rsidR="008E7846" w:rsidRPr="00487162" w:rsidRDefault="000F2ED4" w:rsidP="00E45619">
            <w:r>
              <w:t>3 (sample pack) and 30 sachets</w:t>
            </w:r>
          </w:p>
        </w:tc>
      </w:tr>
      <w:tr w:rsidR="008E7846" w:rsidRPr="00487162" w14:paraId="3189C20D" w14:textId="77777777" w:rsidTr="007B4BEB">
        <w:tc>
          <w:tcPr>
            <w:tcW w:w="2907" w:type="dxa"/>
          </w:tcPr>
          <w:p w14:paraId="775A4E65"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5E7E6230" w14:textId="77777777" w:rsidR="008E7846" w:rsidRPr="00487162" w:rsidRDefault="000F2ED4" w:rsidP="00E45619">
            <w:pPr>
              <w:rPr>
                <w:rFonts w:eastAsia="MS Mincho"/>
                <w:lang w:eastAsia="ja-JP"/>
              </w:rPr>
            </w:pPr>
            <w:r>
              <w:t>Not applicable</w:t>
            </w:r>
          </w:p>
        </w:tc>
      </w:tr>
      <w:tr w:rsidR="008E7846" w:rsidRPr="00487162" w14:paraId="56FA3BD9" w14:textId="77777777" w:rsidTr="007B4BEB">
        <w:tc>
          <w:tcPr>
            <w:tcW w:w="2907" w:type="dxa"/>
          </w:tcPr>
          <w:p w14:paraId="0CE634CF" w14:textId="77777777" w:rsidR="008E7846" w:rsidRPr="00487162" w:rsidRDefault="000F2ED4" w:rsidP="00E45619">
            <w:pPr>
              <w:rPr>
                <w:i/>
              </w:rPr>
            </w:pPr>
            <w:r>
              <w:rPr>
                <w:i/>
              </w:rPr>
              <w:t>Route</w:t>
            </w:r>
            <w:r w:rsidR="008E7846" w:rsidRPr="00487162">
              <w:rPr>
                <w:i/>
              </w:rPr>
              <w:t xml:space="preserve"> of administration:</w:t>
            </w:r>
          </w:p>
        </w:tc>
        <w:tc>
          <w:tcPr>
            <w:tcW w:w="6307" w:type="dxa"/>
          </w:tcPr>
          <w:p w14:paraId="768492A2" w14:textId="77777777" w:rsidR="008E7846" w:rsidRPr="00487162" w:rsidRDefault="000F2ED4" w:rsidP="00E45619">
            <w:r>
              <w:t>oral</w:t>
            </w:r>
          </w:p>
        </w:tc>
      </w:tr>
      <w:tr w:rsidR="008E7846" w:rsidRPr="00487162" w14:paraId="6991177D" w14:textId="77777777" w:rsidTr="007B4BEB">
        <w:tc>
          <w:tcPr>
            <w:tcW w:w="2907" w:type="dxa"/>
          </w:tcPr>
          <w:p w14:paraId="58D6DC5B" w14:textId="77777777" w:rsidR="008E7846" w:rsidRPr="00487162" w:rsidRDefault="008E7846" w:rsidP="00E45619">
            <w:pPr>
              <w:rPr>
                <w:i/>
              </w:rPr>
            </w:pPr>
            <w:r w:rsidRPr="00487162">
              <w:rPr>
                <w:i/>
              </w:rPr>
              <w:t>Dosage:</w:t>
            </w:r>
          </w:p>
        </w:tc>
        <w:tc>
          <w:tcPr>
            <w:tcW w:w="6307" w:type="dxa"/>
          </w:tcPr>
          <w:p w14:paraId="45D077CF" w14:textId="77777777" w:rsidR="008E7846" w:rsidRPr="00487162" w:rsidRDefault="000F2ED4" w:rsidP="00E45619">
            <w:r>
              <w:t>Not applicable</w:t>
            </w:r>
          </w:p>
        </w:tc>
      </w:tr>
      <w:tr w:rsidR="008E7846" w:rsidRPr="00487162" w14:paraId="4075E6FA" w14:textId="77777777" w:rsidTr="007B4BEB">
        <w:tc>
          <w:tcPr>
            <w:tcW w:w="2907" w:type="dxa"/>
          </w:tcPr>
          <w:p w14:paraId="7E3F07B3" w14:textId="77777777" w:rsidR="008E7846" w:rsidRPr="00487162" w:rsidRDefault="008E7846" w:rsidP="001B5C90">
            <w:pPr>
              <w:rPr>
                <w:i/>
              </w:rPr>
            </w:pPr>
            <w:r w:rsidRPr="00487162">
              <w:rPr>
                <w:i/>
              </w:rPr>
              <w:t xml:space="preserve">ARTG </w:t>
            </w:r>
            <w:r w:rsidR="001B5C90">
              <w:rPr>
                <w:i/>
              </w:rPr>
              <w:t>n</w:t>
            </w:r>
            <w:r w:rsidR="000F2ED4">
              <w:rPr>
                <w:i/>
              </w:rPr>
              <w:t>umber</w:t>
            </w:r>
            <w:r w:rsidR="001B5C90">
              <w:rPr>
                <w:i/>
              </w:rPr>
              <w:t>:</w:t>
            </w:r>
          </w:p>
        </w:tc>
        <w:tc>
          <w:tcPr>
            <w:tcW w:w="6307" w:type="dxa"/>
          </w:tcPr>
          <w:p w14:paraId="53175071" w14:textId="77777777" w:rsidR="008E7846" w:rsidRPr="00487162" w:rsidRDefault="00B83803" w:rsidP="00E45619">
            <w:r>
              <w:t>Not applicable</w:t>
            </w:r>
          </w:p>
        </w:tc>
      </w:tr>
    </w:tbl>
    <w:p w14:paraId="062ADC31" w14:textId="77777777" w:rsidR="008E7846" w:rsidRDefault="008E7846" w:rsidP="008E7846">
      <w:pPr>
        <w:pStyle w:val="Heading3"/>
      </w:pPr>
      <w:bookmarkStart w:id="14" w:name="_Toc247691503"/>
      <w:bookmarkStart w:id="15" w:name="_Toc314842484"/>
      <w:bookmarkStart w:id="16" w:name="_Toc505252915"/>
      <w:r>
        <w:t>Product background</w:t>
      </w:r>
      <w:bookmarkEnd w:id="14"/>
      <w:bookmarkEnd w:id="15"/>
      <w:bookmarkEnd w:id="16"/>
    </w:p>
    <w:p w14:paraId="354DEF56" w14:textId="19F7ADDE" w:rsidR="000F2ED4" w:rsidRDefault="00940A89" w:rsidP="00940A89">
      <w:r w:rsidRPr="00940A89">
        <w:t>This AusPAR describes the application by</w:t>
      </w:r>
      <w:r w:rsidR="000F2ED4">
        <w:t xml:space="preserve"> </w:t>
      </w:r>
      <w:r w:rsidR="0047313A">
        <w:t>AstraZeneca Pty Ltd</w:t>
      </w:r>
      <w:r w:rsidR="0047313A" w:rsidRPr="0047313A">
        <w:rPr>
          <w:vertAlign w:val="superscript"/>
        </w:rPr>
        <w:fldChar w:fldCharType="begin"/>
      </w:r>
      <w:r w:rsidR="0047313A" w:rsidRPr="0047313A">
        <w:rPr>
          <w:vertAlign w:val="superscript"/>
        </w:rPr>
        <w:instrText xml:space="preserve"> NOTEREF _Ref500750337 \h </w:instrText>
      </w:r>
      <w:r w:rsidR="0047313A">
        <w:rPr>
          <w:vertAlign w:val="superscript"/>
        </w:rPr>
        <w:instrText xml:space="preserve"> \* MERGEFORMAT </w:instrText>
      </w:r>
      <w:r w:rsidR="0047313A" w:rsidRPr="0047313A">
        <w:rPr>
          <w:vertAlign w:val="superscript"/>
        </w:rPr>
      </w:r>
      <w:r w:rsidR="0047313A" w:rsidRPr="0047313A">
        <w:rPr>
          <w:vertAlign w:val="superscript"/>
        </w:rPr>
        <w:fldChar w:fldCharType="separate"/>
      </w:r>
      <w:r w:rsidR="00AD56A5">
        <w:rPr>
          <w:vertAlign w:val="superscript"/>
        </w:rPr>
        <w:t>1</w:t>
      </w:r>
      <w:r w:rsidR="0047313A" w:rsidRPr="0047313A">
        <w:rPr>
          <w:vertAlign w:val="superscript"/>
        </w:rPr>
        <w:fldChar w:fldCharType="end"/>
      </w:r>
      <w:r w:rsidR="00BE0DF4" w:rsidRPr="00E9044D">
        <w:t xml:space="preserve"> </w:t>
      </w:r>
      <w:r w:rsidR="000F2ED4">
        <w:t>(</w:t>
      </w:r>
      <w:r w:rsidRPr="00940A89">
        <w:t>the sponsor</w:t>
      </w:r>
      <w:r w:rsidR="000F2ED4">
        <w:t>)</w:t>
      </w:r>
      <w:r w:rsidRPr="00940A89">
        <w:t xml:space="preserve"> to register </w:t>
      </w:r>
      <w:r w:rsidR="000F2ED4">
        <w:t>Lokelma</w:t>
      </w:r>
      <w:r w:rsidR="00BE0DF4">
        <w:t>,</w:t>
      </w:r>
      <w:r w:rsidR="000F2ED4">
        <w:t xml:space="preserve"> sodium zirconium cyclosilicate hydrate</w:t>
      </w:r>
      <w:r w:rsidRPr="00940A89">
        <w:t xml:space="preserve"> </w:t>
      </w:r>
      <w:r w:rsidR="000F2ED4">
        <w:t xml:space="preserve">5 g and 10 g powder for oral suspension </w:t>
      </w:r>
      <w:r w:rsidRPr="00940A89">
        <w:t>for the following indication</w:t>
      </w:r>
      <w:r w:rsidR="00D76E01">
        <w:t>:</w:t>
      </w:r>
    </w:p>
    <w:p w14:paraId="09E37E2D" w14:textId="77777777" w:rsidR="00F17D4D" w:rsidRPr="003A4D5E" w:rsidRDefault="000F2ED4" w:rsidP="003A4D5E">
      <w:pPr>
        <w:ind w:left="720"/>
        <w:rPr>
          <w:i/>
        </w:rPr>
      </w:pPr>
      <w:proofErr w:type="gramStart"/>
      <w:r w:rsidRPr="000F2ED4">
        <w:rPr>
          <w:i/>
        </w:rPr>
        <w:t>For the treatment of hyperkalaemia in adult patients, acute and extended use.</w:t>
      </w:r>
      <w:proofErr w:type="gramEnd"/>
    </w:p>
    <w:p w14:paraId="776C4635" w14:textId="29A81DAA" w:rsidR="00086802" w:rsidRDefault="00E91169" w:rsidP="00940A89">
      <w:r>
        <w:t>Sodium zirconium cyclosilicate</w:t>
      </w:r>
      <w:r w:rsidR="00086802">
        <w:t xml:space="preserve"> (Z</w:t>
      </w:r>
      <w:r w:rsidR="00086802" w:rsidRPr="00E03B6D">
        <w:t>S</w:t>
      </w:r>
      <w:r w:rsidR="00086802">
        <w:t>)</w:t>
      </w:r>
      <w:r w:rsidR="00086802" w:rsidRPr="00E03B6D">
        <w:t xml:space="preserve"> is an insoluble, non-absorbable </w:t>
      </w:r>
      <w:r w:rsidR="00086802" w:rsidRPr="003A4D5E">
        <w:t xml:space="preserve">inorganic </w:t>
      </w:r>
      <w:r w:rsidR="003A4D5E" w:rsidRPr="003A4D5E">
        <w:t xml:space="preserve">cation exchange agent with a high capacity to selectively entrap monovalent cations, including potassium ions, in exchange for sodium ions, as it traverses the </w:t>
      </w:r>
      <w:r>
        <w:t>gastrointestinal (</w:t>
      </w:r>
      <w:r w:rsidR="003A4D5E" w:rsidRPr="003A4D5E">
        <w:t>GI</w:t>
      </w:r>
      <w:r>
        <w:t>)</w:t>
      </w:r>
      <w:r w:rsidR="003A4D5E" w:rsidRPr="003A4D5E">
        <w:t xml:space="preserve"> tract.</w:t>
      </w:r>
      <w:r w:rsidR="003A4D5E">
        <w:t xml:space="preserve"> </w:t>
      </w:r>
      <w:r w:rsidR="003A4D5E" w:rsidRPr="003A4D5E">
        <w:t xml:space="preserve">It does not </w:t>
      </w:r>
      <w:r w:rsidR="0015230A">
        <w:t xml:space="preserve">selectively </w:t>
      </w:r>
      <w:r w:rsidR="003A4D5E" w:rsidRPr="003A4D5E">
        <w:t>trap divalent cations such as calcium and magnesium</w:t>
      </w:r>
      <w:r w:rsidR="003A4D5E">
        <w:t>.</w:t>
      </w:r>
    </w:p>
    <w:p w14:paraId="0FCE527F" w14:textId="77777777" w:rsidR="00086802" w:rsidRDefault="00086802" w:rsidP="00940A89">
      <w:r>
        <w:t>T</w:t>
      </w:r>
      <w:r w:rsidRPr="00E03B6D">
        <w:t xml:space="preserve">he rate of onset of the effect of ZS on serum potassium commences </w:t>
      </w:r>
      <w:r>
        <w:t xml:space="preserve">upon </w:t>
      </w:r>
      <w:r w:rsidRPr="00E03B6D">
        <w:t>entrapment of potass</w:t>
      </w:r>
      <w:r>
        <w:t xml:space="preserve">ium ions in the upper GI tract. </w:t>
      </w:r>
      <w:r w:rsidRPr="00E03B6D">
        <w:t>Serum potassium concentration is closely correlated with potassium concentration of intestinal fluid.</w:t>
      </w:r>
    </w:p>
    <w:p w14:paraId="793F93B2" w14:textId="77777777" w:rsidR="003A4D5E" w:rsidRDefault="003A4D5E" w:rsidP="00940A89">
      <w:r>
        <w:lastRenderedPageBreak/>
        <w:t xml:space="preserve">The currently most used therapy for hyperkalaemia, </w:t>
      </w:r>
      <w:r w:rsidRPr="00C06969">
        <w:t xml:space="preserve">sodium polystyrene sulfonate, </w:t>
      </w:r>
      <w:r>
        <w:t>(</w:t>
      </w:r>
      <w:r w:rsidRPr="00C06969">
        <w:t>SPS</w:t>
      </w:r>
      <w:r>
        <w:t>) which has its effect within the colon, not in the upper GI tract.</w:t>
      </w:r>
    </w:p>
    <w:p w14:paraId="17121166" w14:textId="77777777" w:rsidR="008E7846" w:rsidRPr="003F31A2" w:rsidRDefault="00386150" w:rsidP="008E7846">
      <w:pPr>
        <w:pStyle w:val="Heading3"/>
      </w:pPr>
      <w:bookmarkStart w:id="17" w:name="_Toc314842485"/>
      <w:bookmarkStart w:id="18" w:name="_Toc247691504"/>
      <w:bookmarkStart w:id="19" w:name="_Toc505252916"/>
      <w:r>
        <w:t>Regulatory s</w:t>
      </w:r>
      <w:r w:rsidR="008E7846">
        <w:t>tatus</w:t>
      </w:r>
      <w:bookmarkEnd w:id="17"/>
      <w:bookmarkEnd w:id="18"/>
      <w:bookmarkEnd w:id="19"/>
    </w:p>
    <w:p w14:paraId="2B3221BD" w14:textId="77777777" w:rsidR="00E8436F" w:rsidRDefault="00940A89" w:rsidP="00940A89">
      <w:bookmarkStart w:id="20" w:name="_Toc247691505"/>
      <w:bookmarkStart w:id="21" w:name="_Toc314842486"/>
      <w:r w:rsidRPr="00940A89">
        <w:t xml:space="preserve">At the time the TGA considered this </w:t>
      </w:r>
      <w:r w:rsidR="00E8436F" w:rsidRPr="00940A89">
        <w:t>application</w:t>
      </w:r>
      <w:r w:rsidR="00E8436F">
        <w:t xml:space="preserve">s were </w:t>
      </w:r>
      <w:r w:rsidRPr="00940A89">
        <w:t>under co</w:t>
      </w:r>
      <w:r>
        <w:t xml:space="preserve">nsideration </w:t>
      </w:r>
      <w:r w:rsidR="00E8436F">
        <w:t xml:space="preserve">in </w:t>
      </w:r>
      <w:r w:rsidR="00E8436F" w:rsidRPr="00E03B6D">
        <w:t>Europe (</w:t>
      </w:r>
      <w:r w:rsidR="00E8436F">
        <w:t xml:space="preserve">submitted </w:t>
      </w:r>
      <w:r w:rsidR="00E8436F" w:rsidRPr="00E03B6D">
        <w:t>December 2015</w:t>
      </w:r>
      <w:r w:rsidR="00E8436F">
        <w:t>; evaluation ongoing</w:t>
      </w:r>
      <w:r w:rsidR="00E8436F" w:rsidRPr="00E03B6D">
        <w:t>) and USA (</w:t>
      </w:r>
      <w:r w:rsidR="00E8436F">
        <w:t xml:space="preserve">initial submission </w:t>
      </w:r>
      <w:r w:rsidR="00E8436F" w:rsidRPr="00E03B6D">
        <w:t>May 2015</w:t>
      </w:r>
      <w:r w:rsidR="00E8436F">
        <w:t>, a complete resubmission in October 2016; evaluation ongoing).</w:t>
      </w:r>
    </w:p>
    <w:p w14:paraId="5E71F29E" w14:textId="741D5E8D" w:rsidR="00D4227E" w:rsidRDefault="008547B2" w:rsidP="00AD68DB">
      <w:pPr>
        <w:pStyle w:val="Heading2"/>
        <w:rPr>
          <w:rStyle w:val="Heading3Char"/>
          <w:b/>
          <w:bCs/>
        </w:rPr>
      </w:pPr>
      <w:bookmarkStart w:id="22" w:name="_Toc496713168"/>
      <w:bookmarkStart w:id="23" w:name="_Toc502424787"/>
      <w:bookmarkStart w:id="24" w:name="_Toc505252917"/>
      <w:r w:rsidRPr="00AD68DB">
        <w:rPr>
          <w:rStyle w:val="Heading3Char"/>
          <w:b/>
        </w:rPr>
        <w:t>Registration timeline</w:t>
      </w:r>
      <w:bookmarkEnd w:id="22"/>
      <w:bookmarkEnd w:id="23"/>
      <w:bookmarkEnd w:id="24"/>
    </w:p>
    <w:p w14:paraId="1BBAE144" w14:textId="763F25EE" w:rsidR="00D76E01" w:rsidRPr="00D76E01" w:rsidRDefault="00D76E01" w:rsidP="00AD68DB">
      <w:pPr>
        <w:pStyle w:val="TableTitle"/>
      </w:pPr>
      <w:r>
        <w:t>Table 1: Registration timeline</w:t>
      </w:r>
    </w:p>
    <w:tbl>
      <w:tblPr>
        <w:tblStyle w:val="TableTGAblue"/>
        <w:tblW w:w="0" w:type="auto"/>
        <w:tblLook w:val="04A0" w:firstRow="1" w:lastRow="0" w:firstColumn="1" w:lastColumn="0" w:noHBand="0" w:noVBand="1"/>
      </w:tblPr>
      <w:tblGrid>
        <w:gridCol w:w="5778"/>
        <w:gridCol w:w="2942"/>
      </w:tblGrid>
      <w:tr w:rsidR="00D4227E" w:rsidRPr="004F7E05" w14:paraId="54C28365" w14:textId="77777777" w:rsidTr="004F7E05">
        <w:trPr>
          <w:cnfStyle w:val="100000000000" w:firstRow="1" w:lastRow="0" w:firstColumn="0" w:lastColumn="0" w:oddVBand="0" w:evenVBand="0" w:oddHBand="0" w:evenHBand="0" w:firstRowFirstColumn="0" w:firstRowLastColumn="0" w:lastRowFirstColumn="0" w:lastRowLastColumn="0"/>
        </w:trPr>
        <w:tc>
          <w:tcPr>
            <w:tcW w:w="5778" w:type="dxa"/>
            <w:hideMark/>
          </w:tcPr>
          <w:p w14:paraId="54757907" w14:textId="77777777" w:rsidR="00D4227E" w:rsidRPr="004F7E05" w:rsidRDefault="00D4227E" w:rsidP="004F7E05">
            <w:r w:rsidRPr="004F7E05">
              <w:t>Description</w:t>
            </w:r>
          </w:p>
        </w:tc>
        <w:tc>
          <w:tcPr>
            <w:tcW w:w="2942" w:type="dxa"/>
            <w:hideMark/>
          </w:tcPr>
          <w:p w14:paraId="39B0F562" w14:textId="77777777" w:rsidR="00D4227E" w:rsidRPr="004F7E05" w:rsidRDefault="00D4227E" w:rsidP="004F7E05">
            <w:r w:rsidRPr="004F7E05">
              <w:t>Date</w:t>
            </w:r>
          </w:p>
        </w:tc>
      </w:tr>
      <w:tr w:rsidR="00D4227E" w:rsidRPr="004F7E05" w14:paraId="2B3FC4C0" w14:textId="77777777" w:rsidTr="004F7E05">
        <w:tc>
          <w:tcPr>
            <w:tcW w:w="577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537AEE1" w14:textId="77777777" w:rsidR="00D4227E" w:rsidRPr="004F7E05" w:rsidRDefault="00D4227E" w:rsidP="004F7E05">
            <w:r w:rsidRPr="004F7E05">
              <w:t>Submission dossier accepted and 1st round evaluation commenced</w:t>
            </w:r>
          </w:p>
        </w:tc>
        <w:tc>
          <w:tcPr>
            <w:tcW w:w="2942"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43CCAE1" w14:textId="1363FE04" w:rsidR="00D4227E" w:rsidRPr="004F7E05" w:rsidRDefault="00D4227E" w:rsidP="004F7E05">
            <w:r w:rsidRPr="004F7E05">
              <w:t>23 December 2015</w:t>
            </w:r>
          </w:p>
        </w:tc>
      </w:tr>
      <w:tr w:rsidR="00D4227E" w:rsidRPr="004F7E05" w14:paraId="4A64CEC3" w14:textId="77777777" w:rsidTr="004F7E05">
        <w:tc>
          <w:tcPr>
            <w:tcW w:w="577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86BB744" w14:textId="77777777" w:rsidR="00D4227E" w:rsidRPr="004F7E05" w:rsidRDefault="00D4227E" w:rsidP="004F7E05">
            <w:r w:rsidRPr="004F7E05">
              <w:t>1st round evaluation completed</w:t>
            </w:r>
          </w:p>
        </w:tc>
        <w:tc>
          <w:tcPr>
            <w:tcW w:w="2942"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7628A69" w14:textId="1C766DBF" w:rsidR="00D4227E" w:rsidRPr="004F7E05" w:rsidRDefault="00D4227E" w:rsidP="004F7E05">
            <w:r w:rsidRPr="004F7E05">
              <w:t>31 May 2016</w:t>
            </w:r>
          </w:p>
        </w:tc>
      </w:tr>
      <w:tr w:rsidR="00D4227E" w:rsidRPr="004F7E05" w14:paraId="5934F129" w14:textId="77777777" w:rsidTr="004F7E05">
        <w:tc>
          <w:tcPr>
            <w:tcW w:w="577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85CE8E8" w14:textId="77777777" w:rsidR="00D4227E" w:rsidRPr="004F7E05" w:rsidRDefault="00D4227E" w:rsidP="004F7E05">
            <w:r w:rsidRPr="004F7E05">
              <w:t>Sponsor provides responses on questions raised in 1st round evaluation</w:t>
            </w:r>
          </w:p>
        </w:tc>
        <w:tc>
          <w:tcPr>
            <w:tcW w:w="2942"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F5FCC7F" w14:textId="025DE8AF" w:rsidR="00D4227E" w:rsidRPr="004F7E05" w:rsidRDefault="00D4227E" w:rsidP="004F7E05">
            <w:r w:rsidRPr="004F7E05">
              <w:t>31 August 2016</w:t>
            </w:r>
          </w:p>
        </w:tc>
      </w:tr>
      <w:tr w:rsidR="00D4227E" w:rsidRPr="004F7E05" w14:paraId="53B5EECF" w14:textId="77777777" w:rsidTr="004F7E05">
        <w:tc>
          <w:tcPr>
            <w:tcW w:w="577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F14A79B" w14:textId="77777777" w:rsidR="00D4227E" w:rsidRPr="004F7E05" w:rsidRDefault="00D4227E" w:rsidP="004F7E05">
            <w:r w:rsidRPr="004F7E05">
              <w:t>2nd round evaluation completed</w:t>
            </w:r>
          </w:p>
        </w:tc>
        <w:tc>
          <w:tcPr>
            <w:tcW w:w="2942"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66ECCDC" w14:textId="3C850A73" w:rsidR="00D4227E" w:rsidRPr="004F7E05" w:rsidRDefault="00D4227E" w:rsidP="004F7E05">
            <w:r w:rsidRPr="004F7E05">
              <w:t>30 September 2016</w:t>
            </w:r>
          </w:p>
        </w:tc>
      </w:tr>
      <w:tr w:rsidR="00D4227E" w:rsidRPr="004F7E05" w14:paraId="64609B3F" w14:textId="77777777" w:rsidTr="004F7E05">
        <w:tc>
          <w:tcPr>
            <w:tcW w:w="577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59761B4" w14:textId="77777777" w:rsidR="00D4227E" w:rsidRPr="004F7E05" w:rsidRDefault="00D4227E" w:rsidP="004F7E05">
            <w:r w:rsidRPr="004F7E05">
              <w:t>Delegate’s overall risk-benefit assessment and request for Advisory Committee advice</w:t>
            </w:r>
          </w:p>
        </w:tc>
        <w:tc>
          <w:tcPr>
            <w:tcW w:w="2942"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B8BFC73" w14:textId="5CFFF340" w:rsidR="00D4227E" w:rsidRPr="004F7E05" w:rsidRDefault="008547B2" w:rsidP="004F7E05">
            <w:r w:rsidRPr="004F7E05">
              <w:t>24 October 2016</w:t>
            </w:r>
          </w:p>
        </w:tc>
      </w:tr>
      <w:tr w:rsidR="00D4227E" w:rsidRPr="004F7E05" w14:paraId="4F373273" w14:textId="77777777" w:rsidTr="004F7E05">
        <w:tc>
          <w:tcPr>
            <w:tcW w:w="577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930A710" w14:textId="77777777" w:rsidR="00D4227E" w:rsidRPr="004F7E05" w:rsidRDefault="00D4227E" w:rsidP="004F7E05">
            <w:r w:rsidRPr="004F7E05">
              <w:t>Sponsor’s pre-Advisory Committee meeting response</w:t>
            </w:r>
          </w:p>
        </w:tc>
        <w:tc>
          <w:tcPr>
            <w:tcW w:w="2942"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A85EF3A" w14:textId="66A9DA21" w:rsidR="00D4227E" w:rsidRPr="004F7E05" w:rsidRDefault="00CC3E4E" w:rsidP="004F7E05">
            <w:r w:rsidRPr="004F7E05">
              <w:t>14 November 2016</w:t>
            </w:r>
          </w:p>
        </w:tc>
      </w:tr>
      <w:tr w:rsidR="00D4227E" w:rsidRPr="004F7E05" w14:paraId="7DC5638B" w14:textId="77777777" w:rsidTr="004F7E05">
        <w:tc>
          <w:tcPr>
            <w:tcW w:w="577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3975054" w14:textId="77777777" w:rsidR="00D4227E" w:rsidRPr="004F7E05" w:rsidRDefault="00D4227E" w:rsidP="004F7E05">
            <w:r w:rsidRPr="004F7E05">
              <w:t>Advisory Committee meeting</w:t>
            </w:r>
          </w:p>
        </w:tc>
        <w:tc>
          <w:tcPr>
            <w:tcW w:w="2942"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EF1653B" w14:textId="5D582850" w:rsidR="00D4227E" w:rsidRPr="004F7E05" w:rsidRDefault="00D4227E" w:rsidP="004F7E05">
            <w:r w:rsidRPr="004F7E05">
              <w:t>1 February 2017</w:t>
            </w:r>
          </w:p>
        </w:tc>
      </w:tr>
      <w:tr w:rsidR="00D4227E" w:rsidRPr="004F7E05" w14:paraId="7F950A48" w14:textId="77777777" w:rsidTr="004F7E05">
        <w:tc>
          <w:tcPr>
            <w:tcW w:w="577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888C6E8" w14:textId="49383B9A" w:rsidR="00D4227E" w:rsidRPr="004F7E05" w:rsidRDefault="00D4227E" w:rsidP="004F7E05">
            <w:r w:rsidRPr="004F7E05">
              <w:t>Registration decision/ Withdrawal</w:t>
            </w:r>
            <w:r w:rsidR="008547B2" w:rsidRPr="004F7E05">
              <w:t xml:space="preserve"> by sponsor</w:t>
            </w:r>
          </w:p>
        </w:tc>
        <w:tc>
          <w:tcPr>
            <w:tcW w:w="2942"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2436C0D" w14:textId="1A0F5DC8" w:rsidR="00D4227E" w:rsidRPr="004F7E05" w:rsidRDefault="00D4227E" w:rsidP="004F7E05">
            <w:r w:rsidRPr="004F7E05">
              <w:t>13 April 2017</w:t>
            </w:r>
          </w:p>
        </w:tc>
      </w:tr>
    </w:tbl>
    <w:p w14:paraId="3D452587" w14:textId="77777777" w:rsidR="008E7846" w:rsidRPr="008547B2" w:rsidRDefault="008E7846" w:rsidP="008E7846">
      <w:pPr>
        <w:pStyle w:val="Heading2"/>
        <w:ind w:left="-11"/>
      </w:pPr>
      <w:bookmarkStart w:id="25" w:name="_Toc247691506"/>
      <w:bookmarkStart w:id="26" w:name="_Toc314842487"/>
      <w:bookmarkStart w:id="27" w:name="_Toc505252918"/>
      <w:bookmarkEnd w:id="20"/>
      <w:bookmarkEnd w:id="21"/>
      <w:r>
        <w:t xml:space="preserve">II. </w:t>
      </w:r>
      <w:r w:rsidRPr="008547B2">
        <w:t>Quality</w:t>
      </w:r>
      <w:bookmarkEnd w:id="1"/>
      <w:r w:rsidRPr="008547B2">
        <w:t xml:space="preserve"> findings</w:t>
      </w:r>
      <w:bookmarkEnd w:id="25"/>
      <w:bookmarkEnd w:id="26"/>
      <w:bookmarkEnd w:id="27"/>
    </w:p>
    <w:p w14:paraId="20BD8C07" w14:textId="77777777" w:rsidR="00940A89" w:rsidRDefault="00940A89" w:rsidP="00940A89">
      <w:pPr>
        <w:pStyle w:val="Heading3"/>
      </w:pPr>
      <w:bookmarkStart w:id="28" w:name="_Toc247691507"/>
      <w:bookmarkStart w:id="29" w:name="_Toc314842488"/>
      <w:bookmarkStart w:id="30" w:name="_Toc505252919"/>
      <w:r w:rsidRPr="00940A89">
        <w:t>Introduction</w:t>
      </w:r>
      <w:bookmarkEnd w:id="30"/>
    </w:p>
    <w:p w14:paraId="22B1B62C" w14:textId="2C4BA8BE" w:rsidR="00E9044D" w:rsidRPr="00E9044D" w:rsidRDefault="00E9044D" w:rsidP="00E9044D">
      <w:r w:rsidRPr="00E9044D">
        <w:t>The sponsor has submitted an application to register a new chemical entity L</w:t>
      </w:r>
      <w:r w:rsidR="00BE0DF4" w:rsidRPr="00E9044D">
        <w:t>okelma</w:t>
      </w:r>
      <w:r w:rsidR="00BE0DF4">
        <w:t>, s</w:t>
      </w:r>
      <w:r w:rsidRPr="00E9044D">
        <w:t xml:space="preserve">odium zirconium cyclosilicate hydrate powder for suspension for oral administration </w:t>
      </w:r>
      <w:r w:rsidR="00BE0DF4">
        <w:t>S</w:t>
      </w:r>
      <w:r w:rsidRPr="00E9044D">
        <w:t xml:space="preserve">odium zirconium cyclosilicate hydrate is a non-soluble, non-absorbed, inorganic crystalline white powder with a uniform </w:t>
      </w:r>
      <w:proofErr w:type="spellStart"/>
      <w:r w:rsidRPr="00E9044D">
        <w:t>micropore</w:t>
      </w:r>
      <w:proofErr w:type="spellEnd"/>
      <w:r w:rsidRPr="00E9044D">
        <w:t xml:space="preserve"> structure of approximately 3Å (0.3 nm) that entraps potassium in exchange for hydrogen and sodium cations. Each particle is a single crystal of the material. The powder has a high affinity for potassium ions, which is not influenced by the presence of other biological cations such as calcium and magnesium. It does however have an affinity to ammonium ions similar to that of potassium ions, although the powder has a 1.25 fold higher affinity for </w:t>
      </w:r>
      <w:r w:rsidR="00886664" w:rsidRPr="00E9044D">
        <w:t>K</w:t>
      </w:r>
      <w:r w:rsidR="00886664" w:rsidRPr="00886664">
        <w:rPr>
          <w:vertAlign w:val="superscript"/>
        </w:rPr>
        <w:t>+</w:t>
      </w:r>
      <w:r w:rsidRPr="00E9044D">
        <w:t xml:space="preserve"> compared to </w:t>
      </w:r>
      <w:r w:rsidR="00886664" w:rsidRPr="00E9044D">
        <w:t>NH</w:t>
      </w:r>
      <w:r w:rsidR="00886664" w:rsidRPr="00886664">
        <w:rPr>
          <w:vertAlign w:val="superscript"/>
        </w:rPr>
        <w:t>4+</w:t>
      </w:r>
      <w:r w:rsidRPr="00E9044D">
        <w:t xml:space="preserve"> ions.</w:t>
      </w:r>
    </w:p>
    <w:p w14:paraId="16A6705B" w14:textId="77777777" w:rsidR="00E9044D" w:rsidRPr="00E9044D" w:rsidRDefault="00E9044D" w:rsidP="00E9044D">
      <w:r w:rsidRPr="00E9044D">
        <w:t>The exchange with potassium ions occurs through the entire gastrointestinal tract, with onset in the upper part of the gastrointestinal tract.</w:t>
      </w:r>
      <w:r w:rsidR="00BE0DF4">
        <w:t xml:space="preserve"> </w:t>
      </w:r>
      <w:r w:rsidRPr="00E9044D">
        <w:t xml:space="preserve">The trapped potassium ions are </w:t>
      </w:r>
      <w:r w:rsidRPr="00E9044D">
        <w:lastRenderedPageBreak/>
        <w:t>excreted from the body via the faeces, thereby reducing any excess and resolving hyperkalaemia.</w:t>
      </w:r>
    </w:p>
    <w:p w14:paraId="0A3119A5" w14:textId="7ED41D6E" w:rsidR="00E9044D" w:rsidRDefault="00E9044D" w:rsidP="00E9044D">
      <w:r w:rsidRPr="00E9044D">
        <w:t>The 3-D structure of sodium zirconium cyclosilicate hydrate is depicted below in a number of ways.</w:t>
      </w:r>
      <w:r w:rsidR="00BE0DF4">
        <w:t xml:space="preserve"> </w:t>
      </w:r>
      <w:r w:rsidRPr="00E9044D">
        <w:t xml:space="preserve">The chemical formula of sodium zirconium cyclosilicate </w:t>
      </w:r>
      <w:r w:rsidR="00346F74">
        <w:t xml:space="preserve">hydrate </w:t>
      </w:r>
      <w:r w:rsidRPr="00E9044D">
        <w:t>is Na</w:t>
      </w:r>
      <w:r w:rsidR="00BE0DF4">
        <w:t>~</w:t>
      </w:r>
      <w:r w:rsidRPr="00E9044D">
        <w:t>1.5H</w:t>
      </w:r>
      <w:r w:rsidR="00BE0DF4">
        <w:t>~</w:t>
      </w:r>
      <w:r w:rsidRPr="00E9044D">
        <w:t>0.5ZrSi</w:t>
      </w:r>
      <w:r w:rsidRPr="00BE0DF4">
        <w:rPr>
          <w:vertAlign w:val="subscript"/>
        </w:rPr>
        <w:t>3</w:t>
      </w:r>
      <w:r w:rsidRPr="00E9044D">
        <w:t>O</w:t>
      </w:r>
      <w:r w:rsidRPr="00BE0DF4">
        <w:rPr>
          <w:vertAlign w:val="subscript"/>
        </w:rPr>
        <w:t>9</w:t>
      </w:r>
      <w:r w:rsidRPr="00E9044D">
        <w:t>.2-3H</w:t>
      </w:r>
      <w:r w:rsidRPr="00BE0DF4">
        <w:rPr>
          <w:vertAlign w:val="subscript"/>
        </w:rPr>
        <w:t>2</w:t>
      </w:r>
      <w:r w:rsidRPr="00E9044D">
        <w:t>O.</w:t>
      </w:r>
    </w:p>
    <w:p w14:paraId="18B18677" w14:textId="77777777" w:rsidR="00B83803" w:rsidRDefault="00861D1C" w:rsidP="00B83803">
      <w:pPr>
        <w:pStyle w:val="FigureTitle"/>
      </w:pPr>
      <w:r>
        <w:t>Figure 1:</w:t>
      </w:r>
      <w:r w:rsidR="00B83803">
        <w:t xml:space="preserve"> The 3D structure of </w:t>
      </w:r>
      <w:r w:rsidR="00B83803" w:rsidRPr="00E9044D">
        <w:t>zirconium cyclosilicate hydrate</w:t>
      </w:r>
    </w:p>
    <w:p w14:paraId="6D804D8F" w14:textId="77777777" w:rsidR="00E9044D" w:rsidRDefault="00B83803" w:rsidP="007B4BEB">
      <w:r>
        <w:rPr>
          <w:noProof/>
          <w:lang w:eastAsia="en-AU"/>
        </w:rPr>
        <w:drawing>
          <wp:inline distT="0" distB="0" distL="0" distR="0" wp14:anchorId="0D4F333B" wp14:editId="326D2804">
            <wp:extent cx="5400040" cy="3649980"/>
            <wp:effectExtent l="0" t="0" r="0" b="7620"/>
            <wp:docPr id="1" name="Picture 1" descr="Figure 1: The 3D structure of zirconium cyclosilicate hyd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40" cy="3649980"/>
                    </a:xfrm>
                    <a:prstGeom prst="rect">
                      <a:avLst/>
                    </a:prstGeom>
                  </pic:spPr>
                </pic:pic>
              </a:graphicData>
            </a:graphic>
          </wp:inline>
        </w:drawing>
      </w:r>
    </w:p>
    <w:p w14:paraId="6E2C47FB" w14:textId="77777777" w:rsidR="00E9044D" w:rsidRPr="00E9044D" w:rsidRDefault="00E9044D" w:rsidP="00E9044D">
      <w:r w:rsidRPr="00E9044D">
        <w:t>The drug product proposed for registration is composed solely of the drug substance with no excipients and is a non-soluble, crystalline powder designed as a powder for suspension in water for oral administration.</w:t>
      </w:r>
      <w:r w:rsidR="00BE0DF4">
        <w:t xml:space="preserve"> </w:t>
      </w:r>
      <w:r w:rsidRPr="00E9044D">
        <w:t xml:space="preserve">The drug product is administered as </w:t>
      </w:r>
      <w:proofErr w:type="gramStart"/>
      <w:r w:rsidRPr="00E9044D">
        <w:t>a slurry</w:t>
      </w:r>
      <w:proofErr w:type="gramEnd"/>
      <w:r w:rsidRPr="00E9044D">
        <w:t xml:space="preserve"> in water and two dose strengths are proposed for registration </w:t>
      </w:r>
      <w:r w:rsidR="00BE0DF4">
        <w:t xml:space="preserve">that is, </w:t>
      </w:r>
      <w:r w:rsidRPr="00E9044D">
        <w:t>5 g and 10 g.</w:t>
      </w:r>
      <w:r w:rsidR="00BE0DF4">
        <w:t xml:space="preserve"> </w:t>
      </w:r>
      <w:r w:rsidRPr="00E9044D">
        <w:t xml:space="preserve">The drug product is to be packaged in high barrier PET/LDPE/LLDPE/aluminium foil laminate sachets with pack </w:t>
      </w:r>
      <w:r w:rsidR="00BE0DF4">
        <w:t xml:space="preserve">sizes of </w:t>
      </w:r>
      <w:r w:rsidRPr="00E9044D">
        <w:t>3 sachets (sample pack) and 30 sachets per cardboard carton proposed for registration.</w:t>
      </w:r>
    </w:p>
    <w:p w14:paraId="33D24AB7" w14:textId="77777777" w:rsidR="00E9044D" w:rsidRPr="00E9044D" w:rsidRDefault="00BE0DF4" w:rsidP="00E9044D">
      <w:r>
        <w:t>Lokelma</w:t>
      </w:r>
      <w:r w:rsidR="00E9044D" w:rsidRPr="00E9044D">
        <w:t xml:space="preserve"> is indicated for the treatment of hyperkalaemia in adult patients for acute and extended use.</w:t>
      </w:r>
      <w:r>
        <w:t xml:space="preserve"> </w:t>
      </w:r>
      <w:r w:rsidR="00E9044D" w:rsidRPr="00E9044D">
        <w:t xml:space="preserve">The recommended dose regimen of </w:t>
      </w:r>
      <w:r>
        <w:t>Lokelma</w:t>
      </w:r>
      <w:r w:rsidR="00E9044D" w:rsidRPr="00E9044D">
        <w:t xml:space="preserve"> involves a starting dose of up to 10 g administered three times a day orally (maximum daily dose of 30 g/day) as a slurry suspension in water to achieve normokalaemia.</w:t>
      </w:r>
      <w:r>
        <w:t xml:space="preserve"> </w:t>
      </w:r>
      <w:r w:rsidR="00E9044D" w:rsidRPr="00E9044D">
        <w:t>A maximum of three days dosing should not be exceeded and an alternative therapy sought if normokalaemia has not been achieved. The dose is then reduced to a maintenance dose of 5 g, with possible titration up to 10 g as needed.</w:t>
      </w:r>
      <w:r>
        <w:t xml:space="preserve"> </w:t>
      </w:r>
      <w:r w:rsidR="00E9044D" w:rsidRPr="00E9044D">
        <w:t>No more than 10 g should be used for extended once daily therapy.</w:t>
      </w:r>
    </w:p>
    <w:p w14:paraId="258922ED" w14:textId="77777777" w:rsidR="00BE0DF4" w:rsidRDefault="008E7846" w:rsidP="00940A89">
      <w:pPr>
        <w:pStyle w:val="Heading3"/>
      </w:pPr>
      <w:bookmarkStart w:id="31" w:name="_Toc505252920"/>
      <w:r w:rsidRPr="008751DC">
        <w:t xml:space="preserve">Drug </w:t>
      </w:r>
      <w:r>
        <w:t>s</w:t>
      </w:r>
      <w:r w:rsidRPr="008751DC">
        <w:t>ubstance</w:t>
      </w:r>
      <w:r>
        <w:t xml:space="preserve"> (active ingredient)</w:t>
      </w:r>
      <w:bookmarkEnd w:id="28"/>
      <w:bookmarkEnd w:id="29"/>
      <w:bookmarkEnd w:id="31"/>
    </w:p>
    <w:p w14:paraId="190DACC6" w14:textId="77777777" w:rsidR="00E9044D" w:rsidRPr="00E9044D" w:rsidRDefault="00E9044D" w:rsidP="00E9044D">
      <w:r w:rsidRPr="00E9044D">
        <w:t>The drug substance ‘sodium zirconium cyclosilicate hydrate’ (abbreviated to ZS) is a white crystalline powder.</w:t>
      </w:r>
      <w:r w:rsidR="00BE0DF4">
        <w:t xml:space="preserve"> </w:t>
      </w:r>
      <w:r w:rsidRPr="00E9044D">
        <w:t xml:space="preserve">The structure of ZS is summarised as a cubic cell arrangement of </w:t>
      </w:r>
      <w:proofErr w:type="spellStart"/>
      <w:r w:rsidRPr="00E9044D">
        <w:t>octahedrally</w:t>
      </w:r>
      <w:proofErr w:type="spellEnd"/>
      <w:r w:rsidRPr="00E9044D">
        <w:t xml:space="preserve"> coordinated zirconium </w:t>
      </w:r>
      <w:proofErr w:type="spellStart"/>
      <w:r w:rsidRPr="00E9044D">
        <w:t>Zr</w:t>
      </w:r>
      <w:proofErr w:type="spellEnd"/>
      <w:r w:rsidRPr="00E9044D">
        <w:t xml:space="preserve"> ([ZrO</w:t>
      </w:r>
      <w:r w:rsidRPr="00BE0DF4">
        <w:rPr>
          <w:vertAlign w:val="subscript"/>
        </w:rPr>
        <w:t>6</w:t>
      </w:r>
      <w:r w:rsidRPr="00E9044D">
        <w:t>]</w:t>
      </w:r>
      <w:r w:rsidRPr="00BE0DF4">
        <w:rPr>
          <w:vertAlign w:val="superscript"/>
        </w:rPr>
        <w:t>2</w:t>
      </w:r>
      <w:proofErr w:type="gramStart"/>
      <w:r w:rsidRPr="00BE0DF4">
        <w:rPr>
          <w:vertAlign w:val="superscript"/>
        </w:rPr>
        <w:t>-</w:t>
      </w:r>
      <w:r w:rsidRPr="00E9044D">
        <w:t>)</w:t>
      </w:r>
      <w:proofErr w:type="gramEnd"/>
      <w:r w:rsidRPr="00E9044D">
        <w:t xml:space="preserve"> and </w:t>
      </w:r>
      <w:proofErr w:type="spellStart"/>
      <w:r w:rsidRPr="00E9044D">
        <w:t>tetrahedrally</w:t>
      </w:r>
      <w:proofErr w:type="spellEnd"/>
      <w:r w:rsidRPr="00E9044D">
        <w:t xml:space="preserve"> coordinated silicon Si ([SiO</w:t>
      </w:r>
      <w:r w:rsidRPr="00BE0DF4">
        <w:rPr>
          <w:vertAlign w:val="subscript"/>
        </w:rPr>
        <w:t>4</w:t>
      </w:r>
      <w:r w:rsidRPr="00E9044D">
        <w:t xml:space="preserve">]0) units that interconnect through oxygen bridges as </w:t>
      </w:r>
      <w:proofErr w:type="spellStart"/>
      <w:r w:rsidRPr="00E9044D">
        <w:t>Zr</w:t>
      </w:r>
      <w:proofErr w:type="spellEnd"/>
      <w:r w:rsidRPr="00E9044D">
        <w:t>-O-Si and Si-O-Si.</w:t>
      </w:r>
      <w:r w:rsidR="00BE0DF4">
        <w:t xml:space="preserve"> </w:t>
      </w:r>
      <w:r w:rsidRPr="00E9044D">
        <w:t>The two types of units are observed in a ratio of 1:3, respectively, and</w:t>
      </w:r>
      <w:r w:rsidR="00BE0DF4">
        <w:t xml:space="preserve"> repeat orderly to form a three </w:t>
      </w:r>
      <w:r w:rsidRPr="00E9044D">
        <w:t>dimensional framework characteristic of the compound.</w:t>
      </w:r>
      <w:r w:rsidR="00BE0DF4">
        <w:t xml:space="preserve"> </w:t>
      </w:r>
      <w:r w:rsidRPr="00E9044D">
        <w:t xml:space="preserve">The framework acquires its </w:t>
      </w:r>
      <w:r w:rsidRPr="00E9044D">
        <w:lastRenderedPageBreak/>
        <w:t>negative charge from the octahedral fractions, [ZrO</w:t>
      </w:r>
      <w:r w:rsidRPr="00BE0DF4">
        <w:rPr>
          <w:vertAlign w:val="subscript"/>
        </w:rPr>
        <w:t>6</w:t>
      </w:r>
      <w:r w:rsidRPr="00E9044D">
        <w:t>]</w:t>
      </w:r>
      <w:r w:rsidRPr="00BE0DF4">
        <w:rPr>
          <w:vertAlign w:val="superscript"/>
        </w:rPr>
        <w:t>2-</w:t>
      </w:r>
      <w:r w:rsidRPr="00E9044D">
        <w:t xml:space="preserve"> and features channels and cavities that interconnect and locate the positive ions (sodium, </w:t>
      </w:r>
      <w:r w:rsidR="00BE0DF4" w:rsidRPr="00E9044D">
        <w:t>Na</w:t>
      </w:r>
      <w:r w:rsidR="00BE0DF4" w:rsidRPr="00BE0DF4">
        <w:rPr>
          <w:vertAlign w:val="superscript"/>
        </w:rPr>
        <w:t>+</w:t>
      </w:r>
      <w:r w:rsidRPr="00E9044D">
        <w:t xml:space="preserve">, and hydrogen, </w:t>
      </w:r>
      <w:r w:rsidR="00BE0DF4" w:rsidRPr="00E9044D">
        <w:t>H</w:t>
      </w:r>
      <w:r w:rsidR="00BE0DF4" w:rsidRPr="00BE0DF4">
        <w:rPr>
          <w:vertAlign w:val="superscript"/>
        </w:rPr>
        <w:t>+</w:t>
      </w:r>
      <w:r w:rsidR="00BE0DF4">
        <w:t xml:space="preserve">) that counter </w:t>
      </w:r>
      <w:r w:rsidRPr="00E9044D">
        <w:t>balance the negative charge of the framework.</w:t>
      </w:r>
    </w:p>
    <w:p w14:paraId="5F7A869A" w14:textId="21BB9E33" w:rsidR="00E9044D" w:rsidRPr="00E9044D" w:rsidRDefault="00E9044D" w:rsidP="00E9044D">
      <w:r w:rsidRPr="00E9044D">
        <w:t xml:space="preserve">The manufacturing process is tightly controlled in terms of order of addition of starting material, reaction and crystallisation temperatures, mixing speeds and times, and minimum number of rinses, in order to meet expected yields of the drug substance of an expected quality. </w:t>
      </w:r>
      <w:r w:rsidR="00183892">
        <w:t>In process quality control tests [information redacted]</w:t>
      </w:r>
      <w:r w:rsidR="00AD68DB">
        <w:t xml:space="preserve"> </w:t>
      </w:r>
      <w:r w:rsidR="00183892">
        <w:t>are applied during the manufacturing process to ensure the formation of the correct crystalline structure and batch to batch consistency.</w:t>
      </w:r>
    </w:p>
    <w:p w14:paraId="7A8AA512" w14:textId="77777777" w:rsidR="00E9044D" w:rsidRPr="00E9044D" w:rsidRDefault="00E9044D" w:rsidP="00E9044D">
      <w:r w:rsidRPr="00E9044D">
        <w:t>Sodium zirconium cyclosilicate hydrate is completely insoluble.</w:t>
      </w:r>
    </w:p>
    <w:p w14:paraId="33EBAFA8" w14:textId="77777777" w:rsidR="00E9044D" w:rsidRPr="00E9044D" w:rsidRDefault="00E9044D" w:rsidP="00E9044D">
      <w:r w:rsidRPr="00E9044D">
        <w:t>The drug substance forms part of a family of zirconium silicates that have specific ion exchange properties.</w:t>
      </w:r>
      <w:r w:rsidR="00BE0DF4">
        <w:t xml:space="preserve"> </w:t>
      </w:r>
      <w:r w:rsidRPr="00E9044D">
        <w:t>Its mechanism of action is based on the cations within its porous crystalline structure, and their ability to freely exchange with a select group of monovalent cations, most specifically the potassium (</w:t>
      </w:r>
      <w:r w:rsidR="00886664" w:rsidRPr="00E9044D">
        <w:t>K</w:t>
      </w:r>
      <w:r w:rsidR="00886664" w:rsidRPr="00886664">
        <w:rPr>
          <w:vertAlign w:val="superscript"/>
        </w:rPr>
        <w:t>+</w:t>
      </w:r>
      <w:r w:rsidRPr="00E9044D">
        <w:t>) and ammonium (</w:t>
      </w:r>
      <w:r w:rsidR="00886664" w:rsidRPr="00E9044D">
        <w:t>NH</w:t>
      </w:r>
      <w:r w:rsidR="00886664" w:rsidRPr="00886664">
        <w:rPr>
          <w:vertAlign w:val="superscript"/>
        </w:rPr>
        <w:t>4+</w:t>
      </w:r>
      <w:r w:rsidRPr="00E9044D">
        <w:t>) cations.</w:t>
      </w:r>
      <w:r w:rsidR="00BE0DF4">
        <w:t xml:space="preserve"> </w:t>
      </w:r>
      <w:r w:rsidRPr="00E9044D">
        <w:t>The pore size within the three dimensional crystalline structure has been measured at ~3Å (2.4 x 3.5 Å</w:t>
      </w:r>
      <w:r w:rsidRPr="00BE0DF4">
        <w:rPr>
          <w:vertAlign w:val="superscript"/>
        </w:rPr>
        <w:footnoteReference w:id="2"/>
      </w:r>
      <w:r w:rsidRPr="00E9044D">
        <w:t>), which is sufficiently wide enough to trap the potassium monovalent cations which have an approximate ionic diameter of 2.98Å.</w:t>
      </w:r>
    </w:p>
    <w:p w14:paraId="73BE8D48" w14:textId="35B0C7D2" w:rsidR="00E9044D" w:rsidRPr="00E9044D" w:rsidRDefault="00E9044D" w:rsidP="00E9044D">
      <w:r w:rsidRPr="00E9044D">
        <w:t>The particle size of the drug substance is controlled to maintain a non-systemic mode of action.</w:t>
      </w:r>
      <w:r w:rsidR="00BE0DF4">
        <w:t xml:space="preserve"> </w:t>
      </w:r>
      <w:r w:rsidRPr="00E9044D">
        <w:t xml:space="preserve">The </w:t>
      </w:r>
      <w:r w:rsidR="00E557DC">
        <w:t>sponsor</w:t>
      </w:r>
      <w:r w:rsidRPr="00E9044D">
        <w:t xml:space="preserve"> adequately justified not routinely controlling the size of larger particles in the drug substance as differences in particle size were show</w:t>
      </w:r>
      <w:r w:rsidR="00346F74">
        <w:t>n</w:t>
      </w:r>
      <w:r w:rsidRPr="00E9044D">
        <w:t xml:space="preserve"> to not affect performance as measured by potassium ion exchange capacity (KEC), and there was no correlation between KEC and D90 for clinical lots manufactured.</w:t>
      </w:r>
    </w:p>
    <w:p w14:paraId="703EE768" w14:textId="77777777" w:rsidR="00E9044D" w:rsidRPr="00E9044D" w:rsidRDefault="00E9044D" w:rsidP="00E9044D">
      <w:r w:rsidRPr="00E9044D">
        <w:t xml:space="preserve">There are two alternate zirconium silicate crystalline phases which may be formed in the reaction process; Crystalline Phase </w:t>
      </w:r>
      <w:proofErr w:type="gramStart"/>
      <w:r w:rsidRPr="00E9044D">
        <w:t>A</w:t>
      </w:r>
      <w:proofErr w:type="gramEnd"/>
      <w:r w:rsidRPr="00E9044D">
        <w:t xml:space="preserve"> (CPA) and Crystalline Phase B (CPB).</w:t>
      </w:r>
      <w:r w:rsidR="00BE0DF4">
        <w:t xml:space="preserve"> </w:t>
      </w:r>
      <w:r w:rsidRPr="00E9044D">
        <w:t xml:space="preserve">These layered, two-dimensional structures also exhibit ion exchange properties, although their ion selectivity is less specific for the potassium </w:t>
      </w:r>
      <w:r w:rsidR="00886664" w:rsidRPr="00E9044D">
        <w:t>K</w:t>
      </w:r>
      <w:r w:rsidR="00886664" w:rsidRPr="00886664">
        <w:rPr>
          <w:vertAlign w:val="superscript"/>
        </w:rPr>
        <w:t>+</w:t>
      </w:r>
      <w:r w:rsidRPr="00E9044D">
        <w:t xml:space="preserve"> cations compared to the desired drug substance. PXRD techniques are used to differentiate between the desired drug substance and levels of CPA and CPB.</w:t>
      </w:r>
      <w:r w:rsidR="00BE0DF4">
        <w:t xml:space="preserve"> </w:t>
      </w:r>
      <w:r w:rsidRPr="00E9044D">
        <w:t>Appropriate limits are applied in the drug substance specification to limit the content of these crystalline phases in the drug substance/drug product.</w:t>
      </w:r>
    </w:p>
    <w:p w14:paraId="3840827C" w14:textId="294BFC0B" w:rsidR="00886664" w:rsidRDefault="00E9044D" w:rsidP="00E9044D">
      <w:r w:rsidRPr="00E9044D">
        <w:t>The quality of the drug substance is controlled by an acceptable specification that includes test and limits for Appearance, Identificati</w:t>
      </w:r>
      <w:r w:rsidR="00886664">
        <w:t xml:space="preserve">on (by FTIR and PXRD), KEC </w:t>
      </w:r>
      <w:r w:rsidRPr="00E9044D">
        <w:t xml:space="preserve">, Crystalline Phase A , Crystalline Phase B </w:t>
      </w:r>
      <w:r w:rsidR="00886664">
        <w:t xml:space="preserve">, Zirconium content , Silicon content , Hafnium content </w:t>
      </w:r>
      <w:r w:rsidRPr="00E9044D">
        <w:t>, Moisture content , Particle Size , and Elemental Impurities</w:t>
      </w:r>
      <w:r w:rsidR="00886664">
        <w:t>.</w:t>
      </w:r>
    </w:p>
    <w:p w14:paraId="1DDA92B6" w14:textId="765E8FBD" w:rsidR="008E7846" w:rsidRDefault="00E9044D" w:rsidP="00940A89">
      <w:r w:rsidRPr="00E9044D">
        <w:t>Impurity levels of fifteen elements are routinely controlled at limits which have been found to be toxicologically acceptable</w:t>
      </w:r>
      <w:r w:rsidR="00D76E01">
        <w:t xml:space="preserve"> </w:t>
      </w:r>
      <w:r w:rsidR="002E11E7">
        <w:t>[information redacted]</w:t>
      </w:r>
      <w:r w:rsidRPr="00E9044D">
        <w:t>.</w:t>
      </w:r>
    </w:p>
    <w:p w14:paraId="653B046A" w14:textId="77777777" w:rsidR="008E7846" w:rsidRDefault="008E7846" w:rsidP="008E7846">
      <w:pPr>
        <w:pStyle w:val="Heading3"/>
      </w:pPr>
      <w:bookmarkStart w:id="32" w:name="_Toc247691508"/>
      <w:bookmarkStart w:id="33" w:name="_Toc314842490"/>
      <w:bookmarkStart w:id="34" w:name="_Toc505252921"/>
      <w:r w:rsidRPr="008751DC">
        <w:t xml:space="preserve">Drug </w:t>
      </w:r>
      <w:r>
        <w:t>p</w:t>
      </w:r>
      <w:r w:rsidRPr="008751DC">
        <w:t>roduct</w:t>
      </w:r>
      <w:bookmarkEnd w:id="32"/>
      <w:bookmarkEnd w:id="33"/>
      <w:bookmarkEnd w:id="34"/>
    </w:p>
    <w:p w14:paraId="24254E78" w14:textId="13E08617" w:rsidR="00E9044D" w:rsidRPr="00E9044D" w:rsidRDefault="00E9044D" w:rsidP="00E9044D">
      <w:r w:rsidRPr="00E9044D">
        <w:t>The drug product formulation is the neat (100%) sodium zirconium cyclosilicate hydrate with no excipients used.</w:t>
      </w:r>
      <w:r w:rsidR="00BE0DF4">
        <w:t xml:space="preserve"> </w:t>
      </w:r>
      <w:r w:rsidRPr="00E9044D">
        <w:t xml:space="preserve">Two dose strengths are proposed </w:t>
      </w:r>
      <w:r w:rsidR="00BE0DF4">
        <w:t>that is</w:t>
      </w:r>
      <w:r w:rsidR="00361572">
        <w:t xml:space="preserve"> </w:t>
      </w:r>
      <w:r w:rsidRPr="00E9044D">
        <w:t>5 g and 10 g.</w:t>
      </w:r>
      <w:r w:rsidR="00BE0DF4">
        <w:t xml:space="preserve"> </w:t>
      </w:r>
      <w:r w:rsidRPr="00E9044D">
        <w:t xml:space="preserve">The drug product is intended </w:t>
      </w:r>
      <w:r w:rsidR="00361572">
        <w:t xml:space="preserve">to </w:t>
      </w:r>
      <w:r w:rsidRPr="00E9044D">
        <w:t>be packaged into high barrier PET/LDPE/LLDPE/aluminium foil laminate sachets with pack sizes of 3 sachets (sample pack) and 30 sachets per cardboard carton proposed for registration.</w:t>
      </w:r>
    </w:p>
    <w:p w14:paraId="46402404" w14:textId="77777777" w:rsidR="00E9044D" w:rsidRPr="00E9044D" w:rsidRDefault="00E9044D" w:rsidP="00E9044D">
      <w:r w:rsidRPr="00E9044D">
        <w:t>A study was conducted to investigate the ion exchange capacity and selectivity of sodium zirconium cyclosilicate hydrate in the presence of potassium (</w:t>
      </w:r>
      <w:r w:rsidR="00886664" w:rsidRPr="00E9044D">
        <w:t>K</w:t>
      </w:r>
      <w:r w:rsidR="00886664" w:rsidRPr="00886664">
        <w:rPr>
          <w:vertAlign w:val="superscript"/>
        </w:rPr>
        <w:t>+</w:t>
      </w:r>
      <w:r w:rsidRPr="00E9044D">
        <w:t>), ammonium (</w:t>
      </w:r>
      <w:r w:rsidR="00886664" w:rsidRPr="00E9044D">
        <w:t>NH</w:t>
      </w:r>
      <w:r w:rsidR="00886664" w:rsidRPr="00886664">
        <w:rPr>
          <w:vertAlign w:val="superscript"/>
        </w:rPr>
        <w:t>4+</w:t>
      </w:r>
      <w:r w:rsidRPr="00E9044D">
        <w:t>), calcium (</w:t>
      </w:r>
      <w:r w:rsidR="00886664" w:rsidRPr="00E9044D">
        <w:t>Ca</w:t>
      </w:r>
      <w:r w:rsidR="00886664" w:rsidRPr="00886664">
        <w:rPr>
          <w:vertAlign w:val="superscript"/>
        </w:rPr>
        <w:t>2+</w:t>
      </w:r>
      <w:r w:rsidRPr="00E9044D">
        <w:t>), and magnesium (</w:t>
      </w:r>
      <w:r w:rsidR="00886664" w:rsidRPr="00E9044D">
        <w:t>Mg</w:t>
      </w:r>
      <w:r w:rsidR="00886664" w:rsidRPr="00886664">
        <w:rPr>
          <w:vertAlign w:val="superscript"/>
        </w:rPr>
        <w:t>2+</w:t>
      </w:r>
      <w:r w:rsidRPr="00E9044D">
        <w:t>) cations, either alone or in combination. At individual ion ratios of 1:1, the drug substance was shown to be 1.25</w:t>
      </w:r>
      <w:r w:rsidR="00886664">
        <w:t xml:space="preserve"> fold </w:t>
      </w:r>
      <w:r w:rsidRPr="00E9044D">
        <w:t>and 15</w:t>
      </w:r>
      <w:r w:rsidR="00886664">
        <w:t xml:space="preserve"> fold </w:t>
      </w:r>
      <w:r w:rsidRPr="00E9044D">
        <w:t xml:space="preserve">more </w:t>
      </w:r>
      <w:r w:rsidRPr="00E9044D">
        <w:lastRenderedPageBreak/>
        <w:t xml:space="preserve">selective for </w:t>
      </w:r>
      <w:r w:rsidR="00886664" w:rsidRPr="00E9044D">
        <w:t>K</w:t>
      </w:r>
      <w:r w:rsidR="00886664" w:rsidRPr="00886664">
        <w:rPr>
          <w:vertAlign w:val="superscript"/>
        </w:rPr>
        <w:t>+</w:t>
      </w:r>
      <w:r w:rsidRPr="00E9044D">
        <w:t xml:space="preserve"> than for </w:t>
      </w:r>
      <w:r w:rsidR="00886664" w:rsidRPr="00E9044D">
        <w:t>NH</w:t>
      </w:r>
      <w:r w:rsidR="00886664" w:rsidRPr="00886664">
        <w:rPr>
          <w:vertAlign w:val="superscript"/>
        </w:rPr>
        <w:t>4+</w:t>
      </w:r>
      <w:r w:rsidRPr="00E9044D">
        <w:t xml:space="preserve"> and </w:t>
      </w:r>
      <w:r w:rsidR="00886664" w:rsidRPr="00E9044D">
        <w:t>Ca</w:t>
      </w:r>
      <w:r w:rsidR="00886664" w:rsidRPr="00886664">
        <w:rPr>
          <w:vertAlign w:val="superscript"/>
        </w:rPr>
        <w:t>2+</w:t>
      </w:r>
      <w:r w:rsidRPr="00E9044D">
        <w:t xml:space="preserve"> respectively, with no uptake of </w:t>
      </w:r>
      <w:r w:rsidR="00886664" w:rsidRPr="00E9044D">
        <w:t>Mg</w:t>
      </w:r>
      <w:r w:rsidR="00886664" w:rsidRPr="00886664">
        <w:rPr>
          <w:vertAlign w:val="superscript"/>
        </w:rPr>
        <w:t>2+</w:t>
      </w:r>
      <w:r w:rsidRPr="00E9044D">
        <w:t xml:space="preserve"> detected.</w:t>
      </w:r>
      <w:r w:rsidR="00BE0DF4">
        <w:t xml:space="preserve"> </w:t>
      </w:r>
      <w:r w:rsidRPr="00E9044D">
        <w:t xml:space="preserve">When all four ions were present in equal concentrations, the drug substance was shown to have an equal affinity for </w:t>
      </w:r>
      <w:r w:rsidR="00886664" w:rsidRPr="00E9044D">
        <w:t>K</w:t>
      </w:r>
      <w:r w:rsidR="00886664" w:rsidRPr="00886664">
        <w:rPr>
          <w:vertAlign w:val="superscript"/>
        </w:rPr>
        <w:t>+</w:t>
      </w:r>
      <w:r w:rsidRPr="00E9044D">
        <w:t xml:space="preserve"> and </w:t>
      </w:r>
      <w:r w:rsidR="00886664" w:rsidRPr="00E9044D">
        <w:t>NH</w:t>
      </w:r>
      <w:r w:rsidR="00886664" w:rsidRPr="00886664">
        <w:rPr>
          <w:vertAlign w:val="superscript"/>
        </w:rPr>
        <w:t>4+</w:t>
      </w:r>
      <w:r w:rsidRPr="00E9044D">
        <w:t xml:space="preserve"> ions, and to be </w:t>
      </w:r>
      <w:r w:rsidR="00886664">
        <w:t xml:space="preserve">approximately </w:t>
      </w:r>
      <w:r w:rsidRPr="00E9044D">
        <w:t>54</w:t>
      </w:r>
      <w:r w:rsidR="00886664">
        <w:t xml:space="preserve"> fold </w:t>
      </w:r>
      <w:r w:rsidRPr="00E9044D">
        <w:t>and 172</w:t>
      </w:r>
      <w:r w:rsidR="00886664">
        <w:t xml:space="preserve"> fold </w:t>
      </w:r>
      <w:r w:rsidRPr="00E9044D">
        <w:t xml:space="preserve">more selective for </w:t>
      </w:r>
      <w:r w:rsidR="00886664" w:rsidRPr="00E9044D">
        <w:t>K</w:t>
      </w:r>
      <w:r w:rsidR="00886664" w:rsidRPr="00886664">
        <w:rPr>
          <w:vertAlign w:val="superscript"/>
        </w:rPr>
        <w:t>+</w:t>
      </w:r>
      <w:r w:rsidRPr="00E9044D">
        <w:t xml:space="preserve"> over </w:t>
      </w:r>
      <w:r w:rsidR="00886664" w:rsidRPr="00E9044D">
        <w:t>Ca</w:t>
      </w:r>
      <w:r w:rsidR="00886664" w:rsidRPr="00886664">
        <w:rPr>
          <w:vertAlign w:val="superscript"/>
        </w:rPr>
        <w:t>2+</w:t>
      </w:r>
      <w:r w:rsidRPr="00E9044D">
        <w:t xml:space="preserve"> and </w:t>
      </w:r>
      <w:r w:rsidR="00886664" w:rsidRPr="00E9044D">
        <w:t>Mg</w:t>
      </w:r>
      <w:r w:rsidR="00886664" w:rsidRPr="00886664">
        <w:rPr>
          <w:vertAlign w:val="superscript"/>
        </w:rPr>
        <w:t>2+</w:t>
      </w:r>
      <w:r w:rsidRPr="00E9044D">
        <w:t>, respectively.</w:t>
      </w:r>
    </w:p>
    <w:p w14:paraId="25B27FCD" w14:textId="1D73A29E" w:rsidR="00E9044D" w:rsidRPr="00886664" w:rsidRDefault="00E9044D" w:rsidP="00E9044D">
      <w:r w:rsidRPr="00E9044D">
        <w:t>The quality of the drug product is controlled by an acceptable specification that includes tests and limits for Appearance, Identification (by FTIR and PXRD), Potassium Exchange Capacity (KEC), Crystalline Phase A, Crystalline Phase B, Zirconium content, Silicon content, Sodium content, Hafnium content, Moisture content, Particle size, and Average Delivered Weight.</w:t>
      </w:r>
      <w:r w:rsidR="00D76E01">
        <w:t xml:space="preserve"> </w:t>
      </w:r>
      <w:r w:rsidR="00183892">
        <w:t xml:space="preserve">The potassium ion exchange </w:t>
      </w:r>
      <w:r w:rsidR="002E11E7">
        <w:t>capacity (KEC) is controlled to [information redacted].</w:t>
      </w:r>
      <w:r w:rsidR="00BE0DF4">
        <w:t xml:space="preserve"> </w:t>
      </w:r>
      <w:r w:rsidRPr="00E9044D">
        <w:t xml:space="preserve">The </w:t>
      </w:r>
      <w:r w:rsidR="00E557DC">
        <w:t>sponsor</w:t>
      </w:r>
      <w:r w:rsidRPr="00E9044D">
        <w:t xml:space="preserve"> </w:t>
      </w:r>
      <w:r w:rsidR="00886664">
        <w:t>was</w:t>
      </w:r>
      <w:r w:rsidRPr="00E9044D">
        <w:t xml:space="preserve"> requested to include a microbial purity test and acceptance criteria </w:t>
      </w:r>
      <w:r w:rsidR="00886664">
        <w:t>to demonstrate compliance with Therapeutic Goods Order (</w:t>
      </w:r>
      <w:r w:rsidRPr="00E9044D">
        <w:t>TGO</w:t>
      </w:r>
      <w:r w:rsidR="00886664">
        <w:t>) 77. T</w:t>
      </w:r>
      <w:r w:rsidRPr="00E9044D">
        <w:t xml:space="preserve">his matter </w:t>
      </w:r>
      <w:r w:rsidR="00886664">
        <w:t>was</w:t>
      </w:r>
      <w:r w:rsidRPr="00E9044D">
        <w:t xml:space="preserve"> resolved </w:t>
      </w:r>
      <w:r w:rsidRPr="00886664">
        <w:t>quickly.</w:t>
      </w:r>
      <w:r w:rsidR="00BE0DF4" w:rsidRPr="00886664">
        <w:t xml:space="preserve"> </w:t>
      </w:r>
      <w:r w:rsidRPr="00886664">
        <w:t xml:space="preserve">The drug product specifications </w:t>
      </w:r>
      <w:r w:rsidR="00886664" w:rsidRPr="00886664">
        <w:t>were</w:t>
      </w:r>
      <w:r w:rsidRPr="00886664">
        <w:t xml:space="preserve"> finalised </w:t>
      </w:r>
      <w:r w:rsidR="00886664" w:rsidRPr="00886664">
        <w:t>to the satisfaction of the TGA (</w:t>
      </w:r>
      <w:r w:rsidRPr="00886664">
        <w:t>25th October 2016</w:t>
      </w:r>
      <w:r w:rsidR="00886664" w:rsidRPr="00886664">
        <w:t>)</w:t>
      </w:r>
      <w:r w:rsidRPr="00886664">
        <w:t>.</w:t>
      </w:r>
    </w:p>
    <w:p w14:paraId="4BDDA6DA" w14:textId="77777777" w:rsidR="00E9044D" w:rsidRPr="00E9044D" w:rsidRDefault="00E9044D" w:rsidP="00E9044D">
      <w:r w:rsidRPr="00E9044D">
        <w:t>The analytical methods used to analyse the product were adequately described and validated.</w:t>
      </w:r>
    </w:p>
    <w:p w14:paraId="1156C8B3" w14:textId="77777777" w:rsidR="00E9044D" w:rsidRPr="00E9044D" w:rsidRDefault="00E9044D" w:rsidP="00E9044D">
      <w:r w:rsidRPr="00E9044D">
        <w:t>The stability data supplied supported a shelf life of 24 m</w:t>
      </w:r>
      <w:r w:rsidR="00886664">
        <w:t xml:space="preserve">onths for the unopened product </w:t>
      </w:r>
      <w:r w:rsidRPr="00E9044D">
        <w:t>in PET/LDPE/LLDPE/aluminium foil laminate sachets when stored below 30°C.</w:t>
      </w:r>
    </w:p>
    <w:p w14:paraId="495E23CA" w14:textId="0937B94C" w:rsidR="00E9044D" w:rsidRPr="00E9044D" w:rsidRDefault="00E9044D" w:rsidP="00E9044D">
      <w:r w:rsidRPr="00E9044D">
        <w:t xml:space="preserve">GMP Clearances have not yet been granted for the majority of the proposed manufacturers, including the API manufacturing and drug product testing and release site located at </w:t>
      </w:r>
      <w:r w:rsidR="0047313A">
        <w:t>[information redacted]</w:t>
      </w:r>
      <w:r w:rsidRPr="00E9044D">
        <w:t>.</w:t>
      </w:r>
    </w:p>
    <w:p w14:paraId="3B8FCF08" w14:textId="77777777" w:rsidR="008E7846" w:rsidRDefault="008E7846" w:rsidP="008E7846">
      <w:pPr>
        <w:pStyle w:val="Heading3"/>
      </w:pPr>
      <w:bookmarkStart w:id="35" w:name="_Toc314842491"/>
      <w:bookmarkStart w:id="36" w:name="_Toc505252922"/>
      <w:r>
        <w:t>Biopharmaceutics</w:t>
      </w:r>
      <w:bookmarkEnd w:id="35"/>
      <w:bookmarkEnd w:id="36"/>
    </w:p>
    <w:p w14:paraId="170626CC" w14:textId="77777777" w:rsidR="00E9044D" w:rsidRPr="00E9044D" w:rsidRDefault="00E9044D" w:rsidP="00E9044D">
      <w:bookmarkStart w:id="37" w:name="_Toc314842492"/>
      <w:r w:rsidRPr="00E9044D">
        <w:t>Sodium zirconium cyclosilicate hydrate is an inorganic, insoluble compound that is not subject to enzymatic metabolism.</w:t>
      </w:r>
      <w:r w:rsidR="00BE0DF4">
        <w:t xml:space="preserve"> </w:t>
      </w:r>
      <w:r w:rsidRPr="00E9044D">
        <w:t>Clinical studies have shown it not to be systemically absorbed and therefore, biopharmaceutic studies are therefore not applicable.</w:t>
      </w:r>
    </w:p>
    <w:p w14:paraId="620B1F1F" w14:textId="77777777" w:rsidR="00E9044D" w:rsidRPr="00E9044D" w:rsidRDefault="00E9044D" w:rsidP="00E9044D">
      <w:r w:rsidRPr="00E9044D">
        <w:t xml:space="preserve">Drug product used in the pivotal </w:t>
      </w:r>
      <w:r w:rsidR="00886664">
        <w:t>Phase</w:t>
      </w:r>
      <w:r w:rsidRPr="00E9044D">
        <w:t xml:space="preserve"> III studies (ZS-003 and ZS-004) is the same as proposed for marketing.</w:t>
      </w:r>
    </w:p>
    <w:p w14:paraId="5FB5DF3F" w14:textId="77777777" w:rsidR="008E7846" w:rsidRPr="008751DC" w:rsidRDefault="008E7846" w:rsidP="008E7846">
      <w:pPr>
        <w:pStyle w:val="Heading3"/>
      </w:pPr>
      <w:bookmarkStart w:id="38" w:name="_Toc247691509"/>
      <w:bookmarkStart w:id="39" w:name="_Toc314842493"/>
      <w:bookmarkStart w:id="40" w:name="_Toc505252923"/>
      <w:bookmarkEnd w:id="37"/>
      <w:r>
        <w:t>Quality s</w:t>
      </w:r>
      <w:r w:rsidRPr="008751DC">
        <w:t>ummary</w:t>
      </w:r>
      <w:r>
        <w:t xml:space="preserve"> and conclusions</w:t>
      </w:r>
      <w:bookmarkEnd w:id="38"/>
      <w:bookmarkEnd w:id="39"/>
      <w:bookmarkEnd w:id="40"/>
    </w:p>
    <w:p w14:paraId="5F425ECF" w14:textId="77777777" w:rsidR="00E9044D" w:rsidRPr="00E9044D" w:rsidRDefault="00E9044D" w:rsidP="00E9044D">
      <w:r w:rsidRPr="00E9044D">
        <w:t>Approval is recommended from a pharmaceutical chemistry and quality control aspect.</w:t>
      </w:r>
    </w:p>
    <w:p w14:paraId="103C0CC2" w14:textId="77777777" w:rsidR="00E9044D" w:rsidRPr="00E9044D" w:rsidRDefault="00E9044D" w:rsidP="00E9044D">
      <w:r w:rsidRPr="00E9044D">
        <w:t>However there are outstanding GMP issues related to most of the proposed manufacturing and testing sites, the most critical of which is highlighted below.</w:t>
      </w:r>
    </w:p>
    <w:p w14:paraId="6AC234FB" w14:textId="77777777" w:rsidR="00886664" w:rsidRDefault="00E9044D" w:rsidP="00E9044D">
      <w:pPr>
        <w:pStyle w:val="Numberbullet0"/>
      </w:pPr>
      <w:r w:rsidRPr="00E9044D">
        <w:t xml:space="preserve">There is an outstanding issue which relates to the acceptability of the GMP clearance for the sodium zirconium cyclosilicate hydrate API manufacturing and drug product testing site </w:t>
      </w:r>
      <w:r w:rsidR="00E557DC">
        <w:t>[information redacted]</w:t>
      </w:r>
      <w:r w:rsidR="00886664">
        <w:t>.</w:t>
      </w:r>
    </w:p>
    <w:p w14:paraId="37777E77" w14:textId="77777777" w:rsidR="00E9044D" w:rsidRPr="00E9044D" w:rsidRDefault="00E9044D" w:rsidP="00E9044D">
      <w:r w:rsidRPr="00E9044D">
        <w:t>Updated information was provided in the</w:t>
      </w:r>
      <w:r w:rsidR="00BE0DF4">
        <w:t xml:space="preserve"> </w:t>
      </w:r>
      <w:r w:rsidR="00E557DC">
        <w:t>sponsor</w:t>
      </w:r>
      <w:r w:rsidRPr="00E9044D">
        <w:t xml:space="preserve">’s response to the </w:t>
      </w:r>
      <w:r w:rsidR="00E557DC">
        <w:t>second round quality</w:t>
      </w:r>
      <w:r w:rsidRPr="00E9044D">
        <w:t xml:space="preserve"> </w:t>
      </w:r>
      <w:r w:rsidR="00E557DC" w:rsidRPr="00E9044D">
        <w:t>report;</w:t>
      </w:r>
      <w:r w:rsidRPr="00E9044D">
        <w:t xml:space="preserve"> however, it is unlikely that evidence of GMP will be provided for this critical site prior to the </w:t>
      </w:r>
      <w:r w:rsidR="00E557DC" w:rsidRPr="00E9044D">
        <w:t>decision d</w:t>
      </w:r>
      <w:r w:rsidRPr="00E9044D">
        <w:t>ate for the submission.</w:t>
      </w:r>
    </w:p>
    <w:p w14:paraId="7E3B69AD" w14:textId="77777777" w:rsidR="008E7846" w:rsidRDefault="00E9044D" w:rsidP="008E7846">
      <w:r w:rsidRPr="00E9044D">
        <w:t>The application has not been considered by the Pharmaceutical Sub-Committee of the ACPM because no issues requiring their expertise were identified during the chemistry and quality evaluation.</w:t>
      </w:r>
    </w:p>
    <w:p w14:paraId="485218DE" w14:textId="77777777" w:rsidR="008E7846" w:rsidRDefault="008E7846" w:rsidP="008E7846">
      <w:pPr>
        <w:pStyle w:val="Heading2"/>
      </w:pPr>
      <w:bookmarkStart w:id="41" w:name="_Toc196046439"/>
      <w:bookmarkStart w:id="42" w:name="_Toc247691510"/>
      <w:bookmarkStart w:id="43" w:name="_Toc314842494"/>
      <w:bookmarkStart w:id="44" w:name="_Toc505252924"/>
      <w:r>
        <w:lastRenderedPageBreak/>
        <w:t>III. Nonclinical</w:t>
      </w:r>
      <w:bookmarkEnd w:id="41"/>
      <w:r>
        <w:t xml:space="preserve"> findings</w:t>
      </w:r>
      <w:bookmarkEnd w:id="42"/>
      <w:bookmarkEnd w:id="43"/>
      <w:bookmarkEnd w:id="44"/>
    </w:p>
    <w:p w14:paraId="1090E2C7" w14:textId="77777777" w:rsidR="008E7846" w:rsidRDefault="008E7846" w:rsidP="00940A89">
      <w:pPr>
        <w:pStyle w:val="Heading3"/>
      </w:pPr>
      <w:bookmarkStart w:id="45" w:name="_Toc247691511"/>
      <w:bookmarkStart w:id="46" w:name="_Toc314842495"/>
      <w:bookmarkStart w:id="47" w:name="_Toc505252925"/>
      <w:r>
        <w:t>Introduction</w:t>
      </w:r>
      <w:bookmarkEnd w:id="45"/>
      <w:bookmarkEnd w:id="46"/>
      <w:bookmarkEnd w:id="47"/>
    </w:p>
    <w:p w14:paraId="2158B5E0" w14:textId="77777777" w:rsidR="00E54E4F" w:rsidRPr="00E54E4F" w:rsidRDefault="00E54E4F" w:rsidP="00E54E4F">
      <w:r w:rsidRPr="00E54E4F">
        <w:t>The proposed dosing regimen involves initial oral administration as a slurry/suspension in water at up to 10 g three times a days for a maximum of 3 days to achieve normokalaemia, and then between 5 g once every other day and up to 10 g once daily for maintenance therapy.</w:t>
      </w:r>
    </w:p>
    <w:p w14:paraId="63461416" w14:textId="77777777" w:rsidR="004334C7" w:rsidRPr="004334C7" w:rsidRDefault="00E557DC" w:rsidP="004334C7">
      <w:r>
        <w:t>The nonclinical module</w:t>
      </w:r>
      <w:r w:rsidR="00E54E4F" w:rsidRPr="00E54E4F">
        <w:t xml:space="preserve"> was of high quality, with all pivotal safety-related studies conducted according to </w:t>
      </w:r>
      <w:r w:rsidR="0047313A">
        <w:t>good laboratory practice (</w:t>
      </w:r>
      <w:r w:rsidR="00E54E4F" w:rsidRPr="00E54E4F">
        <w:t>GLP</w:t>
      </w:r>
      <w:r w:rsidR="0047313A">
        <w:t>)</w:t>
      </w:r>
      <w:r w:rsidR="00E54E4F" w:rsidRPr="00E54E4F">
        <w:t xml:space="preserve"> conditions.</w:t>
      </w:r>
    </w:p>
    <w:p w14:paraId="127D754C" w14:textId="77777777" w:rsidR="008E7846" w:rsidRDefault="008E7846" w:rsidP="008E7846">
      <w:pPr>
        <w:pStyle w:val="Heading3"/>
      </w:pPr>
      <w:bookmarkStart w:id="48" w:name="_Toc247691512"/>
      <w:bookmarkStart w:id="49" w:name="_Toc314842496"/>
      <w:bookmarkStart w:id="50" w:name="_Toc505252926"/>
      <w:r w:rsidRPr="00020030">
        <w:t>Pharmacology</w:t>
      </w:r>
      <w:bookmarkEnd w:id="48"/>
      <w:bookmarkEnd w:id="49"/>
      <w:bookmarkEnd w:id="50"/>
    </w:p>
    <w:p w14:paraId="7209AE43" w14:textId="77777777" w:rsidR="00E54E4F" w:rsidRPr="00E54E4F" w:rsidRDefault="00E54E4F" w:rsidP="00E54E4F">
      <w:pPr>
        <w:pStyle w:val="Heading4"/>
      </w:pPr>
      <w:r w:rsidRPr="00E54E4F">
        <w:t>Primary pharmacology</w:t>
      </w:r>
    </w:p>
    <w:p w14:paraId="786F2F61" w14:textId="77777777" w:rsidR="00E54E4F" w:rsidRPr="00E54E4F" w:rsidRDefault="00E54E4F" w:rsidP="00E54E4F">
      <w:r w:rsidRPr="00E54E4F">
        <w:t xml:space="preserve">Sodium zirconium cyclosilicate is a non-soluble, non-absorbed, inorganic crystalline powder. Constituent silicon, oxygen and zirconium atoms are regularly co-ordinated throughout the crystal lattice, giving rise to regular </w:t>
      </w:r>
      <w:proofErr w:type="spellStart"/>
      <w:r w:rsidRPr="00E54E4F">
        <w:t>microporosity</w:t>
      </w:r>
      <w:proofErr w:type="spellEnd"/>
      <w:r w:rsidRPr="00E54E4F">
        <w:t xml:space="preserve"> within the structure. Sodium (</w:t>
      </w:r>
      <w:r w:rsidR="00BE0DF4" w:rsidRPr="00E9044D">
        <w:t>Na</w:t>
      </w:r>
      <w:r w:rsidR="00BE0DF4" w:rsidRPr="00BE0DF4">
        <w:rPr>
          <w:vertAlign w:val="superscript"/>
        </w:rPr>
        <w:t>+</w:t>
      </w:r>
      <w:r w:rsidRPr="00E54E4F">
        <w:t>) and hydrogen (</w:t>
      </w:r>
      <w:r w:rsidR="00BE0DF4" w:rsidRPr="00E9044D">
        <w:t>H</w:t>
      </w:r>
      <w:r w:rsidR="00BE0DF4" w:rsidRPr="00BE0DF4">
        <w:rPr>
          <w:vertAlign w:val="superscript"/>
        </w:rPr>
        <w:t>+</w:t>
      </w:r>
      <w:r w:rsidRPr="00E54E4F">
        <w:t>) cations are located within the pores (balancing the negative framework charge) and are able to be exchanged for potassium (</w:t>
      </w:r>
      <w:r w:rsidR="00886664" w:rsidRPr="00E9044D">
        <w:t>K</w:t>
      </w:r>
      <w:r w:rsidR="00886664" w:rsidRPr="00886664">
        <w:rPr>
          <w:vertAlign w:val="superscript"/>
        </w:rPr>
        <w:t>+</w:t>
      </w:r>
      <w:r w:rsidRPr="00E54E4F">
        <w:t>) cations. The trapped potassium ions are excreted from the body via the faeces, thereby preventing potassium absorption into the circulation and resolving hyperkalaemia.</w:t>
      </w:r>
    </w:p>
    <w:p w14:paraId="5C79A3EF" w14:textId="77777777" w:rsidR="00886664" w:rsidRDefault="00E54E4F" w:rsidP="00E54E4F">
      <w:r w:rsidRPr="00E54E4F">
        <w:t xml:space="preserve">Sodium zirconium cyclosilicate was shown to sequester </w:t>
      </w:r>
      <w:r w:rsidR="00886664" w:rsidRPr="00E9044D">
        <w:t>K</w:t>
      </w:r>
      <w:r w:rsidR="00886664" w:rsidRPr="00886664">
        <w:rPr>
          <w:vertAlign w:val="superscript"/>
        </w:rPr>
        <w:t>+</w:t>
      </w:r>
      <w:r w:rsidRPr="00E54E4F">
        <w:t xml:space="preserve"> in vitro, reducing the potassium ion concentration in media formulated to mimic the ionic composition and pH of gastric and intestinal fluids. Potassium binding </w:t>
      </w:r>
      <w:proofErr w:type="gramStart"/>
      <w:r w:rsidRPr="00E54E4F">
        <w:t>capacity was reduced or absent</w:t>
      </w:r>
      <w:proofErr w:type="gramEnd"/>
      <w:r w:rsidRPr="00E54E4F">
        <w:t xml:space="preserve"> at the low pH (1.2) of gastric fluid cf. the higher pH of small intestinal fluid (pH 4.5) and large intestinal fluid (pH 6.8). At low pH, protonation of sodium zirconium cyclosilicate is favoured over </w:t>
      </w:r>
      <w:r w:rsidR="00886664" w:rsidRPr="00E9044D">
        <w:t>K</w:t>
      </w:r>
      <w:r w:rsidR="00886664" w:rsidRPr="00886664">
        <w:rPr>
          <w:vertAlign w:val="superscript"/>
        </w:rPr>
        <w:t>+</w:t>
      </w:r>
      <w:r w:rsidRPr="00E54E4F">
        <w:t xml:space="preserve"> uptake due to the higher concentration of </w:t>
      </w:r>
      <w:r w:rsidR="00BE0DF4" w:rsidRPr="00E9044D">
        <w:t>H</w:t>
      </w:r>
      <w:r w:rsidR="00BE0DF4" w:rsidRPr="00BE0DF4">
        <w:rPr>
          <w:vertAlign w:val="superscript"/>
        </w:rPr>
        <w:t>+</w:t>
      </w:r>
      <w:r w:rsidRPr="00E54E4F">
        <w:t xml:space="preserve"> cf. </w:t>
      </w:r>
      <w:r w:rsidR="00886664" w:rsidRPr="00E9044D">
        <w:t>K</w:t>
      </w:r>
      <w:r w:rsidR="00886664" w:rsidRPr="00886664">
        <w:rPr>
          <w:vertAlign w:val="superscript"/>
        </w:rPr>
        <w:t>+</w:t>
      </w:r>
      <w:r w:rsidRPr="00E54E4F">
        <w:t xml:space="preserve"> ions. The ion exchange process was seen to occur rapidly and be maintained</w:t>
      </w:r>
      <w:r w:rsidR="00886664">
        <w:t>.</w:t>
      </w:r>
    </w:p>
    <w:p w14:paraId="4192DFDD" w14:textId="77777777" w:rsidR="004334C7" w:rsidRDefault="00E54E4F" w:rsidP="00E54E4F">
      <w:r w:rsidRPr="00E54E4F">
        <w:t xml:space="preserve">The ability of sodium zirconium cyclosilicate to lower serum </w:t>
      </w:r>
      <w:r w:rsidR="00886664" w:rsidRPr="00E9044D">
        <w:t>K</w:t>
      </w:r>
      <w:r w:rsidR="00886664" w:rsidRPr="00886664">
        <w:rPr>
          <w:vertAlign w:val="superscript"/>
        </w:rPr>
        <w:t>+</w:t>
      </w:r>
      <w:r w:rsidRPr="00E54E4F">
        <w:t xml:space="preserve"> in vivo was investigated in a pharmacology study in rats, and in </w:t>
      </w:r>
      <w:r w:rsidR="00E557DC">
        <w:t>repeat dose</w:t>
      </w:r>
      <w:r w:rsidRPr="00E54E4F">
        <w:t xml:space="preserve"> toxicity studies in rats and dogs. Oral administration of sodium zirconium cyclosilicate reduced urinary </w:t>
      </w:r>
      <w:r w:rsidR="00886664" w:rsidRPr="00E9044D">
        <w:t>K</w:t>
      </w:r>
      <w:r w:rsidR="00886664" w:rsidRPr="00886664">
        <w:rPr>
          <w:vertAlign w:val="superscript"/>
        </w:rPr>
        <w:t>+</w:t>
      </w:r>
      <w:r w:rsidRPr="00E54E4F">
        <w:t xml:space="preserve"> excretion and (where studied) increased faecal </w:t>
      </w:r>
      <w:r w:rsidR="00886664" w:rsidRPr="00E9044D">
        <w:t>K</w:t>
      </w:r>
      <w:r w:rsidR="00886664" w:rsidRPr="00886664">
        <w:rPr>
          <w:vertAlign w:val="superscript"/>
        </w:rPr>
        <w:t>+</w:t>
      </w:r>
      <w:r w:rsidRPr="00E54E4F">
        <w:t xml:space="preserve"> excretion, consistent with reduced potassium absorption. Decreased serum </w:t>
      </w:r>
      <w:r w:rsidR="00886664" w:rsidRPr="00E9044D">
        <w:t>K</w:t>
      </w:r>
      <w:r w:rsidR="00886664" w:rsidRPr="00886664">
        <w:rPr>
          <w:vertAlign w:val="superscript"/>
        </w:rPr>
        <w:t>+</w:t>
      </w:r>
      <w:r w:rsidRPr="00E54E4F">
        <w:t xml:space="preserve"> was demonstrated in the two laboratory animal species, but not in all studies, and mostly only at the highest dose levels tested and after weeks of treatment. It should be noted, though, that all of these studies were performed in normokalaemic rather than hyperkalaemic animals and resistance of serum </w:t>
      </w:r>
      <w:r w:rsidR="00886664" w:rsidRPr="00E9044D">
        <w:t>K</w:t>
      </w:r>
      <w:r w:rsidR="00886664" w:rsidRPr="00886664">
        <w:rPr>
          <w:vertAlign w:val="superscript"/>
        </w:rPr>
        <w:t>+</w:t>
      </w:r>
      <w:r w:rsidRPr="00E54E4F">
        <w:t xml:space="preserve"> changes reflects homeostasis</w:t>
      </w:r>
    </w:p>
    <w:p w14:paraId="3AA30B89" w14:textId="77777777" w:rsidR="00E54E4F" w:rsidRPr="00E54E4F" w:rsidRDefault="00E54E4F" w:rsidP="00E54E4F">
      <w:pPr>
        <w:pStyle w:val="Heading4"/>
      </w:pPr>
      <w:r w:rsidRPr="00E54E4F">
        <w:t>Secondary pharmacodynamics and safety pharmacology</w:t>
      </w:r>
    </w:p>
    <w:p w14:paraId="1BFE4FFA" w14:textId="77777777" w:rsidR="00E54E4F" w:rsidRPr="00E54E4F" w:rsidRDefault="00E54E4F" w:rsidP="00E54E4F">
      <w:r w:rsidRPr="00E54E4F">
        <w:t xml:space="preserve">The ion selectivity of sodium zirconium cyclosilicate is determined by the size and chemical configuration of the </w:t>
      </w:r>
      <w:proofErr w:type="spellStart"/>
      <w:r w:rsidRPr="00E54E4F">
        <w:t>micropores</w:t>
      </w:r>
      <w:proofErr w:type="spellEnd"/>
      <w:r w:rsidRPr="00E54E4F">
        <w:t xml:space="preserve">. As well as </w:t>
      </w:r>
      <w:r w:rsidR="00886664" w:rsidRPr="00E9044D">
        <w:t>K</w:t>
      </w:r>
      <w:r w:rsidR="00886664" w:rsidRPr="00886664">
        <w:rPr>
          <w:vertAlign w:val="superscript"/>
        </w:rPr>
        <w:t>+</w:t>
      </w:r>
      <w:r w:rsidRPr="00E54E4F">
        <w:t>, sodium zirconium cyclosilicate can bind ammonium (</w:t>
      </w:r>
      <w:r w:rsidR="00886664" w:rsidRPr="00E9044D">
        <w:t>NH</w:t>
      </w:r>
      <w:r w:rsidR="00886664" w:rsidRPr="00886664">
        <w:rPr>
          <w:vertAlign w:val="superscript"/>
        </w:rPr>
        <w:t>4+</w:t>
      </w:r>
      <w:r w:rsidRPr="00E54E4F">
        <w:t>) and calcium (</w:t>
      </w:r>
      <w:r w:rsidR="00886664" w:rsidRPr="00E9044D">
        <w:t>Ca</w:t>
      </w:r>
      <w:r w:rsidR="00886664" w:rsidRPr="00886664">
        <w:rPr>
          <w:vertAlign w:val="superscript"/>
        </w:rPr>
        <w:t>2+</w:t>
      </w:r>
      <w:r w:rsidRPr="00E54E4F">
        <w:t xml:space="preserve">) ions. The substance was shown to have </w:t>
      </w:r>
      <w:proofErr w:type="gramStart"/>
      <w:r w:rsidRPr="00E54E4F">
        <w:t>1.25</w:t>
      </w:r>
      <w:r w:rsidR="00886664">
        <w:t xml:space="preserve"> fold </w:t>
      </w:r>
      <w:r w:rsidRPr="00E54E4F">
        <w:t>selectivity</w:t>
      </w:r>
      <w:proofErr w:type="gramEnd"/>
      <w:r w:rsidRPr="00E54E4F">
        <w:t xml:space="preserve"> for </w:t>
      </w:r>
      <w:r w:rsidR="00886664" w:rsidRPr="00E9044D">
        <w:t>K</w:t>
      </w:r>
      <w:r w:rsidR="00886664" w:rsidRPr="00886664">
        <w:rPr>
          <w:vertAlign w:val="superscript"/>
        </w:rPr>
        <w:t>+</w:t>
      </w:r>
      <w:r w:rsidRPr="00E54E4F">
        <w:t xml:space="preserve"> over </w:t>
      </w:r>
      <w:r w:rsidR="00886664" w:rsidRPr="00E9044D">
        <w:t>NH</w:t>
      </w:r>
      <w:r w:rsidR="00886664" w:rsidRPr="00886664">
        <w:rPr>
          <w:vertAlign w:val="superscript"/>
        </w:rPr>
        <w:t>4+</w:t>
      </w:r>
      <w:r w:rsidRPr="00E54E4F">
        <w:t xml:space="preserve"> and 15</w:t>
      </w:r>
      <w:r w:rsidR="00886664">
        <w:t xml:space="preserve"> fold </w:t>
      </w:r>
      <w:r w:rsidRPr="00E54E4F">
        <w:t xml:space="preserve">selectivity for </w:t>
      </w:r>
      <w:r w:rsidR="00886664" w:rsidRPr="00E9044D">
        <w:t>K</w:t>
      </w:r>
      <w:r w:rsidR="00886664" w:rsidRPr="00886664">
        <w:rPr>
          <w:vertAlign w:val="superscript"/>
        </w:rPr>
        <w:t>+</w:t>
      </w:r>
      <w:r w:rsidRPr="00E54E4F">
        <w:t xml:space="preserve"> over </w:t>
      </w:r>
      <w:r w:rsidR="00886664" w:rsidRPr="00E9044D">
        <w:t>Ca</w:t>
      </w:r>
      <w:r w:rsidR="00886664" w:rsidRPr="00886664">
        <w:rPr>
          <w:vertAlign w:val="superscript"/>
        </w:rPr>
        <w:t>2+</w:t>
      </w:r>
      <w:r w:rsidRPr="00E54E4F">
        <w:t xml:space="preserve"> in in vitro experiments. There is no significant binding of magnesium (</w:t>
      </w:r>
      <w:r w:rsidR="00886664" w:rsidRPr="00E9044D">
        <w:t>Mg</w:t>
      </w:r>
      <w:r w:rsidR="00886664" w:rsidRPr="00886664">
        <w:rPr>
          <w:vertAlign w:val="superscript"/>
        </w:rPr>
        <w:t>2+</w:t>
      </w:r>
      <w:r w:rsidRPr="00E54E4F">
        <w:t>).</w:t>
      </w:r>
    </w:p>
    <w:p w14:paraId="064EEF0F" w14:textId="77777777" w:rsidR="00E54E4F" w:rsidRPr="00E54E4F" w:rsidRDefault="00E54E4F" w:rsidP="00E54E4F">
      <w:r w:rsidRPr="00E54E4F">
        <w:t xml:space="preserve">No specialised safety pharmacology studies were submitted. This is acceptable since sodium zirconium cyclosilicate is not systemically absorbed. As well, cardiovascular safety was examined in dogs in a number of the general </w:t>
      </w:r>
      <w:r w:rsidR="00E557DC">
        <w:t>repeat dose</w:t>
      </w:r>
      <w:r w:rsidRPr="00E54E4F">
        <w:t xml:space="preserve"> toxicity studies, with no direct effect on </w:t>
      </w:r>
      <w:r w:rsidR="00E557DC">
        <w:t>electrocardiograph</w:t>
      </w:r>
      <w:r w:rsidR="00E557DC" w:rsidRPr="00E54E4F">
        <w:t xml:space="preserve"> </w:t>
      </w:r>
      <w:r w:rsidR="00E557DC">
        <w:t>(</w:t>
      </w:r>
      <w:r w:rsidRPr="00E54E4F">
        <w:t>ECG</w:t>
      </w:r>
      <w:r w:rsidR="00E557DC">
        <w:t>)</w:t>
      </w:r>
      <w:r w:rsidRPr="00E54E4F">
        <w:t xml:space="preserve"> seen with oral dosing up to 1</w:t>
      </w:r>
      <w:r w:rsidR="00E557DC">
        <w:t>,</w:t>
      </w:r>
      <w:r w:rsidRPr="00E54E4F">
        <w:t xml:space="preserve">300 mg/kg </w:t>
      </w:r>
      <w:r w:rsidR="00E557DC">
        <w:t>TDS</w:t>
      </w:r>
      <w:r w:rsidRPr="00E54E4F">
        <w:t xml:space="preserve"> or on blood pressure at up to 2000 mg/kg QD. A slight increase in </w:t>
      </w:r>
      <w:proofErr w:type="spellStart"/>
      <w:r w:rsidRPr="00E54E4F">
        <w:t>QTc</w:t>
      </w:r>
      <w:proofErr w:type="spellEnd"/>
      <w:r w:rsidRPr="00E54E4F">
        <w:t xml:space="preserve"> interval (</w:t>
      </w:r>
      <w:r w:rsidR="0047313A">
        <w:t xml:space="preserve">≤ </w:t>
      </w:r>
      <w:r w:rsidRPr="00E54E4F">
        <w:t xml:space="preserve">8%) was </w:t>
      </w:r>
      <w:r w:rsidRPr="00E54E4F">
        <w:lastRenderedPageBreak/>
        <w:t xml:space="preserve">seen with dosing at 1000 mg/kg </w:t>
      </w:r>
      <w:r w:rsidR="00E557DC">
        <w:t>TDS</w:t>
      </w:r>
      <w:r w:rsidRPr="00E54E4F">
        <w:t xml:space="preserve"> in one of the dog studies, but was associated with hypokalaemia (being prevented by </w:t>
      </w:r>
      <w:r w:rsidR="00886664" w:rsidRPr="00E9044D">
        <w:t>K</w:t>
      </w:r>
      <w:r w:rsidR="00886664" w:rsidRPr="00886664">
        <w:rPr>
          <w:vertAlign w:val="superscript"/>
        </w:rPr>
        <w:t>+</w:t>
      </w:r>
      <w:r w:rsidRPr="00E54E4F">
        <w:t xml:space="preserve"> supplementation) and is not considered to reflect a direct effect of the drug on the heart.</w:t>
      </w:r>
    </w:p>
    <w:p w14:paraId="1D35BFA2" w14:textId="77777777" w:rsidR="008E7846" w:rsidRDefault="008E7846" w:rsidP="008E7846">
      <w:pPr>
        <w:pStyle w:val="Heading3"/>
      </w:pPr>
      <w:bookmarkStart w:id="51" w:name="_Toc247691513"/>
      <w:bookmarkStart w:id="52" w:name="_Toc314842497"/>
      <w:bookmarkStart w:id="53" w:name="_Toc505252927"/>
      <w:r>
        <w:t>Pharmacokinetics</w:t>
      </w:r>
      <w:bookmarkEnd w:id="51"/>
      <w:bookmarkEnd w:id="52"/>
      <w:bookmarkEnd w:id="53"/>
    </w:p>
    <w:p w14:paraId="320571A2" w14:textId="77777777" w:rsidR="00E54E4F" w:rsidRPr="00E54E4F" w:rsidRDefault="00E54E4F" w:rsidP="00E54E4F">
      <w:bookmarkStart w:id="54" w:name="_Toc247691514"/>
      <w:bookmarkStart w:id="55" w:name="_Toc314842498"/>
      <w:r w:rsidRPr="00E54E4F">
        <w:t xml:space="preserve">A </w:t>
      </w:r>
      <w:r w:rsidR="0047313A">
        <w:t>single dose</w:t>
      </w:r>
      <w:r w:rsidRPr="00E54E4F">
        <w:t xml:space="preserve"> study in rats and a </w:t>
      </w:r>
      <w:r w:rsidR="00E557DC">
        <w:t>repeat dose</w:t>
      </w:r>
      <w:r w:rsidRPr="00E54E4F">
        <w:t xml:space="preserve"> study in dogs demonstrated that sodium zirconium cyclosilicate was not absorbed from the GI tract: it was not detected in plasma (dog study) and was excreted entirely via the faecal route (rat study). Accordingly, distribution and metabolism studies were not conducted. Sodium zirconium cyclosilicate is an insoluble inorganic compound and not subject to enzymatic degradation.</w:t>
      </w:r>
    </w:p>
    <w:p w14:paraId="15E52E25" w14:textId="77777777" w:rsidR="00E54E4F" w:rsidRPr="00E54E4F" w:rsidRDefault="00E54E4F" w:rsidP="00E54E4F">
      <w:pPr>
        <w:pStyle w:val="Heading4"/>
      </w:pPr>
      <w:bookmarkStart w:id="56" w:name="_Toc294861725"/>
      <w:r w:rsidRPr="00E54E4F">
        <w:t>Pharmacokinetic drug interactions</w:t>
      </w:r>
      <w:bookmarkEnd w:id="56"/>
    </w:p>
    <w:p w14:paraId="1427F033" w14:textId="77777777" w:rsidR="00E54E4F" w:rsidRPr="00E54E4F" w:rsidRDefault="00E54E4F" w:rsidP="00E54E4F">
      <w:r w:rsidRPr="00E54E4F">
        <w:t>Enzyme and transporter interaction studies were not conducted; no interaction is expected given the nature of the compound.</w:t>
      </w:r>
    </w:p>
    <w:p w14:paraId="5B369530" w14:textId="77777777" w:rsidR="00E54E4F" w:rsidRPr="00E54E4F" w:rsidRDefault="00E54E4F" w:rsidP="00E54E4F">
      <w:r w:rsidRPr="00E54E4F">
        <w:t>A series of in vitro studies were performed to examine interactions with likely co-administered drugs. In the most comprehensive study</w:t>
      </w:r>
      <w:r w:rsidR="0047313A">
        <w:t>,</w:t>
      </w:r>
      <w:r w:rsidRPr="0047313A">
        <w:rPr>
          <w:vertAlign w:val="superscript"/>
        </w:rPr>
        <w:footnoteReference w:id="3"/>
      </w:r>
      <w:r w:rsidRPr="00E54E4F">
        <w:t xml:space="preserve"> drug products were incubated with sodium zirconium cyclosilicate (50 mg/mL) in media reflecting physiological</w:t>
      </w:r>
      <w:r w:rsidR="0047313A">
        <w:t xml:space="preserve"> conditions along the GI tract;</w:t>
      </w:r>
      <w:r w:rsidRPr="00E54E4F">
        <w:t> simulated gastric fluid (pH 1.2), acetate buffer (pH 4.5) and so</w:t>
      </w:r>
      <w:r w:rsidR="0047313A">
        <w:t>dium phosphate buffer (pH 6.8);</w:t>
      </w:r>
      <w:r w:rsidRPr="00E54E4F">
        <w:t> for 2 h</w:t>
      </w:r>
      <w:r w:rsidR="0047313A">
        <w:t>ours</w:t>
      </w:r>
      <w:r w:rsidRPr="00E54E4F">
        <w:t xml:space="preserve"> at 37°C with constant agitation.</w:t>
      </w:r>
    </w:p>
    <w:p w14:paraId="58064946" w14:textId="77777777" w:rsidR="004334C7" w:rsidRDefault="00E54E4F" w:rsidP="00E54E4F">
      <w:r w:rsidRPr="00E54E4F">
        <w:t>The presence of sodium zirconium cyclosilicate had no significant effect on the concentration of the following drugs in the three media:</w:t>
      </w:r>
    </w:p>
    <w:p w14:paraId="0435DF6B" w14:textId="77777777" w:rsidR="00E54E4F" w:rsidRPr="00E54E4F" w:rsidRDefault="00E54E4F" w:rsidP="00E54E4F">
      <w:pPr>
        <w:pStyle w:val="ListBullet"/>
      </w:pPr>
      <w:r w:rsidRPr="00E54E4F">
        <w:t>allopurinol</w:t>
      </w:r>
    </w:p>
    <w:p w14:paraId="21C8CF4F" w14:textId="77777777" w:rsidR="00E54E4F" w:rsidRPr="00E54E4F" w:rsidRDefault="00E54E4F" w:rsidP="00E54E4F">
      <w:pPr>
        <w:pStyle w:val="ListBullet"/>
      </w:pPr>
      <w:r w:rsidRPr="00E54E4F">
        <w:t>aspirin</w:t>
      </w:r>
    </w:p>
    <w:p w14:paraId="2FC5CF75" w14:textId="77777777" w:rsidR="00E54E4F" w:rsidRPr="00E54E4F" w:rsidRDefault="00E54E4F" w:rsidP="00E54E4F">
      <w:pPr>
        <w:pStyle w:val="ListBullet"/>
      </w:pPr>
      <w:r w:rsidRPr="00E54E4F">
        <w:t>captopril</w:t>
      </w:r>
    </w:p>
    <w:p w14:paraId="52B49977" w14:textId="77777777" w:rsidR="00E54E4F" w:rsidRPr="00E54E4F" w:rsidRDefault="00E54E4F" w:rsidP="00E54E4F">
      <w:pPr>
        <w:pStyle w:val="ListBullet"/>
      </w:pPr>
      <w:r w:rsidRPr="00E54E4F">
        <w:t>cyclosporine</w:t>
      </w:r>
    </w:p>
    <w:p w14:paraId="75703B86" w14:textId="77777777" w:rsidR="00E54E4F" w:rsidRPr="00E54E4F" w:rsidRDefault="00E54E4F" w:rsidP="00E54E4F">
      <w:pPr>
        <w:pStyle w:val="ListBullet"/>
      </w:pPr>
      <w:r w:rsidRPr="00E54E4F">
        <w:t>magnesium carbonate</w:t>
      </w:r>
    </w:p>
    <w:p w14:paraId="6DA886F4" w14:textId="77777777" w:rsidR="00E54E4F" w:rsidRPr="00E54E4F" w:rsidRDefault="00E54E4F" w:rsidP="00E54E4F">
      <w:pPr>
        <w:pStyle w:val="ListBullet"/>
      </w:pPr>
      <w:proofErr w:type="spellStart"/>
      <w:r w:rsidRPr="00E54E4F">
        <w:t>lisinopril</w:t>
      </w:r>
      <w:proofErr w:type="spellEnd"/>
    </w:p>
    <w:p w14:paraId="754E2178" w14:textId="77777777" w:rsidR="00E54E4F" w:rsidRPr="00E54E4F" w:rsidRDefault="00E54E4F" w:rsidP="00E54E4F">
      <w:pPr>
        <w:pStyle w:val="ListBullet"/>
      </w:pPr>
      <w:r w:rsidRPr="00E54E4F">
        <w:t>metformin</w:t>
      </w:r>
    </w:p>
    <w:p w14:paraId="5166E8E9" w14:textId="77777777" w:rsidR="00E54E4F" w:rsidRPr="00E54E4F" w:rsidRDefault="00E54E4F" w:rsidP="00E54E4F">
      <w:pPr>
        <w:pStyle w:val="ListBullet"/>
      </w:pPr>
      <w:r w:rsidRPr="00E54E4F">
        <w:t>phenytoin</w:t>
      </w:r>
    </w:p>
    <w:p w14:paraId="74021745" w14:textId="77777777" w:rsidR="00E54E4F" w:rsidRPr="00E54E4F" w:rsidRDefault="00E54E4F" w:rsidP="00E54E4F">
      <w:pPr>
        <w:pStyle w:val="ListBullet"/>
      </w:pPr>
      <w:r w:rsidRPr="00E54E4F">
        <w:t>prednisone</w:t>
      </w:r>
    </w:p>
    <w:p w14:paraId="0F43B019" w14:textId="77777777" w:rsidR="00E54E4F" w:rsidRPr="00E54E4F" w:rsidRDefault="00E54E4F" w:rsidP="00E54E4F">
      <w:pPr>
        <w:pStyle w:val="ListBullet"/>
      </w:pPr>
      <w:r w:rsidRPr="00E54E4F">
        <w:t>propranolol</w:t>
      </w:r>
    </w:p>
    <w:p w14:paraId="32C776A4" w14:textId="77777777" w:rsidR="00E54E4F" w:rsidRPr="00E54E4F" w:rsidRDefault="00E54E4F" w:rsidP="00E54E4F">
      <w:pPr>
        <w:pStyle w:val="ListBullet"/>
      </w:pPr>
      <w:r w:rsidRPr="00E54E4F">
        <w:t>quinapril</w:t>
      </w:r>
    </w:p>
    <w:p w14:paraId="291F36F7" w14:textId="52DB8C63" w:rsidR="00E54E4F" w:rsidRDefault="00E54E4F" w:rsidP="00E54E4F">
      <w:pPr>
        <w:pStyle w:val="ListBullet"/>
      </w:pPr>
      <w:r w:rsidRPr="00E54E4F">
        <w:t>spironolactone</w:t>
      </w:r>
    </w:p>
    <w:p w14:paraId="4BA59159" w14:textId="2EC6CD33" w:rsidR="00A802CC" w:rsidRDefault="00A802CC" w:rsidP="00E54E4F">
      <w:pPr>
        <w:pStyle w:val="ListBullet"/>
      </w:pPr>
      <w:proofErr w:type="gramStart"/>
      <w:r>
        <w:t>digoxin</w:t>
      </w:r>
      <w:proofErr w:type="gramEnd"/>
      <w:r w:rsidR="00D76E01">
        <w:t>.</w:t>
      </w:r>
    </w:p>
    <w:p w14:paraId="2D8C5CDA" w14:textId="77777777" w:rsidR="00E54E4F" w:rsidRPr="00E54E4F" w:rsidRDefault="00E54E4F" w:rsidP="00E54E4F">
      <w:r w:rsidRPr="00E54E4F">
        <w:t xml:space="preserve">Changes in concentration of </w:t>
      </w:r>
      <w:r w:rsidR="0047313A">
        <w:t xml:space="preserve">&gt; </w:t>
      </w:r>
      <w:r w:rsidRPr="00E54E4F">
        <w:t>10% following the addition of sodium zirconium cyclosilicate were seen in one or more of the media for the following drugs, but this was linked to effects of sodium zirconium cyclosilicate on pH, affecting drug solubility, and not to drug binding:</w:t>
      </w:r>
    </w:p>
    <w:p w14:paraId="7CD2D6BB" w14:textId="77777777" w:rsidR="00E54E4F" w:rsidRPr="00E54E4F" w:rsidRDefault="00E54E4F" w:rsidP="00E54E4F">
      <w:pPr>
        <w:pStyle w:val="ListBullet"/>
      </w:pPr>
      <w:r w:rsidRPr="00E54E4F">
        <w:t>aluminium hydroxide</w:t>
      </w:r>
    </w:p>
    <w:p w14:paraId="3F84C556" w14:textId="77777777" w:rsidR="00E54E4F" w:rsidRPr="00E54E4F" w:rsidRDefault="00E54E4F" w:rsidP="00E54E4F">
      <w:pPr>
        <w:pStyle w:val="ListBullet"/>
      </w:pPr>
      <w:r w:rsidRPr="00E54E4F">
        <w:t>atorvastatin</w:t>
      </w:r>
    </w:p>
    <w:p w14:paraId="63934264" w14:textId="77777777" w:rsidR="00E54E4F" w:rsidRPr="00E54E4F" w:rsidRDefault="00E54E4F" w:rsidP="00E54E4F">
      <w:pPr>
        <w:pStyle w:val="ListBullet"/>
      </w:pPr>
      <w:proofErr w:type="spellStart"/>
      <w:r w:rsidRPr="00E54E4F">
        <w:lastRenderedPageBreak/>
        <w:t>clopidogrel</w:t>
      </w:r>
      <w:proofErr w:type="spellEnd"/>
    </w:p>
    <w:p w14:paraId="2366E17A" w14:textId="77777777" w:rsidR="00E54E4F" w:rsidRPr="00E54E4F" w:rsidRDefault="00E54E4F" w:rsidP="00E54E4F">
      <w:pPr>
        <w:pStyle w:val="ListBullet"/>
      </w:pPr>
      <w:r w:rsidRPr="00E54E4F">
        <w:t>dabigatran</w:t>
      </w:r>
    </w:p>
    <w:p w14:paraId="3CE4D56B" w14:textId="77777777" w:rsidR="00E54E4F" w:rsidRPr="00E54E4F" w:rsidRDefault="00E54E4F" w:rsidP="00E54E4F">
      <w:pPr>
        <w:pStyle w:val="ListBullet"/>
      </w:pPr>
      <w:r w:rsidRPr="00E54E4F">
        <w:t>docusate sodium</w:t>
      </w:r>
    </w:p>
    <w:p w14:paraId="31DC4A61" w14:textId="77777777" w:rsidR="00E54E4F" w:rsidRPr="00E54E4F" w:rsidRDefault="00E54E4F" w:rsidP="00E54E4F">
      <w:pPr>
        <w:pStyle w:val="ListBullet"/>
      </w:pPr>
      <w:r w:rsidRPr="00E54E4F">
        <w:t>erythromycin</w:t>
      </w:r>
    </w:p>
    <w:p w14:paraId="6B1E4347" w14:textId="77777777" w:rsidR="00E54E4F" w:rsidRPr="00E54E4F" w:rsidRDefault="00E54E4F" w:rsidP="00E54E4F">
      <w:pPr>
        <w:pStyle w:val="ListBullet"/>
      </w:pPr>
      <w:r w:rsidRPr="00E54E4F">
        <w:t>furosemide</w:t>
      </w:r>
    </w:p>
    <w:p w14:paraId="0307E50C" w14:textId="77777777" w:rsidR="00E54E4F" w:rsidRPr="00E54E4F" w:rsidRDefault="00E54E4F" w:rsidP="00E54E4F">
      <w:pPr>
        <w:pStyle w:val="ListBullet"/>
      </w:pPr>
      <w:r w:rsidRPr="00E54E4F">
        <w:t>glipizide</w:t>
      </w:r>
    </w:p>
    <w:p w14:paraId="60EAA059" w14:textId="77777777" w:rsidR="00E54E4F" w:rsidRPr="00E54E4F" w:rsidRDefault="00E54E4F" w:rsidP="00E54E4F">
      <w:pPr>
        <w:pStyle w:val="ListBullet"/>
      </w:pPr>
      <w:r w:rsidRPr="00E54E4F">
        <w:t>ketoconazole</w:t>
      </w:r>
    </w:p>
    <w:p w14:paraId="24166FDF" w14:textId="77777777" w:rsidR="00E54E4F" w:rsidRPr="00E54E4F" w:rsidRDefault="00E54E4F" w:rsidP="00E54E4F">
      <w:pPr>
        <w:pStyle w:val="ListBullet"/>
      </w:pPr>
      <w:r w:rsidRPr="00E54E4F">
        <w:t>levothyroxine</w:t>
      </w:r>
    </w:p>
    <w:p w14:paraId="0BCE79F5" w14:textId="77777777" w:rsidR="00E54E4F" w:rsidRPr="00E54E4F" w:rsidRDefault="00E54E4F" w:rsidP="00E54E4F">
      <w:pPr>
        <w:pStyle w:val="ListBullet"/>
      </w:pPr>
      <w:r w:rsidRPr="00E54E4F">
        <w:t>losartan</w:t>
      </w:r>
    </w:p>
    <w:p w14:paraId="0B296B79" w14:textId="136F456B" w:rsidR="00E54E4F" w:rsidRDefault="00E54E4F" w:rsidP="00E54E4F">
      <w:pPr>
        <w:pStyle w:val="ListBullet"/>
      </w:pPr>
      <w:proofErr w:type="gramStart"/>
      <w:r w:rsidRPr="00E54E4F">
        <w:t>valsartan</w:t>
      </w:r>
      <w:proofErr w:type="gramEnd"/>
      <w:r w:rsidR="00D76E01">
        <w:t>.</w:t>
      </w:r>
    </w:p>
    <w:p w14:paraId="4F0CAEAA" w14:textId="1A7CF3AC" w:rsidR="00E54E4F" w:rsidRPr="00E54E4F" w:rsidRDefault="00E54E4F" w:rsidP="00E54E4F">
      <w:r w:rsidRPr="00E54E4F">
        <w:t xml:space="preserve">For these, </w:t>
      </w:r>
      <w:r w:rsidR="00886664">
        <w:t xml:space="preserve">approximately </w:t>
      </w:r>
      <w:r w:rsidRPr="00E54E4F">
        <w:t xml:space="preserve">60% of the observed changed were reductions in concentration (by an average of 50%) and </w:t>
      </w:r>
      <w:r w:rsidR="00886664">
        <w:t xml:space="preserve">approximately </w:t>
      </w:r>
      <w:r w:rsidRPr="00E54E4F">
        <w:t xml:space="preserve">40% were increases (by an average of </w:t>
      </w:r>
      <w:r w:rsidR="00886664">
        <w:t xml:space="preserve">approximately </w:t>
      </w:r>
      <w:r w:rsidRPr="00E54E4F">
        <w:t xml:space="preserve">130%). The addition of sodium zirconium cyclosilicate (50 mg/mL) raised the pH of simulated gastric fluid by </w:t>
      </w:r>
      <w:r w:rsidR="00886664">
        <w:t xml:space="preserve">approximately </w:t>
      </w:r>
      <w:r w:rsidRPr="00E54E4F">
        <w:t xml:space="preserve">2 pH units and raised the pH of acetate buffer (pH 4.5) by </w:t>
      </w:r>
      <w:r w:rsidR="00886664">
        <w:t xml:space="preserve">approximately </w:t>
      </w:r>
      <w:r w:rsidRPr="00E54E4F">
        <w:t xml:space="preserve">0.7 pH units [due to </w:t>
      </w:r>
      <w:r w:rsidR="00BE0DF4" w:rsidRPr="00E9044D">
        <w:t>H</w:t>
      </w:r>
      <w:r w:rsidR="00BE0DF4" w:rsidRPr="00BE0DF4">
        <w:rPr>
          <w:vertAlign w:val="superscript"/>
        </w:rPr>
        <w:t>+</w:t>
      </w:r>
      <w:r w:rsidRPr="00E54E4F">
        <w:t xml:space="preserve"> uptake], and lowered the pH of sodium phosphate buffer (pH 6.8) by </w:t>
      </w:r>
      <w:r w:rsidR="00886664">
        <w:t xml:space="preserve">approximately </w:t>
      </w:r>
      <w:r w:rsidRPr="00E54E4F">
        <w:t xml:space="preserve">0.5 pH units [attributed to uptake of </w:t>
      </w:r>
      <w:r w:rsidR="00BE0DF4" w:rsidRPr="00E9044D">
        <w:t>Na</w:t>
      </w:r>
      <w:r w:rsidR="00BE0DF4" w:rsidRPr="00BE0DF4">
        <w:rPr>
          <w:vertAlign w:val="superscript"/>
        </w:rPr>
        <w:t>+</w:t>
      </w:r>
      <w:r w:rsidRPr="00E54E4F">
        <w:t xml:space="preserve"> in exchange for </w:t>
      </w:r>
      <w:r w:rsidR="00BE0DF4" w:rsidRPr="00E9044D">
        <w:t>H</w:t>
      </w:r>
      <w:r w:rsidR="00BE0DF4" w:rsidRPr="00BE0DF4">
        <w:rPr>
          <w:vertAlign w:val="superscript"/>
        </w:rPr>
        <w:t>+</w:t>
      </w:r>
      <w:r w:rsidRPr="00E54E4F">
        <w:t>].</w:t>
      </w:r>
    </w:p>
    <w:p w14:paraId="349581F5" w14:textId="77777777" w:rsidR="00E54E4F" w:rsidRPr="00E54E4F" w:rsidRDefault="00E54E4F" w:rsidP="00E54E4F">
      <w:r w:rsidRPr="00E54E4F">
        <w:t>Sodium zirconium cyclosilicate is not expected to significantly alter intestinal pH with clinical use: the maximum expected concentration of sodium zirconium cyclosilicate in the intestinal lumen on the apical side of the enterocytes is 4 mg/mL</w:t>
      </w:r>
      <w:r w:rsidR="0047313A">
        <w:t>,</w:t>
      </w:r>
      <w:r w:rsidRPr="0047313A">
        <w:rPr>
          <w:vertAlign w:val="superscript"/>
        </w:rPr>
        <w:footnoteReference w:id="4"/>
      </w:r>
      <w:r w:rsidRPr="00E54E4F">
        <w:t xml:space="preserve"> 12.5 times lower than the tested concentration here. However, effects on stomach pH are predicted, with the tested concentration being physiologically relevant (</w:t>
      </w:r>
      <w:r w:rsidR="0047313A">
        <w:t>for example</w:t>
      </w:r>
      <w:r w:rsidRPr="00E54E4F">
        <w:t>, the maximum dose of one occasion, 10 g, in a volume of 250 mL yields a concentration of 40 mg/mL). Because drug absorption occurs mostly in the small intestine rather than the stomach, the clinical impact is likely limited in most cases, but interactions similar to those caused by antacids can be reasonably expected.</w:t>
      </w:r>
    </w:p>
    <w:p w14:paraId="66A75171" w14:textId="77777777" w:rsidR="00E54E4F" w:rsidRPr="00E54E4F" w:rsidRDefault="00E54E4F" w:rsidP="00E54E4F">
      <w:r w:rsidRPr="00E54E4F">
        <w:t>Reductions in drug concentration in the presence of sodium zirconium cyclosilicate that were not related to altered solubility secondary to altered pH were seen for:</w:t>
      </w:r>
    </w:p>
    <w:p w14:paraId="3BEC5A28" w14:textId="77777777" w:rsidR="00E54E4F" w:rsidRPr="00E54E4F" w:rsidRDefault="00E54E4F" w:rsidP="00E54E4F">
      <w:pPr>
        <w:pStyle w:val="ListBullet"/>
      </w:pPr>
      <w:r w:rsidRPr="00E54E4F">
        <w:t>amlodipine</w:t>
      </w:r>
    </w:p>
    <w:p w14:paraId="754B7EE7" w14:textId="77777777" w:rsidR="00E54E4F" w:rsidRPr="00E54E4F" w:rsidRDefault="00E54E4F" w:rsidP="00E54E4F">
      <w:pPr>
        <w:pStyle w:val="ListBullet"/>
      </w:pPr>
      <w:r w:rsidRPr="00E54E4F">
        <w:t>warfarin</w:t>
      </w:r>
    </w:p>
    <w:p w14:paraId="6C5063F8" w14:textId="77777777" w:rsidR="00E54E4F" w:rsidRPr="00E54E4F" w:rsidRDefault="00E54E4F" w:rsidP="00E54E4F">
      <w:pPr>
        <w:pStyle w:val="ListBullet"/>
      </w:pPr>
      <w:r w:rsidRPr="00E54E4F">
        <w:t>calcium carbonate</w:t>
      </w:r>
    </w:p>
    <w:p w14:paraId="63180B44" w14:textId="77777777" w:rsidR="00E54E4F" w:rsidRPr="00E54E4F" w:rsidRDefault="00E54E4F" w:rsidP="00E54E4F">
      <w:pPr>
        <w:pStyle w:val="ListBullet"/>
      </w:pPr>
      <w:r w:rsidRPr="00E54E4F">
        <w:t>lithium</w:t>
      </w:r>
    </w:p>
    <w:p w14:paraId="2C751861" w14:textId="77777777" w:rsidR="00E54E4F" w:rsidRPr="00E54E4F" w:rsidRDefault="00E54E4F" w:rsidP="00E54E4F">
      <w:r w:rsidRPr="00E54E4F">
        <w:t>The concentration of amlodipine in pH 6.8 sodium phosphate buffer was reduced by almost 50% in the presence of sodium zirconium cyclosilicate (50 mg/mL). There was no significant effect in the other two media tested. No notable interaction with amlodipine is expected in patients given the maximum expected intestinal concentration is much lower than the concentration tested in vitro.</w:t>
      </w:r>
    </w:p>
    <w:p w14:paraId="23351190" w14:textId="77777777" w:rsidR="00E54E4F" w:rsidRPr="00E54E4F" w:rsidRDefault="00E54E4F" w:rsidP="00E54E4F">
      <w:r w:rsidRPr="00E54E4F">
        <w:t xml:space="preserve">The concentration of warfarin in simulated gastric fluid was reduced by </w:t>
      </w:r>
      <w:r w:rsidR="00886664">
        <w:t xml:space="preserve">approximately </w:t>
      </w:r>
      <w:r w:rsidRPr="00E54E4F">
        <w:t xml:space="preserve">75% (with only </w:t>
      </w:r>
      <w:r w:rsidR="00886664">
        <w:t xml:space="preserve">approximately </w:t>
      </w:r>
      <w:r w:rsidRPr="00E54E4F">
        <w:t>15% of the effect attributable to altered pH). There was no significant effect in the other two media tested (mimicking intestinal conditions). The in vitro data indicate that co-administration of sodium zirconium cyclosilicate is likely to reduce stomach absorption of warfarin, lowering systemic exposure to the drug.</w:t>
      </w:r>
    </w:p>
    <w:p w14:paraId="45EF905D" w14:textId="77777777" w:rsidR="00E54E4F" w:rsidRPr="00E54E4F" w:rsidRDefault="00E54E4F" w:rsidP="00E54E4F">
      <w:r w:rsidRPr="00E54E4F">
        <w:lastRenderedPageBreak/>
        <w:t xml:space="preserve">Reductions in calcium and lithium concentrations (by </w:t>
      </w:r>
      <w:r w:rsidR="00886664">
        <w:t xml:space="preserve">approximately </w:t>
      </w:r>
      <w:r w:rsidR="0047313A">
        <w:t xml:space="preserve">50 to 80% and 20 to </w:t>
      </w:r>
      <w:r w:rsidRPr="00E54E4F">
        <w:t xml:space="preserve">40%, respectively) were observed in simulated gastric fluid and pH 4.5 acetate buffer and are attributed to </w:t>
      </w:r>
      <w:r w:rsidR="00886664" w:rsidRPr="00E9044D">
        <w:t>Ca</w:t>
      </w:r>
      <w:r w:rsidR="00886664" w:rsidRPr="00886664">
        <w:rPr>
          <w:vertAlign w:val="superscript"/>
        </w:rPr>
        <w:t>2+</w:t>
      </w:r>
      <w:r w:rsidRPr="00E54E4F">
        <w:t xml:space="preserve"> and Li+ binding by sodium zirconium cyclosilicate. No significant interaction with these agents is expected in patients, however, with the in vitro binding occurring under conditions where there was no or very limited competition with </w:t>
      </w:r>
      <w:r w:rsidR="00886664" w:rsidRPr="00E9044D">
        <w:t>K</w:t>
      </w:r>
      <w:r w:rsidR="00886664" w:rsidRPr="00886664">
        <w:rPr>
          <w:vertAlign w:val="superscript"/>
        </w:rPr>
        <w:t>+</w:t>
      </w:r>
      <w:r w:rsidRPr="00E54E4F">
        <w:t xml:space="preserve"> and at high </w:t>
      </w:r>
      <w:r w:rsidR="00886664" w:rsidRPr="00E9044D">
        <w:t>Ca</w:t>
      </w:r>
      <w:r w:rsidR="00886664" w:rsidRPr="00886664">
        <w:rPr>
          <w:vertAlign w:val="superscript"/>
        </w:rPr>
        <w:t>2+</w:t>
      </w:r>
      <w:r w:rsidRPr="00E54E4F">
        <w:t xml:space="preserve"> or Li+ concentrations, which drives uptake.</w:t>
      </w:r>
    </w:p>
    <w:p w14:paraId="12820B77" w14:textId="77777777" w:rsidR="00E54E4F" w:rsidRPr="00E54E4F" w:rsidRDefault="00E54E4F" w:rsidP="00E54E4F">
      <w:r w:rsidRPr="00E54E4F">
        <w:t xml:space="preserve">Increases in </w:t>
      </w:r>
      <w:r w:rsidR="0047313A">
        <w:t>phosphate binding</w:t>
      </w:r>
      <w:r w:rsidRPr="00E54E4F">
        <w:t xml:space="preserve"> capacity in the presence of sodium zirconium cyclosilicate were seen for lanthanum carbonate (in pH 6.8 sodium phosphate buffer) and </w:t>
      </w:r>
      <w:proofErr w:type="spellStart"/>
      <w:r w:rsidRPr="00E54E4F">
        <w:t>sevelamer</w:t>
      </w:r>
      <w:proofErr w:type="spellEnd"/>
      <w:r w:rsidRPr="00E54E4F">
        <w:t xml:space="preserve"> carbonate (in simulated gastric fluid and pH 6.8 sodium phosphate buffer), in line with effects on </w:t>
      </w:r>
      <w:proofErr w:type="spellStart"/>
      <w:r w:rsidRPr="00E54E4F">
        <w:t>pH.</w:t>
      </w:r>
      <w:proofErr w:type="spellEnd"/>
      <w:r w:rsidRPr="00E54E4F">
        <w:t xml:space="preserve"> With pH effects expected in the stomach but not the small intestine of patients, some reduction in the efficacy of </w:t>
      </w:r>
      <w:proofErr w:type="spellStart"/>
      <w:r w:rsidRPr="00E54E4F">
        <w:t>sevelamer</w:t>
      </w:r>
      <w:proofErr w:type="spellEnd"/>
      <w:r w:rsidRPr="00E54E4F">
        <w:t xml:space="preserve"> carbonate may be encountered.</w:t>
      </w:r>
    </w:p>
    <w:p w14:paraId="21FE993E" w14:textId="77777777" w:rsidR="00E54E4F" w:rsidRPr="00E54E4F" w:rsidRDefault="00E54E4F" w:rsidP="00E54E4F">
      <w:r w:rsidRPr="00E54E4F">
        <w:t xml:space="preserve">The potassium-binding capacity of sodium zirconium cyclosilicate was reduced by lithium (due to competition with </w:t>
      </w:r>
      <w:r w:rsidR="00886664" w:rsidRPr="00E9044D">
        <w:t>K</w:t>
      </w:r>
      <w:r w:rsidR="00886664" w:rsidRPr="00886664">
        <w:rPr>
          <w:vertAlign w:val="superscript"/>
        </w:rPr>
        <w:t>+</w:t>
      </w:r>
      <w:r w:rsidRPr="00E54E4F">
        <w:t xml:space="preserve"> for binding at high concentrations), lanthanum carbonate (attributed to </w:t>
      </w:r>
      <w:r w:rsidR="00886664" w:rsidRPr="00E9044D">
        <w:t>K</w:t>
      </w:r>
      <w:r w:rsidR="00886664" w:rsidRPr="00886664">
        <w:rPr>
          <w:vertAlign w:val="superscript"/>
        </w:rPr>
        <w:t>+</w:t>
      </w:r>
      <w:r w:rsidRPr="00E54E4F">
        <w:t xml:space="preserve"> binding by hydrated </w:t>
      </w:r>
      <w:proofErr w:type="spellStart"/>
      <w:r w:rsidRPr="00E54E4F">
        <w:t>dextrates</w:t>
      </w:r>
      <w:proofErr w:type="spellEnd"/>
      <w:r w:rsidRPr="00E54E4F">
        <w:t xml:space="preserve"> as an excipient in the drug product), </w:t>
      </w:r>
      <w:proofErr w:type="spellStart"/>
      <w:r w:rsidRPr="00E54E4F">
        <w:t>clopidogrel</w:t>
      </w:r>
      <w:proofErr w:type="spellEnd"/>
      <w:r w:rsidRPr="00E54E4F">
        <w:t xml:space="preserve"> (with a 300 mg but not a 75 mg tablet, and due to reduced pH) and dabigatran (due to excipients in the drug capsules); the other tested drugs had no significant effect. No clinically significant reduction in efficacy is predicted in in patients however.</w:t>
      </w:r>
    </w:p>
    <w:p w14:paraId="3F499E2A" w14:textId="77777777" w:rsidR="001B5C90" w:rsidRDefault="008E7846" w:rsidP="001B5C90">
      <w:pPr>
        <w:pStyle w:val="Heading3"/>
      </w:pPr>
      <w:bookmarkStart w:id="57" w:name="_Toc505252928"/>
      <w:r>
        <w:t>Toxicology</w:t>
      </w:r>
      <w:bookmarkEnd w:id="54"/>
      <w:bookmarkEnd w:id="55"/>
      <w:bookmarkEnd w:id="57"/>
    </w:p>
    <w:p w14:paraId="06458568" w14:textId="77777777" w:rsidR="00E54E4F" w:rsidRPr="00E54E4F" w:rsidRDefault="00E54E4F" w:rsidP="00E54E4F">
      <w:pPr>
        <w:pStyle w:val="Heading4"/>
      </w:pPr>
      <w:bookmarkStart w:id="58" w:name="_Toc294861727"/>
      <w:r w:rsidRPr="00E54E4F">
        <w:t>Acute toxicity</w:t>
      </w:r>
      <w:bookmarkEnd w:id="58"/>
    </w:p>
    <w:p w14:paraId="341B9995" w14:textId="77777777" w:rsidR="00E54E4F" w:rsidRPr="00E54E4F" w:rsidRDefault="00E54E4F" w:rsidP="00E54E4F">
      <w:r w:rsidRPr="00E54E4F">
        <w:t>The acute oral toxicity of sodium zirconium cyclosilicate was investigated in rats and dogs. Administration of a single 2</w:t>
      </w:r>
      <w:r w:rsidR="0047313A">
        <w:t>,</w:t>
      </w:r>
      <w:r w:rsidRPr="00E54E4F">
        <w:t>000 mg/kg dose resulted in no deaths or other overt toxicit</w:t>
      </w:r>
      <w:r w:rsidR="0047313A">
        <w:t xml:space="preserve">y over the monitoring period (4 to </w:t>
      </w:r>
      <w:r w:rsidRPr="00E54E4F">
        <w:t xml:space="preserve">5 days). Coupled with the findings in the </w:t>
      </w:r>
      <w:r w:rsidR="00E557DC">
        <w:t>repeat dose</w:t>
      </w:r>
      <w:r w:rsidRPr="00E54E4F">
        <w:t xml:space="preserve"> toxicity studies, sodium zirconium cyclosilicate was demonstrated to have a low order of acute toxicity by the oral route.</w:t>
      </w:r>
    </w:p>
    <w:p w14:paraId="21DFC8D1" w14:textId="77777777" w:rsidR="00E54E4F" w:rsidRPr="00E54E4F" w:rsidRDefault="00E54E4F" w:rsidP="00E54E4F">
      <w:pPr>
        <w:pStyle w:val="Heading4"/>
      </w:pPr>
      <w:bookmarkStart w:id="59" w:name="_Toc294861728"/>
      <w:r w:rsidRPr="00E54E4F">
        <w:t>Repeat-dose toxicity</w:t>
      </w:r>
      <w:bookmarkEnd w:id="59"/>
    </w:p>
    <w:p w14:paraId="2127ABAE" w14:textId="77777777" w:rsidR="00C9747E" w:rsidRPr="00E54E4F" w:rsidRDefault="0047313A" w:rsidP="00E54E4F">
      <w:r>
        <w:t xml:space="preserve">Repeat </w:t>
      </w:r>
      <w:r w:rsidR="00E54E4F" w:rsidRPr="00E54E4F">
        <w:t>dose toxicity studies were conducted in rats (up to 6 months duration) and dogs (up to 9 months) using the proposed clinical route (PO). The frequency of administration was once or three times daily, in accordance with the proposed clinical dosing regimen. The pivotal studies were adequately conducted in terms of species used, duration, dose selection, and monitoring and analyses performed</w:t>
      </w:r>
    </w:p>
    <w:p w14:paraId="09F1FD11" w14:textId="77777777" w:rsidR="00E54E4F" w:rsidRPr="00E54E4F" w:rsidRDefault="00E54E4F" w:rsidP="00E54E4F">
      <w:pPr>
        <w:pStyle w:val="Heading5"/>
      </w:pPr>
      <w:r w:rsidRPr="00E54E4F">
        <w:t>Relative exposure</w:t>
      </w:r>
    </w:p>
    <w:p w14:paraId="23863A43" w14:textId="77777777" w:rsidR="00E54E4F" w:rsidRPr="00E54E4F" w:rsidRDefault="00E54E4F" w:rsidP="00E54E4F">
      <w:r w:rsidRPr="00E54E4F">
        <w:t xml:space="preserve">Exposure ratios have been calculated based on </w:t>
      </w:r>
      <w:proofErr w:type="spellStart"/>
      <w:r w:rsidRPr="00E54E4F">
        <w:t>animal</w:t>
      </w:r>
      <w:proofErr w:type="gramStart"/>
      <w:r w:rsidRPr="00E54E4F">
        <w:t>:human</w:t>
      </w:r>
      <w:proofErr w:type="spellEnd"/>
      <w:proofErr w:type="gramEnd"/>
      <w:r w:rsidRPr="00E54E4F">
        <w:t xml:space="preserve"> mg/kg dose comparisons. Dose comparisons based on adjustment for body surface area (mg/</w:t>
      </w:r>
      <w:r w:rsidR="0047313A" w:rsidRPr="00E54E4F">
        <w:t>m</w:t>
      </w:r>
      <w:r w:rsidR="0047313A" w:rsidRPr="0047313A">
        <w:rPr>
          <w:vertAlign w:val="superscript"/>
        </w:rPr>
        <w:t>2</w:t>
      </w:r>
      <w:r w:rsidRPr="00E54E4F">
        <w:t>) are not considered appropriate for sodium zirconium cyclosilicate given the absence of systemic exposure/distribution outside the GI tract, and that cross-species differences in metabolic capacity are not of importance for this compound.</w:t>
      </w:r>
    </w:p>
    <w:p w14:paraId="6F75E1F2" w14:textId="469CD99D" w:rsidR="00E54E4F" w:rsidRPr="00E54E4F" w:rsidRDefault="00117FEB" w:rsidP="0047313A">
      <w:pPr>
        <w:pStyle w:val="Tabletitle0"/>
      </w:pPr>
      <w:r>
        <w:t xml:space="preserve">Table </w:t>
      </w:r>
      <w:r w:rsidR="00D76E01">
        <w:t>2</w:t>
      </w:r>
      <w:r>
        <w:t>:</w:t>
      </w:r>
      <w:r w:rsidR="00E54E4F" w:rsidRPr="00E54E4F">
        <w:t xml:space="preserve"> Relative exposure in pivotal </w:t>
      </w:r>
      <w:r w:rsidR="00E557DC">
        <w:t>repeat dose</w:t>
      </w:r>
      <w:r w:rsidR="00E54E4F" w:rsidRPr="00E54E4F">
        <w:t xml:space="preserve"> toxicity studies</w:t>
      </w:r>
    </w:p>
    <w:tbl>
      <w:tblPr>
        <w:tblStyle w:val="TableTGAblue"/>
        <w:tblW w:w="8730" w:type="dxa"/>
        <w:tblLayout w:type="fixed"/>
        <w:tblLook w:val="01E0" w:firstRow="1" w:lastRow="1" w:firstColumn="1" w:lastColumn="1" w:noHBand="0" w:noVBand="0"/>
      </w:tblPr>
      <w:tblGrid>
        <w:gridCol w:w="1560"/>
        <w:gridCol w:w="2469"/>
        <w:gridCol w:w="1481"/>
        <w:gridCol w:w="1680"/>
        <w:gridCol w:w="1540"/>
      </w:tblGrid>
      <w:tr w:rsidR="005B1F2F" w:rsidRPr="0047313A" w14:paraId="2460C909" w14:textId="77777777" w:rsidTr="0047313A">
        <w:trPr>
          <w:cnfStyle w:val="100000000000" w:firstRow="1" w:lastRow="0" w:firstColumn="0" w:lastColumn="0" w:oddVBand="0" w:evenVBand="0" w:oddHBand="0" w:evenHBand="0" w:firstRowFirstColumn="0" w:firstRowLastColumn="0" w:lastRowFirstColumn="0" w:lastRowLastColumn="0"/>
          <w:trHeight w:val="270"/>
        </w:trPr>
        <w:tc>
          <w:tcPr>
            <w:tcW w:w="1560" w:type="dxa"/>
          </w:tcPr>
          <w:p w14:paraId="1869F74E" w14:textId="77777777" w:rsidR="005B1F2F" w:rsidRPr="0047313A" w:rsidRDefault="005B1F2F" w:rsidP="0047313A">
            <w:pPr>
              <w:ind w:left="0" w:right="0"/>
              <w:rPr>
                <w:sz w:val="20"/>
              </w:rPr>
            </w:pPr>
            <w:r w:rsidRPr="0047313A">
              <w:rPr>
                <w:sz w:val="20"/>
              </w:rPr>
              <w:t>Species</w:t>
            </w:r>
          </w:p>
        </w:tc>
        <w:tc>
          <w:tcPr>
            <w:tcW w:w="2469" w:type="dxa"/>
          </w:tcPr>
          <w:p w14:paraId="34411E83" w14:textId="77777777" w:rsidR="005B1F2F" w:rsidRPr="0047313A" w:rsidRDefault="0047313A" w:rsidP="0047313A">
            <w:pPr>
              <w:ind w:left="0" w:right="0"/>
              <w:rPr>
                <w:sz w:val="20"/>
              </w:rPr>
            </w:pPr>
            <w:r w:rsidRPr="0047313A">
              <w:rPr>
                <w:sz w:val="20"/>
              </w:rPr>
              <w:t xml:space="preserve">Study duration </w:t>
            </w:r>
            <w:r w:rsidR="005B1F2F" w:rsidRPr="0047313A">
              <w:rPr>
                <w:sz w:val="20"/>
              </w:rPr>
              <w:t>[Study No.]</w:t>
            </w:r>
          </w:p>
        </w:tc>
        <w:tc>
          <w:tcPr>
            <w:tcW w:w="1481" w:type="dxa"/>
          </w:tcPr>
          <w:p w14:paraId="413C63C0" w14:textId="77777777" w:rsidR="005B1F2F" w:rsidRPr="0047313A" w:rsidRDefault="005B1F2F" w:rsidP="0047313A">
            <w:pPr>
              <w:ind w:left="0" w:right="0"/>
              <w:rPr>
                <w:sz w:val="20"/>
              </w:rPr>
            </w:pPr>
            <w:r w:rsidRPr="0047313A">
              <w:rPr>
                <w:sz w:val="20"/>
              </w:rPr>
              <w:t>Frequency of administration</w:t>
            </w:r>
          </w:p>
        </w:tc>
        <w:tc>
          <w:tcPr>
            <w:tcW w:w="1680" w:type="dxa"/>
          </w:tcPr>
          <w:p w14:paraId="44CBA6A0" w14:textId="77777777" w:rsidR="005B1F2F" w:rsidRPr="0047313A" w:rsidRDefault="0047313A" w:rsidP="0047313A">
            <w:pPr>
              <w:ind w:left="0" w:right="0"/>
              <w:rPr>
                <w:sz w:val="20"/>
              </w:rPr>
            </w:pPr>
            <w:r w:rsidRPr="0047313A">
              <w:rPr>
                <w:sz w:val="20"/>
              </w:rPr>
              <w:t xml:space="preserve">Dose </w:t>
            </w:r>
            <w:r w:rsidR="005B1F2F" w:rsidRPr="0047313A">
              <w:rPr>
                <w:sz w:val="20"/>
              </w:rPr>
              <w:t>(mg/kg/day)</w:t>
            </w:r>
          </w:p>
        </w:tc>
        <w:tc>
          <w:tcPr>
            <w:tcW w:w="1540" w:type="dxa"/>
          </w:tcPr>
          <w:p w14:paraId="53C414DA" w14:textId="77777777" w:rsidR="005B1F2F" w:rsidRPr="0047313A" w:rsidRDefault="005B1F2F" w:rsidP="0047313A">
            <w:pPr>
              <w:ind w:left="0" w:right="0"/>
              <w:rPr>
                <w:sz w:val="20"/>
              </w:rPr>
            </w:pPr>
            <w:r w:rsidRPr="0047313A">
              <w:rPr>
                <w:sz w:val="20"/>
              </w:rPr>
              <w:t>Estimated exposure ratio#</w:t>
            </w:r>
          </w:p>
        </w:tc>
      </w:tr>
      <w:tr w:rsidR="005B1F2F" w:rsidRPr="0047313A" w14:paraId="7A4AFA1F" w14:textId="77777777" w:rsidTr="0047313A">
        <w:trPr>
          <w:trHeight w:val="216"/>
        </w:trPr>
        <w:tc>
          <w:tcPr>
            <w:tcW w:w="1560" w:type="dxa"/>
            <w:vMerge w:val="restart"/>
          </w:tcPr>
          <w:p w14:paraId="300D2FF1" w14:textId="77777777" w:rsidR="005B1F2F" w:rsidRPr="0047313A" w:rsidRDefault="0047313A" w:rsidP="0047313A">
            <w:pPr>
              <w:ind w:left="0" w:right="0"/>
              <w:rPr>
                <w:sz w:val="20"/>
              </w:rPr>
            </w:pPr>
            <w:r>
              <w:rPr>
                <w:sz w:val="20"/>
              </w:rPr>
              <w:t xml:space="preserve">Rat </w:t>
            </w:r>
            <w:r w:rsidR="005B1F2F" w:rsidRPr="0047313A">
              <w:rPr>
                <w:sz w:val="20"/>
              </w:rPr>
              <w:t>(SD)</w:t>
            </w:r>
          </w:p>
        </w:tc>
        <w:tc>
          <w:tcPr>
            <w:tcW w:w="2469" w:type="dxa"/>
            <w:vMerge w:val="restart"/>
          </w:tcPr>
          <w:p w14:paraId="04F509F2" w14:textId="77777777" w:rsidR="005B1F2F" w:rsidRPr="0047313A" w:rsidRDefault="0047313A" w:rsidP="0047313A">
            <w:pPr>
              <w:ind w:left="0" w:right="0"/>
              <w:rPr>
                <w:sz w:val="20"/>
              </w:rPr>
            </w:pPr>
            <w:r>
              <w:rPr>
                <w:sz w:val="20"/>
              </w:rPr>
              <w:t xml:space="preserve">6 months </w:t>
            </w:r>
            <w:r w:rsidR="005B1F2F" w:rsidRPr="0047313A">
              <w:rPr>
                <w:sz w:val="20"/>
              </w:rPr>
              <w:t>[524942]</w:t>
            </w:r>
          </w:p>
        </w:tc>
        <w:tc>
          <w:tcPr>
            <w:tcW w:w="1481" w:type="dxa"/>
            <w:vMerge w:val="restart"/>
          </w:tcPr>
          <w:p w14:paraId="478B30C7" w14:textId="77777777" w:rsidR="005B1F2F" w:rsidRPr="0047313A" w:rsidRDefault="00E557DC" w:rsidP="0047313A">
            <w:pPr>
              <w:ind w:left="0" w:right="0"/>
              <w:rPr>
                <w:sz w:val="20"/>
              </w:rPr>
            </w:pPr>
            <w:r w:rsidRPr="0047313A">
              <w:rPr>
                <w:sz w:val="20"/>
              </w:rPr>
              <w:t>TDS</w:t>
            </w:r>
          </w:p>
        </w:tc>
        <w:tc>
          <w:tcPr>
            <w:tcW w:w="1680" w:type="dxa"/>
          </w:tcPr>
          <w:p w14:paraId="41DB0E0C" w14:textId="77777777" w:rsidR="005B1F2F" w:rsidRPr="0047313A" w:rsidRDefault="005B1F2F" w:rsidP="0047313A">
            <w:pPr>
              <w:ind w:left="0" w:right="0"/>
              <w:rPr>
                <w:sz w:val="20"/>
              </w:rPr>
            </w:pPr>
            <w:r w:rsidRPr="0047313A">
              <w:rPr>
                <w:sz w:val="20"/>
              </w:rPr>
              <w:t>1000</w:t>
            </w:r>
          </w:p>
        </w:tc>
        <w:tc>
          <w:tcPr>
            <w:tcW w:w="1540" w:type="dxa"/>
          </w:tcPr>
          <w:p w14:paraId="0BB6AE57" w14:textId="77777777" w:rsidR="005B1F2F" w:rsidRPr="0047313A" w:rsidRDefault="005B1F2F" w:rsidP="0047313A">
            <w:pPr>
              <w:ind w:left="0" w:right="0"/>
              <w:rPr>
                <w:sz w:val="20"/>
              </w:rPr>
            </w:pPr>
            <w:r w:rsidRPr="0047313A">
              <w:rPr>
                <w:sz w:val="20"/>
              </w:rPr>
              <w:t>1.7</w:t>
            </w:r>
          </w:p>
        </w:tc>
      </w:tr>
      <w:tr w:rsidR="005B1F2F" w:rsidRPr="0047313A" w14:paraId="16BA37C0" w14:textId="77777777" w:rsidTr="0047313A">
        <w:trPr>
          <w:trHeight w:val="216"/>
        </w:trPr>
        <w:tc>
          <w:tcPr>
            <w:tcW w:w="1560" w:type="dxa"/>
            <w:vMerge/>
          </w:tcPr>
          <w:p w14:paraId="296A7225" w14:textId="77777777" w:rsidR="005B1F2F" w:rsidRPr="0047313A" w:rsidRDefault="005B1F2F" w:rsidP="0047313A">
            <w:pPr>
              <w:ind w:left="0" w:right="0"/>
              <w:rPr>
                <w:sz w:val="20"/>
              </w:rPr>
            </w:pPr>
          </w:p>
        </w:tc>
        <w:tc>
          <w:tcPr>
            <w:tcW w:w="2469" w:type="dxa"/>
            <w:vMerge/>
          </w:tcPr>
          <w:p w14:paraId="73A9CB15" w14:textId="77777777" w:rsidR="005B1F2F" w:rsidRPr="0047313A" w:rsidRDefault="005B1F2F" w:rsidP="0047313A">
            <w:pPr>
              <w:ind w:left="0" w:right="0"/>
              <w:rPr>
                <w:sz w:val="20"/>
              </w:rPr>
            </w:pPr>
          </w:p>
        </w:tc>
        <w:tc>
          <w:tcPr>
            <w:tcW w:w="1481" w:type="dxa"/>
            <w:vMerge/>
          </w:tcPr>
          <w:p w14:paraId="53E0D612" w14:textId="77777777" w:rsidR="005B1F2F" w:rsidRPr="0047313A" w:rsidRDefault="005B1F2F" w:rsidP="0047313A">
            <w:pPr>
              <w:ind w:left="0" w:right="0"/>
              <w:rPr>
                <w:sz w:val="20"/>
              </w:rPr>
            </w:pPr>
          </w:p>
        </w:tc>
        <w:tc>
          <w:tcPr>
            <w:tcW w:w="1680" w:type="dxa"/>
          </w:tcPr>
          <w:p w14:paraId="73814AAD" w14:textId="77777777" w:rsidR="005B1F2F" w:rsidRPr="0047313A" w:rsidRDefault="005B1F2F" w:rsidP="0047313A">
            <w:pPr>
              <w:ind w:left="0" w:right="0"/>
              <w:rPr>
                <w:sz w:val="20"/>
              </w:rPr>
            </w:pPr>
            <w:r w:rsidRPr="0047313A">
              <w:rPr>
                <w:sz w:val="20"/>
              </w:rPr>
              <w:t>3000</w:t>
            </w:r>
          </w:p>
        </w:tc>
        <w:tc>
          <w:tcPr>
            <w:tcW w:w="1540" w:type="dxa"/>
          </w:tcPr>
          <w:p w14:paraId="421ABC65" w14:textId="77777777" w:rsidR="005B1F2F" w:rsidRPr="0047313A" w:rsidRDefault="005B1F2F" w:rsidP="0047313A">
            <w:pPr>
              <w:ind w:left="0" w:right="0"/>
              <w:rPr>
                <w:sz w:val="20"/>
              </w:rPr>
            </w:pPr>
            <w:r w:rsidRPr="0047313A">
              <w:rPr>
                <w:sz w:val="20"/>
              </w:rPr>
              <w:t>5</w:t>
            </w:r>
          </w:p>
        </w:tc>
      </w:tr>
      <w:tr w:rsidR="005B1F2F" w:rsidRPr="0047313A" w14:paraId="71CE2E16" w14:textId="77777777" w:rsidTr="0047313A">
        <w:trPr>
          <w:trHeight w:val="216"/>
        </w:trPr>
        <w:tc>
          <w:tcPr>
            <w:tcW w:w="1560" w:type="dxa"/>
            <w:vMerge/>
          </w:tcPr>
          <w:p w14:paraId="00F9780D" w14:textId="77777777" w:rsidR="005B1F2F" w:rsidRPr="0047313A" w:rsidRDefault="005B1F2F" w:rsidP="0047313A">
            <w:pPr>
              <w:ind w:left="0" w:right="0"/>
              <w:rPr>
                <w:sz w:val="20"/>
              </w:rPr>
            </w:pPr>
          </w:p>
        </w:tc>
        <w:tc>
          <w:tcPr>
            <w:tcW w:w="2469" w:type="dxa"/>
            <w:vMerge/>
          </w:tcPr>
          <w:p w14:paraId="7D7F4025" w14:textId="77777777" w:rsidR="005B1F2F" w:rsidRPr="0047313A" w:rsidRDefault="005B1F2F" w:rsidP="0047313A">
            <w:pPr>
              <w:ind w:left="0" w:right="0"/>
              <w:rPr>
                <w:sz w:val="20"/>
              </w:rPr>
            </w:pPr>
          </w:p>
        </w:tc>
        <w:tc>
          <w:tcPr>
            <w:tcW w:w="1481" w:type="dxa"/>
            <w:vMerge/>
          </w:tcPr>
          <w:p w14:paraId="15CCB8D7" w14:textId="77777777" w:rsidR="005B1F2F" w:rsidRPr="0047313A" w:rsidRDefault="005B1F2F" w:rsidP="0047313A">
            <w:pPr>
              <w:ind w:left="0" w:right="0"/>
              <w:rPr>
                <w:sz w:val="20"/>
              </w:rPr>
            </w:pPr>
          </w:p>
        </w:tc>
        <w:tc>
          <w:tcPr>
            <w:tcW w:w="1680" w:type="dxa"/>
          </w:tcPr>
          <w:p w14:paraId="69DBD69C" w14:textId="77777777" w:rsidR="005B1F2F" w:rsidRPr="0047313A" w:rsidRDefault="005B1F2F" w:rsidP="0047313A">
            <w:pPr>
              <w:ind w:left="0" w:right="0"/>
              <w:rPr>
                <w:sz w:val="20"/>
              </w:rPr>
            </w:pPr>
            <w:r w:rsidRPr="0047313A">
              <w:rPr>
                <w:sz w:val="20"/>
              </w:rPr>
              <w:t>6000</w:t>
            </w:r>
          </w:p>
        </w:tc>
        <w:tc>
          <w:tcPr>
            <w:tcW w:w="1540" w:type="dxa"/>
          </w:tcPr>
          <w:p w14:paraId="31C51BF4" w14:textId="77777777" w:rsidR="005B1F2F" w:rsidRPr="0047313A" w:rsidRDefault="005B1F2F" w:rsidP="0047313A">
            <w:pPr>
              <w:ind w:left="0" w:right="0"/>
              <w:rPr>
                <w:sz w:val="20"/>
              </w:rPr>
            </w:pPr>
            <w:r w:rsidRPr="0047313A">
              <w:rPr>
                <w:sz w:val="20"/>
              </w:rPr>
              <w:t>10</w:t>
            </w:r>
          </w:p>
        </w:tc>
      </w:tr>
      <w:tr w:rsidR="005B1F2F" w:rsidRPr="0047313A" w14:paraId="31812C85" w14:textId="77777777" w:rsidTr="0047313A">
        <w:trPr>
          <w:trHeight w:val="216"/>
        </w:trPr>
        <w:tc>
          <w:tcPr>
            <w:tcW w:w="1560" w:type="dxa"/>
            <w:vMerge w:val="restart"/>
          </w:tcPr>
          <w:p w14:paraId="0DCB0904" w14:textId="77777777" w:rsidR="005B1F2F" w:rsidRPr="0047313A" w:rsidRDefault="0047313A" w:rsidP="0047313A">
            <w:pPr>
              <w:ind w:left="0" w:right="0"/>
              <w:rPr>
                <w:sz w:val="20"/>
              </w:rPr>
            </w:pPr>
            <w:r>
              <w:rPr>
                <w:sz w:val="20"/>
              </w:rPr>
              <w:t xml:space="preserve">Dog </w:t>
            </w:r>
            <w:r w:rsidR="005B1F2F" w:rsidRPr="0047313A">
              <w:rPr>
                <w:sz w:val="20"/>
              </w:rPr>
              <w:t>(Beagle)</w:t>
            </w:r>
          </w:p>
        </w:tc>
        <w:tc>
          <w:tcPr>
            <w:tcW w:w="2469" w:type="dxa"/>
            <w:vMerge w:val="restart"/>
          </w:tcPr>
          <w:p w14:paraId="41259E38" w14:textId="77777777" w:rsidR="005B1F2F" w:rsidRPr="0047313A" w:rsidRDefault="0047313A" w:rsidP="0047313A">
            <w:pPr>
              <w:ind w:left="0" w:right="0"/>
              <w:rPr>
                <w:sz w:val="20"/>
              </w:rPr>
            </w:pPr>
            <w:r>
              <w:rPr>
                <w:sz w:val="20"/>
              </w:rPr>
              <w:t xml:space="preserve">9 months </w:t>
            </w:r>
            <w:r w:rsidR="005B1F2F" w:rsidRPr="0047313A">
              <w:rPr>
                <w:sz w:val="20"/>
              </w:rPr>
              <w:t>[1959-008]</w:t>
            </w:r>
          </w:p>
        </w:tc>
        <w:tc>
          <w:tcPr>
            <w:tcW w:w="1481" w:type="dxa"/>
            <w:vMerge w:val="restart"/>
          </w:tcPr>
          <w:p w14:paraId="5B3393EC" w14:textId="77777777" w:rsidR="005B1F2F" w:rsidRPr="0047313A" w:rsidRDefault="005B1F2F" w:rsidP="0047313A">
            <w:pPr>
              <w:ind w:left="0" w:right="0"/>
              <w:rPr>
                <w:sz w:val="20"/>
              </w:rPr>
            </w:pPr>
            <w:r w:rsidRPr="0047313A">
              <w:rPr>
                <w:sz w:val="20"/>
              </w:rPr>
              <w:t>QD</w:t>
            </w:r>
          </w:p>
        </w:tc>
        <w:tc>
          <w:tcPr>
            <w:tcW w:w="1680" w:type="dxa"/>
          </w:tcPr>
          <w:p w14:paraId="64BEACCF" w14:textId="77777777" w:rsidR="005B1F2F" w:rsidRPr="0047313A" w:rsidRDefault="005B1F2F" w:rsidP="0047313A">
            <w:pPr>
              <w:ind w:left="0" w:right="0"/>
              <w:rPr>
                <w:sz w:val="20"/>
              </w:rPr>
            </w:pPr>
            <w:r w:rsidRPr="0047313A">
              <w:rPr>
                <w:sz w:val="20"/>
              </w:rPr>
              <w:t>300</w:t>
            </w:r>
          </w:p>
        </w:tc>
        <w:tc>
          <w:tcPr>
            <w:tcW w:w="1540" w:type="dxa"/>
          </w:tcPr>
          <w:p w14:paraId="01F86682" w14:textId="77777777" w:rsidR="005B1F2F" w:rsidRPr="0047313A" w:rsidRDefault="005B1F2F" w:rsidP="0047313A">
            <w:pPr>
              <w:ind w:left="0" w:right="0"/>
              <w:rPr>
                <w:sz w:val="20"/>
              </w:rPr>
            </w:pPr>
            <w:r w:rsidRPr="0047313A">
              <w:rPr>
                <w:sz w:val="20"/>
              </w:rPr>
              <w:t>0.5</w:t>
            </w:r>
          </w:p>
        </w:tc>
      </w:tr>
      <w:tr w:rsidR="005B1F2F" w:rsidRPr="0047313A" w14:paraId="15AE1A7D" w14:textId="77777777" w:rsidTr="0047313A">
        <w:trPr>
          <w:trHeight w:val="216"/>
        </w:trPr>
        <w:tc>
          <w:tcPr>
            <w:tcW w:w="1560" w:type="dxa"/>
            <w:vMerge/>
          </w:tcPr>
          <w:p w14:paraId="4395B300" w14:textId="77777777" w:rsidR="005B1F2F" w:rsidRPr="0047313A" w:rsidRDefault="005B1F2F" w:rsidP="0047313A">
            <w:pPr>
              <w:ind w:left="0" w:right="0"/>
              <w:rPr>
                <w:sz w:val="20"/>
              </w:rPr>
            </w:pPr>
          </w:p>
        </w:tc>
        <w:tc>
          <w:tcPr>
            <w:tcW w:w="2469" w:type="dxa"/>
            <w:vMerge/>
          </w:tcPr>
          <w:p w14:paraId="6100D8D2" w14:textId="77777777" w:rsidR="005B1F2F" w:rsidRPr="0047313A" w:rsidRDefault="005B1F2F" w:rsidP="0047313A">
            <w:pPr>
              <w:ind w:left="0" w:right="0"/>
              <w:rPr>
                <w:sz w:val="20"/>
              </w:rPr>
            </w:pPr>
          </w:p>
        </w:tc>
        <w:tc>
          <w:tcPr>
            <w:tcW w:w="1481" w:type="dxa"/>
            <w:vMerge/>
          </w:tcPr>
          <w:p w14:paraId="788AD79D" w14:textId="77777777" w:rsidR="005B1F2F" w:rsidRPr="0047313A" w:rsidRDefault="005B1F2F" w:rsidP="0047313A">
            <w:pPr>
              <w:ind w:left="0" w:right="0"/>
              <w:rPr>
                <w:sz w:val="20"/>
              </w:rPr>
            </w:pPr>
          </w:p>
        </w:tc>
        <w:tc>
          <w:tcPr>
            <w:tcW w:w="1680" w:type="dxa"/>
          </w:tcPr>
          <w:p w14:paraId="017E8E63" w14:textId="77777777" w:rsidR="005B1F2F" w:rsidRPr="0047313A" w:rsidRDefault="005B1F2F" w:rsidP="0047313A">
            <w:pPr>
              <w:ind w:left="0" w:right="0"/>
              <w:rPr>
                <w:sz w:val="20"/>
              </w:rPr>
            </w:pPr>
            <w:r w:rsidRPr="0047313A">
              <w:rPr>
                <w:sz w:val="20"/>
              </w:rPr>
              <w:t>1000</w:t>
            </w:r>
          </w:p>
        </w:tc>
        <w:tc>
          <w:tcPr>
            <w:tcW w:w="1540" w:type="dxa"/>
          </w:tcPr>
          <w:p w14:paraId="6F291240" w14:textId="77777777" w:rsidR="005B1F2F" w:rsidRPr="0047313A" w:rsidRDefault="005B1F2F" w:rsidP="0047313A">
            <w:pPr>
              <w:ind w:left="0" w:right="0"/>
              <w:rPr>
                <w:sz w:val="20"/>
              </w:rPr>
            </w:pPr>
            <w:r w:rsidRPr="0047313A">
              <w:rPr>
                <w:sz w:val="20"/>
              </w:rPr>
              <w:t>1.7</w:t>
            </w:r>
          </w:p>
        </w:tc>
      </w:tr>
      <w:tr w:rsidR="005B1F2F" w:rsidRPr="0047313A" w14:paraId="6D40FDCC" w14:textId="77777777" w:rsidTr="0047313A">
        <w:trPr>
          <w:trHeight w:val="216"/>
        </w:trPr>
        <w:tc>
          <w:tcPr>
            <w:tcW w:w="1560" w:type="dxa"/>
            <w:vMerge/>
          </w:tcPr>
          <w:p w14:paraId="533AE861" w14:textId="77777777" w:rsidR="005B1F2F" w:rsidRPr="0047313A" w:rsidRDefault="005B1F2F" w:rsidP="0047313A">
            <w:pPr>
              <w:ind w:left="0" w:right="0"/>
              <w:rPr>
                <w:sz w:val="20"/>
              </w:rPr>
            </w:pPr>
          </w:p>
        </w:tc>
        <w:tc>
          <w:tcPr>
            <w:tcW w:w="2469" w:type="dxa"/>
            <w:vMerge/>
          </w:tcPr>
          <w:p w14:paraId="15F1A935" w14:textId="77777777" w:rsidR="005B1F2F" w:rsidRPr="0047313A" w:rsidRDefault="005B1F2F" w:rsidP="0047313A">
            <w:pPr>
              <w:ind w:left="0" w:right="0"/>
              <w:rPr>
                <w:sz w:val="20"/>
              </w:rPr>
            </w:pPr>
          </w:p>
        </w:tc>
        <w:tc>
          <w:tcPr>
            <w:tcW w:w="1481" w:type="dxa"/>
            <w:vMerge/>
          </w:tcPr>
          <w:p w14:paraId="72F5132B" w14:textId="77777777" w:rsidR="005B1F2F" w:rsidRPr="0047313A" w:rsidRDefault="005B1F2F" w:rsidP="0047313A">
            <w:pPr>
              <w:ind w:left="0" w:right="0"/>
              <w:rPr>
                <w:sz w:val="20"/>
              </w:rPr>
            </w:pPr>
          </w:p>
        </w:tc>
        <w:tc>
          <w:tcPr>
            <w:tcW w:w="1680" w:type="dxa"/>
          </w:tcPr>
          <w:p w14:paraId="3EED4C50" w14:textId="77777777" w:rsidR="005B1F2F" w:rsidRPr="0047313A" w:rsidRDefault="005B1F2F" w:rsidP="0047313A">
            <w:pPr>
              <w:ind w:left="0" w:right="0"/>
              <w:rPr>
                <w:sz w:val="20"/>
              </w:rPr>
            </w:pPr>
            <w:r w:rsidRPr="0047313A">
              <w:rPr>
                <w:sz w:val="20"/>
              </w:rPr>
              <w:t>2000</w:t>
            </w:r>
          </w:p>
        </w:tc>
        <w:tc>
          <w:tcPr>
            <w:tcW w:w="1540" w:type="dxa"/>
          </w:tcPr>
          <w:p w14:paraId="30955DEC" w14:textId="77777777" w:rsidR="005B1F2F" w:rsidRPr="0047313A" w:rsidRDefault="005B1F2F" w:rsidP="0047313A">
            <w:pPr>
              <w:ind w:left="0" w:right="0"/>
              <w:rPr>
                <w:sz w:val="20"/>
              </w:rPr>
            </w:pPr>
            <w:r w:rsidRPr="0047313A">
              <w:rPr>
                <w:sz w:val="20"/>
              </w:rPr>
              <w:t>3.3</w:t>
            </w:r>
          </w:p>
        </w:tc>
      </w:tr>
      <w:tr w:rsidR="005B1F2F" w:rsidRPr="0047313A" w14:paraId="70AD5F85" w14:textId="77777777" w:rsidTr="0047313A">
        <w:trPr>
          <w:trHeight w:val="216"/>
        </w:trPr>
        <w:tc>
          <w:tcPr>
            <w:tcW w:w="1560" w:type="dxa"/>
          </w:tcPr>
          <w:p w14:paraId="71557DDB" w14:textId="77777777" w:rsidR="005B1F2F" w:rsidRPr="0047313A" w:rsidRDefault="005B1F2F" w:rsidP="0047313A">
            <w:pPr>
              <w:ind w:left="0" w:right="0"/>
              <w:rPr>
                <w:sz w:val="20"/>
              </w:rPr>
            </w:pPr>
            <w:r w:rsidRPr="0047313A">
              <w:rPr>
                <w:sz w:val="20"/>
              </w:rPr>
              <w:t>Human</w:t>
            </w:r>
          </w:p>
        </w:tc>
        <w:tc>
          <w:tcPr>
            <w:tcW w:w="2469" w:type="dxa"/>
          </w:tcPr>
          <w:p w14:paraId="77CA3969" w14:textId="77777777" w:rsidR="005B1F2F" w:rsidRPr="0047313A" w:rsidRDefault="005B1F2F" w:rsidP="0047313A">
            <w:pPr>
              <w:ind w:left="0" w:right="0"/>
              <w:rPr>
                <w:sz w:val="20"/>
              </w:rPr>
            </w:pPr>
            <w:r w:rsidRPr="0047313A">
              <w:rPr>
                <w:sz w:val="20"/>
              </w:rPr>
              <w:t>[maximum recommended human dose]</w:t>
            </w:r>
          </w:p>
        </w:tc>
        <w:tc>
          <w:tcPr>
            <w:tcW w:w="3160" w:type="dxa"/>
            <w:gridSpan w:val="2"/>
          </w:tcPr>
          <w:p w14:paraId="24095EEB" w14:textId="77777777" w:rsidR="005B1F2F" w:rsidRPr="0047313A" w:rsidRDefault="0047313A" w:rsidP="0047313A">
            <w:pPr>
              <w:ind w:left="0" w:right="0"/>
              <w:rPr>
                <w:sz w:val="20"/>
              </w:rPr>
            </w:pPr>
            <w:r>
              <w:rPr>
                <w:sz w:val="20"/>
              </w:rPr>
              <w:t xml:space="preserve">600* </w:t>
            </w:r>
            <w:r w:rsidR="005B1F2F" w:rsidRPr="0047313A">
              <w:rPr>
                <w:sz w:val="20"/>
              </w:rPr>
              <w:t xml:space="preserve">(10 g </w:t>
            </w:r>
            <w:r w:rsidR="00E557DC" w:rsidRPr="0047313A">
              <w:rPr>
                <w:sz w:val="20"/>
              </w:rPr>
              <w:t>TDS</w:t>
            </w:r>
            <w:r w:rsidR="005B1F2F" w:rsidRPr="0047313A">
              <w:rPr>
                <w:sz w:val="20"/>
              </w:rPr>
              <w:t>)</w:t>
            </w:r>
          </w:p>
        </w:tc>
        <w:tc>
          <w:tcPr>
            <w:tcW w:w="1540" w:type="dxa"/>
          </w:tcPr>
          <w:p w14:paraId="168B14E5" w14:textId="77777777" w:rsidR="005B1F2F" w:rsidRPr="0047313A" w:rsidRDefault="005B1F2F" w:rsidP="0047313A">
            <w:pPr>
              <w:ind w:left="0" w:right="0"/>
              <w:rPr>
                <w:sz w:val="20"/>
              </w:rPr>
            </w:pPr>
            <w:r w:rsidRPr="0047313A">
              <w:rPr>
                <w:sz w:val="20"/>
              </w:rPr>
              <w:t>–</w:t>
            </w:r>
          </w:p>
        </w:tc>
      </w:tr>
    </w:tbl>
    <w:p w14:paraId="46365259" w14:textId="77777777" w:rsidR="005B1F2F" w:rsidRPr="004B1998" w:rsidRDefault="005B1F2F" w:rsidP="005B1F2F">
      <w:pPr>
        <w:pStyle w:val="TableDescription"/>
      </w:pPr>
      <w:r w:rsidRPr="004B1998">
        <w:rPr>
          <w:position w:val="-2"/>
          <w:vertAlign w:val="superscript"/>
        </w:rPr>
        <w:t>#</w:t>
      </w:r>
      <w:r w:rsidRPr="004B1998">
        <w:t xml:space="preserve"> = </w:t>
      </w:r>
      <w:proofErr w:type="spellStart"/>
      <w:r w:rsidRPr="004B1998">
        <w:t>animal</w:t>
      </w:r>
      <w:proofErr w:type="gramStart"/>
      <w:r w:rsidRPr="004B1998">
        <w:t>:human</w:t>
      </w:r>
      <w:proofErr w:type="spellEnd"/>
      <w:proofErr w:type="gramEnd"/>
      <w:r w:rsidRPr="004B1998">
        <w:t xml:space="preserve"> mg/kg/day dose; * = 50 kg patient body weight assumed as a conservative measure</w:t>
      </w:r>
    </w:p>
    <w:p w14:paraId="2D0202DD" w14:textId="0A55247F" w:rsidR="005B1F2F" w:rsidRPr="005B1F2F" w:rsidRDefault="005B1F2F" w:rsidP="005B1F2F">
      <w:pPr>
        <w:pStyle w:val="Heading4"/>
      </w:pPr>
      <w:r w:rsidRPr="005B1F2F">
        <w:t>Major toxicities</w:t>
      </w:r>
    </w:p>
    <w:p w14:paraId="4134ACA8" w14:textId="77777777" w:rsidR="005B1F2F" w:rsidRPr="005B1F2F" w:rsidRDefault="005B1F2F" w:rsidP="005B1F2F">
      <w:r w:rsidRPr="005B1F2F">
        <w:t xml:space="preserve">The pivotal rat study established a </w:t>
      </w:r>
      <w:r w:rsidR="0047313A">
        <w:t>no observable adverse effect level</w:t>
      </w:r>
      <w:r w:rsidR="0047313A" w:rsidRPr="005B1F2F">
        <w:t xml:space="preserve"> </w:t>
      </w:r>
      <w:r w:rsidR="0047313A">
        <w:t>(</w:t>
      </w:r>
      <w:r w:rsidRPr="005B1F2F">
        <w:t>NOAEL</w:t>
      </w:r>
      <w:r w:rsidR="0047313A">
        <w:t>)</w:t>
      </w:r>
      <w:r w:rsidRPr="005B1F2F">
        <w:t xml:space="preserve"> of 6</w:t>
      </w:r>
      <w:r w:rsidR="0047313A">
        <w:t>,000 </w:t>
      </w:r>
      <w:r w:rsidRPr="005B1F2F">
        <w:t>mg/kg/day, representing 10 times the maximum recommended clinical dose (based on body weight). Notable findings were limited to electrolyte changes in serum and urine (consistent with the pharmacology of the compound), and pale faeces (representing excretion of the test article), with no histopathological changes in the GI tract or systemic tissues observed.</w:t>
      </w:r>
    </w:p>
    <w:p w14:paraId="1CD070BD" w14:textId="77777777" w:rsidR="005B1F2F" w:rsidRPr="005B1F2F" w:rsidRDefault="005B1F2F" w:rsidP="005B1F2F">
      <w:r w:rsidRPr="005B1F2F">
        <w:t xml:space="preserve">The kidney and adrenal glands were identified as target organs in dog studies. Renal </w:t>
      </w:r>
      <w:r w:rsidR="0047313A">
        <w:t>tubule-</w:t>
      </w:r>
      <w:r w:rsidRPr="005B1F2F">
        <w:t>interstitial inflammation (featuring vacuolation/degeneration/regeneration of tubules), increased interstitial matrix and fibrosis were observed with dosing at 2</w:t>
      </w:r>
      <w:r w:rsidR="0047313A">
        <w:t xml:space="preserve">,000 mg/kg/day in the pivotal 9 </w:t>
      </w:r>
      <w:r w:rsidRPr="005B1F2F">
        <w:t>month study. Adrenal gland changes in the pivotal study comprised vacuolation (increased lipid, associated with altered steroidogenesis; seen at all dose levels [</w:t>
      </w:r>
      <w:r w:rsidR="0047313A">
        <w:t xml:space="preserve">≥ </w:t>
      </w:r>
      <w:r w:rsidRPr="005B1F2F">
        <w:t xml:space="preserve">300 mg/kg/day]), and atrophy (at </w:t>
      </w:r>
      <w:r w:rsidR="0047313A">
        <w:t xml:space="preserve">≥ </w:t>
      </w:r>
      <w:r w:rsidRPr="005B1F2F">
        <w:t>1</w:t>
      </w:r>
      <w:r w:rsidR="0047313A">
        <w:t>,</w:t>
      </w:r>
      <w:r w:rsidRPr="005B1F2F">
        <w:t>000 mg/kg/day), and were accompanied by an increase in pituitary weight and increased incidence/severity of pituitary cysts. Along with potassium, serum aldosterone was reduced with dosing at 2</w:t>
      </w:r>
      <w:r w:rsidR="0047313A">
        <w:t>,</w:t>
      </w:r>
      <w:r w:rsidRPr="005B1F2F">
        <w:t xml:space="preserve">000 mg/kg/day. Other than one instance of </w:t>
      </w:r>
      <w:r w:rsidR="0047313A">
        <w:t>tubule-</w:t>
      </w:r>
      <w:r w:rsidRPr="005B1F2F">
        <w:t>inte</w:t>
      </w:r>
      <w:r w:rsidR="0047313A">
        <w:t>rstitial inflammation in a high </w:t>
      </w:r>
      <w:r w:rsidRPr="005B1F2F">
        <w:t xml:space="preserve">dose male (graded moderate), all microscopic lesions were of minimal to mild severity, and were shown to be reduced in incidence/severity after a </w:t>
      </w:r>
      <w:r w:rsidR="0047313A">
        <w:t>4 week</w:t>
      </w:r>
      <w:r w:rsidRPr="005B1F2F">
        <w:t xml:space="preserve"> </w:t>
      </w:r>
      <w:r w:rsidR="0047313A">
        <w:t xml:space="preserve">treatment </w:t>
      </w:r>
      <w:r w:rsidRPr="005B1F2F">
        <w:t>free period. These findings are consistent with prolonged potassium depletion, rather than a direct toxic effect of the drug. They were shown to be ameliorated with potassium supplementation, and are not considered clinically relevant in the context of therapy to achieve and maintain normokalaemia.</w:t>
      </w:r>
    </w:p>
    <w:p w14:paraId="0381D5FC" w14:textId="77777777" w:rsidR="005B1F2F" w:rsidRPr="005B1F2F" w:rsidRDefault="005B1F2F" w:rsidP="005B1F2F">
      <w:pPr>
        <w:pStyle w:val="Heading4"/>
      </w:pPr>
      <w:bookmarkStart w:id="60" w:name="_Toc294861729"/>
      <w:r w:rsidRPr="005B1F2F">
        <w:t>Genotoxicity</w:t>
      </w:r>
      <w:bookmarkEnd w:id="60"/>
    </w:p>
    <w:p w14:paraId="26FAD76D" w14:textId="77777777" w:rsidR="00E54E4F" w:rsidRPr="005B1F2F" w:rsidRDefault="005B1F2F" w:rsidP="005B1F2F">
      <w:r w:rsidRPr="005B1F2F">
        <w:t xml:space="preserve">The potential genotoxicity of sodium zirconium cyclosilicate was investigated in the standard battery of tests, conducted in accordance with ICH guidelines. All assays were suitably validated. The set of bacterial strains used in the Ames test, and the concentrations/doses used across studies were appropriate. Sodium zirconium cyclosilicate was not mutagenic in the </w:t>
      </w:r>
      <w:proofErr w:type="gramStart"/>
      <w:r w:rsidRPr="005B1F2F">
        <w:t>bacterial mutation assay, nor</w:t>
      </w:r>
      <w:proofErr w:type="gramEnd"/>
      <w:r w:rsidRPr="005B1F2F">
        <w:t xml:space="preserve"> clastogenic in vitro (in CHO cells) or in vivo (in the rat micronucleus test).</w:t>
      </w:r>
    </w:p>
    <w:p w14:paraId="002730E4" w14:textId="77777777" w:rsidR="005B1F2F" w:rsidRPr="005B1F2F" w:rsidRDefault="005B1F2F" w:rsidP="005B1F2F">
      <w:pPr>
        <w:pStyle w:val="Heading4"/>
      </w:pPr>
      <w:bookmarkStart w:id="61" w:name="_Toc294861730"/>
      <w:r w:rsidRPr="005B1F2F">
        <w:lastRenderedPageBreak/>
        <w:t>Carcinogenicity</w:t>
      </w:r>
      <w:bookmarkEnd w:id="61"/>
    </w:p>
    <w:p w14:paraId="7A8B4875" w14:textId="77777777" w:rsidR="005B1F2F" w:rsidRPr="005B1F2F" w:rsidRDefault="005B1F2F" w:rsidP="005B1F2F">
      <w:r w:rsidRPr="005B1F2F">
        <w:t xml:space="preserve">No carcinogenicity studies were submitted. This is acceptable, and </w:t>
      </w:r>
      <w:r w:rsidR="0047313A">
        <w:t xml:space="preserve">in accordance with relevant TGA </w:t>
      </w:r>
      <w:r w:rsidRPr="005B1F2F">
        <w:t>adopted guideline</w:t>
      </w:r>
      <w:r w:rsidR="0047313A">
        <w:rPr>
          <w:rStyle w:val="FootnoteReference"/>
        </w:rPr>
        <w:footnoteReference w:id="5"/>
      </w:r>
      <w:r w:rsidRPr="005B1F2F">
        <w:t xml:space="preserve"> given that sodium zirconium cyclosilicate is not absorbed and distributed systemically, is not genotoxic, is not in a class of compounds with known carcinogenic potential, and given that the general </w:t>
      </w:r>
      <w:r w:rsidR="00E557DC">
        <w:t>repeat dose</w:t>
      </w:r>
      <w:r w:rsidRPr="005B1F2F">
        <w:t xml:space="preserve"> toxicity studies </w:t>
      </w:r>
      <w:r w:rsidR="0047313A">
        <w:t>revealed no hyperplastic or pre</w:t>
      </w:r>
      <w:r w:rsidRPr="005B1F2F">
        <w:t>neoplastic lesions to give cause for concern.</w:t>
      </w:r>
    </w:p>
    <w:p w14:paraId="4C67A219" w14:textId="77777777" w:rsidR="005B1F2F" w:rsidRPr="005B1F2F" w:rsidRDefault="005B1F2F" w:rsidP="005B1F2F">
      <w:pPr>
        <w:pStyle w:val="Heading4"/>
      </w:pPr>
      <w:r w:rsidRPr="005B1F2F">
        <w:t>Reproductive toxicity</w:t>
      </w:r>
    </w:p>
    <w:p w14:paraId="3EC26908" w14:textId="77777777" w:rsidR="005B1F2F" w:rsidRPr="005B1F2F" w:rsidRDefault="005B1F2F" w:rsidP="005B1F2F">
      <w:r w:rsidRPr="005B1F2F">
        <w:t xml:space="preserve">Reproductive toxicity studies with sodium zirconium cyclosilicate covered all stages. Adequate animal numbers were used, and dose selection and the timing/duration of treatment were appropriate. No adverse effects on male or female fertility (rats), embryofetal development (rats and </w:t>
      </w:r>
      <w:r w:rsidR="0047313A">
        <w:t>rabbits) and pre</w:t>
      </w:r>
      <w:r w:rsidRPr="005B1F2F">
        <w:t>/postnatal development (rats) were observed with sodium zirconium cyclosilicate up to the highest dose tested (6</w:t>
      </w:r>
      <w:r w:rsidR="0047313A">
        <w:t>,000 </w:t>
      </w:r>
      <w:r w:rsidRPr="005B1F2F">
        <w:t xml:space="preserve">mg/kg/day PO in all studies), associated with an exposure multiple of 10 (based on </w:t>
      </w:r>
      <w:proofErr w:type="spellStart"/>
      <w:r w:rsidRPr="005B1F2F">
        <w:t>animal:human</w:t>
      </w:r>
      <w:proofErr w:type="spellEnd"/>
      <w:r w:rsidRPr="005B1F2F">
        <w:t xml:space="preserve"> mg/kg dose comparisons).</w:t>
      </w:r>
    </w:p>
    <w:p w14:paraId="43442A7A" w14:textId="77777777" w:rsidR="005B1F2F" w:rsidRPr="005B1F2F" w:rsidRDefault="005B1F2F" w:rsidP="00462275">
      <w:pPr>
        <w:pStyle w:val="Heading5"/>
      </w:pPr>
      <w:r w:rsidRPr="005B1F2F">
        <w:t>Pregnancy classification</w:t>
      </w:r>
    </w:p>
    <w:p w14:paraId="291E6A9B" w14:textId="77777777" w:rsidR="005B1F2F" w:rsidRPr="005B1F2F" w:rsidRDefault="005B1F2F" w:rsidP="005B1F2F">
      <w:r w:rsidRPr="005B1F2F">
        <w:t>The sponsor has not nominated a pregnancy category. Based on the absence of adverse effects on embryofetal development seen in rats and rabbits in the studies described above, Pregnancy Category B1 is recommended.</w:t>
      </w:r>
      <w:r w:rsidR="0047313A">
        <w:rPr>
          <w:rStyle w:val="FootnoteReference"/>
        </w:rPr>
        <w:footnoteReference w:id="6"/>
      </w:r>
    </w:p>
    <w:p w14:paraId="0EEC7F73" w14:textId="77777777" w:rsidR="005B1F2F" w:rsidRPr="005B1F2F" w:rsidRDefault="005B1F2F" w:rsidP="00462275">
      <w:pPr>
        <w:pStyle w:val="Heading4"/>
      </w:pPr>
      <w:r w:rsidRPr="005B1F2F">
        <w:t>Local tolerance; antigenicity</w:t>
      </w:r>
    </w:p>
    <w:p w14:paraId="21E208AA" w14:textId="77777777" w:rsidR="005B1F2F" w:rsidRPr="005B1F2F" w:rsidRDefault="005B1F2F" w:rsidP="005B1F2F">
      <w:r w:rsidRPr="005B1F2F">
        <w:t>No dermal irritation or skin sensitisation was observed with sodium zirconium cyclosilicate in guinea pigs.</w:t>
      </w:r>
    </w:p>
    <w:p w14:paraId="777329D6" w14:textId="77777777" w:rsidR="005B1F2F" w:rsidRPr="005B1F2F" w:rsidRDefault="005B1F2F" w:rsidP="005B1F2F">
      <w:r w:rsidRPr="005B1F2F">
        <w:t xml:space="preserve">Gastrointestinal irritation was not observed in the general </w:t>
      </w:r>
      <w:r w:rsidR="00E557DC">
        <w:t>repeat dose</w:t>
      </w:r>
      <w:r w:rsidRPr="005B1F2F">
        <w:t xml:space="preserve"> toxicity studies where rats and dogs were administered oral doses of sodium zirconium cyclosilicate of up to 2</w:t>
      </w:r>
      <w:r w:rsidR="00507CAF">
        <w:t xml:space="preserve">,000 mg/kg per occasion, 6.7 </w:t>
      </w:r>
      <w:r w:rsidRPr="005B1F2F">
        <w:t>times greater the maximum clinical dose per occasion (15 g) on a mg/kg basis (assuming a patient body weight of 50 kg).</w:t>
      </w:r>
    </w:p>
    <w:p w14:paraId="1818ECE8" w14:textId="77777777" w:rsidR="00462275" w:rsidRPr="00462275" w:rsidRDefault="00462275" w:rsidP="00462275">
      <w:pPr>
        <w:pStyle w:val="Heading4"/>
      </w:pPr>
      <w:r w:rsidRPr="00462275">
        <w:t>Immunotoxicity</w:t>
      </w:r>
    </w:p>
    <w:p w14:paraId="0F4544FE" w14:textId="77777777" w:rsidR="00462275" w:rsidRPr="00462275" w:rsidRDefault="00462275" w:rsidP="00462275">
      <w:r w:rsidRPr="00462275">
        <w:t xml:space="preserve">No specialised immunotoxicity studies were submitted. This is acceptable, with no cause for concern (effects on immune cells and tissue) was identified in the general </w:t>
      </w:r>
      <w:r w:rsidR="00E557DC">
        <w:t>repeat dose</w:t>
      </w:r>
      <w:r w:rsidRPr="00462275">
        <w:t xml:space="preserve"> toxicity studies.</w:t>
      </w:r>
    </w:p>
    <w:p w14:paraId="6F748D67" w14:textId="77777777" w:rsidR="00462275" w:rsidRPr="00462275" w:rsidRDefault="00507CAF" w:rsidP="00462275">
      <w:pPr>
        <w:pStyle w:val="Heading4"/>
      </w:pPr>
      <w:r>
        <w:t>Phototoxicity</w:t>
      </w:r>
    </w:p>
    <w:p w14:paraId="65618D0B" w14:textId="77777777" w:rsidR="00462275" w:rsidRPr="00462275" w:rsidRDefault="00462275" w:rsidP="00462275">
      <w:r w:rsidRPr="00462275">
        <w:t>No phototoxicity studies were submitted. This is acceptable given that sodium zirconium cyclosilicate does no distribute to the skin or the eyes.</w:t>
      </w:r>
    </w:p>
    <w:p w14:paraId="6A6CDD19" w14:textId="77777777" w:rsidR="00462275" w:rsidRPr="00462275" w:rsidRDefault="00462275" w:rsidP="00462275">
      <w:pPr>
        <w:pStyle w:val="Heading4"/>
      </w:pPr>
      <w:r w:rsidRPr="00462275">
        <w:t>Paediatric use</w:t>
      </w:r>
    </w:p>
    <w:p w14:paraId="6D6AFCD1" w14:textId="77777777" w:rsidR="00462275" w:rsidRPr="00462275" w:rsidRDefault="00462275" w:rsidP="00462275">
      <w:r w:rsidRPr="00462275">
        <w:t>Sodium zirconium cyclosilicate is not proposed for paediatric use and no specific studies in juvenile animals were submitted.</w:t>
      </w:r>
    </w:p>
    <w:p w14:paraId="3C71DDFB" w14:textId="77777777" w:rsidR="00462275" w:rsidRPr="00462275" w:rsidRDefault="00462275" w:rsidP="00462275">
      <w:r w:rsidRPr="00462275">
        <w:lastRenderedPageBreak/>
        <w:t>The proposed impurity specification for the drug substance is considered to be toxicologically acceptable.</w:t>
      </w:r>
    </w:p>
    <w:p w14:paraId="775DA9FE" w14:textId="77777777" w:rsidR="00462275" w:rsidRPr="00462275" w:rsidRDefault="00462275" w:rsidP="00462275">
      <w:pPr>
        <w:pStyle w:val="Heading4"/>
      </w:pPr>
      <w:bookmarkStart w:id="62" w:name="_Toc453841715"/>
      <w:r w:rsidRPr="00462275">
        <w:t xml:space="preserve">Comments on the </w:t>
      </w:r>
      <w:r w:rsidR="00507CAF" w:rsidRPr="00462275">
        <w:t xml:space="preserve">nonclinical safety specification </w:t>
      </w:r>
      <w:r w:rsidRPr="00462275">
        <w:t>of the Risk Management Plan</w:t>
      </w:r>
      <w:bookmarkEnd w:id="62"/>
    </w:p>
    <w:p w14:paraId="5F4F5DDF" w14:textId="77777777" w:rsidR="00886664" w:rsidRDefault="00462275" w:rsidP="00462275">
      <w:r w:rsidRPr="00462275">
        <w:t xml:space="preserve">Results and conclusions drawn from the nonclinical program for sodium zirconium cyclosilicate detailed in the sponsor’s draft Risk Management Plan </w:t>
      </w:r>
      <w:r w:rsidR="00507CAF">
        <w:t>(RMP</w:t>
      </w:r>
      <w:proofErr w:type="gramStart"/>
      <w:r w:rsidR="00507CAF">
        <w:t>)</w:t>
      </w:r>
      <w:r w:rsidRPr="00462275">
        <w:t>(</w:t>
      </w:r>
      <w:proofErr w:type="gramEnd"/>
      <w:r w:rsidRPr="00462275">
        <w:t xml:space="preserve">Part II: Module SII) are in general concordance with those of the </w:t>
      </w:r>
      <w:r w:rsidR="00507CAF" w:rsidRPr="00462275">
        <w:t>nonclinical evaluator</w:t>
      </w:r>
      <w:r w:rsidR="00886664">
        <w:t>.</w:t>
      </w:r>
    </w:p>
    <w:p w14:paraId="02D123BC" w14:textId="77777777" w:rsidR="008E7846" w:rsidRDefault="008E7846" w:rsidP="008E7846">
      <w:pPr>
        <w:pStyle w:val="Heading3"/>
      </w:pPr>
      <w:bookmarkStart w:id="63" w:name="_Toc247691515"/>
      <w:bookmarkStart w:id="64" w:name="_Toc314842499"/>
      <w:bookmarkStart w:id="65" w:name="_Toc505252929"/>
      <w:r>
        <w:t>Nonclinical summary and conclusions</w:t>
      </w:r>
      <w:bookmarkEnd w:id="63"/>
      <w:bookmarkEnd w:id="64"/>
      <w:bookmarkEnd w:id="65"/>
    </w:p>
    <w:p w14:paraId="2C54901B" w14:textId="77777777" w:rsidR="00E54E4F" w:rsidRPr="00706BD3" w:rsidRDefault="00E54E4F" w:rsidP="00E54E4F">
      <w:pPr>
        <w:pStyle w:val="ListBullet"/>
        <w:rPr>
          <w:kern w:val="2"/>
        </w:rPr>
      </w:pPr>
      <w:r w:rsidRPr="00013CED">
        <w:t xml:space="preserve">AstraZeneca Pty Ltd seeks to register </w:t>
      </w:r>
      <w:r w:rsidRPr="00013CED">
        <w:rPr>
          <w:smallCaps/>
        </w:rPr>
        <w:t>L</w:t>
      </w:r>
      <w:r w:rsidRPr="00507CAF">
        <w:t>okelma</w:t>
      </w:r>
      <w:r w:rsidR="00507CAF">
        <w:t>;</w:t>
      </w:r>
      <w:r w:rsidR="00507CAF">
        <w:rPr>
          <w:w w:val="50"/>
        </w:rPr>
        <w:t xml:space="preserve"> </w:t>
      </w:r>
      <w:r w:rsidRPr="00013CED">
        <w:t>containing the new chemical entity, sodium zirconium cyclosilicate, as the active ingredient</w:t>
      </w:r>
      <w:r w:rsidR="00507CAF">
        <w:rPr>
          <w:w w:val="50"/>
        </w:rPr>
        <w:t xml:space="preserve">; </w:t>
      </w:r>
      <w:r w:rsidRPr="00013CED">
        <w:t>for the treatment of hyperkalaemia in adult patients. The proposed dosing regimen involves oral administration of powder (as a slurry or suspension in water) at up to 10 g three times a day for a maximum of 3 days to achieve normokalaemia followed by between 5 g once every other da</w:t>
      </w:r>
      <w:r w:rsidRPr="00FD6588">
        <w:t>y and 10 g once daily</w:t>
      </w:r>
      <w:r w:rsidRPr="00013CED">
        <w:t xml:space="preserve"> for maintenance therapy.</w:t>
      </w:r>
    </w:p>
    <w:p w14:paraId="4329271D" w14:textId="77777777" w:rsidR="00E54E4F" w:rsidRPr="000E5A2D" w:rsidRDefault="00E54E4F" w:rsidP="00E54E4F">
      <w:pPr>
        <w:pStyle w:val="ListBullet"/>
        <w:rPr>
          <w:kern w:val="2"/>
        </w:rPr>
      </w:pPr>
      <w:r>
        <w:t>The overall quality of the nonclinical dossier wa</w:t>
      </w:r>
      <w:r w:rsidR="00507CAF">
        <w:t xml:space="preserve">s high, with all pivotal safety related studies GLP </w:t>
      </w:r>
      <w:r>
        <w:t xml:space="preserve">compliant. </w:t>
      </w:r>
      <w:r w:rsidR="00507CAF">
        <w:t>The nonclinical module</w:t>
      </w:r>
      <w:r>
        <w:t xml:space="preserve"> contained no major deficiencies.</w:t>
      </w:r>
    </w:p>
    <w:p w14:paraId="1CCE6312" w14:textId="77777777" w:rsidR="00E54E4F" w:rsidRDefault="00E54E4F" w:rsidP="00E54E4F">
      <w:pPr>
        <w:pStyle w:val="ListBullet"/>
        <w:rPr>
          <w:kern w:val="2"/>
        </w:rPr>
      </w:pPr>
      <w:r>
        <w:rPr>
          <w:kern w:val="2"/>
        </w:rPr>
        <w:t xml:space="preserve">Sodium zirconium cyclosilicate was shown to sequester </w:t>
      </w:r>
      <w:r w:rsidR="00886664" w:rsidRPr="00E9044D">
        <w:t>K</w:t>
      </w:r>
      <w:r w:rsidR="00886664" w:rsidRPr="00886664">
        <w:rPr>
          <w:vertAlign w:val="superscript"/>
        </w:rPr>
        <w:t>+</w:t>
      </w:r>
      <w:r>
        <w:rPr>
          <w:kern w:val="2"/>
        </w:rPr>
        <w:t xml:space="preserve"> ions </w:t>
      </w:r>
      <w:r w:rsidRPr="000E5A2D">
        <w:rPr>
          <w:i/>
          <w:kern w:val="2"/>
        </w:rPr>
        <w:t>in vitro</w:t>
      </w:r>
      <w:r>
        <w:rPr>
          <w:kern w:val="2"/>
        </w:rPr>
        <w:t xml:space="preserve">. It lowered serum </w:t>
      </w:r>
      <w:r w:rsidR="00886664" w:rsidRPr="00E9044D">
        <w:t>K</w:t>
      </w:r>
      <w:r w:rsidR="00886664" w:rsidRPr="00886664">
        <w:rPr>
          <w:vertAlign w:val="superscript"/>
        </w:rPr>
        <w:t>+</w:t>
      </w:r>
      <w:r>
        <w:rPr>
          <w:kern w:val="2"/>
        </w:rPr>
        <w:t xml:space="preserve"> in rats and dogs, but not consistently, reflecting that the studies were performed in normokalaemic animals. Decreased absorption of potassium was chiefly evident as reduced urinary </w:t>
      </w:r>
      <w:r w:rsidR="00886664" w:rsidRPr="00E9044D">
        <w:t>K</w:t>
      </w:r>
      <w:r w:rsidR="00886664" w:rsidRPr="00886664">
        <w:rPr>
          <w:vertAlign w:val="superscript"/>
        </w:rPr>
        <w:t>+</w:t>
      </w:r>
      <w:r>
        <w:rPr>
          <w:kern w:val="2"/>
        </w:rPr>
        <w:t xml:space="preserve"> excretion instead.</w:t>
      </w:r>
    </w:p>
    <w:p w14:paraId="34BB73B8" w14:textId="77777777" w:rsidR="00E54E4F" w:rsidRDefault="00E54E4F" w:rsidP="00E54E4F">
      <w:pPr>
        <w:pStyle w:val="ListBullet"/>
        <w:rPr>
          <w:kern w:val="2"/>
        </w:rPr>
      </w:pPr>
      <w:r>
        <w:rPr>
          <w:kern w:val="2"/>
        </w:rPr>
        <w:t>Studies examining ion selectivity revealed that sodium zirconium cyclosilicate also binds ammonium (</w:t>
      </w:r>
      <w:r w:rsidR="00886664" w:rsidRPr="00E9044D">
        <w:t>K</w:t>
      </w:r>
      <w:r w:rsidR="00886664" w:rsidRPr="00886664">
        <w:rPr>
          <w:vertAlign w:val="superscript"/>
        </w:rPr>
        <w:t>+</w:t>
      </w:r>
      <w:r>
        <w:rPr>
          <w:kern w:val="2"/>
        </w:rPr>
        <w:t>:</w:t>
      </w:r>
      <w:r w:rsidR="00886664" w:rsidRPr="00E9044D">
        <w:t>NH</w:t>
      </w:r>
      <w:r w:rsidR="00886664" w:rsidRPr="00886664">
        <w:rPr>
          <w:vertAlign w:val="superscript"/>
        </w:rPr>
        <w:t>4+</w:t>
      </w:r>
      <w:r w:rsidR="00507CAF">
        <w:rPr>
          <w:kern w:val="2"/>
        </w:rPr>
        <w:t xml:space="preserve"> selectivity, 1.25 </w:t>
      </w:r>
      <w:r>
        <w:rPr>
          <w:kern w:val="2"/>
        </w:rPr>
        <w:t>fold) and calcium (</w:t>
      </w:r>
      <w:r w:rsidR="00886664" w:rsidRPr="00E9044D">
        <w:t>K</w:t>
      </w:r>
      <w:r w:rsidR="00886664" w:rsidRPr="00886664">
        <w:rPr>
          <w:vertAlign w:val="superscript"/>
        </w:rPr>
        <w:t>+</w:t>
      </w:r>
      <w:r>
        <w:rPr>
          <w:kern w:val="2"/>
        </w:rPr>
        <w:t>:</w:t>
      </w:r>
      <w:r w:rsidR="00886664" w:rsidRPr="00E9044D">
        <w:t>Ca</w:t>
      </w:r>
      <w:r w:rsidR="00886664" w:rsidRPr="00886664">
        <w:rPr>
          <w:vertAlign w:val="superscript"/>
        </w:rPr>
        <w:t>2+</w:t>
      </w:r>
      <w:r w:rsidR="00507CAF">
        <w:rPr>
          <w:kern w:val="2"/>
        </w:rPr>
        <w:t xml:space="preserve"> selectivity, 15 </w:t>
      </w:r>
      <w:r>
        <w:rPr>
          <w:kern w:val="2"/>
        </w:rPr>
        <w:t>fold). Lithium binding was also apparent.</w:t>
      </w:r>
    </w:p>
    <w:p w14:paraId="16532CF1" w14:textId="77777777" w:rsidR="00E54E4F" w:rsidRDefault="00E54E4F" w:rsidP="00E54E4F">
      <w:pPr>
        <w:pStyle w:val="ListBullet"/>
        <w:rPr>
          <w:kern w:val="2"/>
        </w:rPr>
      </w:pPr>
      <w:r>
        <w:rPr>
          <w:kern w:val="2"/>
        </w:rPr>
        <w:t>Sodium zirconium cyclosilicate is not absorbed systemically, and, as an insoluble inorganic compound, is not subject to enzymatic degradation. Excretion is entirely by the faecal route.</w:t>
      </w:r>
    </w:p>
    <w:p w14:paraId="0FEFDDE3" w14:textId="77777777" w:rsidR="00E54E4F" w:rsidRDefault="00E54E4F" w:rsidP="00E54E4F">
      <w:pPr>
        <w:pStyle w:val="ListBullet"/>
        <w:rPr>
          <w:kern w:val="2"/>
        </w:rPr>
      </w:pPr>
      <w:r w:rsidRPr="00B00078">
        <w:rPr>
          <w:i/>
          <w:kern w:val="2"/>
        </w:rPr>
        <w:t>In vitro</w:t>
      </w:r>
      <w:r>
        <w:rPr>
          <w:kern w:val="2"/>
        </w:rPr>
        <w:t xml:space="preserve"> studies indicate a likely increase in stomach pH of up to 2 pH units with administration of sodium zirconium cyclosilicate, giving rise to potential pharmacokinetic interactions with co</w:t>
      </w:r>
      <w:r>
        <w:rPr>
          <w:kern w:val="2"/>
        </w:rPr>
        <w:noBreakHyphen/>
        <w:t xml:space="preserve">administered drugs similar to those encountered with antacids. Direct binding of other drugs by sodium zirconium cyclosilicate was not seen, except for calcium and lithium. This occurred at high concentrations of these cations and under conditions where there was no or little competition by </w:t>
      </w:r>
      <w:r w:rsidR="00886664" w:rsidRPr="00E9044D">
        <w:t>K</w:t>
      </w:r>
      <w:r w:rsidR="00886664" w:rsidRPr="00886664">
        <w:rPr>
          <w:vertAlign w:val="superscript"/>
        </w:rPr>
        <w:t>+</w:t>
      </w:r>
      <w:r>
        <w:rPr>
          <w:kern w:val="2"/>
        </w:rPr>
        <w:t>; no clinically relevant interaction with calcium or lithium is predicted.</w:t>
      </w:r>
    </w:p>
    <w:p w14:paraId="00201A1F" w14:textId="77777777" w:rsidR="00E54E4F" w:rsidRPr="00EC279E" w:rsidRDefault="00E54E4F" w:rsidP="00E54E4F">
      <w:pPr>
        <w:pStyle w:val="ListBullet"/>
        <w:rPr>
          <w:kern w:val="2"/>
        </w:rPr>
      </w:pPr>
      <w:r>
        <w:rPr>
          <w:kern w:val="2"/>
        </w:rPr>
        <w:t xml:space="preserve">Sodium zirconium cyclosilicate displayed a low order of acute toxicity by the oral route in rats </w:t>
      </w:r>
      <w:r w:rsidRPr="00EC279E">
        <w:rPr>
          <w:kern w:val="2"/>
        </w:rPr>
        <w:t>and dogs.</w:t>
      </w:r>
    </w:p>
    <w:p w14:paraId="6A96C3C4" w14:textId="77777777" w:rsidR="00E54E4F" w:rsidRPr="00EC279E" w:rsidRDefault="00507CAF" w:rsidP="00E54E4F">
      <w:pPr>
        <w:pStyle w:val="ListBullet"/>
        <w:rPr>
          <w:kern w:val="2"/>
        </w:rPr>
      </w:pPr>
      <w:r>
        <w:rPr>
          <w:kern w:val="2"/>
        </w:rPr>
        <w:t xml:space="preserve">Repeat </w:t>
      </w:r>
      <w:r w:rsidR="00E54E4F" w:rsidRPr="00EC279E">
        <w:rPr>
          <w:kern w:val="2"/>
        </w:rPr>
        <w:t>dose toxicity studies by the oral route were conducted in rats (up to 6 months) and dogs (up to 9 months). No treatment-related microscopic lesions were observed in rats treated with sodium zirconium cyclosilicate at up to 6</w:t>
      </w:r>
      <w:r>
        <w:rPr>
          <w:kern w:val="2"/>
        </w:rPr>
        <w:t>,</w:t>
      </w:r>
      <w:r w:rsidR="00E54E4F" w:rsidRPr="00EC279E">
        <w:rPr>
          <w:kern w:val="2"/>
        </w:rPr>
        <w:t xml:space="preserve">000 mg/kg/day for 6 months (10 times the maximum recommended clinical dose on </w:t>
      </w:r>
      <w:proofErr w:type="gramStart"/>
      <w:r w:rsidR="00E54E4F" w:rsidRPr="00EC279E">
        <w:rPr>
          <w:kern w:val="2"/>
        </w:rPr>
        <w:t>a</w:t>
      </w:r>
      <w:proofErr w:type="gramEnd"/>
      <w:r w:rsidR="00E54E4F" w:rsidRPr="00EC279E">
        <w:rPr>
          <w:kern w:val="2"/>
        </w:rPr>
        <w:t xml:space="preserve"> mg/kg basis). Treated dogs showed inflammatory and degenerative changes in the kidney, and atrophy and vacuolation in the adrenal gland, but these were shown to be secondary to hypokalaemia rather than a direct toxic effect of the drug. As such, they are not expected in patients.</w:t>
      </w:r>
    </w:p>
    <w:p w14:paraId="34E1325D" w14:textId="77777777" w:rsidR="00E54E4F" w:rsidRPr="00A96B05" w:rsidRDefault="00E54E4F" w:rsidP="00E54E4F">
      <w:pPr>
        <w:pStyle w:val="ListBullet"/>
        <w:rPr>
          <w:kern w:val="2"/>
        </w:rPr>
      </w:pPr>
      <w:r w:rsidRPr="00EC279E">
        <w:t xml:space="preserve">Sodium zirconium cyclosilicate was not genotoxic in the standard battery of tests. </w:t>
      </w:r>
      <w:r w:rsidRPr="00EC279E">
        <w:rPr>
          <w:kern w:val="2"/>
        </w:rPr>
        <w:t xml:space="preserve">Carcinogenicity studies were not conducted, in line with ICH guidance </w:t>
      </w:r>
      <w:r>
        <w:rPr>
          <w:kern w:val="2"/>
        </w:rPr>
        <w:t>where there</w:t>
      </w:r>
      <w:r w:rsidRPr="00EC279E">
        <w:rPr>
          <w:kern w:val="2"/>
        </w:rPr>
        <w:t xml:space="preserve"> i</w:t>
      </w:r>
      <w:r>
        <w:rPr>
          <w:kern w:val="2"/>
        </w:rPr>
        <w:t xml:space="preserve">s </w:t>
      </w:r>
      <w:r>
        <w:rPr>
          <w:kern w:val="2"/>
        </w:rPr>
        <w:lastRenderedPageBreak/>
        <w:t xml:space="preserve">no or </w:t>
      </w:r>
      <w:r w:rsidRPr="00A96B05">
        <w:rPr>
          <w:kern w:val="2"/>
        </w:rPr>
        <w:t xml:space="preserve">minimal systemic exposure and general </w:t>
      </w:r>
      <w:r w:rsidR="00E557DC">
        <w:rPr>
          <w:kern w:val="2"/>
        </w:rPr>
        <w:t>repeat dose</w:t>
      </w:r>
      <w:r w:rsidRPr="00A96B05">
        <w:rPr>
          <w:kern w:val="2"/>
        </w:rPr>
        <w:t xml:space="preserve"> toxicity studies give no cause for concern.</w:t>
      </w:r>
    </w:p>
    <w:p w14:paraId="3E55DAD3" w14:textId="77777777" w:rsidR="00E54E4F" w:rsidRPr="00A96B05" w:rsidRDefault="00E54E4F" w:rsidP="00E54E4F">
      <w:pPr>
        <w:pStyle w:val="ListBullet"/>
        <w:rPr>
          <w:kern w:val="2"/>
          <w:sz w:val="18"/>
          <w:szCs w:val="18"/>
        </w:rPr>
      </w:pPr>
      <w:r w:rsidRPr="00A96B05">
        <w:rPr>
          <w:kern w:val="2"/>
        </w:rPr>
        <w:t xml:space="preserve">Fertility (rats), embryofetal development (rats and rabbits) and pre/post-natal development (rats) were unaffected by treatment with </w:t>
      </w:r>
      <w:r w:rsidRPr="00A96B05">
        <w:t xml:space="preserve">sodium zirconium cyclosilicate </w:t>
      </w:r>
      <w:r w:rsidRPr="00A96B05">
        <w:rPr>
          <w:kern w:val="2"/>
        </w:rPr>
        <w:t xml:space="preserve">at oral doses up to 10 times higher than the maximum recommended clinical dose. No pregnancy category has been nominated by the sponsor; </w:t>
      </w:r>
      <w:r w:rsidRPr="00A96B05">
        <w:t>placement in Pregnancy Category B1 is recommended.</w:t>
      </w:r>
    </w:p>
    <w:p w14:paraId="7EB89D9A" w14:textId="77777777" w:rsidR="00E54E4F" w:rsidRPr="00C37439" w:rsidRDefault="00E54E4F" w:rsidP="00E54E4F">
      <w:pPr>
        <w:pStyle w:val="ListBullet"/>
        <w:rPr>
          <w:kern w:val="2"/>
        </w:rPr>
      </w:pPr>
      <w:r w:rsidRPr="00C37439">
        <w:rPr>
          <w:kern w:val="2"/>
        </w:rPr>
        <w:t>There are no nonclinical objections to the registration of</w:t>
      </w:r>
      <w:r w:rsidRPr="00C37439">
        <w:t xml:space="preserve"> </w:t>
      </w:r>
      <w:r w:rsidRPr="00507CAF">
        <w:t>Lokelma f</w:t>
      </w:r>
      <w:r w:rsidRPr="00C37439">
        <w:rPr>
          <w:kern w:val="2"/>
        </w:rPr>
        <w:t>or the proposed indication.</w:t>
      </w:r>
    </w:p>
    <w:p w14:paraId="0B830BB1" w14:textId="77777777" w:rsidR="00E54E4F" w:rsidRDefault="00086802" w:rsidP="00E54E4F">
      <w:r>
        <w:t>The</w:t>
      </w:r>
      <w:r w:rsidR="00E54E4F">
        <w:t xml:space="preserve"> nonclinical evaluator also made recommendations regarding the PI but these are beyond the scope of the AusPAR.</w:t>
      </w:r>
    </w:p>
    <w:p w14:paraId="3D644AC3" w14:textId="77777777" w:rsidR="008E7846" w:rsidRPr="00254787" w:rsidRDefault="008E7846" w:rsidP="008E7846">
      <w:pPr>
        <w:pStyle w:val="Heading2"/>
      </w:pPr>
      <w:bookmarkStart w:id="66" w:name="_Toc196046462"/>
      <w:bookmarkStart w:id="67" w:name="_Toc247691516"/>
      <w:bookmarkStart w:id="68" w:name="_Toc314842500"/>
      <w:bookmarkStart w:id="69" w:name="_Toc163441353"/>
      <w:bookmarkStart w:id="70" w:name="_Toc163441348"/>
      <w:bookmarkStart w:id="71" w:name="_Toc505252930"/>
      <w:r>
        <w:t xml:space="preserve">IV. </w:t>
      </w:r>
      <w:r w:rsidRPr="00254787">
        <w:t>Clinical</w:t>
      </w:r>
      <w:bookmarkEnd w:id="66"/>
      <w:r>
        <w:t xml:space="preserve"> </w:t>
      </w:r>
      <w:r w:rsidR="003A7F6C">
        <w:t>f</w:t>
      </w:r>
      <w:r>
        <w:t>indings</w:t>
      </w:r>
      <w:bookmarkEnd w:id="67"/>
      <w:bookmarkEnd w:id="68"/>
      <w:bookmarkEnd w:id="71"/>
    </w:p>
    <w:p w14:paraId="4B94DCED" w14:textId="22C5B5A6" w:rsidR="00C80137" w:rsidRDefault="00C80137" w:rsidP="00D425BB">
      <w:bookmarkStart w:id="72" w:name="_Toc196046463"/>
      <w:r>
        <w:t xml:space="preserve">A summary of the </w:t>
      </w:r>
      <w:r w:rsidRPr="00FD70B8">
        <w:t xml:space="preserve">clinical findings is presented in this section. </w:t>
      </w:r>
      <w:r>
        <w:t xml:space="preserve">Further details of these </w:t>
      </w:r>
      <w:r w:rsidRPr="00FD70B8">
        <w:t>clinical findi</w:t>
      </w:r>
      <w:r w:rsidR="007643B1">
        <w:t>ngs can be found in Attachment 1</w:t>
      </w:r>
      <w:r w:rsidRPr="00FD70B8">
        <w:t>.</w:t>
      </w:r>
    </w:p>
    <w:p w14:paraId="28EC51E1" w14:textId="77777777" w:rsidR="008E7846" w:rsidRDefault="008E7846" w:rsidP="008E7846">
      <w:pPr>
        <w:pStyle w:val="Heading3"/>
      </w:pPr>
      <w:bookmarkStart w:id="73" w:name="_Toc247691517"/>
      <w:bookmarkStart w:id="74" w:name="_Toc314842501"/>
      <w:bookmarkStart w:id="75" w:name="_Toc505252931"/>
      <w:r w:rsidRPr="00254787">
        <w:t>Introduction</w:t>
      </w:r>
      <w:bookmarkEnd w:id="72"/>
      <w:bookmarkEnd w:id="73"/>
      <w:bookmarkEnd w:id="74"/>
      <w:bookmarkEnd w:id="75"/>
    </w:p>
    <w:p w14:paraId="0D0E0027" w14:textId="77777777" w:rsidR="00605AD4" w:rsidRDefault="00605AD4" w:rsidP="00605AD4">
      <w:pPr>
        <w:pStyle w:val="Heading4"/>
      </w:pPr>
      <w:bookmarkStart w:id="76" w:name="_Toc196046464"/>
      <w:bookmarkStart w:id="77" w:name="_Toc247691518"/>
      <w:bookmarkStart w:id="78" w:name="_Toc314842502"/>
      <w:r w:rsidRPr="00605AD4">
        <w:t xml:space="preserve">Clinical </w:t>
      </w:r>
      <w:r w:rsidR="00EF59DC">
        <w:t>r</w:t>
      </w:r>
      <w:r w:rsidRPr="00605AD4">
        <w:t>ationale</w:t>
      </w:r>
    </w:p>
    <w:p w14:paraId="6D28A2B8" w14:textId="77777777" w:rsidR="00F17D4D" w:rsidRPr="00C06969" w:rsidRDefault="00F17D4D" w:rsidP="00F17D4D">
      <w:r>
        <w:t>Sodium zirconium silicate</w:t>
      </w:r>
      <w:r w:rsidR="00507CAF">
        <w:t xml:space="preserve"> (ZS)</w:t>
      </w:r>
      <w:r w:rsidRPr="00C06969">
        <w:t xml:space="preserve"> is an insoluble, non-absorbable inorganic crystalline compound that binds potassium ions in exchange for hydrogen and sodium cations.</w:t>
      </w:r>
      <w:r>
        <w:t xml:space="preserve"> </w:t>
      </w:r>
      <w:r w:rsidRPr="00C06969">
        <w:t>It binds potassium ions throughout the gastrointestinal tract, and the trapped potassium ions are excreted from the body, together with the ZS, in the faeces.</w:t>
      </w:r>
      <w:r>
        <w:t xml:space="preserve"> </w:t>
      </w:r>
      <w:r w:rsidRPr="00C06969">
        <w:t>Serum potassium concentration is closely correlated with potassium concentration of intestinal fluid.</w:t>
      </w:r>
      <w:r>
        <w:t xml:space="preserve"> </w:t>
      </w:r>
      <w:r w:rsidRPr="00C06969">
        <w:t>The binding of potassium within the GI tract, and its subsequent elimination from the body, therefore results in a reduction in serum potassium concentration.</w:t>
      </w:r>
      <w:r>
        <w:t xml:space="preserve"> </w:t>
      </w:r>
      <w:r w:rsidRPr="00C06969">
        <w:t>In vitro, it has been sh</w:t>
      </w:r>
      <w:r>
        <w:t xml:space="preserve">own to absorb approximately ten </w:t>
      </w:r>
      <w:r w:rsidRPr="00C06969">
        <w:t xml:space="preserve">fold the amount of </w:t>
      </w:r>
      <w:r>
        <w:t xml:space="preserve">potassium as the currently most </w:t>
      </w:r>
      <w:r w:rsidRPr="00C06969">
        <w:t>used therapy for hyperkalaemia (sodium polystyrene sulfonate, SPS).</w:t>
      </w:r>
      <w:r>
        <w:t xml:space="preserve"> </w:t>
      </w:r>
      <w:r w:rsidRPr="00C06969">
        <w:t>It is also proposed that the rate of onset of the effect of ZS on serum potassium is more rapid than that of SPS because it commences entrapment of potassium ions in the upper GI tract, unlike SPS, which has its effect within the colon.</w:t>
      </w:r>
    </w:p>
    <w:p w14:paraId="4AF762C8" w14:textId="77777777" w:rsidR="00F17D4D" w:rsidRPr="00F17D4D" w:rsidRDefault="00F17D4D" w:rsidP="00F17D4D">
      <w:r w:rsidRPr="00C06969">
        <w:t>The formulation consists of the active ZS only, with no excipients.</w:t>
      </w:r>
    </w:p>
    <w:p w14:paraId="0F9568E7" w14:textId="77777777" w:rsidR="00605AD4" w:rsidRPr="00605AD4" w:rsidRDefault="00605AD4" w:rsidP="00605AD4">
      <w:pPr>
        <w:pStyle w:val="Heading4"/>
      </w:pPr>
      <w:r w:rsidRPr="00605AD4">
        <w:t>Guidance</w:t>
      </w:r>
    </w:p>
    <w:p w14:paraId="71E61C03" w14:textId="77777777" w:rsidR="00605AD4" w:rsidRDefault="00605AD4" w:rsidP="00605AD4">
      <w:pPr>
        <w:pStyle w:val="Heading4"/>
      </w:pPr>
      <w:r w:rsidRPr="00605AD4">
        <w:t>Contents of the clinical dossier</w:t>
      </w:r>
    </w:p>
    <w:p w14:paraId="23CDA4D7" w14:textId="77777777" w:rsidR="00F17D4D" w:rsidRPr="00C06969" w:rsidRDefault="00F17D4D" w:rsidP="00F17D4D">
      <w:r w:rsidRPr="00C06969">
        <w:t>The submission contained the following clinical information:</w:t>
      </w:r>
    </w:p>
    <w:p w14:paraId="2339886D" w14:textId="77777777" w:rsidR="00F17D4D" w:rsidRPr="00C06969" w:rsidRDefault="00F17D4D" w:rsidP="00F17D4D">
      <w:pPr>
        <w:pStyle w:val="ListBullet"/>
      </w:pPr>
      <w:r w:rsidRPr="00C06969">
        <w:t>two clinical pharmacology studies, including none that provided pharmacokinetic data and two that provided pharmacodynamic data:</w:t>
      </w:r>
    </w:p>
    <w:p w14:paraId="7133798A" w14:textId="77777777" w:rsidR="00F17D4D" w:rsidRPr="00C06969" w:rsidRDefault="00F17D4D" w:rsidP="009D0573">
      <w:pPr>
        <w:pStyle w:val="ListBullet2"/>
      </w:pPr>
      <w:r w:rsidRPr="00C06969">
        <w:t xml:space="preserve">one </w:t>
      </w:r>
      <w:r>
        <w:t>Phase I</w:t>
      </w:r>
      <w:r w:rsidRPr="00C06969">
        <w:t xml:space="preserve"> study (ZS-006) to characterize the effects of ZS on sodium and potassium excretion in 30 healthy subjects on a fixed, low-sodium and high-potassium diet</w:t>
      </w:r>
    </w:p>
    <w:p w14:paraId="5ECA88F5" w14:textId="77777777" w:rsidR="00F17D4D" w:rsidRPr="00C06969" w:rsidRDefault="00F17D4D" w:rsidP="009D0573">
      <w:pPr>
        <w:pStyle w:val="ListBullet2"/>
      </w:pPr>
      <w:r w:rsidRPr="00C06969">
        <w:t xml:space="preserve">one </w:t>
      </w:r>
      <w:r>
        <w:t>double blind</w:t>
      </w:r>
      <w:r w:rsidRPr="00C06969">
        <w:t xml:space="preserve">, </w:t>
      </w:r>
      <w:r>
        <w:t>placebo controlled</w:t>
      </w:r>
      <w:r w:rsidRPr="00C06969">
        <w:t xml:space="preserve"> </w:t>
      </w:r>
      <w:r>
        <w:t>Phase II</w:t>
      </w:r>
      <w:r w:rsidRPr="00C06969">
        <w:t xml:space="preserve"> study (ZS-002)</w:t>
      </w:r>
    </w:p>
    <w:p w14:paraId="1AF51984" w14:textId="77777777" w:rsidR="00F17D4D" w:rsidRPr="00C06969" w:rsidRDefault="00F17D4D" w:rsidP="00F17D4D">
      <w:pPr>
        <w:pStyle w:val="ListBullet"/>
      </w:pPr>
      <w:proofErr w:type="gramStart"/>
      <w:r w:rsidRPr="00C06969">
        <w:t>one</w:t>
      </w:r>
      <w:proofErr w:type="gramEnd"/>
      <w:r w:rsidRPr="00C06969">
        <w:t xml:space="preserve"> completed pivotal </w:t>
      </w:r>
      <w:r>
        <w:t>Phase III</w:t>
      </w:r>
      <w:r w:rsidRPr="00C06969">
        <w:t xml:space="preserve"> efficacy/safety </w:t>
      </w:r>
      <w:r>
        <w:t>double blind</w:t>
      </w:r>
      <w:r w:rsidRPr="00C06969">
        <w:t xml:space="preserve">, </w:t>
      </w:r>
      <w:r>
        <w:t>placebo controlled</w:t>
      </w:r>
      <w:r w:rsidRPr="00C06969">
        <w:t xml:space="preserve"> study (EUZS-003) and one </w:t>
      </w:r>
      <w:r>
        <w:t xml:space="preserve">open label, non </w:t>
      </w:r>
      <w:r w:rsidRPr="00C06969">
        <w:t xml:space="preserve">comparative acute phase study (ZS-004) with a </w:t>
      </w:r>
      <w:r w:rsidRPr="00C06969">
        <w:lastRenderedPageBreak/>
        <w:t xml:space="preserve">pivotal </w:t>
      </w:r>
      <w:r>
        <w:t>double blind</w:t>
      </w:r>
      <w:r w:rsidRPr="00C06969">
        <w:t xml:space="preserve">, </w:t>
      </w:r>
      <w:r>
        <w:t>placebo controlled</w:t>
      </w:r>
      <w:r w:rsidRPr="00C06969">
        <w:t xml:space="preserve"> maintenance phase; ZS-004 also included urine and blood sampling to demonstrate lack of systemic absorption of ZS.</w:t>
      </w:r>
    </w:p>
    <w:p w14:paraId="47E08FC1" w14:textId="77777777" w:rsidR="00F17D4D" w:rsidRPr="00C06969" w:rsidRDefault="00F17D4D" w:rsidP="00F17D4D">
      <w:pPr>
        <w:pStyle w:val="ListBullet"/>
      </w:pPr>
      <w:r w:rsidRPr="00C06969">
        <w:t xml:space="preserve">one uncontrolled efficacy/safety </w:t>
      </w:r>
      <w:r>
        <w:t>open label</w:t>
      </w:r>
      <w:r w:rsidRPr="00C06969">
        <w:t xml:space="preserve">, </w:t>
      </w:r>
      <w:r>
        <w:t>long term</w:t>
      </w:r>
      <w:r w:rsidRPr="00C06969">
        <w:t xml:space="preserve"> extension of ZS-004 (ZS-004E)</w:t>
      </w:r>
    </w:p>
    <w:p w14:paraId="0CF7BECD" w14:textId="77777777" w:rsidR="00F17D4D" w:rsidRDefault="00F17D4D" w:rsidP="00F17D4D">
      <w:pPr>
        <w:pStyle w:val="ListBullet"/>
      </w:pPr>
      <w:r w:rsidRPr="00C06969">
        <w:t xml:space="preserve">one ongoing </w:t>
      </w:r>
      <w:r>
        <w:t>long term</w:t>
      </w:r>
      <w:r w:rsidRPr="00C06969">
        <w:t xml:space="preserve"> </w:t>
      </w:r>
      <w:r>
        <w:t>open label</w:t>
      </w:r>
      <w:r w:rsidRPr="00C06969">
        <w:t xml:space="preserve"> </w:t>
      </w:r>
      <w:r>
        <w:t>Phase III</w:t>
      </w:r>
      <w:r w:rsidRPr="00C06969">
        <w:t xml:space="preserve"> study of efficacy and safety up to 12 months, with a randomized, </w:t>
      </w:r>
      <w:r>
        <w:t>double blind</w:t>
      </w:r>
      <w:r w:rsidRPr="00C06969">
        <w:t xml:space="preserve">, </w:t>
      </w:r>
      <w:r>
        <w:t>placebo controlled</w:t>
      </w:r>
      <w:r w:rsidRPr="00C06969">
        <w:t>, withdrawal study in a subset of patients (ZS-005); interim data as of 15 July 2015 are available in the dossier</w:t>
      </w:r>
    </w:p>
    <w:p w14:paraId="175F703A" w14:textId="5455B294" w:rsidR="00F17D4D" w:rsidRPr="00F17D4D" w:rsidRDefault="00C51A1B" w:rsidP="00F17D4D">
      <w:r>
        <w:t xml:space="preserve">The submission also included a </w:t>
      </w:r>
      <w:r w:rsidR="00F17D4D" w:rsidRPr="00C06969">
        <w:t>Clinical Overview, Summary of Clinical Efficacy, Summary of Clinical Safety and literature references.</w:t>
      </w:r>
    </w:p>
    <w:p w14:paraId="43612BEC" w14:textId="77777777" w:rsidR="00605AD4" w:rsidRDefault="00605AD4" w:rsidP="00605AD4">
      <w:pPr>
        <w:pStyle w:val="Heading4"/>
      </w:pPr>
      <w:r w:rsidRPr="00605AD4">
        <w:t>Paediatric data</w:t>
      </w:r>
    </w:p>
    <w:p w14:paraId="01DEE830" w14:textId="77777777" w:rsidR="00F17D4D" w:rsidRPr="00F17D4D" w:rsidRDefault="00F17D4D" w:rsidP="00F17D4D">
      <w:r w:rsidRPr="00C06969">
        <w:t>The submission did not include paediatric data, and the currently requested indication is for the treatment of hyperkalaemia in adult patients.</w:t>
      </w:r>
      <w:r>
        <w:t xml:space="preserve"> </w:t>
      </w:r>
      <w:r w:rsidRPr="00C06969">
        <w:t>No formal justification as to why the product is not appropriate for use in children has been included.</w:t>
      </w:r>
      <w:r>
        <w:t xml:space="preserve"> </w:t>
      </w:r>
      <w:r w:rsidRPr="00C06969">
        <w:t xml:space="preserve">The </w:t>
      </w:r>
      <w:r>
        <w:t>sponsor</w:t>
      </w:r>
      <w:r w:rsidRPr="00C06969">
        <w:t xml:space="preserve"> has an agreed Paediatric Investigation Plan (PIP) in Europe, which requires submission of a report of a study conducted in paediatric patients by January 2021.</w:t>
      </w:r>
      <w:r>
        <w:t xml:space="preserve"> </w:t>
      </w:r>
      <w:r w:rsidRPr="00C06969">
        <w:t xml:space="preserve">An agreed Paediatric Plan in the USA requires submission of a </w:t>
      </w:r>
      <w:r>
        <w:t>Phase I</w:t>
      </w:r>
      <w:r w:rsidRPr="00C06969">
        <w:t xml:space="preserve"> study in 2017.</w:t>
      </w:r>
      <w:r>
        <w:t xml:space="preserve"> </w:t>
      </w:r>
      <w:r w:rsidRPr="00C06969">
        <w:t>Therefore, no such studies are included in this dossier.</w:t>
      </w:r>
    </w:p>
    <w:p w14:paraId="5F7E18AE" w14:textId="77777777" w:rsidR="00605AD4" w:rsidRDefault="00605AD4" w:rsidP="00605AD4">
      <w:pPr>
        <w:pStyle w:val="Heading4"/>
      </w:pPr>
      <w:r w:rsidRPr="00605AD4">
        <w:t>Good clinical practice</w:t>
      </w:r>
    </w:p>
    <w:p w14:paraId="0385C19B" w14:textId="77777777" w:rsidR="00F17D4D" w:rsidRPr="00F17D4D" w:rsidRDefault="00F17D4D" w:rsidP="00F17D4D">
      <w:bookmarkStart w:id="79" w:name="_Toc241374282"/>
      <w:r>
        <w:t xml:space="preserve">Certification is included that indicates that all clinical studies were undertaken according to </w:t>
      </w:r>
      <w:r w:rsidR="009D0573">
        <w:t>good clinical practice (</w:t>
      </w:r>
      <w:r>
        <w:t>GCP</w:t>
      </w:r>
      <w:r w:rsidR="009D0573">
        <w:t>)</w:t>
      </w:r>
      <w:r>
        <w:t>.</w:t>
      </w:r>
      <w:bookmarkEnd w:id="79"/>
    </w:p>
    <w:p w14:paraId="3D60FB20" w14:textId="77777777" w:rsidR="008E7846" w:rsidRDefault="008E7846" w:rsidP="00605AD4">
      <w:pPr>
        <w:pStyle w:val="Heading3"/>
      </w:pPr>
      <w:bookmarkStart w:id="80" w:name="_Toc505252932"/>
      <w:r w:rsidRPr="00254787">
        <w:t>Pharmacokinetics</w:t>
      </w:r>
      <w:bookmarkEnd w:id="69"/>
      <w:bookmarkEnd w:id="76"/>
      <w:bookmarkEnd w:id="77"/>
      <w:bookmarkEnd w:id="78"/>
      <w:bookmarkEnd w:id="80"/>
    </w:p>
    <w:p w14:paraId="4C8ECDB8" w14:textId="77777777" w:rsidR="00605AD4" w:rsidRDefault="00605AD4" w:rsidP="00605AD4">
      <w:pPr>
        <w:pStyle w:val="Heading4"/>
      </w:pPr>
      <w:r>
        <w:t>Studies</w:t>
      </w:r>
      <w:r w:rsidR="00F17D4D">
        <w:t xml:space="preserve"> providing pharmacokinetic data</w:t>
      </w:r>
    </w:p>
    <w:p w14:paraId="1D76F68B" w14:textId="77777777" w:rsidR="00F17D4D" w:rsidRDefault="00F17D4D" w:rsidP="00F17D4D">
      <w:r>
        <w:t xml:space="preserve">ZS is an inorganic, insoluble compound that is not systemically absorbed following oral administration. A study in dogs demonstrated that there was no significant absorption of ZS or zirconium following dosing up to 2 g/kg/day for 9 months. An in vivo mass balance study in rats showed that ZS was recovered in the faeces at </w:t>
      </w:r>
      <w:r w:rsidR="0047313A">
        <w:t xml:space="preserve">&gt; </w:t>
      </w:r>
      <w:r>
        <w:t>99% of administered dose. Non-absorption was confirmed in the acute phase of clinical study ZS-004. The site of action of ZS is within the GI tract, and its activity does not require absorption or distribution. Pharmacokinetic studies in human subjects, apart from the demonstration that systemic absorption does not occur, are therefore not required.</w:t>
      </w:r>
    </w:p>
    <w:p w14:paraId="77DCFF25" w14:textId="77777777" w:rsidR="00F17D4D" w:rsidRPr="00F17D4D" w:rsidRDefault="00F17D4D" w:rsidP="00F17D4D">
      <w:r>
        <w:t>Subjects from Study ZS-004 at selected sites within the US, receiving placebo (n = 17) or ZS at doses of 5 g, 10 g or 15 g QD (n = 9, 10 and 10 respectively) had collections of urine and blood for analysis of zirconium (</w:t>
      </w:r>
      <w:proofErr w:type="spellStart"/>
      <w:r>
        <w:t>Zr</w:t>
      </w:r>
      <w:proofErr w:type="spellEnd"/>
      <w:r>
        <w:t>). These results have been analysed and referred to as Study BR</w:t>
      </w:r>
      <w:r>
        <w:noBreakHyphen/>
        <w:t xml:space="preserve">01519. The urinary </w:t>
      </w:r>
      <w:proofErr w:type="spellStart"/>
      <w:r>
        <w:t>Zr</w:t>
      </w:r>
      <w:proofErr w:type="spellEnd"/>
      <w:r>
        <w:t xml:space="preserve"> concentrations were below the lower level of quantification (LLOQ) in all but two subjects, one receiving</w:t>
      </w:r>
      <w:r w:rsidR="009D0573">
        <w:t xml:space="preserve"> placebo, and one receiving 5 g once daily (</w:t>
      </w:r>
      <w:r>
        <w:t>QD</w:t>
      </w:r>
      <w:r w:rsidR="009D0573">
        <w:t>)</w:t>
      </w:r>
      <w:r>
        <w:t xml:space="preserve">. Retesting of these samples returned a result &lt; LLOQ in both cases. The assay was appropriately sensitive. Similarly, the </w:t>
      </w:r>
      <w:proofErr w:type="spellStart"/>
      <w:r>
        <w:t>Zr</w:t>
      </w:r>
      <w:proofErr w:type="spellEnd"/>
      <w:r>
        <w:t xml:space="preserve"> concentration in blood samples were below the LLOQ in all but one subject (receiving ZS 10 g QD). These data provide confirmation that there is negligible systemic absorption of ZS during administration to humans.</w:t>
      </w:r>
    </w:p>
    <w:p w14:paraId="743527AC" w14:textId="77777777" w:rsidR="00605AD4" w:rsidRDefault="00605AD4" w:rsidP="00605AD4">
      <w:pPr>
        <w:pStyle w:val="Heading4"/>
      </w:pPr>
      <w:r>
        <w:t>Evaluator’s conclusions on pharmacokinetics</w:t>
      </w:r>
    </w:p>
    <w:p w14:paraId="363FEDCB" w14:textId="77777777" w:rsidR="00F17D4D" w:rsidRPr="00F17D4D" w:rsidRDefault="00F17D4D" w:rsidP="00F17D4D">
      <w:r>
        <w:t xml:space="preserve">Adequate evidence is provided to support the conclusion that the compound is not absorbed systemically, and that the site of action is within the gastrointestinal lumen. </w:t>
      </w:r>
      <w:r>
        <w:lastRenderedPageBreak/>
        <w:t>Therefore, there is no requirement for any further consideration of pharmacokinetics, and no pharmacokinetic data have been provided.</w:t>
      </w:r>
    </w:p>
    <w:p w14:paraId="4D924569" w14:textId="77777777" w:rsidR="008E7846" w:rsidRDefault="008E7846" w:rsidP="008E7846">
      <w:pPr>
        <w:pStyle w:val="Heading3"/>
      </w:pPr>
      <w:bookmarkStart w:id="81" w:name="_Toc196046481"/>
      <w:bookmarkStart w:id="82" w:name="_Toc247691520"/>
      <w:bookmarkStart w:id="83" w:name="_Toc314842503"/>
      <w:bookmarkStart w:id="84" w:name="_Toc505252933"/>
      <w:r w:rsidRPr="00254787">
        <w:t>Pharmacodynamics</w:t>
      </w:r>
      <w:bookmarkEnd w:id="70"/>
      <w:bookmarkEnd w:id="81"/>
      <w:bookmarkEnd w:id="82"/>
      <w:bookmarkEnd w:id="83"/>
      <w:bookmarkEnd w:id="84"/>
    </w:p>
    <w:p w14:paraId="7F7D9D9D" w14:textId="77777777" w:rsidR="00605AD4" w:rsidRDefault="00605AD4" w:rsidP="00605AD4">
      <w:pPr>
        <w:pStyle w:val="Heading4"/>
      </w:pPr>
      <w:r>
        <w:t>Studies providing pharmacodynamic data</w:t>
      </w:r>
    </w:p>
    <w:p w14:paraId="11149363" w14:textId="77777777" w:rsidR="00F17D4D" w:rsidRDefault="00F17D4D" w:rsidP="00F17D4D">
      <w:r>
        <w:t xml:space="preserve">Summaries of the pharmacodynamic studies were </w:t>
      </w:r>
      <w:r w:rsidRPr="00117FEB">
        <w:t xml:space="preserve">provided. </w:t>
      </w:r>
      <w:r w:rsidR="00117FEB" w:rsidRPr="00117FEB">
        <w:t>Table 2</w:t>
      </w:r>
      <w:r w:rsidRPr="00117FEB">
        <w:t xml:space="preserve"> shows the studies</w:t>
      </w:r>
      <w:r>
        <w:t xml:space="preserve"> relating to each pharmacodynamic topic.</w:t>
      </w:r>
    </w:p>
    <w:p w14:paraId="5D670079" w14:textId="7F65C20C" w:rsidR="00F17D4D" w:rsidRDefault="00F17D4D" w:rsidP="00F17D4D">
      <w:pPr>
        <w:pStyle w:val="Tabletitle0"/>
      </w:pPr>
      <w:bookmarkStart w:id="85" w:name="_Ref269985397"/>
      <w:bookmarkStart w:id="86" w:name="_Toc290888902"/>
      <w:r w:rsidRPr="00117FEB">
        <w:t xml:space="preserve">Table </w:t>
      </w:r>
      <w:bookmarkEnd w:id="85"/>
      <w:r w:rsidR="00D76E01">
        <w:t>3</w:t>
      </w:r>
      <w:r w:rsidRPr="00117FEB">
        <w:t>: Submitted</w:t>
      </w:r>
      <w:r>
        <w:t xml:space="preserve"> pharmacodynamic studies</w:t>
      </w:r>
      <w:bookmarkEnd w:id="86"/>
    </w:p>
    <w:tbl>
      <w:tblPr>
        <w:tblStyle w:val="TableTGAblue"/>
        <w:tblW w:w="8233" w:type="dxa"/>
        <w:tblLayout w:type="fixed"/>
        <w:tblLook w:val="04A0" w:firstRow="1" w:lastRow="0" w:firstColumn="1" w:lastColumn="0" w:noHBand="0" w:noVBand="1"/>
      </w:tblPr>
      <w:tblGrid>
        <w:gridCol w:w="2320"/>
        <w:gridCol w:w="3383"/>
        <w:gridCol w:w="2530"/>
      </w:tblGrid>
      <w:tr w:rsidR="00F17D4D" w:rsidRPr="00F17D4D" w14:paraId="35301B11" w14:textId="77777777" w:rsidTr="009D0573">
        <w:trPr>
          <w:cnfStyle w:val="100000000000" w:firstRow="1" w:lastRow="0" w:firstColumn="0" w:lastColumn="0" w:oddVBand="0" w:evenVBand="0" w:oddHBand="0" w:evenHBand="0" w:firstRowFirstColumn="0" w:firstRowLastColumn="0" w:lastRowFirstColumn="0" w:lastRowLastColumn="0"/>
          <w:trHeight w:val="461"/>
        </w:trPr>
        <w:tc>
          <w:tcPr>
            <w:tcW w:w="2320" w:type="dxa"/>
          </w:tcPr>
          <w:p w14:paraId="538A150C" w14:textId="77777777" w:rsidR="00F17D4D" w:rsidRPr="00F17D4D" w:rsidRDefault="00F17D4D" w:rsidP="009D0573">
            <w:pPr>
              <w:spacing w:before="0" w:line="240" w:lineRule="auto"/>
              <w:ind w:left="0" w:right="0"/>
              <w:rPr>
                <w:sz w:val="20"/>
                <w:szCs w:val="20"/>
              </w:rPr>
            </w:pPr>
            <w:r w:rsidRPr="00F17D4D">
              <w:rPr>
                <w:sz w:val="20"/>
                <w:szCs w:val="20"/>
              </w:rPr>
              <w:t>PD Topic</w:t>
            </w:r>
          </w:p>
        </w:tc>
        <w:tc>
          <w:tcPr>
            <w:tcW w:w="3383" w:type="dxa"/>
          </w:tcPr>
          <w:p w14:paraId="73564732" w14:textId="77777777" w:rsidR="00F17D4D" w:rsidRPr="00F17D4D" w:rsidRDefault="00F17D4D" w:rsidP="009D0573">
            <w:pPr>
              <w:spacing w:before="0" w:line="240" w:lineRule="auto"/>
              <w:ind w:left="0" w:right="0"/>
              <w:rPr>
                <w:sz w:val="20"/>
                <w:szCs w:val="20"/>
              </w:rPr>
            </w:pPr>
            <w:r w:rsidRPr="00F17D4D">
              <w:rPr>
                <w:sz w:val="20"/>
                <w:szCs w:val="20"/>
              </w:rPr>
              <w:t>Subtopic</w:t>
            </w:r>
          </w:p>
        </w:tc>
        <w:tc>
          <w:tcPr>
            <w:tcW w:w="2530" w:type="dxa"/>
          </w:tcPr>
          <w:p w14:paraId="4FF64133" w14:textId="77777777" w:rsidR="00F17D4D" w:rsidRPr="00F17D4D" w:rsidRDefault="00F17D4D" w:rsidP="009D0573">
            <w:pPr>
              <w:spacing w:before="0" w:line="240" w:lineRule="auto"/>
              <w:ind w:left="0" w:right="0"/>
              <w:rPr>
                <w:sz w:val="20"/>
                <w:szCs w:val="20"/>
              </w:rPr>
            </w:pPr>
            <w:r w:rsidRPr="00F17D4D">
              <w:rPr>
                <w:sz w:val="20"/>
                <w:szCs w:val="20"/>
              </w:rPr>
              <w:t>Study ID</w:t>
            </w:r>
          </w:p>
        </w:tc>
      </w:tr>
      <w:tr w:rsidR="00F17D4D" w:rsidRPr="00F17D4D" w14:paraId="48F64FAC" w14:textId="77777777" w:rsidTr="009D0573">
        <w:trPr>
          <w:trHeight w:val="1790"/>
        </w:trPr>
        <w:tc>
          <w:tcPr>
            <w:tcW w:w="2320" w:type="dxa"/>
            <w:vMerge w:val="restart"/>
          </w:tcPr>
          <w:p w14:paraId="118B3757" w14:textId="77777777" w:rsidR="00F17D4D" w:rsidRPr="00F17D4D" w:rsidRDefault="00F17D4D" w:rsidP="009D0573">
            <w:pPr>
              <w:spacing w:before="0" w:line="240" w:lineRule="auto"/>
              <w:ind w:left="0" w:right="0"/>
              <w:rPr>
                <w:sz w:val="20"/>
                <w:szCs w:val="20"/>
              </w:rPr>
            </w:pPr>
            <w:r w:rsidRPr="00F17D4D">
              <w:rPr>
                <w:sz w:val="20"/>
                <w:szCs w:val="20"/>
              </w:rPr>
              <w:t>Primary Pharmacology</w:t>
            </w:r>
          </w:p>
        </w:tc>
        <w:tc>
          <w:tcPr>
            <w:tcW w:w="3383" w:type="dxa"/>
          </w:tcPr>
          <w:p w14:paraId="24D6C81E" w14:textId="77777777" w:rsidR="00F17D4D" w:rsidRPr="00F17D4D" w:rsidRDefault="00F17D4D" w:rsidP="009D0573">
            <w:pPr>
              <w:spacing w:before="0" w:line="240" w:lineRule="auto"/>
              <w:ind w:left="0" w:right="0"/>
              <w:rPr>
                <w:sz w:val="20"/>
                <w:szCs w:val="20"/>
              </w:rPr>
            </w:pPr>
            <w:r w:rsidRPr="00F17D4D">
              <w:rPr>
                <w:sz w:val="20"/>
                <w:szCs w:val="20"/>
              </w:rPr>
              <w:t>Effect on sodium and potassium</w:t>
            </w:r>
            <w:r w:rsidR="009D0573">
              <w:rPr>
                <w:sz w:val="20"/>
                <w:szCs w:val="20"/>
              </w:rPr>
              <w:t xml:space="preserve"> excretion in healthy subjects </w:t>
            </w:r>
          </w:p>
          <w:p w14:paraId="5EC7F3A0" w14:textId="77777777" w:rsidR="00F17D4D" w:rsidRPr="00F17D4D" w:rsidRDefault="00F17D4D" w:rsidP="009D0573">
            <w:pPr>
              <w:spacing w:before="0" w:line="240" w:lineRule="auto"/>
              <w:ind w:left="0" w:right="0"/>
              <w:rPr>
                <w:sz w:val="20"/>
                <w:szCs w:val="20"/>
              </w:rPr>
            </w:pPr>
            <w:r w:rsidRPr="00F17D4D">
              <w:rPr>
                <w:sz w:val="20"/>
                <w:szCs w:val="20"/>
              </w:rPr>
              <w:t>Acute effect on serum pota</w:t>
            </w:r>
            <w:r w:rsidR="009D0573">
              <w:rPr>
                <w:sz w:val="20"/>
                <w:szCs w:val="20"/>
              </w:rPr>
              <w:t>ssium in hyperkalaemic patients</w:t>
            </w:r>
          </w:p>
          <w:p w14:paraId="37DA1AF7" w14:textId="77777777" w:rsidR="00F17D4D" w:rsidRPr="00F17D4D" w:rsidRDefault="00F17D4D" w:rsidP="009D0573">
            <w:pPr>
              <w:spacing w:before="0" w:line="240" w:lineRule="auto"/>
              <w:ind w:left="0" w:right="0"/>
              <w:rPr>
                <w:sz w:val="20"/>
                <w:szCs w:val="20"/>
              </w:rPr>
            </w:pPr>
            <w:r w:rsidRPr="00F17D4D">
              <w:rPr>
                <w:sz w:val="20"/>
                <w:szCs w:val="20"/>
              </w:rPr>
              <w:t>Acute effect on serum potassium in hyperkalaemic patients</w:t>
            </w:r>
          </w:p>
        </w:tc>
        <w:tc>
          <w:tcPr>
            <w:tcW w:w="2530" w:type="dxa"/>
          </w:tcPr>
          <w:p w14:paraId="45494767" w14:textId="77777777" w:rsidR="00F17D4D" w:rsidRPr="00F17D4D" w:rsidRDefault="00F17D4D" w:rsidP="009D0573">
            <w:pPr>
              <w:spacing w:before="0" w:line="240" w:lineRule="auto"/>
              <w:ind w:left="0" w:right="0"/>
              <w:rPr>
                <w:sz w:val="20"/>
                <w:szCs w:val="20"/>
              </w:rPr>
            </w:pPr>
            <w:r w:rsidRPr="00F17D4D">
              <w:rPr>
                <w:sz w:val="20"/>
                <w:szCs w:val="20"/>
              </w:rPr>
              <w:t>ZS-006</w:t>
            </w:r>
          </w:p>
          <w:p w14:paraId="274513CF" w14:textId="77777777" w:rsidR="00F17D4D" w:rsidRPr="00F17D4D" w:rsidRDefault="00F17D4D" w:rsidP="009D0573">
            <w:pPr>
              <w:spacing w:before="0" w:line="240" w:lineRule="auto"/>
              <w:ind w:left="0" w:right="0"/>
              <w:rPr>
                <w:sz w:val="20"/>
                <w:szCs w:val="20"/>
              </w:rPr>
            </w:pPr>
          </w:p>
          <w:p w14:paraId="2015BA6D" w14:textId="77777777" w:rsidR="00F17D4D" w:rsidRPr="00F17D4D" w:rsidRDefault="009D0573" w:rsidP="009D0573">
            <w:pPr>
              <w:spacing w:before="0" w:line="240" w:lineRule="auto"/>
              <w:ind w:left="0" w:right="0"/>
              <w:rPr>
                <w:sz w:val="20"/>
                <w:szCs w:val="20"/>
              </w:rPr>
            </w:pPr>
            <w:r>
              <w:rPr>
                <w:sz w:val="20"/>
                <w:szCs w:val="20"/>
              </w:rPr>
              <w:t>ZS-002 (Acute phase)</w:t>
            </w:r>
          </w:p>
          <w:p w14:paraId="7C9DB359" w14:textId="77777777" w:rsidR="00F17D4D" w:rsidRPr="00F17D4D" w:rsidRDefault="00F17D4D" w:rsidP="009D0573">
            <w:pPr>
              <w:spacing w:before="0" w:line="240" w:lineRule="auto"/>
              <w:ind w:left="0" w:right="0"/>
              <w:rPr>
                <w:sz w:val="20"/>
                <w:szCs w:val="20"/>
              </w:rPr>
            </w:pPr>
            <w:r w:rsidRPr="00F17D4D">
              <w:rPr>
                <w:sz w:val="20"/>
                <w:szCs w:val="20"/>
              </w:rPr>
              <w:t>EUZS-003 (Acute phase)</w:t>
            </w:r>
          </w:p>
        </w:tc>
      </w:tr>
      <w:tr w:rsidR="00F17D4D" w:rsidRPr="00F17D4D" w14:paraId="5B15C7AF" w14:textId="77777777" w:rsidTr="009D0573">
        <w:trPr>
          <w:trHeight w:val="540"/>
        </w:trPr>
        <w:tc>
          <w:tcPr>
            <w:tcW w:w="2320" w:type="dxa"/>
            <w:vMerge/>
          </w:tcPr>
          <w:p w14:paraId="2C5B5A85" w14:textId="77777777" w:rsidR="00F17D4D" w:rsidRPr="00F17D4D" w:rsidRDefault="00F17D4D" w:rsidP="009D0573">
            <w:pPr>
              <w:spacing w:before="0" w:line="240" w:lineRule="auto"/>
              <w:ind w:left="0" w:right="0"/>
              <w:rPr>
                <w:sz w:val="20"/>
                <w:szCs w:val="20"/>
              </w:rPr>
            </w:pPr>
          </w:p>
        </w:tc>
        <w:tc>
          <w:tcPr>
            <w:tcW w:w="3383" w:type="dxa"/>
          </w:tcPr>
          <w:p w14:paraId="47AC5C69" w14:textId="77777777" w:rsidR="00F17D4D" w:rsidRPr="00F17D4D" w:rsidRDefault="00F17D4D" w:rsidP="009D0573">
            <w:pPr>
              <w:spacing w:before="0" w:line="240" w:lineRule="auto"/>
              <w:ind w:left="0" w:right="0"/>
              <w:rPr>
                <w:sz w:val="20"/>
                <w:szCs w:val="20"/>
              </w:rPr>
            </w:pPr>
            <w:r w:rsidRPr="00F17D4D">
              <w:rPr>
                <w:sz w:val="20"/>
                <w:szCs w:val="20"/>
              </w:rPr>
              <w:t xml:space="preserve">Maintenance of normokalaemia </w:t>
            </w:r>
          </w:p>
        </w:tc>
        <w:tc>
          <w:tcPr>
            <w:tcW w:w="2530" w:type="dxa"/>
          </w:tcPr>
          <w:p w14:paraId="3A61F58C" w14:textId="77777777" w:rsidR="00F17D4D" w:rsidRPr="00F17D4D" w:rsidRDefault="00F17D4D" w:rsidP="009D0573">
            <w:pPr>
              <w:spacing w:before="0" w:line="240" w:lineRule="auto"/>
              <w:ind w:left="0" w:right="0"/>
              <w:rPr>
                <w:sz w:val="20"/>
                <w:szCs w:val="20"/>
              </w:rPr>
            </w:pPr>
            <w:r w:rsidRPr="00F17D4D">
              <w:rPr>
                <w:sz w:val="20"/>
                <w:szCs w:val="20"/>
              </w:rPr>
              <w:t>EUZS-003 (Maintenance phase)</w:t>
            </w:r>
          </w:p>
        </w:tc>
      </w:tr>
      <w:tr w:rsidR="00F17D4D" w:rsidRPr="00F17D4D" w14:paraId="468B3893" w14:textId="77777777" w:rsidTr="009D0573">
        <w:trPr>
          <w:trHeight w:val="634"/>
        </w:trPr>
        <w:tc>
          <w:tcPr>
            <w:tcW w:w="2320" w:type="dxa"/>
            <w:vMerge/>
          </w:tcPr>
          <w:p w14:paraId="6D9A7DE1" w14:textId="77777777" w:rsidR="00F17D4D" w:rsidRPr="00F17D4D" w:rsidRDefault="00F17D4D" w:rsidP="009D0573">
            <w:pPr>
              <w:spacing w:before="0" w:line="240" w:lineRule="auto"/>
              <w:ind w:left="0" w:right="0"/>
              <w:rPr>
                <w:sz w:val="20"/>
                <w:szCs w:val="20"/>
              </w:rPr>
            </w:pPr>
          </w:p>
        </w:tc>
        <w:tc>
          <w:tcPr>
            <w:tcW w:w="3383" w:type="dxa"/>
          </w:tcPr>
          <w:p w14:paraId="5ADC23DD" w14:textId="77777777" w:rsidR="00F17D4D" w:rsidRPr="00F17D4D" w:rsidRDefault="00F17D4D" w:rsidP="009D0573">
            <w:pPr>
              <w:spacing w:before="0" w:line="240" w:lineRule="auto"/>
              <w:ind w:left="0" w:right="0"/>
              <w:rPr>
                <w:sz w:val="20"/>
                <w:szCs w:val="20"/>
              </w:rPr>
            </w:pPr>
          </w:p>
        </w:tc>
        <w:tc>
          <w:tcPr>
            <w:tcW w:w="2530" w:type="dxa"/>
          </w:tcPr>
          <w:p w14:paraId="4A58AA54" w14:textId="77777777" w:rsidR="00F17D4D" w:rsidRPr="00F17D4D" w:rsidRDefault="00F17D4D" w:rsidP="009D0573">
            <w:pPr>
              <w:spacing w:before="0" w:line="240" w:lineRule="auto"/>
              <w:ind w:left="0" w:right="0"/>
              <w:rPr>
                <w:sz w:val="20"/>
                <w:szCs w:val="20"/>
              </w:rPr>
            </w:pPr>
            <w:r w:rsidRPr="00F17D4D">
              <w:rPr>
                <w:sz w:val="20"/>
                <w:szCs w:val="20"/>
              </w:rPr>
              <w:t>ZS-004 (Maintenance Phase)</w:t>
            </w:r>
          </w:p>
        </w:tc>
      </w:tr>
      <w:tr w:rsidR="00F17D4D" w:rsidRPr="00F17D4D" w14:paraId="6040DB9E" w14:textId="77777777" w:rsidTr="009D0573">
        <w:trPr>
          <w:trHeight w:val="543"/>
        </w:trPr>
        <w:tc>
          <w:tcPr>
            <w:tcW w:w="2320" w:type="dxa"/>
          </w:tcPr>
          <w:p w14:paraId="660633FF" w14:textId="77777777" w:rsidR="00F17D4D" w:rsidRPr="00F17D4D" w:rsidRDefault="00F17D4D" w:rsidP="009D0573">
            <w:pPr>
              <w:spacing w:before="0" w:line="240" w:lineRule="auto"/>
              <w:ind w:left="0" w:right="0"/>
              <w:rPr>
                <w:sz w:val="20"/>
                <w:szCs w:val="20"/>
              </w:rPr>
            </w:pPr>
            <w:r w:rsidRPr="00F17D4D">
              <w:rPr>
                <w:sz w:val="20"/>
                <w:szCs w:val="20"/>
              </w:rPr>
              <w:t>Secondary Pharmacology</w:t>
            </w:r>
          </w:p>
        </w:tc>
        <w:tc>
          <w:tcPr>
            <w:tcW w:w="3383" w:type="dxa"/>
          </w:tcPr>
          <w:p w14:paraId="17059A40" w14:textId="77777777" w:rsidR="00F17D4D" w:rsidRPr="00F17D4D" w:rsidRDefault="00F17D4D" w:rsidP="009D0573">
            <w:pPr>
              <w:spacing w:before="0" w:line="240" w:lineRule="auto"/>
              <w:ind w:left="0" w:right="0"/>
              <w:rPr>
                <w:sz w:val="20"/>
                <w:szCs w:val="20"/>
              </w:rPr>
            </w:pPr>
            <w:r w:rsidRPr="00F17D4D">
              <w:rPr>
                <w:sz w:val="20"/>
                <w:szCs w:val="20"/>
              </w:rPr>
              <w:t>Effect of food on activity of ZS</w:t>
            </w:r>
          </w:p>
        </w:tc>
        <w:tc>
          <w:tcPr>
            <w:tcW w:w="2530" w:type="dxa"/>
          </w:tcPr>
          <w:p w14:paraId="4CFB5035" w14:textId="77777777" w:rsidR="00F17D4D" w:rsidRPr="00F17D4D" w:rsidRDefault="00F17D4D" w:rsidP="009D0573">
            <w:pPr>
              <w:spacing w:before="0" w:line="240" w:lineRule="auto"/>
              <w:ind w:left="0" w:right="0"/>
              <w:rPr>
                <w:sz w:val="20"/>
                <w:szCs w:val="20"/>
              </w:rPr>
            </w:pPr>
            <w:r w:rsidRPr="00F17D4D">
              <w:rPr>
                <w:sz w:val="20"/>
                <w:szCs w:val="20"/>
              </w:rPr>
              <w:t>ZS-002 (Acute phase)</w:t>
            </w:r>
          </w:p>
        </w:tc>
      </w:tr>
      <w:tr w:rsidR="00F17D4D" w:rsidRPr="00F17D4D" w14:paraId="2AD3B8E0" w14:textId="77777777" w:rsidTr="009D0573">
        <w:trPr>
          <w:trHeight w:val="523"/>
        </w:trPr>
        <w:tc>
          <w:tcPr>
            <w:tcW w:w="2320" w:type="dxa"/>
            <w:vMerge w:val="restart"/>
          </w:tcPr>
          <w:p w14:paraId="3336187D" w14:textId="77777777" w:rsidR="00F17D4D" w:rsidRPr="00F17D4D" w:rsidRDefault="009D0573" w:rsidP="009D0573">
            <w:pPr>
              <w:spacing w:before="0" w:line="240" w:lineRule="auto"/>
              <w:ind w:left="0" w:right="0"/>
              <w:rPr>
                <w:sz w:val="20"/>
                <w:szCs w:val="20"/>
              </w:rPr>
            </w:pPr>
            <w:r>
              <w:rPr>
                <w:sz w:val="20"/>
                <w:szCs w:val="20"/>
              </w:rPr>
              <w:t xml:space="preserve">Gender, age </w:t>
            </w:r>
            <w:r w:rsidRPr="00F17D4D">
              <w:rPr>
                <w:sz w:val="20"/>
                <w:szCs w:val="20"/>
              </w:rPr>
              <w:t>related</w:t>
            </w:r>
            <w:r w:rsidR="00F17D4D" w:rsidRPr="00F17D4D">
              <w:rPr>
                <w:sz w:val="20"/>
                <w:szCs w:val="20"/>
              </w:rPr>
              <w:t xml:space="preserve">, and other </w:t>
            </w:r>
            <w:r>
              <w:rPr>
                <w:sz w:val="20"/>
                <w:szCs w:val="20"/>
              </w:rPr>
              <w:t>differences in PD r</w:t>
            </w:r>
            <w:r w:rsidR="00F17D4D" w:rsidRPr="00F17D4D">
              <w:rPr>
                <w:sz w:val="20"/>
                <w:szCs w:val="20"/>
              </w:rPr>
              <w:t>esponse</w:t>
            </w:r>
          </w:p>
        </w:tc>
        <w:tc>
          <w:tcPr>
            <w:tcW w:w="3383" w:type="dxa"/>
          </w:tcPr>
          <w:p w14:paraId="3D562FF4" w14:textId="77777777" w:rsidR="00F17D4D" w:rsidRPr="00F17D4D" w:rsidRDefault="00F17D4D" w:rsidP="009D0573">
            <w:pPr>
              <w:spacing w:before="0" w:line="240" w:lineRule="auto"/>
              <w:ind w:left="0" w:right="0"/>
              <w:rPr>
                <w:sz w:val="20"/>
                <w:szCs w:val="20"/>
              </w:rPr>
            </w:pPr>
            <w:r w:rsidRPr="00F17D4D">
              <w:rPr>
                <w:sz w:val="20"/>
                <w:szCs w:val="20"/>
              </w:rPr>
              <w:t>Effect of gender</w:t>
            </w:r>
          </w:p>
        </w:tc>
        <w:tc>
          <w:tcPr>
            <w:tcW w:w="2530" w:type="dxa"/>
          </w:tcPr>
          <w:p w14:paraId="2E7A747D" w14:textId="77777777" w:rsidR="00F17D4D" w:rsidRPr="00F17D4D" w:rsidRDefault="009D0573" w:rsidP="009D0573">
            <w:pPr>
              <w:spacing w:before="0" w:line="240" w:lineRule="auto"/>
              <w:ind w:left="0" w:right="0"/>
              <w:rPr>
                <w:sz w:val="20"/>
                <w:szCs w:val="20"/>
              </w:rPr>
            </w:pPr>
            <w:r>
              <w:rPr>
                <w:sz w:val="20"/>
                <w:szCs w:val="20"/>
              </w:rPr>
              <w:t xml:space="preserve">EUZS-003, </w:t>
            </w:r>
            <w:r w:rsidR="00F17D4D" w:rsidRPr="00F17D4D">
              <w:rPr>
                <w:sz w:val="20"/>
                <w:szCs w:val="20"/>
              </w:rPr>
              <w:t>ZS-004</w:t>
            </w:r>
          </w:p>
        </w:tc>
      </w:tr>
      <w:tr w:rsidR="00F17D4D" w:rsidRPr="00F17D4D" w14:paraId="6D93171A" w14:textId="77777777" w:rsidTr="009D0573">
        <w:trPr>
          <w:trHeight w:val="140"/>
        </w:trPr>
        <w:tc>
          <w:tcPr>
            <w:tcW w:w="2320" w:type="dxa"/>
            <w:vMerge/>
          </w:tcPr>
          <w:p w14:paraId="17683E92" w14:textId="77777777" w:rsidR="00F17D4D" w:rsidRPr="00F17D4D" w:rsidRDefault="00F17D4D" w:rsidP="009D0573">
            <w:pPr>
              <w:spacing w:before="0" w:line="240" w:lineRule="auto"/>
              <w:ind w:left="0" w:right="0"/>
              <w:rPr>
                <w:sz w:val="20"/>
                <w:szCs w:val="20"/>
              </w:rPr>
            </w:pPr>
          </w:p>
        </w:tc>
        <w:tc>
          <w:tcPr>
            <w:tcW w:w="3383" w:type="dxa"/>
          </w:tcPr>
          <w:p w14:paraId="15352EAC" w14:textId="77777777" w:rsidR="00F17D4D" w:rsidRPr="00F17D4D" w:rsidRDefault="00F17D4D" w:rsidP="009D0573">
            <w:pPr>
              <w:spacing w:before="0" w:line="240" w:lineRule="auto"/>
              <w:ind w:left="0" w:right="0"/>
              <w:rPr>
                <w:sz w:val="20"/>
                <w:szCs w:val="20"/>
              </w:rPr>
            </w:pPr>
            <w:r w:rsidRPr="00F17D4D">
              <w:rPr>
                <w:sz w:val="20"/>
                <w:szCs w:val="20"/>
              </w:rPr>
              <w:t>Effect of age</w:t>
            </w:r>
          </w:p>
        </w:tc>
        <w:tc>
          <w:tcPr>
            <w:tcW w:w="2530" w:type="dxa"/>
          </w:tcPr>
          <w:p w14:paraId="344C48D6" w14:textId="77777777" w:rsidR="00F17D4D" w:rsidRPr="00F17D4D" w:rsidRDefault="009D0573" w:rsidP="009D0573">
            <w:pPr>
              <w:spacing w:before="0" w:line="240" w:lineRule="auto"/>
              <w:ind w:left="0" w:right="0"/>
              <w:rPr>
                <w:sz w:val="20"/>
                <w:szCs w:val="20"/>
              </w:rPr>
            </w:pPr>
            <w:r>
              <w:rPr>
                <w:sz w:val="20"/>
                <w:szCs w:val="20"/>
              </w:rPr>
              <w:t xml:space="preserve">EUZS-003, </w:t>
            </w:r>
            <w:r w:rsidR="00F17D4D" w:rsidRPr="00F17D4D">
              <w:rPr>
                <w:sz w:val="20"/>
                <w:szCs w:val="20"/>
              </w:rPr>
              <w:t>ZS-004</w:t>
            </w:r>
          </w:p>
        </w:tc>
      </w:tr>
      <w:tr w:rsidR="00F17D4D" w:rsidRPr="00F17D4D" w14:paraId="1D363294" w14:textId="77777777" w:rsidTr="009D0573">
        <w:trPr>
          <w:trHeight w:val="140"/>
        </w:trPr>
        <w:tc>
          <w:tcPr>
            <w:tcW w:w="2320" w:type="dxa"/>
            <w:vMerge/>
          </w:tcPr>
          <w:p w14:paraId="3EEA26B9" w14:textId="77777777" w:rsidR="00F17D4D" w:rsidRPr="00F17D4D" w:rsidRDefault="00F17D4D" w:rsidP="009D0573">
            <w:pPr>
              <w:spacing w:before="0" w:line="240" w:lineRule="auto"/>
              <w:ind w:left="0" w:right="0"/>
              <w:rPr>
                <w:sz w:val="20"/>
                <w:szCs w:val="20"/>
              </w:rPr>
            </w:pPr>
          </w:p>
        </w:tc>
        <w:tc>
          <w:tcPr>
            <w:tcW w:w="3383" w:type="dxa"/>
          </w:tcPr>
          <w:p w14:paraId="37DC5ECD" w14:textId="77777777" w:rsidR="00F17D4D" w:rsidRPr="00F17D4D" w:rsidRDefault="00F17D4D" w:rsidP="009D0573">
            <w:pPr>
              <w:spacing w:before="0" w:line="240" w:lineRule="auto"/>
              <w:ind w:left="0" w:right="0"/>
              <w:rPr>
                <w:sz w:val="20"/>
                <w:szCs w:val="20"/>
              </w:rPr>
            </w:pPr>
            <w:r w:rsidRPr="00F17D4D">
              <w:rPr>
                <w:sz w:val="20"/>
                <w:szCs w:val="20"/>
              </w:rPr>
              <w:t>Effect of baseline SK</w:t>
            </w:r>
          </w:p>
        </w:tc>
        <w:tc>
          <w:tcPr>
            <w:tcW w:w="2530" w:type="dxa"/>
          </w:tcPr>
          <w:p w14:paraId="1C2D9EEA" w14:textId="77777777" w:rsidR="00F17D4D" w:rsidRPr="00F17D4D" w:rsidRDefault="009D0573" w:rsidP="009D0573">
            <w:pPr>
              <w:spacing w:before="0" w:line="240" w:lineRule="auto"/>
              <w:ind w:left="0" w:right="0"/>
              <w:rPr>
                <w:sz w:val="20"/>
                <w:szCs w:val="20"/>
              </w:rPr>
            </w:pPr>
            <w:r>
              <w:rPr>
                <w:sz w:val="20"/>
                <w:szCs w:val="20"/>
              </w:rPr>
              <w:t xml:space="preserve">EUZS-003, </w:t>
            </w:r>
            <w:r w:rsidR="00F17D4D" w:rsidRPr="00F17D4D">
              <w:rPr>
                <w:sz w:val="20"/>
                <w:szCs w:val="20"/>
              </w:rPr>
              <w:t>ZS-004</w:t>
            </w:r>
          </w:p>
        </w:tc>
      </w:tr>
    </w:tbl>
    <w:p w14:paraId="66F2206C" w14:textId="77777777" w:rsidR="00F17D4D" w:rsidRPr="00F17D4D" w:rsidRDefault="00F17D4D" w:rsidP="00F17D4D">
      <w:r>
        <w:t xml:space="preserve">None of the </w:t>
      </w:r>
      <w:proofErr w:type="spellStart"/>
      <w:r>
        <w:t>pharmacodynamic</w:t>
      </w:r>
      <w:proofErr w:type="spellEnd"/>
      <w:r>
        <w:t xml:space="preserve"> studies had deficiencies that excluded their results from consideration.</w:t>
      </w:r>
    </w:p>
    <w:p w14:paraId="71D2C5EB" w14:textId="77777777" w:rsidR="00605AD4" w:rsidRDefault="00605AD4" w:rsidP="00605AD4">
      <w:pPr>
        <w:pStyle w:val="Heading4"/>
      </w:pPr>
      <w:r>
        <w:t>Evaluator’s conclusions on pharmacodynamics</w:t>
      </w:r>
    </w:p>
    <w:p w14:paraId="3DFFBDC9" w14:textId="77777777" w:rsidR="00F17D4D" w:rsidRDefault="00F17D4D" w:rsidP="00F17D4D">
      <w:r>
        <w:t>Sufficient evidence has been submitted to demonstrate that ZS has its effect by binding potassium in intestinal fluid, causing it to be excreted bound to the ZS in faeces. This results in a rapid reduction in SK. There are no clinically relevant differences in the pharmacodynamics effect of ZS in different subgroups of patients divided by age, gender or other characteristics. There is a clear dose response relationship in the maintenance phase of management of hyperkalaemia.</w:t>
      </w:r>
    </w:p>
    <w:p w14:paraId="172093C6" w14:textId="77777777" w:rsidR="008E7846" w:rsidRDefault="00605AD4" w:rsidP="00605AD4">
      <w:pPr>
        <w:pStyle w:val="Heading3"/>
      </w:pPr>
      <w:bookmarkStart w:id="87" w:name="_Toc505252934"/>
      <w:r>
        <w:t>Dosage selection for the pivotal studies</w:t>
      </w:r>
      <w:bookmarkEnd w:id="87"/>
    </w:p>
    <w:p w14:paraId="57D1DEE8" w14:textId="77777777" w:rsidR="00F17D4D" w:rsidRPr="000C76D6" w:rsidRDefault="00517634" w:rsidP="00F17D4D">
      <w:r>
        <w:t xml:space="preserve">Dose </w:t>
      </w:r>
      <w:r w:rsidR="00F17D4D" w:rsidRPr="000C76D6">
        <w:t>ranging studies were carried out in the acute phases of three clinical studies.</w:t>
      </w:r>
      <w:r w:rsidR="00F17D4D">
        <w:t xml:space="preserve"> </w:t>
      </w:r>
      <w:r w:rsidR="00F17D4D" w:rsidRPr="000C76D6">
        <w:t>Given that the compound is not absorbed and there is therefore no issue of systemic toxicity, this is a reasonable approach.</w:t>
      </w:r>
      <w:r w:rsidR="00F17D4D">
        <w:t xml:space="preserve"> </w:t>
      </w:r>
      <w:r w:rsidR="00F17D4D" w:rsidRPr="000C76D6">
        <w:t xml:space="preserve">The choice of initial doses in Study ZS-002 was based on the in vitro finding that ZS was approximately 10 times more effective than sodium polystyrene sulfonate (SPS), a potassium binding resin used for the management of hyperkalaemia, in exchanging potassium cations in the presence of physiological levels of magnesium and </w:t>
      </w:r>
      <w:r w:rsidR="00F17D4D" w:rsidRPr="000C76D6">
        <w:lastRenderedPageBreak/>
        <w:t>calcium.</w:t>
      </w:r>
      <w:r w:rsidR="00F17D4D">
        <w:t xml:space="preserve"> </w:t>
      </w:r>
      <w:r w:rsidR="00F17D4D" w:rsidRPr="000C76D6">
        <w:t>It also took</w:t>
      </w:r>
      <w:r w:rsidR="00F17D4D">
        <w:t xml:space="preserve"> into account the results of 14 </w:t>
      </w:r>
      <w:r w:rsidR="00F17D4D" w:rsidRPr="000C76D6">
        <w:t>day oral toxicity studies performed in rats and dogs.</w:t>
      </w:r>
      <w:r w:rsidR="00F17D4D">
        <w:t xml:space="preserve"> </w:t>
      </w:r>
      <w:r w:rsidR="00F17D4D" w:rsidRPr="000C76D6">
        <w:t>The recommended oral dose of SPS in mild hyperkalaemia is 1</w:t>
      </w:r>
      <w:r w:rsidR="00F17D4D">
        <w:t>5 g</w:t>
      </w:r>
      <w:r w:rsidR="00F17D4D" w:rsidRPr="000C76D6">
        <w:t xml:space="preserve"> once daily, and the extrapolated dose of ZS for initial investigation in hyperkalaemic subjects (0.</w:t>
      </w:r>
      <w:r w:rsidR="00F17D4D">
        <w:t>3 g</w:t>
      </w:r>
      <w:r w:rsidR="00F17D4D" w:rsidRPr="000C76D6">
        <w:t xml:space="preserve"> </w:t>
      </w:r>
      <w:r w:rsidR="00E557DC">
        <w:t>TDS</w:t>
      </w:r>
      <w:r w:rsidR="00F17D4D" w:rsidRPr="000C76D6">
        <w:t>) is therefore less than 10% of the daily dose of SPS, thus providing an adequate safety margin.</w:t>
      </w:r>
      <w:r w:rsidR="00F17D4D">
        <w:t xml:space="preserve"> </w:t>
      </w:r>
      <w:r w:rsidR="00F17D4D" w:rsidRPr="000C76D6">
        <w:t xml:space="preserve">The additional doses tested in ZS-002 were </w:t>
      </w:r>
      <w:r w:rsidR="00F17D4D">
        <w:t>3 g</w:t>
      </w:r>
      <w:r w:rsidR="00F17D4D" w:rsidRPr="000C76D6">
        <w:t xml:space="preserve"> and </w:t>
      </w:r>
      <w:r w:rsidR="00F17D4D">
        <w:t>10 g</w:t>
      </w:r>
      <w:r w:rsidR="00F17D4D" w:rsidRPr="000C76D6">
        <w:t xml:space="preserve"> </w:t>
      </w:r>
      <w:r w:rsidR="00E557DC">
        <w:t>TDS</w:t>
      </w:r>
      <w:r w:rsidR="00F17D4D" w:rsidRPr="000C76D6">
        <w:t>.</w:t>
      </w:r>
    </w:p>
    <w:p w14:paraId="29614B2A" w14:textId="79A65ABB" w:rsidR="00F17D4D" w:rsidRPr="00F17D4D" w:rsidRDefault="00F17D4D" w:rsidP="00F17D4D">
      <w:r w:rsidRPr="000C76D6">
        <w:t>Subsequent doses investigated in the pivotal studies were based o</w:t>
      </w:r>
      <w:r>
        <w:t xml:space="preserve">n the results of the early dose </w:t>
      </w:r>
      <w:r w:rsidRPr="000C76D6">
        <w:t>ranging studies.</w:t>
      </w:r>
      <w:r>
        <w:t xml:space="preserve"> </w:t>
      </w:r>
      <w:r w:rsidRPr="000C76D6">
        <w:t>In Study ZS-002, doses of 0.</w:t>
      </w:r>
      <w:r>
        <w:t xml:space="preserve">3 g </w:t>
      </w:r>
      <w:r w:rsidR="00E557DC">
        <w:t>TDS</w:t>
      </w:r>
      <w:r w:rsidRPr="000C76D6">
        <w:t xml:space="preserve">, </w:t>
      </w:r>
      <w:r>
        <w:t>3 g</w:t>
      </w:r>
      <w:r w:rsidRPr="000C76D6">
        <w:t xml:space="preserve"> </w:t>
      </w:r>
      <w:r w:rsidR="00E557DC">
        <w:t>TDS</w:t>
      </w:r>
      <w:r w:rsidRPr="000C76D6">
        <w:t xml:space="preserve"> and </w:t>
      </w:r>
      <w:r>
        <w:t>10 g</w:t>
      </w:r>
      <w:r w:rsidRPr="000C76D6">
        <w:t xml:space="preserve"> </w:t>
      </w:r>
      <w:r w:rsidR="00E557DC">
        <w:t>TDS</w:t>
      </w:r>
      <w:r w:rsidRPr="000C76D6">
        <w:t xml:space="preserve"> were used.</w:t>
      </w:r>
      <w:r>
        <w:t xml:space="preserve"> </w:t>
      </w:r>
      <w:r w:rsidRPr="000C76D6">
        <w:t>All subjects were mildly hyperkalaemic for a variety of reasons, and all (</w:t>
      </w:r>
      <w:r>
        <w:t xml:space="preserve">n = </w:t>
      </w:r>
      <w:r w:rsidRPr="000C76D6">
        <w:t>12 in the first cohort, and 24 in each of the other two) completed the study.</w:t>
      </w:r>
      <w:r>
        <w:t xml:space="preserve"> </w:t>
      </w:r>
      <w:r w:rsidRPr="000C76D6">
        <w:t>Only the highest dosage resulted in statistically significantly greater mean reductions in SK (the primary outcome) compared with placebo.</w:t>
      </w:r>
      <w:r>
        <w:t xml:space="preserve"> </w:t>
      </w:r>
      <w:r w:rsidRPr="000C76D6">
        <w:t>Secondary outcomes supported the results of the primary outcome.</w:t>
      </w:r>
      <w:r>
        <w:t xml:space="preserve"> </w:t>
      </w:r>
      <w:r w:rsidRPr="000C76D6">
        <w:t xml:space="preserve">The time to first reduction in SK by 0.5 </w:t>
      </w:r>
      <w:proofErr w:type="spellStart"/>
      <w:r w:rsidRPr="000C76D6">
        <w:t>mmol</w:t>
      </w:r>
      <w:proofErr w:type="spellEnd"/>
      <w:r w:rsidRPr="000C76D6">
        <w:t>/L was significantly lower for the high dose group than placebo, but not so for the other two dosage groups.</w:t>
      </w:r>
      <w:r>
        <w:t xml:space="preserve"> </w:t>
      </w:r>
      <w:r w:rsidRPr="000C76D6">
        <w:t xml:space="preserve">Following administration of the fourth dose, a statistically significantly larger number of subjects in the high dose group (58.3%) had achieved a </w:t>
      </w:r>
      <w:r w:rsidR="0047313A">
        <w:t xml:space="preserve">≥ </w:t>
      </w:r>
      <w:r w:rsidRPr="000C76D6">
        <w:t xml:space="preserve">0.5 </w:t>
      </w:r>
      <w:proofErr w:type="spellStart"/>
      <w:r w:rsidRPr="000C76D6">
        <w:t>mmol</w:t>
      </w:r>
      <w:proofErr w:type="spellEnd"/>
      <w:r w:rsidRPr="000C76D6">
        <w:t xml:space="preserve">/L reduction in SK, compared to the placebo (17.2%), lowest dose (16.7%) and middle dose (26.1%) </w:t>
      </w:r>
      <w:r w:rsidRPr="00861D1C">
        <w:t xml:space="preserve">groups (Table 5 in </w:t>
      </w:r>
      <w:r w:rsidR="007643B1">
        <w:t>Attachment 1</w:t>
      </w:r>
      <w:r w:rsidRPr="000C76D6">
        <w:t>).</w:t>
      </w:r>
      <w:r>
        <w:t xml:space="preserve"> </w:t>
      </w:r>
      <w:r w:rsidRPr="000C76D6">
        <w:t>The pivotal efficacy studies used a range of doses, from 1.2</w:t>
      </w:r>
      <w:r>
        <w:t>5 g</w:t>
      </w:r>
      <w:r w:rsidRPr="000C76D6">
        <w:t xml:space="preserve"> to </w:t>
      </w:r>
      <w:r>
        <w:t xml:space="preserve">10 g </w:t>
      </w:r>
      <w:r w:rsidR="00E557DC">
        <w:t>TDS</w:t>
      </w:r>
      <w:r>
        <w:t xml:space="preserve"> in Study </w:t>
      </w:r>
      <w:r w:rsidRPr="000C76D6">
        <w:t xml:space="preserve">EUZS-003 and </w:t>
      </w:r>
      <w:r>
        <w:t>10 g</w:t>
      </w:r>
      <w:r w:rsidRPr="000C76D6">
        <w:t xml:space="preserve"> </w:t>
      </w:r>
      <w:r w:rsidR="00E557DC">
        <w:t>TDS</w:t>
      </w:r>
      <w:r w:rsidRPr="000C76D6">
        <w:t xml:space="preserve"> in Study ZS-004.</w:t>
      </w:r>
      <w:r>
        <w:t xml:space="preserve"> </w:t>
      </w:r>
      <w:r w:rsidRPr="000C76D6">
        <w:t>This dose is adequately supported by the early phase studies.</w:t>
      </w:r>
    </w:p>
    <w:p w14:paraId="148D5EC8" w14:textId="77777777" w:rsidR="008E7846" w:rsidRPr="00254787" w:rsidRDefault="008E7846" w:rsidP="008E7846">
      <w:pPr>
        <w:pStyle w:val="Heading3"/>
      </w:pPr>
      <w:bookmarkStart w:id="88" w:name="_Toc163441372"/>
      <w:bookmarkStart w:id="89" w:name="_Toc196046485"/>
      <w:bookmarkStart w:id="90" w:name="_Toc247691521"/>
      <w:bookmarkStart w:id="91" w:name="_Toc314842504"/>
      <w:bookmarkStart w:id="92" w:name="_Toc505252935"/>
      <w:r w:rsidRPr="00254787">
        <w:t>Efficacy</w:t>
      </w:r>
      <w:bookmarkEnd w:id="88"/>
      <w:bookmarkEnd w:id="89"/>
      <w:bookmarkEnd w:id="90"/>
      <w:bookmarkEnd w:id="91"/>
      <w:bookmarkEnd w:id="92"/>
    </w:p>
    <w:p w14:paraId="0E79CDF0" w14:textId="77777777" w:rsidR="00605AD4" w:rsidRDefault="00605AD4" w:rsidP="00605AD4">
      <w:pPr>
        <w:pStyle w:val="Heading4"/>
      </w:pPr>
      <w:bookmarkStart w:id="93" w:name="_Toc184439992"/>
      <w:bookmarkStart w:id="94" w:name="_Toc184440279"/>
      <w:bookmarkStart w:id="95" w:name="_Toc184444657"/>
      <w:bookmarkStart w:id="96" w:name="_Toc196046487"/>
      <w:r>
        <w:t>Studies providing efficacy data</w:t>
      </w:r>
    </w:p>
    <w:p w14:paraId="71DE3B43" w14:textId="77777777" w:rsidR="00F17D4D" w:rsidRPr="00F17D4D" w:rsidRDefault="00F17D4D" w:rsidP="00F17D4D">
      <w:r w:rsidRPr="000C76D6">
        <w:t>There were two 2 pivotal (</w:t>
      </w:r>
      <w:r>
        <w:t>double blind</w:t>
      </w:r>
      <w:r w:rsidRPr="000C76D6">
        <w:t xml:space="preserve">, </w:t>
      </w:r>
      <w:r>
        <w:t>placebo controlled</w:t>
      </w:r>
      <w:r w:rsidRPr="000C76D6">
        <w:t>) studies assessing the clinical efficacy of ZS in the acute l</w:t>
      </w:r>
      <w:r>
        <w:t xml:space="preserve">owering of SK with </w:t>
      </w:r>
      <w:r w:rsidR="00E557DC">
        <w:t>TDS</w:t>
      </w:r>
      <w:r>
        <w:t xml:space="preserve"> dosing (S</w:t>
      </w:r>
      <w:r w:rsidRPr="000C76D6">
        <w:t>tudies ZS-002 and EUZS-003) and two pivotal (</w:t>
      </w:r>
      <w:r>
        <w:t>double blind</w:t>
      </w:r>
      <w:r w:rsidRPr="000C76D6">
        <w:t xml:space="preserve">, </w:t>
      </w:r>
      <w:r>
        <w:t>placebo controlled</w:t>
      </w:r>
      <w:r w:rsidRPr="000C76D6">
        <w:t>, randomized withdrawal studies for maintenance of normokalaemia with once daily dosing (EUZS-003, ZS-004).</w:t>
      </w:r>
      <w:r>
        <w:t xml:space="preserve"> </w:t>
      </w:r>
      <w:r w:rsidRPr="000C76D6">
        <w:t xml:space="preserve">An </w:t>
      </w:r>
      <w:r>
        <w:t>open label</w:t>
      </w:r>
      <w:r w:rsidRPr="000C76D6">
        <w:t xml:space="preserve">, non-comparative, </w:t>
      </w:r>
      <w:r>
        <w:t>long term</w:t>
      </w:r>
      <w:r w:rsidRPr="000C76D6">
        <w:t xml:space="preserve"> (11 months) study provided supportive efficacy data but is not considered in detail in this section and is more applicable to consideration of safety (ZS-004E).</w:t>
      </w:r>
    </w:p>
    <w:p w14:paraId="759479B0" w14:textId="77777777" w:rsidR="008E7846" w:rsidRDefault="00605AD4" w:rsidP="00605AD4">
      <w:pPr>
        <w:pStyle w:val="Heading4"/>
      </w:pPr>
      <w:r>
        <w:t>Evaluator’s conclusions on efficacy</w:t>
      </w:r>
    </w:p>
    <w:p w14:paraId="5C0D5AFC" w14:textId="77777777" w:rsidR="00F17D4D" w:rsidRDefault="00F17D4D" w:rsidP="00F17D4D">
      <w:bookmarkStart w:id="97" w:name="_Ref271126605"/>
      <w:bookmarkStart w:id="98" w:name="_Toc272414657"/>
      <w:bookmarkStart w:id="99" w:name="_Toc290846282"/>
      <w:proofErr w:type="gramStart"/>
      <w:r>
        <w:t>C</w:t>
      </w:r>
      <w:r w:rsidRPr="000C76D6">
        <w:t xml:space="preserve">onclusions on clinical efficacy for </w:t>
      </w:r>
      <w:bookmarkEnd w:id="97"/>
      <w:bookmarkEnd w:id="98"/>
      <w:bookmarkEnd w:id="99"/>
      <w:r w:rsidRPr="000C76D6">
        <w:t>treatment of hyperkalaemia (acute and extended</w:t>
      </w:r>
      <w:r>
        <w:t>).</w:t>
      </w:r>
      <w:proofErr w:type="gramEnd"/>
    </w:p>
    <w:p w14:paraId="07684DBE" w14:textId="77777777" w:rsidR="00F17D4D" w:rsidRPr="000C76D6" w:rsidRDefault="00F17D4D" w:rsidP="00F17D4D">
      <w:r w:rsidRPr="000C76D6">
        <w:t xml:space="preserve">The two pivotal trials assessing the clinical efficacy of ZS at a dose of </w:t>
      </w:r>
      <w:r>
        <w:t>10 g</w:t>
      </w:r>
      <w:r w:rsidRPr="000C76D6">
        <w:t xml:space="preserve"> </w:t>
      </w:r>
      <w:r w:rsidR="00E557DC">
        <w:t>TDS</w:t>
      </w:r>
      <w:r w:rsidRPr="000C76D6">
        <w:t xml:space="preserve"> for 2 days have provided evidence that ZS treatment leads to a rapid lowering of SK in patients with hyperkalaemia (Studies ZS-002 and EUZS-003).</w:t>
      </w:r>
      <w:r>
        <w:t xml:space="preserve"> </w:t>
      </w:r>
      <w:r w:rsidRPr="000C76D6">
        <w:t>This was confirmed in the acute phase of Study ZS-004.</w:t>
      </w:r>
      <w:r>
        <w:t xml:space="preserve"> </w:t>
      </w:r>
      <w:r w:rsidRPr="000C76D6">
        <w:t>Lower doses of ZS are also effective, but have a smaller effect t</w:t>
      </w:r>
      <w:r>
        <w:t xml:space="preserve">han the proposed dose, 10 g </w:t>
      </w:r>
      <w:r w:rsidR="00E557DC">
        <w:t>TDS</w:t>
      </w:r>
      <w:r>
        <w:t>.</w:t>
      </w:r>
    </w:p>
    <w:p w14:paraId="477B1D7B" w14:textId="77777777" w:rsidR="00F17D4D" w:rsidRPr="00F17D4D" w:rsidRDefault="00F17D4D" w:rsidP="00F17D4D">
      <w:r w:rsidRPr="000C76D6">
        <w:t>The two pivotal trials (EUZS-003, ZS-004) assessing the clinical efficacy of ZS in the maintenance of normokalaemia in patients who have received acute treatment have demo</w:t>
      </w:r>
      <w:r>
        <w:t>nstrated that ZS in a dose of 5 to 10 g</w:t>
      </w:r>
      <w:r w:rsidRPr="000C76D6">
        <w:t xml:space="preserve"> OD is effective in maintaining normokalaemia in the majority of subjects</w:t>
      </w:r>
      <w:r>
        <w:t>.</w:t>
      </w:r>
    </w:p>
    <w:p w14:paraId="5926DF02" w14:textId="77777777" w:rsidR="008E7846" w:rsidRDefault="008E7846" w:rsidP="008E7846">
      <w:pPr>
        <w:pStyle w:val="Heading3"/>
      </w:pPr>
      <w:bookmarkStart w:id="100" w:name="_Toc163441378"/>
      <w:bookmarkStart w:id="101" w:name="_Toc196046495"/>
      <w:bookmarkStart w:id="102" w:name="_Toc247691522"/>
      <w:bookmarkStart w:id="103" w:name="_Toc314842505"/>
      <w:bookmarkStart w:id="104" w:name="_Toc505252936"/>
      <w:bookmarkEnd w:id="93"/>
      <w:bookmarkEnd w:id="94"/>
      <w:bookmarkEnd w:id="95"/>
      <w:bookmarkEnd w:id="96"/>
      <w:r w:rsidRPr="002E238E">
        <w:t>Safety</w:t>
      </w:r>
      <w:bookmarkEnd w:id="100"/>
      <w:bookmarkEnd w:id="101"/>
      <w:bookmarkEnd w:id="102"/>
      <w:bookmarkEnd w:id="103"/>
      <w:bookmarkEnd w:id="104"/>
    </w:p>
    <w:p w14:paraId="43463C13" w14:textId="77777777" w:rsidR="00F17D4D" w:rsidRPr="00F17D4D" w:rsidRDefault="00F17D4D" w:rsidP="00F17D4D">
      <w:r>
        <w:t xml:space="preserve">The safety of ZS was expected to be favourable because of its non-absorbability and therefore its very low likelihood of causing systemic adverse effects. The major potential issues of interest were therefore effects that could be caused during transit of ZS through the GI tract, either through an influence on overall GI function causing GI-related </w:t>
      </w:r>
      <w:r>
        <w:lastRenderedPageBreak/>
        <w:t>symptoms, or by alterations in the absorption or excretion of potassium or other cations (including sodium, calcium and magnesium).</w:t>
      </w:r>
    </w:p>
    <w:p w14:paraId="787B7167" w14:textId="77777777" w:rsidR="00605AD4" w:rsidRDefault="00605AD4" w:rsidP="00605AD4">
      <w:pPr>
        <w:pStyle w:val="Heading4"/>
      </w:pPr>
      <w:bookmarkStart w:id="105" w:name="_Toc247691524"/>
      <w:bookmarkStart w:id="106" w:name="_Toc314842508"/>
      <w:bookmarkStart w:id="107" w:name="_Toc196046504"/>
      <w:bookmarkStart w:id="108" w:name="_Toc163441390"/>
      <w:r w:rsidRPr="00605AD4">
        <w:t>Studies providing safety data</w:t>
      </w:r>
    </w:p>
    <w:p w14:paraId="32BA67B7" w14:textId="77777777" w:rsidR="00053B93" w:rsidRPr="00053B93" w:rsidRDefault="00053B93" w:rsidP="00053B93">
      <w:r>
        <w:t>The following studies provided evaluable safety data: ZS-002, EUZS-003, ZS-004, ZS-004E (an open label extension of ZS-004), ZS-005 (interim results) and ZS-006 (healthy subjects).</w:t>
      </w:r>
    </w:p>
    <w:p w14:paraId="3429B584" w14:textId="77777777" w:rsidR="00605AD4" w:rsidRDefault="00605AD4" w:rsidP="00605AD4">
      <w:pPr>
        <w:pStyle w:val="Heading4"/>
      </w:pPr>
      <w:r w:rsidRPr="00605AD4">
        <w:t>Patient exposure</w:t>
      </w:r>
    </w:p>
    <w:p w14:paraId="3F256138" w14:textId="77777777" w:rsidR="00053B93" w:rsidRPr="003726ED" w:rsidRDefault="00053B93" w:rsidP="00053B93">
      <w:r w:rsidRPr="003726ED">
        <w:t>A total of 1,592 subjects had been exposed to ZS during th</w:t>
      </w:r>
      <w:r w:rsidR="006C0B8E">
        <w:t>e clinical trials as at 15 July </w:t>
      </w:r>
      <w:r w:rsidRPr="003726ED">
        <w:t>2015.</w:t>
      </w:r>
      <w:r>
        <w:t xml:space="preserve"> </w:t>
      </w:r>
      <w:r w:rsidRPr="003726ED">
        <w:t>Of these, 1,102 subjects had received ZS once daily during extended dosing phases, with 579 treated for at least 30 days, 264 for at le</w:t>
      </w:r>
      <w:r w:rsidR="006C0B8E">
        <w:t>ast 6 months, 98 for at least 9 </w:t>
      </w:r>
      <w:r w:rsidRPr="003726ED">
        <w:t>months and 40 for 12 months.</w:t>
      </w:r>
    </w:p>
    <w:p w14:paraId="180F7A23" w14:textId="77777777" w:rsidR="00053B93" w:rsidRPr="00053B93" w:rsidRDefault="00053B93" w:rsidP="00053B93">
      <w:r w:rsidRPr="003726ED">
        <w:t xml:space="preserve">In terms of dose exposure, in the acute phase clinical studies, 331 patients were exposed to </w:t>
      </w:r>
      <w:r w:rsidR="0047313A">
        <w:t xml:space="preserve">≤ </w:t>
      </w:r>
      <w:r>
        <w:t>3 g </w:t>
      </w:r>
      <w:r w:rsidR="00E557DC">
        <w:t>TDS</w:t>
      </w:r>
      <w:r w:rsidRPr="003726ED">
        <w:t xml:space="preserve">, 157 to </w:t>
      </w:r>
      <w:r>
        <w:t>5 g</w:t>
      </w:r>
      <w:r w:rsidRPr="003726ED">
        <w:t xml:space="preserve"> </w:t>
      </w:r>
      <w:r w:rsidR="00E557DC">
        <w:t>TDS</w:t>
      </w:r>
      <w:r w:rsidRPr="003726ED">
        <w:t xml:space="preserve">, and 425 to </w:t>
      </w:r>
      <w:r>
        <w:t>10 g</w:t>
      </w:r>
      <w:r w:rsidRPr="003726ED">
        <w:t xml:space="preserve"> </w:t>
      </w:r>
      <w:r w:rsidR="00E557DC">
        <w:t>TDS</w:t>
      </w:r>
      <w:r w:rsidRPr="003726ED">
        <w:t xml:space="preserve"> (the proposed acute phase dose).</w:t>
      </w:r>
      <w:r>
        <w:t xml:space="preserve"> </w:t>
      </w:r>
      <w:r w:rsidRPr="003726ED">
        <w:t xml:space="preserve">In the extended phase studies, 199 subjects were exposed to </w:t>
      </w:r>
      <w:r w:rsidR="0047313A">
        <w:t xml:space="preserve">≤ </w:t>
      </w:r>
      <w:r w:rsidRPr="003726ED">
        <w:t>2.</w:t>
      </w:r>
      <w:r>
        <w:t>5 g</w:t>
      </w:r>
      <w:r w:rsidRPr="003726ED">
        <w:t xml:space="preserve"> QD, 110 to </w:t>
      </w:r>
      <w:r>
        <w:t>5 g</w:t>
      </w:r>
      <w:r w:rsidRPr="003726ED">
        <w:t xml:space="preserve"> QD, 114 to </w:t>
      </w:r>
      <w:r w:rsidR="006C0B8E">
        <w:t>10 </w:t>
      </w:r>
      <w:r>
        <w:t>g</w:t>
      </w:r>
      <w:r w:rsidRPr="003726ED">
        <w:t xml:space="preserve"> QD and 56 to 1</w:t>
      </w:r>
      <w:r>
        <w:t>5 g</w:t>
      </w:r>
      <w:r w:rsidRPr="003726ED">
        <w:t xml:space="preserve"> QD.</w:t>
      </w:r>
    </w:p>
    <w:p w14:paraId="24CD4D8F" w14:textId="3DEDA273" w:rsidR="00053B93" w:rsidRPr="00053B93" w:rsidRDefault="00E70BC5" w:rsidP="00053B93">
      <w:r>
        <w:t>For the full clinical evaluation of safety</w:t>
      </w:r>
      <w:r w:rsidR="007643B1">
        <w:t xml:space="preserve"> aspects please see Attachment 1</w:t>
      </w:r>
      <w:r>
        <w:t>.</w:t>
      </w:r>
    </w:p>
    <w:p w14:paraId="73252D4E" w14:textId="77777777" w:rsidR="00605AD4" w:rsidRPr="00605AD4" w:rsidRDefault="00605AD4" w:rsidP="00605AD4">
      <w:pPr>
        <w:pStyle w:val="Heading4"/>
      </w:pPr>
      <w:r w:rsidRPr="00605AD4">
        <w:t>Evaluator’s conclusions on safety</w:t>
      </w:r>
    </w:p>
    <w:p w14:paraId="7447F8AD" w14:textId="77777777" w:rsidR="00053B93" w:rsidRPr="003726ED" w:rsidRDefault="00053B93" w:rsidP="00053B93">
      <w:r w:rsidRPr="003726ED">
        <w:t>The combined safety data, including from studies using long term dosing for up to twelve months, indicate that ZS is well tolerated in the acute lowering of SK in patients with hyperkalaemia, and in the longer term maintenance of normokalaemia.</w:t>
      </w:r>
      <w:r>
        <w:t xml:space="preserve"> </w:t>
      </w:r>
      <w:r w:rsidRPr="003726ED">
        <w:t>The characteristics of the population studied explain the majority of TEAEs, serious AEs and withdrawals.</w:t>
      </w:r>
      <w:r>
        <w:t xml:space="preserve"> </w:t>
      </w:r>
      <w:r w:rsidRPr="003726ED">
        <w:t>There are no specific safety concerns related to this submission, with the exception of the risk of hypokalaemia if patients receiving treatment are inadequately monitored in relation to their SK.</w:t>
      </w:r>
      <w:r>
        <w:t xml:space="preserve"> </w:t>
      </w:r>
      <w:r w:rsidRPr="003726ED">
        <w:t>This is particularly important during the acute phase of treatment, when ZS is administered three times daily.</w:t>
      </w:r>
    </w:p>
    <w:p w14:paraId="081C020E" w14:textId="0DB28FEC" w:rsidR="00605AD4" w:rsidRPr="00605AD4" w:rsidRDefault="00605AD4" w:rsidP="00605AD4">
      <w:pPr>
        <w:pStyle w:val="Heading3"/>
        <w:rPr>
          <w:rFonts w:eastAsia="Cambria"/>
        </w:rPr>
      </w:pPr>
      <w:bookmarkStart w:id="109" w:name="_Toc505252937"/>
      <w:r w:rsidRPr="00605AD4">
        <w:rPr>
          <w:rFonts w:eastAsia="Cambria"/>
        </w:rPr>
        <w:t xml:space="preserve">First </w:t>
      </w:r>
      <w:r w:rsidR="007B4BEB" w:rsidRPr="00605AD4">
        <w:rPr>
          <w:rFonts w:eastAsia="Cambria"/>
        </w:rPr>
        <w:t>round benefit-risk assessment</w:t>
      </w:r>
      <w:bookmarkEnd w:id="109"/>
    </w:p>
    <w:p w14:paraId="35879AA5" w14:textId="77777777" w:rsidR="00605AD4" w:rsidRDefault="00605AD4" w:rsidP="00605AD4">
      <w:pPr>
        <w:pStyle w:val="Heading4"/>
      </w:pPr>
      <w:r w:rsidRPr="00605AD4">
        <w:t>First round assessment of benefits</w:t>
      </w:r>
    </w:p>
    <w:p w14:paraId="2E447154" w14:textId="77777777" w:rsidR="00053B93" w:rsidRDefault="00053B93" w:rsidP="00053B93">
      <w:r>
        <w:t>The benefits of ZS in the proposed usage are:</w:t>
      </w:r>
    </w:p>
    <w:p w14:paraId="12BC5EA3" w14:textId="77777777" w:rsidR="00053B93" w:rsidRPr="00053B93" w:rsidRDefault="00053B93" w:rsidP="00053B93">
      <w:pPr>
        <w:pStyle w:val="ListBullet"/>
      </w:pPr>
      <w:r w:rsidRPr="00053B93">
        <w:t>Rapid and effective lowering of SK in patients with hyperkalaemia</w:t>
      </w:r>
    </w:p>
    <w:p w14:paraId="5F8752C1" w14:textId="77777777" w:rsidR="00053B93" w:rsidRPr="00053B93" w:rsidRDefault="00053B93" w:rsidP="00053B93">
      <w:pPr>
        <w:pStyle w:val="ListBullet"/>
      </w:pPr>
      <w:r w:rsidRPr="00053B93">
        <w:t>Maintenance of normokalaemia for up to twelve months.</w:t>
      </w:r>
    </w:p>
    <w:p w14:paraId="657E9126" w14:textId="77777777" w:rsidR="00605AD4" w:rsidRDefault="00605AD4" w:rsidP="00605AD4">
      <w:pPr>
        <w:pStyle w:val="Heading4"/>
      </w:pPr>
      <w:r w:rsidRPr="00605AD4">
        <w:t>First round assessment of risks</w:t>
      </w:r>
    </w:p>
    <w:p w14:paraId="4393533E" w14:textId="77777777" w:rsidR="00053B93" w:rsidRDefault="00053B93" w:rsidP="00053B93">
      <w:r>
        <w:t>The risks of ZS in the proposed usage are:</w:t>
      </w:r>
    </w:p>
    <w:p w14:paraId="05ED55B5" w14:textId="77777777" w:rsidR="00053B93" w:rsidRPr="00053B93" w:rsidRDefault="00053B93" w:rsidP="00053B93">
      <w:pPr>
        <w:pStyle w:val="ListBullet"/>
      </w:pPr>
      <w:r w:rsidRPr="00053B93">
        <w:t>Hypokalaemia, requiring regular monitoring of SK</w:t>
      </w:r>
    </w:p>
    <w:p w14:paraId="7CFDAE9B" w14:textId="77777777" w:rsidR="00053B93" w:rsidRPr="00053B93" w:rsidRDefault="00053B93" w:rsidP="00053B93">
      <w:pPr>
        <w:pStyle w:val="ListBullet"/>
      </w:pPr>
      <w:r w:rsidRPr="00053B93">
        <w:t xml:space="preserve">Hypertension exacerbation, requiring regular monitoring of </w:t>
      </w:r>
      <w:r w:rsidR="006C0B8E">
        <w:t>blood pressure</w:t>
      </w:r>
    </w:p>
    <w:p w14:paraId="2B2076CE" w14:textId="77777777" w:rsidR="00053B93" w:rsidRPr="00053B93" w:rsidRDefault="00053B93" w:rsidP="00053B93">
      <w:pPr>
        <w:pStyle w:val="ListBullet"/>
      </w:pPr>
      <w:r w:rsidRPr="00053B93">
        <w:t>Peripheral oedema</w:t>
      </w:r>
    </w:p>
    <w:p w14:paraId="177A987A" w14:textId="77777777" w:rsidR="00053B93" w:rsidRPr="00053B93" w:rsidRDefault="00053B93" w:rsidP="00053B93">
      <w:pPr>
        <w:pStyle w:val="ListBullet"/>
      </w:pPr>
      <w:r w:rsidRPr="00053B93">
        <w:t>Prolongation of QT interval in individuals with pre-existing QT abnormalities.</w:t>
      </w:r>
    </w:p>
    <w:p w14:paraId="5538396A" w14:textId="77777777" w:rsidR="00605AD4" w:rsidRPr="00605AD4" w:rsidRDefault="00605AD4" w:rsidP="00605AD4">
      <w:pPr>
        <w:pStyle w:val="Heading4"/>
      </w:pPr>
      <w:r w:rsidRPr="00605AD4">
        <w:lastRenderedPageBreak/>
        <w:t>First round assessment of benefit-risk balance</w:t>
      </w:r>
    </w:p>
    <w:p w14:paraId="68FF8114" w14:textId="77777777" w:rsidR="00605AD4" w:rsidRPr="00605AD4" w:rsidRDefault="00053B93" w:rsidP="00605AD4">
      <w:r>
        <w:t>The benefit-risk balance of ZS, given the proposed usage, is favourable.</w:t>
      </w:r>
    </w:p>
    <w:p w14:paraId="2D07D9D9" w14:textId="6D384A9E" w:rsidR="00605AD4" w:rsidRPr="00605AD4" w:rsidRDefault="00605AD4" w:rsidP="00605AD4">
      <w:pPr>
        <w:pStyle w:val="Heading3"/>
        <w:rPr>
          <w:rFonts w:eastAsia="Cambria"/>
        </w:rPr>
      </w:pPr>
      <w:bookmarkStart w:id="110" w:name="_Toc505252938"/>
      <w:r w:rsidRPr="00605AD4">
        <w:rPr>
          <w:rFonts w:eastAsia="Cambria"/>
        </w:rPr>
        <w:t xml:space="preserve">First </w:t>
      </w:r>
      <w:r w:rsidR="007B4BEB" w:rsidRPr="00605AD4">
        <w:rPr>
          <w:rFonts w:eastAsia="Cambria"/>
        </w:rPr>
        <w:t>round recommendation regarding authorisation</w:t>
      </w:r>
      <w:bookmarkEnd w:id="110"/>
    </w:p>
    <w:p w14:paraId="213D1DCB" w14:textId="77777777" w:rsidR="00605AD4" w:rsidRPr="00605AD4" w:rsidRDefault="00053B93" w:rsidP="00605AD4">
      <w:r>
        <w:t>It is recommended that the application for registration of sodium zirconium cyclosilicate be granted and that the drug be registered for the treatment of hyperkalaemia (acute and extended use).</w:t>
      </w:r>
    </w:p>
    <w:p w14:paraId="40ACC4EB" w14:textId="1CE4CF7E" w:rsidR="00605AD4" w:rsidRPr="00605AD4" w:rsidRDefault="00605AD4" w:rsidP="00605AD4">
      <w:pPr>
        <w:pStyle w:val="Heading3"/>
        <w:rPr>
          <w:rFonts w:eastAsia="Cambria"/>
        </w:rPr>
      </w:pPr>
      <w:bookmarkStart w:id="111" w:name="_Toc505252939"/>
      <w:r w:rsidRPr="00605AD4">
        <w:rPr>
          <w:rFonts w:eastAsia="Cambria"/>
        </w:rPr>
        <w:t xml:space="preserve">Clinical </w:t>
      </w:r>
      <w:r w:rsidR="007B4BEB" w:rsidRPr="00605AD4">
        <w:rPr>
          <w:rFonts w:eastAsia="Cambria"/>
        </w:rPr>
        <w:t>questions</w:t>
      </w:r>
      <w:r w:rsidR="007B4BEB">
        <w:rPr>
          <w:rFonts w:eastAsia="Cambria"/>
        </w:rPr>
        <w:t xml:space="preserve"> and </w:t>
      </w:r>
      <w:bookmarkStart w:id="112" w:name="_Toc500410738"/>
      <w:r w:rsidR="007B4BEB">
        <w:t xml:space="preserve">second </w:t>
      </w:r>
      <w:r w:rsidR="00053B93">
        <w:t>round evaluation of clinical data submitted in response to questions</w:t>
      </w:r>
      <w:bookmarkEnd w:id="112"/>
      <w:bookmarkEnd w:id="111"/>
    </w:p>
    <w:p w14:paraId="3F0B52D9" w14:textId="40073FCB" w:rsidR="00605AD4" w:rsidRPr="00605AD4" w:rsidRDefault="00053B93" w:rsidP="00605AD4">
      <w:r>
        <w:t xml:space="preserve">For the details of clinical questions raised, the </w:t>
      </w:r>
      <w:r w:rsidR="006C0B8E">
        <w:t>sponsor’s</w:t>
      </w:r>
      <w:r>
        <w:t xml:space="preserve"> response and the evaluation of the </w:t>
      </w:r>
      <w:r w:rsidR="007643B1">
        <w:t>response please see Attachment 1</w:t>
      </w:r>
      <w:r>
        <w:t>.</w:t>
      </w:r>
    </w:p>
    <w:p w14:paraId="307622C1" w14:textId="46E65F51" w:rsidR="00605AD4" w:rsidRDefault="00605AD4" w:rsidP="00546154">
      <w:pPr>
        <w:pStyle w:val="Heading3"/>
        <w:rPr>
          <w:rFonts w:eastAsia="Cambria"/>
        </w:rPr>
      </w:pPr>
      <w:bookmarkStart w:id="113" w:name="_Toc505252940"/>
      <w:r w:rsidRPr="00605AD4">
        <w:rPr>
          <w:rFonts w:eastAsia="Cambria"/>
        </w:rPr>
        <w:t xml:space="preserve">Second </w:t>
      </w:r>
      <w:r w:rsidR="007B4BEB" w:rsidRPr="00605AD4">
        <w:rPr>
          <w:rFonts w:eastAsia="Cambria"/>
        </w:rPr>
        <w:t>round benefit-risk assessment</w:t>
      </w:r>
      <w:bookmarkEnd w:id="113"/>
    </w:p>
    <w:p w14:paraId="3F200A60" w14:textId="77777777" w:rsidR="00053B93" w:rsidRPr="00C12A61" w:rsidRDefault="00053B93" w:rsidP="00053B93">
      <w:pPr>
        <w:pStyle w:val="Heading4"/>
      </w:pPr>
      <w:bookmarkStart w:id="114" w:name="_Toc461803020"/>
      <w:bookmarkStart w:id="115" w:name="_Toc290846349"/>
      <w:bookmarkStart w:id="116" w:name="_Toc272414709"/>
      <w:bookmarkStart w:id="117" w:name="_Toc500410740"/>
      <w:r w:rsidRPr="00C12A61">
        <w:t>Second round assessment of benefits</w:t>
      </w:r>
      <w:bookmarkEnd w:id="114"/>
      <w:bookmarkEnd w:id="115"/>
      <w:bookmarkEnd w:id="116"/>
      <w:bookmarkEnd w:id="117"/>
    </w:p>
    <w:p w14:paraId="4B3ACA8F" w14:textId="77777777" w:rsidR="00053B93" w:rsidRPr="00C12A61" w:rsidRDefault="00053B93" w:rsidP="00053B93">
      <w:r w:rsidRPr="00C12A61">
        <w:t xml:space="preserve">After consideration of the responses to clinical questions, the benefits of sodium zirconium in the proposed usage are unchanged from those identified in </w:t>
      </w:r>
      <w:r w:rsidR="006C0B8E">
        <w:t>the first round</w:t>
      </w:r>
      <w:r w:rsidRPr="00C12A61">
        <w:t>.</w:t>
      </w:r>
    </w:p>
    <w:p w14:paraId="2979A6F1" w14:textId="77777777" w:rsidR="00053B93" w:rsidRPr="00C12A61" w:rsidRDefault="00053B93" w:rsidP="00053B93">
      <w:pPr>
        <w:pStyle w:val="Heading4"/>
      </w:pPr>
      <w:bookmarkStart w:id="118" w:name="_Toc461803021"/>
      <w:bookmarkStart w:id="119" w:name="_Toc290846350"/>
      <w:bookmarkStart w:id="120" w:name="_Toc272414710"/>
      <w:bookmarkStart w:id="121" w:name="_Toc500410741"/>
      <w:r w:rsidRPr="00C12A61">
        <w:t>Second round assessment of risks</w:t>
      </w:r>
      <w:bookmarkEnd w:id="118"/>
      <w:bookmarkEnd w:id="119"/>
      <w:bookmarkEnd w:id="120"/>
      <w:bookmarkEnd w:id="121"/>
    </w:p>
    <w:p w14:paraId="3B0640F8" w14:textId="77777777" w:rsidR="00053B93" w:rsidRPr="00C12A61" w:rsidRDefault="00053B93" w:rsidP="00053B93">
      <w:r w:rsidRPr="00C12A61">
        <w:t>After consideration of the responses to clinical questions, the risks in the proposed usage are better characterised</w:t>
      </w:r>
    </w:p>
    <w:p w14:paraId="79F746A1" w14:textId="77777777" w:rsidR="00053B93" w:rsidRPr="00C12A61" w:rsidRDefault="00053B93" w:rsidP="00053B93">
      <w:pPr>
        <w:pStyle w:val="Heading4"/>
      </w:pPr>
      <w:bookmarkStart w:id="122" w:name="_Toc461803022"/>
      <w:bookmarkStart w:id="123" w:name="_Toc290846351"/>
      <w:bookmarkStart w:id="124" w:name="_Toc272414711"/>
      <w:bookmarkStart w:id="125" w:name="_Toc500410742"/>
      <w:r w:rsidRPr="00C12A61">
        <w:t>Second round assessment of benefit-risk balance</w:t>
      </w:r>
      <w:bookmarkEnd w:id="122"/>
      <w:bookmarkEnd w:id="123"/>
      <w:bookmarkEnd w:id="124"/>
      <w:bookmarkEnd w:id="125"/>
    </w:p>
    <w:p w14:paraId="1E5D74D8" w14:textId="77777777" w:rsidR="00053B93" w:rsidRPr="00053B93" w:rsidRDefault="00053B93" w:rsidP="00053B93">
      <w:r w:rsidRPr="00C12A61">
        <w:t>The benefit-risk balance of sodium zirconium for the treatment of hyperkalaemia is positive.</w:t>
      </w:r>
    </w:p>
    <w:p w14:paraId="02583ABE" w14:textId="77777777" w:rsidR="00053B93" w:rsidRPr="00053B93" w:rsidRDefault="00053B93" w:rsidP="00053B93">
      <w:pPr>
        <w:pStyle w:val="Heading4"/>
      </w:pPr>
      <w:bookmarkStart w:id="126" w:name="_Toc500410743"/>
      <w:r>
        <w:t>Second round recommendation regarding authorisation</w:t>
      </w:r>
      <w:bookmarkEnd w:id="126"/>
    </w:p>
    <w:p w14:paraId="0DD24E50" w14:textId="77777777" w:rsidR="00053B93" w:rsidRPr="00C12A61" w:rsidRDefault="00053B93" w:rsidP="00053B93">
      <w:r w:rsidRPr="00C12A61">
        <w:t>The clinical data submitted would support the registration of sodium zirconium to treat hyperkalaemia in adults. However, the final decision would also need to take in to accounts reports from chemistry, toxicology and RMP evaluators.</w:t>
      </w:r>
    </w:p>
    <w:p w14:paraId="58130AE3" w14:textId="77777777" w:rsidR="00605AD4" w:rsidRPr="00605AD4" w:rsidRDefault="00053B93" w:rsidP="00546154">
      <w:r w:rsidRPr="00C12A61">
        <w:t>As this is a new chemical entity with limited efficacy and safety d</w:t>
      </w:r>
      <w:r w:rsidR="006C0B8E">
        <w:t>ata, however a broad indication,</w:t>
      </w:r>
      <w:r w:rsidRPr="00C12A61">
        <w:t xml:space="preserve"> the evaluator would recommend some changes to the PI to optimise safe use of this product with an awareness of the limitations of the c</w:t>
      </w:r>
      <w:r>
        <w:t>linical trial data available.</w:t>
      </w:r>
    </w:p>
    <w:p w14:paraId="6D957D4E" w14:textId="77777777" w:rsidR="008E7846" w:rsidRPr="00E41208" w:rsidRDefault="008E7846" w:rsidP="00546154">
      <w:pPr>
        <w:pStyle w:val="Heading2"/>
      </w:pPr>
      <w:bookmarkStart w:id="127" w:name="_Toc505252941"/>
      <w:r w:rsidRPr="00E41208">
        <w:t xml:space="preserve">V. Pharmacovigilance </w:t>
      </w:r>
      <w:r>
        <w:t>f</w:t>
      </w:r>
      <w:r w:rsidRPr="00E41208">
        <w:t>indings</w:t>
      </w:r>
      <w:bookmarkEnd w:id="105"/>
      <w:bookmarkEnd w:id="106"/>
      <w:bookmarkEnd w:id="127"/>
    </w:p>
    <w:p w14:paraId="1AF5072F" w14:textId="77777777" w:rsidR="008E7846" w:rsidRDefault="00386150" w:rsidP="008E7846">
      <w:pPr>
        <w:pStyle w:val="Heading3"/>
        <w:rPr>
          <w:lang w:eastAsia="en-AU"/>
        </w:rPr>
      </w:pPr>
      <w:bookmarkStart w:id="128" w:name="_Toc247691526"/>
      <w:bookmarkStart w:id="129" w:name="_Toc314842509"/>
      <w:bookmarkStart w:id="130" w:name="_Toc505252942"/>
      <w:r>
        <w:rPr>
          <w:lang w:eastAsia="en-AU"/>
        </w:rPr>
        <w:t>Risk m</w:t>
      </w:r>
      <w:r w:rsidR="008E7846">
        <w:rPr>
          <w:lang w:eastAsia="en-AU"/>
        </w:rPr>
        <w:t xml:space="preserve">anagement </w:t>
      </w:r>
      <w:r>
        <w:rPr>
          <w:lang w:eastAsia="en-AU"/>
        </w:rPr>
        <w:t>p</w:t>
      </w:r>
      <w:r w:rsidR="008E7846">
        <w:rPr>
          <w:lang w:eastAsia="en-AU"/>
        </w:rPr>
        <w:t>lan</w:t>
      </w:r>
      <w:bookmarkEnd w:id="128"/>
      <w:bookmarkEnd w:id="129"/>
      <w:bookmarkEnd w:id="130"/>
    </w:p>
    <w:p w14:paraId="452154A4" w14:textId="77777777" w:rsidR="00E36D21" w:rsidRPr="00E36D21" w:rsidRDefault="00BE0DF4" w:rsidP="00E36D21">
      <w:pPr>
        <w:pStyle w:val="ListBullet"/>
      </w:pPr>
      <w:r>
        <w:t>Lokelma</w:t>
      </w:r>
      <w:r w:rsidR="00E36D21" w:rsidRPr="00E36D21">
        <w:t xml:space="preserve"> is proposed to be for the treatment of hyperkalaemia in adult patients, for acute and extended use. Treatment should only be initiated and supervised by a physician experienced in treating hyperkalaemia. The proposed dosing regimen in</w:t>
      </w:r>
      <w:r w:rsidR="006C0B8E">
        <w:t xml:space="preserve">volves oral administration of 5 to </w:t>
      </w:r>
      <w:r w:rsidR="00E36D21" w:rsidRPr="00E36D21">
        <w:t xml:space="preserve">10 g administered three times a day orally as a </w:t>
      </w:r>
      <w:r w:rsidR="00E36D21" w:rsidRPr="00E36D21">
        <w:lastRenderedPageBreak/>
        <w:t>slurry/suspension in water, to achieve normokalaemia. The maintenance dose is no more than 10 g/day for extended use.</w:t>
      </w:r>
    </w:p>
    <w:p w14:paraId="2AB8E4C2" w14:textId="77777777" w:rsidR="00886664" w:rsidRDefault="00E36D21" w:rsidP="00E36D21">
      <w:pPr>
        <w:pStyle w:val="ListBullet"/>
      </w:pPr>
      <w:r w:rsidRPr="00E36D21">
        <w:t xml:space="preserve">The </w:t>
      </w:r>
      <w:r w:rsidR="00E557DC">
        <w:t>sponsor</w:t>
      </w:r>
      <w:r w:rsidRPr="00E36D21">
        <w:t xml:space="preserve"> submitted EU-RMP version 0.1 (dated 13 November 2014, DLP 12 July 2015) and an accompanying </w:t>
      </w:r>
      <w:r w:rsidR="006C0B8E">
        <w:t>Australian Specific Annex (</w:t>
      </w:r>
      <w:r w:rsidRPr="00E36D21">
        <w:t>ASA</w:t>
      </w:r>
      <w:r w:rsidR="006C0B8E">
        <w:t>)</w:t>
      </w:r>
      <w:r w:rsidRPr="00E36D21">
        <w:t xml:space="preserve"> (no version or date) with the original submission of the application. The S31 response did not include a revised EU-RMP or ASA. In February 2017, the </w:t>
      </w:r>
      <w:r w:rsidR="00E557DC">
        <w:t>sponsor</w:t>
      </w:r>
      <w:r w:rsidRPr="00E36D21">
        <w:t xml:space="preserve"> advised that a change in the summary of safety concerns had been agreed with the EMA. As requested by the TGA, the sponsor submitted EU-RMP version 1 edition 5 with ASA version 2. An updated ASA version 3 dated 20 March 2017 was submitted to include use in children as missing information</w:t>
      </w:r>
      <w:r w:rsidR="00886664">
        <w:t>.</w:t>
      </w:r>
    </w:p>
    <w:p w14:paraId="122C9D67" w14:textId="77777777" w:rsidR="00E36D21" w:rsidRDefault="00E36D21" w:rsidP="00E36D21">
      <w:pPr>
        <w:pStyle w:val="ListBullet"/>
      </w:pPr>
      <w:r w:rsidRPr="00E36D21">
        <w:t xml:space="preserve">The proposed Summary of Safety Concerns and their associated risk monitoring and mitigation strategies are summarised in </w:t>
      </w:r>
      <w:r w:rsidR="00861D1C">
        <w:t>T</w:t>
      </w:r>
      <w:r w:rsidRPr="00E36D21">
        <w:t xml:space="preserve">able </w:t>
      </w:r>
      <w:r w:rsidR="00861D1C">
        <w:t xml:space="preserve">3 </w:t>
      </w:r>
      <w:r w:rsidRPr="00E36D21">
        <w:t>below. This is the Summary of Safety Concerns agreed with the EMA with the additional Australian-specific safety concerns identified by the TGA.</w:t>
      </w:r>
    </w:p>
    <w:p w14:paraId="549F315D" w14:textId="7DD2431D" w:rsidR="006C0B8E" w:rsidRPr="006C0B8E" w:rsidRDefault="006C0B8E" w:rsidP="006C0B8E">
      <w:pPr>
        <w:pStyle w:val="Tabletitle0"/>
      </w:pPr>
      <w:r>
        <w:t xml:space="preserve">Table </w:t>
      </w:r>
      <w:r w:rsidR="0090430C">
        <w:t>4</w:t>
      </w:r>
      <w:r w:rsidR="00861D1C">
        <w:t>:</w:t>
      </w:r>
      <w:r>
        <w:t xml:space="preserve"> Summary of safety concerns</w:t>
      </w:r>
    </w:p>
    <w:tbl>
      <w:tblPr>
        <w:tblStyle w:val="TableTGAblue"/>
        <w:tblW w:w="8614" w:type="dxa"/>
        <w:tblLayout w:type="fixed"/>
        <w:tblLook w:val="04A0" w:firstRow="1" w:lastRow="0" w:firstColumn="1" w:lastColumn="0" w:noHBand="0" w:noVBand="1"/>
      </w:tblPr>
      <w:tblGrid>
        <w:gridCol w:w="1384"/>
        <w:gridCol w:w="2977"/>
        <w:gridCol w:w="1134"/>
        <w:gridCol w:w="1134"/>
        <w:gridCol w:w="1032"/>
        <w:gridCol w:w="953"/>
      </w:tblGrid>
      <w:tr w:rsidR="00E36D21" w:rsidRPr="00E36D21" w14:paraId="0BF37169" w14:textId="77777777" w:rsidTr="007B4BEB">
        <w:trPr>
          <w:cnfStyle w:val="100000000000" w:firstRow="1" w:lastRow="0" w:firstColumn="0" w:lastColumn="0" w:oddVBand="0" w:evenVBand="0" w:oddHBand="0" w:evenHBand="0" w:firstRowFirstColumn="0" w:firstRowLastColumn="0" w:lastRowFirstColumn="0" w:lastRowLastColumn="0"/>
          <w:trHeight w:val="129"/>
        </w:trPr>
        <w:tc>
          <w:tcPr>
            <w:tcW w:w="4361" w:type="dxa"/>
            <w:gridSpan w:val="2"/>
            <w:vMerge w:val="restart"/>
          </w:tcPr>
          <w:p w14:paraId="7A35986B" w14:textId="77777777" w:rsidR="00E36D21" w:rsidRPr="00E36D21" w:rsidRDefault="00E36D21" w:rsidP="006C0B8E">
            <w:pPr>
              <w:ind w:left="0" w:right="0"/>
              <w:rPr>
                <w:sz w:val="20"/>
                <w:szCs w:val="20"/>
              </w:rPr>
            </w:pPr>
            <w:r w:rsidRPr="00E36D21">
              <w:rPr>
                <w:sz w:val="20"/>
                <w:szCs w:val="20"/>
              </w:rPr>
              <w:t>Summary of safety concerns</w:t>
            </w:r>
          </w:p>
        </w:tc>
        <w:tc>
          <w:tcPr>
            <w:tcW w:w="2268" w:type="dxa"/>
            <w:gridSpan w:val="2"/>
          </w:tcPr>
          <w:p w14:paraId="752546B1" w14:textId="77777777" w:rsidR="00E36D21" w:rsidRPr="00E36D21" w:rsidRDefault="00E36D21" w:rsidP="006C0B8E">
            <w:pPr>
              <w:ind w:left="0" w:right="0"/>
              <w:rPr>
                <w:sz w:val="20"/>
                <w:szCs w:val="20"/>
              </w:rPr>
            </w:pPr>
            <w:r w:rsidRPr="00E36D21">
              <w:rPr>
                <w:sz w:val="20"/>
                <w:szCs w:val="20"/>
              </w:rPr>
              <w:t>Pharmacovigilance</w:t>
            </w:r>
          </w:p>
        </w:tc>
        <w:tc>
          <w:tcPr>
            <w:tcW w:w="1985" w:type="dxa"/>
            <w:gridSpan w:val="2"/>
          </w:tcPr>
          <w:p w14:paraId="3215DE07" w14:textId="77777777" w:rsidR="00E36D21" w:rsidRPr="00E36D21" w:rsidRDefault="00E36D21" w:rsidP="006C0B8E">
            <w:pPr>
              <w:ind w:left="0" w:right="0"/>
              <w:rPr>
                <w:sz w:val="20"/>
                <w:szCs w:val="20"/>
              </w:rPr>
            </w:pPr>
            <w:r w:rsidRPr="00E36D21">
              <w:rPr>
                <w:sz w:val="20"/>
                <w:szCs w:val="20"/>
              </w:rPr>
              <w:t>Risk Minimisation</w:t>
            </w:r>
          </w:p>
        </w:tc>
      </w:tr>
      <w:tr w:rsidR="00E36D21" w:rsidRPr="00E36D21" w14:paraId="2A6731C0" w14:textId="77777777" w:rsidTr="007B4BEB">
        <w:trPr>
          <w:cnfStyle w:val="100000000000" w:firstRow="1" w:lastRow="0" w:firstColumn="0" w:lastColumn="0" w:oddVBand="0" w:evenVBand="0" w:oddHBand="0" w:evenHBand="0" w:firstRowFirstColumn="0" w:firstRowLastColumn="0" w:lastRowFirstColumn="0" w:lastRowLastColumn="0"/>
          <w:trHeight w:val="147"/>
        </w:trPr>
        <w:tc>
          <w:tcPr>
            <w:tcW w:w="4361" w:type="dxa"/>
            <w:gridSpan w:val="2"/>
            <w:vMerge/>
          </w:tcPr>
          <w:p w14:paraId="15528BD5" w14:textId="77777777" w:rsidR="00E36D21" w:rsidRPr="00E36D21" w:rsidRDefault="00E36D21" w:rsidP="006C0B8E">
            <w:pPr>
              <w:ind w:left="0" w:right="0"/>
              <w:rPr>
                <w:sz w:val="20"/>
                <w:szCs w:val="20"/>
              </w:rPr>
            </w:pPr>
          </w:p>
        </w:tc>
        <w:tc>
          <w:tcPr>
            <w:tcW w:w="1134" w:type="dxa"/>
          </w:tcPr>
          <w:p w14:paraId="1ACB372F" w14:textId="77777777" w:rsidR="00E36D21" w:rsidRPr="00E36D21" w:rsidRDefault="00E36D21" w:rsidP="006C0B8E">
            <w:pPr>
              <w:ind w:left="0" w:right="0"/>
              <w:rPr>
                <w:sz w:val="20"/>
                <w:szCs w:val="20"/>
              </w:rPr>
            </w:pPr>
            <w:r w:rsidRPr="00E36D21">
              <w:rPr>
                <w:sz w:val="20"/>
                <w:szCs w:val="20"/>
              </w:rPr>
              <w:t>Routine</w:t>
            </w:r>
          </w:p>
        </w:tc>
        <w:tc>
          <w:tcPr>
            <w:tcW w:w="1134" w:type="dxa"/>
          </w:tcPr>
          <w:p w14:paraId="0110C086" w14:textId="77777777" w:rsidR="00E36D21" w:rsidRPr="00E36D21" w:rsidRDefault="00E36D21" w:rsidP="006C0B8E">
            <w:pPr>
              <w:ind w:left="0" w:right="0"/>
              <w:rPr>
                <w:sz w:val="20"/>
                <w:szCs w:val="20"/>
              </w:rPr>
            </w:pPr>
            <w:r w:rsidRPr="00E36D21">
              <w:rPr>
                <w:sz w:val="20"/>
                <w:szCs w:val="20"/>
              </w:rPr>
              <w:t>Additional</w:t>
            </w:r>
          </w:p>
        </w:tc>
        <w:tc>
          <w:tcPr>
            <w:tcW w:w="1032" w:type="dxa"/>
          </w:tcPr>
          <w:p w14:paraId="7AB67BDD" w14:textId="77777777" w:rsidR="00E36D21" w:rsidRPr="00E36D21" w:rsidRDefault="00E36D21" w:rsidP="006C0B8E">
            <w:pPr>
              <w:ind w:left="0" w:right="0"/>
              <w:rPr>
                <w:sz w:val="20"/>
                <w:szCs w:val="20"/>
              </w:rPr>
            </w:pPr>
            <w:r w:rsidRPr="00E36D21">
              <w:rPr>
                <w:sz w:val="20"/>
                <w:szCs w:val="20"/>
              </w:rPr>
              <w:t>Routine</w:t>
            </w:r>
          </w:p>
        </w:tc>
        <w:tc>
          <w:tcPr>
            <w:tcW w:w="953" w:type="dxa"/>
          </w:tcPr>
          <w:p w14:paraId="45BACD6A" w14:textId="77777777" w:rsidR="00E36D21" w:rsidRPr="00E36D21" w:rsidRDefault="00E36D21" w:rsidP="006C0B8E">
            <w:pPr>
              <w:ind w:left="0" w:right="0"/>
              <w:rPr>
                <w:sz w:val="20"/>
                <w:szCs w:val="20"/>
              </w:rPr>
            </w:pPr>
            <w:r w:rsidRPr="00E36D21">
              <w:rPr>
                <w:sz w:val="20"/>
                <w:szCs w:val="20"/>
              </w:rPr>
              <w:t>Additional</w:t>
            </w:r>
          </w:p>
        </w:tc>
      </w:tr>
      <w:tr w:rsidR="00E36D21" w:rsidRPr="00E36D21" w14:paraId="086D9867" w14:textId="77777777" w:rsidTr="006C0B8E">
        <w:trPr>
          <w:trHeight w:val="92"/>
        </w:trPr>
        <w:tc>
          <w:tcPr>
            <w:tcW w:w="1384" w:type="dxa"/>
            <w:vMerge w:val="restart"/>
          </w:tcPr>
          <w:p w14:paraId="53EC6F36" w14:textId="77777777" w:rsidR="00E36D21" w:rsidRPr="00E36D21" w:rsidRDefault="00E36D21" w:rsidP="006C0B8E">
            <w:pPr>
              <w:ind w:left="0" w:right="0"/>
              <w:rPr>
                <w:sz w:val="20"/>
                <w:szCs w:val="20"/>
              </w:rPr>
            </w:pPr>
            <w:r w:rsidRPr="00E36D21">
              <w:rPr>
                <w:sz w:val="20"/>
                <w:szCs w:val="20"/>
              </w:rPr>
              <w:t>Important identified risks</w:t>
            </w:r>
          </w:p>
        </w:tc>
        <w:tc>
          <w:tcPr>
            <w:tcW w:w="2977" w:type="dxa"/>
          </w:tcPr>
          <w:p w14:paraId="30734A01" w14:textId="77777777" w:rsidR="00E36D21" w:rsidRPr="00E36D21" w:rsidRDefault="00E36D21" w:rsidP="006C0B8E">
            <w:pPr>
              <w:ind w:left="0" w:right="0"/>
              <w:rPr>
                <w:sz w:val="20"/>
                <w:szCs w:val="20"/>
              </w:rPr>
            </w:pPr>
            <w:r w:rsidRPr="00E36D21">
              <w:rPr>
                <w:sz w:val="20"/>
                <w:szCs w:val="20"/>
              </w:rPr>
              <w:t>Hypokalaemia</w:t>
            </w:r>
          </w:p>
        </w:tc>
        <w:tc>
          <w:tcPr>
            <w:tcW w:w="1134" w:type="dxa"/>
          </w:tcPr>
          <w:p w14:paraId="51EAC49B" w14:textId="77777777" w:rsidR="00E36D21" w:rsidRPr="00E36D21" w:rsidRDefault="00E36D21" w:rsidP="006C0B8E">
            <w:pPr>
              <w:ind w:left="0" w:right="0"/>
              <w:rPr>
                <w:sz w:val="20"/>
                <w:szCs w:val="20"/>
              </w:rPr>
            </w:pPr>
            <w:r w:rsidRPr="00E36D21">
              <w:rPr>
                <w:sz w:val="20"/>
                <w:szCs w:val="20"/>
              </w:rPr>
              <w:sym w:font="Wingdings" w:char="F0FC"/>
            </w:r>
          </w:p>
        </w:tc>
        <w:tc>
          <w:tcPr>
            <w:tcW w:w="1134" w:type="dxa"/>
          </w:tcPr>
          <w:p w14:paraId="368549A6" w14:textId="77777777" w:rsidR="00E36D21" w:rsidRPr="00E36D21" w:rsidRDefault="00E36D21" w:rsidP="006C0B8E">
            <w:pPr>
              <w:ind w:left="0" w:right="0"/>
              <w:rPr>
                <w:sz w:val="20"/>
                <w:szCs w:val="20"/>
              </w:rPr>
            </w:pPr>
            <w:r w:rsidRPr="00E36D21">
              <w:rPr>
                <w:sz w:val="20"/>
                <w:szCs w:val="20"/>
              </w:rPr>
              <w:t>-</w:t>
            </w:r>
          </w:p>
        </w:tc>
        <w:tc>
          <w:tcPr>
            <w:tcW w:w="1032" w:type="dxa"/>
          </w:tcPr>
          <w:p w14:paraId="326728E4" w14:textId="77777777" w:rsidR="00E36D21" w:rsidRPr="00E36D21" w:rsidRDefault="00E36D21" w:rsidP="006C0B8E">
            <w:pPr>
              <w:ind w:left="0" w:right="0"/>
              <w:rPr>
                <w:sz w:val="20"/>
                <w:szCs w:val="20"/>
              </w:rPr>
            </w:pPr>
            <w:r w:rsidRPr="00E36D21">
              <w:rPr>
                <w:sz w:val="20"/>
                <w:szCs w:val="20"/>
              </w:rPr>
              <w:sym w:font="Wingdings" w:char="F0FC"/>
            </w:r>
          </w:p>
        </w:tc>
        <w:tc>
          <w:tcPr>
            <w:tcW w:w="953" w:type="dxa"/>
          </w:tcPr>
          <w:p w14:paraId="3A988686" w14:textId="77777777" w:rsidR="00E36D21" w:rsidRPr="00E36D21" w:rsidRDefault="00E36D21" w:rsidP="006C0B8E">
            <w:pPr>
              <w:ind w:left="0" w:right="0"/>
              <w:rPr>
                <w:sz w:val="20"/>
                <w:szCs w:val="20"/>
              </w:rPr>
            </w:pPr>
            <w:r w:rsidRPr="00E36D21">
              <w:rPr>
                <w:sz w:val="20"/>
                <w:szCs w:val="20"/>
              </w:rPr>
              <w:t>-</w:t>
            </w:r>
          </w:p>
        </w:tc>
      </w:tr>
      <w:tr w:rsidR="00E36D21" w:rsidRPr="00E36D21" w14:paraId="5AA17727" w14:textId="77777777" w:rsidTr="006C0B8E">
        <w:trPr>
          <w:trHeight w:val="92"/>
        </w:trPr>
        <w:tc>
          <w:tcPr>
            <w:tcW w:w="1384" w:type="dxa"/>
            <w:vMerge/>
          </w:tcPr>
          <w:p w14:paraId="6F7C5319" w14:textId="77777777" w:rsidR="00E36D21" w:rsidRPr="00E36D21" w:rsidRDefault="00E36D21" w:rsidP="006C0B8E">
            <w:pPr>
              <w:ind w:left="0" w:right="0"/>
              <w:rPr>
                <w:sz w:val="20"/>
                <w:szCs w:val="20"/>
              </w:rPr>
            </w:pPr>
          </w:p>
        </w:tc>
        <w:tc>
          <w:tcPr>
            <w:tcW w:w="2977" w:type="dxa"/>
          </w:tcPr>
          <w:p w14:paraId="0F8CE251" w14:textId="77777777" w:rsidR="00E36D21" w:rsidRPr="00E36D21" w:rsidRDefault="00E36D21" w:rsidP="006C0B8E">
            <w:pPr>
              <w:ind w:left="0" w:right="0"/>
              <w:rPr>
                <w:sz w:val="20"/>
                <w:szCs w:val="20"/>
              </w:rPr>
            </w:pPr>
            <w:r w:rsidRPr="00E36D21">
              <w:rPr>
                <w:sz w:val="20"/>
                <w:szCs w:val="20"/>
              </w:rPr>
              <w:t>Fluid overload</w:t>
            </w:r>
          </w:p>
        </w:tc>
        <w:tc>
          <w:tcPr>
            <w:tcW w:w="1134" w:type="dxa"/>
          </w:tcPr>
          <w:p w14:paraId="2AD2F732" w14:textId="77777777" w:rsidR="00E36D21" w:rsidRPr="00E36D21" w:rsidRDefault="00E36D21" w:rsidP="006C0B8E">
            <w:pPr>
              <w:ind w:left="0" w:right="0"/>
              <w:rPr>
                <w:sz w:val="20"/>
                <w:szCs w:val="20"/>
              </w:rPr>
            </w:pPr>
            <w:r w:rsidRPr="00E36D21">
              <w:rPr>
                <w:sz w:val="20"/>
                <w:szCs w:val="20"/>
              </w:rPr>
              <w:sym w:font="Wingdings" w:char="F0FC"/>
            </w:r>
          </w:p>
        </w:tc>
        <w:tc>
          <w:tcPr>
            <w:tcW w:w="1134" w:type="dxa"/>
          </w:tcPr>
          <w:p w14:paraId="7A6214B9" w14:textId="77777777" w:rsidR="00E36D21" w:rsidRPr="00E36D21" w:rsidRDefault="00E36D21" w:rsidP="006C0B8E">
            <w:pPr>
              <w:ind w:left="0" w:right="0"/>
              <w:rPr>
                <w:sz w:val="20"/>
                <w:szCs w:val="20"/>
              </w:rPr>
            </w:pPr>
            <w:r w:rsidRPr="00E36D21">
              <w:rPr>
                <w:sz w:val="20"/>
                <w:szCs w:val="20"/>
              </w:rPr>
              <w:t>-</w:t>
            </w:r>
          </w:p>
        </w:tc>
        <w:tc>
          <w:tcPr>
            <w:tcW w:w="1032" w:type="dxa"/>
          </w:tcPr>
          <w:p w14:paraId="1FC1FC10" w14:textId="77777777" w:rsidR="00E36D21" w:rsidRPr="00E36D21" w:rsidRDefault="00E36D21" w:rsidP="006C0B8E">
            <w:pPr>
              <w:ind w:left="0" w:right="0"/>
              <w:rPr>
                <w:sz w:val="20"/>
                <w:szCs w:val="20"/>
              </w:rPr>
            </w:pPr>
            <w:r w:rsidRPr="00E36D21">
              <w:rPr>
                <w:sz w:val="20"/>
                <w:szCs w:val="20"/>
              </w:rPr>
              <w:sym w:font="Wingdings" w:char="F0FC"/>
            </w:r>
          </w:p>
        </w:tc>
        <w:tc>
          <w:tcPr>
            <w:tcW w:w="953" w:type="dxa"/>
          </w:tcPr>
          <w:p w14:paraId="6FEFB937" w14:textId="77777777" w:rsidR="00E36D21" w:rsidRPr="00E36D21" w:rsidRDefault="00E36D21" w:rsidP="006C0B8E">
            <w:pPr>
              <w:ind w:left="0" w:right="0"/>
              <w:rPr>
                <w:sz w:val="20"/>
                <w:szCs w:val="20"/>
              </w:rPr>
            </w:pPr>
            <w:r w:rsidRPr="00E36D21">
              <w:rPr>
                <w:sz w:val="20"/>
                <w:szCs w:val="20"/>
              </w:rPr>
              <w:t>-</w:t>
            </w:r>
          </w:p>
        </w:tc>
      </w:tr>
      <w:tr w:rsidR="00E36D21" w:rsidRPr="00E36D21" w14:paraId="51BA9CEC" w14:textId="77777777" w:rsidTr="006C0B8E">
        <w:trPr>
          <w:trHeight w:val="156"/>
        </w:trPr>
        <w:tc>
          <w:tcPr>
            <w:tcW w:w="1384" w:type="dxa"/>
            <w:vMerge w:val="restart"/>
          </w:tcPr>
          <w:p w14:paraId="7F64FCE3" w14:textId="77777777" w:rsidR="00E36D21" w:rsidRPr="00E36D21" w:rsidRDefault="00E36D21" w:rsidP="006C0B8E">
            <w:pPr>
              <w:ind w:left="0" w:right="0"/>
              <w:rPr>
                <w:sz w:val="20"/>
                <w:szCs w:val="20"/>
              </w:rPr>
            </w:pPr>
            <w:r w:rsidRPr="00E36D21">
              <w:rPr>
                <w:sz w:val="20"/>
                <w:szCs w:val="20"/>
              </w:rPr>
              <w:t>Important potential risks</w:t>
            </w:r>
          </w:p>
        </w:tc>
        <w:tc>
          <w:tcPr>
            <w:tcW w:w="2977" w:type="dxa"/>
          </w:tcPr>
          <w:p w14:paraId="60469BFB" w14:textId="77777777" w:rsidR="00E36D21" w:rsidRPr="00E36D21" w:rsidRDefault="00E36D21" w:rsidP="006C0B8E">
            <w:pPr>
              <w:ind w:left="0" w:right="0"/>
              <w:rPr>
                <w:sz w:val="20"/>
                <w:szCs w:val="20"/>
              </w:rPr>
            </w:pPr>
            <w:r w:rsidRPr="00E36D21">
              <w:rPr>
                <w:sz w:val="20"/>
                <w:szCs w:val="20"/>
              </w:rPr>
              <w:t xml:space="preserve">Arrhythmia </w:t>
            </w:r>
          </w:p>
        </w:tc>
        <w:tc>
          <w:tcPr>
            <w:tcW w:w="1134" w:type="dxa"/>
          </w:tcPr>
          <w:p w14:paraId="0FDACE6B" w14:textId="77777777" w:rsidR="00E36D21" w:rsidRPr="00E36D21" w:rsidRDefault="00E36D21" w:rsidP="006C0B8E">
            <w:pPr>
              <w:ind w:left="0" w:right="0"/>
              <w:rPr>
                <w:sz w:val="20"/>
                <w:szCs w:val="20"/>
              </w:rPr>
            </w:pPr>
            <w:r w:rsidRPr="00E36D21">
              <w:rPr>
                <w:sz w:val="20"/>
                <w:szCs w:val="20"/>
              </w:rPr>
              <w:sym w:font="Wingdings" w:char="F0FC"/>
            </w:r>
          </w:p>
        </w:tc>
        <w:tc>
          <w:tcPr>
            <w:tcW w:w="1134" w:type="dxa"/>
          </w:tcPr>
          <w:p w14:paraId="582D975E" w14:textId="77777777" w:rsidR="00E36D21" w:rsidRPr="00E36D21" w:rsidRDefault="00E36D21" w:rsidP="006C0B8E">
            <w:pPr>
              <w:ind w:left="0" w:right="0"/>
              <w:rPr>
                <w:sz w:val="20"/>
                <w:szCs w:val="20"/>
              </w:rPr>
            </w:pPr>
            <w:r w:rsidRPr="00E36D21">
              <w:rPr>
                <w:sz w:val="20"/>
                <w:szCs w:val="20"/>
              </w:rPr>
              <w:t>-</w:t>
            </w:r>
          </w:p>
        </w:tc>
        <w:tc>
          <w:tcPr>
            <w:tcW w:w="1032" w:type="dxa"/>
          </w:tcPr>
          <w:p w14:paraId="6814C956" w14:textId="77777777" w:rsidR="00E36D21" w:rsidRPr="00E36D21" w:rsidRDefault="00E36D21" w:rsidP="006C0B8E">
            <w:pPr>
              <w:ind w:left="0" w:right="0"/>
              <w:rPr>
                <w:sz w:val="20"/>
                <w:szCs w:val="20"/>
              </w:rPr>
            </w:pPr>
            <w:r w:rsidRPr="00E36D21">
              <w:rPr>
                <w:sz w:val="20"/>
                <w:szCs w:val="20"/>
              </w:rPr>
              <w:sym w:font="Wingdings" w:char="F0FC"/>
            </w:r>
          </w:p>
        </w:tc>
        <w:tc>
          <w:tcPr>
            <w:tcW w:w="953" w:type="dxa"/>
          </w:tcPr>
          <w:p w14:paraId="007CE06E" w14:textId="77777777" w:rsidR="00E36D21" w:rsidRPr="00E36D21" w:rsidRDefault="00E36D21" w:rsidP="006C0B8E">
            <w:pPr>
              <w:ind w:left="0" w:right="0"/>
              <w:rPr>
                <w:sz w:val="20"/>
                <w:szCs w:val="20"/>
              </w:rPr>
            </w:pPr>
            <w:r w:rsidRPr="00E36D21">
              <w:rPr>
                <w:sz w:val="20"/>
                <w:szCs w:val="20"/>
              </w:rPr>
              <w:t>-</w:t>
            </w:r>
          </w:p>
        </w:tc>
      </w:tr>
      <w:tr w:rsidR="00E36D21" w:rsidRPr="00E36D21" w14:paraId="53797D45" w14:textId="77777777" w:rsidTr="006C0B8E">
        <w:trPr>
          <w:trHeight w:val="156"/>
        </w:trPr>
        <w:tc>
          <w:tcPr>
            <w:tcW w:w="1384" w:type="dxa"/>
            <w:vMerge/>
          </w:tcPr>
          <w:p w14:paraId="7F22F614" w14:textId="77777777" w:rsidR="00E36D21" w:rsidRPr="00E36D21" w:rsidRDefault="00E36D21" w:rsidP="006C0B8E">
            <w:pPr>
              <w:ind w:left="0" w:right="0"/>
              <w:rPr>
                <w:sz w:val="20"/>
                <w:szCs w:val="20"/>
              </w:rPr>
            </w:pPr>
          </w:p>
        </w:tc>
        <w:tc>
          <w:tcPr>
            <w:tcW w:w="2977" w:type="dxa"/>
          </w:tcPr>
          <w:p w14:paraId="7B475B97" w14:textId="77777777" w:rsidR="00E36D21" w:rsidRPr="00E36D21" w:rsidRDefault="00E36D21" w:rsidP="006C0B8E">
            <w:pPr>
              <w:ind w:left="0" w:right="0"/>
              <w:rPr>
                <w:sz w:val="20"/>
                <w:szCs w:val="20"/>
              </w:rPr>
            </w:pPr>
            <w:r w:rsidRPr="00E36D21">
              <w:rPr>
                <w:sz w:val="20"/>
                <w:szCs w:val="20"/>
              </w:rPr>
              <w:t>Intestinal perforation</w:t>
            </w:r>
          </w:p>
        </w:tc>
        <w:tc>
          <w:tcPr>
            <w:tcW w:w="1134" w:type="dxa"/>
          </w:tcPr>
          <w:p w14:paraId="7B91B9A5" w14:textId="77777777" w:rsidR="00E36D21" w:rsidRPr="00E36D21" w:rsidRDefault="00E36D21" w:rsidP="006C0B8E">
            <w:pPr>
              <w:ind w:left="0" w:right="0"/>
              <w:rPr>
                <w:sz w:val="20"/>
                <w:szCs w:val="20"/>
              </w:rPr>
            </w:pPr>
            <w:r w:rsidRPr="00E36D21">
              <w:rPr>
                <w:sz w:val="20"/>
                <w:szCs w:val="20"/>
              </w:rPr>
              <w:sym w:font="Wingdings" w:char="F0FC"/>
            </w:r>
          </w:p>
        </w:tc>
        <w:tc>
          <w:tcPr>
            <w:tcW w:w="1134" w:type="dxa"/>
          </w:tcPr>
          <w:p w14:paraId="208BF0A5" w14:textId="77777777" w:rsidR="00E36D21" w:rsidRPr="00E36D21" w:rsidRDefault="00E36D21" w:rsidP="006C0B8E">
            <w:pPr>
              <w:ind w:left="0" w:right="0"/>
              <w:rPr>
                <w:sz w:val="20"/>
                <w:szCs w:val="20"/>
              </w:rPr>
            </w:pPr>
            <w:r w:rsidRPr="00E36D21">
              <w:rPr>
                <w:sz w:val="20"/>
                <w:szCs w:val="20"/>
              </w:rPr>
              <w:t>-</w:t>
            </w:r>
          </w:p>
        </w:tc>
        <w:tc>
          <w:tcPr>
            <w:tcW w:w="1032" w:type="dxa"/>
          </w:tcPr>
          <w:p w14:paraId="339BAD9A" w14:textId="77777777" w:rsidR="00E36D21" w:rsidRPr="00E36D21" w:rsidRDefault="00E36D21" w:rsidP="006C0B8E">
            <w:pPr>
              <w:ind w:left="0" w:right="0"/>
              <w:rPr>
                <w:sz w:val="20"/>
                <w:szCs w:val="20"/>
              </w:rPr>
            </w:pPr>
            <w:r w:rsidRPr="00E36D21">
              <w:rPr>
                <w:sz w:val="20"/>
                <w:szCs w:val="20"/>
              </w:rPr>
              <w:sym w:font="Wingdings" w:char="F0FC"/>
            </w:r>
          </w:p>
        </w:tc>
        <w:tc>
          <w:tcPr>
            <w:tcW w:w="953" w:type="dxa"/>
          </w:tcPr>
          <w:p w14:paraId="765FC79B" w14:textId="77777777" w:rsidR="00E36D21" w:rsidRPr="00E36D21" w:rsidRDefault="00E36D21" w:rsidP="006C0B8E">
            <w:pPr>
              <w:ind w:left="0" w:right="0"/>
              <w:rPr>
                <w:sz w:val="20"/>
                <w:szCs w:val="20"/>
              </w:rPr>
            </w:pPr>
            <w:r w:rsidRPr="00E36D21">
              <w:rPr>
                <w:sz w:val="20"/>
                <w:szCs w:val="20"/>
              </w:rPr>
              <w:t>-</w:t>
            </w:r>
          </w:p>
        </w:tc>
      </w:tr>
      <w:tr w:rsidR="00E36D21" w:rsidRPr="00E36D21" w14:paraId="29F400C4" w14:textId="77777777" w:rsidTr="006C0B8E">
        <w:trPr>
          <w:trHeight w:val="156"/>
        </w:trPr>
        <w:tc>
          <w:tcPr>
            <w:tcW w:w="1384" w:type="dxa"/>
            <w:vMerge w:val="restart"/>
          </w:tcPr>
          <w:p w14:paraId="76C7928F" w14:textId="77777777" w:rsidR="00E36D21" w:rsidRPr="00E36D21" w:rsidRDefault="00E36D21" w:rsidP="006C0B8E">
            <w:pPr>
              <w:ind w:left="0" w:right="0"/>
              <w:rPr>
                <w:sz w:val="20"/>
                <w:szCs w:val="20"/>
              </w:rPr>
            </w:pPr>
            <w:r w:rsidRPr="00E36D21">
              <w:rPr>
                <w:sz w:val="20"/>
                <w:szCs w:val="20"/>
              </w:rPr>
              <w:t>Missing information</w:t>
            </w:r>
          </w:p>
        </w:tc>
        <w:tc>
          <w:tcPr>
            <w:tcW w:w="2977" w:type="dxa"/>
          </w:tcPr>
          <w:p w14:paraId="614E77A0" w14:textId="77777777" w:rsidR="00E36D21" w:rsidRPr="00E36D21" w:rsidRDefault="00E36D21" w:rsidP="006C0B8E">
            <w:pPr>
              <w:ind w:left="0" w:right="0"/>
              <w:rPr>
                <w:sz w:val="20"/>
                <w:szCs w:val="20"/>
              </w:rPr>
            </w:pPr>
            <w:r w:rsidRPr="00E36D21">
              <w:rPr>
                <w:sz w:val="20"/>
                <w:szCs w:val="20"/>
              </w:rPr>
              <w:t>Long term use beyond one year</w:t>
            </w:r>
          </w:p>
        </w:tc>
        <w:tc>
          <w:tcPr>
            <w:tcW w:w="1134" w:type="dxa"/>
          </w:tcPr>
          <w:p w14:paraId="1A5022BF" w14:textId="77777777" w:rsidR="00E36D21" w:rsidRPr="00E36D21" w:rsidRDefault="00E36D21" w:rsidP="006C0B8E">
            <w:pPr>
              <w:ind w:left="0" w:right="0"/>
              <w:rPr>
                <w:sz w:val="20"/>
                <w:szCs w:val="20"/>
              </w:rPr>
            </w:pPr>
            <w:r w:rsidRPr="00E36D21">
              <w:rPr>
                <w:sz w:val="20"/>
                <w:szCs w:val="20"/>
              </w:rPr>
              <w:sym w:font="Wingdings" w:char="F0FC"/>
            </w:r>
          </w:p>
        </w:tc>
        <w:tc>
          <w:tcPr>
            <w:tcW w:w="1134" w:type="dxa"/>
          </w:tcPr>
          <w:p w14:paraId="0F51C943" w14:textId="77777777" w:rsidR="00E36D21" w:rsidRPr="00E36D21" w:rsidRDefault="00E36D21" w:rsidP="006C0B8E">
            <w:pPr>
              <w:ind w:left="0" w:right="0"/>
              <w:rPr>
                <w:sz w:val="20"/>
                <w:szCs w:val="20"/>
              </w:rPr>
            </w:pPr>
            <w:r w:rsidRPr="00E36D21">
              <w:rPr>
                <w:sz w:val="20"/>
                <w:szCs w:val="20"/>
              </w:rPr>
              <w:sym w:font="Wingdings" w:char="F0FC"/>
            </w:r>
          </w:p>
        </w:tc>
        <w:tc>
          <w:tcPr>
            <w:tcW w:w="1032" w:type="dxa"/>
          </w:tcPr>
          <w:p w14:paraId="4FA2DAF1" w14:textId="77777777" w:rsidR="00E36D21" w:rsidRPr="00E36D21" w:rsidRDefault="00E36D21" w:rsidP="006C0B8E">
            <w:pPr>
              <w:ind w:left="0" w:right="0"/>
              <w:rPr>
                <w:sz w:val="20"/>
                <w:szCs w:val="20"/>
              </w:rPr>
            </w:pPr>
            <w:r w:rsidRPr="00E36D21">
              <w:rPr>
                <w:sz w:val="20"/>
                <w:szCs w:val="20"/>
              </w:rPr>
              <w:sym w:font="Wingdings" w:char="F0FC"/>
            </w:r>
          </w:p>
        </w:tc>
        <w:tc>
          <w:tcPr>
            <w:tcW w:w="953" w:type="dxa"/>
          </w:tcPr>
          <w:p w14:paraId="35B633F5" w14:textId="77777777" w:rsidR="00E36D21" w:rsidRPr="00E36D21" w:rsidRDefault="00E36D21" w:rsidP="006C0B8E">
            <w:pPr>
              <w:ind w:left="0" w:right="0"/>
              <w:rPr>
                <w:sz w:val="20"/>
                <w:szCs w:val="20"/>
              </w:rPr>
            </w:pPr>
            <w:r w:rsidRPr="00E36D21">
              <w:rPr>
                <w:sz w:val="20"/>
                <w:szCs w:val="20"/>
              </w:rPr>
              <w:t>-</w:t>
            </w:r>
          </w:p>
        </w:tc>
      </w:tr>
      <w:tr w:rsidR="00E36D21" w:rsidRPr="00E36D21" w14:paraId="5375BDCF" w14:textId="77777777" w:rsidTr="006C0B8E">
        <w:trPr>
          <w:trHeight w:val="175"/>
        </w:trPr>
        <w:tc>
          <w:tcPr>
            <w:tcW w:w="1384" w:type="dxa"/>
            <w:vMerge/>
          </w:tcPr>
          <w:p w14:paraId="10CE32FA" w14:textId="77777777" w:rsidR="00E36D21" w:rsidRPr="00E36D21" w:rsidRDefault="00E36D21" w:rsidP="006C0B8E">
            <w:pPr>
              <w:ind w:left="0" w:right="0"/>
              <w:rPr>
                <w:sz w:val="20"/>
                <w:szCs w:val="20"/>
              </w:rPr>
            </w:pPr>
          </w:p>
        </w:tc>
        <w:tc>
          <w:tcPr>
            <w:tcW w:w="2977" w:type="dxa"/>
          </w:tcPr>
          <w:p w14:paraId="51865725" w14:textId="77777777" w:rsidR="00E36D21" w:rsidRPr="00E36D21" w:rsidRDefault="00E36D21" w:rsidP="006C0B8E">
            <w:pPr>
              <w:ind w:left="0" w:right="0"/>
              <w:rPr>
                <w:sz w:val="20"/>
                <w:szCs w:val="20"/>
              </w:rPr>
            </w:pPr>
            <w:r w:rsidRPr="00E36D21">
              <w:rPr>
                <w:sz w:val="20"/>
                <w:szCs w:val="20"/>
              </w:rPr>
              <w:t xml:space="preserve">Use in pregnancy </w:t>
            </w:r>
          </w:p>
        </w:tc>
        <w:tc>
          <w:tcPr>
            <w:tcW w:w="1134" w:type="dxa"/>
          </w:tcPr>
          <w:p w14:paraId="29C9F45E" w14:textId="77777777" w:rsidR="00E36D21" w:rsidRPr="00E36D21" w:rsidRDefault="00E36D21" w:rsidP="006C0B8E">
            <w:pPr>
              <w:ind w:left="0" w:right="0"/>
              <w:rPr>
                <w:sz w:val="20"/>
                <w:szCs w:val="20"/>
              </w:rPr>
            </w:pPr>
            <w:r w:rsidRPr="00E36D21">
              <w:rPr>
                <w:sz w:val="20"/>
                <w:szCs w:val="20"/>
              </w:rPr>
              <w:sym w:font="Wingdings" w:char="F0FC"/>
            </w:r>
          </w:p>
        </w:tc>
        <w:tc>
          <w:tcPr>
            <w:tcW w:w="1134" w:type="dxa"/>
          </w:tcPr>
          <w:p w14:paraId="43B09064" w14:textId="77777777" w:rsidR="00E36D21" w:rsidRPr="00E36D21" w:rsidRDefault="00E36D21" w:rsidP="006C0B8E">
            <w:pPr>
              <w:ind w:left="0" w:right="0"/>
              <w:rPr>
                <w:sz w:val="20"/>
                <w:szCs w:val="20"/>
              </w:rPr>
            </w:pPr>
            <w:r w:rsidRPr="00E36D21">
              <w:rPr>
                <w:sz w:val="20"/>
                <w:szCs w:val="20"/>
              </w:rPr>
              <w:t>-</w:t>
            </w:r>
          </w:p>
        </w:tc>
        <w:tc>
          <w:tcPr>
            <w:tcW w:w="1032" w:type="dxa"/>
          </w:tcPr>
          <w:p w14:paraId="67A028CA" w14:textId="77777777" w:rsidR="00E36D21" w:rsidRPr="00E36D21" w:rsidRDefault="00E36D21" w:rsidP="006C0B8E">
            <w:pPr>
              <w:ind w:left="0" w:right="0"/>
              <w:rPr>
                <w:sz w:val="20"/>
                <w:szCs w:val="20"/>
              </w:rPr>
            </w:pPr>
            <w:r w:rsidRPr="00E36D21">
              <w:rPr>
                <w:sz w:val="20"/>
                <w:szCs w:val="20"/>
              </w:rPr>
              <w:sym w:font="Wingdings" w:char="F0FC"/>
            </w:r>
          </w:p>
        </w:tc>
        <w:tc>
          <w:tcPr>
            <w:tcW w:w="953" w:type="dxa"/>
          </w:tcPr>
          <w:p w14:paraId="0649ACC5" w14:textId="77777777" w:rsidR="00E36D21" w:rsidRPr="00E36D21" w:rsidRDefault="00E36D21" w:rsidP="006C0B8E">
            <w:pPr>
              <w:ind w:left="0" w:right="0"/>
              <w:rPr>
                <w:sz w:val="20"/>
                <w:szCs w:val="20"/>
              </w:rPr>
            </w:pPr>
            <w:r w:rsidRPr="00E36D21">
              <w:rPr>
                <w:sz w:val="20"/>
                <w:szCs w:val="20"/>
              </w:rPr>
              <w:t>-</w:t>
            </w:r>
          </w:p>
        </w:tc>
      </w:tr>
      <w:tr w:rsidR="00E36D21" w:rsidRPr="00E36D21" w14:paraId="1F6CC484" w14:textId="77777777" w:rsidTr="006C0B8E">
        <w:trPr>
          <w:trHeight w:val="102"/>
        </w:trPr>
        <w:tc>
          <w:tcPr>
            <w:tcW w:w="1384" w:type="dxa"/>
            <w:vMerge/>
          </w:tcPr>
          <w:p w14:paraId="66FF8989" w14:textId="77777777" w:rsidR="00E36D21" w:rsidRPr="00E36D21" w:rsidRDefault="00E36D21" w:rsidP="006C0B8E">
            <w:pPr>
              <w:ind w:left="0" w:right="0"/>
              <w:rPr>
                <w:sz w:val="20"/>
                <w:szCs w:val="20"/>
              </w:rPr>
            </w:pPr>
          </w:p>
        </w:tc>
        <w:tc>
          <w:tcPr>
            <w:tcW w:w="2977" w:type="dxa"/>
          </w:tcPr>
          <w:p w14:paraId="744C36B7" w14:textId="77777777" w:rsidR="00E36D21" w:rsidRPr="00E36D21" w:rsidRDefault="00E36D21" w:rsidP="006C0B8E">
            <w:pPr>
              <w:ind w:left="0" w:right="0"/>
              <w:rPr>
                <w:sz w:val="20"/>
                <w:szCs w:val="20"/>
              </w:rPr>
            </w:pPr>
            <w:r w:rsidRPr="00E36D21">
              <w:rPr>
                <w:sz w:val="20"/>
                <w:szCs w:val="20"/>
              </w:rPr>
              <w:t>Use in patients on dialysis</w:t>
            </w:r>
          </w:p>
        </w:tc>
        <w:tc>
          <w:tcPr>
            <w:tcW w:w="1134" w:type="dxa"/>
          </w:tcPr>
          <w:p w14:paraId="2ADC048A" w14:textId="77777777" w:rsidR="00E36D21" w:rsidRPr="00E36D21" w:rsidRDefault="00E36D21" w:rsidP="006C0B8E">
            <w:pPr>
              <w:ind w:left="0" w:right="0"/>
              <w:rPr>
                <w:sz w:val="20"/>
                <w:szCs w:val="20"/>
              </w:rPr>
            </w:pPr>
            <w:r w:rsidRPr="00E36D21">
              <w:rPr>
                <w:sz w:val="20"/>
                <w:szCs w:val="20"/>
              </w:rPr>
              <w:sym w:font="Wingdings" w:char="F0FC"/>
            </w:r>
          </w:p>
        </w:tc>
        <w:tc>
          <w:tcPr>
            <w:tcW w:w="1134" w:type="dxa"/>
          </w:tcPr>
          <w:p w14:paraId="55A6F7ED" w14:textId="77777777" w:rsidR="00E36D21" w:rsidRPr="00E36D21" w:rsidRDefault="00E36D21" w:rsidP="006C0B8E">
            <w:pPr>
              <w:ind w:left="0" w:right="0"/>
              <w:rPr>
                <w:sz w:val="20"/>
                <w:szCs w:val="20"/>
              </w:rPr>
            </w:pPr>
            <w:r w:rsidRPr="00E36D21">
              <w:rPr>
                <w:sz w:val="20"/>
                <w:szCs w:val="20"/>
              </w:rPr>
              <w:t>-</w:t>
            </w:r>
          </w:p>
        </w:tc>
        <w:tc>
          <w:tcPr>
            <w:tcW w:w="1032" w:type="dxa"/>
          </w:tcPr>
          <w:p w14:paraId="0182181E" w14:textId="77777777" w:rsidR="00E36D21" w:rsidRPr="00E36D21" w:rsidRDefault="00E36D21" w:rsidP="006C0B8E">
            <w:pPr>
              <w:ind w:left="0" w:right="0"/>
              <w:rPr>
                <w:sz w:val="20"/>
                <w:szCs w:val="20"/>
              </w:rPr>
            </w:pPr>
            <w:r w:rsidRPr="00E36D21">
              <w:rPr>
                <w:sz w:val="20"/>
                <w:szCs w:val="20"/>
              </w:rPr>
              <w:sym w:font="Wingdings" w:char="F0FC"/>
            </w:r>
          </w:p>
        </w:tc>
        <w:tc>
          <w:tcPr>
            <w:tcW w:w="953" w:type="dxa"/>
          </w:tcPr>
          <w:p w14:paraId="76E3E247" w14:textId="77777777" w:rsidR="00E36D21" w:rsidRPr="00E36D21" w:rsidRDefault="00E36D21" w:rsidP="006C0B8E">
            <w:pPr>
              <w:ind w:left="0" w:right="0"/>
              <w:rPr>
                <w:sz w:val="20"/>
                <w:szCs w:val="20"/>
              </w:rPr>
            </w:pPr>
            <w:r w:rsidRPr="00E36D21">
              <w:rPr>
                <w:sz w:val="20"/>
                <w:szCs w:val="20"/>
              </w:rPr>
              <w:t>-</w:t>
            </w:r>
          </w:p>
        </w:tc>
      </w:tr>
      <w:tr w:rsidR="00E36D21" w:rsidRPr="00E36D21" w14:paraId="1E438C99" w14:textId="77777777" w:rsidTr="006C0B8E">
        <w:trPr>
          <w:trHeight w:val="102"/>
        </w:trPr>
        <w:tc>
          <w:tcPr>
            <w:tcW w:w="1384" w:type="dxa"/>
            <w:vMerge/>
          </w:tcPr>
          <w:p w14:paraId="2ABBD199" w14:textId="77777777" w:rsidR="00E36D21" w:rsidRPr="00E36D21" w:rsidRDefault="00E36D21" w:rsidP="006C0B8E">
            <w:pPr>
              <w:ind w:left="0" w:right="0"/>
              <w:rPr>
                <w:sz w:val="20"/>
                <w:szCs w:val="20"/>
              </w:rPr>
            </w:pPr>
          </w:p>
        </w:tc>
        <w:tc>
          <w:tcPr>
            <w:tcW w:w="2977" w:type="dxa"/>
          </w:tcPr>
          <w:p w14:paraId="0264A5AA" w14:textId="77777777" w:rsidR="00E36D21" w:rsidRPr="00E36D21" w:rsidRDefault="00E36D21" w:rsidP="006C0B8E">
            <w:pPr>
              <w:ind w:left="0" w:right="0"/>
              <w:rPr>
                <w:sz w:val="20"/>
                <w:szCs w:val="20"/>
              </w:rPr>
            </w:pPr>
            <w:r w:rsidRPr="00E36D21">
              <w:rPr>
                <w:sz w:val="20"/>
                <w:szCs w:val="20"/>
              </w:rPr>
              <w:t xml:space="preserve">Use in patients with severe hyperkalaemia </w:t>
            </w:r>
          </w:p>
        </w:tc>
        <w:tc>
          <w:tcPr>
            <w:tcW w:w="1134" w:type="dxa"/>
          </w:tcPr>
          <w:p w14:paraId="6A341E62" w14:textId="77777777" w:rsidR="00E36D21" w:rsidRPr="00E36D21" w:rsidRDefault="00E36D21" w:rsidP="006C0B8E">
            <w:pPr>
              <w:ind w:left="0" w:right="0"/>
              <w:rPr>
                <w:sz w:val="20"/>
                <w:szCs w:val="20"/>
              </w:rPr>
            </w:pPr>
            <w:r w:rsidRPr="00E36D21">
              <w:rPr>
                <w:sz w:val="20"/>
                <w:szCs w:val="20"/>
              </w:rPr>
              <w:sym w:font="Wingdings" w:char="F0FC"/>
            </w:r>
          </w:p>
        </w:tc>
        <w:tc>
          <w:tcPr>
            <w:tcW w:w="1134" w:type="dxa"/>
          </w:tcPr>
          <w:p w14:paraId="6C7E7536" w14:textId="77777777" w:rsidR="00E36D21" w:rsidRPr="00E36D21" w:rsidRDefault="00E36D21" w:rsidP="006C0B8E">
            <w:pPr>
              <w:ind w:left="0" w:right="0"/>
              <w:rPr>
                <w:sz w:val="20"/>
                <w:szCs w:val="20"/>
              </w:rPr>
            </w:pPr>
            <w:r w:rsidRPr="00E36D21">
              <w:rPr>
                <w:sz w:val="20"/>
                <w:szCs w:val="20"/>
              </w:rPr>
              <w:t>-</w:t>
            </w:r>
          </w:p>
        </w:tc>
        <w:tc>
          <w:tcPr>
            <w:tcW w:w="1032" w:type="dxa"/>
          </w:tcPr>
          <w:p w14:paraId="4A6380C4" w14:textId="77777777" w:rsidR="00E36D21" w:rsidRPr="00E36D21" w:rsidRDefault="00E36D21" w:rsidP="006C0B8E">
            <w:pPr>
              <w:ind w:left="0" w:right="0"/>
              <w:rPr>
                <w:sz w:val="20"/>
                <w:szCs w:val="20"/>
              </w:rPr>
            </w:pPr>
            <w:r w:rsidRPr="00E36D21">
              <w:rPr>
                <w:sz w:val="20"/>
                <w:szCs w:val="20"/>
              </w:rPr>
              <w:sym w:font="Wingdings" w:char="F0FC"/>
            </w:r>
          </w:p>
        </w:tc>
        <w:tc>
          <w:tcPr>
            <w:tcW w:w="953" w:type="dxa"/>
          </w:tcPr>
          <w:p w14:paraId="664FCB9F" w14:textId="77777777" w:rsidR="00E36D21" w:rsidRPr="00E36D21" w:rsidRDefault="00E36D21" w:rsidP="006C0B8E">
            <w:pPr>
              <w:ind w:left="0" w:right="0"/>
              <w:rPr>
                <w:sz w:val="20"/>
                <w:szCs w:val="20"/>
              </w:rPr>
            </w:pPr>
            <w:r w:rsidRPr="00E36D21">
              <w:rPr>
                <w:sz w:val="20"/>
                <w:szCs w:val="20"/>
              </w:rPr>
              <w:t>-</w:t>
            </w:r>
          </w:p>
        </w:tc>
      </w:tr>
      <w:tr w:rsidR="00E36D21" w:rsidRPr="00E36D21" w14:paraId="4E210A34" w14:textId="77777777" w:rsidTr="006C0B8E">
        <w:trPr>
          <w:trHeight w:val="102"/>
        </w:trPr>
        <w:tc>
          <w:tcPr>
            <w:tcW w:w="1384" w:type="dxa"/>
            <w:vMerge/>
          </w:tcPr>
          <w:p w14:paraId="20758A66" w14:textId="77777777" w:rsidR="00E36D21" w:rsidRPr="00E36D21" w:rsidRDefault="00E36D21" w:rsidP="006C0B8E">
            <w:pPr>
              <w:ind w:left="0" w:right="0"/>
              <w:rPr>
                <w:sz w:val="20"/>
                <w:szCs w:val="20"/>
              </w:rPr>
            </w:pPr>
          </w:p>
        </w:tc>
        <w:tc>
          <w:tcPr>
            <w:tcW w:w="2977" w:type="dxa"/>
          </w:tcPr>
          <w:p w14:paraId="584B231A" w14:textId="77777777" w:rsidR="00E36D21" w:rsidRPr="00E36D21" w:rsidRDefault="00E36D21" w:rsidP="006C0B8E">
            <w:pPr>
              <w:ind w:left="0" w:right="0"/>
              <w:rPr>
                <w:sz w:val="20"/>
                <w:szCs w:val="20"/>
              </w:rPr>
            </w:pPr>
            <w:r w:rsidRPr="00E36D21">
              <w:rPr>
                <w:sz w:val="20"/>
                <w:szCs w:val="20"/>
              </w:rPr>
              <w:t>Use in children1</w:t>
            </w:r>
          </w:p>
        </w:tc>
        <w:tc>
          <w:tcPr>
            <w:tcW w:w="1134" w:type="dxa"/>
          </w:tcPr>
          <w:p w14:paraId="558E7130" w14:textId="77777777" w:rsidR="00E36D21" w:rsidRPr="00E36D21" w:rsidRDefault="00E36D21" w:rsidP="006C0B8E">
            <w:pPr>
              <w:ind w:left="0" w:right="0"/>
              <w:rPr>
                <w:sz w:val="20"/>
                <w:szCs w:val="20"/>
              </w:rPr>
            </w:pPr>
            <w:r w:rsidRPr="00E36D21">
              <w:rPr>
                <w:sz w:val="20"/>
                <w:szCs w:val="20"/>
              </w:rPr>
              <w:sym w:font="Wingdings" w:char="F0FC"/>
            </w:r>
          </w:p>
        </w:tc>
        <w:tc>
          <w:tcPr>
            <w:tcW w:w="1134" w:type="dxa"/>
          </w:tcPr>
          <w:p w14:paraId="549928FC" w14:textId="77777777" w:rsidR="00E36D21" w:rsidRPr="00E36D21" w:rsidRDefault="00E36D21" w:rsidP="006C0B8E">
            <w:pPr>
              <w:ind w:left="0" w:right="0"/>
              <w:rPr>
                <w:sz w:val="20"/>
                <w:szCs w:val="20"/>
              </w:rPr>
            </w:pPr>
            <w:r w:rsidRPr="00E36D21">
              <w:rPr>
                <w:sz w:val="20"/>
                <w:szCs w:val="20"/>
              </w:rPr>
              <w:t>-</w:t>
            </w:r>
          </w:p>
        </w:tc>
        <w:tc>
          <w:tcPr>
            <w:tcW w:w="1032" w:type="dxa"/>
          </w:tcPr>
          <w:p w14:paraId="12C630A1" w14:textId="77777777" w:rsidR="00E36D21" w:rsidRPr="00E36D21" w:rsidRDefault="00E36D21" w:rsidP="006C0B8E">
            <w:pPr>
              <w:ind w:left="0" w:right="0"/>
              <w:rPr>
                <w:sz w:val="20"/>
                <w:szCs w:val="20"/>
              </w:rPr>
            </w:pPr>
            <w:r w:rsidRPr="00E36D21">
              <w:rPr>
                <w:sz w:val="20"/>
                <w:szCs w:val="20"/>
              </w:rPr>
              <w:sym w:font="Wingdings" w:char="F0FC"/>
            </w:r>
          </w:p>
        </w:tc>
        <w:tc>
          <w:tcPr>
            <w:tcW w:w="953" w:type="dxa"/>
          </w:tcPr>
          <w:p w14:paraId="5844453D" w14:textId="77777777" w:rsidR="00E36D21" w:rsidRPr="00E36D21" w:rsidRDefault="00E36D21" w:rsidP="006C0B8E">
            <w:pPr>
              <w:ind w:left="0" w:right="0"/>
              <w:rPr>
                <w:sz w:val="20"/>
                <w:szCs w:val="20"/>
              </w:rPr>
            </w:pPr>
            <w:r w:rsidRPr="00E36D21">
              <w:rPr>
                <w:sz w:val="20"/>
                <w:szCs w:val="20"/>
              </w:rPr>
              <w:t>-</w:t>
            </w:r>
          </w:p>
        </w:tc>
      </w:tr>
      <w:tr w:rsidR="00E36D21" w:rsidRPr="00E36D21" w14:paraId="3261ED12" w14:textId="77777777" w:rsidTr="006C0B8E">
        <w:trPr>
          <w:trHeight w:val="102"/>
        </w:trPr>
        <w:tc>
          <w:tcPr>
            <w:tcW w:w="1384" w:type="dxa"/>
            <w:vMerge/>
          </w:tcPr>
          <w:p w14:paraId="64914CF2" w14:textId="77777777" w:rsidR="00E36D21" w:rsidRPr="00E36D21" w:rsidRDefault="00E36D21" w:rsidP="006C0B8E">
            <w:pPr>
              <w:ind w:left="0" w:right="0"/>
              <w:rPr>
                <w:sz w:val="20"/>
                <w:szCs w:val="20"/>
              </w:rPr>
            </w:pPr>
          </w:p>
        </w:tc>
        <w:tc>
          <w:tcPr>
            <w:tcW w:w="2977" w:type="dxa"/>
          </w:tcPr>
          <w:p w14:paraId="3541DADF" w14:textId="78AB0126" w:rsidR="00E36D21" w:rsidRPr="00E36D21" w:rsidRDefault="00E36D21" w:rsidP="006C0B8E">
            <w:pPr>
              <w:ind w:left="0" w:right="0"/>
              <w:rPr>
                <w:sz w:val="20"/>
                <w:szCs w:val="20"/>
              </w:rPr>
            </w:pPr>
            <w:r w:rsidRPr="00E36D21">
              <w:rPr>
                <w:sz w:val="20"/>
                <w:szCs w:val="20"/>
              </w:rPr>
              <w:t>Use in Aboriginal and Torres Strait islanders</w:t>
            </w:r>
          </w:p>
        </w:tc>
        <w:tc>
          <w:tcPr>
            <w:tcW w:w="1134" w:type="dxa"/>
          </w:tcPr>
          <w:p w14:paraId="3A7679A0" w14:textId="77777777" w:rsidR="00E36D21" w:rsidRPr="00E36D21" w:rsidRDefault="00E36D21" w:rsidP="006C0B8E">
            <w:pPr>
              <w:ind w:left="0" w:right="0"/>
              <w:rPr>
                <w:sz w:val="20"/>
                <w:szCs w:val="20"/>
              </w:rPr>
            </w:pPr>
            <w:r w:rsidRPr="00E36D21">
              <w:rPr>
                <w:sz w:val="20"/>
                <w:szCs w:val="20"/>
              </w:rPr>
              <w:sym w:font="Wingdings" w:char="F0FC"/>
            </w:r>
          </w:p>
        </w:tc>
        <w:tc>
          <w:tcPr>
            <w:tcW w:w="1134" w:type="dxa"/>
          </w:tcPr>
          <w:p w14:paraId="6E24B614" w14:textId="77777777" w:rsidR="00E36D21" w:rsidRPr="00E36D21" w:rsidRDefault="00E36D21" w:rsidP="006C0B8E">
            <w:pPr>
              <w:ind w:left="0" w:right="0"/>
              <w:rPr>
                <w:sz w:val="20"/>
                <w:szCs w:val="20"/>
              </w:rPr>
            </w:pPr>
            <w:r w:rsidRPr="00E36D21">
              <w:rPr>
                <w:sz w:val="20"/>
                <w:szCs w:val="20"/>
              </w:rPr>
              <w:t>-</w:t>
            </w:r>
          </w:p>
        </w:tc>
        <w:tc>
          <w:tcPr>
            <w:tcW w:w="1032" w:type="dxa"/>
          </w:tcPr>
          <w:p w14:paraId="116A1DFF" w14:textId="77777777" w:rsidR="00E36D21" w:rsidRPr="00E36D21" w:rsidRDefault="00E36D21" w:rsidP="006C0B8E">
            <w:pPr>
              <w:ind w:left="0" w:right="0"/>
              <w:rPr>
                <w:sz w:val="20"/>
                <w:szCs w:val="20"/>
              </w:rPr>
            </w:pPr>
            <w:r w:rsidRPr="00E36D21">
              <w:rPr>
                <w:sz w:val="20"/>
                <w:szCs w:val="20"/>
              </w:rPr>
              <w:t>-</w:t>
            </w:r>
          </w:p>
        </w:tc>
        <w:tc>
          <w:tcPr>
            <w:tcW w:w="953" w:type="dxa"/>
          </w:tcPr>
          <w:p w14:paraId="2F0D7583" w14:textId="77777777" w:rsidR="00E36D21" w:rsidRPr="00E36D21" w:rsidRDefault="00E36D21" w:rsidP="006C0B8E">
            <w:pPr>
              <w:ind w:left="0" w:right="0"/>
              <w:rPr>
                <w:sz w:val="20"/>
                <w:szCs w:val="20"/>
              </w:rPr>
            </w:pPr>
            <w:r w:rsidRPr="00E36D21">
              <w:rPr>
                <w:sz w:val="20"/>
                <w:szCs w:val="20"/>
              </w:rPr>
              <w:t>-</w:t>
            </w:r>
          </w:p>
        </w:tc>
      </w:tr>
    </w:tbl>
    <w:p w14:paraId="69D029A7" w14:textId="77777777" w:rsidR="00E36D21" w:rsidRPr="00E36D21" w:rsidRDefault="00E36D21" w:rsidP="00E36D21">
      <w:pPr>
        <w:pStyle w:val="ListBullet"/>
      </w:pPr>
      <w:r w:rsidRPr="00E36D21">
        <w:t xml:space="preserve">The pharmacovigilance plan includes a category 3 study (required by the </w:t>
      </w:r>
      <w:r w:rsidR="006C0B8E">
        <w:t xml:space="preserve">EMA) ZS-005 to monitor the long </w:t>
      </w:r>
      <w:r w:rsidRPr="00E36D21">
        <w:t>term safety of the product. This study will include Australian patients and findings will be reflected in future RMP updates.</w:t>
      </w:r>
    </w:p>
    <w:p w14:paraId="71DAE02E" w14:textId="77777777" w:rsidR="000C647A" w:rsidRPr="000C647A" w:rsidRDefault="006C0B8E" w:rsidP="006C0B8E">
      <w:pPr>
        <w:pStyle w:val="Heading4"/>
      </w:pPr>
      <w:r>
        <w:t>Post-ACPM meeting</w:t>
      </w:r>
    </w:p>
    <w:p w14:paraId="74D72FDB" w14:textId="77777777" w:rsidR="000C647A" w:rsidRPr="000C647A" w:rsidRDefault="000C647A" w:rsidP="000C647A">
      <w:r w:rsidRPr="000C647A">
        <w:t>The sponsor has included ‘use in children’ as missing information in the ASA version 3. There is no further outstanding R</w:t>
      </w:r>
      <w:r w:rsidR="006C0B8E">
        <w:t>MP issue with this submission.</w:t>
      </w:r>
    </w:p>
    <w:p w14:paraId="7E53DB2B" w14:textId="77777777" w:rsidR="000C647A" w:rsidRPr="000C647A" w:rsidRDefault="000C647A" w:rsidP="000C647A">
      <w:pPr>
        <w:pStyle w:val="Heading4"/>
      </w:pPr>
      <w:bookmarkStart w:id="131" w:name="_Toc462240386"/>
      <w:r w:rsidRPr="000C647A">
        <w:lastRenderedPageBreak/>
        <w:t>Wording for conditions of registration</w:t>
      </w:r>
      <w:bookmarkEnd w:id="131"/>
    </w:p>
    <w:p w14:paraId="720BEF23" w14:textId="77777777" w:rsidR="008E7846" w:rsidRPr="000C647A" w:rsidRDefault="000C647A" w:rsidP="000C647A">
      <w:r w:rsidRPr="000C647A">
        <w:t xml:space="preserve">The suggested wording is: The EU-RMP version 1 edition 5 dated 30 January 2017 (DLP 19 September 2016), with Australian Specific Annex version 3 dated 20 March 2017, and future updates </w:t>
      </w:r>
      <w:r w:rsidR="006C0B8E">
        <w:t>as a condition of registration.</w:t>
      </w:r>
    </w:p>
    <w:p w14:paraId="4EE20EEB" w14:textId="77777777" w:rsidR="008E7846" w:rsidRPr="00792A32" w:rsidRDefault="008E7846" w:rsidP="008E7846">
      <w:pPr>
        <w:pStyle w:val="Heading2"/>
      </w:pPr>
      <w:bookmarkStart w:id="132" w:name="_Toc247691527"/>
      <w:bookmarkStart w:id="133" w:name="_Toc314842510"/>
      <w:bookmarkStart w:id="134" w:name="_Toc505252943"/>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7"/>
      <w:bookmarkEnd w:id="132"/>
      <w:bookmarkEnd w:id="133"/>
      <w:bookmarkEnd w:id="134"/>
    </w:p>
    <w:p w14:paraId="51633B4A" w14:textId="77777777" w:rsidR="008E7846" w:rsidRDefault="008E7846" w:rsidP="008E7846">
      <w:bookmarkStart w:id="135" w:name="_Toc247691528"/>
      <w:r>
        <w:t xml:space="preserve">The submission was summarised in the following </w:t>
      </w:r>
      <w:r w:rsidRPr="00EF5C48">
        <w:t xml:space="preserve">Delegate’s </w:t>
      </w:r>
      <w:r>
        <w:t>overview</w:t>
      </w:r>
      <w:r w:rsidRPr="00EF5C48">
        <w:t xml:space="preserve"> and recommendation</w:t>
      </w:r>
      <w:r w:rsidR="00B83803">
        <w:t>s.</w:t>
      </w:r>
    </w:p>
    <w:p w14:paraId="66E671A1" w14:textId="77777777" w:rsidR="00E03B6D" w:rsidRDefault="00E03B6D" w:rsidP="00E03B6D">
      <w:pPr>
        <w:pStyle w:val="Heading3"/>
      </w:pPr>
      <w:bookmarkStart w:id="136" w:name="_Toc505252944"/>
      <w:r>
        <w:t>Background</w:t>
      </w:r>
      <w:bookmarkEnd w:id="136"/>
    </w:p>
    <w:p w14:paraId="31A20EF9" w14:textId="77777777" w:rsidR="00E03B6D" w:rsidRPr="00E03B6D" w:rsidRDefault="00B83803" w:rsidP="00E03B6D">
      <w:r>
        <w:t>Zirconium Sodium (Z</w:t>
      </w:r>
      <w:r w:rsidR="00E03B6D" w:rsidRPr="00E03B6D">
        <w:t>S</w:t>
      </w:r>
      <w:r>
        <w:t>)</w:t>
      </w:r>
      <w:r w:rsidR="00E03B6D" w:rsidRPr="00E03B6D">
        <w:t xml:space="preserve"> is an insoluble, non-absorbable inorganic crystalline compound that binds potassium ions in exchange for hydrogen and sodium cations in the intestines</w:t>
      </w:r>
      <w:r w:rsidR="00E03B6D">
        <w:t>.</w:t>
      </w:r>
      <w:r>
        <w:t xml:space="preserve"> The 3D structure is </w:t>
      </w:r>
      <w:r w:rsidRPr="00861D1C">
        <w:t>depicted in Figure 1.</w:t>
      </w:r>
    </w:p>
    <w:p w14:paraId="312525FF" w14:textId="77777777" w:rsidR="00E03B6D" w:rsidRPr="00E03B6D" w:rsidRDefault="00E03B6D" w:rsidP="00E03B6D">
      <w:r w:rsidRPr="00E03B6D">
        <w:t>In vitro, it has been sh</w:t>
      </w:r>
      <w:r w:rsidR="00B83803">
        <w:t xml:space="preserve">own to absorb approximately ten </w:t>
      </w:r>
      <w:r w:rsidRPr="00E03B6D">
        <w:t>fold the amount of potassium as the currently available oral therapies for hyperkalaemia (sodi</w:t>
      </w:r>
      <w:r>
        <w:t>um polystyrene sulfonate, SPS).</w:t>
      </w:r>
    </w:p>
    <w:p w14:paraId="792F82AC" w14:textId="77777777" w:rsidR="00E03B6D" w:rsidRPr="00E03B6D" w:rsidRDefault="00E03B6D" w:rsidP="00E03B6D">
      <w:r w:rsidRPr="00E03B6D">
        <w:t>ZS forms part of a family of microporous zirconium (</w:t>
      </w:r>
      <w:proofErr w:type="spellStart"/>
      <w:r w:rsidRPr="00E03B6D">
        <w:t>Zr</w:t>
      </w:r>
      <w:proofErr w:type="spellEnd"/>
      <w:r w:rsidRPr="00E03B6D">
        <w:t>) silicates. The mechanism of action</w:t>
      </w:r>
      <w:r>
        <w:t xml:space="preserve"> </w:t>
      </w:r>
      <w:r w:rsidRPr="00E03B6D">
        <w:t>of ZS is based on the ability of cations (hydrogen and sodium), contained within its</w:t>
      </w:r>
      <w:r>
        <w:t xml:space="preserve"> </w:t>
      </w:r>
      <w:r w:rsidRPr="00E03B6D">
        <w:t>crystalline structure to freely exchange with a select group of other monovalent cations,</w:t>
      </w:r>
      <w:r>
        <w:t xml:space="preserve"> </w:t>
      </w:r>
      <w:r w:rsidRPr="00E03B6D">
        <w:t>specifically potassium and ammonium.</w:t>
      </w:r>
    </w:p>
    <w:p w14:paraId="2EB4F4ED" w14:textId="77777777" w:rsidR="00E03B6D" w:rsidRPr="00E03B6D" w:rsidRDefault="00E03B6D" w:rsidP="00E03B6D">
      <w:r w:rsidRPr="00E03B6D">
        <w:t>It is also proposed that the rate of onset of the effect of ZS on serum potassium is more rapid than that of SPS because it commences entrapment of potassium ions in the upper GI tract, unlike SPS, which has its effect within the colon. Serum potassium concentration is closely correlated with potassium concentration of intestinal fluid.</w:t>
      </w:r>
    </w:p>
    <w:p w14:paraId="6F24E610" w14:textId="77777777" w:rsidR="00E03B6D" w:rsidRPr="00E03B6D" w:rsidRDefault="00E03B6D" w:rsidP="00E03B6D">
      <w:r w:rsidRPr="00E03B6D">
        <w:t>There was no paediatric data. A paediatric investigation plan has been submitted for Europe and the USA.</w:t>
      </w:r>
    </w:p>
    <w:p w14:paraId="759AD5F7" w14:textId="77777777" w:rsidR="008E7846" w:rsidRDefault="008E7846" w:rsidP="008E7846">
      <w:pPr>
        <w:pStyle w:val="Heading3"/>
      </w:pPr>
      <w:bookmarkStart w:id="137" w:name="_Toc314842511"/>
      <w:bookmarkStart w:id="138" w:name="_Toc505252945"/>
      <w:r>
        <w:t>Quality</w:t>
      </w:r>
      <w:bookmarkEnd w:id="135"/>
      <w:bookmarkEnd w:id="137"/>
      <w:bookmarkEnd w:id="138"/>
    </w:p>
    <w:p w14:paraId="795AF9AC" w14:textId="1139C8BA" w:rsidR="00E03B6D" w:rsidRPr="00E03B6D" w:rsidRDefault="00E03B6D" w:rsidP="00E03B6D">
      <w:r w:rsidRPr="00E03B6D">
        <w:t>The manufacturing process is tightly controlled in terms of order of addition of starting material, reaction and crystallisation temperatures, mixing speeds and times, and minimum number of rinses, in order to meet expected yields of the drug substance of an expected quality. In-process quality control tests including Potassium exchange capacity (KEC), Powder x-ray diffraction (PXRD), Wave dispersive x-ray fluorescence (WD-XRF), Particle size analysis, pH and Loss on Drying are applied during the manufacturing process to ensure the formation of the correct crystalline structure and batch-to-batch consistency.</w:t>
      </w:r>
    </w:p>
    <w:p w14:paraId="32293206" w14:textId="77777777" w:rsidR="00E03B6D" w:rsidRPr="00E03B6D" w:rsidRDefault="00E03B6D" w:rsidP="00E03B6D">
      <w:r w:rsidRPr="00E03B6D">
        <w:t>Sodium zirconium cyclosilicate hydrate is completely insoluble.</w:t>
      </w:r>
    </w:p>
    <w:p w14:paraId="7170D171" w14:textId="22A76924" w:rsidR="00886664" w:rsidRDefault="00E03B6D" w:rsidP="00E03B6D">
      <w:r w:rsidRPr="00E03B6D">
        <w:t>The quality of the drug substance is controlled by an acceptable specification that includes test and limits for Appearance, Identificati</w:t>
      </w:r>
      <w:r w:rsidR="006C0B8E">
        <w:t xml:space="preserve">on (by FTIR and PXRD), KEC </w:t>
      </w:r>
      <w:r w:rsidRPr="00E03B6D">
        <w:t xml:space="preserve">, Crystalline Phase A , Crystalline Phase B </w:t>
      </w:r>
      <w:r w:rsidR="006C0B8E">
        <w:t xml:space="preserve">, Zirconium content , Silicon content , Hafnium content </w:t>
      </w:r>
      <w:r w:rsidRPr="00E03B6D">
        <w:t>, Moisture content , Particle Size , and Elemental Impurities</w:t>
      </w:r>
      <w:r w:rsidR="00886664">
        <w:t>.</w:t>
      </w:r>
    </w:p>
    <w:p w14:paraId="101FBDE9" w14:textId="77777777" w:rsidR="00E03B6D" w:rsidRPr="00E03B6D" w:rsidRDefault="00E03B6D" w:rsidP="00E03B6D">
      <w:r w:rsidRPr="00E03B6D">
        <w:t>The drug product formulation is the neat (100%) sodium zirconium cyclosilicate hydrate with no excipients used.</w:t>
      </w:r>
      <w:r w:rsidR="00BE0DF4">
        <w:t xml:space="preserve"> </w:t>
      </w:r>
      <w:r w:rsidRPr="00E03B6D">
        <w:t xml:space="preserve">Two dose strengths are proposed </w:t>
      </w:r>
      <w:r w:rsidR="00BE0DF4">
        <w:t>that is</w:t>
      </w:r>
      <w:r w:rsidRPr="00E03B6D">
        <w:t>5 g and 10 g.</w:t>
      </w:r>
      <w:r w:rsidR="00BE0DF4">
        <w:t xml:space="preserve"> </w:t>
      </w:r>
      <w:r w:rsidRPr="00E03B6D">
        <w:t>The drug product is intended be packaged into high barrier PET/LDPE/LLDPE/aluminium foil laminate sachets with pack sizes of 3 sachets (sample pack) and 30 sachets per cardboard carton proposed for registration.</w:t>
      </w:r>
    </w:p>
    <w:p w14:paraId="2CC54FD0" w14:textId="77777777" w:rsidR="00E03B6D" w:rsidRPr="00E03B6D" w:rsidRDefault="00E03B6D" w:rsidP="00E03B6D">
      <w:r w:rsidRPr="00E03B6D">
        <w:lastRenderedPageBreak/>
        <w:t>A study was conducted to investigate the ion exchange capacity and selectivity of sodium zirconium cyclosilicate hydrate in the presence of potassium (</w:t>
      </w:r>
      <w:r w:rsidR="00886664" w:rsidRPr="00E9044D">
        <w:t>K</w:t>
      </w:r>
      <w:r w:rsidR="00886664" w:rsidRPr="00886664">
        <w:rPr>
          <w:vertAlign w:val="superscript"/>
        </w:rPr>
        <w:t>+</w:t>
      </w:r>
      <w:r w:rsidRPr="00E03B6D">
        <w:t>), ammonium (</w:t>
      </w:r>
      <w:r w:rsidR="00886664" w:rsidRPr="00E9044D">
        <w:t>NH</w:t>
      </w:r>
      <w:r w:rsidR="00886664" w:rsidRPr="00886664">
        <w:rPr>
          <w:vertAlign w:val="superscript"/>
        </w:rPr>
        <w:t>4+</w:t>
      </w:r>
      <w:r w:rsidRPr="00E03B6D">
        <w:t>), calcium (</w:t>
      </w:r>
      <w:r w:rsidR="00886664" w:rsidRPr="00E9044D">
        <w:t>Ca</w:t>
      </w:r>
      <w:r w:rsidR="00886664" w:rsidRPr="00886664">
        <w:rPr>
          <w:vertAlign w:val="superscript"/>
        </w:rPr>
        <w:t>2+</w:t>
      </w:r>
      <w:r w:rsidRPr="00E03B6D">
        <w:t>), and magnesium (</w:t>
      </w:r>
      <w:r w:rsidR="00886664" w:rsidRPr="00E9044D">
        <w:t>Mg</w:t>
      </w:r>
      <w:r w:rsidR="00886664" w:rsidRPr="00886664">
        <w:rPr>
          <w:vertAlign w:val="superscript"/>
        </w:rPr>
        <w:t>2+</w:t>
      </w:r>
      <w:r w:rsidRPr="00E03B6D">
        <w:t>) cations, either alone or in combination. At individual ion ratios of 1:1, the drug substance was shown to be 1.25</w:t>
      </w:r>
      <w:r w:rsidR="00886664">
        <w:t xml:space="preserve"> fold </w:t>
      </w:r>
      <w:r w:rsidRPr="00E03B6D">
        <w:t>and 15</w:t>
      </w:r>
      <w:r w:rsidR="00886664">
        <w:t xml:space="preserve"> fold </w:t>
      </w:r>
      <w:r w:rsidRPr="00E03B6D">
        <w:t xml:space="preserve">more selective for </w:t>
      </w:r>
      <w:r w:rsidR="00886664" w:rsidRPr="00E9044D">
        <w:t>K</w:t>
      </w:r>
      <w:r w:rsidR="00886664" w:rsidRPr="00886664">
        <w:rPr>
          <w:vertAlign w:val="superscript"/>
        </w:rPr>
        <w:t>+</w:t>
      </w:r>
      <w:r w:rsidRPr="00E03B6D">
        <w:t xml:space="preserve"> than for </w:t>
      </w:r>
      <w:r w:rsidR="00886664" w:rsidRPr="00E9044D">
        <w:t>NH</w:t>
      </w:r>
      <w:r w:rsidR="00886664" w:rsidRPr="00886664">
        <w:rPr>
          <w:vertAlign w:val="superscript"/>
        </w:rPr>
        <w:t>4+</w:t>
      </w:r>
      <w:r w:rsidRPr="00E03B6D">
        <w:t xml:space="preserve"> and </w:t>
      </w:r>
      <w:r w:rsidR="00886664" w:rsidRPr="00E9044D">
        <w:t>Ca</w:t>
      </w:r>
      <w:r w:rsidR="00886664" w:rsidRPr="00886664">
        <w:rPr>
          <w:vertAlign w:val="superscript"/>
        </w:rPr>
        <w:t>2+</w:t>
      </w:r>
      <w:r w:rsidRPr="00E03B6D">
        <w:t xml:space="preserve"> respectively, with no uptake of </w:t>
      </w:r>
      <w:r w:rsidR="00886664" w:rsidRPr="00E9044D">
        <w:t>Mg</w:t>
      </w:r>
      <w:r w:rsidR="00886664" w:rsidRPr="00886664">
        <w:rPr>
          <w:vertAlign w:val="superscript"/>
        </w:rPr>
        <w:t>2+</w:t>
      </w:r>
      <w:r w:rsidRPr="00E03B6D">
        <w:t xml:space="preserve"> detected.</w:t>
      </w:r>
      <w:r w:rsidR="00BE0DF4">
        <w:t xml:space="preserve"> </w:t>
      </w:r>
      <w:r w:rsidRPr="00E03B6D">
        <w:t xml:space="preserve">When all four ions were present in equal concentrations, the drug substance was shown to have an equal affinity for </w:t>
      </w:r>
      <w:r w:rsidR="00886664" w:rsidRPr="00E9044D">
        <w:t>K</w:t>
      </w:r>
      <w:r w:rsidR="00886664" w:rsidRPr="00886664">
        <w:rPr>
          <w:vertAlign w:val="superscript"/>
        </w:rPr>
        <w:t>+</w:t>
      </w:r>
      <w:r w:rsidRPr="00E03B6D">
        <w:t xml:space="preserve"> and </w:t>
      </w:r>
      <w:r w:rsidR="00886664" w:rsidRPr="00E9044D">
        <w:t>NH</w:t>
      </w:r>
      <w:r w:rsidR="00886664" w:rsidRPr="00886664">
        <w:rPr>
          <w:vertAlign w:val="superscript"/>
        </w:rPr>
        <w:t>4+</w:t>
      </w:r>
      <w:r w:rsidRPr="00E03B6D">
        <w:t xml:space="preserve"> ions, and to be </w:t>
      </w:r>
      <w:r w:rsidR="00886664">
        <w:t xml:space="preserve">approximately </w:t>
      </w:r>
      <w:r w:rsidRPr="00E03B6D">
        <w:t>54</w:t>
      </w:r>
      <w:r w:rsidR="00886664">
        <w:t xml:space="preserve"> fold </w:t>
      </w:r>
      <w:r w:rsidRPr="00E03B6D">
        <w:t>and 172</w:t>
      </w:r>
      <w:r w:rsidR="00886664">
        <w:t xml:space="preserve"> fold </w:t>
      </w:r>
      <w:r w:rsidRPr="00E03B6D">
        <w:t xml:space="preserve">more selective for </w:t>
      </w:r>
      <w:r w:rsidR="00886664" w:rsidRPr="00E9044D">
        <w:t>K</w:t>
      </w:r>
      <w:r w:rsidR="00886664" w:rsidRPr="00886664">
        <w:rPr>
          <w:vertAlign w:val="superscript"/>
        </w:rPr>
        <w:t>+</w:t>
      </w:r>
      <w:r w:rsidRPr="00E03B6D">
        <w:t xml:space="preserve"> over </w:t>
      </w:r>
      <w:r w:rsidR="00886664" w:rsidRPr="00E9044D">
        <w:t>Ca</w:t>
      </w:r>
      <w:r w:rsidR="00886664" w:rsidRPr="00886664">
        <w:rPr>
          <w:vertAlign w:val="superscript"/>
        </w:rPr>
        <w:t>2+</w:t>
      </w:r>
      <w:r w:rsidRPr="00E03B6D">
        <w:t xml:space="preserve"> and </w:t>
      </w:r>
      <w:r w:rsidR="00886664" w:rsidRPr="00E9044D">
        <w:t>Mg</w:t>
      </w:r>
      <w:r w:rsidR="00886664" w:rsidRPr="00886664">
        <w:rPr>
          <w:vertAlign w:val="superscript"/>
        </w:rPr>
        <w:t>2+</w:t>
      </w:r>
      <w:r w:rsidRPr="00E03B6D">
        <w:t>, respectively.</w:t>
      </w:r>
    </w:p>
    <w:p w14:paraId="2893B2EF" w14:textId="2AFF64B8" w:rsidR="00E03B6D" w:rsidRPr="00E03B6D" w:rsidRDefault="00E03B6D" w:rsidP="00E03B6D">
      <w:r w:rsidRPr="00E03B6D">
        <w:t xml:space="preserve">The quality of the drug product is controlled by an acceptable specification that includes tests and limits for Appearance, Identification (by FTIR and PXRD), Potassium Exchange Capacity (KEC), Crystalline Phase A, Crystalline Phase B, Zirconium content, Silicon content, Sodium content, Hafnium content, Moisture content, Particle size, and Average Delivered Weight. </w:t>
      </w:r>
      <w:r w:rsidR="00C51A1B">
        <w:t>The potassium ion exchange capacity (KEC) is controlled.</w:t>
      </w:r>
    </w:p>
    <w:p w14:paraId="45444288" w14:textId="77777777" w:rsidR="00E03B6D" w:rsidRPr="00E03B6D" w:rsidRDefault="00E03B6D" w:rsidP="00E03B6D">
      <w:r w:rsidRPr="00E03B6D">
        <w:t>Approval was recommended from a pharmaceutical chemistry and quality control aspect.</w:t>
      </w:r>
    </w:p>
    <w:p w14:paraId="66B92EB9" w14:textId="77777777" w:rsidR="008E7846" w:rsidRDefault="008E7846" w:rsidP="008E7846">
      <w:pPr>
        <w:pStyle w:val="Heading3"/>
      </w:pPr>
      <w:bookmarkStart w:id="139" w:name="_Toc314842512"/>
      <w:bookmarkStart w:id="140" w:name="_Toc505252946"/>
      <w:r>
        <w:t>Nonclinical</w:t>
      </w:r>
      <w:bookmarkEnd w:id="139"/>
      <w:bookmarkEnd w:id="140"/>
    </w:p>
    <w:p w14:paraId="69426ECF" w14:textId="77777777" w:rsidR="00E03B6D" w:rsidRPr="00E03B6D" w:rsidRDefault="00E03B6D" w:rsidP="00E03B6D">
      <w:pPr>
        <w:pStyle w:val="ListBullet"/>
      </w:pPr>
      <w:r w:rsidRPr="00E03B6D">
        <w:t xml:space="preserve">There were no nonclinical objections to the registration of </w:t>
      </w:r>
      <w:r w:rsidR="00BE0DF4">
        <w:t>Lokelma</w:t>
      </w:r>
      <w:r w:rsidRPr="00E03B6D">
        <w:t xml:space="preserve"> for the proposed indication provided that the impurity specification is revised so that patients will not receive doses of elemental impurities in excess of those specified in ICH Q3D.</w:t>
      </w:r>
    </w:p>
    <w:p w14:paraId="34A1E1DA" w14:textId="77777777" w:rsidR="00E03B6D" w:rsidRPr="00E03B6D" w:rsidRDefault="00E03B6D" w:rsidP="00E03B6D">
      <w:pPr>
        <w:pStyle w:val="ListBullet"/>
      </w:pPr>
      <w:r w:rsidRPr="00E03B6D">
        <w:t xml:space="preserve">In vitro studies indicate a likely increase in stomach pH of up to 2 pH units with administration of sodium zirconium cyclosilicate, giving rise to potential pharmacokinetic interactions with co-administered drugs similar to those encountered with antacids. Direct binding of other drugs by sodium zirconium cyclosilicate was not seen, except for calcium and lithium. This occurred at high concentrations of these cations and under conditions where there was no or little competition by </w:t>
      </w:r>
      <w:r w:rsidR="00886664" w:rsidRPr="00E9044D">
        <w:t>K</w:t>
      </w:r>
      <w:r w:rsidR="00886664" w:rsidRPr="00886664">
        <w:rPr>
          <w:vertAlign w:val="superscript"/>
        </w:rPr>
        <w:t>+</w:t>
      </w:r>
      <w:r w:rsidRPr="00E03B6D">
        <w:t>; no clinically relevant interaction with calcium or lithium is predicted.</w:t>
      </w:r>
    </w:p>
    <w:p w14:paraId="41623C31" w14:textId="77777777" w:rsidR="008E7846" w:rsidRDefault="008E7846" w:rsidP="008E7846">
      <w:pPr>
        <w:pStyle w:val="Heading3"/>
      </w:pPr>
      <w:bookmarkStart w:id="141" w:name="_Toc247691530"/>
      <w:bookmarkStart w:id="142" w:name="_Toc314842513"/>
      <w:bookmarkStart w:id="143" w:name="_Toc505252947"/>
      <w:r>
        <w:t>Clinical</w:t>
      </w:r>
      <w:bookmarkEnd w:id="141"/>
      <w:bookmarkEnd w:id="142"/>
      <w:bookmarkEnd w:id="143"/>
    </w:p>
    <w:p w14:paraId="70ABEF07" w14:textId="77777777" w:rsidR="00E03B6D" w:rsidRPr="00E03B6D" w:rsidRDefault="00E03B6D" w:rsidP="00E03B6D">
      <w:pPr>
        <w:pStyle w:val="Heading4"/>
      </w:pPr>
      <w:bookmarkStart w:id="144" w:name="_Toc314842514"/>
      <w:r w:rsidRPr="00E03B6D">
        <w:t>Pharmacology</w:t>
      </w:r>
    </w:p>
    <w:p w14:paraId="0EFDC779" w14:textId="77777777" w:rsidR="00E03B6D" w:rsidRPr="00E03B6D" w:rsidRDefault="00E03B6D" w:rsidP="00E03B6D">
      <w:r w:rsidRPr="00E03B6D">
        <w:t>There is no systemic absorption. This was confirmed by a study in dogs, rats and humans.</w:t>
      </w:r>
    </w:p>
    <w:p w14:paraId="38DA1E09" w14:textId="77777777" w:rsidR="00886664" w:rsidRDefault="006C0B8E" w:rsidP="00E03B6D">
      <w:r>
        <w:t xml:space="preserve">Study </w:t>
      </w:r>
      <w:r w:rsidR="00E03B6D" w:rsidRPr="00E03B6D">
        <w:t xml:space="preserve">ZS-006: In healthy subjects, ZS lead to a significant increase in faecal potassium excretion. The reduction is serum potassium was greater with </w:t>
      </w:r>
      <w:r>
        <w:t>10 g</w:t>
      </w:r>
      <w:r w:rsidR="00E03B6D" w:rsidRPr="00E03B6D">
        <w:t xml:space="preserve"> than </w:t>
      </w:r>
      <w:r>
        <w:t>5 g</w:t>
      </w:r>
      <w:r w:rsidR="00E03B6D" w:rsidRPr="00E03B6D">
        <w:t>.</w:t>
      </w:r>
      <w:r w:rsidR="00E03B6D">
        <w:t xml:space="preserve"> </w:t>
      </w:r>
      <w:r w:rsidR="00E03B6D" w:rsidRPr="00E03B6D">
        <w:t>The reduction in serum potassium occurs within 1 hour and is maximal in the first 4 hours</w:t>
      </w:r>
      <w:r w:rsidR="00886664">
        <w:t>.</w:t>
      </w:r>
    </w:p>
    <w:p w14:paraId="22BF1823" w14:textId="77777777" w:rsidR="00E03B6D" w:rsidRPr="00E03B6D" w:rsidRDefault="00E03B6D" w:rsidP="00E03B6D">
      <w:r w:rsidRPr="00E03B6D">
        <w:t>Subpopulation analysis was performed for age, gender, race, baseline renal function, concomitant disease, use of renin- angiotensin-aldosterone inhibitors. There were no relevant differences in the responses for acute or maintenance phases.</w:t>
      </w:r>
    </w:p>
    <w:p w14:paraId="180DBA87" w14:textId="77777777" w:rsidR="00E03B6D" w:rsidRPr="00E03B6D" w:rsidRDefault="00E70BC5" w:rsidP="00E03B6D">
      <w:pPr>
        <w:pStyle w:val="Heading5"/>
      </w:pPr>
      <w:r>
        <w:t>Drug and other cations</w:t>
      </w:r>
    </w:p>
    <w:p w14:paraId="61B98F47" w14:textId="77777777" w:rsidR="00E03B6D" w:rsidRPr="00E03B6D" w:rsidRDefault="00E70BC5" w:rsidP="00E03B6D">
      <w:r>
        <w:t>Sodium zirconium silicate</w:t>
      </w:r>
      <w:r w:rsidR="00E03B6D" w:rsidRPr="00E03B6D">
        <w:t xml:space="preserve"> is selec</w:t>
      </w:r>
      <w:r>
        <w:t>tive for drugs at a size of 3Å.</w:t>
      </w:r>
    </w:p>
    <w:p w14:paraId="26BA8683" w14:textId="64FAD0B7" w:rsidR="00E03B6D" w:rsidRDefault="00E03B6D" w:rsidP="00534366">
      <w:pPr>
        <w:pStyle w:val="Tabletitle0"/>
      </w:pPr>
      <w:r>
        <w:lastRenderedPageBreak/>
        <w:t xml:space="preserve">Table </w:t>
      </w:r>
      <w:r w:rsidR="0090430C">
        <w:t>5</w:t>
      </w:r>
      <w:r w:rsidR="00861D1C">
        <w:t>:</w:t>
      </w:r>
      <w:r>
        <w:t xml:space="preserve"> Ionic radius of selected cations</w:t>
      </w:r>
    </w:p>
    <w:p w14:paraId="5CC722C2" w14:textId="77777777" w:rsidR="00E03B6D" w:rsidRDefault="00E03B6D" w:rsidP="007B6132">
      <w:r>
        <w:rPr>
          <w:noProof/>
          <w:lang w:eastAsia="en-AU"/>
        </w:rPr>
        <w:drawing>
          <wp:inline distT="0" distB="0" distL="0" distR="0" wp14:anchorId="20A4E32B" wp14:editId="41561477">
            <wp:extent cx="3594210" cy="2157984"/>
            <wp:effectExtent l="0" t="0" r="6350" b="0"/>
            <wp:docPr id="2" name="Picture 2" descr="Table 5: Ionic radius of selected 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98101" cy="2160320"/>
                    </a:xfrm>
                    <a:prstGeom prst="rect">
                      <a:avLst/>
                    </a:prstGeom>
                  </pic:spPr>
                </pic:pic>
              </a:graphicData>
            </a:graphic>
          </wp:inline>
        </w:drawing>
      </w:r>
    </w:p>
    <w:p w14:paraId="5E8D5E24" w14:textId="77777777" w:rsidR="00E03B6D" w:rsidRPr="00E03B6D" w:rsidRDefault="00E03B6D" w:rsidP="00E03B6D">
      <w:r w:rsidRPr="00E03B6D">
        <w:t>In vitro, binding of calcium only occurred at high concentrations. There was no effect on calcium in clinical trials.</w:t>
      </w:r>
    </w:p>
    <w:p w14:paraId="706179F8" w14:textId="77777777" w:rsidR="00E03B6D" w:rsidRPr="00E03B6D" w:rsidRDefault="00E03B6D" w:rsidP="00E03B6D">
      <w:pPr>
        <w:pStyle w:val="Heading5"/>
      </w:pPr>
      <w:r w:rsidRPr="00E03B6D">
        <w:t>Other drugs</w:t>
      </w:r>
    </w:p>
    <w:p w14:paraId="669118B3" w14:textId="77777777" w:rsidR="00E03B6D" w:rsidRPr="00E03B6D" w:rsidRDefault="00E03B6D" w:rsidP="00E03B6D">
      <w:r w:rsidRPr="00E03B6D">
        <w:t>It is unlikely that digoxin or thyroxine will fit through the pores as these molecules are too big. An in</w:t>
      </w:r>
      <w:r w:rsidR="006C0B8E">
        <w:t xml:space="preserve"> </w:t>
      </w:r>
      <w:r w:rsidRPr="00E03B6D">
        <w:t>vitro study with lithium carbonate showed no interaction</w:t>
      </w:r>
      <w:r w:rsidR="00B83803">
        <w:t>.</w:t>
      </w:r>
    </w:p>
    <w:p w14:paraId="676D83BC" w14:textId="77777777" w:rsidR="00E03B6D" w:rsidRPr="00E03B6D" w:rsidRDefault="00E03B6D" w:rsidP="00E03B6D">
      <w:r w:rsidRPr="00E03B6D">
        <w:t>No clinical studies examined the effect of gastric pH on ZC, however in-vitro studies showed that the potassium exchange capacity (KEC) is unaffected by pH except at very acidic condition (pH 1.2).</w:t>
      </w:r>
    </w:p>
    <w:p w14:paraId="6F63B509" w14:textId="77777777" w:rsidR="00886664" w:rsidRDefault="00886664" w:rsidP="00E03B6D">
      <w:r>
        <w:t>A Phase I</w:t>
      </w:r>
      <w:r w:rsidR="00E03B6D" w:rsidRPr="00E03B6D">
        <w:t xml:space="preserve"> study was conducted to examine the potential for drug interactions in-vivo with 9 compounds</w:t>
      </w:r>
      <w:r>
        <w:t>.</w:t>
      </w:r>
    </w:p>
    <w:p w14:paraId="5F251021" w14:textId="0525D739" w:rsidR="00E03B6D" w:rsidRDefault="00E03B6D" w:rsidP="00534366">
      <w:pPr>
        <w:pStyle w:val="Tabletitle0"/>
      </w:pPr>
      <w:r>
        <w:t xml:space="preserve">Table </w:t>
      </w:r>
      <w:r w:rsidR="0090430C">
        <w:t>6</w:t>
      </w:r>
      <w:r w:rsidR="00861D1C">
        <w:t>:</w:t>
      </w:r>
      <w:r>
        <w:t xml:space="preserve"> Summary of </w:t>
      </w:r>
      <w:r w:rsidR="00534366">
        <w:t>p</w:t>
      </w:r>
      <w:r>
        <w:t>harmacokinetic changes with ZS</w:t>
      </w:r>
    </w:p>
    <w:p w14:paraId="2BE8B78D" w14:textId="77777777" w:rsidR="00E03B6D" w:rsidRDefault="00E03B6D" w:rsidP="007B6132">
      <w:r>
        <w:rPr>
          <w:noProof/>
          <w:lang w:eastAsia="en-AU"/>
        </w:rPr>
        <w:drawing>
          <wp:inline distT="0" distB="0" distL="0" distR="0" wp14:anchorId="044808F9" wp14:editId="073C981B">
            <wp:extent cx="4162348" cy="3291635"/>
            <wp:effectExtent l="0" t="0" r="0" b="4445"/>
            <wp:docPr id="3" name="Picture 3" descr="Table 6: Summary of pharmacokinetic changes with 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brightnessContrast contrast="-20000"/>
                              </a14:imgEffect>
                            </a14:imgLayer>
                          </a14:imgProps>
                        </a:ext>
                      </a:extLst>
                    </a:blip>
                    <a:stretch>
                      <a:fillRect/>
                    </a:stretch>
                  </pic:blipFill>
                  <pic:spPr>
                    <a:xfrm>
                      <a:off x="0" y="0"/>
                      <a:ext cx="4163445" cy="3292503"/>
                    </a:xfrm>
                    <a:prstGeom prst="rect">
                      <a:avLst/>
                    </a:prstGeom>
                  </pic:spPr>
                </pic:pic>
              </a:graphicData>
            </a:graphic>
          </wp:inline>
        </w:drawing>
      </w:r>
    </w:p>
    <w:p w14:paraId="19D675D7" w14:textId="77777777" w:rsidR="00E03B6D" w:rsidRPr="00E03B6D" w:rsidRDefault="00E03B6D" w:rsidP="00E03B6D">
      <w:r w:rsidRPr="00E03B6D">
        <w:t>The sponsor concluded that there was no significant change in any of the dr</w:t>
      </w:r>
      <w:r w:rsidR="00B83803">
        <w:t>ug levels with ZS. However the Delegate is concerned</w:t>
      </w:r>
      <w:r w:rsidRPr="00E03B6D">
        <w:t xml:space="preserve"> of the clinical significance of the chan</w:t>
      </w:r>
      <w:r w:rsidR="00B83803">
        <w:t>ge in dabigatran concentration.</w:t>
      </w:r>
    </w:p>
    <w:p w14:paraId="537375DF" w14:textId="77777777" w:rsidR="00E03B6D" w:rsidRPr="00E03B6D" w:rsidRDefault="00E03B6D" w:rsidP="00E03B6D">
      <w:pPr>
        <w:pStyle w:val="Heading4"/>
      </w:pPr>
      <w:r w:rsidRPr="00E03B6D">
        <w:lastRenderedPageBreak/>
        <w:t>Efficacy</w:t>
      </w:r>
    </w:p>
    <w:p w14:paraId="0F7DD1C5" w14:textId="77777777" w:rsidR="00E03B6D" w:rsidRPr="00E03B6D" w:rsidRDefault="00E03B6D" w:rsidP="00E03B6D">
      <w:r w:rsidRPr="00E03B6D">
        <w:t>Dose finding studies used doses extrapolated from those</w:t>
      </w:r>
      <w:r w:rsidR="00B83803">
        <w:t xml:space="preserve"> of </w:t>
      </w:r>
      <w:r w:rsidRPr="00E03B6D">
        <w:t>SPS based on in-vivo measurements of relative efficacy. These were subsequently used to inform the clinical studies</w:t>
      </w:r>
    </w:p>
    <w:p w14:paraId="68E5194D" w14:textId="77777777" w:rsidR="00E03B6D" w:rsidRPr="00E03B6D" w:rsidRDefault="00E03B6D" w:rsidP="00E03B6D">
      <w:r w:rsidRPr="00E03B6D">
        <w:t xml:space="preserve">The efficacy studies included subjects with a range of underlying diseases such as chronic kidney disease (no minimal </w:t>
      </w:r>
      <w:r w:rsidR="00534366" w:rsidRPr="00534366">
        <w:t>glomerular filtration rate</w:t>
      </w:r>
      <w:r w:rsidR="00534366" w:rsidRPr="00E03B6D">
        <w:t xml:space="preserve"> </w:t>
      </w:r>
      <w:r w:rsidR="00534366">
        <w:t>(</w:t>
      </w:r>
      <w:r w:rsidRPr="00E03B6D">
        <w:t>GFR</w:t>
      </w:r>
      <w:r w:rsidR="00534366">
        <w:t>)</w:t>
      </w:r>
      <w:r w:rsidRPr="00E03B6D">
        <w:t xml:space="preserve"> to be included in the study), heart failure, treatment with renin-angiotensin -al</w:t>
      </w:r>
      <w:r w:rsidR="00B83803">
        <w:t>dosterone inhibitors, diabetes.</w:t>
      </w:r>
    </w:p>
    <w:p w14:paraId="38089BA7" w14:textId="17BE57E9" w:rsidR="00E03B6D" w:rsidRPr="00E03B6D" w:rsidRDefault="00E03B6D" w:rsidP="00E03B6D">
      <w:pPr>
        <w:pStyle w:val="Heading5"/>
      </w:pPr>
      <w:r w:rsidRPr="00E03B6D">
        <w:t xml:space="preserve">Use in acute </w:t>
      </w:r>
      <w:r w:rsidR="0090430C" w:rsidRPr="00E03B6D">
        <w:t>hyperkalaemia</w:t>
      </w:r>
    </w:p>
    <w:p w14:paraId="3D483919" w14:textId="77777777" w:rsidR="00E03B6D" w:rsidRPr="00E03B6D" w:rsidRDefault="00B83803" w:rsidP="00E03B6D">
      <w:pPr>
        <w:pStyle w:val="Heading6"/>
      </w:pPr>
      <w:r>
        <w:t>Study ZS-002</w:t>
      </w:r>
    </w:p>
    <w:p w14:paraId="16C34F59" w14:textId="77777777" w:rsidR="00E03B6D" w:rsidRPr="00E03B6D" w:rsidRDefault="00E03B6D" w:rsidP="00E03B6D">
      <w:r w:rsidRPr="00E03B6D">
        <w:t>Randomi</w:t>
      </w:r>
      <w:r w:rsidR="00B83803">
        <w:t xml:space="preserve">zed, </w:t>
      </w:r>
      <w:r w:rsidR="00534366">
        <w:t>placebo controlled</w:t>
      </w:r>
      <w:r w:rsidR="00B83803">
        <w:t xml:space="preserve">, double </w:t>
      </w:r>
      <w:r w:rsidRPr="00E03B6D">
        <w:t>blind, dose-escalating study, investigating safety, tolerability and pharmacodynamics of three different doses of ZS administered 3 times daily to patients with mild hyperkalaemia and moderate kidney dysfunction.</w:t>
      </w:r>
    </w:p>
    <w:p w14:paraId="5DC7C5F3" w14:textId="77777777" w:rsidR="00E03B6D" w:rsidRPr="00E03B6D" w:rsidRDefault="00B83803" w:rsidP="00E03B6D">
      <w:r>
        <w:t xml:space="preserve">Patients: had serum </w:t>
      </w:r>
      <w:r w:rsidR="00534366">
        <w:t>potassium</w:t>
      </w:r>
      <w:r>
        <w:t xml:space="preserve"> 5 to </w:t>
      </w:r>
      <w:r w:rsidR="00E03B6D" w:rsidRPr="00E03B6D">
        <w:t>6mmol/L and mode</w:t>
      </w:r>
      <w:r>
        <w:t xml:space="preserve">rate kidney dysfunction (GFR 40 to </w:t>
      </w:r>
      <w:r w:rsidR="00E03B6D" w:rsidRPr="00E03B6D">
        <w:t>60ml/min). Patients with ECG changes were excluded.</w:t>
      </w:r>
    </w:p>
    <w:p w14:paraId="5401D318" w14:textId="77777777" w:rsidR="00B83803" w:rsidRDefault="00E03B6D" w:rsidP="00B83803">
      <w:pPr>
        <w:pStyle w:val="Heading7"/>
      </w:pPr>
      <w:r w:rsidRPr="00E03B6D">
        <w:t>Treatment</w:t>
      </w:r>
    </w:p>
    <w:p w14:paraId="650C150F" w14:textId="77777777" w:rsidR="00E03B6D" w:rsidRPr="00E03B6D" w:rsidRDefault="00E03B6D" w:rsidP="00E03B6D">
      <w:r w:rsidRPr="00E03B6D">
        <w:t>ZS 0.3g, 3</w:t>
      </w:r>
      <w:r w:rsidR="00B83803">
        <w:t xml:space="preserve"> </w:t>
      </w:r>
      <w:proofErr w:type="gramStart"/>
      <w:r w:rsidRPr="00E03B6D">
        <w:t>g ,</w:t>
      </w:r>
      <w:proofErr w:type="gramEnd"/>
      <w:r w:rsidRPr="00E03B6D">
        <w:t xml:space="preserve"> 10</w:t>
      </w:r>
      <w:r w:rsidR="00B83803">
        <w:t xml:space="preserve"> </w:t>
      </w:r>
      <w:r w:rsidRPr="00E03B6D">
        <w:t xml:space="preserve">g or placebo three times a day. The placebo was </w:t>
      </w:r>
      <w:proofErr w:type="gramStart"/>
      <w:r w:rsidRPr="00E03B6D">
        <w:t xml:space="preserve">a </w:t>
      </w:r>
      <w:proofErr w:type="spellStart"/>
      <w:r w:rsidRPr="00E03B6D">
        <w:t>silicated</w:t>
      </w:r>
      <w:proofErr w:type="spellEnd"/>
      <w:proofErr w:type="gramEnd"/>
      <w:r w:rsidRPr="00E03B6D">
        <w:t xml:space="preserve"> microcrystalline cellulose (a common excipient</w:t>
      </w:r>
      <w:r w:rsidR="004102A0">
        <w:t>)</w:t>
      </w:r>
      <w:r w:rsidRPr="004102A0">
        <w:rPr>
          <w:vertAlign w:val="superscript"/>
        </w:rPr>
        <w:footnoteReference w:id="7"/>
      </w:r>
      <w:r w:rsidRPr="00E03B6D">
        <w:t>.</w:t>
      </w:r>
    </w:p>
    <w:p w14:paraId="1B90DC62" w14:textId="77777777" w:rsidR="00E03B6D" w:rsidRPr="00E03B6D" w:rsidRDefault="00E03B6D" w:rsidP="00E03B6D">
      <w:r w:rsidRPr="00E03B6D">
        <w:t>Fasting day 1, then ZS administered with meals. Duration of treatment 48-96 hours or until K normalised. Patients had blood taken at baseline, then every 30 minutes for 2 hours then every 4 hours until K normalised. They were monitored in a clinic setting. They had daily ECGs.</w:t>
      </w:r>
    </w:p>
    <w:p w14:paraId="1F635FB7" w14:textId="77777777" w:rsidR="00B83803" w:rsidRDefault="00B83803" w:rsidP="00B83803">
      <w:pPr>
        <w:pStyle w:val="Heading7"/>
      </w:pPr>
      <w:r>
        <w:t>Efficacy endpoints</w:t>
      </w:r>
    </w:p>
    <w:p w14:paraId="425BA73A" w14:textId="77777777" w:rsidR="00E03B6D" w:rsidRPr="00E03B6D" w:rsidRDefault="00B83803" w:rsidP="00E03B6D">
      <w:r>
        <w:t>S</w:t>
      </w:r>
      <w:r w:rsidR="00E03B6D" w:rsidRPr="00E03B6D">
        <w:t>erum K</w:t>
      </w:r>
    </w:p>
    <w:p w14:paraId="512B3B4E" w14:textId="77777777" w:rsidR="00E03B6D" w:rsidRPr="00E03B6D" w:rsidRDefault="00B83803" w:rsidP="00B83803">
      <w:pPr>
        <w:pStyle w:val="Heading7"/>
      </w:pPr>
      <w:r>
        <w:t>Results</w:t>
      </w:r>
    </w:p>
    <w:p w14:paraId="028EF402" w14:textId="77777777" w:rsidR="00E03B6D" w:rsidRDefault="0003038F" w:rsidP="00B83803">
      <w:pPr>
        <w:pStyle w:val="FigureTitle"/>
      </w:pPr>
      <w:r>
        <w:t xml:space="preserve">Figure </w:t>
      </w:r>
      <w:r w:rsidR="00861D1C">
        <w:t>2:</w:t>
      </w:r>
      <w:r>
        <w:t xml:space="preserve"> Mean serum potassium over 48 hours (ITT population). Study ZS-002</w:t>
      </w:r>
    </w:p>
    <w:p w14:paraId="4133ADF1" w14:textId="77777777" w:rsidR="00E03B6D" w:rsidRDefault="0003038F" w:rsidP="007B6132">
      <w:r>
        <w:rPr>
          <w:noProof/>
          <w:lang w:eastAsia="en-AU"/>
        </w:rPr>
        <w:drawing>
          <wp:inline distT="0" distB="0" distL="0" distR="0" wp14:anchorId="68B49EFB" wp14:editId="7443EF74">
            <wp:extent cx="4743450" cy="3000375"/>
            <wp:effectExtent l="0" t="0" r="0" b="9525"/>
            <wp:docPr id="4" name="Picture 4" descr="Figure 2: Mean serum potassium over 48 hours (ITT population). Study ZS-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43450" cy="3000375"/>
                    </a:xfrm>
                    <a:prstGeom prst="rect">
                      <a:avLst/>
                    </a:prstGeom>
                  </pic:spPr>
                </pic:pic>
              </a:graphicData>
            </a:graphic>
          </wp:inline>
        </w:drawing>
      </w:r>
    </w:p>
    <w:p w14:paraId="76A4DFC0" w14:textId="003D5E13" w:rsidR="0003038F" w:rsidRPr="0003038F" w:rsidRDefault="0003038F" w:rsidP="0003038F">
      <w:r w:rsidRPr="0003038F">
        <w:lastRenderedPageBreak/>
        <w:t xml:space="preserve">Other efficacy outcomes supported the result of the primary outcome. At 48 hours, the mean reduction in SK (placebo-subtracted) was 0.15 and 0.48 </w:t>
      </w:r>
      <w:proofErr w:type="spellStart"/>
      <w:r w:rsidRPr="0003038F">
        <w:t>mmol</w:t>
      </w:r>
      <w:proofErr w:type="spellEnd"/>
      <w:r w:rsidRPr="0003038F">
        <w:t xml:space="preserve">/L for the medium and high dose groups, respectively. The proportion of subjects with a </w:t>
      </w:r>
      <w:r w:rsidR="0047313A">
        <w:t xml:space="preserve">&gt; </w:t>
      </w:r>
      <w:r w:rsidRPr="0003038F">
        <w:t xml:space="preserve">1 </w:t>
      </w:r>
      <w:proofErr w:type="spellStart"/>
      <w:r w:rsidRPr="0003038F">
        <w:t>mmol</w:t>
      </w:r>
      <w:proofErr w:type="spellEnd"/>
      <w:r w:rsidRPr="0003038F">
        <w:t>/L reduction in SK was 41.7% for the high dose group, compared with 3.4% of the placebo subjects at the 38</w:t>
      </w:r>
      <w:r w:rsidR="0090430C">
        <w:t xml:space="preserve"> </w:t>
      </w:r>
      <w:r w:rsidRPr="0003038F">
        <w:t xml:space="preserve">hour time point. The time to a decrease of 0.5mmol/L in SK was significantly shorter in the high dose group compared with the placebo group, such that by 24 hours, over 70% of the ZS subjects had achieved this, compared with about 55% of the placebo group. Normalization of SK levels also occurred statistically significantly more rapidly in the ZS </w:t>
      </w:r>
      <w:r w:rsidR="006C0B8E">
        <w:t>10 g</w:t>
      </w:r>
      <w:r w:rsidRPr="0003038F">
        <w:t xml:space="preserve"> group compared with the placebo group.</w:t>
      </w:r>
    </w:p>
    <w:p w14:paraId="2E28BA7E" w14:textId="77777777" w:rsidR="0003038F" w:rsidRPr="0003038F" w:rsidRDefault="0003038F" w:rsidP="0003038F">
      <w:pPr>
        <w:pStyle w:val="Heading6"/>
      </w:pPr>
      <w:r w:rsidRPr="0003038F">
        <w:t>Study ZS-003</w:t>
      </w:r>
    </w:p>
    <w:p w14:paraId="6B87436B" w14:textId="77777777" w:rsidR="0003038F" w:rsidRPr="0003038F" w:rsidRDefault="0003038F" w:rsidP="0003038F">
      <w:r w:rsidRPr="0003038F">
        <w:t xml:space="preserve">This study was designed to examine both the acute lowering of SK (using a </w:t>
      </w:r>
      <w:r w:rsidR="00EB2815">
        <w:t>TDS</w:t>
      </w:r>
      <w:r w:rsidRPr="0003038F">
        <w:t xml:space="preserve"> dose for 48 hours) and the maintenance of normokalaemia (using a daily dose). It had a randomized, </w:t>
      </w:r>
      <w:r w:rsidR="00534366">
        <w:t>double blind</w:t>
      </w:r>
      <w:r w:rsidRPr="0003038F">
        <w:t xml:space="preserve">, </w:t>
      </w:r>
      <w:r w:rsidR="00534366">
        <w:t>placebo controlled</w:t>
      </w:r>
      <w:r w:rsidRPr="0003038F">
        <w:t xml:space="preserve"> design for the acute phase, with four different doses of ZS being given, and a randomized, </w:t>
      </w:r>
      <w:r w:rsidR="00534366">
        <w:t>double blind</w:t>
      </w:r>
      <w:r w:rsidRPr="0003038F">
        <w:t xml:space="preserve">, </w:t>
      </w:r>
      <w:r w:rsidR="00534366">
        <w:t>placebo controlled</w:t>
      </w:r>
      <w:r w:rsidRPr="0003038F">
        <w:t xml:space="preserve"> withdrawal design for the subacute phase, again testing four different doses of ZS. The subacute phase included subjects who had completed the acute phase and were normokalaemic after 48 hours of treatment with ZS or placebo. Those subjects who had received ZS in the acute phase were randomized to receive the same dose of ZS once daily or placebo, while those who had received placebo in the acute phase were randomized to receive ZS at a dose of either 1.2</w:t>
      </w:r>
      <w:r w:rsidR="006C0B8E">
        <w:t>5 g</w:t>
      </w:r>
      <w:r w:rsidRPr="0003038F">
        <w:t xml:space="preserve"> or 2.</w:t>
      </w:r>
      <w:r w:rsidR="006C0B8E">
        <w:t>5 g</w:t>
      </w:r>
      <w:r w:rsidRPr="0003038F">
        <w:t xml:space="preserve"> daily.</w:t>
      </w:r>
    </w:p>
    <w:p w14:paraId="3F32634C" w14:textId="45E14C55" w:rsidR="0003038F" w:rsidRPr="0003038F" w:rsidRDefault="0003038F" w:rsidP="0003038F">
      <w:r w:rsidRPr="0003038F">
        <w:t xml:space="preserve">Inclusion criteria were similar to study ZS-002. Monitoring </w:t>
      </w:r>
      <w:r w:rsidR="00842DB9">
        <w:t xml:space="preserve">was also </w:t>
      </w:r>
      <w:r w:rsidRPr="0003038F">
        <w:t>similar to ZS-002</w:t>
      </w:r>
      <w:r w:rsidR="0044295C">
        <w:t>.</w:t>
      </w:r>
    </w:p>
    <w:p w14:paraId="0B18252B" w14:textId="77777777" w:rsidR="0003038F" w:rsidRPr="0003038F" w:rsidRDefault="00EB2815" w:rsidP="00EB2815">
      <w:pPr>
        <w:pStyle w:val="Heading7"/>
      </w:pPr>
      <w:r>
        <w:t>Results</w:t>
      </w:r>
    </w:p>
    <w:p w14:paraId="38568BD5" w14:textId="4D4EB9CC" w:rsidR="00E03B6D" w:rsidRDefault="0003038F" w:rsidP="0003038F">
      <w:pPr>
        <w:pStyle w:val="TableTitle"/>
      </w:pPr>
      <w:r>
        <w:t xml:space="preserve">Table </w:t>
      </w:r>
      <w:r w:rsidR="0090430C">
        <w:t>7</w:t>
      </w:r>
      <w:r w:rsidR="00861D1C">
        <w:t>:</w:t>
      </w:r>
      <w:r>
        <w:t xml:space="preserve"> Acute Phase: percentage of normokalaemic subjects at 48 hours (ITT population) Study </w:t>
      </w:r>
      <w:r w:rsidRPr="0003038F">
        <w:t>ZS-003</w:t>
      </w:r>
    </w:p>
    <w:p w14:paraId="6B3F4078" w14:textId="77777777" w:rsidR="00E03B6D" w:rsidRDefault="0003038F" w:rsidP="007B6132">
      <w:r>
        <w:rPr>
          <w:noProof/>
          <w:lang w:eastAsia="en-AU"/>
        </w:rPr>
        <w:drawing>
          <wp:inline distT="0" distB="0" distL="0" distR="0" wp14:anchorId="6D462109" wp14:editId="2528CD5E">
            <wp:extent cx="5400040" cy="1047123"/>
            <wp:effectExtent l="0" t="0" r="0" b="635"/>
            <wp:docPr id="5" name="Picture 5" descr="Table 7: Acute Phase: percentage of normokalaemic subjects at 48 hours (ITT population) Study ZS-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1047123"/>
                    </a:xfrm>
                    <a:prstGeom prst="rect">
                      <a:avLst/>
                    </a:prstGeom>
                  </pic:spPr>
                </pic:pic>
              </a:graphicData>
            </a:graphic>
          </wp:inline>
        </w:drawing>
      </w:r>
    </w:p>
    <w:p w14:paraId="7499307B" w14:textId="77777777" w:rsidR="00EB2815" w:rsidRPr="00EB2815" w:rsidRDefault="00EB2815" w:rsidP="0003038F">
      <w:pPr>
        <w:rPr>
          <w:i/>
        </w:rPr>
      </w:pPr>
      <w:r w:rsidRPr="00EB2815">
        <w:rPr>
          <w:i/>
        </w:rPr>
        <w:t>Acute phase</w:t>
      </w:r>
    </w:p>
    <w:p w14:paraId="33E5C64F" w14:textId="603A981B" w:rsidR="0003038F" w:rsidRPr="0003038F" w:rsidRDefault="00EB2815" w:rsidP="0003038F">
      <w:r>
        <w:t>T</w:t>
      </w:r>
      <w:r w:rsidR="0003038F" w:rsidRPr="0003038F">
        <w:t xml:space="preserve">he percentage of subjects in each group who achieved normokalaemia at 48 hours showed a dose-response relationship and was statistically significantly different for the three higher ZS dosing groups compared with </w:t>
      </w:r>
      <w:r w:rsidR="0003038F" w:rsidRPr="00861D1C">
        <w:t xml:space="preserve">placebo (see Table </w:t>
      </w:r>
      <w:r w:rsidR="0090430C">
        <w:t>8</w:t>
      </w:r>
      <w:r w:rsidR="0003038F" w:rsidRPr="00861D1C">
        <w:t>).</w:t>
      </w:r>
    </w:p>
    <w:p w14:paraId="10F5A6A2" w14:textId="77777777" w:rsidR="00E03B6D" w:rsidRPr="0003038F" w:rsidRDefault="0003038F" w:rsidP="004F7E05">
      <w:pPr>
        <w:rPr>
          <w:i/>
        </w:rPr>
      </w:pPr>
      <w:r w:rsidRPr="0003038F">
        <w:rPr>
          <w:i/>
        </w:rPr>
        <w:t>Subacute Phase</w:t>
      </w:r>
    </w:p>
    <w:p w14:paraId="3B0657D7" w14:textId="42EA3999" w:rsidR="00E03B6D" w:rsidRDefault="00861D1C" w:rsidP="0044295C">
      <w:pPr>
        <w:pStyle w:val="Tabletitle0"/>
      </w:pPr>
      <w:r w:rsidRPr="00861D1C">
        <w:lastRenderedPageBreak/>
        <w:t xml:space="preserve">Table </w:t>
      </w:r>
      <w:r w:rsidR="0090430C">
        <w:t>8</w:t>
      </w:r>
      <w:r w:rsidRPr="00861D1C">
        <w:t>:</w:t>
      </w:r>
      <w:r w:rsidR="0003038F" w:rsidRPr="00861D1C">
        <w:t xml:space="preserve"> Subacute phase: total number of days normokalaemic; Subjects receiving</w:t>
      </w:r>
      <w:r w:rsidR="0003038F">
        <w:t xml:space="preserve"> </w:t>
      </w:r>
      <w:r w:rsidR="00EB2815">
        <w:t>ZS in acute phase</w:t>
      </w:r>
    </w:p>
    <w:p w14:paraId="7D64956A" w14:textId="77777777" w:rsidR="00E03B6D" w:rsidRDefault="0003038F" w:rsidP="007B6132">
      <w:r>
        <w:rPr>
          <w:noProof/>
          <w:lang w:eastAsia="en-AU"/>
        </w:rPr>
        <w:drawing>
          <wp:inline distT="0" distB="0" distL="0" distR="0" wp14:anchorId="3F744EAC" wp14:editId="6BFAFF3D">
            <wp:extent cx="5400040" cy="3525603"/>
            <wp:effectExtent l="0" t="0" r="0" b="0"/>
            <wp:docPr id="6" name="Picture 6" descr="Table 7: Subacute phase: total number of days normokalaemic; Subjects receiving ZS in acute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3525603"/>
                    </a:xfrm>
                    <a:prstGeom prst="rect">
                      <a:avLst/>
                    </a:prstGeom>
                  </pic:spPr>
                </pic:pic>
              </a:graphicData>
            </a:graphic>
          </wp:inline>
        </w:drawing>
      </w:r>
    </w:p>
    <w:p w14:paraId="16C4FA32" w14:textId="2EB06ABD" w:rsidR="00E03B6D" w:rsidRDefault="0003038F" w:rsidP="0044295C">
      <w:pPr>
        <w:pStyle w:val="Tabletitle0"/>
      </w:pPr>
      <w:r>
        <w:t xml:space="preserve">Table </w:t>
      </w:r>
      <w:r w:rsidR="0090430C">
        <w:t>9</w:t>
      </w:r>
      <w:r w:rsidR="00861D1C">
        <w:t>:</w:t>
      </w:r>
      <w:r w:rsidR="0044295C">
        <w:t xml:space="preserve"> </w:t>
      </w:r>
      <w:r>
        <w:t>Mean change in serum potassium from baseline at 48 hours overall and by baseline S-K (acute phase for Study EUZS-003, ITT population)</w:t>
      </w:r>
    </w:p>
    <w:p w14:paraId="1DBF1F37" w14:textId="77777777" w:rsidR="0003038F" w:rsidRDefault="0003038F" w:rsidP="007B6132">
      <w:r>
        <w:rPr>
          <w:noProof/>
          <w:lang w:eastAsia="en-AU"/>
        </w:rPr>
        <w:drawing>
          <wp:inline distT="0" distB="0" distL="0" distR="0" wp14:anchorId="171EB070" wp14:editId="27FA70F7">
            <wp:extent cx="5400040" cy="3213485"/>
            <wp:effectExtent l="0" t="0" r="0" b="6350"/>
            <wp:docPr id="7" name="Picture 7" descr="Table 9: Mean change in serum potassium from baseline at 48 hours overall and by baseline S-K (acute phase for Study EUZS-003,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brightnessContrast contrast="-40000"/>
                              </a14:imgEffect>
                            </a14:imgLayer>
                          </a14:imgProps>
                        </a:ext>
                      </a:extLst>
                    </a:blip>
                    <a:stretch>
                      <a:fillRect/>
                    </a:stretch>
                  </pic:blipFill>
                  <pic:spPr>
                    <a:xfrm>
                      <a:off x="0" y="0"/>
                      <a:ext cx="5400040" cy="3213485"/>
                    </a:xfrm>
                    <a:prstGeom prst="rect">
                      <a:avLst/>
                    </a:prstGeom>
                  </pic:spPr>
                </pic:pic>
              </a:graphicData>
            </a:graphic>
          </wp:inline>
        </w:drawing>
      </w:r>
    </w:p>
    <w:p w14:paraId="481D4CA8" w14:textId="77777777" w:rsidR="0003038F" w:rsidRDefault="0003038F" w:rsidP="0044295C">
      <w:pPr>
        <w:pStyle w:val="FigureTitle"/>
      </w:pPr>
      <w:r w:rsidRPr="0044295C">
        <w:lastRenderedPageBreak/>
        <w:t>Figure 3</w:t>
      </w:r>
      <w:r w:rsidR="00861D1C">
        <w:t>:</w:t>
      </w:r>
      <w:r w:rsidRPr="0044295C">
        <w:t xml:space="preserve"> Mean change in serum potassium from baseline at selected time points for ZS 10 g </w:t>
      </w:r>
      <w:r w:rsidR="00E557DC" w:rsidRPr="0044295C">
        <w:t>TDS</w:t>
      </w:r>
      <w:r w:rsidRPr="0044295C">
        <w:t xml:space="preserve"> in subjects with baseline serum potassium </w:t>
      </w:r>
      <w:r w:rsidR="0047313A" w:rsidRPr="0044295C">
        <w:t xml:space="preserve">≥ </w:t>
      </w:r>
      <w:proofErr w:type="gramStart"/>
      <w:r w:rsidRPr="0044295C">
        <w:t xml:space="preserve">6.0 </w:t>
      </w:r>
      <w:proofErr w:type="spellStart"/>
      <w:r w:rsidRPr="0044295C">
        <w:t>mmol</w:t>
      </w:r>
      <w:proofErr w:type="spellEnd"/>
      <w:r w:rsidRPr="0044295C">
        <w:t>/L (acute phase for studies EUZS-003 and ZS-004, ITT population)</w:t>
      </w:r>
      <w:proofErr w:type="gramEnd"/>
    </w:p>
    <w:p w14:paraId="2712B468" w14:textId="77777777" w:rsidR="0003038F" w:rsidRDefault="004102A0" w:rsidP="007B4BEB">
      <w:r>
        <w:rPr>
          <w:noProof/>
          <w:lang w:eastAsia="en-AU"/>
        </w:rPr>
        <w:drawing>
          <wp:inline distT="0" distB="0" distL="0" distR="0" wp14:anchorId="756A0B38" wp14:editId="003D5444">
            <wp:extent cx="5400040" cy="2465211"/>
            <wp:effectExtent l="0" t="0" r="0" b="0"/>
            <wp:docPr id="12" name="Picture 12" descr="Figure 3: Mean change in serum potassium from baseline at selected time points for ZS 10 g TDS in subjects with baseline serum potassium ≥ 6.0 mmol/L (acute phase for studies EUZS-003 and ZS-004,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2465211"/>
                    </a:xfrm>
                    <a:prstGeom prst="rect">
                      <a:avLst/>
                    </a:prstGeom>
                  </pic:spPr>
                </pic:pic>
              </a:graphicData>
            </a:graphic>
          </wp:inline>
        </w:drawing>
      </w:r>
    </w:p>
    <w:p w14:paraId="139FB86D" w14:textId="77777777" w:rsidR="00EB2815" w:rsidRPr="00EB2815" w:rsidRDefault="003B1047" w:rsidP="003B1047">
      <w:pPr>
        <w:rPr>
          <w:i/>
        </w:rPr>
      </w:pPr>
      <w:r w:rsidRPr="00EB2815">
        <w:rPr>
          <w:i/>
        </w:rPr>
        <w:t>Subacute phase</w:t>
      </w:r>
    </w:p>
    <w:p w14:paraId="7172DB60" w14:textId="77777777" w:rsidR="00886664" w:rsidRDefault="00EB2815" w:rsidP="003B1047">
      <w:r>
        <w:t>T</w:t>
      </w:r>
      <w:r w:rsidR="003B1047" w:rsidRPr="003B1047">
        <w:t>he total number of days of normokalaemia during the subacute phase was statistically significantly higher for the three higher ZS dosing groups compared with the corresponding placebo group. Patients with higher baseline K have greater reductions in K with ZS</w:t>
      </w:r>
      <w:r w:rsidR="00886664">
        <w:t>.</w:t>
      </w:r>
    </w:p>
    <w:p w14:paraId="5E56F167" w14:textId="77777777" w:rsidR="003B1047" w:rsidRPr="003B1047" w:rsidRDefault="003B1047" w:rsidP="003B1047">
      <w:pPr>
        <w:pStyle w:val="Heading6"/>
      </w:pPr>
      <w:r w:rsidRPr="003B1047">
        <w:t>ZS-004</w:t>
      </w:r>
    </w:p>
    <w:p w14:paraId="4877DC40" w14:textId="0DA5D4E5" w:rsidR="003B1047" w:rsidRPr="003B1047" w:rsidRDefault="003B1047" w:rsidP="003B1047">
      <w:r w:rsidRPr="003B1047">
        <w:t>This study had an open-label design in the acute phase to allow the safe enrolment of subjects with more severe hyperkalaemia than had been possible in the studies with a placebo group. In the acute phase, patients had daily bloods and ECG. Patients who had serum K over 6.1mmol/L were not able to leave the clinic, and were discontinued if the K had not responded to ZS after 48 hours. Subjects with serum K</w:t>
      </w:r>
      <w:r w:rsidR="004102A0">
        <w:t xml:space="preserve"> </w:t>
      </w:r>
      <w:r w:rsidR="0047313A">
        <w:t xml:space="preserve">&gt; </w:t>
      </w:r>
      <w:r w:rsidRPr="003B1047">
        <w:t xml:space="preserve">5.1mmol/L (no maximum) were enrolled in the study under the same entry criteria as described in </w:t>
      </w:r>
      <w:r w:rsidR="007643B1">
        <w:t>Attachment 1</w:t>
      </w:r>
      <w:r w:rsidRPr="004102A0">
        <w:t>.</w:t>
      </w:r>
      <w:r w:rsidR="00BE0DF4" w:rsidRPr="004102A0">
        <w:t xml:space="preserve"> </w:t>
      </w:r>
      <w:r w:rsidRPr="004102A0">
        <w:t xml:space="preserve">All were treated with ZS </w:t>
      </w:r>
      <w:r w:rsidR="006C0B8E" w:rsidRPr="004102A0">
        <w:t>10 g</w:t>
      </w:r>
      <w:r w:rsidRPr="004102A0">
        <w:t xml:space="preserve"> three times a day for 2 days (6 doses). Results</w:t>
      </w:r>
      <w:r w:rsidRPr="003B1047">
        <w:t xml:space="preserve"> showed that 66.1% of subjects had normal SK values by 24 hours after the first dose of ZS, and 88% had normal SK values at 48 hours after the first dose of ZS. The median time to normalization of SK values was approximately 2.2 hours after the first dose of ZS.</w:t>
      </w:r>
    </w:p>
    <w:p w14:paraId="3949694E" w14:textId="461EC082" w:rsidR="003B1047" w:rsidRPr="003B1047" w:rsidRDefault="003B1047" w:rsidP="003B1047">
      <w:pPr>
        <w:pStyle w:val="Heading5"/>
      </w:pPr>
      <w:r w:rsidRPr="003B1047">
        <w:t xml:space="preserve">Extended </w:t>
      </w:r>
      <w:r w:rsidR="007B4BEB" w:rsidRPr="003B1047">
        <w:t>treatment of hyperkalaemia</w:t>
      </w:r>
    </w:p>
    <w:p w14:paraId="505997F2" w14:textId="77777777" w:rsidR="003B1047" w:rsidRPr="003B1047" w:rsidRDefault="003B1047" w:rsidP="003B1047">
      <w:pPr>
        <w:pStyle w:val="Heading6"/>
      </w:pPr>
      <w:r w:rsidRPr="003B1047">
        <w:t>ZS-004</w:t>
      </w:r>
    </w:p>
    <w:p w14:paraId="18270B1D" w14:textId="77777777" w:rsidR="00886664" w:rsidRDefault="003B1047" w:rsidP="003B1047">
      <w:r w:rsidRPr="003B1047">
        <w:t xml:space="preserve">The study design to assess ongoing therapy was a randomized, </w:t>
      </w:r>
      <w:r w:rsidR="00534366">
        <w:t>placebo controlled</w:t>
      </w:r>
      <w:r w:rsidRPr="003B1047">
        <w:t xml:space="preserve">, </w:t>
      </w:r>
      <w:r w:rsidR="00534366">
        <w:t>double blind</w:t>
      </w:r>
      <w:r w:rsidRPr="003B1047">
        <w:t xml:space="preserve"> withdrawal approach. The objectives of the study</w:t>
      </w:r>
      <w:r w:rsidR="00BE0DF4">
        <w:t xml:space="preserve"> </w:t>
      </w:r>
      <w:r w:rsidRPr="003B1047">
        <w:t>were to evaluate the safety and efficacy of three different doses of ZS administered daily for 28 days in maintaining</w:t>
      </w:r>
      <w:r w:rsidR="004102A0">
        <w:t xml:space="preserve"> normokalaemia (3.5 to </w:t>
      </w:r>
      <w:r w:rsidRPr="003B1047">
        <w:t xml:space="preserve">5.0 </w:t>
      </w:r>
      <w:proofErr w:type="spellStart"/>
      <w:r w:rsidRPr="003B1047">
        <w:t>mmol</w:t>
      </w:r>
      <w:proofErr w:type="spellEnd"/>
      <w:r w:rsidRPr="003B1047">
        <w:t xml:space="preserve">/L) in subjects who had achieved normokalaemia following 2 days of acute therapy with ZS </w:t>
      </w:r>
      <w:r w:rsidR="006C0B8E">
        <w:t>10 g</w:t>
      </w:r>
      <w:r w:rsidRPr="003B1047">
        <w:t xml:space="preserve"> </w:t>
      </w:r>
      <w:r w:rsidR="00E557DC">
        <w:t>TDS</w:t>
      </w:r>
      <w:r w:rsidRPr="003B1047">
        <w:t>. The dose in the chronic phase was randomised as 5, 10 or 1</w:t>
      </w:r>
      <w:r w:rsidR="006C0B8E">
        <w:t>5 g</w:t>
      </w:r>
      <w:r w:rsidRPr="003B1047">
        <w:t xml:space="preserve"> once daily.</w:t>
      </w:r>
      <w:r w:rsidR="00BE0DF4">
        <w:t xml:space="preserve"> </w:t>
      </w:r>
      <w:r w:rsidRPr="003B1047">
        <w:t>The dose was decreased to every second day if serum potas</w:t>
      </w:r>
      <w:r w:rsidR="004102A0">
        <w:t xml:space="preserve">sium was 3 to </w:t>
      </w:r>
      <w:r w:rsidRPr="003B1047">
        <w:t xml:space="preserve">3.4mmol/L. Patients were withdrawn if the potassium was </w:t>
      </w:r>
      <w:r w:rsidR="004102A0">
        <w:t>&gt; </w:t>
      </w:r>
      <w:r w:rsidRPr="003B1047">
        <w:t>6.1 or &lt; 3.0 or there were ECG changes or arrhythmias</w:t>
      </w:r>
      <w:r w:rsidR="00886664">
        <w:t>.</w:t>
      </w:r>
    </w:p>
    <w:p w14:paraId="2CE2161A" w14:textId="77777777" w:rsidR="00886664" w:rsidRDefault="004102A0" w:rsidP="003B1047">
      <w:r>
        <w:t xml:space="preserve">Mean age ranged from 61.5 to </w:t>
      </w:r>
      <w:r w:rsidR="003B1047" w:rsidRPr="003B1047">
        <w:t>64.9 y</w:t>
      </w:r>
      <w:r>
        <w:t xml:space="preserve">ears, 51.8 to 71.4% male, 58.8 to </w:t>
      </w:r>
      <w:r w:rsidR="003B1047" w:rsidRPr="003B1047">
        <w:t xml:space="preserve">70.6% had </w:t>
      </w:r>
      <w:r>
        <w:t xml:space="preserve">chronic kidney disease, 57.8 to </w:t>
      </w:r>
      <w:r w:rsidR="003B1047" w:rsidRPr="003B1047">
        <w:t>74</w:t>
      </w:r>
      <w:r>
        <w:t xml:space="preserve">.5% had diabetes mellitus, 58.9 to </w:t>
      </w:r>
      <w:r w:rsidR="003B1047" w:rsidRPr="003B1047">
        <w:t xml:space="preserve">73.3% on </w:t>
      </w:r>
      <w:r>
        <w:t>renin-angiotensin aldosterone system</w:t>
      </w:r>
      <w:r w:rsidRPr="003B1047">
        <w:t xml:space="preserve"> </w:t>
      </w:r>
      <w:r>
        <w:t>(</w:t>
      </w:r>
      <w:r w:rsidR="003B1047" w:rsidRPr="003B1047">
        <w:t>RAAS</w:t>
      </w:r>
      <w:r>
        <w:t>)</w:t>
      </w:r>
      <w:r w:rsidR="003B1047" w:rsidRPr="003B1047">
        <w:t xml:space="preserve"> inhibitor medication</w:t>
      </w:r>
      <w:r w:rsidR="00886664">
        <w:t>.</w:t>
      </w:r>
    </w:p>
    <w:p w14:paraId="7876B09E" w14:textId="77777777" w:rsidR="003B1047" w:rsidRPr="003B1047" w:rsidRDefault="003B1047" w:rsidP="003B1047">
      <w:r w:rsidRPr="003B1047">
        <w:t xml:space="preserve">The main efficacy endpoint was the mean </w:t>
      </w:r>
      <w:r w:rsidR="004102A0">
        <w:t xml:space="preserve">change in serum potassium from Day 8 to </w:t>
      </w:r>
      <w:r w:rsidRPr="003B1047">
        <w:t>29.</w:t>
      </w:r>
    </w:p>
    <w:p w14:paraId="7C62A10B" w14:textId="11EC5B7A" w:rsidR="003B1047" w:rsidRPr="003B1047" w:rsidRDefault="003B1047" w:rsidP="003B1047">
      <w:r w:rsidRPr="003B1047">
        <w:lastRenderedPageBreak/>
        <w:t>The mean SK for the period between Days 8 and 29 of the Maintenance phase was statistically significantly lower in all ZS groups compared with placebo (</w:t>
      </w:r>
      <w:r w:rsidRPr="003E2483">
        <w:t xml:space="preserve">Table </w:t>
      </w:r>
      <w:r w:rsidR="0090430C">
        <w:t>10</w:t>
      </w:r>
      <w:r w:rsidRPr="003B1047">
        <w:t>), with an appar</w:t>
      </w:r>
      <w:r w:rsidR="004102A0">
        <w:t>ent dose-response relationship (</w:t>
      </w:r>
      <w:r w:rsidRPr="00861D1C">
        <w:t xml:space="preserve">Table </w:t>
      </w:r>
      <w:r w:rsidR="0090430C">
        <w:t>10</w:t>
      </w:r>
      <w:r w:rsidRPr="00861D1C">
        <w:t xml:space="preserve"> and Figure </w:t>
      </w:r>
      <w:r w:rsidR="00861D1C" w:rsidRPr="00861D1C">
        <w:t>4</w:t>
      </w:r>
      <w:r w:rsidRPr="00861D1C">
        <w:t>).</w:t>
      </w:r>
    </w:p>
    <w:p w14:paraId="6EC928BE" w14:textId="77777777" w:rsidR="003B1047" w:rsidRPr="003B1047" w:rsidRDefault="003B1047" w:rsidP="003B1047">
      <w:pPr>
        <w:pStyle w:val="Heading6"/>
      </w:pPr>
      <w:r w:rsidRPr="003B1047">
        <w:t>ZS-004E</w:t>
      </w:r>
    </w:p>
    <w:p w14:paraId="362CE3B4" w14:textId="77777777" w:rsidR="003B1047" w:rsidRPr="003B1047" w:rsidRDefault="003B1047" w:rsidP="003B1047">
      <w:r w:rsidRPr="003B1047">
        <w:t>This study was available to subjects who completed Study ZS-004, and continued treatment for up to eleven months. The initial protocol specified treatment duration of 56 days, and 15 subjects terminated at this point. An amendment increased the duration to 140 days, and 7 completed the study at this point, and 57 subjects completed 336 days of treatment under a third amendment.</w:t>
      </w:r>
    </w:p>
    <w:p w14:paraId="732852C5" w14:textId="77777777" w:rsidR="003B1047" w:rsidRPr="003B1047" w:rsidRDefault="003B1047" w:rsidP="003B1047">
      <w:r w:rsidRPr="003B1047">
        <w:t xml:space="preserve">The primary efficacy endpoint was the proportion of subjects with average SK </w:t>
      </w:r>
      <w:r w:rsidR="0047313A">
        <w:t xml:space="preserve">≤ </w:t>
      </w:r>
      <w:r w:rsidR="004102A0">
        <w:t xml:space="preserve">5.1 during Study Days 8 to </w:t>
      </w:r>
      <w:r w:rsidRPr="003B1047">
        <w:t>337.</w:t>
      </w:r>
      <w:r w:rsidR="00BE0DF4">
        <w:t xml:space="preserve"> </w:t>
      </w:r>
      <w:r w:rsidRPr="003B1047">
        <w:t xml:space="preserve">A total of 88.3% of subjects maintained an average SK of </w:t>
      </w:r>
      <w:r w:rsidR="004102A0">
        <w:t>≤ </w:t>
      </w:r>
      <w:r w:rsidRPr="003B1047">
        <w:t>5.1mmol/L throughout the study.</w:t>
      </w:r>
    </w:p>
    <w:p w14:paraId="6CFC3C5C" w14:textId="337E19DC" w:rsidR="0003038F" w:rsidRDefault="003B1047" w:rsidP="003B1047">
      <w:pPr>
        <w:pStyle w:val="TableTitle"/>
      </w:pPr>
      <w:r w:rsidRPr="00861D1C">
        <w:t xml:space="preserve">Table </w:t>
      </w:r>
      <w:r w:rsidR="0090430C">
        <w:t>10</w:t>
      </w:r>
      <w:r w:rsidR="00861D1C" w:rsidRPr="00861D1C">
        <w:t>:</w:t>
      </w:r>
      <w:r>
        <w:t xml:space="preserve"> Mean SK between Study Days 8 to 29 (ITT population)</w:t>
      </w:r>
    </w:p>
    <w:p w14:paraId="23A48BBC" w14:textId="77777777" w:rsidR="0003038F" w:rsidRDefault="003B1047" w:rsidP="007B6132">
      <w:r>
        <w:rPr>
          <w:noProof/>
          <w:lang w:eastAsia="en-AU"/>
        </w:rPr>
        <w:drawing>
          <wp:inline distT="0" distB="0" distL="0" distR="0" wp14:anchorId="4BD65DFD" wp14:editId="338506D2">
            <wp:extent cx="5400040" cy="1696743"/>
            <wp:effectExtent l="0" t="0" r="0" b="0"/>
            <wp:docPr id="9" name="Picture 9" descr="Table 10: Mean SK between Study Days 8 to 29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1696743"/>
                    </a:xfrm>
                    <a:prstGeom prst="rect">
                      <a:avLst/>
                    </a:prstGeom>
                  </pic:spPr>
                </pic:pic>
              </a:graphicData>
            </a:graphic>
          </wp:inline>
        </w:drawing>
      </w:r>
    </w:p>
    <w:p w14:paraId="7A917DF1" w14:textId="77777777" w:rsidR="004102A0" w:rsidRDefault="003B1047" w:rsidP="004102A0">
      <w:pPr>
        <w:pStyle w:val="FigureTitle"/>
      </w:pPr>
      <w:r>
        <w:lastRenderedPageBreak/>
        <w:t xml:space="preserve">Figure </w:t>
      </w:r>
      <w:r w:rsidR="00861D1C">
        <w:t>4:</w:t>
      </w:r>
      <w:r w:rsidR="004102A0">
        <w:t xml:space="preserve"> Mean serum potassium over time in three dosing groups compared with placebo (Study ZS-004). Note that all patients received active treatment in the acute phase and were then randomized to four dosing groups (Placebo, ZS 5g, ZS 10g, ZS 15g daily)</w:t>
      </w:r>
    </w:p>
    <w:p w14:paraId="3A996DCD" w14:textId="77777777" w:rsidR="003B1047" w:rsidRDefault="003B1047" w:rsidP="007B6132">
      <w:r>
        <w:rPr>
          <w:noProof/>
          <w:lang w:eastAsia="en-AU"/>
        </w:rPr>
        <w:drawing>
          <wp:inline distT="0" distB="0" distL="0" distR="0" wp14:anchorId="37001C3F" wp14:editId="1A48802B">
            <wp:extent cx="5400040" cy="3988299"/>
            <wp:effectExtent l="0" t="0" r="0" b="0"/>
            <wp:docPr id="10" name="Picture 10" descr="Figure 4: Mean serum potassium over time in three dosing groups compared with placebo (Study ZS-004). Note that all patients received active treatment in the acute phase and were then randomized to four dosing groups (Placebo, ZS 5g, ZS 10g, ZS 15g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3988299"/>
                    </a:xfrm>
                    <a:prstGeom prst="rect">
                      <a:avLst/>
                    </a:prstGeom>
                  </pic:spPr>
                </pic:pic>
              </a:graphicData>
            </a:graphic>
          </wp:inline>
        </w:drawing>
      </w:r>
    </w:p>
    <w:p w14:paraId="2B163701" w14:textId="77777777" w:rsidR="003B1047" w:rsidRPr="003B1047" w:rsidRDefault="003B1047" w:rsidP="003B1047">
      <w:pPr>
        <w:pStyle w:val="Heading4"/>
      </w:pPr>
      <w:r w:rsidRPr="003B1047">
        <w:t>Safety</w:t>
      </w:r>
    </w:p>
    <w:p w14:paraId="0E48D990" w14:textId="77777777" w:rsidR="003B1047" w:rsidRPr="003B1047" w:rsidRDefault="003B1047" w:rsidP="003B1047">
      <w:r w:rsidRPr="003B1047">
        <w:t>A total of 1,592 subjects had been exposed to ZS during th</w:t>
      </w:r>
      <w:r w:rsidR="004102A0">
        <w:t>e clinical trials as at 15 July </w:t>
      </w:r>
      <w:r w:rsidRPr="003B1047">
        <w:t>2015. Of these, 1,102 subjects had received ZS once daily during extended dosing phases, with 579 treated for at least 30 days, 264 for at least 6 months, 98 for at least 9 months and 40 for 12 months.</w:t>
      </w:r>
    </w:p>
    <w:p w14:paraId="1BCF25A2" w14:textId="77777777" w:rsidR="003B1047" w:rsidRPr="003B1047" w:rsidRDefault="003B1047" w:rsidP="003B1047">
      <w:r w:rsidRPr="003B1047">
        <w:t xml:space="preserve">In the acute phase clinical studies, 331 patients were exposed to </w:t>
      </w:r>
      <w:r w:rsidR="0047313A">
        <w:t xml:space="preserve">≤ </w:t>
      </w:r>
      <w:r w:rsidRPr="003B1047">
        <w:t xml:space="preserve">3g </w:t>
      </w:r>
      <w:r w:rsidR="004102A0">
        <w:t>TDS</w:t>
      </w:r>
      <w:r w:rsidRPr="003B1047">
        <w:t xml:space="preserve">, 157 to </w:t>
      </w:r>
      <w:r w:rsidR="006C0B8E">
        <w:t>5 g</w:t>
      </w:r>
      <w:r w:rsidRPr="003B1047">
        <w:t xml:space="preserve"> </w:t>
      </w:r>
      <w:r w:rsidR="004102A0">
        <w:t>TDS</w:t>
      </w:r>
      <w:r w:rsidRPr="003B1047">
        <w:t xml:space="preserve">, and 425 to </w:t>
      </w:r>
      <w:r w:rsidR="006C0B8E">
        <w:t>10 g</w:t>
      </w:r>
      <w:r w:rsidRPr="003B1047">
        <w:t xml:space="preserve"> </w:t>
      </w:r>
      <w:r w:rsidR="004102A0">
        <w:t>TDS</w:t>
      </w:r>
      <w:r w:rsidRPr="003B1047">
        <w:t xml:space="preserve"> (the proposed acute phase dose). In the extended phase studies, 199 subjects were exposed to </w:t>
      </w:r>
      <w:r w:rsidR="0047313A">
        <w:t xml:space="preserve">≤ </w:t>
      </w:r>
      <w:r w:rsidRPr="003B1047">
        <w:t>2.</w:t>
      </w:r>
      <w:r w:rsidR="006C0B8E">
        <w:t>5 g</w:t>
      </w:r>
      <w:r w:rsidRPr="003B1047">
        <w:t xml:space="preserve"> daily, 110 to </w:t>
      </w:r>
      <w:r w:rsidR="006C0B8E">
        <w:t>5 g</w:t>
      </w:r>
      <w:r w:rsidRPr="003B1047">
        <w:t xml:space="preserve"> daily, 114 to </w:t>
      </w:r>
      <w:r w:rsidR="006C0B8E">
        <w:t>10 g</w:t>
      </w:r>
      <w:r w:rsidRPr="003B1047">
        <w:t xml:space="preserve"> daily and 56 to 1</w:t>
      </w:r>
      <w:r w:rsidR="006C0B8E">
        <w:t>5 g</w:t>
      </w:r>
      <w:r w:rsidRPr="003B1047">
        <w:t xml:space="preserve"> daily.</w:t>
      </w:r>
    </w:p>
    <w:p w14:paraId="74E373CB" w14:textId="77777777" w:rsidR="003B1047" w:rsidRPr="003B1047" w:rsidRDefault="003B1047" w:rsidP="003B1047">
      <w:pPr>
        <w:pStyle w:val="Heading5"/>
      </w:pPr>
      <w:r w:rsidRPr="003B1047">
        <w:t>Acute phase trea</w:t>
      </w:r>
      <w:r w:rsidR="00EB2815">
        <w:t>tment</w:t>
      </w:r>
    </w:p>
    <w:p w14:paraId="54DE1893" w14:textId="77777777" w:rsidR="003B1047" w:rsidRPr="003B1047" w:rsidRDefault="003B1047" w:rsidP="003B1047">
      <w:r w:rsidRPr="003B1047">
        <w:t>In Study ZS-002, the overall incidence of TEAEs was 20% in the combined ZS groups compared with 10% in the placebo group. The commonest TEAE in both groups were GI disorders, including nausea, vomiting, diarrhoea and constipation. Combining the acute phase groups from Studies ZS-002, EUZS-003 and ZS-004 gave the following rates for any event by dose group: Placebo (n</w:t>
      </w:r>
      <w:r w:rsidR="004102A0">
        <w:t xml:space="preserve"> </w:t>
      </w:r>
      <w:r w:rsidRPr="003B1047">
        <w:t>=</w:t>
      </w:r>
      <w:r w:rsidR="004102A0">
        <w:t xml:space="preserve"> </w:t>
      </w:r>
      <w:r w:rsidRPr="003B1047">
        <w:t>188)</w:t>
      </w:r>
      <w:r w:rsidR="00BE0DF4">
        <w:t xml:space="preserve"> </w:t>
      </w:r>
      <w:r w:rsidRPr="003B1047">
        <w:t>10.6%; ZS</w:t>
      </w:r>
      <w:r w:rsidR="004102A0">
        <w:t xml:space="preserve"> </w:t>
      </w:r>
      <w:r w:rsidR="0047313A">
        <w:t xml:space="preserve">≤ </w:t>
      </w:r>
      <w:r w:rsidRPr="003B1047">
        <w:t xml:space="preserve">3g </w:t>
      </w:r>
      <w:r w:rsidR="004102A0">
        <w:t>TDS</w:t>
      </w:r>
      <w:r w:rsidRPr="003B1047">
        <w:t xml:space="preserve"> (</w:t>
      </w:r>
      <w:r w:rsidR="004102A0">
        <w:t xml:space="preserve">n = </w:t>
      </w:r>
      <w:r w:rsidRPr="003B1047">
        <w:t xml:space="preserve">331) 12.4%; ZS </w:t>
      </w:r>
      <w:r w:rsidR="006C0B8E">
        <w:t>5 g</w:t>
      </w:r>
      <w:r w:rsidRPr="003B1047">
        <w:t xml:space="preserve"> </w:t>
      </w:r>
      <w:r w:rsidR="004102A0">
        <w:t>TDS</w:t>
      </w:r>
      <w:r w:rsidRPr="003B1047">
        <w:t xml:space="preserve"> (</w:t>
      </w:r>
      <w:r w:rsidR="004102A0">
        <w:t xml:space="preserve">n = </w:t>
      </w:r>
      <w:r w:rsidRPr="003B1047">
        <w:t xml:space="preserve">157) 14.0%, ZS </w:t>
      </w:r>
      <w:r w:rsidR="006C0B8E">
        <w:t>10 g</w:t>
      </w:r>
      <w:r w:rsidRPr="003B1047">
        <w:t xml:space="preserve"> </w:t>
      </w:r>
      <w:r w:rsidR="00E70BC5">
        <w:t>TDS</w:t>
      </w:r>
      <w:r w:rsidRPr="003B1047">
        <w:t xml:space="preserve"> (</w:t>
      </w:r>
      <w:r w:rsidR="004102A0">
        <w:t xml:space="preserve">n = </w:t>
      </w:r>
      <w:r w:rsidRPr="003B1047">
        <w:t>425) 10.4%. The commonest reported event in all groups was diarrhoea, with the reported rates being 2.1%, 2.4%, 1.9% and 1.2% respectively. Thus there was l</w:t>
      </w:r>
      <w:r w:rsidR="004102A0">
        <w:t xml:space="preserve">ittle difference between the ZS </w:t>
      </w:r>
      <w:r w:rsidRPr="003B1047">
        <w:t>treated groups and the placebo group.</w:t>
      </w:r>
    </w:p>
    <w:p w14:paraId="6761938B" w14:textId="77777777" w:rsidR="003B1047" w:rsidRPr="003B1047" w:rsidRDefault="00EB2815" w:rsidP="003B1047">
      <w:pPr>
        <w:pStyle w:val="Heading5"/>
      </w:pPr>
      <w:r>
        <w:lastRenderedPageBreak/>
        <w:t>Extended treatment</w:t>
      </w:r>
    </w:p>
    <w:p w14:paraId="25663B07" w14:textId="77777777" w:rsidR="003B1047" w:rsidRPr="003B1047" w:rsidRDefault="003B1047" w:rsidP="003B1047">
      <w:r w:rsidRPr="003B1047">
        <w:t>The overall incidence of TEAEs in the combined safety populations of Studies EUZS-003 and ZS-004 was 26.6% for the placebo group (</w:t>
      </w:r>
      <w:r w:rsidR="004102A0">
        <w:t xml:space="preserve">n = </w:t>
      </w:r>
      <w:r w:rsidRPr="003B1047">
        <w:t xml:space="preserve">310), 23.6% for the ZS </w:t>
      </w:r>
      <w:r w:rsidR="0047313A">
        <w:t xml:space="preserve">≤ </w:t>
      </w:r>
      <w:r w:rsidRPr="003B1047">
        <w:t>2.</w:t>
      </w:r>
      <w:r w:rsidR="006C0B8E">
        <w:t>5 g</w:t>
      </w:r>
      <w:r w:rsidRPr="003B1047">
        <w:t xml:space="preserve"> daily group (</w:t>
      </w:r>
      <w:r w:rsidR="004102A0">
        <w:t xml:space="preserve">n = </w:t>
      </w:r>
      <w:r w:rsidRPr="003B1047">
        <w:t xml:space="preserve">199), 34.5% for the ZS </w:t>
      </w:r>
      <w:r w:rsidR="006C0B8E">
        <w:t>5 g</w:t>
      </w:r>
      <w:r w:rsidRPr="003B1047">
        <w:t xml:space="preserve"> daily group (</w:t>
      </w:r>
      <w:r w:rsidR="004102A0">
        <w:t xml:space="preserve">n = </w:t>
      </w:r>
      <w:r w:rsidRPr="003B1047">
        <w:t xml:space="preserve">110), 31.6% for the ZS </w:t>
      </w:r>
      <w:r w:rsidR="006C0B8E">
        <w:t>10 g</w:t>
      </w:r>
      <w:r w:rsidRPr="003B1047">
        <w:t xml:space="preserve"> daily group (</w:t>
      </w:r>
      <w:r w:rsidR="004102A0">
        <w:t xml:space="preserve">n = </w:t>
      </w:r>
      <w:r w:rsidRPr="003B1047">
        <w:t>114) and 44.6% for the ZS 1</w:t>
      </w:r>
      <w:r w:rsidR="006C0B8E">
        <w:t>5 g</w:t>
      </w:r>
      <w:r w:rsidRPr="003B1047">
        <w:t xml:space="preserve"> daily group. Thus there appeared to be a higher incidence in the 1</w:t>
      </w:r>
      <w:r w:rsidR="006C0B8E">
        <w:t>5 g</w:t>
      </w:r>
      <w:r w:rsidRPr="003B1047">
        <w:t xml:space="preserve"> group, with a higher incidence of peripheral oedema, infections and infestations. The latter were primarily nasopharyngitis and influenza and were not regarded as related to study drug.</w:t>
      </w:r>
    </w:p>
    <w:p w14:paraId="5DF334DD" w14:textId="07B2CBCA" w:rsidR="003B1047" w:rsidRDefault="003B1047" w:rsidP="003B1047">
      <w:pPr>
        <w:pStyle w:val="TableTitle"/>
      </w:pPr>
      <w:r>
        <w:t xml:space="preserve">Table </w:t>
      </w:r>
      <w:r w:rsidR="00861D1C">
        <w:t>1</w:t>
      </w:r>
      <w:r w:rsidR="0090430C">
        <w:t>1</w:t>
      </w:r>
      <w:r w:rsidR="00861D1C">
        <w:t>:</w:t>
      </w:r>
      <w:r>
        <w:t xml:space="preserve"> Combined data: extended dosing. Overall summary of treatment emergent adverse events by system organ class (Safety population Studies EUZS-0</w:t>
      </w:r>
      <w:r w:rsidR="00861D1C">
        <w:t>03 and ZS</w:t>
      </w:r>
      <w:r w:rsidR="00861D1C">
        <w:noBreakHyphen/>
      </w:r>
      <w:r>
        <w:t>004)</w:t>
      </w:r>
    </w:p>
    <w:p w14:paraId="563FDA66" w14:textId="77777777" w:rsidR="003B1047" w:rsidRDefault="003B1047" w:rsidP="00861D1C">
      <w:r w:rsidRPr="00861D1C">
        <w:rPr>
          <w:noProof/>
          <w:lang w:eastAsia="en-AU"/>
        </w:rPr>
        <w:drawing>
          <wp:inline distT="0" distB="0" distL="0" distR="0" wp14:anchorId="6A69BEF2" wp14:editId="223FB5CE">
            <wp:extent cx="5400040" cy="3623681"/>
            <wp:effectExtent l="0" t="0" r="0" b="0"/>
            <wp:docPr id="11" name="Picture 11" descr="Table 11: Combined data: extended dosing. Overall summary of treatment emergent adverse events by system organ class (Safety population Studies EUZS-003 and ZS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3623681"/>
                    </a:xfrm>
                    <a:prstGeom prst="rect">
                      <a:avLst/>
                    </a:prstGeom>
                  </pic:spPr>
                </pic:pic>
              </a:graphicData>
            </a:graphic>
          </wp:inline>
        </w:drawing>
      </w:r>
    </w:p>
    <w:p w14:paraId="6AAA6C45" w14:textId="77777777" w:rsidR="003B1047" w:rsidRDefault="004102A0" w:rsidP="003B1047">
      <w:pPr>
        <w:pStyle w:val="Heading6"/>
      </w:pPr>
      <w:r>
        <w:t>ECG</w:t>
      </w:r>
    </w:p>
    <w:p w14:paraId="27087E84" w14:textId="77777777" w:rsidR="003B1047" w:rsidRPr="003B1047" w:rsidRDefault="004102A0" w:rsidP="003B1047">
      <w:r>
        <w:t xml:space="preserve">A thorough study of heart </w:t>
      </w:r>
      <w:r w:rsidR="003B1047" w:rsidRPr="003B1047">
        <w:t>rate corrected QT (</w:t>
      </w:r>
      <w:proofErr w:type="spellStart"/>
      <w:r w:rsidR="003B1047" w:rsidRPr="003B1047">
        <w:t>QTc</w:t>
      </w:r>
      <w:proofErr w:type="spellEnd"/>
      <w:r w:rsidR="003B1047" w:rsidRPr="003B1047">
        <w:t xml:space="preserve">) interval in healthy volunteers was not considered necessary by the CHMP. However, comprehensive measurements of </w:t>
      </w:r>
      <w:proofErr w:type="spellStart"/>
      <w:r w:rsidR="003B1047" w:rsidRPr="003B1047">
        <w:t>QTc</w:t>
      </w:r>
      <w:proofErr w:type="spellEnd"/>
      <w:r w:rsidR="003B1047" w:rsidRPr="003B1047">
        <w:t xml:space="preserve"> intervals were performed throughout the clinical studies.</w:t>
      </w:r>
      <w:r w:rsidR="00BE0DF4">
        <w:t xml:space="preserve"> </w:t>
      </w:r>
      <w:r w:rsidR="003B1047" w:rsidRPr="003B1047">
        <w:t xml:space="preserve">As ZS is not systemically absorbed, a direct effect of ZS on cardiac conduction is extremely unlikely and the minor dose-dependent change in </w:t>
      </w:r>
      <w:proofErr w:type="spellStart"/>
      <w:r w:rsidR="003B1047" w:rsidRPr="003B1047">
        <w:t>QTc</w:t>
      </w:r>
      <w:proofErr w:type="spellEnd"/>
      <w:r w:rsidR="00EB2815">
        <w:t xml:space="preserve"> </w:t>
      </w:r>
      <w:r w:rsidR="003B1047" w:rsidRPr="003B1047">
        <w:t xml:space="preserve">phase in several studies, consistent with the lowering of SK; however, the increase was minor and no cases of cardiac arrhythmias or sudden unexpected cardiac deaths were observed. There were no changes in </w:t>
      </w:r>
      <w:proofErr w:type="spellStart"/>
      <w:r w:rsidR="003B1047" w:rsidRPr="003B1047">
        <w:t>QTc</w:t>
      </w:r>
      <w:proofErr w:type="spellEnd"/>
      <w:r w:rsidR="003B1047" w:rsidRPr="003B1047">
        <w:t xml:space="preserve"> during extended dosing.</w:t>
      </w:r>
    </w:p>
    <w:p w14:paraId="0BEA5391" w14:textId="77777777" w:rsidR="003B1047" w:rsidRPr="003B1047" w:rsidRDefault="003B1047" w:rsidP="003B1047">
      <w:r w:rsidRPr="003B1047">
        <w:t>Pooled results from the pivotal studies showed</w:t>
      </w:r>
      <w:r w:rsidR="004102A0">
        <w:t xml:space="preserve"> no clinically significant dose </w:t>
      </w:r>
      <w:r w:rsidRPr="003B1047">
        <w:t xml:space="preserve">related changes in the acute phase in PR interval, QRS duration or heart rate. There were mean increases in </w:t>
      </w:r>
      <w:proofErr w:type="spellStart"/>
      <w:r w:rsidRPr="003B1047">
        <w:t>QTc</w:t>
      </w:r>
      <w:proofErr w:type="spellEnd"/>
      <w:r w:rsidRPr="003B1047">
        <w:t xml:space="preserve"> interval, with an apparent dose-related effect. The mean increases were 0.1 </w:t>
      </w:r>
      <w:proofErr w:type="spellStart"/>
      <w:r w:rsidRPr="003B1047">
        <w:t>msec</w:t>
      </w:r>
      <w:proofErr w:type="spellEnd"/>
      <w:r w:rsidRPr="003B1047">
        <w:t xml:space="preserve"> for the placebo group, 4.2 </w:t>
      </w:r>
      <w:proofErr w:type="spellStart"/>
      <w:r w:rsidRPr="003B1047">
        <w:t>msec</w:t>
      </w:r>
      <w:proofErr w:type="spellEnd"/>
      <w:r w:rsidRPr="003B1047">
        <w:t xml:space="preserve"> for the ZS </w:t>
      </w:r>
      <w:r w:rsidR="006C0B8E">
        <w:t>5 g</w:t>
      </w:r>
      <w:r w:rsidRPr="003B1047">
        <w:t xml:space="preserve"> </w:t>
      </w:r>
      <w:r w:rsidR="004102A0">
        <w:t xml:space="preserve">TDS group, and 9.1 </w:t>
      </w:r>
      <w:proofErr w:type="spellStart"/>
      <w:r w:rsidR="004102A0">
        <w:t>msec</w:t>
      </w:r>
      <w:proofErr w:type="spellEnd"/>
      <w:r w:rsidR="004102A0">
        <w:t xml:space="preserve"> for the ZS </w:t>
      </w:r>
      <w:r w:rsidR="006C0B8E">
        <w:t>10 g</w:t>
      </w:r>
      <w:r w:rsidRPr="003B1047">
        <w:t xml:space="preserve"> </w:t>
      </w:r>
      <w:r w:rsidR="004102A0">
        <w:t>TDS</w:t>
      </w:r>
      <w:r w:rsidRPr="003B1047">
        <w:t xml:space="preserve"> group. Further analysis of subjects with potentially clinically significant changes in </w:t>
      </w:r>
      <w:proofErr w:type="spellStart"/>
      <w:r w:rsidRPr="003B1047">
        <w:t>QTc</w:t>
      </w:r>
      <w:proofErr w:type="spellEnd"/>
      <w:r w:rsidRPr="003B1047">
        <w:t xml:space="preserve"> was carried out, finding only one subject in the placebo group and five (1.2%) in the ZS </w:t>
      </w:r>
      <w:r w:rsidR="006C0B8E">
        <w:t>10 g</w:t>
      </w:r>
      <w:r w:rsidRPr="003B1047">
        <w:t xml:space="preserve"> </w:t>
      </w:r>
      <w:r w:rsidR="004102A0">
        <w:t>TDS</w:t>
      </w:r>
      <w:r w:rsidRPr="003B1047">
        <w:t xml:space="preserve"> group reaching a maximum </w:t>
      </w:r>
      <w:proofErr w:type="spellStart"/>
      <w:r w:rsidRPr="003B1047">
        <w:t>QTc</w:t>
      </w:r>
      <w:proofErr w:type="spellEnd"/>
      <w:r w:rsidRPr="003B1047">
        <w:t xml:space="preserve"> interval </w:t>
      </w:r>
      <w:r w:rsidR="0047313A">
        <w:t xml:space="preserve">&gt; </w:t>
      </w:r>
      <w:r w:rsidRPr="003B1047">
        <w:t xml:space="preserve">500 msec. A total of four subjects (one in the placebo group and 3 in the ZS </w:t>
      </w:r>
      <w:r w:rsidR="006C0B8E">
        <w:t>10 g</w:t>
      </w:r>
      <w:r w:rsidRPr="003B1047">
        <w:t xml:space="preserve"> </w:t>
      </w:r>
      <w:r w:rsidR="004102A0">
        <w:t>TDS</w:t>
      </w:r>
      <w:r w:rsidRPr="003B1047">
        <w:t xml:space="preserve"> group) reached the ECG criteria for withdrawal (increase from baseline in </w:t>
      </w:r>
      <w:proofErr w:type="spellStart"/>
      <w:r w:rsidRPr="003B1047">
        <w:t>QTc</w:t>
      </w:r>
      <w:proofErr w:type="spellEnd"/>
      <w:r w:rsidRPr="003B1047">
        <w:t xml:space="preserve"> of </w:t>
      </w:r>
      <w:r w:rsidR="0047313A">
        <w:t xml:space="preserve">&gt; </w:t>
      </w:r>
      <w:r w:rsidRPr="003B1047">
        <w:t xml:space="preserve">30 </w:t>
      </w:r>
      <w:proofErr w:type="spellStart"/>
      <w:r w:rsidRPr="003B1047">
        <w:t>msec</w:t>
      </w:r>
      <w:proofErr w:type="spellEnd"/>
      <w:r w:rsidRPr="003B1047">
        <w:t xml:space="preserve">, with a corresponding </w:t>
      </w:r>
      <w:proofErr w:type="spellStart"/>
      <w:r w:rsidRPr="003B1047">
        <w:lastRenderedPageBreak/>
        <w:t>QTc</w:t>
      </w:r>
      <w:proofErr w:type="spellEnd"/>
      <w:r w:rsidRPr="003B1047">
        <w:t xml:space="preserve"> interval of </w:t>
      </w:r>
      <w:r w:rsidR="0047313A">
        <w:t xml:space="preserve">&gt; </w:t>
      </w:r>
      <w:r w:rsidRPr="003B1047">
        <w:t xml:space="preserve">500 </w:t>
      </w:r>
      <w:proofErr w:type="spellStart"/>
      <w:r w:rsidRPr="003B1047">
        <w:t>msec</w:t>
      </w:r>
      <w:proofErr w:type="spellEnd"/>
      <w:r w:rsidRPr="003B1047">
        <w:t xml:space="preserve">). Overall the changes in </w:t>
      </w:r>
      <w:proofErr w:type="spellStart"/>
      <w:r w:rsidRPr="003B1047">
        <w:t>QTc</w:t>
      </w:r>
      <w:proofErr w:type="spellEnd"/>
      <w:r w:rsidRPr="003B1047">
        <w:t xml:space="preserve"> were very small and unlikely to be clinically significant except in the presence of pre-existing abnormalities.</w:t>
      </w:r>
    </w:p>
    <w:p w14:paraId="37948B56" w14:textId="77777777" w:rsidR="003B1047" w:rsidRPr="003B1047" w:rsidRDefault="004102A0" w:rsidP="003B1047">
      <w:pPr>
        <w:pStyle w:val="Heading6"/>
      </w:pPr>
      <w:r>
        <w:t>Peripheral oedema</w:t>
      </w:r>
    </w:p>
    <w:p w14:paraId="58B23BC8" w14:textId="77777777" w:rsidR="003B1047" w:rsidRPr="003B1047" w:rsidRDefault="003B1047" w:rsidP="003B1047">
      <w:r w:rsidRPr="003B1047">
        <w:t>Peripheral oedema was reported during extended dosing in Studies EUZS-003 and ZS-004, and was most frequent in the ZS 1</w:t>
      </w:r>
      <w:r w:rsidR="006C0B8E">
        <w:t>5 g</w:t>
      </w:r>
      <w:r w:rsidRPr="003B1047">
        <w:t xml:space="preserve"> daily group (14.3%) compared with rates in the placebo (1.7%), ZS </w:t>
      </w:r>
      <w:r w:rsidR="0047313A">
        <w:t xml:space="preserve">≤ </w:t>
      </w:r>
      <w:r w:rsidRPr="003B1047">
        <w:t xml:space="preserve">2.5 g daily (1.0%), ZS </w:t>
      </w:r>
      <w:r w:rsidR="006C0B8E">
        <w:t>5 g</w:t>
      </w:r>
      <w:r w:rsidRPr="003B1047">
        <w:t xml:space="preserve"> daily (0.9%) and ZS 10 g daily (5.3%). It is speculated that release of sodium from the ZS matrix may contribute.</w:t>
      </w:r>
    </w:p>
    <w:p w14:paraId="48AC43D1" w14:textId="77777777" w:rsidR="003B1047" w:rsidRPr="003B1047" w:rsidRDefault="003B1047" w:rsidP="003B1047">
      <w:pPr>
        <w:pStyle w:val="Heading6"/>
      </w:pPr>
      <w:r>
        <w:t>H</w:t>
      </w:r>
      <w:r w:rsidRPr="003B1047">
        <w:t>ypokalaemia</w:t>
      </w:r>
    </w:p>
    <w:p w14:paraId="13B292CD" w14:textId="77777777" w:rsidR="003B1047" w:rsidRPr="003B1047" w:rsidRDefault="003B1047" w:rsidP="003B1047">
      <w:r w:rsidRPr="003B1047">
        <w:t>An increased incidence of hypokalaemia was observed with ZS compared to placebo, although the rate was generally low (2.5% in the combined population receiving ZS in studies ZS-002, EUZDS-003, ZS-004 and ZS-004E [</w:t>
      </w:r>
      <w:r w:rsidR="004102A0">
        <w:t xml:space="preserve">n = </w:t>
      </w:r>
      <w:r w:rsidRPr="003B1047">
        <w:t>913]). Only one of these subjects developed moderate hypokalaemia (SK &lt;</w:t>
      </w:r>
      <w:r w:rsidR="004102A0">
        <w:t xml:space="preserve"> </w:t>
      </w:r>
      <w:r w:rsidRPr="003B1047">
        <w:t xml:space="preserve">3.0 </w:t>
      </w:r>
      <w:proofErr w:type="spellStart"/>
      <w:r w:rsidRPr="003B1047">
        <w:t>mmol</w:t>
      </w:r>
      <w:proofErr w:type="spellEnd"/>
      <w:r w:rsidRPr="003B1047">
        <w:t>/L), and no cases of severe hypokalaemia were reported.</w:t>
      </w:r>
    </w:p>
    <w:p w14:paraId="44B68F33" w14:textId="77777777" w:rsidR="008E7846" w:rsidRDefault="00386150" w:rsidP="007B6132">
      <w:pPr>
        <w:pStyle w:val="Heading3"/>
        <w:rPr>
          <w:lang w:eastAsia="en-AU"/>
        </w:rPr>
      </w:pPr>
      <w:bookmarkStart w:id="145" w:name="_Toc505252948"/>
      <w:r>
        <w:rPr>
          <w:lang w:eastAsia="en-AU"/>
        </w:rPr>
        <w:t>Risk m</w:t>
      </w:r>
      <w:r w:rsidR="008E7846">
        <w:rPr>
          <w:lang w:eastAsia="en-AU"/>
        </w:rPr>
        <w:t xml:space="preserve">anagement </w:t>
      </w:r>
      <w:r>
        <w:rPr>
          <w:lang w:eastAsia="en-AU"/>
        </w:rPr>
        <w:t>p</w:t>
      </w:r>
      <w:r w:rsidR="008E7846">
        <w:rPr>
          <w:lang w:eastAsia="en-AU"/>
        </w:rPr>
        <w:t>lan</w:t>
      </w:r>
      <w:bookmarkEnd w:id="144"/>
      <w:bookmarkEnd w:id="145"/>
    </w:p>
    <w:p w14:paraId="2AA0715E" w14:textId="2528E3BB" w:rsidR="003B1047" w:rsidRDefault="004102A0" w:rsidP="003B1047">
      <w:r>
        <w:t xml:space="preserve">The RMP for </w:t>
      </w:r>
      <w:r w:rsidR="003B1047" w:rsidRPr="003B1047">
        <w:t>ZS was discussed at ACSOM</w:t>
      </w:r>
      <w:r w:rsidR="00C51A1B">
        <w:t xml:space="preserve">. Table </w:t>
      </w:r>
      <w:r w:rsidR="0090430C">
        <w:t>12</w:t>
      </w:r>
      <w:r w:rsidR="009C74C7">
        <w:t xml:space="preserve"> shows a summary of the identified safety concerns.</w:t>
      </w:r>
    </w:p>
    <w:p w14:paraId="6829F4D1" w14:textId="36C601B1" w:rsidR="004102A0" w:rsidRDefault="0090430C" w:rsidP="003E2483">
      <w:pPr>
        <w:pStyle w:val="TableTitle"/>
      </w:pPr>
      <w:proofErr w:type="gramStart"/>
      <w:r>
        <w:t>Table 12</w:t>
      </w:r>
      <w:r w:rsidR="009C74C7">
        <w:t>: Summary of safety concerns.</w:t>
      </w:r>
      <w:proofErr w:type="gramEnd"/>
    </w:p>
    <w:tbl>
      <w:tblPr>
        <w:tblStyle w:val="TableTGAblue"/>
        <w:tblW w:w="8626" w:type="dxa"/>
        <w:tblLayout w:type="fixed"/>
        <w:tblLook w:val="04A0" w:firstRow="1" w:lastRow="0" w:firstColumn="1" w:lastColumn="0" w:noHBand="0" w:noVBand="1"/>
      </w:tblPr>
      <w:tblGrid>
        <w:gridCol w:w="1209"/>
        <w:gridCol w:w="3294"/>
        <w:gridCol w:w="1134"/>
        <w:gridCol w:w="992"/>
        <w:gridCol w:w="1042"/>
        <w:gridCol w:w="955"/>
      </w:tblGrid>
      <w:tr w:rsidR="00937F7C" w:rsidRPr="007B77A0" w14:paraId="1309F108" w14:textId="77777777" w:rsidTr="007B4BEB">
        <w:trPr>
          <w:cnfStyle w:val="100000000000" w:firstRow="1" w:lastRow="0" w:firstColumn="0" w:lastColumn="0" w:oddVBand="0" w:evenVBand="0" w:oddHBand="0" w:evenHBand="0" w:firstRowFirstColumn="0" w:firstRowLastColumn="0" w:lastRowFirstColumn="0" w:lastRowLastColumn="0"/>
          <w:trHeight w:val="129"/>
        </w:trPr>
        <w:tc>
          <w:tcPr>
            <w:tcW w:w="4503" w:type="dxa"/>
            <w:gridSpan w:val="2"/>
            <w:vMerge w:val="restart"/>
          </w:tcPr>
          <w:p w14:paraId="2CA1F5AE" w14:textId="77777777" w:rsidR="00937F7C" w:rsidRPr="007B77A0" w:rsidRDefault="00937F7C" w:rsidP="00E54E4F">
            <w:pPr>
              <w:ind w:left="0"/>
              <w:rPr>
                <w:sz w:val="20"/>
                <w:szCs w:val="20"/>
              </w:rPr>
            </w:pPr>
            <w:r w:rsidRPr="007B77A0">
              <w:rPr>
                <w:sz w:val="20"/>
                <w:szCs w:val="20"/>
              </w:rPr>
              <w:t>Summary of safety concerns</w:t>
            </w:r>
          </w:p>
        </w:tc>
        <w:tc>
          <w:tcPr>
            <w:tcW w:w="2126" w:type="dxa"/>
            <w:gridSpan w:val="2"/>
          </w:tcPr>
          <w:p w14:paraId="5C5AE26F" w14:textId="77777777" w:rsidR="00937F7C" w:rsidRPr="007B77A0" w:rsidRDefault="00937F7C" w:rsidP="00E54E4F">
            <w:pPr>
              <w:ind w:left="0"/>
              <w:rPr>
                <w:sz w:val="20"/>
                <w:szCs w:val="20"/>
              </w:rPr>
            </w:pPr>
            <w:r w:rsidRPr="007B77A0">
              <w:rPr>
                <w:sz w:val="20"/>
                <w:szCs w:val="20"/>
              </w:rPr>
              <w:t>Pharmacovigilance</w:t>
            </w:r>
          </w:p>
        </w:tc>
        <w:tc>
          <w:tcPr>
            <w:tcW w:w="1997" w:type="dxa"/>
            <w:gridSpan w:val="2"/>
          </w:tcPr>
          <w:p w14:paraId="25ADAE71" w14:textId="77777777" w:rsidR="00937F7C" w:rsidRPr="007B77A0" w:rsidRDefault="00937F7C" w:rsidP="00E54E4F">
            <w:pPr>
              <w:ind w:left="0"/>
              <w:rPr>
                <w:sz w:val="20"/>
                <w:szCs w:val="20"/>
              </w:rPr>
            </w:pPr>
            <w:r w:rsidRPr="007B77A0">
              <w:rPr>
                <w:sz w:val="20"/>
                <w:szCs w:val="20"/>
              </w:rPr>
              <w:t>Risk Minimisation</w:t>
            </w:r>
          </w:p>
        </w:tc>
      </w:tr>
      <w:tr w:rsidR="00937F7C" w:rsidRPr="007B77A0" w14:paraId="515B4FF0" w14:textId="77777777" w:rsidTr="007B4BEB">
        <w:trPr>
          <w:cnfStyle w:val="100000000000" w:firstRow="1" w:lastRow="0" w:firstColumn="0" w:lastColumn="0" w:oddVBand="0" w:evenVBand="0" w:oddHBand="0" w:evenHBand="0" w:firstRowFirstColumn="0" w:firstRowLastColumn="0" w:lastRowFirstColumn="0" w:lastRowLastColumn="0"/>
          <w:trHeight w:val="148"/>
        </w:trPr>
        <w:tc>
          <w:tcPr>
            <w:tcW w:w="4503" w:type="dxa"/>
            <w:gridSpan w:val="2"/>
            <w:vMerge/>
          </w:tcPr>
          <w:p w14:paraId="7F707A6C" w14:textId="77777777" w:rsidR="00937F7C" w:rsidRPr="007B77A0" w:rsidRDefault="00937F7C" w:rsidP="00E54E4F">
            <w:pPr>
              <w:ind w:left="0"/>
              <w:rPr>
                <w:sz w:val="20"/>
                <w:szCs w:val="20"/>
              </w:rPr>
            </w:pPr>
          </w:p>
        </w:tc>
        <w:tc>
          <w:tcPr>
            <w:tcW w:w="1134" w:type="dxa"/>
          </w:tcPr>
          <w:p w14:paraId="19157C1F" w14:textId="77777777" w:rsidR="00937F7C" w:rsidRPr="007B77A0" w:rsidRDefault="00937F7C" w:rsidP="00E54E4F">
            <w:pPr>
              <w:ind w:left="0"/>
              <w:rPr>
                <w:sz w:val="20"/>
                <w:szCs w:val="20"/>
              </w:rPr>
            </w:pPr>
            <w:r w:rsidRPr="007B77A0">
              <w:rPr>
                <w:sz w:val="20"/>
                <w:szCs w:val="20"/>
              </w:rPr>
              <w:t>Routine</w:t>
            </w:r>
          </w:p>
        </w:tc>
        <w:tc>
          <w:tcPr>
            <w:tcW w:w="992" w:type="dxa"/>
          </w:tcPr>
          <w:p w14:paraId="6847608A" w14:textId="77777777" w:rsidR="00937F7C" w:rsidRPr="007B77A0" w:rsidRDefault="00937F7C" w:rsidP="00E54E4F">
            <w:pPr>
              <w:ind w:left="0"/>
              <w:rPr>
                <w:sz w:val="20"/>
                <w:szCs w:val="20"/>
              </w:rPr>
            </w:pPr>
            <w:r w:rsidRPr="007B77A0">
              <w:rPr>
                <w:sz w:val="20"/>
                <w:szCs w:val="20"/>
              </w:rPr>
              <w:t>Additional</w:t>
            </w:r>
          </w:p>
        </w:tc>
        <w:tc>
          <w:tcPr>
            <w:tcW w:w="1042" w:type="dxa"/>
          </w:tcPr>
          <w:p w14:paraId="154F7F94" w14:textId="77777777" w:rsidR="00937F7C" w:rsidRPr="007B77A0" w:rsidRDefault="00937F7C" w:rsidP="00E54E4F">
            <w:pPr>
              <w:ind w:left="0"/>
              <w:rPr>
                <w:sz w:val="20"/>
                <w:szCs w:val="20"/>
              </w:rPr>
            </w:pPr>
            <w:r w:rsidRPr="007B77A0">
              <w:rPr>
                <w:sz w:val="20"/>
                <w:szCs w:val="20"/>
              </w:rPr>
              <w:t>Routine</w:t>
            </w:r>
          </w:p>
        </w:tc>
        <w:tc>
          <w:tcPr>
            <w:tcW w:w="955" w:type="dxa"/>
          </w:tcPr>
          <w:p w14:paraId="25DE0465" w14:textId="77777777" w:rsidR="00937F7C" w:rsidRPr="007B77A0" w:rsidRDefault="00937F7C" w:rsidP="00E54E4F">
            <w:pPr>
              <w:ind w:left="0"/>
              <w:rPr>
                <w:sz w:val="20"/>
                <w:szCs w:val="20"/>
              </w:rPr>
            </w:pPr>
            <w:r w:rsidRPr="007B77A0">
              <w:rPr>
                <w:sz w:val="20"/>
                <w:szCs w:val="20"/>
              </w:rPr>
              <w:t>Additional</w:t>
            </w:r>
          </w:p>
        </w:tc>
      </w:tr>
      <w:tr w:rsidR="00937F7C" w:rsidRPr="007B77A0" w14:paraId="41D3DB37" w14:textId="77777777" w:rsidTr="007B77A0">
        <w:trPr>
          <w:trHeight w:val="135"/>
        </w:trPr>
        <w:tc>
          <w:tcPr>
            <w:tcW w:w="1209" w:type="dxa"/>
            <w:vMerge w:val="restart"/>
          </w:tcPr>
          <w:p w14:paraId="37167B56" w14:textId="77777777" w:rsidR="00937F7C" w:rsidRPr="007B77A0" w:rsidRDefault="00937F7C" w:rsidP="00E54E4F">
            <w:pPr>
              <w:ind w:left="0"/>
              <w:rPr>
                <w:sz w:val="20"/>
                <w:szCs w:val="20"/>
              </w:rPr>
            </w:pPr>
            <w:r w:rsidRPr="007B77A0">
              <w:rPr>
                <w:sz w:val="20"/>
                <w:szCs w:val="20"/>
              </w:rPr>
              <w:t>Important identified risks</w:t>
            </w:r>
          </w:p>
        </w:tc>
        <w:tc>
          <w:tcPr>
            <w:tcW w:w="3294" w:type="dxa"/>
          </w:tcPr>
          <w:p w14:paraId="74866137" w14:textId="77777777" w:rsidR="00937F7C" w:rsidRPr="007B77A0" w:rsidRDefault="00937F7C" w:rsidP="00E54E4F">
            <w:pPr>
              <w:ind w:left="0"/>
              <w:rPr>
                <w:sz w:val="20"/>
                <w:szCs w:val="20"/>
              </w:rPr>
            </w:pPr>
            <w:r w:rsidRPr="007B77A0">
              <w:rPr>
                <w:sz w:val="20"/>
                <w:szCs w:val="20"/>
              </w:rPr>
              <w:t>Hypersensitivity to sodium zirconium cyclosilicate</w:t>
            </w:r>
          </w:p>
        </w:tc>
        <w:tc>
          <w:tcPr>
            <w:tcW w:w="1134" w:type="dxa"/>
          </w:tcPr>
          <w:p w14:paraId="624C660D" w14:textId="77777777" w:rsidR="00937F7C" w:rsidRPr="007B77A0" w:rsidRDefault="00937F7C" w:rsidP="00E54E4F">
            <w:pPr>
              <w:ind w:left="0"/>
              <w:rPr>
                <w:sz w:val="20"/>
                <w:szCs w:val="20"/>
              </w:rPr>
            </w:pPr>
            <w:r w:rsidRPr="007B77A0">
              <w:rPr>
                <w:sz w:val="20"/>
                <w:szCs w:val="20"/>
              </w:rPr>
              <w:sym w:font="Wingdings" w:char="F0FC"/>
            </w:r>
          </w:p>
        </w:tc>
        <w:tc>
          <w:tcPr>
            <w:tcW w:w="992" w:type="dxa"/>
          </w:tcPr>
          <w:p w14:paraId="27F3F04B" w14:textId="77777777" w:rsidR="00937F7C" w:rsidRPr="007B77A0" w:rsidRDefault="00937F7C" w:rsidP="00E54E4F">
            <w:pPr>
              <w:ind w:left="0"/>
              <w:rPr>
                <w:sz w:val="20"/>
                <w:szCs w:val="20"/>
              </w:rPr>
            </w:pPr>
            <w:r w:rsidRPr="007B77A0">
              <w:rPr>
                <w:sz w:val="20"/>
                <w:szCs w:val="20"/>
              </w:rPr>
              <w:t>-</w:t>
            </w:r>
          </w:p>
        </w:tc>
        <w:tc>
          <w:tcPr>
            <w:tcW w:w="1042" w:type="dxa"/>
          </w:tcPr>
          <w:p w14:paraId="5456327B" w14:textId="77777777" w:rsidR="00937F7C" w:rsidRPr="007B77A0" w:rsidRDefault="00937F7C" w:rsidP="00E54E4F">
            <w:pPr>
              <w:ind w:left="0"/>
              <w:rPr>
                <w:sz w:val="20"/>
                <w:szCs w:val="20"/>
              </w:rPr>
            </w:pPr>
            <w:r w:rsidRPr="007B77A0">
              <w:rPr>
                <w:sz w:val="20"/>
                <w:szCs w:val="20"/>
              </w:rPr>
              <w:sym w:font="Wingdings" w:char="F0FC"/>
            </w:r>
          </w:p>
        </w:tc>
        <w:tc>
          <w:tcPr>
            <w:tcW w:w="955" w:type="dxa"/>
          </w:tcPr>
          <w:p w14:paraId="09DB6C3B" w14:textId="77777777" w:rsidR="00937F7C" w:rsidRPr="007B77A0" w:rsidRDefault="00937F7C" w:rsidP="00E54E4F">
            <w:pPr>
              <w:ind w:left="0"/>
              <w:rPr>
                <w:sz w:val="20"/>
                <w:szCs w:val="20"/>
              </w:rPr>
            </w:pPr>
            <w:r w:rsidRPr="007B77A0">
              <w:rPr>
                <w:sz w:val="20"/>
                <w:szCs w:val="20"/>
              </w:rPr>
              <w:t>-</w:t>
            </w:r>
          </w:p>
        </w:tc>
      </w:tr>
      <w:tr w:rsidR="00937F7C" w:rsidRPr="007B77A0" w14:paraId="32564776" w14:textId="77777777" w:rsidTr="007B77A0">
        <w:trPr>
          <w:trHeight w:val="93"/>
        </w:trPr>
        <w:tc>
          <w:tcPr>
            <w:tcW w:w="1209" w:type="dxa"/>
            <w:vMerge/>
          </w:tcPr>
          <w:p w14:paraId="778DA744" w14:textId="77777777" w:rsidR="00937F7C" w:rsidRPr="007B77A0" w:rsidRDefault="00937F7C" w:rsidP="00E54E4F">
            <w:pPr>
              <w:ind w:left="0"/>
              <w:rPr>
                <w:sz w:val="20"/>
                <w:szCs w:val="20"/>
              </w:rPr>
            </w:pPr>
          </w:p>
        </w:tc>
        <w:tc>
          <w:tcPr>
            <w:tcW w:w="3294" w:type="dxa"/>
          </w:tcPr>
          <w:p w14:paraId="1056D730" w14:textId="77777777" w:rsidR="00937F7C" w:rsidRPr="007B77A0" w:rsidRDefault="00937F7C" w:rsidP="00E54E4F">
            <w:pPr>
              <w:ind w:left="0"/>
              <w:rPr>
                <w:sz w:val="20"/>
                <w:szCs w:val="20"/>
              </w:rPr>
            </w:pPr>
            <w:r w:rsidRPr="007B77A0">
              <w:rPr>
                <w:sz w:val="20"/>
                <w:szCs w:val="20"/>
              </w:rPr>
              <w:t>Transient hypokalaemia</w:t>
            </w:r>
          </w:p>
        </w:tc>
        <w:tc>
          <w:tcPr>
            <w:tcW w:w="1134" w:type="dxa"/>
          </w:tcPr>
          <w:p w14:paraId="6E8A0D19" w14:textId="77777777" w:rsidR="00937F7C" w:rsidRPr="007B77A0" w:rsidRDefault="00937F7C" w:rsidP="00E54E4F">
            <w:pPr>
              <w:ind w:left="0"/>
              <w:rPr>
                <w:sz w:val="20"/>
                <w:szCs w:val="20"/>
              </w:rPr>
            </w:pPr>
            <w:r w:rsidRPr="007B77A0">
              <w:rPr>
                <w:sz w:val="20"/>
                <w:szCs w:val="20"/>
              </w:rPr>
              <w:sym w:font="Wingdings" w:char="F0FC"/>
            </w:r>
          </w:p>
        </w:tc>
        <w:tc>
          <w:tcPr>
            <w:tcW w:w="992" w:type="dxa"/>
          </w:tcPr>
          <w:p w14:paraId="41256EEB" w14:textId="77777777" w:rsidR="00937F7C" w:rsidRPr="007B77A0" w:rsidRDefault="00937F7C" w:rsidP="00E54E4F">
            <w:pPr>
              <w:ind w:left="0"/>
              <w:rPr>
                <w:sz w:val="20"/>
                <w:szCs w:val="20"/>
              </w:rPr>
            </w:pPr>
            <w:r w:rsidRPr="007B77A0">
              <w:rPr>
                <w:sz w:val="20"/>
                <w:szCs w:val="20"/>
              </w:rPr>
              <w:t>-</w:t>
            </w:r>
          </w:p>
        </w:tc>
        <w:tc>
          <w:tcPr>
            <w:tcW w:w="1042" w:type="dxa"/>
          </w:tcPr>
          <w:p w14:paraId="541D0A82" w14:textId="77777777" w:rsidR="00937F7C" w:rsidRPr="007B77A0" w:rsidRDefault="00937F7C" w:rsidP="00E54E4F">
            <w:pPr>
              <w:ind w:left="0"/>
              <w:rPr>
                <w:sz w:val="20"/>
                <w:szCs w:val="20"/>
              </w:rPr>
            </w:pPr>
            <w:r w:rsidRPr="007B77A0">
              <w:rPr>
                <w:sz w:val="20"/>
                <w:szCs w:val="20"/>
              </w:rPr>
              <w:sym w:font="Wingdings" w:char="F0FC"/>
            </w:r>
          </w:p>
        </w:tc>
        <w:tc>
          <w:tcPr>
            <w:tcW w:w="955" w:type="dxa"/>
          </w:tcPr>
          <w:p w14:paraId="7928EE98" w14:textId="77777777" w:rsidR="00937F7C" w:rsidRPr="007B77A0" w:rsidRDefault="00937F7C" w:rsidP="00E54E4F">
            <w:pPr>
              <w:ind w:left="0"/>
              <w:rPr>
                <w:sz w:val="20"/>
                <w:szCs w:val="20"/>
              </w:rPr>
            </w:pPr>
            <w:r w:rsidRPr="007B77A0">
              <w:rPr>
                <w:sz w:val="20"/>
                <w:szCs w:val="20"/>
              </w:rPr>
              <w:t>-</w:t>
            </w:r>
          </w:p>
        </w:tc>
      </w:tr>
      <w:tr w:rsidR="00937F7C" w:rsidRPr="007B77A0" w14:paraId="5F40CF1D" w14:textId="77777777" w:rsidTr="007B77A0">
        <w:trPr>
          <w:trHeight w:val="93"/>
        </w:trPr>
        <w:tc>
          <w:tcPr>
            <w:tcW w:w="1209" w:type="dxa"/>
            <w:vMerge/>
          </w:tcPr>
          <w:p w14:paraId="330058A7" w14:textId="77777777" w:rsidR="00937F7C" w:rsidRPr="007B77A0" w:rsidRDefault="00937F7C" w:rsidP="00E54E4F">
            <w:pPr>
              <w:ind w:left="0"/>
              <w:rPr>
                <w:sz w:val="20"/>
                <w:szCs w:val="20"/>
              </w:rPr>
            </w:pPr>
          </w:p>
        </w:tc>
        <w:tc>
          <w:tcPr>
            <w:tcW w:w="3294" w:type="dxa"/>
          </w:tcPr>
          <w:p w14:paraId="2F55CFE4" w14:textId="77777777" w:rsidR="00937F7C" w:rsidRPr="007B77A0" w:rsidRDefault="00937F7C" w:rsidP="007B77A0">
            <w:pPr>
              <w:ind w:left="0"/>
              <w:rPr>
                <w:sz w:val="20"/>
                <w:szCs w:val="20"/>
              </w:rPr>
            </w:pPr>
            <w:r w:rsidRPr="007B77A0">
              <w:rPr>
                <w:sz w:val="20"/>
                <w:szCs w:val="20"/>
              </w:rPr>
              <w:t>Oedema “Fluid overload”</w:t>
            </w:r>
            <w:r w:rsidR="007B77A0" w:rsidRPr="007B77A0">
              <w:rPr>
                <w:sz w:val="20"/>
                <w:szCs w:val="20"/>
                <w:vertAlign w:val="superscript"/>
              </w:rPr>
              <w:t>@</w:t>
            </w:r>
          </w:p>
        </w:tc>
        <w:tc>
          <w:tcPr>
            <w:tcW w:w="1134" w:type="dxa"/>
          </w:tcPr>
          <w:p w14:paraId="0A1533C6" w14:textId="77777777" w:rsidR="00937F7C" w:rsidRPr="007B77A0" w:rsidRDefault="00937F7C" w:rsidP="00E54E4F">
            <w:pPr>
              <w:ind w:left="0"/>
              <w:rPr>
                <w:sz w:val="20"/>
                <w:szCs w:val="20"/>
              </w:rPr>
            </w:pPr>
            <w:r w:rsidRPr="007B77A0">
              <w:rPr>
                <w:sz w:val="20"/>
                <w:szCs w:val="20"/>
              </w:rPr>
              <w:sym w:font="Wingdings" w:char="F0FC"/>
            </w:r>
          </w:p>
        </w:tc>
        <w:tc>
          <w:tcPr>
            <w:tcW w:w="992" w:type="dxa"/>
          </w:tcPr>
          <w:p w14:paraId="6A6FF384" w14:textId="77777777" w:rsidR="00937F7C" w:rsidRPr="007B77A0" w:rsidRDefault="00937F7C" w:rsidP="00E54E4F">
            <w:pPr>
              <w:ind w:left="0"/>
              <w:rPr>
                <w:sz w:val="20"/>
                <w:szCs w:val="20"/>
              </w:rPr>
            </w:pPr>
            <w:r w:rsidRPr="007B77A0">
              <w:rPr>
                <w:sz w:val="20"/>
                <w:szCs w:val="20"/>
              </w:rPr>
              <w:t>-</w:t>
            </w:r>
          </w:p>
        </w:tc>
        <w:tc>
          <w:tcPr>
            <w:tcW w:w="1042" w:type="dxa"/>
          </w:tcPr>
          <w:p w14:paraId="63DDFED2" w14:textId="77777777" w:rsidR="00937F7C" w:rsidRPr="007B77A0" w:rsidRDefault="00937F7C" w:rsidP="00E54E4F">
            <w:pPr>
              <w:ind w:left="0"/>
              <w:rPr>
                <w:sz w:val="20"/>
                <w:szCs w:val="20"/>
              </w:rPr>
            </w:pPr>
            <w:r w:rsidRPr="007B77A0">
              <w:rPr>
                <w:sz w:val="20"/>
                <w:szCs w:val="20"/>
              </w:rPr>
              <w:sym w:font="Wingdings" w:char="F0FC"/>
            </w:r>
          </w:p>
        </w:tc>
        <w:tc>
          <w:tcPr>
            <w:tcW w:w="955" w:type="dxa"/>
          </w:tcPr>
          <w:p w14:paraId="56859F65" w14:textId="77777777" w:rsidR="00937F7C" w:rsidRPr="007B77A0" w:rsidRDefault="00937F7C" w:rsidP="00E54E4F">
            <w:pPr>
              <w:ind w:left="0"/>
              <w:rPr>
                <w:sz w:val="20"/>
                <w:szCs w:val="20"/>
              </w:rPr>
            </w:pPr>
            <w:r w:rsidRPr="007B77A0">
              <w:rPr>
                <w:sz w:val="20"/>
                <w:szCs w:val="20"/>
              </w:rPr>
              <w:t>-</w:t>
            </w:r>
          </w:p>
        </w:tc>
      </w:tr>
      <w:tr w:rsidR="00937F7C" w:rsidRPr="007B77A0" w14:paraId="2E175B92" w14:textId="77777777" w:rsidTr="007B77A0">
        <w:trPr>
          <w:trHeight w:val="157"/>
        </w:trPr>
        <w:tc>
          <w:tcPr>
            <w:tcW w:w="1209" w:type="dxa"/>
          </w:tcPr>
          <w:p w14:paraId="54567B2D" w14:textId="77777777" w:rsidR="00937F7C" w:rsidRPr="007B77A0" w:rsidRDefault="00937F7C" w:rsidP="00E54E4F">
            <w:pPr>
              <w:ind w:left="0"/>
              <w:rPr>
                <w:sz w:val="20"/>
                <w:szCs w:val="20"/>
              </w:rPr>
            </w:pPr>
            <w:r w:rsidRPr="007B77A0">
              <w:rPr>
                <w:sz w:val="20"/>
                <w:szCs w:val="20"/>
              </w:rPr>
              <w:t>Important potential risks</w:t>
            </w:r>
          </w:p>
        </w:tc>
        <w:tc>
          <w:tcPr>
            <w:tcW w:w="3294" w:type="dxa"/>
          </w:tcPr>
          <w:p w14:paraId="14C05FEA" w14:textId="77777777" w:rsidR="00937F7C" w:rsidRPr="007B77A0" w:rsidRDefault="00937F7C" w:rsidP="00E54E4F">
            <w:pPr>
              <w:ind w:left="0"/>
              <w:rPr>
                <w:sz w:val="20"/>
                <w:szCs w:val="20"/>
              </w:rPr>
            </w:pPr>
            <w:r w:rsidRPr="007B77A0">
              <w:rPr>
                <w:sz w:val="20"/>
                <w:szCs w:val="20"/>
              </w:rPr>
              <w:t>Changes in diet or concomitant medications that affect serum potassium levels</w:t>
            </w:r>
          </w:p>
        </w:tc>
        <w:tc>
          <w:tcPr>
            <w:tcW w:w="1134" w:type="dxa"/>
          </w:tcPr>
          <w:p w14:paraId="332C636F" w14:textId="77777777" w:rsidR="00937F7C" w:rsidRPr="007B77A0" w:rsidRDefault="00937F7C" w:rsidP="00E54E4F">
            <w:pPr>
              <w:ind w:left="0"/>
              <w:rPr>
                <w:sz w:val="20"/>
                <w:szCs w:val="20"/>
              </w:rPr>
            </w:pPr>
            <w:r w:rsidRPr="007B77A0">
              <w:rPr>
                <w:sz w:val="20"/>
                <w:szCs w:val="20"/>
              </w:rPr>
              <w:sym w:font="Wingdings" w:char="F0FC"/>
            </w:r>
          </w:p>
        </w:tc>
        <w:tc>
          <w:tcPr>
            <w:tcW w:w="992" w:type="dxa"/>
          </w:tcPr>
          <w:p w14:paraId="48EF617B" w14:textId="77777777" w:rsidR="00937F7C" w:rsidRPr="007B77A0" w:rsidRDefault="00937F7C" w:rsidP="00E54E4F">
            <w:pPr>
              <w:ind w:left="0"/>
              <w:rPr>
                <w:sz w:val="20"/>
                <w:szCs w:val="20"/>
              </w:rPr>
            </w:pPr>
            <w:r w:rsidRPr="007B77A0">
              <w:rPr>
                <w:sz w:val="20"/>
                <w:szCs w:val="20"/>
              </w:rPr>
              <w:t>-</w:t>
            </w:r>
          </w:p>
        </w:tc>
        <w:tc>
          <w:tcPr>
            <w:tcW w:w="1042" w:type="dxa"/>
          </w:tcPr>
          <w:p w14:paraId="227B8274" w14:textId="77777777" w:rsidR="00937F7C" w:rsidRPr="007B77A0" w:rsidRDefault="00937F7C" w:rsidP="00E54E4F">
            <w:pPr>
              <w:ind w:left="0"/>
              <w:rPr>
                <w:sz w:val="20"/>
                <w:szCs w:val="20"/>
              </w:rPr>
            </w:pPr>
            <w:r w:rsidRPr="007B77A0">
              <w:rPr>
                <w:sz w:val="20"/>
                <w:szCs w:val="20"/>
              </w:rPr>
              <w:sym w:font="Wingdings" w:char="F0FC"/>
            </w:r>
          </w:p>
        </w:tc>
        <w:tc>
          <w:tcPr>
            <w:tcW w:w="955" w:type="dxa"/>
          </w:tcPr>
          <w:p w14:paraId="77485CA7" w14:textId="77777777" w:rsidR="00937F7C" w:rsidRPr="007B77A0" w:rsidRDefault="00937F7C" w:rsidP="00E54E4F">
            <w:pPr>
              <w:ind w:left="0"/>
              <w:rPr>
                <w:sz w:val="20"/>
                <w:szCs w:val="20"/>
              </w:rPr>
            </w:pPr>
            <w:r w:rsidRPr="007B77A0">
              <w:rPr>
                <w:sz w:val="20"/>
                <w:szCs w:val="20"/>
              </w:rPr>
              <w:t>-</w:t>
            </w:r>
          </w:p>
        </w:tc>
      </w:tr>
      <w:tr w:rsidR="00937F7C" w:rsidRPr="007B77A0" w14:paraId="5810A7E4" w14:textId="77777777" w:rsidTr="007B77A0">
        <w:trPr>
          <w:trHeight w:val="176"/>
        </w:trPr>
        <w:tc>
          <w:tcPr>
            <w:tcW w:w="1209" w:type="dxa"/>
            <w:vMerge w:val="restart"/>
          </w:tcPr>
          <w:p w14:paraId="5120AEE7" w14:textId="77777777" w:rsidR="00937F7C" w:rsidRPr="007B77A0" w:rsidRDefault="00937F7C" w:rsidP="00E54E4F">
            <w:pPr>
              <w:ind w:left="0"/>
              <w:rPr>
                <w:sz w:val="20"/>
                <w:szCs w:val="20"/>
              </w:rPr>
            </w:pPr>
            <w:r w:rsidRPr="007B77A0">
              <w:rPr>
                <w:sz w:val="20"/>
                <w:szCs w:val="20"/>
              </w:rPr>
              <w:t>Missing information</w:t>
            </w:r>
          </w:p>
        </w:tc>
        <w:tc>
          <w:tcPr>
            <w:tcW w:w="3294" w:type="dxa"/>
          </w:tcPr>
          <w:p w14:paraId="6DE2BCF7" w14:textId="77777777" w:rsidR="00937F7C" w:rsidRPr="007B77A0" w:rsidRDefault="00937F7C" w:rsidP="00E54E4F">
            <w:pPr>
              <w:ind w:left="0"/>
              <w:rPr>
                <w:sz w:val="20"/>
                <w:szCs w:val="20"/>
              </w:rPr>
            </w:pPr>
            <w:r w:rsidRPr="007B77A0">
              <w:rPr>
                <w:sz w:val="20"/>
                <w:szCs w:val="20"/>
              </w:rPr>
              <w:t>Long term use beyond one year</w:t>
            </w:r>
          </w:p>
        </w:tc>
        <w:tc>
          <w:tcPr>
            <w:tcW w:w="1134" w:type="dxa"/>
          </w:tcPr>
          <w:p w14:paraId="2E7842E6" w14:textId="77777777" w:rsidR="00937F7C" w:rsidRPr="007B77A0" w:rsidRDefault="00937F7C" w:rsidP="00E54E4F">
            <w:pPr>
              <w:ind w:left="0"/>
              <w:rPr>
                <w:sz w:val="20"/>
                <w:szCs w:val="20"/>
              </w:rPr>
            </w:pPr>
            <w:r w:rsidRPr="007B77A0">
              <w:rPr>
                <w:sz w:val="20"/>
                <w:szCs w:val="20"/>
              </w:rPr>
              <w:sym w:font="Wingdings" w:char="F0FC"/>
            </w:r>
          </w:p>
        </w:tc>
        <w:tc>
          <w:tcPr>
            <w:tcW w:w="992" w:type="dxa"/>
          </w:tcPr>
          <w:p w14:paraId="56AB2C13" w14:textId="77777777" w:rsidR="00937F7C" w:rsidRPr="007B77A0" w:rsidRDefault="00937F7C" w:rsidP="00E54E4F">
            <w:pPr>
              <w:ind w:left="0"/>
              <w:rPr>
                <w:sz w:val="20"/>
                <w:szCs w:val="20"/>
              </w:rPr>
            </w:pPr>
            <w:r w:rsidRPr="007B77A0">
              <w:rPr>
                <w:sz w:val="20"/>
                <w:szCs w:val="20"/>
              </w:rPr>
              <w:t>-</w:t>
            </w:r>
          </w:p>
        </w:tc>
        <w:tc>
          <w:tcPr>
            <w:tcW w:w="1042" w:type="dxa"/>
          </w:tcPr>
          <w:p w14:paraId="7FC6A96B" w14:textId="77777777" w:rsidR="00937F7C" w:rsidRPr="007B77A0" w:rsidRDefault="00937F7C" w:rsidP="00E54E4F">
            <w:pPr>
              <w:ind w:left="0"/>
              <w:rPr>
                <w:sz w:val="20"/>
                <w:szCs w:val="20"/>
              </w:rPr>
            </w:pPr>
            <w:r w:rsidRPr="007B77A0">
              <w:rPr>
                <w:sz w:val="20"/>
                <w:szCs w:val="20"/>
              </w:rPr>
              <w:sym w:font="Wingdings" w:char="F0FC"/>
            </w:r>
          </w:p>
        </w:tc>
        <w:tc>
          <w:tcPr>
            <w:tcW w:w="955" w:type="dxa"/>
          </w:tcPr>
          <w:p w14:paraId="035E69E2" w14:textId="77777777" w:rsidR="00937F7C" w:rsidRPr="007B77A0" w:rsidRDefault="00937F7C" w:rsidP="00E54E4F">
            <w:pPr>
              <w:ind w:left="0"/>
              <w:rPr>
                <w:sz w:val="20"/>
                <w:szCs w:val="20"/>
              </w:rPr>
            </w:pPr>
            <w:r w:rsidRPr="007B77A0">
              <w:rPr>
                <w:sz w:val="20"/>
                <w:szCs w:val="20"/>
              </w:rPr>
              <w:t>-</w:t>
            </w:r>
          </w:p>
        </w:tc>
      </w:tr>
      <w:tr w:rsidR="00937F7C" w:rsidRPr="007B77A0" w14:paraId="653AF01D" w14:textId="77777777" w:rsidTr="007B77A0">
        <w:trPr>
          <w:trHeight w:val="102"/>
        </w:trPr>
        <w:tc>
          <w:tcPr>
            <w:tcW w:w="1209" w:type="dxa"/>
            <w:vMerge/>
          </w:tcPr>
          <w:p w14:paraId="1205B6CA" w14:textId="77777777" w:rsidR="00937F7C" w:rsidRPr="007B77A0" w:rsidRDefault="00937F7C" w:rsidP="00E54E4F">
            <w:pPr>
              <w:ind w:left="0"/>
              <w:rPr>
                <w:sz w:val="20"/>
                <w:szCs w:val="20"/>
              </w:rPr>
            </w:pPr>
          </w:p>
        </w:tc>
        <w:tc>
          <w:tcPr>
            <w:tcW w:w="3294" w:type="dxa"/>
          </w:tcPr>
          <w:p w14:paraId="00421883" w14:textId="77777777" w:rsidR="00937F7C" w:rsidRPr="007B77A0" w:rsidRDefault="00937F7C" w:rsidP="00E54E4F">
            <w:pPr>
              <w:ind w:left="0"/>
              <w:rPr>
                <w:sz w:val="20"/>
                <w:szCs w:val="20"/>
              </w:rPr>
            </w:pPr>
            <w:r w:rsidRPr="007B77A0">
              <w:rPr>
                <w:sz w:val="20"/>
                <w:szCs w:val="20"/>
              </w:rPr>
              <w:t>Use in pregnancy or breast feeding</w:t>
            </w:r>
          </w:p>
        </w:tc>
        <w:tc>
          <w:tcPr>
            <w:tcW w:w="1134" w:type="dxa"/>
          </w:tcPr>
          <w:p w14:paraId="02B304C1" w14:textId="77777777" w:rsidR="00937F7C" w:rsidRPr="007B77A0" w:rsidRDefault="00937F7C" w:rsidP="00E54E4F">
            <w:pPr>
              <w:ind w:left="0"/>
              <w:rPr>
                <w:sz w:val="20"/>
                <w:szCs w:val="20"/>
              </w:rPr>
            </w:pPr>
            <w:r w:rsidRPr="007B77A0">
              <w:rPr>
                <w:sz w:val="20"/>
                <w:szCs w:val="20"/>
              </w:rPr>
              <w:sym w:font="Wingdings" w:char="F0FC"/>
            </w:r>
          </w:p>
        </w:tc>
        <w:tc>
          <w:tcPr>
            <w:tcW w:w="992" w:type="dxa"/>
          </w:tcPr>
          <w:p w14:paraId="28CA0535" w14:textId="77777777" w:rsidR="00937F7C" w:rsidRPr="007B77A0" w:rsidRDefault="00937F7C" w:rsidP="00E54E4F">
            <w:pPr>
              <w:ind w:left="0"/>
              <w:rPr>
                <w:sz w:val="20"/>
                <w:szCs w:val="20"/>
              </w:rPr>
            </w:pPr>
            <w:r w:rsidRPr="007B77A0">
              <w:rPr>
                <w:sz w:val="20"/>
                <w:szCs w:val="20"/>
              </w:rPr>
              <w:t>-</w:t>
            </w:r>
          </w:p>
        </w:tc>
        <w:tc>
          <w:tcPr>
            <w:tcW w:w="1042" w:type="dxa"/>
          </w:tcPr>
          <w:p w14:paraId="693680BB" w14:textId="77777777" w:rsidR="00937F7C" w:rsidRPr="007B77A0" w:rsidRDefault="00937F7C" w:rsidP="00E54E4F">
            <w:pPr>
              <w:ind w:left="0"/>
              <w:rPr>
                <w:sz w:val="20"/>
                <w:szCs w:val="20"/>
              </w:rPr>
            </w:pPr>
            <w:r w:rsidRPr="007B77A0">
              <w:rPr>
                <w:sz w:val="20"/>
                <w:szCs w:val="20"/>
              </w:rPr>
              <w:sym w:font="Wingdings" w:char="F0FC"/>
            </w:r>
          </w:p>
        </w:tc>
        <w:tc>
          <w:tcPr>
            <w:tcW w:w="955" w:type="dxa"/>
          </w:tcPr>
          <w:p w14:paraId="6AF5729D" w14:textId="77777777" w:rsidR="00937F7C" w:rsidRPr="007B77A0" w:rsidRDefault="00937F7C" w:rsidP="00E54E4F">
            <w:pPr>
              <w:ind w:left="0"/>
              <w:rPr>
                <w:sz w:val="20"/>
                <w:szCs w:val="20"/>
              </w:rPr>
            </w:pPr>
            <w:r w:rsidRPr="007B77A0">
              <w:rPr>
                <w:sz w:val="20"/>
                <w:szCs w:val="20"/>
              </w:rPr>
              <w:t>-</w:t>
            </w:r>
          </w:p>
        </w:tc>
      </w:tr>
      <w:tr w:rsidR="00937F7C" w:rsidRPr="007B77A0" w14:paraId="55CCA890" w14:textId="77777777" w:rsidTr="007B77A0">
        <w:trPr>
          <w:trHeight w:val="102"/>
        </w:trPr>
        <w:tc>
          <w:tcPr>
            <w:tcW w:w="1209" w:type="dxa"/>
            <w:vMerge/>
          </w:tcPr>
          <w:p w14:paraId="211A64C6" w14:textId="77777777" w:rsidR="00937F7C" w:rsidRPr="007B77A0" w:rsidRDefault="00937F7C" w:rsidP="00E54E4F">
            <w:pPr>
              <w:ind w:left="0"/>
              <w:rPr>
                <w:sz w:val="20"/>
                <w:szCs w:val="20"/>
              </w:rPr>
            </w:pPr>
          </w:p>
        </w:tc>
        <w:tc>
          <w:tcPr>
            <w:tcW w:w="3294" w:type="dxa"/>
          </w:tcPr>
          <w:p w14:paraId="0C98CA69" w14:textId="77777777" w:rsidR="00937F7C" w:rsidRPr="007B77A0" w:rsidRDefault="00937F7C" w:rsidP="00E54E4F">
            <w:pPr>
              <w:ind w:left="0"/>
              <w:rPr>
                <w:sz w:val="20"/>
                <w:szCs w:val="20"/>
              </w:rPr>
            </w:pPr>
            <w:r w:rsidRPr="007B77A0">
              <w:rPr>
                <w:sz w:val="20"/>
                <w:szCs w:val="20"/>
              </w:rPr>
              <w:t>In vivo drug interaction studies</w:t>
            </w:r>
          </w:p>
        </w:tc>
        <w:tc>
          <w:tcPr>
            <w:tcW w:w="1134" w:type="dxa"/>
          </w:tcPr>
          <w:p w14:paraId="5C99E6C0" w14:textId="77777777" w:rsidR="00937F7C" w:rsidRPr="007B77A0" w:rsidRDefault="00937F7C" w:rsidP="00E54E4F">
            <w:pPr>
              <w:ind w:left="0"/>
              <w:rPr>
                <w:sz w:val="20"/>
                <w:szCs w:val="20"/>
              </w:rPr>
            </w:pPr>
            <w:r w:rsidRPr="007B77A0">
              <w:rPr>
                <w:sz w:val="20"/>
                <w:szCs w:val="20"/>
              </w:rPr>
              <w:sym w:font="Wingdings" w:char="F0FC"/>
            </w:r>
          </w:p>
        </w:tc>
        <w:tc>
          <w:tcPr>
            <w:tcW w:w="992" w:type="dxa"/>
          </w:tcPr>
          <w:p w14:paraId="17362DF7" w14:textId="77777777" w:rsidR="00937F7C" w:rsidRPr="007B77A0" w:rsidRDefault="00937F7C" w:rsidP="00E54E4F">
            <w:pPr>
              <w:ind w:left="0"/>
              <w:rPr>
                <w:sz w:val="20"/>
                <w:szCs w:val="20"/>
              </w:rPr>
            </w:pPr>
            <w:r w:rsidRPr="007B77A0">
              <w:rPr>
                <w:sz w:val="20"/>
                <w:szCs w:val="20"/>
              </w:rPr>
              <w:t>-</w:t>
            </w:r>
          </w:p>
        </w:tc>
        <w:tc>
          <w:tcPr>
            <w:tcW w:w="1042" w:type="dxa"/>
          </w:tcPr>
          <w:p w14:paraId="148E2AE2" w14:textId="77777777" w:rsidR="00937F7C" w:rsidRPr="007B77A0" w:rsidRDefault="00937F7C" w:rsidP="00E54E4F">
            <w:pPr>
              <w:ind w:left="0"/>
              <w:rPr>
                <w:sz w:val="20"/>
                <w:szCs w:val="20"/>
              </w:rPr>
            </w:pPr>
            <w:r w:rsidRPr="007B77A0">
              <w:rPr>
                <w:sz w:val="20"/>
                <w:szCs w:val="20"/>
              </w:rPr>
              <w:sym w:font="Wingdings" w:char="F0FC"/>
            </w:r>
          </w:p>
        </w:tc>
        <w:tc>
          <w:tcPr>
            <w:tcW w:w="955" w:type="dxa"/>
          </w:tcPr>
          <w:p w14:paraId="2D0FE4E3" w14:textId="77777777" w:rsidR="00937F7C" w:rsidRPr="007B77A0" w:rsidRDefault="00937F7C" w:rsidP="00E54E4F">
            <w:pPr>
              <w:ind w:left="0"/>
              <w:rPr>
                <w:sz w:val="20"/>
                <w:szCs w:val="20"/>
              </w:rPr>
            </w:pPr>
            <w:r w:rsidRPr="007B77A0">
              <w:rPr>
                <w:sz w:val="20"/>
                <w:szCs w:val="20"/>
              </w:rPr>
              <w:t>-</w:t>
            </w:r>
          </w:p>
        </w:tc>
      </w:tr>
      <w:tr w:rsidR="00937F7C" w:rsidRPr="007B77A0" w14:paraId="15CB0FCE" w14:textId="77777777" w:rsidTr="007B77A0">
        <w:trPr>
          <w:trHeight w:val="102"/>
        </w:trPr>
        <w:tc>
          <w:tcPr>
            <w:tcW w:w="1209" w:type="dxa"/>
            <w:vMerge/>
          </w:tcPr>
          <w:p w14:paraId="276B7CD2" w14:textId="77777777" w:rsidR="00937F7C" w:rsidRPr="007B77A0" w:rsidRDefault="00937F7C" w:rsidP="00E54E4F">
            <w:pPr>
              <w:ind w:left="0"/>
              <w:rPr>
                <w:sz w:val="20"/>
                <w:szCs w:val="20"/>
              </w:rPr>
            </w:pPr>
          </w:p>
        </w:tc>
        <w:tc>
          <w:tcPr>
            <w:tcW w:w="3294" w:type="dxa"/>
          </w:tcPr>
          <w:p w14:paraId="61A05C54" w14:textId="77777777" w:rsidR="00937F7C" w:rsidRPr="007B77A0" w:rsidRDefault="00937F7C" w:rsidP="00E54E4F">
            <w:pPr>
              <w:ind w:left="0"/>
              <w:rPr>
                <w:sz w:val="20"/>
                <w:szCs w:val="20"/>
              </w:rPr>
            </w:pPr>
            <w:r w:rsidRPr="007B77A0">
              <w:rPr>
                <w:sz w:val="20"/>
                <w:szCs w:val="20"/>
              </w:rPr>
              <w:t>Use in children*</w:t>
            </w:r>
          </w:p>
        </w:tc>
        <w:tc>
          <w:tcPr>
            <w:tcW w:w="1134" w:type="dxa"/>
          </w:tcPr>
          <w:p w14:paraId="6002ECC3" w14:textId="77777777" w:rsidR="00937F7C" w:rsidRPr="007B77A0" w:rsidRDefault="00937F7C" w:rsidP="00E54E4F">
            <w:pPr>
              <w:ind w:left="0"/>
              <w:rPr>
                <w:sz w:val="20"/>
                <w:szCs w:val="20"/>
              </w:rPr>
            </w:pPr>
            <w:r w:rsidRPr="007B77A0">
              <w:rPr>
                <w:sz w:val="20"/>
                <w:szCs w:val="20"/>
              </w:rPr>
              <w:sym w:font="Wingdings" w:char="F0FC"/>
            </w:r>
          </w:p>
        </w:tc>
        <w:tc>
          <w:tcPr>
            <w:tcW w:w="992" w:type="dxa"/>
          </w:tcPr>
          <w:p w14:paraId="6B41E468" w14:textId="77777777" w:rsidR="00937F7C" w:rsidRPr="007B77A0" w:rsidRDefault="00937F7C" w:rsidP="00E54E4F">
            <w:pPr>
              <w:ind w:left="0"/>
              <w:rPr>
                <w:sz w:val="20"/>
                <w:szCs w:val="20"/>
              </w:rPr>
            </w:pPr>
            <w:r w:rsidRPr="007B77A0">
              <w:rPr>
                <w:sz w:val="20"/>
                <w:szCs w:val="20"/>
              </w:rPr>
              <w:t>-</w:t>
            </w:r>
          </w:p>
        </w:tc>
        <w:tc>
          <w:tcPr>
            <w:tcW w:w="1042" w:type="dxa"/>
          </w:tcPr>
          <w:p w14:paraId="59E45561" w14:textId="77777777" w:rsidR="00937F7C" w:rsidRPr="007B77A0" w:rsidRDefault="00937F7C" w:rsidP="00E54E4F">
            <w:pPr>
              <w:ind w:left="0"/>
              <w:rPr>
                <w:sz w:val="20"/>
                <w:szCs w:val="20"/>
              </w:rPr>
            </w:pPr>
            <w:r w:rsidRPr="007B77A0">
              <w:rPr>
                <w:sz w:val="20"/>
                <w:szCs w:val="20"/>
              </w:rPr>
              <w:sym w:font="Wingdings" w:char="F0FC"/>
            </w:r>
          </w:p>
        </w:tc>
        <w:tc>
          <w:tcPr>
            <w:tcW w:w="955" w:type="dxa"/>
          </w:tcPr>
          <w:p w14:paraId="27AC3DC9" w14:textId="77777777" w:rsidR="00937F7C" w:rsidRPr="007B77A0" w:rsidRDefault="00937F7C" w:rsidP="00E54E4F">
            <w:pPr>
              <w:ind w:left="0"/>
              <w:rPr>
                <w:sz w:val="20"/>
                <w:szCs w:val="20"/>
              </w:rPr>
            </w:pPr>
            <w:r w:rsidRPr="007B77A0">
              <w:rPr>
                <w:sz w:val="20"/>
                <w:szCs w:val="20"/>
              </w:rPr>
              <w:t>-</w:t>
            </w:r>
          </w:p>
        </w:tc>
      </w:tr>
    </w:tbl>
    <w:p w14:paraId="2A2A05C3" w14:textId="76500006" w:rsidR="00937F7C" w:rsidRPr="003B1047" w:rsidRDefault="0001653E" w:rsidP="007B77A0">
      <w:pPr>
        <w:pStyle w:val="TableDescription"/>
      </w:pPr>
      <w:r>
        <w:t>@</w:t>
      </w:r>
      <w:r w:rsidR="00937F7C" w:rsidRPr="003B1047">
        <w:t xml:space="preserve"> = Change in terminology in the EU-RMP; * = Added to ASA subse</w:t>
      </w:r>
      <w:r w:rsidR="007B77A0">
        <w:t>quent to round 1 recommendation</w:t>
      </w:r>
    </w:p>
    <w:p w14:paraId="292BDEF6" w14:textId="77777777" w:rsidR="00937F7C" w:rsidRPr="00937F7C" w:rsidRDefault="00937F7C" w:rsidP="00937F7C">
      <w:r w:rsidRPr="00937F7C">
        <w:t>Additional changes to the summary of safety concerns are recommended:</w:t>
      </w:r>
    </w:p>
    <w:p w14:paraId="13154409" w14:textId="1E6E72E0" w:rsidR="00937F7C" w:rsidRPr="00937F7C" w:rsidRDefault="00937F7C" w:rsidP="00937F7C">
      <w:r w:rsidRPr="00937F7C">
        <w:t>Important potential risk: overdose, intestinal necrosis, interference with interpretation of abdominal x</w:t>
      </w:r>
      <w:r w:rsidR="00150697">
        <w:t>-</w:t>
      </w:r>
      <w:r w:rsidRPr="00937F7C">
        <w:t>rays</w:t>
      </w:r>
      <w:r w:rsidR="00150697">
        <w:t>.</w:t>
      </w:r>
    </w:p>
    <w:p w14:paraId="31DFB761" w14:textId="77777777" w:rsidR="00937F7C" w:rsidRPr="00937F7C" w:rsidRDefault="00937F7C" w:rsidP="007B4BEB">
      <w:pPr>
        <w:pageBreakBefore/>
      </w:pPr>
      <w:r w:rsidRPr="00937F7C">
        <w:lastRenderedPageBreak/>
        <w:t xml:space="preserve">Missing Information: use in patients with acute </w:t>
      </w:r>
      <w:r w:rsidR="000A533B" w:rsidRPr="00937F7C">
        <w:t>hyperkalaemia</w:t>
      </w:r>
      <w:r w:rsidRPr="00937F7C">
        <w:t xml:space="preserve"> and ECG changes.</w:t>
      </w:r>
    </w:p>
    <w:p w14:paraId="6E8AE139" w14:textId="77777777" w:rsidR="00937F7C" w:rsidRPr="00937F7C" w:rsidRDefault="00937F7C" w:rsidP="00937F7C">
      <w:r w:rsidRPr="00937F7C">
        <w:t xml:space="preserve">Routine pharmacovigilance and </w:t>
      </w:r>
      <w:r w:rsidR="007B77A0">
        <w:t>risk minimisation was proposed.</w:t>
      </w:r>
    </w:p>
    <w:p w14:paraId="60EF3181" w14:textId="77777777" w:rsidR="00937F7C" w:rsidRPr="00937F7C" w:rsidRDefault="00E46642" w:rsidP="000A533B">
      <w:pPr>
        <w:pStyle w:val="Heading5"/>
      </w:pPr>
      <w:r>
        <w:t>Ongoing studies</w:t>
      </w:r>
    </w:p>
    <w:p w14:paraId="534B0DFC" w14:textId="77777777" w:rsidR="00937F7C" w:rsidRPr="00937F7C" w:rsidRDefault="00937F7C" w:rsidP="000A533B">
      <w:pPr>
        <w:pStyle w:val="ListBullet"/>
      </w:pPr>
      <w:r w:rsidRPr="00937F7C">
        <w:t>ZS-005: 12 month efficacy and safety</w:t>
      </w:r>
    </w:p>
    <w:p w14:paraId="01645A83" w14:textId="77777777" w:rsidR="008E7846" w:rsidRDefault="00937F7C" w:rsidP="000A533B">
      <w:pPr>
        <w:pStyle w:val="ListBullet"/>
      </w:pPr>
      <w:r w:rsidRPr="00937F7C">
        <w:t>Paediatric Studies</w:t>
      </w:r>
    </w:p>
    <w:p w14:paraId="01F0FE87" w14:textId="77777777" w:rsidR="00937F7C" w:rsidRPr="00937F7C" w:rsidRDefault="00AA0ED0" w:rsidP="00937F7C">
      <w:pPr>
        <w:pStyle w:val="Heading3"/>
      </w:pPr>
      <w:bookmarkStart w:id="146" w:name="_Toc247691531"/>
      <w:bookmarkStart w:id="147" w:name="_Toc314842515"/>
      <w:bookmarkStart w:id="148" w:name="_Toc196046505"/>
      <w:bookmarkStart w:id="149" w:name="_Toc196046949"/>
      <w:bookmarkStart w:id="150" w:name="_Toc505252949"/>
      <w:r>
        <w:t>Risk-benefit a</w:t>
      </w:r>
      <w:r w:rsidR="008E7846">
        <w:t>nalysis</w:t>
      </w:r>
      <w:bookmarkEnd w:id="146"/>
      <w:bookmarkEnd w:id="147"/>
      <w:bookmarkEnd w:id="150"/>
    </w:p>
    <w:p w14:paraId="15613798" w14:textId="77777777" w:rsidR="00937F7C" w:rsidRPr="00937F7C" w:rsidRDefault="00E46642" w:rsidP="00937F7C">
      <w:pPr>
        <w:pStyle w:val="Heading4"/>
      </w:pPr>
      <w:r>
        <w:t>Efficacy</w:t>
      </w:r>
    </w:p>
    <w:p w14:paraId="4D9E8A2F" w14:textId="77777777" w:rsidR="00937F7C" w:rsidRPr="00937F7C" w:rsidRDefault="00937F7C" w:rsidP="000A533B">
      <w:pPr>
        <w:pStyle w:val="ListBullet"/>
      </w:pPr>
      <w:r w:rsidRPr="00937F7C">
        <w:t>The potassium lowering effect of ZS 10 g is</w:t>
      </w:r>
      <w:r w:rsidR="00BE0DF4">
        <w:t xml:space="preserve"> </w:t>
      </w:r>
      <w:r w:rsidRPr="00937F7C">
        <w:t>observed 1 hour after administration</w:t>
      </w:r>
      <w:r w:rsidR="000A533B">
        <w:t xml:space="preserve"> </w:t>
      </w:r>
      <w:r w:rsidRPr="00937F7C">
        <w:t xml:space="preserve">of the first dose. ZS 10 g </w:t>
      </w:r>
      <w:r w:rsidR="00E557DC">
        <w:t>TDS</w:t>
      </w:r>
      <w:r w:rsidRPr="00937F7C">
        <w:t xml:space="preserve"> producing normokalaemia in Study ZS-004 in 84% after 24 hours</w:t>
      </w:r>
      <w:r w:rsidR="00BE0DF4">
        <w:t xml:space="preserve"> </w:t>
      </w:r>
      <w:r w:rsidRPr="00937F7C">
        <w:t xml:space="preserve">and 98% after 48 hours. Median time </w:t>
      </w:r>
      <w:r w:rsidR="000A533B">
        <w:t>to normokalaemia was 2.17 hours.</w:t>
      </w:r>
    </w:p>
    <w:p w14:paraId="562814F6" w14:textId="45E8F374" w:rsidR="00937F7C" w:rsidRPr="00937F7C" w:rsidRDefault="00937F7C" w:rsidP="000A533B">
      <w:pPr>
        <w:pStyle w:val="ListBullet"/>
      </w:pPr>
      <w:r w:rsidRPr="00937F7C">
        <w:t>Greater reductions in serum potassium occur with higher baseline potassium values, suggesting that ZS is self-equilibrating in its efficacy Establishment of normokalaemia occurred independent of starting serum potassium so, even in subjects with severe hyperkalaemia, normokalaemia was established</w:t>
      </w:r>
      <w:r w:rsidR="000A533B">
        <w:t>.</w:t>
      </w:r>
    </w:p>
    <w:p w14:paraId="5AB90878" w14:textId="77777777" w:rsidR="00937F7C" w:rsidRPr="00937F7C" w:rsidRDefault="00937F7C" w:rsidP="000A533B">
      <w:pPr>
        <w:pStyle w:val="ListBullet"/>
      </w:pPr>
      <w:r w:rsidRPr="00937F7C">
        <w:t>Continued control of</w:t>
      </w:r>
      <w:r w:rsidR="00BE0DF4">
        <w:t xml:space="preserve"> </w:t>
      </w:r>
      <w:r w:rsidRPr="00937F7C">
        <w:t>serum potassium was demonstrat</w:t>
      </w:r>
      <w:r w:rsidR="000A533B">
        <w:t>ed with extended dosing of ZS 5 </w:t>
      </w:r>
      <w:r w:rsidRPr="00937F7C">
        <w:t xml:space="preserve">g, 10 g and 15 g administered daily in separate, </w:t>
      </w:r>
      <w:r w:rsidR="00534366">
        <w:t>double blind</w:t>
      </w:r>
      <w:r w:rsidRPr="00937F7C">
        <w:t xml:space="preserve">, randomized, </w:t>
      </w:r>
      <w:r w:rsidR="00534366">
        <w:t>placebo controlled</w:t>
      </w:r>
      <w:r w:rsidRPr="00937F7C">
        <w:t xml:space="preserve"> withdrawal studies. In ad</w:t>
      </w:r>
      <w:r w:rsidR="000A533B">
        <w:t xml:space="preserve">dition, data for ZS from a long term, open </w:t>
      </w:r>
      <w:r w:rsidRPr="00937F7C">
        <w:t xml:space="preserve">label extension study showed maintenance of normokalaemia as 88.3% of subjects had average potassium values </w:t>
      </w:r>
      <w:r w:rsidR="0047313A">
        <w:t xml:space="preserve">≤ </w:t>
      </w:r>
      <w:proofErr w:type="gramStart"/>
      <w:r w:rsidRPr="00937F7C">
        <w:t xml:space="preserve">5.1 </w:t>
      </w:r>
      <w:proofErr w:type="spellStart"/>
      <w:r w:rsidRPr="00937F7C">
        <w:t>mmol</w:t>
      </w:r>
      <w:proofErr w:type="spellEnd"/>
      <w:r w:rsidRPr="00937F7C">
        <w:t>/L</w:t>
      </w:r>
      <w:proofErr w:type="gramEnd"/>
      <w:r w:rsidRPr="00937F7C">
        <w:t xml:space="preserve"> across extended dosing for up to 1 year</w:t>
      </w:r>
      <w:r w:rsidR="000A533B">
        <w:t>.</w:t>
      </w:r>
    </w:p>
    <w:p w14:paraId="0786BB0A" w14:textId="77777777" w:rsidR="00937F7C" w:rsidRPr="00937F7C" w:rsidRDefault="00937F7C" w:rsidP="000A533B">
      <w:pPr>
        <w:pStyle w:val="ListBullet"/>
      </w:pPr>
      <w:r w:rsidRPr="00937F7C">
        <w:t>Reductions in serum potassium</w:t>
      </w:r>
      <w:r w:rsidR="00BE0DF4">
        <w:t xml:space="preserve"> </w:t>
      </w:r>
      <w:r w:rsidRPr="00937F7C">
        <w:t xml:space="preserve">have not been associated with severe episodes of hypokalaemia (&lt; 2.5 </w:t>
      </w:r>
      <w:proofErr w:type="spellStart"/>
      <w:r w:rsidRPr="00937F7C">
        <w:t>mmol</w:t>
      </w:r>
      <w:proofErr w:type="spellEnd"/>
      <w:r w:rsidRPr="00937F7C">
        <w:t xml:space="preserve">/L) or other clinically significant changes in electrolytes in completed studies. Mild hypokalaemia (3.0 and 3.4 </w:t>
      </w:r>
      <w:proofErr w:type="spellStart"/>
      <w:r w:rsidRPr="00937F7C">
        <w:t>mmol</w:t>
      </w:r>
      <w:proofErr w:type="spellEnd"/>
      <w:r w:rsidRPr="00937F7C">
        <w:t>/L) observed was manageable with modification of the extended dosing regimen from daily to every second day</w:t>
      </w:r>
      <w:r w:rsidR="000A533B">
        <w:t>.</w:t>
      </w:r>
    </w:p>
    <w:p w14:paraId="56C22122" w14:textId="77777777" w:rsidR="00937F7C" w:rsidRPr="00937F7C" w:rsidRDefault="00937F7C" w:rsidP="00937F7C">
      <w:pPr>
        <w:pStyle w:val="Heading4"/>
      </w:pPr>
      <w:r w:rsidRPr="00937F7C">
        <w:t>Safety</w:t>
      </w:r>
    </w:p>
    <w:p w14:paraId="707DFF86" w14:textId="77777777" w:rsidR="00886664" w:rsidRDefault="00937F7C" w:rsidP="000A533B">
      <w:pPr>
        <w:pStyle w:val="ListBullet"/>
      </w:pPr>
      <w:r w:rsidRPr="00937F7C">
        <w:t>Analysis of events somewhat difficult due to underlying diseases that may also cause AE</w:t>
      </w:r>
      <w:r w:rsidR="00886664">
        <w:t>.</w:t>
      </w:r>
    </w:p>
    <w:p w14:paraId="2CC0A048" w14:textId="77777777" w:rsidR="00937F7C" w:rsidRPr="00937F7C" w:rsidRDefault="000A533B" w:rsidP="000A533B">
      <w:pPr>
        <w:pStyle w:val="ListBullet"/>
      </w:pPr>
      <w:r>
        <w:t>Limited long term safety data;</w:t>
      </w:r>
      <w:r w:rsidR="00937F7C" w:rsidRPr="00937F7C">
        <w:t xml:space="preserve"> only 40 patients so far have been treated for </w:t>
      </w:r>
      <w:r w:rsidR="0047313A">
        <w:t xml:space="preserve">&gt; </w:t>
      </w:r>
      <w:r w:rsidR="00937F7C" w:rsidRPr="00937F7C">
        <w:t>1 year. But overall, 1</w:t>
      </w:r>
      <w:r>
        <w:t>,</w:t>
      </w:r>
      <w:r w:rsidR="00937F7C" w:rsidRPr="00937F7C">
        <w:t>500 patients have had some exposure.</w:t>
      </w:r>
    </w:p>
    <w:p w14:paraId="74D1B382" w14:textId="77777777" w:rsidR="00937F7C" w:rsidRPr="00937F7C" w:rsidRDefault="00937F7C" w:rsidP="000A533B">
      <w:pPr>
        <w:pStyle w:val="ListBullet"/>
      </w:pPr>
      <w:r w:rsidRPr="00937F7C">
        <w:t>Not systemically absorbed. Therefore ECG changes most likely to be due to electrolyte changes or underlying disease than the investigational drug.</w:t>
      </w:r>
    </w:p>
    <w:p w14:paraId="2BE07BC3" w14:textId="77777777" w:rsidR="00937F7C" w:rsidRPr="00937F7C" w:rsidRDefault="00937F7C" w:rsidP="000A533B">
      <w:pPr>
        <w:pStyle w:val="ListBullet"/>
      </w:pPr>
      <w:r w:rsidRPr="00937F7C">
        <w:t>In vivo and in-vitro studies do not suggest significant drug interactions. Is this sufficient to be sure?</w:t>
      </w:r>
    </w:p>
    <w:p w14:paraId="5DF8B34B" w14:textId="77777777" w:rsidR="00937F7C" w:rsidRPr="00937F7C" w:rsidRDefault="000A533B" w:rsidP="000A533B">
      <w:pPr>
        <w:pStyle w:val="ListBullet"/>
      </w:pPr>
      <w:r>
        <w:t>Fluid overload was reported;</w:t>
      </w:r>
      <w:r w:rsidR="00937F7C" w:rsidRPr="00937F7C">
        <w:t xml:space="preserve"> presumably du</w:t>
      </w:r>
      <w:r w:rsidR="00886664">
        <w:t>e to sodium retention. However Phase I</w:t>
      </w:r>
      <w:r w:rsidR="00937F7C" w:rsidRPr="00937F7C">
        <w:t xml:space="preserve"> studies did not demonstrate changes in urinary sodium with treatment. This is adequately addressed in the PI</w:t>
      </w:r>
      <w:r>
        <w:t>.</w:t>
      </w:r>
    </w:p>
    <w:p w14:paraId="29031AB7" w14:textId="14D088D4" w:rsidR="00937F7C" w:rsidRPr="00937F7C" w:rsidRDefault="00937F7C" w:rsidP="000A533B">
      <w:pPr>
        <w:pStyle w:val="ListBullet"/>
      </w:pPr>
      <w:r w:rsidRPr="00937F7C">
        <w:t xml:space="preserve">ACSOM had concern about potential ‘overdose’ or excessive therapeutic effect in long term use with depletion of total body potassium. The </w:t>
      </w:r>
      <w:r w:rsidR="000A533B">
        <w:t>Delegate</w:t>
      </w:r>
      <w:r w:rsidRPr="00937F7C">
        <w:t xml:space="preserve"> does not share this concern</w:t>
      </w:r>
      <w:r w:rsidR="00842DB9">
        <w:t>.</w:t>
      </w:r>
    </w:p>
    <w:p w14:paraId="7724A97B" w14:textId="57F7F66B" w:rsidR="00886664" w:rsidRDefault="00937F7C" w:rsidP="000A533B">
      <w:pPr>
        <w:pStyle w:val="ListBullet"/>
      </w:pPr>
      <w:r w:rsidRPr="00937F7C">
        <w:t xml:space="preserve">Other potassium binding products have been associated with intestinal complications such as bowel obstruction and intestinal necrosis. This has not been reported with </w:t>
      </w:r>
      <w:r w:rsidRPr="00937F7C">
        <w:lastRenderedPageBreak/>
        <w:t>sodium zirconium</w:t>
      </w:r>
      <w:r w:rsidR="000A533B">
        <w:t>,</w:t>
      </w:r>
      <w:r w:rsidRPr="00937F7C">
        <w:t xml:space="preserve"> and GIT motility disorders were not exclusion criteria for clinical trials</w:t>
      </w:r>
      <w:r w:rsidR="00886664">
        <w:t>.</w:t>
      </w:r>
    </w:p>
    <w:p w14:paraId="5486CD11" w14:textId="77777777" w:rsidR="00937F7C" w:rsidRPr="00937F7C" w:rsidRDefault="00937F7C" w:rsidP="00937F7C">
      <w:pPr>
        <w:pStyle w:val="Heading4"/>
      </w:pPr>
      <w:r w:rsidRPr="00937F7C">
        <w:t>Questions for the sponsor:</w:t>
      </w:r>
    </w:p>
    <w:p w14:paraId="5275E8E8" w14:textId="77777777" w:rsidR="00937F7C" w:rsidRPr="00937F7C" w:rsidRDefault="00937F7C" w:rsidP="000A533B">
      <w:pPr>
        <w:pStyle w:val="Numberbullet0"/>
        <w:numPr>
          <w:ilvl w:val="0"/>
          <w:numId w:val="47"/>
        </w:numPr>
      </w:pPr>
      <w:r w:rsidRPr="00937F7C">
        <w:t>What is the status for EMA and FDA applications?</w:t>
      </w:r>
    </w:p>
    <w:p w14:paraId="1074DD0F" w14:textId="77777777" w:rsidR="00937F7C" w:rsidRPr="00937F7C" w:rsidRDefault="00937F7C" w:rsidP="000A533B">
      <w:pPr>
        <w:pStyle w:val="Numberbullet0"/>
        <w:numPr>
          <w:ilvl w:val="0"/>
          <w:numId w:val="47"/>
        </w:numPr>
      </w:pPr>
      <w:r w:rsidRPr="00937F7C">
        <w:t>Did the placebo have any activity on blinding potassium?</w:t>
      </w:r>
    </w:p>
    <w:p w14:paraId="6E513494" w14:textId="77777777" w:rsidR="00937F7C" w:rsidRPr="00937F7C" w:rsidRDefault="00937F7C" w:rsidP="00937F7C">
      <w:pPr>
        <w:pStyle w:val="Numberbullet0"/>
        <w:numPr>
          <w:ilvl w:val="0"/>
          <w:numId w:val="47"/>
        </w:numPr>
      </w:pPr>
      <w:r w:rsidRPr="00937F7C">
        <w:t>What is the proposed</w:t>
      </w:r>
      <w:r w:rsidR="000A533B">
        <w:t xml:space="preserve"> effect of calcium supplements; </w:t>
      </w:r>
      <w:r w:rsidRPr="00937F7C">
        <w:t xml:space="preserve">the </w:t>
      </w:r>
      <w:r w:rsidR="000A533B">
        <w:t>Delegate</w:t>
      </w:r>
      <w:r w:rsidRPr="00937F7C">
        <w:t xml:space="preserve"> is aware that there have been no concerns raised in the clinical studies and the binding of </w:t>
      </w:r>
      <w:r w:rsidR="000A533B">
        <w:t>potassium</w:t>
      </w:r>
      <w:r w:rsidRPr="00937F7C">
        <w:t xml:space="preserve"> </w:t>
      </w:r>
      <w:r w:rsidR="000A533B">
        <w:t>is over 50 times greater than calcium. T</w:t>
      </w:r>
      <w:r w:rsidRPr="00937F7C">
        <w:t xml:space="preserve">he question relates to the use of </w:t>
      </w:r>
      <w:r w:rsidR="000A533B" w:rsidRPr="00937F7C">
        <w:t>Lokelma</w:t>
      </w:r>
      <w:r w:rsidRPr="00937F7C">
        <w:t xml:space="preserve"> in patients who would have a high concentration of calcium in their stomach after taking calcium supplements (or as binding agents in renal impairment), and if at this high concentration </w:t>
      </w:r>
      <w:r w:rsidR="000A533B" w:rsidRPr="00937F7C">
        <w:t>Lokelma</w:t>
      </w:r>
      <w:r w:rsidRPr="00937F7C">
        <w:t xml:space="preserve"> may have an effect</w:t>
      </w:r>
      <w:r w:rsidR="00886664">
        <w:t>.</w:t>
      </w:r>
    </w:p>
    <w:p w14:paraId="3C5B1172" w14:textId="77777777" w:rsidR="00D23139" w:rsidRDefault="000A533B" w:rsidP="00D23139">
      <w:pPr>
        <w:pStyle w:val="Heading4"/>
      </w:pPr>
      <w:r>
        <w:t>Delegate’s considerations</w:t>
      </w:r>
    </w:p>
    <w:p w14:paraId="0CB909AD" w14:textId="5EB55251" w:rsidR="00937F7C" w:rsidRPr="00937F7C" w:rsidRDefault="00937F7C" w:rsidP="00937F7C">
      <w:r w:rsidRPr="00937F7C">
        <w:t>The main current issues relate to the lack of GMP clearance at the manufacturing/testing site. This is being addressed by the sponsor.</w:t>
      </w:r>
    </w:p>
    <w:p w14:paraId="31B4DB5C" w14:textId="77777777" w:rsidR="00D23139" w:rsidRDefault="00D23139" w:rsidP="00D23139">
      <w:pPr>
        <w:pStyle w:val="Heading4"/>
      </w:pPr>
      <w:r w:rsidRPr="00D23139">
        <w:t>Proposed action</w:t>
      </w:r>
    </w:p>
    <w:p w14:paraId="02502407" w14:textId="1357EE15" w:rsidR="00937F7C" w:rsidRPr="00937F7C" w:rsidRDefault="000A533B" w:rsidP="00937F7C">
      <w:r>
        <w:t>The Delegate</w:t>
      </w:r>
      <w:r w:rsidR="00EE7D8F">
        <w:t xml:space="preserve"> ha</w:t>
      </w:r>
      <w:r w:rsidR="003E2483">
        <w:t>d</w:t>
      </w:r>
      <w:r w:rsidR="00937F7C" w:rsidRPr="00937F7C">
        <w:t xml:space="preserve"> no reason to say, at this time, that the application for </w:t>
      </w:r>
      <w:r w:rsidRPr="00937F7C">
        <w:t>Lokelma</w:t>
      </w:r>
      <w:r w:rsidR="00BE0DF4">
        <w:t xml:space="preserve"> </w:t>
      </w:r>
      <w:r w:rsidR="00937F7C" w:rsidRPr="00937F7C">
        <w:t>should not be approved for registration.</w:t>
      </w:r>
    </w:p>
    <w:p w14:paraId="5782DE95" w14:textId="77777777" w:rsidR="00D23139" w:rsidRDefault="00D23139" w:rsidP="00D23139">
      <w:pPr>
        <w:pStyle w:val="Heading4"/>
      </w:pPr>
      <w:r w:rsidRPr="00D23139">
        <w:t>Request for ACPM advice</w:t>
      </w:r>
    </w:p>
    <w:p w14:paraId="52A1E341" w14:textId="77777777" w:rsidR="00937F7C" w:rsidRPr="00937F7C" w:rsidRDefault="00937F7C" w:rsidP="00937F7C">
      <w:r w:rsidRPr="00937F7C">
        <w:t>The committee is requested to provide advice on any other issues that it thinks may be relevant to a decision on whether or not to approve this application</w:t>
      </w:r>
    </w:p>
    <w:p w14:paraId="27981F63" w14:textId="77777777" w:rsidR="00D23139" w:rsidRDefault="00D23139" w:rsidP="00D23139">
      <w:pPr>
        <w:pStyle w:val="Heading4"/>
      </w:pPr>
      <w:r w:rsidRPr="00D23139">
        <w:t xml:space="preserve">Response from </w:t>
      </w:r>
      <w:r w:rsidR="00E557DC">
        <w:t>sponsor</w:t>
      </w:r>
    </w:p>
    <w:p w14:paraId="11F8EC97" w14:textId="77777777" w:rsidR="00961557" w:rsidRPr="00961557" w:rsidRDefault="00961557" w:rsidP="00961557">
      <w:r w:rsidRPr="00961557">
        <w:t>AstraZeneca’s responses to the questions put forward within the Delegate’s Request for ACPM’s Advice, dated 24 October 2016, are presented below.</w:t>
      </w:r>
    </w:p>
    <w:p w14:paraId="1599053F" w14:textId="77777777" w:rsidR="00961557" w:rsidRPr="00961557" w:rsidRDefault="000A533B" w:rsidP="000A533B">
      <w:pPr>
        <w:pStyle w:val="Heading5"/>
      </w:pPr>
      <w:r>
        <w:t>Question 1</w:t>
      </w:r>
    </w:p>
    <w:p w14:paraId="2A6AF1B1" w14:textId="77777777" w:rsidR="00961557" w:rsidRPr="00961557" w:rsidRDefault="00961557" w:rsidP="00961557">
      <w:pPr>
        <w:rPr>
          <w:i/>
        </w:rPr>
      </w:pPr>
      <w:r w:rsidRPr="00961557">
        <w:rPr>
          <w:i/>
        </w:rPr>
        <w:t>What is the status for EMA and FDA applications?</w:t>
      </w:r>
    </w:p>
    <w:p w14:paraId="63C6E8CB" w14:textId="77777777" w:rsidR="00961557" w:rsidRPr="00961557" w:rsidRDefault="000A533B" w:rsidP="00961557">
      <w:pPr>
        <w:rPr>
          <w:b/>
          <w:i/>
        </w:rPr>
      </w:pPr>
      <w:r>
        <w:rPr>
          <w:b/>
          <w:i/>
        </w:rPr>
        <w:t>AstraZeneca response:</w:t>
      </w:r>
    </w:p>
    <w:p w14:paraId="60DD9740" w14:textId="77777777" w:rsidR="00961557" w:rsidRPr="00961557" w:rsidRDefault="00961557" w:rsidP="00961557">
      <w:r w:rsidRPr="00961557">
        <w:t>An updated foreign regu</w:t>
      </w:r>
      <w:r>
        <w:t>latory status has been provided.</w:t>
      </w:r>
    </w:p>
    <w:p w14:paraId="3000547B" w14:textId="77777777" w:rsidR="00961557" w:rsidRPr="00961557" w:rsidRDefault="000A533B" w:rsidP="000A533B">
      <w:pPr>
        <w:pStyle w:val="Heading5"/>
      </w:pPr>
      <w:r>
        <w:t>Question 2</w:t>
      </w:r>
    </w:p>
    <w:p w14:paraId="17B5D18C" w14:textId="77777777" w:rsidR="00961557" w:rsidRPr="00961557" w:rsidRDefault="00961557" w:rsidP="00961557">
      <w:pPr>
        <w:rPr>
          <w:i/>
        </w:rPr>
      </w:pPr>
      <w:r w:rsidRPr="00961557">
        <w:rPr>
          <w:i/>
        </w:rPr>
        <w:t xml:space="preserve">Did the placebo have any </w:t>
      </w:r>
      <w:r w:rsidR="000A533B">
        <w:rPr>
          <w:i/>
        </w:rPr>
        <w:t>activity on blinding potassium?</w:t>
      </w:r>
    </w:p>
    <w:p w14:paraId="353499B0" w14:textId="77777777" w:rsidR="00961557" w:rsidRPr="00961557" w:rsidRDefault="00961557" w:rsidP="00961557">
      <w:pPr>
        <w:rPr>
          <w:b/>
          <w:i/>
        </w:rPr>
      </w:pPr>
      <w:r w:rsidRPr="00961557">
        <w:rPr>
          <w:b/>
          <w:i/>
        </w:rPr>
        <w:t>AstraZeneca response:</w:t>
      </w:r>
    </w:p>
    <w:p w14:paraId="3DF8C6C2" w14:textId="762D4322" w:rsidR="00961557" w:rsidRPr="00961557" w:rsidRDefault="00961557" w:rsidP="00961557">
      <w:r w:rsidRPr="00961557">
        <w:t xml:space="preserve">The potassium binding capacity (KEC) for the placebo is 0.062 </w:t>
      </w:r>
      <w:proofErr w:type="spellStart"/>
      <w:r w:rsidRPr="00961557">
        <w:t>mmol</w:t>
      </w:r>
      <w:proofErr w:type="spellEnd"/>
      <w:r w:rsidRPr="00961557">
        <w:t xml:space="preserve"> of potassium per gram of placebo as determined in an in vitro experiment</w:t>
      </w:r>
      <w:r w:rsidR="0090430C">
        <w:t xml:space="preserve"> </w:t>
      </w:r>
      <w:r w:rsidR="009C74C7">
        <w:t>[information redacted]</w:t>
      </w:r>
      <w:r w:rsidR="0090430C">
        <w:t>.</w:t>
      </w:r>
      <w:r w:rsidRPr="00961557">
        <w:t xml:space="preserve"> Given that the average dietary intake of potassium is approximately 100 </w:t>
      </w:r>
      <w:proofErr w:type="spellStart"/>
      <w:r w:rsidRPr="00961557">
        <w:t>mEq</w:t>
      </w:r>
      <w:proofErr w:type="spellEnd"/>
      <w:r w:rsidRPr="00961557">
        <w:t xml:space="preserve"> per day and therefore, the amount of potassium that can be bound by the placebo is not clinically meaningful. The amount of potassium bound by placebo would not have a clinically meaningful impact on serum potassium concentrations.</w:t>
      </w:r>
    </w:p>
    <w:p w14:paraId="0BEDE7CE" w14:textId="77777777" w:rsidR="00961557" w:rsidRPr="00961557" w:rsidRDefault="000A533B" w:rsidP="000A533B">
      <w:pPr>
        <w:pStyle w:val="Heading5"/>
      </w:pPr>
      <w:r>
        <w:t>Question 3</w:t>
      </w:r>
    </w:p>
    <w:p w14:paraId="40E28FD2" w14:textId="77777777" w:rsidR="00961557" w:rsidRPr="00961557" w:rsidRDefault="00961557" w:rsidP="00961557">
      <w:pPr>
        <w:rPr>
          <w:i/>
        </w:rPr>
      </w:pPr>
      <w:r w:rsidRPr="00961557">
        <w:rPr>
          <w:i/>
        </w:rPr>
        <w:t>What is the propose</w:t>
      </w:r>
      <w:r w:rsidR="000A533B">
        <w:rPr>
          <w:i/>
        </w:rPr>
        <w:t>d effect of calcium supplements;</w:t>
      </w:r>
      <w:r w:rsidRPr="00961557">
        <w:rPr>
          <w:i/>
        </w:rPr>
        <w:t xml:space="preserve"> the </w:t>
      </w:r>
      <w:r w:rsidR="000A533B">
        <w:rPr>
          <w:i/>
        </w:rPr>
        <w:t>Delegate</w:t>
      </w:r>
      <w:r w:rsidRPr="00961557">
        <w:rPr>
          <w:i/>
        </w:rPr>
        <w:t xml:space="preserve"> is aware that there have been no concerns raised in the clinical studies and the binding of </w:t>
      </w:r>
      <w:r w:rsidR="000A533B">
        <w:rPr>
          <w:i/>
        </w:rPr>
        <w:t>potassium</w:t>
      </w:r>
      <w:r w:rsidRPr="00961557">
        <w:rPr>
          <w:i/>
        </w:rPr>
        <w:t xml:space="preserve"> </w:t>
      </w:r>
      <w:r w:rsidR="000A533B">
        <w:rPr>
          <w:i/>
        </w:rPr>
        <w:t xml:space="preserve">is over 50 times </w:t>
      </w:r>
      <w:r w:rsidR="000A533B">
        <w:rPr>
          <w:i/>
        </w:rPr>
        <w:lastRenderedPageBreak/>
        <w:t>greater than calcium</w:t>
      </w:r>
      <w:r w:rsidRPr="00961557">
        <w:rPr>
          <w:i/>
        </w:rPr>
        <w:t xml:space="preserve">. The question relates to the use of </w:t>
      </w:r>
      <w:r w:rsidR="00BE0DF4">
        <w:rPr>
          <w:i/>
        </w:rPr>
        <w:t>Lokelma</w:t>
      </w:r>
      <w:r w:rsidRPr="00961557">
        <w:rPr>
          <w:i/>
        </w:rPr>
        <w:t xml:space="preserve"> in patients who would have a high concentration of calcium in their stomach after taking calcium supplements (or as binding agents in renal impairment), and if at this high concentration </w:t>
      </w:r>
      <w:r w:rsidR="00BE0DF4">
        <w:rPr>
          <w:i/>
        </w:rPr>
        <w:t>Lokelma</w:t>
      </w:r>
      <w:r w:rsidRPr="00961557">
        <w:rPr>
          <w:i/>
        </w:rPr>
        <w:t xml:space="preserve"> may have an effect.</w:t>
      </w:r>
    </w:p>
    <w:p w14:paraId="4EB437CA" w14:textId="77777777" w:rsidR="00961557" w:rsidRPr="00961557" w:rsidRDefault="00961557" w:rsidP="00961557">
      <w:pPr>
        <w:rPr>
          <w:b/>
          <w:i/>
        </w:rPr>
      </w:pPr>
      <w:r w:rsidRPr="00961557">
        <w:rPr>
          <w:b/>
          <w:i/>
        </w:rPr>
        <w:t>AstraZeneca response:</w:t>
      </w:r>
    </w:p>
    <w:p w14:paraId="72CD2BAD" w14:textId="77777777" w:rsidR="00886664" w:rsidRDefault="00961557" w:rsidP="00961557">
      <w:r w:rsidRPr="00961557">
        <w:t xml:space="preserve">ZS is a microporous zirconium silicate with 3A pore sizes that was designed to be selective for potassium over larger or smaller cations. Study TD15-018 investigated the ion selectivity of ZS between potassium and calcium, magnesium and ammonium. In a series of competition experiments, ZS was incubated with potassium and increasing concentrations of the other cations. Across all test conditions, the amount calcium bound to ZS ranged from undetected at low calcium concentrations to 0.37 </w:t>
      </w:r>
      <w:proofErr w:type="spellStart"/>
      <w:r w:rsidRPr="00961557">
        <w:t>mEq</w:t>
      </w:r>
      <w:proofErr w:type="spellEnd"/>
      <w:r w:rsidRPr="00961557">
        <w:t xml:space="preserve"> per gram of ZS at the highest tested calcium concentration. The presence of calcium had no significant effect on the potassium exchange capacity of ZS</w:t>
      </w:r>
      <w:r w:rsidR="00886664">
        <w:t>.</w:t>
      </w:r>
    </w:p>
    <w:p w14:paraId="4411903F" w14:textId="4F6E018B" w:rsidR="00961557" w:rsidRPr="00961557" w:rsidRDefault="00961557" w:rsidP="00961557">
      <w:r w:rsidRPr="00961557">
        <w:t xml:space="preserve">The potential for calcium ions to bind to ZS was also evaluated in the absence of competing potassium in studies TR-111413-DDI-P0072 and TR-081115-DDI-P0118. In these studies, the solubility of calcium carbonate tablets (TUMS) was determined in different aqueous media with and without ZS. The results are summarised </w:t>
      </w:r>
      <w:r w:rsidRPr="00861D1C">
        <w:t xml:space="preserve">below in Table </w:t>
      </w:r>
      <w:r w:rsidR="009C74C7" w:rsidRPr="00861D1C">
        <w:t>1</w:t>
      </w:r>
      <w:r w:rsidR="0090430C">
        <w:t>3</w:t>
      </w:r>
      <w:r w:rsidRPr="00861D1C">
        <w:t>.</w:t>
      </w:r>
    </w:p>
    <w:p w14:paraId="70D79939" w14:textId="480C6203" w:rsidR="00961557" w:rsidRPr="00961557" w:rsidRDefault="00961557" w:rsidP="000A533B">
      <w:pPr>
        <w:pStyle w:val="Tabletitle0"/>
      </w:pPr>
      <w:r w:rsidRPr="00961557">
        <w:t xml:space="preserve">Table </w:t>
      </w:r>
      <w:r w:rsidR="009C74C7">
        <w:t>1</w:t>
      </w:r>
      <w:r w:rsidR="0090430C">
        <w:t>3</w:t>
      </w:r>
      <w:r w:rsidR="00861D1C">
        <w:t>:</w:t>
      </w:r>
      <w:r w:rsidRPr="00961557">
        <w:t xml:space="preserve"> The solubility of calcium carbonate tablets (TUMS) in different aqueous media with and without ZS</w:t>
      </w:r>
    </w:p>
    <w:p w14:paraId="1A1E25D5" w14:textId="77777777" w:rsidR="00961557" w:rsidRDefault="00961557" w:rsidP="00961557">
      <w:r>
        <w:rPr>
          <w:noProof/>
          <w:lang w:eastAsia="en-AU"/>
        </w:rPr>
        <w:drawing>
          <wp:inline distT="0" distB="0" distL="0" distR="0" wp14:anchorId="293656C9" wp14:editId="24AC1332">
            <wp:extent cx="4937760" cy="2225158"/>
            <wp:effectExtent l="0" t="0" r="0" b="3810"/>
            <wp:docPr id="13" name="Picture 13" descr="Table 11: The solubility of calcium carbonate tablets (TUMS) in different aqueous media with and without 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947588" cy="2229587"/>
                    </a:xfrm>
                    <a:prstGeom prst="rect">
                      <a:avLst/>
                    </a:prstGeom>
                  </pic:spPr>
                </pic:pic>
              </a:graphicData>
            </a:graphic>
          </wp:inline>
        </w:drawing>
      </w:r>
    </w:p>
    <w:p w14:paraId="119E1541" w14:textId="77777777" w:rsidR="00886664" w:rsidRDefault="00961557" w:rsidP="00961557">
      <w:r w:rsidRPr="00961557">
        <w:t>In simulated gastric fluid (SGF) containing 50 mg/ml ZS and 5 mg/ml CaCO</w:t>
      </w:r>
      <w:r w:rsidRPr="000A533B">
        <w:rPr>
          <w:vertAlign w:val="subscript"/>
        </w:rPr>
        <w:t>3</w:t>
      </w:r>
      <w:r w:rsidRPr="00961557">
        <w:t>, a 45.8% decrease in calcium ion concentration was observed compared to the control sample without ZS. This difference can partly be attributed to decrease in CaCO</w:t>
      </w:r>
      <w:r w:rsidRPr="000A533B">
        <w:rPr>
          <w:vertAlign w:val="subscript"/>
        </w:rPr>
        <w:t>3</w:t>
      </w:r>
      <w:r w:rsidRPr="00961557">
        <w:t xml:space="preserve"> solubility that occurred with the increase in pH when ZS was added to the system. No appreciable change in calcium ion concentration was observed in the two other experiments were the CaCO</w:t>
      </w:r>
      <w:r w:rsidRPr="000A533B">
        <w:rPr>
          <w:vertAlign w:val="subscript"/>
        </w:rPr>
        <w:t>3</w:t>
      </w:r>
      <w:r w:rsidRPr="00961557">
        <w:t xml:space="preserve"> was fully dissolved</w:t>
      </w:r>
      <w:r w:rsidR="00886664">
        <w:t>.</w:t>
      </w:r>
    </w:p>
    <w:p w14:paraId="78A20CEA" w14:textId="77777777" w:rsidR="00961557" w:rsidRPr="00961557" w:rsidRDefault="00961557" w:rsidP="00961557">
      <w:r w:rsidRPr="00961557">
        <w:t>All three studies show that ZS has a very low capacity to bind calcium ions as would be predicted by the microporous nature of ZS and the large hydration sphere of Ca ions. Furthermore, any small amount of calcium that may bind to ZS will be released as the calcium concentration in the surrounding media decreases due to either absorption or binding to phosphate.</w:t>
      </w:r>
    </w:p>
    <w:p w14:paraId="7BD676F3" w14:textId="77777777" w:rsidR="00961557" w:rsidRPr="00961557" w:rsidRDefault="00961557" w:rsidP="00961557">
      <w:r w:rsidRPr="00961557">
        <w:t>Based on these data, concomitant administration of ZS with calcium containing products would not be expected to interfere with the potassium binding capacity of ZS or the effects of calcium in the gastrointestinal tract.</w:t>
      </w:r>
    </w:p>
    <w:p w14:paraId="6D9E318D" w14:textId="7BEA4BE6" w:rsidR="008E7846" w:rsidRDefault="008E7846" w:rsidP="008E7846">
      <w:pPr>
        <w:pStyle w:val="Heading4"/>
      </w:pPr>
      <w:r>
        <w:lastRenderedPageBreak/>
        <w:t xml:space="preserve">Advisory </w:t>
      </w:r>
      <w:r w:rsidR="007B4BEB">
        <w:t>committee considerations</w:t>
      </w:r>
    </w:p>
    <w:p w14:paraId="68DFD000" w14:textId="77777777" w:rsidR="008E7846" w:rsidRDefault="00D23139" w:rsidP="008E7846">
      <w:pPr>
        <w:rPr>
          <w:bCs/>
        </w:rPr>
      </w:pPr>
      <w:r w:rsidRPr="00D23139">
        <w:rPr>
          <w:bCs/>
        </w:rPr>
        <w:t>The Advisory Committee on Prescription Medicines (ACPM), having considered the evaluations and the Delegate’s overview, as well as the sponsor’s response to these documents, advised the following:</w:t>
      </w:r>
    </w:p>
    <w:p w14:paraId="6D3B91D9" w14:textId="77777777" w:rsidR="00DA0A0E" w:rsidRPr="00DA0A0E" w:rsidRDefault="00DA0A0E" w:rsidP="00DA0A0E">
      <w:r w:rsidRPr="00DA0A0E">
        <w:t xml:space="preserve">The ACPM resolved to recommend to the TGA </w:t>
      </w:r>
      <w:r w:rsidR="000A533B">
        <w:t>Delegate</w:t>
      </w:r>
      <w:r w:rsidRPr="00DA0A0E">
        <w:t xml:space="preserve"> of the Secretary that:</w:t>
      </w:r>
    </w:p>
    <w:p w14:paraId="215729B8" w14:textId="77777777" w:rsidR="00DA0A0E" w:rsidRDefault="00DA0A0E" w:rsidP="00DA0A0E">
      <w:r w:rsidRPr="00DA0A0E">
        <w:t>The ACPM, taking into account the submitted evidence o</w:t>
      </w:r>
      <w:r>
        <w:t xml:space="preserve">f efficacy, safety and quality, </w:t>
      </w:r>
      <w:r w:rsidRPr="00DA0A0E">
        <w:t xml:space="preserve">agreed with the </w:t>
      </w:r>
      <w:r w:rsidR="000A533B">
        <w:t>Delegate</w:t>
      </w:r>
      <w:r w:rsidRPr="00DA0A0E">
        <w:t xml:space="preserve"> and considered </w:t>
      </w:r>
      <w:r w:rsidR="00BE0DF4">
        <w:t>Lokelma</w:t>
      </w:r>
      <w:r w:rsidRPr="00DA0A0E">
        <w:t xml:space="preserve"> powder</w:t>
      </w:r>
      <w:r>
        <w:t xml:space="preserve"> for oral suspension containing </w:t>
      </w:r>
      <w:r w:rsidRPr="00DA0A0E">
        <w:t>5 g and 10 g of sodium zirconium cyclosilicate hyd</w:t>
      </w:r>
      <w:r>
        <w:t xml:space="preserve">rate to have an overall positive </w:t>
      </w:r>
      <w:r w:rsidRPr="00DA0A0E">
        <w:t>benefit</w:t>
      </w:r>
      <w:r>
        <w:noBreakHyphen/>
        <w:t xml:space="preserve">risk </w:t>
      </w:r>
      <w:r w:rsidRPr="00DA0A0E">
        <w:t>profile for the modified indication;</w:t>
      </w:r>
    </w:p>
    <w:p w14:paraId="27E8434C" w14:textId="77777777" w:rsidR="00DA0A0E" w:rsidRDefault="00BE0DF4" w:rsidP="00DA0A0E">
      <w:pPr>
        <w:ind w:left="720"/>
        <w:rPr>
          <w:i/>
        </w:rPr>
      </w:pPr>
      <w:r>
        <w:rPr>
          <w:i/>
        </w:rPr>
        <w:t>Lokelma</w:t>
      </w:r>
      <w:r w:rsidR="00DA0A0E" w:rsidRPr="00DA0A0E">
        <w:rPr>
          <w:i/>
        </w:rPr>
        <w:t xml:space="preserve"> is indicated in the treatment of </w:t>
      </w:r>
      <w:r w:rsidR="000A533B" w:rsidRPr="00DA0A0E">
        <w:rPr>
          <w:i/>
        </w:rPr>
        <w:t>hyperkalaemia</w:t>
      </w:r>
      <w:r w:rsidR="000A533B">
        <w:rPr>
          <w:i/>
        </w:rPr>
        <w:t xml:space="preserve"> </w:t>
      </w:r>
      <w:r w:rsidR="00DA0A0E" w:rsidRPr="00DA0A0E">
        <w:rPr>
          <w:i/>
        </w:rPr>
        <w:t>in adults</w:t>
      </w:r>
    </w:p>
    <w:p w14:paraId="146A9114" w14:textId="77777777" w:rsidR="00DA0A0E" w:rsidRPr="00DA0A0E" w:rsidRDefault="00DA0A0E" w:rsidP="00DA0A0E">
      <w:r w:rsidRPr="00DA0A0E">
        <w:t>In making this recommendation the ACPM</w:t>
      </w:r>
    </w:p>
    <w:p w14:paraId="574C7745" w14:textId="77777777" w:rsidR="00DA0A0E" w:rsidRPr="00DA0A0E" w:rsidRDefault="00DA0A0E" w:rsidP="00DA0A0E">
      <w:pPr>
        <w:pStyle w:val="ListBullet"/>
      </w:pPr>
      <w:r w:rsidRPr="00DA0A0E">
        <w:t>noted hyperkalaemia is not a diagnosis but a metabolic</w:t>
      </w:r>
      <w:r>
        <w:t xml:space="preserve"> situation and the aetiology of </w:t>
      </w:r>
      <w:r w:rsidRPr="00DA0A0E">
        <w:t>the hyperkalaemia should be investigated</w:t>
      </w:r>
    </w:p>
    <w:p w14:paraId="2B886517" w14:textId="77777777" w:rsidR="00DA0A0E" w:rsidRPr="00DA0A0E" w:rsidRDefault="00DA0A0E" w:rsidP="00DA0A0E">
      <w:pPr>
        <w:pStyle w:val="ListBullet"/>
      </w:pPr>
      <w:r w:rsidRPr="00DA0A0E">
        <w:t>noted evidence for safety and efficacy is acceptable</w:t>
      </w:r>
    </w:p>
    <w:p w14:paraId="2A9AE0B9" w14:textId="761DE195" w:rsidR="00DA0A0E" w:rsidRDefault="00DA0A0E" w:rsidP="00DA0A0E">
      <w:pPr>
        <w:pStyle w:val="ListBullet"/>
      </w:pPr>
      <w:proofErr w:type="gramStart"/>
      <w:r w:rsidRPr="00DA0A0E">
        <w:t>was</w:t>
      </w:r>
      <w:proofErr w:type="gramEnd"/>
      <w:r w:rsidRPr="00DA0A0E">
        <w:t xml:space="preserve"> of the view that the PI required considerable amendment</w:t>
      </w:r>
      <w:r w:rsidR="0001653E">
        <w:t>.</w:t>
      </w:r>
    </w:p>
    <w:p w14:paraId="12ABE9FC" w14:textId="77777777" w:rsidR="00DA0A0E" w:rsidRPr="00DA0A0E" w:rsidRDefault="00DA0A0E" w:rsidP="00DA0A0E">
      <w:pPr>
        <w:pStyle w:val="Heading5"/>
        <w:rPr>
          <w:rFonts w:eastAsiaTheme="minorHAnsi"/>
        </w:rPr>
      </w:pPr>
      <w:r w:rsidRPr="00DA0A0E">
        <w:rPr>
          <w:rFonts w:eastAsiaTheme="minorHAnsi"/>
        </w:rPr>
        <w:t>Proposed conditions of registration</w:t>
      </w:r>
    </w:p>
    <w:p w14:paraId="683C14AD" w14:textId="77777777" w:rsidR="00DA0A0E" w:rsidRPr="00DA0A0E" w:rsidRDefault="00DA0A0E" w:rsidP="00DA0A0E">
      <w:r w:rsidRPr="00DA0A0E">
        <w:t>The ACPM proposed the follo</w:t>
      </w:r>
      <w:r w:rsidR="000A533B">
        <w:t>wing conditions of registration</w:t>
      </w:r>
    </w:p>
    <w:p w14:paraId="63F23086" w14:textId="77777777" w:rsidR="00DA0A0E" w:rsidRPr="00DA0A0E" w:rsidRDefault="00DA0A0E" w:rsidP="00DA0A0E">
      <w:pPr>
        <w:pStyle w:val="ListBullet"/>
      </w:pPr>
      <w:r w:rsidRPr="00DA0A0E">
        <w:t>Subject to satisfactory implementation of the Ris</w:t>
      </w:r>
      <w:r>
        <w:t xml:space="preserve">k Management Plan most recently </w:t>
      </w:r>
      <w:r w:rsidRPr="00DA0A0E">
        <w:t>negotiated by the TGA,</w:t>
      </w:r>
    </w:p>
    <w:p w14:paraId="5D3C724C" w14:textId="77777777" w:rsidR="00DA0A0E" w:rsidRPr="00DA0A0E" w:rsidRDefault="00DA0A0E" w:rsidP="00DA0A0E">
      <w:pPr>
        <w:pStyle w:val="ListBullet"/>
      </w:pPr>
      <w:r w:rsidRPr="00DA0A0E">
        <w:t>Negotiation of Product Information and Consum</w:t>
      </w:r>
      <w:r>
        <w:t xml:space="preserve">er Medicines Information to the </w:t>
      </w:r>
      <w:r w:rsidRPr="00DA0A0E">
        <w:t>satisfaction of the TGA.</w:t>
      </w:r>
    </w:p>
    <w:p w14:paraId="72F9C3D8" w14:textId="77777777" w:rsidR="00DA0A0E" w:rsidRPr="00DA0A0E" w:rsidRDefault="00DA0A0E" w:rsidP="00DA0A0E">
      <w:pPr>
        <w:pStyle w:val="Heading5"/>
        <w:rPr>
          <w:rFonts w:eastAsiaTheme="minorHAnsi"/>
        </w:rPr>
      </w:pPr>
      <w:r w:rsidRPr="00DA0A0E">
        <w:rPr>
          <w:rFonts w:eastAsiaTheme="minorHAnsi"/>
        </w:rPr>
        <w:t>Proposed Product</w:t>
      </w:r>
      <w:r>
        <w:t xml:space="preserve"> Informa</w:t>
      </w:r>
      <w:r w:rsidRPr="00DA0A0E">
        <w:t>tion</w:t>
      </w:r>
      <w:r>
        <w:t xml:space="preserve"> (PI)</w:t>
      </w:r>
      <w:r w:rsidRPr="00DA0A0E">
        <w:rPr>
          <w:rFonts w:eastAsiaTheme="minorHAnsi"/>
        </w:rPr>
        <w:t>/Consumer Medicine</w:t>
      </w:r>
      <w:r>
        <w:t xml:space="preserve"> Information (CMI) </w:t>
      </w:r>
      <w:r w:rsidRPr="00DA0A0E">
        <w:rPr>
          <w:rFonts w:eastAsiaTheme="minorHAnsi"/>
        </w:rPr>
        <w:t>amendments</w:t>
      </w:r>
    </w:p>
    <w:p w14:paraId="72DB276F" w14:textId="77777777" w:rsidR="00DA0A0E" w:rsidRPr="00DA0A0E" w:rsidRDefault="00DA0A0E" w:rsidP="00DA0A0E">
      <w:r w:rsidRPr="00DA0A0E">
        <w:t xml:space="preserve">The ACPM agreed with the </w:t>
      </w:r>
      <w:r w:rsidR="000A533B">
        <w:t>Delegate</w:t>
      </w:r>
      <w:r w:rsidRPr="00DA0A0E">
        <w:t xml:space="preserve"> to the pro</w:t>
      </w:r>
      <w:r>
        <w:t>posed amendments to the Product Information (PI</w:t>
      </w:r>
      <w:r w:rsidRPr="00DA0A0E">
        <w:t>) and Co</w:t>
      </w:r>
      <w:r>
        <w:t xml:space="preserve">nsumer Medicine Information (CMI) and specifically advised on </w:t>
      </w:r>
      <w:r w:rsidR="000A533B">
        <w:t>the inclusion of the following:</w:t>
      </w:r>
    </w:p>
    <w:p w14:paraId="5C84B1CD" w14:textId="77777777" w:rsidR="00DA0A0E" w:rsidRPr="00DA0A0E" w:rsidRDefault="00DA0A0E" w:rsidP="00DA0A0E">
      <w:pPr>
        <w:pStyle w:val="ListBullet"/>
      </w:pPr>
      <w:r w:rsidRPr="00DA0A0E">
        <w:t xml:space="preserve">Statements in the </w:t>
      </w:r>
      <w:r w:rsidR="000A533B" w:rsidRPr="00DA0A0E">
        <w:t>precautions</w:t>
      </w:r>
      <w:r w:rsidRPr="00DA0A0E">
        <w:t xml:space="preserve"> section of the PI and relevant sections of the CMI to reference that there are many causes of hyperkalaemia and that these must be investigated in conjunction with this acute treatment.</w:t>
      </w:r>
    </w:p>
    <w:p w14:paraId="69A5F5A3" w14:textId="77777777" w:rsidR="00DA0A0E" w:rsidRPr="00DA0A0E" w:rsidRDefault="00DA0A0E" w:rsidP="00DA0A0E">
      <w:pPr>
        <w:pStyle w:val="ListBullet"/>
      </w:pPr>
      <w:r>
        <w:t xml:space="preserve">A </w:t>
      </w:r>
      <w:r w:rsidRPr="00DA0A0E">
        <w:t xml:space="preserve">statement in the </w:t>
      </w:r>
      <w:r w:rsidR="000A533B" w:rsidRPr="00DA0A0E">
        <w:t>dosage and administrat</w:t>
      </w:r>
      <w:r w:rsidR="000A533B">
        <w:t xml:space="preserve">ion and precautions </w:t>
      </w:r>
      <w:r>
        <w:t xml:space="preserve">sections of </w:t>
      </w:r>
      <w:r w:rsidRPr="00DA0A0E">
        <w:t>the PI to accurately reflect the that treatment shou</w:t>
      </w:r>
      <w:r>
        <w:t xml:space="preserve">ld not be initiated until blood </w:t>
      </w:r>
      <w:r w:rsidRPr="00DA0A0E">
        <w:t xml:space="preserve">potassium levels are greater than 5.5 or 6 </w:t>
      </w:r>
      <w:r>
        <w:t xml:space="preserve">and treatment should cease when </w:t>
      </w:r>
      <w:r w:rsidRPr="00DA0A0E">
        <w:t>potassium levels fall to 4.5 or below</w:t>
      </w:r>
    </w:p>
    <w:p w14:paraId="1ECD6B33" w14:textId="77777777" w:rsidR="00DA0A0E" w:rsidRPr="00DA0A0E" w:rsidRDefault="00DA0A0E" w:rsidP="00DA0A0E">
      <w:pPr>
        <w:pStyle w:val="ListBullet"/>
      </w:pPr>
      <w:r w:rsidRPr="00DA0A0E">
        <w:t xml:space="preserve">statements in the PI and relevant sections of the </w:t>
      </w:r>
      <w:proofErr w:type="spellStart"/>
      <w:r w:rsidRPr="00DA0A0E">
        <w:t>CMl</w:t>
      </w:r>
      <w:proofErr w:type="spellEnd"/>
      <w:r w:rsidR="000A533B">
        <w:t>,</w:t>
      </w:r>
      <w:r w:rsidRPr="00DA0A0E">
        <w:t xml:space="preserve"> to ensure that all long term</w:t>
      </w:r>
      <w:r>
        <w:t xml:space="preserve"> </w:t>
      </w:r>
      <w:r w:rsidR="00BE0DF4">
        <w:t>Lokelma</w:t>
      </w:r>
      <w:r w:rsidRPr="00DA0A0E">
        <w:t xml:space="preserve"> patients</w:t>
      </w:r>
    </w:p>
    <w:p w14:paraId="4996361B" w14:textId="77777777" w:rsidR="00DA0A0E" w:rsidRPr="000A533B" w:rsidRDefault="00DA0A0E" w:rsidP="000A533B">
      <w:pPr>
        <w:pStyle w:val="ListBullet2"/>
      </w:pPr>
      <w:r w:rsidRPr="000A533B">
        <w:t>Receive formal dietary advice</w:t>
      </w:r>
    </w:p>
    <w:p w14:paraId="22A67497" w14:textId="77777777" w:rsidR="00DA0A0E" w:rsidRPr="000A533B" w:rsidRDefault="00DA0A0E" w:rsidP="000A533B">
      <w:pPr>
        <w:pStyle w:val="ListBullet2"/>
      </w:pPr>
      <w:r w:rsidRPr="000A533B">
        <w:t>have an evaluation of the need for medication such as ACE inhibitors and diuretics</w:t>
      </w:r>
    </w:p>
    <w:p w14:paraId="66D382F8" w14:textId="77777777" w:rsidR="00DA0A0E" w:rsidRPr="000A533B" w:rsidRDefault="00DA0A0E" w:rsidP="000A533B">
      <w:pPr>
        <w:pStyle w:val="ListBullet2"/>
      </w:pPr>
      <w:r w:rsidRPr="000A533B">
        <w:t>where possible treat acidosis</w:t>
      </w:r>
    </w:p>
    <w:p w14:paraId="5B54542F" w14:textId="77777777" w:rsidR="00DA0A0E" w:rsidRPr="000A533B" w:rsidRDefault="00DA0A0E" w:rsidP="000A533B">
      <w:pPr>
        <w:pStyle w:val="ListBullet2"/>
      </w:pPr>
      <w:r w:rsidRPr="000A533B">
        <w:t>patients with heart failure be warned of risk of fluid overload</w:t>
      </w:r>
    </w:p>
    <w:p w14:paraId="4D2E8516" w14:textId="77777777" w:rsidR="00DA0A0E" w:rsidRPr="000A533B" w:rsidRDefault="00DA0A0E" w:rsidP="000A533B">
      <w:pPr>
        <w:pStyle w:val="ListBullet2"/>
      </w:pPr>
      <w:r w:rsidRPr="000A533B">
        <w:t>consider the possibility of K depletion with long term use</w:t>
      </w:r>
    </w:p>
    <w:p w14:paraId="0CB47A0E" w14:textId="77777777" w:rsidR="00DA0A0E" w:rsidRPr="00DA0A0E" w:rsidRDefault="00DA0A0E" w:rsidP="00E55376">
      <w:pPr>
        <w:pStyle w:val="ListBullet"/>
      </w:pPr>
      <w:r w:rsidRPr="00DA0A0E">
        <w:t>The terminology for Chronic Kidney Disease stag</w:t>
      </w:r>
      <w:r w:rsidR="00E55376">
        <w:t xml:space="preserve">es should be included in the PI </w:t>
      </w:r>
      <w:r w:rsidRPr="00DA0A0E">
        <w:t>when referring to degrees of renal impa</w:t>
      </w:r>
      <w:r w:rsidR="00E55376">
        <w:t xml:space="preserve">irment and there should be more </w:t>
      </w:r>
      <w:r w:rsidRPr="00DA0A0E">
        <w:t xml:space="preserve">informative </w:t>
      </w:r>
      <w:r w:rsidRPr="00DA0A0E">
        <w:lastRenderedPageBreak/>
        <w:t>statements on use in dialysis, or stateme</w:t>
      </w:r>
      <w:r w:rsidR="00E55376">
        <w:t xml:space="preserve">nts to the effect that there is </w:t>
      </w:r>
      <w:r w:rsidRPr="00DA0A0E">
        <w:t>limited information about use in dialysis</w:t>
      </w:r>
      <w:r w:rsidR="000A533B">
        <w:t>.</w:t>
      </w:r>
    </w:p>
    <w:p w14:paraId="02BB357E" w14:textId="3E3B3B1C" w:rsidR="00DA0A0E" w:rsidRPr="00DA0A0E" w:rsidRDefault="00DA0A0E" w:rsidP="00E55376">
      <w:pPr>
        <w:pStyle w:val="Heading5"/>
        <w:rPr>
          <w:rFonts w:eastAsiaTheme="minorHAnsi"/>
        </w:rPr>
      </w:pPr>
      <w:r w:rsidRPr="00DA0A0E">
        <w:rPr>
          <w:rFonts w:eastAsiaTheme="minorHAnsi"/>
        </w:rPr>
        <w:t xml:space="preserve">Specific </w:t>
      </w:r>
      <w:r w:rsidR="007B4BEB">
        <w:rPr>
          <w:rFonts w:eastAsiaTheme="minorHAnsi"/>
        </w:rPr>
        <w:t>a</w:t>
      </w:r>
      <w:r w:rsidRPr="00DA0A0E">
        <w:rPr>
          <w:rFonts w:eastAsiaTheme="minorHAnsi"/>
        </w:rPr>
        <w:t>dvice</w:t>
      </w:r>
    </w:p>
    <w:p w14:paraId="62FFE469" w14:textId="77777777" w:rsidR="00DA0A0E" w:rsidRPr="00DA0A0E" w:rsidRDefault="00DA0A0E" w:rsidP="00DA0A0E">
      <w:r w:rsidRPr="00DA0A0E">
        <w:t xml:space="preserve">The ACPM advised the following in response to the </w:t>
      </w:r>
      <w:r w:rsidR="000A533B">
        <w:t>Delegate</w:t>
      </w:r>
      <w:r w:rsidR="00E55376">
        <w:t xml:space="preserve">'s specific questions on this </w:t>
      </w:r>
      <w:r w:rsidRPr="00DA0A0E">
        <w:t>submission:</w:t>
      </w:r>
    </w:p>
    <w:p w14:paraId="0DEA6E7C" w14:textId="77777777" w:rsidR="00DA0A0E" w:rsidRPr="00E55376" w:rsidRDefault="00DA0A0E" w:rsidP="00E55376">
      <w:pPr>
        <w:pStyle w:val="Numberbullet0"/>
        <w:numPr>
          <w:ilvl w:val="0"/>
          <w:numId w:val="39"/>
        </w:numPr>
        <w:rPr>
          <w:i/>
        </w:rPr>
      </w:pPr>
      <w:r w:rsidRPr="00E55376">
        <w:rPr>
          <w:i/>
        </w:rPr>
        <w:t>The main current</w:t>
      </w:r>
      <w:r w:rsidR="00E55376" w:rsidRPr="00E55376">
        <w:rPr>
          <w:i/>
        </w:rPr>
        <w:t xml:space="preserve"> </w:t>
      </w:r>
      <w:r w:rsidRPr="00E55376">
        <w:rPr>
          <w:i/>
        </w:rPr>
        <w:t>issues relate to t</w:t>
      </w:r>
      <w:r w:rsidR="00E55376" w:rsidRPr="00E55376">
        <w:rPr>
          <w:i/>
        </w:rPr>
        <w:t xml:space="preserve">he lack of GMP clearance at the </w:t>
      </w:r>
      <w:r w:rsidRPr="00E55376">
        <w:rPr>
          <w:i/>
        </w:rPr>
        <w:t xml:space="preserve">manufacturing/testing site. This is being addressed by the </w:t>
      </w:r>
      <w:r w:rsidR="00E557DC">
        <w:rPr>
          <w:i/>
        </w:rPr>
        <w:t>sponsor</w:t>
      </w:r>
      <w:r w:rsidRPr="00E55376">
        <w:rPr>
          <w:i/>
        </w:rPr>
        <w:t>.</w:t>
      </w:r>
    </w:p>
    <w:p w14:paraId="759D4976" w14:textId="1E18DB51" w:rsidR="00DA0A0E" w:rsidRPr="00DA0A0E" w:rsidRDefault="00DA0A0E" w:rsidP="00DA0A0E">
      <w:r w:rsidRPr="00DA0A0E">
        <w:t xml:space="preserve">The ACPM noted GMP </w:t>
      </w:r>
      <w:r w:rsidR="00E55376" w:rsidRPr="00DA0A0E">
        <w:t>clearance</w:t>
      </w:r>
      <w:r w:rsidRPr="00DA0A0E">
        <w:t xml:space="preserve"> would be required prior to </w:t>
      </w:r>
      <w:r w:rsidR="000A533B" w:rsidRPr="00DA0A0E">
        <w:t>registration</w:t>
      </w:r>
      <w:r w:rsidRPr="00DA0A0E">
        <w:t xml:space="preserve"> </w:t>
      </w:r>
      <w:r w:rsidR="00E55376" w:rsidRPr="00DA0A0E">
        <w:t>and</w:t>
      </w:r>
      <w:r w:rsidR="000A533B">
        <w:t xml:space="preserve"> tha</w:t>
      </w:r>
      <w:r w:rsidR="00E55376">
        <w:t xml:space="preserve">t </w:t>
      </w:r>
      <w:r w:rsidR="000A533B">
        <w:t>Lokelma</w:t>
      </w:r>
      <w:r w:rsidR="00E55376">
        <w:t xml:space="preserve"> </w:t>
      </w:r>
      <w:r w:rsidR="00E55376" w:rsidRPr="00DA0A0E">
        <w:t>was</w:t>
      </w:r>
      <w:r w:rsidRPr="00DA0A0E">
        <w:t xml:space="preserve"> not re</w:t>
      </w:r>
      <w:r w:rsidR="00E55376">
        <w:t>g</w:t>
      </w:r>
      <w:r w:rsidRPr="00DA0A0E">
        <w:t>istered by EMA or FDA.</w:t>
      </w:r>
    </w:p>
    <w:p w14:paraId="2E181979" w14:textId="06CF76B1" w:rsidR="00E55376" w:rsidRPr="00E55376" w:rsidRDefault="00E55376" w:rsidP="00E55376">
      <w:r w:rsidRPr="00E55376">
        <w:t xml:space="preserve">The ACPM expressed concern </w:t>
      </w:r>
      <w:r>
        <w:t>a</w:t>
      </w:r>
      <w:r w:rsidRPr="00E55376">
        <w:t xml:space="preserve">bout </w:t>
      </w:r>
      <w:r>
        <w:t>app</w:t>
      </w:r>
      <w:r w:rsidRPr="00E55376">
        <w:t xml:space="preserve">ropriate use </w:t>
      </w:r>
      <w:r>
        <w:t xml:space="preserve">of </w:t>
      </w:r>
      <w:r w:rsidR="00BE0DF4">
        <w:t>Lokelma</w:t>
      </w:r>
      <w:r w:rsidRPr="00E55376">
        <w:t xml:space="preserve"> by prescribers without</w:t>
      </w:r>
      <w:r>
        <w:t xml:space="preserve"> </w:t>
      </w:r>
      <w:r w:rsidRPr="00E55376">
        <w:t xml:space="preserve">considering aetiology, use in mild hyperkalaemia which </w:t>
      </w:r>
      <w:r>
        <w:t>may</w:t>
      </w:r>
      <w:r w:rsidRPr="00E55376">
        <w:t xml:space="preserve"> not be the</w:t>
      </w:r>
      <w:r>
        <w:t>ra</w:t>
      </w:r>
      <w:r w:rsidRPr="00E55376">
        <w:t>peutically necessary</w:t>
      </w:r>
      <w:r>
        <w:t xml:space="preserve"> if irreversible causes a</w:t>
      </w:r>
      <w:r w:rsidRPr="00E55376">
        <w:t xml:space="preserve">re treated or long term use </w:t>
      </w:r>
      <w:r>
        <w:t>as thi</w:t>
      </w:r>
      <w:r w:rsidRPr="00E55376">
        <w:t>s has</w:t>
      </w:r>
      <w:r>
        <w:t xml:space="preserve"> not previously been a</w:t>
      </w:r>
      <w:r w:rsidRPr="00E55376">
        <w:t>n accepted</w:t>
      </w:r>
      <w:r>
        <w:t xml:space="preserve"> </w:t>
      </w:r>
      <w:r w:rsidRPr="00E55376">
        <w:t>the</w:t>
      </w:r>
      <w:r>
        <w:t>ra</w:t>
      </w:r>
      <w:r w:rsidRPr="00E55376">
        <w:t>py</w:t>
      </w:r>
      <w:r>
        <w:t>. The limited nat</w:t>
      </w:r>
      <w:r w:rsidRPr="00E55376">
        <w:t>ure</w:t>
      </w:r>
      <w:r>
        <w:t xml:space="preserve"> of the long term studies wa</w:t>
      </w:r>
      <w:r w:rsidRPr="00E55376">
        <w:t>s noted.</w:t>
      </w:r>
    </w:p>
    <w:p w14:paraId="6D95F61E" w14:textId="186790E8" w:rsidR="00DA0A0E" w:rsidRPr="00E55376" w:rsidRDefault="00E55376" w:rsidP="00E55376">
      <w:r w:rsidRPr="00E55376">
        <w:t xml:space="preserve">The ACPM advised that implementation by the </w:t>
      </w:r>
      <w:r w:rsidR="00E557DC">
        <w:t>sponsor</w:t>
      </w:r>
      <w:r w:rsidRPr="00E55376">
        <w:t xml:space="preserve"> </w:t>
      </w:r>
      <w:r>
        <w:t xml:space="preserve">of the recommendations outlined </w:t>
      </w:r>
      <w:r w:rsidRPr="00E55376">
        <w:t xml:space="preserve">above to the satisfaction of the TGA, in addition to the </w:t>
      </w:r>
      <w:r>
        <w:t xml:space="preserve">evidence of efficacy and safety </w:t>
      </w:r>
      <w:r w:rsidRPr="00E55376">
        <w:t>provided would support</w:t>
      </w:r>
      <w:r>
        <w:t xml:space="preserve"> </w:t>
      </w:r>
      <w:r w:rsidRPr="00E55376">
        <w:t>the safe and effective use of these products</w:t>
      </w:r>
      <w:r>
        <w:t>.</w:t>
      </w:r>
    </w:p>
    <w:p w14:paraId="2D0FE1D3" w14:textId="127BE642" w:rsidR="00DA0A0E" w:rsidRPr="00DA0A0E" w:rsidRDefault="003F2A73" w:rsidP="003F2A73">
      <w:pPr>
        <w:pStyle w:val="Heading4"/>
      </w:pPr>
      <w:r>
        <w:t xml:space="preserve">Post ACPM </w:t>
      </w:r>
      <w:r w:rsidR="007B4BEB">
        <w:t>n</w:t>
      </w:r>
      <w:r>
        <w:t>egotiations</w:t>
      </w:r>
    </w:p>
    <w:p w14:paraId="5557181E" w14:textId="77777777" w:rsidR="00DA0A0E" w:rsidRPr="00DA0A0E" w:rsidRDefault="003F2A73" w:rsidP="003F2A73">
      <w:pPr>
        <w:pStyle w:val="Heading5"/>
      </w:pPr>
      <w:r>
        <w:t>Delegate request to sponsor</w:t>
      </w:r>
    </w:p>
    <w:p w14:paraId="09452725" w14:textId="77777777" w:rsidR="00DA0A0E" w:rsidRDefault="003F2A73" w:rsidP="00DA0A0E">
      <w:r>
        <w:t>The Delegate</w:t>
      </w:r>
      <w:r w:rsidR="00700AFC">
        <w:t xml:space="preserve"> requested amendments to the PI and</w:t>
      </w:r>
      <w:r>
        <w:t xml:space="preserve"> CM</w:t>
      </w:r>
      <w:r w:rsidR="00700AFC">
        <w:t xml:space="preserve">I based on the advice from </w:t>
      </w:r>
      <w:r>
        <w:t xml:space="preserve">the </w:t>
      </w:r>
      <w:r w:rsidR="00700AFC">
        <w:t>ACPM and to the RMP and ASA based on advice from ASCOM, ACPM and the Delegate.</w:t>
      </w:r>
    </w:p>
    <w:p w14:paraId="3CFB6DAA" w14:textId="77777777" w:rsidR="00700AFC" w:rsidRDefault="00700AFC" w:rsidP="00DA0A0E">
      <w:r>
        <w:t xml:space="preserve">The </w:t>
      </w:r>
      <w:r w:rsidR="000A533B">
        <w:t>Delegate</w:t>
      </w:r>
      <w:r>
        <w:t xml:space="preserve"> also noted that the application cannot be approved without a satisfactory GMP clearance for all relevant manufacturing sites.</w:t>
      </w:r>
    </w:p>
    <w:p w14:paraId="14AAE794" w14:textId="77777777" w:rsidR="00395283" w:rsidRDefault="00395283" w:rsidP="00395283">
      <w:pPr>
        <w:pStyle w:val="Heading5"/>
      </w:pPr>
      <w:r>
        <w:t>Sponsor response to Delegate’s post ACPM requests</w:t>
      </w:r>
    </w:p>
    <w:p w14:paraId="7B82E3EA" w14:textId="77777777" w:rsidR="00395283" w:rsidRDefault="00395283" w:rsidP="00395283">
      <w:r>
        <w:t xml:space="preserve">On the </w:t>
      </w:r>
      <w:r w:rsidR="00117FEB">
        <w:t>1 February the sponsor provided a response to the Delegate’s post ACPM requests.</w:t>
      </w:r>
    </w:p>
    <w:p w14:paraId="676E8F54" w14:textId="77777777" w:rsidR="00DF44D4" w:rsidRDefault="00DF44D4" w:rsidP="00DF44D4">
      <w:pPr>
        <w:pStyle w:val="Heading5"/>
      </w:pPr>
      <w:r w:rsidRPr="00DF44D4">
        <w:t>Further review by TGA</w:t>
      </w:r>
    </w:p>
    <w:p w14:paraId="177D6528" w14:textId="77777777" w:rsidR="00DF44D4" w:rsidRDefault="00DF44D4" w:rsidP="00DF44D4">
      <w:r>
        <w:t>The information and amended documents provided in the sponsor’s response were reviewed by the TGA.</w:t>
      </w:r>
    </w:p>
    <w:p w14:paraId="409E68A0" w14:textId="77777777" w:rsidR="00DF44D4" w:rsidRDefault="00DF44D4" w:rsidP="00DF44D4">
      <w:pPr>
        <w:pStyle w:val="Heading6"/>
      </w:pPr>
      <w:r>
        <w:t>RMP</w:t>
      </w:r>
    </w:p>
    <w:p w14:paraId="1820ABB4" w14:textId="77777777" w:rsidR="00DF44D4" w:rsidRPr="00DF44D4" w:rsidRDefault="00DF44D4" w:rsidP="00DF44D4">
      <w:r w:rsidRPr="00DF44D4">
        <w:t>The sponsor has included ‘use in children’ as missing information in the ASA version 3. There is no further outstanding R</w:t>
      </w:r>
      <w:r w:rsidR="00117FEB">
        <w:t>MP issue with this submission.</w:t>
      </w:r>
    </w:p>
    <w:p w14:paraId="3867C93F" w14:textId="77777777" w:rsidR="00DF44D4" w:rsidRPr="00DF44D4" w:rsidRDefault="00DF44D4" w:rsidP="00DF44D4">
      <w:pPr>
        <w:rPr>
          <w:i/>
        </w:rPr>
      </w:pPr>
      <w:r w:rsidRPr="00DF44D4">
        <w:rPr>
          <w:i/>
        </w:rPr>
        <w:t>Wording for conditions of registration</w:t>
      </w:r>
    </w:p>
    <w:p w14:paraId="00A039DA" w14:textId="77777777" w:rsidR="00886664" w:rsidRDefault="00DF44D4" w:rsidP="00DF44D4">
      <w:r w:rsidRPr="00DF44D4">
        <w:t>The suggested wording is: The EU-RMP version 1 edition 5 dated 30 January 2017 (DLP 19 September 2016), with Australian Specific Annex version 3 dated 20 March 2017, and future updates as a condition of registration</w:t>
      </w:r>
      <w:r w:rsidR="00886664">
        <w:t>.</w:t>
      </w:r>
    </w:p>
    <w:p w14:paraId="1DD80A02" w14:textId="77777777" w:rsidR="00DF44D4" w:rsidRDefault="00DF44D4" w:rsidP="00DF44D4">
      <w:pPr>
        <w:pStyle w:val="Heading6"/>
      </w:pPr>
      <w:r>
        <w:t>PI and CMI</w:t>
      </w:r>
    </w:p>
    <w:p w14:paraId="0404AFD8" w14:textId="77777777" w:rsidR="00DF44D4" w:rsidRDefault="00AB3FCA" w:rsidP="00DF44D4">
      <w:r>
        <w:t xml:space="preserve">The Delegate reviewed the Post ACPM versions of the PI and CMI provided to the </w:t>
      </w:r>
      <w:r w:rsidRPr="00AB3FCA">
        <w:t>TGA on</w:t>
      </w:r>
      <w:r>
        <w:t xml:space="preserve"> 30 March 2017 and found these versions acceptable.</w:t>
      </w:r>
    </w:p>
    <w:p w14:paraId="42DAAA87" w14:textId="77777777" w:rsidR="00DF44D4" w:rsidRDefault="00DF44D4" w:rsidP="00DF44D4">
      <w:pPr>
        <w:pStyle w:val="Heading6"/>
      </w:pPr>
      <w:r>
        <w:t>GMP</w:t>
      </w:r>
    </w:p>
    <w:p w14:paraId="59CCCFF3" w14:textId="77777777" w:rsidR="00DF44D4" w:rsidRPr="00DF44D4" w:rsidRDefault="00AB3FCA" w:rsidP="00DF44D4">
      <w:r>
        <w:t>Resolution of matters arising from the FDA inspection of one of the manufacturing facilities was anticipated to occur by mid-March 2017.</w:t>
      </w:r>
    </w:p>
    <w:p w14:paraId="215289C7" w14:textId="77777777" w:rsidR="008E7846" w:rsidRPr="002E238E" w:rsidRDefault="008E7846" w:rsidP="008E7846">
      <w:pPr>
        <w:pStyle w:val="Heading3"/>
      </w:pPr>
      <w:bookmarkStart w:id="151" w:name="_Toc247691532"/>
      <w:bookmarkStart w:id="152" w:name="_Toc314842516"/>
      <w:bookmarkStart w:id="153" w:name="_Toc505252950"/>
      <w:bookmarkEnd w:id="108"/>
      <w:bookmarkEnd w:id="148"/>
      <w:bookmarkEnd w:id="149"/>
      <w:r>
        <w:lastRenderedPageBreak/>
        <w:t>Outcome</w:t>
      </w:r>
      <w:bookmarkEnd w:id="151"/>
      <w:bookmarkEnd w:id="152"/>
      <w:bookmarkEnd w:id="153"/>
    </w:p>
    <w:p w14:paraId="767C4B5D" w14:textId="77777777" w:rsidR="00D23139" w:rsidRPr="005B5FC6" w:rsidRDefault="005B5FC6" w:rsidP="005B5FC6">
      <w:bookmarkStart w:id="154" w:name="_Toc247691533"/>
      <w:bookmarkStart w:id="155" w:name="_Toc314842517"/>
      <w:r w:rsidRPr="00217C76">
        <w:t>In a letter dated 10 April 2017 the sponsor</w:t>
      </w:r>
      <w:r w:rsidRPr="005B5FC6">
        <w:t xml:space="preserve"> withdrew the application “</w:t>
      </w:r>
      <w:r w:rsidRPr="005B5FC6">
        <w:rPr>
          <w:i/>
        </w:rPr>
        <w:t>Due to the current challenges associated with the GMP aspects of the application, and the uncertain timeline for which these can be resolved, the sponsor regrettably withdraws this application.”</w:t>
      </w:r>
    </w:p>
    <w:bookmarkEnd w:id="154"/>
    <w:bookmarkEnd w:id="155"/>
    <w:p w14:paraId="37CBDAD0" w14:textId="77777777" w:rsidR="00291957" w:rsidRDefault="00291957" w:rsidP="00291957">
      <w:pPr>
        <w:rPr>
          <w:lang w:eastAsia="ja-JP"/>
        </w:rPr>
      </w:pPr>
    </w:p>
    <w:p w14:paraId="22962B44" w14:textId="77777777" w:rsidR="00C80137" w:rsidRPr="001D043B" w:rsidRDefault="00C80137" w:rsidP="003A7F6C">
      <w:pPr>
        <w:pStyle w:val="TableTitle"/>
        <w:sectPr w:rsidR="00C80137" w:rsidRPr="001D043B" w:rsidSect="00B452CE">
          <w:headerReference w:type="even" r:id="rId28"/>
          <w:headerReference w:type="default" r:id="rId29"/>
          <w:headerReference w:type="first" r:id="rId30"/>
          <w:footerReference w:type="first" r:id="rId3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74F71574" w14:textId="77777777" w:rsidTr="00A05FA4">
        <w:trPr>
          <w:trHeight w:hRule="exact" w:val="704"/>
        </w:trPr>
        <w:tc>
          <w:tcPr>
            <w:tcW w:w="9175" w:type="dxa"/>
          </w:tcPr>
          <w:p w14:paraId="7606910A" w14:textId="77777777" w:rsidR="001C32CD" w:rsidRPr="00487162" w:rsidRDefault="001C32CD" w:rsidP="00A05FA4">
            <w:pPr>
              <w:pStyle w:val="TGASignoff"/>
            </w:pPr>
            <w:r w:rsidRPr="00487162">
              <w:lastRenderedPageBreak/>
              <w:t>Therapeutic Goods Administration</w:t>
            </w:r>
          </w:p>
        </w:tc>
      </w:tr>
      <w:tr w:rsidR="001C32CD" w:rsidRPr="004C239D" w14:paraId="04764261" w14:textId="77777777" w:rsidTr="00A05FA4">
        <w:trPr>
          <w:trHeight w:val="1221"/>
        </w:trPr>
        <w:tc>
          <w:tcPr>
            <w:tcW w:w="9175" w:type="dxa"/>
            <w:tcMar>
              <w:top w:w="28" w:type="dxa"/>
            </w:tcMar>
          </w:tcPr>
          <w:p w14:paraId="45FF07D7" w14:textId="77777777" w:rsidR="001C32CD" w:rsidRPr="00487162" w:rsidRDefault="001C32CD" w:rsidP="00A05FA4">
            <w:pPr>
              <w:pStyle w:val="Address"/>
            </w:pPr>
            <w:r w:rsidRPr="00487162">
              <w:t>PO Box 100 Woden ACT 2606 Australia</w:t>
            </w:r>
          </w:p>
          <w:p w14:paraId="63DC90F4" w14:textId="77777777" w:rsidR="001C32CD" w:rsidRPr="00487162" w:rsidRDefault="001C32CD" w:rsidP="00A05FA4">
            <w:pPr>
              <w:pStyle w:val="Address"/>
            </w:pPr>
            <w:r w:rsidRPr="00487162">
              <w:t xml:space="preserve">Email: </w:t>
            </w:r>
            <w:hyperlink r:id="rId32" w:history="1">
              <w:r w:rsidRPr="004C239D">
                <w:rPr>
                  <w:rStyle w:val="Hyperlink"/>
                </w:rPr>
                <w:t>info@tga.gov.au</w:t>
              </w:r>
            </w:hyperlink>
            <w:r w:rsidR="00BE0DF4">
              <w:t xml:space="preserve"> </w:t>
            </w:r>
            <w:r w:rsidRPr="00487162">
              <w:t>Phone: 1800 020 653</w:t>
            </w:r>
            <w:r w:rsidR="00BE0DF4">
              <w:t xml:space="preserve"> </w:t>
            </w:r>
            <w:r w:rsidRPr="00487162">
              <w:t>Fax: 02 6232 8605</w:t>
            </w:r>
          </w:p>
          <w:p w14:paraId="1FB1D648" w14:textId="77777777" w:rsidR="001C32CD" w:rsidRPr="004C239D" w:rsidRDefault="007B4BEB" w:rsidP="00A05FA4">
            <w:pPr>
              <w:pStyle w:val="Address"/>
              <w:spacing w:line="260" w:lineRule="atLeast"/>
              <w:rPr>
                <w:b/>
                <w:color w:val="0000FF"/>
                <w:u w:val="single"/>
              </w:rPr>
            </w:pPr>
            <w:hyperlink r:id="rId33" w:history="1">
              <w:r w:rsidR="007C6B9B" w:rsidRPr="007C6B9B">
                <w:rPr>
                  <w:rStyle w:val="Hyperlink"/>
                  <w:b/>
                </w:rPr>
                <w:t>https://www.tga.gov.au</w:t>
              </w:r>
            </w:hyperlink>
          </w:p>
        </w:tc>
      </w:tr>
    </w:tbl>
    <w:p w14:paraId="47DD3BE2" w14:textId="77777777" w:rsidR="00774E1D" w:rsidRPr="008A5E0B" w:rsidRDefault="00774E1D" w:rsidP="004C239D"/>
    <w:sectPr w:rsidR="00774E1D" w:rsidRPr="008A5E0B" w:rsidSect="001C32CD">
      <w:headerReference w:type="even" r:id="rId34"/>
      <w:headerReference w:type="default" r:id="rId35"/>
      <w:footerReference w:type="default" r:id="rId36"/>
      <w:headerReference w:type="first" r:id="rId37"/>
      <w:footerReference w:type="first" r:id="rId38"/>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2D69546" w15:done="0"/>
  <w15:commentEx w15:paraId="75E49ECB" w15:done="0"/>
  <w15:commentEx w15:paraId="77B07111" w15:done="0"/>
  <w15:commentEx w15:paraId="07398A9D" w15:done="0"/>
  <w15:commentEx w15:paraId="69EF77E9" w15:done="0"/>
  <w15:commentEx w15:paraId="22D809FA" w15:done="0"/>
  <w15:commentEx w15:paraId="5D0A623C" w15:done="0"/>
  <w15:commentEx w15:paraId="5503779D" w15:done="0"/>
  <w15:commentEx w15:paraId="011099EE" w15:done="0"/>
  <w15:commentEx w15:paraId="051A9B53" w15:done="0"/>
  <w15:commentEx w15:paraId="704A7730" w15:done="0"/>
  <w15:commentEx w15:paraId="5BB15B68" w15:done="0"/>
  <w15:commentEx w15:paraId="609B7479" w15:done="0"/>
  <w15:commentEx w15:paraId="6FDE14E4" w15:done="0"/>
  <w15:commentEx w15:paraId="190B7EC0" w15:done="0"/>
  <w15:commentEx w15:paraId="36D0E0C6" w15:done="0"/>
  <w15:commentEx w15:paraId="4DFE8C3C" w15:done="0"/>
  <w15:commentEx w15:paraId="007A1D2C" w15:done="0"/>
  <w15:commentEx w15:paraId="55CF06B9" w15:done="0"/>
  <w15:commentEx w15:paraId="16CA953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131D84" w14:textId="77777777" w:rsidR="004F7E05" w:rsidRDefault="004F7E05" w:rsidP="00C40A36">
      <w:pPr>
        <w:spacing w:after="0"/>
      </w:pPr>
      <w:r>
        <w:separator/>
      </w:r>
    </w:p>
  </w:endnote>
  <w:endnote w:type="continuationSeparator" w:id="0">
    <w:p w14:paraId="7D6150EF" w14:textId="77777777" w:rsidR="004F7E05" w:rsidRDefault="004F7E0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4F7E05" w:rsidRPr="00487162" w14:paraId="18A04044" w14:textId="77777777" w:rsidTr="00DB750B">
      <w:trPr>
        <w:trHeight w:val="269"/>
      </w:trPr>
      <w:tc>
        <w:tcPr>
          <w:tcW w:w="7371" w:type="dxa"/>
          <w:tcMar>
            <w:top w:w="142" w:type="dxa"/>
            <w:bottom w:w="0" w:type="dxa"/>
          </w:tcMar>
        </w:tcPr>
        <w:p w14:paraId="02270102" w14:textId="2A0095FA" w:rsidR="004F7E05" w:rsidRPr="00487162" w:rsidRDefault="004F7E05" w:rsidP="00AD68DB">
          <w:pPr>
            <w:pStyle w:val="Footer"/>
          </w:pPr>
          <w:r w:rsidRPr="00487162">
            <w:t>AusPA</w:t>
          </w:r>
          <w:r>
            <w:t xml:space="preserve">R </w:t>
          </w:r>
          <w:r w:rsidRPr="005F54E8">
            <w:t>LOKELMA - Sodium z</w:t>
          </w:r>
          <w:r>
            <w:t>irconium cyclosilicate hydrate-</w:t>
          </w:r>
          <w:r w:rsidRPr="005F54E8">
            <w:t xml:space="preserve"> </w:t>
          </w:r>
          <w:r>
            <w:t>AstraZeneca</w:t>
          </w:r>
          <w:r w:rsidRPr="005F54E8">
            <w:t xml:space="preserve"> Pty Ltd - PM-2015-03559-1-5 - Australian Public Assessment Report (AusPAR) </w:t>
          </w:r>
          <w:r>
            <w:t>– FINAL 29 January 2018</w:t>
          </w:r>
        </w:p>
      </w:tc>
      <w:tc>
        <w:tcPr>
          <w:tcW w:w="1490" w:type="dxa"/>
          <w:tcMar>
            <w:top w:w="142" w:type="dxa"/>
            <w:bottom w:w="0" w:type="dxa"/>
          </w:tcMar>
        </w:tcPr>
        <w:p w14:paraId="2D5E6047" w14:textId="367CF513" w:rsidR="004F7E05" w:rsidRPr="00487162" w:rsidRDefault="004F7E05" w:rsidP="00DB750B">
          <w:pPr>
            <w:pStyle w:val="Footer"/>
            <w:jc w:val="right"/>
          </w:pPr>
          <w:r w:rsidRPr="00487162">
            <w:t xml:space="preserve">Page </w:t>
          </w:r>
          <w:r>
            <w:fldChar w:fldCharType="begin"/>
          </w:r>
          <w:r>
            <w:instrText xml:space="preserve"> PAGE  \* Arabic </w:instrText>
          </w:r>
          <w:r>
            <w:fldChar w:fldCharType="separate"/>
          </w:r>
          <w:r w:rsidR="007B4BEB">
            <w:rPr>
              <w:noProof/>
            </w:rPr>
            <w:t>3</w:t>
          </w:r>
          <w:r>
            <w:fldChar w:fldCharType="end"/>
          </w:r>
          <w:r w:rsidRPr="00487162">
            <w:t xml:space="preserve"> of </w:t>
          </w:r>
          <w:fldSimple w:instr=" NUMPAGES  \* Arabic ">
            <w:r w:rsidR="007B4BEB">
              <w:rPr>
                <w:noProof/>
              </w:rPr>
              <w:t>43</w:t>
            </w:r>
          </w:fldSimple>
        </w:p>
      </w:tc>
    </w:tr>
  </w:tbl>
  <w:p w14:paraId="56CE2B39" w14:textId="77777777" w:rsidR="004F7E05" w:rsidRDefault="004F7E05"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F7E05" w:rsidRPr="00487162" w14:paraId="7625D89F" w14:textId="77777777" w:rsidTr="00E45619">
      <w:trPr>
        <w:trHeight w:val="269"/>
      </w:trPr>
      <w:tc>
        <w:tcPr>
          <w:tcW w:w="4519" w:type="dxa"/>
          <w:tcBorders>
            <w:top w:val="single" w:sz="4" w:space="0" w:color="auto"/>
          </w:tcBorders>
          <w:tcMar>
            <w:top w:w="142" w:type="dxa"/>
            <w:bottom w:w="0" w:type="dxa"/>
          </w:tcMar>
        </w:tcPr>
        <w:p w14:paraId="11AACB32" w14:textId="77777777" w:rsidR="004F7E05" w:rsidRPr="00487162" w:rsidRDefault="004F7E05" w:rsidP="00FE1DEE">
          <w:pPr>
            <w:pStyle w:val="Footer"/>
          </w:pPr>
          <w:r w:rsidRPr="00487162">
            <w:t>Document title, Part #, Section # - Section title</w:t>
          </w:r>
        </w:p>
        <w:p w14:paraId="6041EFF7" w14:textId="77777777" w:rsidR="004F7E05" w:rsidRPr="00487162" w:rsidRDefault="004F7E05" w:rsidP="00FE1DEE">
          <w:pPr>
            <w:pStyle w:val="Footer"/>
          </w:pPr>
          <w:r w:rsidRPr="00487162">
            <w:t>V1.0 October 2010</w:t>
          </w:r>
        </w:p>
      </w:tc>
      <w:tc>
        <w:tcPr>
          <w:tcW w:w="4342" w:type="dxa"/>
          <w:tcBorders>
            <w:top w:val="single" w:sz="4" w:space="0" w:color="auto"/>
          </w:tcBorders>
          <w:tcMar>
            <w:top w:w="142" w:type="dxa"/>
            <w:bottom w:w="0" w:type="dxa"/>
          </w:tcMar>
        </w:tcPr>
        <w:p w14:paraId="5C9FB66A" w14:textId="5CEEB73C" w:rsidR="004F7E05" w:rsidRPr="00487162" w:rsidRDefault="004F7E0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43</w:t>
            </w:r>
          </w:fldSimple>
        </w:p>
      </w:tc>
    </w:tr>
  </w:tbl>
  <w:p w14:paraId="24F43CFB" w14:textId="77777777" w:rsidR="004F7E05" w:rsidRDefault="004F7E0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A4762" w14:textId="77777777" w:rsidR="004F7E05" w:rsidRPr="001C32CD" w:rsidRDefault="004F7E05"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F7E05" w14:paraId="3CF121F2" w14:textId="77777777" w:rsidTr="0010601F">
      <w:trPr>
        <w:trHeight w:val="108"/>
      </w:trPr>
      <w:tc>
        <w:tcPr>
          <w:tcW w:w="8875" w:type="dxa"/>
          <w:gridSpan w:val="2"/>
          <w:tcBorders>
            <w:bottom w:val="single" w:sz="4" w:space="0" w:color="auto"/>
          </w:tcBorders>
          <w:tcMar>
            <w:right w:w="284" w:type="dxa"/>
          </w:tcMar>
        </w:tcPr>
        <w:p w14:paraId="0985849B" w14:textId="77777777" w:rsidR="004F7E05" w:rsidRDefault="004F7E05" w:rsidP="006E08B3">
          <w:pPr>
            <w:pStyle w:val="Heading3"/>
          </w:pPr>
          <w:r>
            <w:t>Copyright</w:t>
          </w:r>
        </w:p>
        <w:p w14:paraId="623CE9A6" w14:textId="77777777" w:rsidR="004F7E05" w:rsidRDefault="004F7E05" w:rsidP="006E08B3">
          <w:r>
            <w:rPr>
              <w:rFonts w:cs="Arial"/>
            </w:rPr>
            <w:t>©</w:t>
          </w:r>
          <w:r>
            <w:t xml:space="preserve"> Commonwealth of Australia [add year]</w:t>
          </w:r>
        </w:p>
        <w:p w14:paraId="55DC801C" w14:textId="77777777" w:rsidR="004F7E05" w:rsidRDefault="004F7E05" w:rsidP="006E08B3"/>
        <w:p w14:paraId="072BA737" w14:textId="77777777" w:rsidR="004F7E05" w:rsidRDefault="004F7E0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30BA91D1" w14:textId="77777777" w:rsidR="004F7E05" w:rsidRDefault="004F7E05" w:rsidP="006E08B3"/>
        <w:p w14:paraId="0078D88B" w14:textId="77777777" w:rsidR="004F7E05" w:rsidRDefault="004F7E05" w:rsidP="006E08B3">
          <w:pPr>
            <w:pStyle w:val="Heading3"/>
          </w:pPr>
          <w:r>
            <w:t>Confidentiality</w:t>
          </w:r>
        </w:p>
        <w:p w14:paraId="37180944" w14:textId="77777777" w:rsidR="004F7E05" w:rsidRDefault="004F7E0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0283518" w14:textId="77777777" w:rsidR="004F7E05" w:rsidRDefault="004F7E05" w:rsidP="006E08B3"/>
        <w:p w14:paraId="1189B24A" w14:textId="77777777" w:rsidR="004F7E05" w:rsidRDefault="004F7E05" w:rsidP="006E08B3">
          <w:r>
            <w:t>For submission made by individuals, all personal details, other than your name, will be removed from your submission before it is published on the TGA’s Internet site.</w:t>
          </w:r>
        </w:p>
        <w:p w14:paraId="6A8968D1" w14:textId="77777777" w:rsidR="004F7E05" w:rsidRDefault="004F7E05" w:rsidP="006E08B3"/>
        <w:p w14:paraId="34871303" w14:textId="77777777" w:rsidR="004F7E05" w:rsidRDefault="004F7E0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4F7E05" w14:paraId="7B1A8D71" w14:textId="77777777" w:rsidTr="0010601F">
      <w:trPr>
        <w:trHeight w:val="417"/>
      </w:trPr>
      <w:tc>
        <w:tcPr>
          <w:tcW w:w="4519" w:type="dxa"/>
          <w:tcBorders>
            <w:top w:val="single" w:sz="4" w:space="0" w:color="auto"/>
          </w:tcBorders>
          <w:tcMar>
            <w:top w:w="142" w:type="dxa"/>
            <w:bottom w:w="0" w:type="dxa"/>
          </w:tcMar>
        </w:tcPr>
        <w:p w14:paraId="09B0222D" w14:textId="77777777" w:rsidR="004F7E05" w:rsidRDefault="004F7E05" w:rsidP="006E08B3">
          <w:r>
            <w:t>Document title, Part #, Section # - Section title</w:t>
          </w:r>
        </w:p>
        <w:p w14:paraId="451BC2FB" w14:textId="77777777" w:rsidR="004F7E05" w:rsidRDefault="004F7E05" w:rsidP="006E08B3">
          <w:r>
            <w:t>V1.0 October 2010</w:t>
          </w:r>
        </w:p>
      </w:tc>
      <w:tc>
        <w:tcPr>
          <w:tcW w:w="4356" w:type="dxa"/>
          <w:tcBorders>
            <w:top w:val="single" w:sz="4" w:space="0" w:color="auto"/>
          </w:tcBorders>
          <w:tcMar>
            <w:top w:w="142" w:type="dxa"/>
            <w:bottom w:w="0" w:type="dxa"/>
          </w:tcMar>
        </w:tcPr>
        <w:p w14:paraId="5513FE95" w14:textId="4CF872EE" w:rsidR="004F7E05" w:rsidRDefault="004F7E0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43</w:t>
            </w:r>
          </w:fldSimple>
          <w:r>
            <w:t xml:space="preserve"> </w:t>
          </w:r>
        </w:p>
      </w:tc>
    </w:tr>
  </w:tbl>
  <w:p w14:paraId="44B116CB" w14:textId="77777777" w:rsidR="004F7E05" w:rsidRDefault="004F7E0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7C3D44" w14:textId="77777777" w:rsidR="004F7E05" w:rsidRDefault="004F7E05" w:rsidP="00C40A36">
      <w:pPr>
        <w:spacing w:after="0"/>
      </w:pPr>
      <w:r>
        <w:separator/>
      </w:r>
    </w:p>
  </w:footnote>
  <w:footnote w:type="continuationSeparator" w:id="0">
    <w:p w14:paraId="167394EA" w14:textId="77777777" w:rsidR="004F7E05" w:rsidRDefault="004F7E05" w:rsidP="00C40A36">
      <w:pPr>
        <w:spacing w:after="0"/>
      </w:pPr>
      <w:r>
        <w:continuationSeparator/>
      </w:r>
    </w:p>
  </w:footnote>
  <w:footnote w:id="1">
    <w:p w14:paraId="5995F72A" w14:textId="49EB5529" w:rsidR="004F7E05" w:rsidRPr="00E91169" w:rsidRDefault="004F7E05" w:rsidP="007B4BEB">
      <w:pPr>
        <w:pStyle w:val="FootnoteText"/>
        <w:rPr>
          <w:rStyle w:val="FootnoteTextChar"/>
        </w:rPr>
      </w:pPr>
      <w:r>
        <w:rPr>
          <w:rStyle w:val="FootnoteReference"/>
        </w:rPr>
        <w:footnoteRef/>
      </w:r>
      <w:r>
        <w:t xml:space="preserve"> </w:t>
      </w:r>
      <w:r>
        <w:rPr>
          <w:rStyle w:val="FootnoteTextChar"/>
        </w:rPr>
        <w:t>During the evaluation of this submission</w:t>
      </w:r>
      <w:r w:rsidRPr="00E91169">
        <w:rPr>
          <w:rStyle w:val="FootnoteTextChar"/>
        </w:rPr>
        <w:t xml:space="preserve"> sponsorship was transferred</w:t>
      </w:r>
      <w:r>
        <w:rPr>
          <w:rStyle w:val="FootnoteTextChar"/>
        </w:rPr>
        <w:t xml:space="preserve"> from</w:t>
      </w:r>
      <w:r w:rsidRPr="00E91169">
        <w:rPr>
          <w:rStyle w:val="FootnoteTextChar"/>
        </w:rPr>
        <w:t xml:space="preserve"> Ballia Holdings Pty Ltd </w:t>
      </w:r>
      <w:r>
        <w:rPr>
          <w:rStyle w:val="FootnoteTextChar"/>
        </w:rPr>
        <w:t xml:space="preserve">to </w:t>
      </w:r>
      <w:r w:rsidRPr="00E91169">
        <w:rPr>
          <w:rStyle w:val="FootnoteTextChar"/>
        </w:rPr>
        <w:t>AstraZeneca Pty Ltd</w:t>
      </w:r>
      <w:r>
        <w:rPr>
          <w:rStyle w:val="FootnoteTextChar"/>
        </w:rPr>
        <w:t>.</w:t>
      </w:r>
    </w:p>
  </w:footnote>
  <w:footnote w:id="2">
    <w:p w14:paraId="6937F7A0" w14:textId="77777777" w:rsidR="004F7E05" w:rsidRPr="00E9044D" w:rsidRDefault="004F7E05" w:rsidP="007B4BEB">
      <w:pPr>
        <w:pStyle w:val="FootnoteText"/>
      </w:pPr>
      <w:r w:rsidRPr="00886664">
        <w:rPr>
          <w:vertAlign w:val="superscript"/>
        </w:rPr>
        <w:footnoteRef/>
      </w:r>
      <w:r>
        <w:t xml:space="preserve"> </w:t>
      </w:r>
      <w:r w:rsidRPr="00E9044D">
        <w:t>1 Å = 0.1 nm.</w:t>
      </w:r>
    </w:p>
  </w:footnote>
  <w:footnote w:id="3">
    <w:p w14:paraId="2323939D" w14:textId="77777777" w:rsidR="004F7E05" w:rsidRDefault="004F7E05" w:rsidP="007B4BEB">
      <w:pPr>
        <w:pStyle w:val="FootnoteText"/>
      </w:pPr>
      <w:r>
        <w:rPr>
          <w:rStyle w:val="FootnoteReference"/>
        </w:rPr>
        <w:footnoteRef/>
      </w:r>
      <w:r>
        <w:t xml:space="preserve"> Refer to pages </w:t>
      </w:r>
      <w:r>
        <w:fldChar w:fldCharType="begin"/>
      </w:r>
      <w:r>
        <w:instrText xml:space="preserve"> PAGEREF InteractionStart \h </w:instrText>
      </w:r>
      <w:r>
        <w:fldChar w:fldCharType="separate"/>
      </w:r>
      <w:r>
        <w:rPr>
          <w:noProof/>
        </w:rPr>
        <w:t>21</w:t>
      </w:r>
      <w:r>
        <w:fldChar w:fldCharType="end"/>
      </w:r>
      <w:r>
        <w:t>–</w:t>
      </w:r>
      <w:r>
        <w:fldChar w:fldCharType="begin"/>
      </w:r>
      <w:r>
        <w:instrText xml:space="preserve"> PAGEREF InteractionEnd \h </w:instrText>
      </w:r>
      <w:r>
        <w:fldChar w:fldCharType="separate"/>
      </w:r>
      <w:r>
        <w:rPr>
          <w:noProof/>
        </w:rPr>
        <w:t>22</w:t>
      </w:r>
      <w:r>
        <w:fldChar w:fldCharType="end"/>
      </w:r>
      <w:r>
        <w:t xml:space="preserve"> of this report for full evaluation of this study (Study TR-08115-DDI-P0118).</w:t>
      </w:r>
    </w:p>
  </w:footnote>
  <w:footnote w:id="4">
    <w:p w14:paraId="26E2A363" w14:textId="77777777" w:rsidR="004F7E05" w:rsidRDefault="004F7E05" w:rsidP="007B4BEB">
      <w:pPr>
        <w:pStyle w:val="FootnoteText"/>
      </w:pPr>
      <w:r>
        <w:rPr>
          <w:rStyle w:val="FootnoteReference"/>
        </w:rPr>
        <w:footnoteRef/>
      </w:r>
      <w:r>
        <w:t xml:space="preserve"> Calculated as 0.1 fold the maximum dose on one occasion [= 10 g] / 250 mL, in accordance with the formula given in the EMA Guideline on the Investigation of Drug Interactions [CPMP/EWP/560/95/Rev.</w:t>
      </w:r>
      <w:r w:rsidRPr="003E5427">
        <w:rPr>
          <w:w w:val="50"/>
        </w:rPr>
        <w:t> </w:t>
      </w:r>
      <w:r>
        <w:t>1 Corr.</w:t>
      </w:r>
      <w:r w:rsidRPr="003E5427">
        <w:rPr>
          <w:w w:val="50"/>
        </w:rPr>
        <w:t> </w:t>
      </w:r>
      <w:r>
        <w:t>2]</w:t>
      </w:r>
    </w:p>
  </w:footnote>
  <w:footnote w:id="5">
    <w:p w14:paraId="5FA2CD07" w14:textId="77777777" w:rsidR="004F7E05" w:rsidRPr="0047313A" w:rsidRDefault="004F7E05" w:rsidP="007B4BEB">
      <w:pPr>
        <w:pStyle w:val="FootnoteText"/>
        <w:rPr>
          <w:lang w:val="en-US"/>
        </w:rPr>
      </w:pPr>
      <w:r>
        <w:rPr>
          <w:rStyle w:val="FootnoteReference"/>
        </w:rPr>
        <w:footnoteRef/>
      </w:r>
      <w:r>
        <w:t xml:space="preserve"> </w:t>
      </w:r>
      <w:r w:rsidRPr="005B1F2F">
        <w:t>ICH S1A</w:t>
      </w:r>
      <w:r>
        <w:t>, ICH harmonised tripartite guideline on the need for carcinogenicity studies of pharmaceuticals S1A Current Step 4 version dated 29 November 1995.</w:t>
      </w:r>
    </w:p>
  </w:footnote>
  <w:footnote w:id="6">
    <w:p w14:paraId="03A06B00" w14:textId="77777777" w:rsidR="004F7E05" w:rsidRPr="0047313A" w:rsidRDefault="004F7E05">
      <w:pPr>
        <w:pStyle w:val="FootnoteText"/>
        <w:rPr>
          <w:lang w:val="en-US"/>
        </w:rPr>
      </w:pPr>
      <w:r>
        <w:rPr>
          <w:rStyle w:val="FootnoteReference"/>
        </w:rPr>
        <w:footnoteRef/>
      </w:r>
      <w:r>
        <w:t xml:space="preserve"> </w:t>
      </w:r>
      <w:r w:rsidRPr="005B1F2F">
        <w:t>Pregnancy Category B1</w:t>
      </w:r>
      <w:r>
        <w:t xml:space="preserve"> “D</w:t>
      </w:r>
      <w:r w:rsidRPr="005B1F2F">
        <w:t xml:space="preserve">rugs which have been taken by only a limited number of pregnant women and women of childbearing age, without an increase in the frequency of malformation or other direct or indirect harmful effects on the human fetus </w:t>
      </w:r>
      <w:r>
        <w:t>having been observed. S</w:t>
      </w:r>
      <w:r w:rsidRPr="005B1F2F">
        <w:t>tudies in animals have not shown evidence of an increased occurrence of fetal damage”.</w:t>
      </w:r>
    </w:p>
  </w:footnote>
  <w:footnote w:id="7">
    <w:p w14:paraId="3C35903A" w14:textId="77777777" w:rsidR="004F7E05" w:rsidRPr="00BA0457" w:rsidRDefault="004F7E05" w:rsidP="007B4BEB">
      <w:pPr>
        <w:pStyle w:val="FootnoteText"/>
        <w:rPr>
          <w:lang w:val="en-US"/>
        </w:rPr>
      </w:pPr>
      <w:r>
        <w:rPr>
          <w:rStyle w:val="FootnoteReference"/>
        </w:rPr>
        <w:footnoteRef/>
      </w:r>
      <w:r>
        <w:t xml:space="preserve"> </w:t>
      </w:r>
      <w:r w:rsidRPr="00BA0457">
        <w:t>Microcrystalline cellulose: Is a bulking agent used in supplements to fill capsules when the medicinal agents are too small. It is ideal filler as it is naturally occurring and derived primarily from wood pulp. It is glucose units bound together by a beta 1-4 linkage which creates cellulose a fibre indigestible to humans. It enters and leaves the digestive tract unchanged and is chemically inert.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99E20" w14:textId="77777777" w:rsidR="004F7E05" w:rsidRDefault="004F7E05"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1CCB7" w14:textId="77777777" w:rsidR="004F7E05" w:rsidRDefault="004F7E05">
    <w:pPr>
      <w:rPr>
        <w:noProof/>
        <w:lang w:eastAsia="en-AU"/>
      </w:rPr>
    </w:pPr>
    <w:r w:rsidRPr="00347824">
      <w:rPr>
        <w:noProof/>
        <w:lang w:eastAsia="en-AU"/>
      </w:rPr>
      <w:drawing>
        <wp:anchor distT="0" distB="0" distL="114300" distR="114300" simplePos="0" relativeHeight="251659264" behindDoc="1" locked="0" layoutInCell="1" allowOverlap="1" wp14:anchorId="2AC0A168" wp14:editId="3AFCEE45">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4467538F" w14:textId="77777777" w:rsidR="004F7E05" w:rsidRDefault="004F7E05" w:rsidP="00593AD1">
    <w:pPr>
      <w:pStyle w:val="HeaderNoLine"/>
    </w:pPr>
    <w:r>
      <w:rPr>
        <w:noProof/>
        <w:lang w:eastAsia="en-AU"/>
      </w:rPr>
      <w:drawing>
        <wp:inline distT="0" distB="0" distL="0" distR="0" wp14:anchorId="144D9E97" wp14:editId="00C9D250">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5CCCB" w14:textId="77777777" w:rsidR="004F7E05" w:rsidRDefault="004F7E0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4D607" w14:textId="77777777" w:rsidR="004F7E05" w:rsidRDefault="004F7E05">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6CDB6" w14:textId="77777777" w:rsidR="004F7E05" w:rsidRDefault="004F7E05">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2B28C" w14:textId="77777777" w:rsidR="004F7E05" w:rsidRDefault="004F7E0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AC2C2" w14:textId="77777777" w:rsidR="004F7E05" w:rsidRDefault="004F7E05"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2181F" w14:textId="77777777" w:rsidR="004F7E05" w:rsidRDefault="004F7E05" w:rsidP="006E08B3">
    <w:r>
      <w:t>Therapeutic Goods Administration</w:t>
    </w:r>
  </w:p>
  <w:p w14:paraId="17043B00" w14:textId="77777777" w:rsidR="004F7E05" w:rsidRDefault="004F7E0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E1CC43A"/>
    <w:lvl w:ilvl="0">
      <w:start w:val="1"/>
      <w:numFmt w:val="decimal"/>
      <w:lvlText w:val="%1."/>
      <w:lvlJc w:val="left"/>
      <w:pPr>
        <w:tabs>
          <w:tab w:val="num" w:pos="1492"/>
        </w:tabs>
        <w:ind w:left="1492" w:hanging="360"/>
      </w:pPr>
    </w:lvl>
  </w:abstractNum>
  <w:abstractNum w:abstractNumId="1">
    <w:nsid w:val="FFFFFF7D"/>
    <w:multiLevelType w:val="singleLevel"/>
    <w:tmpl w:val="D4F0AC8E"/>
    <w:lvl w:ilvl="0">
      <w:start w:val="1"/>
      <w:numFmt w:val="decimal"/>
      <w:lvlText w:val="%1."/>
      <w:lvlJc w:val="left"/>
      <w:pPr>
        <w:tabs>
          <w:tab w:val="num" w:pos="1209"/>
        </w:tabs>
        <w:ind w:left="1209" w:hanging="360"/>
      </w:pPr>
    </w:lvl>
  </w:abstractNum>
  <w:abstractNum w:abstractNumId="2">
    <w:nsid w:val="FFFFFF7E"/>
    <w:multiLevelType w:val="singleLevel"/>
    <w:tmpl w:val="55B09F6C"/>
    <w:lvl w:ilvl="0">
      <w:start w:val="1"/>
      <w:numFmt w:val="decimal"/>
      <w:lvlText w:val="%1."/>
      <w:lvlJc w:val="left"/>
      <w:pPr>
        <w:tabs>
          <w:tab w:val="num" w:pos="926"/>
        </w:tabs>
        <w:ind w:left="926" w:hanging="360"/>
      </w:pPr>
    </w:lvl>
  </w:abstractNum>
  <w:abstractNum w:abstractNumId="3">
    <w:nsid w:val="FFFFFF7F"/>
    <w:multiLevelType w:val="singleLevel"/>
    <w:tmpl w:val="E904F4A8"/>
    <w:lvl w:ilvl="0">
      <w:start w:val="1"/>
      <w:numFmt w:val="decimal"/>
      <w:lvlText w:val="%1."/>
      <w:lvlJc w:val="left"/>
      <w:pPr>
        <w:tabs>
          <w:tab w:val="num" w:pos="643"/>
        </w:tabs>
        <w:ind w:left="643" w:hanging="360"/>
      </w:pPr>
    </w:lvl>
  </w:abstractNum>
  <w:abstractNum w:abstractNumId="4">
    <w:nsid w:val="FFFFFF80"/>
    <w:multiLevelType w:val="singleLevel"/>
    <w:tmpl w:val="9B20BC7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2549E8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D5F23732"/>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0D0E0337"/>
    <w:multiLevelType w:val="hybridMultilevel"/>
    <w:tmpl w:val="23328086"/>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2">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nsid w:val="18E70869"/>
    <w:multiLevelType w:val="hybridMultilevel"/>
    <w:tmpl w:val="D750B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DE67E06"/>
    <w:multiLevelType w:val="hybridMultilevel"/>
    <w:tmpl w:val="98322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E2B5BEF"/>
    <w:multiLevelType w:val="hybridMultilevel"/>
    <w:tmpl w:val="8F9CF98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2213874"/>
    <w:multiLevelType w:val="hybridMultilevel"/>
    <w:tmpl w:val="3FF871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44B052CD"/>
    <w:multiLevelType w:val="hybridMultilevel"/>
    <w:tmpl w:val="8FEE2E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89B15D7"/>
    <w:multiLevelType w:val="hybridMultilevel"/>
    <w:tmpl w:val="7FA8BD6C"/>
    <w:lvl w:ilvl="0" w:tplc="518A73A2">
      <w:start w:val="1"/>
      <w:numFmt w:val="bullet"/>
      <w:pStyle w:val="Bulletpoint"/>
      <w:lvlText w:val=""/>
      <w:lvlJc w:val="left"/>
      <w:pPr>
        <w:tabs>
          <w:tab w:val="num" w:pos="369"/>
        </w:tabs>
        <w:ind w:left="369" w:hanging="227"/>
      </w:pPr>
      <w:rPr>
        <w:rFonts w:ascii="Symbol" w:hAnsi="Symbol" w:hint="default"/>
        <w:color w:val="auto"/>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589B035B"/>
    <w:multiLevelType w:val="hybridMultilevel"/>
    <w:tmpl w:val="A5621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B8D616A"/>
    <w:multiLevelType w:val="hybridMultilevel"/>
    <w:tmpl w:val="5868E996"/>
    <w:lvl w:ilvl="0" w:tplc="0E38F1B6">
      <w:numFmt w:val="bullet"/>
      <w:lvlText w:val="-"/>
      <w:lvlJc w:val="left"/>
      <w:pPr>
        <w:ind w:left="720" w:hanging="360"/>
      </w:pPr>
      <w:rPr>
        <w:rFonts w:ascii="Cambria" w:eastAsia="MS Mincho"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B386062"/>
    <w:multiLevelType w:val="hybridMultilevel"/>
    <w:tmpl w:val="8BD28872"/>
    <w:lvl w:ilvl="0" w:tplc="46687C2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D4807B2"/>
    <w:multiLevelType w:val="hybridMultilevel"/>
    <w:tmpl w:val="A2B6875A"/>
    <w:lvl w:ilvl="0" w:tplc="2BB2CD06">
      <w:start w:val="1"/>
      <w:numFmt w:val="bullet"/>
      <w:pStyle w:val="Tabletextbullet"/>
      <w:lvlText w:val="•"/>
      <w:lvlJc w:val="left"/>
      <w:pPr>
        <w:ind w:left="360" w:hanging="360"/>
      </w:pPr>
      <w:rPr>
        <w:rFonts w:cs="Times New Roman"/>
        <w:b w:val="0"/>
        <w:bCs w:val="0"/>
        <w:i w:val="0"/>
        <w:iCs w:val="0"/>
        <w:caps w:val="0"/>
        <w:smallCaps w:val="0"/>
        <w:strike w:val="0"/>
        <w:dstrike w:val="0"/>
        <w:outline w:val="0"/>
        <w:shadow w:val="0"/>
        <w:emboss w:val="0"/>
        <w:imprint w:val="0"/>
        <w:noProof w:val="0"/>
        <w:snapToGrid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14"/>
  </w:num>
  <w:num w:numId="4">
    <w:abstractNumId w:val="14"/>
  </w:num>
  <w:num w:numId="5">
    <w:abstractNumId w:val="6"/>
  </w:num>
  <w:num w:numId="6">
    <w:abstractNumId w:val="14"/>
  </w:num>
  <w:num w:numId="7">
    <w:abstractNumId w:val="14"/>
  </w:num>
  <w:num w:numId="8">
    <w:abstractNumId w:val="13"/>
  </w:num>
  <w:num w:numId="9">
    <w:abstractNumId w:val="13"/>
  </w:num>
  <w:num w:numId="10">
    <w:abstractNumId w:val="13"/>
  </w:num>
  <w:num w:numId="11">
    <w:abstractNumId w:val="13"/>
  </w:num>
  <w:num w:numId="12">
    <w:abstractNumId w:val="10"/>
    <w:lvlOverride w:ilvl="0">
      <w:lvl w:ilvl="0">
        <w:numFmt w:val="bullet"/>
        <w:lvlText w:val="•"/>
        <w:legacy w:legacy="1" w:legacySpace="0" w:legacyIndent="0"/>
        <w:lvlJc w:val="left"/>
        <w:rPr>
          <w:rFonts w:ascii="Helv" w:hAnsi="Helv" w:hint="default"/>
        </w:rPr>
      </w:lvl>
    </w:lvlOverride>
  </w:num>
  <w:num w:numId="13">
    <w:abstractNumId w:val="14"/>
  </w:num>
  <w:num w:numId="14">
    <w:abstractNumId w:val="14"/>
  </w:num>
  <w:num w:numId="15">
    <w:abstractNumId w:val="14"/>
  </w:num>
  <w:num w:numId="16">
    <w:abstractNumId w:val="13"/>
  </w:num>
  <w:num w:numId="17">
    <w:abstractNumId w:val="13"/>
  </w:num>
  <w:num w:numId="18">
    <w:abstractNumId w:val="13"/>
  </w:num>
  <w:num w:numId="19">
    <w:abstractNumId w:val="14"/>
  </w:num>
  <w:num w:numId="20">
    <w:abstractNumId w:val="14"/>
  </w:num>
  <w:num w:numId="21">
    <w:abstractNumId w:val="14"/>
  </w:num>
  <w:num w:numId="22">
    <w:abstractNumId w:val="13"/>
  </w:num>
  <w:num w:numId="23">
    <w:abstractNumId w:val="13"/>
  </w:num>
  <w:num w:numId="24">
    <w:abstractNumId w:val="13"/>
  </w:num>
  <w:num w:numId="25">
    <w:abstractNumId w:val="1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8"/>
  </w:num>
  <w:num w:numId="28">
    <w:abstractNumId w:val="19"/>
  </w:num>
  <w:num w:numId="29">
    <w:abstractNumId w:val="22"/>
  </w:num>
  <w:num w:numId="30">
    <w:abstractNumId w:val="16"/>
  </w:num>
  <w:num w:numId="31">
    <w:abstractNumId w:val="23"/>
  </w:num>
  <w:num w:numId="32">
    <w:abstractNumId w:val="17"/>
  </w:num>
  <w:num w:numId="33">
    <w:abstractNumId w:val="21"/>
  </w:num>
  <w:num w:numId="34">
    <w:abstractNumId w:val="15"/>
  </w:num>
  <w:num w:numId="35">
    <w:abstractNumId w:val="20"/>
  </w:num>
  <w:num w:numId="36">
    <w:abstractNumId w:val="24"/>
  </w:num>
  <w:num w:numId="37">
    <w:abstractNumId w:val="11"/>
  </w:num>
  <w:num w:numId="38">
    <w:abstractNumId w:val="12"/>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rrucan, Ryan">
    <w15:presenceInfo w15:providerId="AD" w15:userId="S-1-5-21-602162358-1682526488-725345543-1583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5D9"/>
    <w:rsid w:val="00002031"/>
    <w:rsid w:val="00004734"/>
    <w:rsid w:val="00006B22"/>
    <w:rsid w:val="0001276A"/>
    <w:rsid w:val="0001653E"/>
    <w:rsid w:val="00016A27"/>
    <w:rsid w:val="000246AE"/>
    <w:rsid w:val="00025C67"/>
    <w:rsid w:val="0003038F"/>
    <w:rsid w:val="00044772"/>
    <w:rsid w:val="00047D82"/>
    <w:rsid w:val="00053B93"/>
    <w:rsid w:val="0005559E"/>
    <w:rsid w:val="000604D6"/>
    <w:rsid w:val="000734D8"/>
    <w:rsid w:val="00077775"/>
    <w:rsid w:val="00086802"/>
    <w:rsid w:val="00090471"/>
    <w:rsid w:val="00096AA7"/>
    <w:rsid w:val="000A3AED"/>
    <w:rsid w:val="000A533B"/>
    <w:rsid w:val="000B3532"/>
    <w:rsid w:val="000B3A75"/>
    <w:rsid w:val="000C00C2"/>
    <w:rsid w:val="000C647A"/>
    <w:rsid w:val="000C690F"/>
    <w:rsid w:val="000D1295"/>
    <w:rsid w:val="000D391B"/>
    <w:rsid w:val="000D3D6D"/>
    <w:rsid w:val="000D4FC7"/>
    <w:rsid w:val="000E6196"/>
    <w:rsid w:val="000F2ED4"/>
    <w:rsid w:val="000F4869"/>
    <w:rsid w:val="000F5B42"/>
    <w:rsid w:val="000F6E6F"/>
    <w:rsid w:val="0010601F"/>
    <w:rsid w:val="0010788A"/>
    <w:rsid w:val="00107A31"/>
    <w:rsid w:val="00110EA5"/>
    <w:rsid w:val="00112F56"/>
    <w:rsid w:val="00117FEB"/>
    <w:rsid w:val="00125318"/>
    <w:rsid w:val="001305A2"/>
    <w:rsid w:val="00133238"/>
    <w:rsid w:val="00133A1B"/>
    <w:rsid w:val="0014197B"/>
    <w:rsid w:val="001447CD"/>
    <w:rsid w:val="00150697"/>
    <w:rsid w:val="001516B1"/>
    <w:rsid w:val="0015230A"/>
    <w:rsid w:val="001528F2"/>
    <w:rsid w:val="00154EBB"/>
    <w:rsid w:val="00156316"/>
    <w:rsid w:val="00161181"/>
    <w:rsid w:val="00162D14"/>
    <w:rsid w:val="00165389"/>
    <w:rsid w:val="0017693F"/>
    <w:rsid w:val="0018110E"/>
    <w:rsid w:val="00181684"/>
    <w:rsid w:val="00183892"/>
    <w:rsid w:val="001843C6"/>
    <w:rsid w:val="001850E0"/>
    <w:rsid w:val="001A2158"/>
    <w:rsid w:val="001A4E02"/>
    <w:rsid w:val="001A525F"/>
    <w:rsid w:val="001B09F9"/>
    <w:rsid w:val="001B5C90"/>
    <w:rsid w:val="001B6448"/>
    <w:rsid w:val="001C32CD"/>
    <w:rsid w:val="001D2984"/>
    <w:rsid w:val="001E07CF"/>
    <w:rsid w:val="001E59F1"/>
    <w:rsid w:val="001F2CEE"/>
    <w:rsid w:val="001F49EB"/>
    <w:rsid w:val="001F6CBA"/>
    <w:rsid w:val="00201D4E"/>
    <w:rsid w:val="002076C9"/>
    <w:rsid w:val="00217C76"/>
    <w:rsid w:val="00220B8A"/>
    <w:rsid w:val="002257F3"/>
    <w:rsid w:val="00233456"/>
    <w:rsid w:val="002339A5"/>
    <w:rsid w:val="00244DBE"/>
    <w:rsid w:val="00257848"/>
    <w:rsid w:val="0027084A"/>
    <w:rsid w:val="00286434"/>
    <w:rsid w:val="00286C59"/>
    <w:rsid w:val="00291957"/>
    <w:rsid w:val="002942D1"/>
    <w:rsid w:val="0029501A"/>
    <w:rsid w:val="002A3721"/>
    <w:rsid w:val="002B1638"/>
    <w:rsid w:val="002B3624"/>
    <w:rsid w:val="002D0952"/>
    <w:rsid w:val="002E11E7"/>
    <w:rsid w:val="002E40B3"/>
    <w:rsid w:val="002E4C9A"/>
    <w:rsid w:val="002F11F8"/>
    <w:rsid w:val="002F358A"/>
    <w:rsid w:val="002F3F56"/>
    <w:rsid w:val="002F44B5"/>
    <w:rsid w:val="00311AC0"/>
    <w:rsid w:val="003176FC"/>
    <w:rsid w:val="0032583B"/>
    <w:rsid w:val="00327883"/>
    <w:rsid w:val="00330A3C"/>
    <w:rsid w:val="00335504"/>
    <w:rsid w:val="00340C18"/>
    <w:rsid w:val="003442FD"/>
    <w:rsid w:val="00346F74"/>
    <w:rsid w:val="00347824"/>
    <w:rsid w:val="00350567"/>
    <w:rsid w:val="003521E8"/>
    <w:rsid w:val="00361572"/>
    <w:rsid w:val="00370CE3"/>
    <w:rsid w:val="003728F3"/>
    <w:rsid w:val="0037496E"/>
    <w:rsid w:val="00383221"/>
    <w:rsid w:val="00386150"/>
    <w:rsid w:val="003874CE"/>
    <w:rsid w:val="00390102"/>
    <w:rsid w:val="00390900"/>
    <w:rsid w:val="00395283"/>
    <w:rsid w:val="003A4D5E"/>
    <w:rsid w:val="003A5F90"/>
    <w:rsid w:val="003A7F6C"/>
    <w:rsid w:val="003B1047"/>
    <w:rsid w:val="003B427F"/>
    <w:rsid w:val="003B4D60"/>
    <w:rsid w:val="003B7E39"/>
    <w:rsid w:val="003C58DC"/>
    <w:rsid w:val="003C64B6"/>
    <w:rsid w:val="003D1E62"/>
    <w:rsid w:val="003E0B99"/>
    <w:rsid w:val="003E2483"/>
    <w:rsid w:val="003E2486"/>
    <w:rsid w:val="003E3208"/>
    <w:rsid w:val="003F0B04"/>
    <w:rsid w:val="003F2327"/>
    <w:rsid w:val="003F2A73"/>
    <w:rsid w:val="0040134E"/>
    <w:rsid w:val="004102A0"/>
    <w:rsid w:val="004334C7"/>
    <w:rsid w:val="00440A2D"/>
    <w:rsid w:val="00441C3F"/>
    <w:rsid w:val="0044295C"/>
    <w:rsid w:val="004564A7"/>
    <w:rsid w:val="0045797C"/>
    <w:rsid w:val="004617BF"/>
    <w:rsid w:val="00462275"/>
    <w:rsid w:val="00463658"/>
    <w:rsid w:val="004637A0"/>
    <w:rsid w:val="004722CC"/>
    <w:rsid w:val="0047313A"/>
    <w:rsid w:val="004936E4"/>
    <w:rsid w:val="00494E60"/>
    <w:rsid w:val="00497487"/>
    <w:rsid w:val="004A42D1"/>
    <w:rsid w:val="004A46CF"/>
    <w:rsid w:val="004A6189"/>
    <w:rsid w:val="004A7390"/>
    <w:rsid w:val="004B7B76"/>
    <w:rsid w:val="004C239D"/>
    <w:rsid w:val="004C2DCA"/>
    <w:rsid w:val="004C61D2"/>
    <w:rsid w:val="004D2FB2"/>
    <w:rsid w:val="004F0C4A"/>
    <w:rsid w:val="004F0F38"/>
    <w:rsid w:val="004F47D6"/>
    <w:rsid w:val="004F7E05"/>
    <w:rsid w:val="00501921"/>
    <w:rsid w:val="00507CAF"/>
    <w:rsid w:val="00517634"/>
    <w:rsid w:val="00530354"/>
    <w:rsid w:val="00534366"/>
    <w:rsid w:val="0053625B"/>
    <w:rsid w:val="005434C6"/>
    <w:rsid w:val="00543B39"/>
    <w:rsid w:val="00546154"/>
    <w:rsid w:val="00550096"/>
    <w:rsid w:val="00555280"/>
    <w:rsid w:val="00557FF9"/>
    <w:rsid w:val="00562327"/>
    <w:rsid w:val="005711D5"/>
    <w:rsid w:val="00576378"/>
    <w:rsid w:val="00577130"/>
    <w:rsid w:val="00577945"/>
    <w:rsid w:val="00577E38"/>
    <w:rsid w:val="00585322"/>
    <w:rsid w:val="005857C6"/>
    <w:rsid w:val="00592F6E"/>
    <w:rsid w:val="00593AD1"/>
    <w:rsid w:val="005A68B6"/>
    <w:rsid w:val="005B1F2F"/>
    <w:rsid w:val="005B5FC6"/>
    <w:rsid w:val="005C5570"/>
    <w:rsid w:val="005C79A4"/>
    <w:rsid w:val="005D5442"/>
    <w:rsid w:val="005F3F81"/>
    <w:rsid w:val="005F54E8"/>
    <w:rsid w:val="00603F32"/>
    <w:rsid w:val="00605AD4"/>
    <w:rsid w:val="00610490"/>
    <w:rsid w:val="006136D7"/>
    <w:rsid w:val="00625A6E"/>
    <w:rsid w:val="00632398"/>
    <w:rsid w:val="00640FC3"/>
    <w:rsid w:val="00642020"/>
    <w:rsid w:val="0065337B"/>
    <w:rsid w:val="0065419D"/>
    <w:rsid w:val="006604D8"/>
    <w:rsid w:val="00664A5B"/>
    <w:rsid w:val="0066735C"/>
    <w:rsid w:val="006763D2"/>
    <w:rsid w:val="00680C08"/>
    <w:rsid w:val="006847BB"/>
    <w:rsid w:val="006916A0"/>
    <w:rsid w:val="006931B1"/>
    <w:rsid w:val="006A15C0"/>
    <w:rsid w:val="006A18AB"/>
    <w:rsid w:val="006C0B8E"/>
    <w:rsid w:val="006C3E2A"/>
    <w:rsid w:val="006C642F"/>
    <w:rsid w:val="006D03E5"/>
    <w:rsid w:val="006D5D3E"/>
    <w:rsid w:val="006E08B3"/>
    <w:rsid w:val="006F17AC"/>
    <w:rsid w:val="006F25B8"/>
    <w:rsid w:val="006F572E"/>
    <w:rsid w:val="00700AFC"/>
    <w:rsid w:val="007046D6"/>
    <w:rsid w:val="00705DB0"/>
    <w:rsid w:val="00722B57"/>
    <w:rsid w:val="00730F8A"/>
    <w:rsid w:val="00735A8C"/>
    <w:rsid w:val="0074253D"/>
    <w:rsid w:val="0074429B"/>
    <w:rsid w:val="00754D5B"/>
    <w:rsid w:val="007615BC"/>
    <w:rsid w:val="00762F05"/>
    <w:rsid w:val="007643B1"/>
    <w:rsid w:val="007652FF"/>
    <w:rsid w:val="00770CAC"/>
    <w:rsid w:val="00770EF1"/>
    <w:rsid w:val="00773EF7"/>
    <w:rsid w:val="00774E1D"/>
    <w:rsid w:val="007765D8"/>
    <w:rsid w:val="0077675A"/>
    <w:rsid w:val="00780355"/>
    <w:rsid w:val="007819FD"/>
    <w:rsid w:val="00785717"/>
    <w:rsid w:val="00785721"/>
    <w:rsid w:val="00793A59"/>
    <w:rsid w:val="007B4BEB"/>
    <w:rsid w:val="007B6132"/>
    <w:rsid w:val="007B6E9F"/>
    <w:rsid w:val="007B77A0"/>
    <w:rsid w:val="007C1216"/>
    <w:rsid w:val="007C1AF7"/>
    <w:rsid w:val="007C6B9B"/>
    <w:rsid w:val="00805D27"/>
    <w:rsid w:val="00806DCB"/>
    <w:rsid w:val="00821776"/>
    <w:rsid w:val="008321F5"/>
    <w:rsid w:val="00832369"/>
    <w:rsid w:val="00834660"/>
    <w:rsid w:val="00836BC2"/>
    <w:rsid w:val="00842DB9"/>
    <w:rsid w:val="0085156D"/>
    <w:rsid w:val="008547B2"/>
    <w:rsid w:val="0085641B"/>
    <w:rsid w:val="00857136"/>
    <w:rsid w:val="00861D1C"/>
    <w:rsid w:val="00875A6B"/>
    <w:rsid w:val="00885B11"/>
    <w:rsid w:val="00886664"/>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51A9"/>
    <w:rsid w:val="008E1B10"/>
    <w:rsid w:val="008E7846"/>
    <w:rsid w:val="008F02E5"/>
    <w:rsid w:val="008F1CCC"/>
    <w:rsid w:val="008F2967"/>
    <w:rsid w:val="008F6943"/>
    <w:rsid w:val="00902A21"/>
    <w:rsid w:val="0090430C"/>
    <w:rsid w:val="00920330"/>
    <w:rsid w:val="009219D7"/>
    <w:rsid w:val="00922D53"/>
    <w:rsid w:val="00923B70"/>
    <w:rsid w:val="00924482"/>
    <w:rsid w:val="00930237"/>
    <w:rsid w:val="00937C17"/>
    <w:rsid w:val="00937F7C"/>
    <w:rsid w:val="00940A89"/>
    <w:rsid w:val="00946EA5"/>
    <w:rsid w:val="00961557"/>
    <w:rsid w:val="00963C08"/>
    <w:rsid w:val="00967A0C"/>
    <w:rsid w:val="009752A5"/>
    <w:rsid w:val="0098585A"/>
    <w:rsid w:val="009A44B7"/>
    <w:rsid w:val="009A4CED"/>
    <w:rsid w:val="009A690D"/>
    <w:rsid w:val="009B1D12"/>
    <w:rsid w:val="009B416B"/>
    <w:rsid w:val="009C4BD5"/>
    <w:rsid w:val="009C74C7"/>
    <w:rsid w:val="009D0573"/>
    <w:rsid w:val="009D10D3"/>
    <w:rsid w:val="009D7B77"/>
    <w:rsid w:val="009E0BB0"/>
    <w:rsid w:val="009E3FBB"/>
    <w:rsid w:val="009F7353"/>
    <w:rsid w:val="00A04F85"/>
    <w:rsid w:val="00A05FA4"/>
    <w:rsid w:val="00A102E4"/>
    <w:rsid w:val="00A12C42"/>
    <w:rsid w:val="00A14DF7"/>
    <w:rsid w:val="00A215B3"/>
    <w:rsid w:val="00A3246D"/>
    <w:rsid w:val="00A36FA7"/>
    <w:rsid w:val="00A44DDB"/>
    <w:rsid w:val="00A475B7"/>
    <w:rsid w:val="00A47AF7"/>
    <w:rsid w:val="00A47C3E"/>
    <w:rsid w:val="00A50226"/>
    <w:rsid w:val="00A60BAD"/>
    <w:rsid w:val="00A802CC"/>
    <w:rsid w:val="00A80B5B"/>
    <w:rsid w:val="00A84E36"/>
    <w:rsid w:val="00A964D1"/>
    <w:rsid w:val="00AA0ED0"/>
    <w:rsid w:val="00AB3FCA"/>
    <w:rsid w:val="00AC2B40"/>
    <w:rsid w:val="00AC2BB2"/>
    <w:rsid w:val="00AC2C3C"/>
    <w:rsid w:val="00AC512D"/>
    <w:rsid w:val="00AD0083"/>
    <w:rsid w:val="00AD3935"/>
    <w:rsid w:val="00AD56A5"/>
    <w:rsid w:val="00AD68DB"/>
    <w:rsid w:val="00AE65EB"/>
    <w:rsid w:val="00AE67A7"/>
    <w:rsid w:val="00AF1D94"/>
    <w:rsid w:val="00AF60C5"/>
    <w:rsid w:val="00B009C6"/>
    <w:rsid w:val="00B01548"/>
    <w:rsid w:val="00B13EBD"/>
    <w:rsid w:val="00B21D29"/>
    <w:rsid w:val="00B25034"/>
    <w:rsid w:val="00B33588"/>
    <w:rsid w:val="00B33863"/>
    <w:rsid w:val="00B37D17"/>
    <w:rsid w:val="00B4175E"/>
    <w:rsid w:val="00B452CE"/>
    <w:rsid w:val="00B54C25"/>
    <w:rsid w:val="00B76B91"/>
    <w:rsid w:val="00B77EB1"/>
    <w:rsid w:val="00B811C6"/>
    <w:rsid w:val="00B83803"/>
    <w:rsid w:val="00B855B0"/>
    <w:rsid w:val="00B92E08"/>
    <w:rsid w:val="00BC622A"/>
    <w:rsid w:val="00BE0A78"/>
    <w:rsid w:val="00BE0DF4"/>
    <w:rsid w:val="00BE79F0"/>
    <w:rsid w:val="00BF046D"/>
    <w:rsid w:val="00BF1190"/>
    <w:rsid w:val="00BF5D04"/>
    <w:rsid w:val="00C009AA"/>
    <w:rsid w:val="00C04EFF"/>
    <w:rsid w:val="00C1164D"/>
    <w:rsid w:val="00C16861"/>
    <w:rsid w:val="00C33728"/>
    <w:rsid w:val="00C346AB"/>
    <w:rsid w:val="00C404A6"/>
    <w:rsid w:val="00C40A36"/>
    <w:rsid w:val="00C44419"/>
    <w:rsid w:val="00C45E7B"/>
    <w:rsid w:val="00C471B1"/>
    <w:rsid w:val="00C51A1B"/>
    <w:rsid w:val="00C6316B"/>
    <w:rsid w:val="00C634A9"/>
    <w:rsid w:val="00C64586"/>
    <w:rsid w:val="00C70D53"/>
    <w:rsid w:val="00C73D0B"/>
    <w:rsid w:val="00C772FF"/>
    <w:rsid w:val="00C80137"/>
    <w:rsid w:val="00C801AF"/>
    <w:rsid w:val="00C80256"/>
    <w:rsid w:val="00C915D9"/>
    <w:rsid w:val="00C938AD"/>
    <w:rsid w:val="00C94CD4"/>
    <w:rsid w:val="00C9747E"/>
    <w:rsid w:val="00CB6BC0"/>
    <w:rsid w:val="00CC1B7C"/>
    <w:rsid w:val="00CC3E4E"/>
    <w:rsid w:val="00CC727F"/>
    <w:rsid w:val="00CD6AF5"/>
    <w:rsid w:val="00CF15C3"/>
    <w:rsid w:val="00CF2B6F"/>
    <w:rsid w:val="00CF2F3E"/>
    <w:rsid w:val="00CF58B6"/>
    <w:rsid w:val="00D0062D"/>
    <w:rsid w:val="00D017ED"/>
    <w:rsid w:val="00D040D3"/>
    <w:rsid w:val="00D04C65"/>
    <w:rsid w:val="00D201D2"/>
    <w:rsid w:val="00D224FE"/>
    <w:rsid w:val="00D23139"/>
    <w:rsid w:val="00D4227E"/>
    <w:rsid w:val="00D425BB"/>
    <w:rsid w:val="00D53943"/>
    <w:rsid w:val="00D6493E"/>
    <w:rsid w:val="00D7195D"/>
    <w:rsid w:val="00D7301E"/>
    <w:rsid w:val="00D76E01"/>
    <w:rsid w:val="00D83AE1"/>
    <w:rsid w:val="00D855D4"/>
    <w:rsid w:val="00D902C9"/>
    <w:rsid w:val="00D93466"/>
    <w:rsid w:val="00DA0A0E"/>
    <w:rsid w:val="00DA1124"/>
    <w:rsid w:val="00DB6124"/>
    <w:rsid w:val="00DB750B"/>
    <w:rsid w:val="00DB75B7"/>
    <w:rsid w:val="00DC6E02"/>
    <w:rsid w:val="00DD28CD"/>
    <w:rsid w:val="00DE02AE"/>
    <w:rsid w:val="00DF1D7F"/>
    <w:rsid w:val="00DF44D4"/>
    <w:rsid w:val="00DF4BE4"/>
    <w:rsid w:val="00E02FB4"/>
    <w:rsid w:val="00E03B6D"/>
    <w:rsid w:val="00E13A79"/>
    <w:rsid w:val="00E13FC7"/>
    <w:rsid w:val="00E20571"/>
    <w:rsid w:val="00E235F7"/>
    <w:rsid w:val="00E23659"/>
    <w:rsid w:val="00E239D4"/>
    <w:rsid w:val="00E26130"/>
    <w:rsid w:val="00E264B4"/>
    <w:rsid w:val="00E27684"/>
    <w:rsid w:val="00E36D21"/>
    <w:rsid w:val="00E36F77"/>
    <w:rsid w:val="00E40B22"/>
    <w:rsid w:val="00E44ED1"/>
    <w:rsid w:val="00E45619"/>
    <w:rsid w:val="00E4588F"/>
    <w:rsid w:val="00E46642"/>
    <w:rsid w:val="00E46DA3"/>
    <w:rsid w:val="00E51BB1"/>
    <w:rsid w:val="00E54E4F"/>
    <w:rsid w:val="00E55376"/>
    <w:rsid w:val="00E557DC"/>
    <w:rsid w:val="00E624A5"/>
    <w:rsid w:val="00E64BA4"/>
    <w:rsid w:val="00E70BC5"/>
    <w:rsid w:val="00E7344E"/>
    <w:rsid w:val="00E82665"/>
    <w:rsid w:val="00E8436F"/>
    <w:rsid w:val="00E9044D"/>
    <w:rsid w:val="00E91169"/>
    <w:rsid w:val="00EA7B41"/>
    <w:rsid w:val="00EB0798"/>
    <w:rsid w:val="00EB2815"/>
    <w:rsid w:val="00EB40AD"/>
    <w:rsid w:val="00EB586E"/>
    <w:rsid w:val="00EB5FC8"/>
    <w:rsid w:val="00EC2FDD"/>
    <w:rsid w:val="00EC463D"/>
    <w:rsid w:val="00EC7A85"/>
    <w:rsid w:val="00ED2922"/>
    <w:rsid w:val="00ED3CAD"/>
    <w:rsid w:val="00ED5A41"/>
    <w:rsid w:val="00EE1DE8"/>
    <w:rsid w:val="00EE27C2"/>
    <w:rsid w:val="00EE7D8F"/>
    <w:rsid w:val="00EF4BAD"/>
    <w:rsid w:val="00EF59DC"/>
    <w:rsid w:val="00F00DD6"/>
    <w:rsid w:val="00F033EC"/>
    <w:rsid w:val="00F04F68"/>
    <w:rsid w:val="00F12670"/>
    <w:rsid w:val="00F14B27"/>
    <w:rsid w:val="00F17D4D"/>
    <w:rsid w:val="00F3148D"/>
    <w:rsid w:val="00F325C5"/>
    <w:rsid w:val="00F32FE0"/>
    <w:rsid w:val="00F35298"/>
    <w:rsid w:val="00F47333"/>
    <w:rsid w:val="00F47E37"/>
    <w:rsid w:val="00F53C07"/>
    <w:rsid w:val="00F54B65"/>
    <w:rsid w:val="00F640B6"/>
    <w:rsid w:val="00F66DF2"/>
    <w:rsid w:val="00F80E40"/>
    <w:rsid w:val="00F848D9"/>
    <w:rsid w:val="00FA5B82"/>
    <w:rsid w:val="00FA639E"/>
    <w:rsid w:val="00FB5DDC"/>
    <w:rsid w:val="00FC1FCA"/>
    <w:rsid w:val="00FC25E4"/>
    <w:rsid w:val="00FC2C79"/>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5DE8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7B4BEB"/>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7B4BEB"/>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E03B6D"/>
    <w:pPr>
      <w:adjustRightInd w:val="0"/>
      <w:snapToGrid w:val="0"/>
      <w:spacing w:before="180" w:after="180"/>
      <w:ind w:left="720"/>
      <w:contextualSpacing/>
    </w:pPr>
    <w:rPr>
      <w:rFonts w:eastAsia="MS Mincho"/>
      <w:szCs w:val="20"/>
      <w:lang w:eastAsia="ja-JP"/>
    </w:rPr>
  </w:style>
  <w:style w:type="character" w:customStyle="1" w:styleId="TabletextChar">
    <w:name w:val="Table text Char"/>
    <w:basedOn w:val="DefaultParagraphFont"/>
    <w:link w:val="Tabletext"/>
    <w:rsid w:val="003B1047"/>
    <w:rPr>
      <w:rFonts w:ascii="Cambria" w:eastAsia="Cambria" w:hAnsi="Cambria" w:cs="Times New Roman"/>
      <w:sz w:val="19"/>
    </w:rPr>
  </w:style>
  <w:style w:type="paragraph" w:customStyle="1" w:styleId="Standard">
    <w:name w:val="Standard"/>
    <w:basedOn w:val="Normal"/>
    <w:link w:val="StandardChar"/>
    <w:qFormat/>
    <w:rsid w:val="003B1047"/>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3B1047"/>
    <w:rPr>
      <w:rFonts w:ascii="Cambria" w:eastAsia="Times New Roman" w:hAnsi="Cambria" w:cs="Times New Roman"/>
      <w:snapToGrid w:val="0"/>
      <w:kern w:val="16"/>
      <w:sz w:val="23"/>
      <w:szCs w:val="24"/>
    </w:rPr>
  </w:style>
  <w:style w:type="paragraph" w:customStyle="1" w:styleId="Bulletpoint">
    <w:name w:val="Bullet point"/>
    <w:basedOn w:val="Normal"/>
    <w:rsid w:val="00E54E4F"/>
    <w:pPr>
      <w:numPr>
        <w:numId w:val="35"/>
      </w:numPr>
      <w:tabs>
        <w:tab w:val="left" w:pos="397"/>
      </w:tabs>
      <w:spacing w:before="0" w:after="180" w:line="252" w:lineRule="auto"/>
    </w:pPr>
    <w:rPr>
      <w:rFonts w:eastAsia="Times New Roman"/>
      <w:snapToGrid w:val="0"/>
      <w:kern w:val="16"/>
      <w:szCs w:val="24"/>
    </w:rPr>
  </w:style>
  <w:style w:type="paragraph" w:customStyle="1" w:styleId="AssessmentSubsection">
    <w:name w:val="Assessment Subsection"/>
    <w:basedOn w:val="Standard"/>
    <w:next w:val="Standard"/>
    <w:rsid w:val="00E54E4F"/>
    <w:pPr>
      <w:keepNext/>
      <w:spacing w:after="110"/>
      <w:outlineLvl w:val="2"/>
    </w:pPr>
    <w:rPr>
      <w:b/>
      <w:i/>
      <w:sz w:val="22"/>
    </w:rPr>
  </w:style>
  <w:style w:type="paragraph" w:customStyle="1" w:styleId="WhiteSpace">
    <w:name w:val="White Space"/>
    <w:basedOn w:val="Standard"/>
    <w:next w:val="Standard"/>
    <w:link w:val="WhiteSpaceChar"/>
    <w:rsid w:val="00E54E4F"/>
    <w:pPr>
      <w:spacing w:after="0"/>
    </w:pPr>
    <w:rPr>
      <w:sz w:val="16"/>
      <w:szCs w:val="16"/>
    </w:rPr>
  </w:style>
  <w:style w:type="character" w:customStyle="1" w:styleId="WhiteSpaceChar">
    <w:name w:val="White Space Char"/>
    <w:basedOn w:val="DefaultParagraphFont"/>
    <w:link w:val="WhiteSpace"/>
    <w:rsid w:val="00E54E4F"/>
    <w:rPr>
      <w:rFonts w:ascii="Cambria" w:eastAsia="Times New Roman" w:hAnsi="Cambria" w:cs="Times New Roman"/>
      <w:snapToGrid w:val="0"/>
      <w:kern w:val="16"/>
      <w:sz w:val="16"/>
      <w:szCs w:val="16"/>
    </w:rPr>
  </w:style>
  <w:style w:type="paragraph" w:customStyle="1" w:styleId="AssessmentSection">
    <w:name w:val="Assessment Section"/>
    <w:basedOn w:val="AssessmentSubsection"/>
    <w:next w:val="Standard"/>
    <w:rsid w:val="00E54E4F"/>
    <w:pPr>
      <w:outlineLvl w:val="1"/>
    </w:pPr>
    <w:rPr>
      <w:i w:val="0"/>
    </w:rPr>
  </w:style>
  <w:style w:type="paragraph" w:customStyle="1" w:styleId="Tabletextbullet">
    <w:name w:val="Table text (bullet)"/>
    <w:basedOn w:val="Normal"/>
    <w:rsid w:val="00E54E4F"/>
    <w:pPr>
      <w:numPr>
        <w:numId w:val="36"/>
      </w:numPr>
      <w:spacing w:before="30" w:after="30" w:line="200" w:lineRule="atLeast"/>
      <w:ind w:left="199" w:right="57" w:hanging="142"/>
    </w:pPr>
    <w:rPr>
      <w:rFonts w:eastAsia="Times New Roman"/>
      <w:snapToGrid w:val="0"/>
      <w:kern w:val="16"/>
      <w:sz w:val="18"/>
      <w:szCs w:val="19"/>
    </w:rPr>
  </w:style>
  <w:style w:type="paragraph" w:customStyle="1" w:styleId="AssessmentSubsection2">
    <w:name w:val="Assessment Subsection 2"/>
    <w:basedOn w:val="Normal"/>
    <w:next w:val="Standard"/>
    <w:rsid w:val="00E54E4F"/>
    <w:pPr>
      <w:keepNext/>
      <w:spacing w:before="0" w:after="110" w:line="252" w:lineRule="auto"/>
      <w:outlineLvl w:val="3"/>
    </w:pPr>
    <w:rPr>
      <w:rFonts w:eastAsia="Times New Roman"/>
      <w:i/>
      <w:snapToGrid w:val="0"/>
      <w:kern w:val="16"/>
      <w:szCs w:val="24"/>
    </w:rPr>
  </w:style>
  <w:style w:type="character" w:customStyle="1" w:styleId="TableTitleChar">
    <w:name w:val="Table Title Char"/>
    <w:basedOn w:val="DefaultParagraphFont"/>
    <w:link w:val="TableTitle"/>
    <w:rsid w:val="00E54E4F"/>
    <w:rPr>
      <w:rFonts w:ascii="Cambria" w:eastAsia="Cambria" w:hAnsi="Cambria" w:cs="Times New Roman"/>
      <w:b/>
    </w:rPr>
  </w:style>
  <w:style w:type="paragraph" w:customStyle="1" w:styleId="TableHeader">
    <w:name w:val="Table Header"/>
    <w:basedOn w:val="Normal"/>
    <w:rsid w:val="005B1F2F"/>
    <w:pPr>
      <w:keepNext/>
      <w:keepLines/>
      <w:widowControl w:val="0"/>
      <w:spacing w:before="60" w:after="60" w:line="200" w:lineRule="exact"/>
      <w:jc w:val="center"/>
    </w:pPr>
    <w:rPr>
      <w:rFonts w:eastAsia="MS Mincho" w:cstheme="minorBidi"/>
      <w:b/>
      <w:kern w:val="2"/>
      <w:sz w:val="19"/>
      <w:szCs w:val="19"/>
    </w:rPr>
  </w:style>
  <w:style w:type="paragraph" w:customStyle="1" w:styleId="TableCaption">
    <w:name w:val="Table Caption"/>
    <w:basedOn w:val="Normal"/>
    <w:next w:val="Normal"/>
    <w:link w:val="TableCaptionChar"/>
    <w:rsid w:val="005B1F2F"/>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DefaultParagraphFont"/>
    <w:link w:val="TableCaption"/>
    <w:rsid w:val="005B1F2F"/>
    <w:rPr>
      <w:rFonts w:ascii="Cambria" w:eastAsia="Times New Roman" w:hAnsi="Cambria" w:cs="Times New Roman"/>
      <w:snapToGrid w:val="0"/>
      <w:kern w:val="16"/>
      <w:sz w:val="18"/>
      <w:szCs w:val="19"/>
    </w:rPr>
  </w:style>
  <w:style w:type="paragraph" w:customStyle="1" w:styleId="Bulletlist">
    <w:name w:val="Bullet list"/>
    <w:basedOn w:val="Normal"/>
    <w:link w:val="BulletlistChar"/>
    <w:qFormat/>
    <w:rsid w:val="00E36D21"/>
    <w:pPr>
      <w:numPr>
        <w:numId w:val="38"/>
      </w:numPr>
      <w:spacing w:before="0" w:after="180" w:line="252" w:lineRule="auto"/>
    </w:pPr>
    <w:rPr>
      <w:rFonts w:eastAsia="Times New Roman"/>
      <w:snapToGrid w:val="0"/>
      <w:kern w:val="2"/>
      <w:sz w:val="23"/>
    </w:rPr>
  </w:style>
  <w:style w:type="character" w:customStyle="1" w:styleId="BulletlistChar">
    <w:name w:val="Bullet list Char"/>
    <w:basedOn w:val="DefaultParagraphFont"/>
    <w:link w:val="Bulletlist"/>
    <w:rsid w:val="00E36D21"/>
    <w:rPr>
      <w:rFonts w:ascii="Cambria" w:eastAsia="Times New Roman" w:hAnsi="Cambria" w:cs="Times New Roman"/>
      <w:snapToGrid w:val="0"/>
      <w:kern w:val="2"/>
      <w:sz w:val="23"/>
    </w:rPr>
  </w:style>
  <w:style w:type="paragraph" w:customStyle="1" w:styleId="Default">
    <w:name w:val="Default"/>
    <w:rsid w:val="0096155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title0">
    <w:name w:val="Table title"/>
    <w:basedOn w:val="Normal"/>
    <w:next w:val="Normal"/>
    <w:rsid w:val="00F17D4D"/>
    <w:pPr>
      <w:keepNext/>
      <w:spacing w:after="180"/>
      <w:outlineLvl w:val="4"/>
    </w:pPr>
    <w:rPr>
      <w:rFonts w:cstheme="minorBidi"/>
      <w:b/>
    </w:rPr>
  </w:style>
  <w:style w:type="character" w:customStyle="1" w:styleId="apple-converted-space">
    <w:name w:val="apple-converted-space"/>
    <w:basedOn w:val="DefaultParagraphFont"/>
    <w:rsid w:val="00534366"/>
  </w:style>
  <w:style w:type="character" w:styleId="Emphasis">
    <w:name w:val="Emphasis"/>
    <w:basedOn w:val="DefaultParagraphFont"/>
    <w:uiPriority w:val="20"/>
    <w:qFormat/>
    <w:rsid w:val="0053436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7B4BEB"/>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7B4BEB"/>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E03B6D"/>
    <w:pPr>
      <w:adjustRightInd w:val="0"/>
      <w:snapToGrid w:val="0"/>
      <w:spacing w:before="180" w:after="180"/>
      <w:ind w:left="720"/>
      <w:contextualSpacing/>
    </w:pPr>
    <w:rPr>
      <w:rFonts w:eastAsia="MS Mincho"/>
      <w:szCs w:val="20"/>
      <w:lang w:eastAsia="ja-JP"/>
    </w:rPr>
  </w:style>
  <w:style w:type="character" w:customStyle="1" w:styleId="TabletextChar">
    <w:name w:val="Table text Char"/>
    <w:basedOn w:val="DefaultParagraphFont"/>
    <w:link w:val="Tabletext"/>
    <w:rsid w:val="003B1047"/>
    <w:rPr>
      <w:rFonts w:ascii="Cambria" w:eastAsia="Cambria" w:hAnsi="Cambria" w:cs="Times New Roman"/>
      <w:sz w:val="19"/>
    </w:rPr>
  </w:style>
  <w:style w:type="paragraph" w:customStyle="1" w:styleId="Standard">
    <w:name w:val="Standard"/>
    <w:basedOn w:val="Normal"/>
    <w:link w:val="StandardChar"/>
    <w:qFormat/>
    <w:rsid w:val="003B1047"/>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3B1047"/>
    <w:rPr>
      <w:rFonts w:ascii="Cambria" w:eastAsia="Times New Roman" w:hAnsi="Cambria" w:cs="Times New Roman"/>
      <w:snapToGrid w:val="0"/>
      <w:kern w:val="16"/>
      <w:sz w:val="23"/>
      <w:szCs w:val="24"/>
    </w:rPr>
  </w:style>
  <w:style w:type="paragraph" w:customStyle="1" w:styleId="Bulletpoint">
    <w:name w:val="Bullet point"/>
    <w:basedOn w:val="Normal"/>
    <w:rsid w:val="00E54E4F"/>
    <w:pPr>
      <w:numPr>
        <w:numId w:val="35"/>
      </w:numPr>
      <w:tabs>
        <w:tab w:val="left" w:pos="397"/>
      </w:tabs>
      <w:spacing w:before="0" w:after="180" w:line="252" w:lineRule="auto"/>
    </w:pPr>
    <w:rPr>
      <w:rFonts w:eastAsia="Times New Roman"/>
      <w:snapToGrid w:val="0"/>
      <w:kern w:val="16"/>
      <w:szCs w:val="24"/>
    </w:rPr>
  </w:style>
  <w:style w:type="paragraph" w:customStyle="1" w:styleId="AssessmentSubsection">
    <w:name w:val="Assessment Subsection"/>
    <w:basedOn w:val="Standard"/>
    <w:next w:val="Standard"/>
    <w:rsid w:val="00E54E4F"/>
    <w:pPr>
      <w:keepNext/>
      <w:spacing w:after="110"/>
      <w:outlineLvl w:val="2"/>
    </w:pPr>
    <w:rPr>
      <w:b/>
      <w:i/>
      <w:sz w:val="22"/>
    </w:rPr>
  </w:style>
  <w:style w:type="paragraph" w:customStyle="1" w:styleId="WhiteSpace">
    <w:name w:val="White Space"/>
    <w:basedOn w:val="Standard"/>
    <w:next w:val="Standard"/>
    <w:link w:val="WhiteSpaceChar"/>
    <w:rsid w:val="00E54E4F"/>
    <w:pPr>
      <w:spacing w:after="0"/>
    </w:pPr>
    <w:rPr>
      <w:sz w:val="16"/>
      <w:szCs w:val="16"/>
    </w:rPr>
  </w:style>
  <w:style w:type="character" w:customStyle="1" w:styleId="WhiteSpaceChar">
    <w:name w:val="White Space Char"/>
    <w:basedOn w:val="DefaultParagraphFont"/>
    <w:link w:val="WhiteSpace"/>
    <w:rsid w:val="00E54E4F"/>
    <w:rPr>
      <w:rFonts w:ascii="Cambria" w:eastAsia="Times New Roman" w:hAnsi="Cambria" w:cs="Times New Roman"/>
      <w:snapToGrid w:val="0"/>
      <w:kern w:val="16"/>
      <w:sz w:val="16"/>
      <w:szCs w:val="16"/>
    </w:rPr>
  </w:style>
  <w:style w:type="paragraph" w:customStyle="1" w:styleId="AssessmentSection">
    <w:name w:val="Assessment Section"/>
    <w:basedOn w:val="AssessmentSubsection"/>
    <w:next w:val="Standard"/>
    <w:rsid w:val="00E54E4F"/>
    <w:pPr>
      <w:outlineLvl w:val="1"/>
    </w:pPr>
    <w:rPr>
      <w:i w:val="0"/>
    </w:rPr>
  </w:style>
  <w:style w:type="paragraph" w:customStyle="1" w:styleId="Tabletextbullet">
    <w:name w:val="Table text (bullet)"/>
    <w:basedOn w:val="Normal"/>
    <w:rsid w:val="00E54E4F"/>
    <w:pPr>
      <w:numPr>
        <w:numId w:val="36"/>
      </w:numPr>
      <w:spacing w:before="30" w:after="30" w:line="200" w:lineRule="atLeast"/>
      <w:ind w:left="199" w:right="57" w:hanging="142"/>
    </w:pPr>
    <w:rPr>
      <w:rFonts w:eastAsia="Times New Roman"/>
      <w:snapToGrid w:val="0"/>
      <w:kern w:val="16"/>
      <w:sz w:val="18"/>
      <w:szCs w:val="19"/>
    </w:rPr>
  </w:style>
  <w:style w:type="paragraph" w:customStyle="1" w:styleId="AssessmentSubsection2">
    <w:name w:val="Assessment Subsection 2"/>
    <w:basedOn w:val="Normal"/>
    <w:next w:val="Standard"/>
    <w:rsid w:val="00E54E4F"/>
    <w:pPr>
      <w:keepNext/>
      <w:spacing w:before="0" w:after="110" w:line="252" w:lineRule="auto"/>
      <w:outlineLvl w:val="3"/>
    </w:pPr>
    <w:rPr>
      <w:rFonts w:eastAsia="Times New Roman"/>
      <w:i/>
      <w:snapToGrid w:val="0"/>
      <w:kern w:val="16"/>
      <w:szCs w:val="24"/>
    </w:rPr>
  </w:style>
  <w:style w:type="character" w:customStyle="1" w:styleId="TableTitleChar">
    <w:name w:val="Table Title Char"/>
    <w:basedOn w:val="DefaultParagraphFont"/>
    <w:link w:val="TableTitle"/>
    <w:rsid w:val="00E54E4F"/>
    <w:rPr>
      <w:rFonts w:ascii="Cambria" w:eastAsia="Cambria" w:hAnsi="Cambria" w:cs="Times New Roman"/>
      <w:b/>
    </w:rPr>
  </w:style>
  <w:style w:type="paragraph" w:customStyle="1" w:styleId="TableHeader">
    <w:name w:val="Table Header"/>
    <w:basedOn w:val="Normal"/>
    <w:rsid w:val="005B1F2F"/>
    <w:pPr>
      <w:keepNext/>
      <w:keepLines/>
      <w:widowControl w:val="0"/>
      <w:spacing w:before="60" w:after="60" w:line="200" w:lineRule="exact"/>
      <w:jc w:val="center"/>
    </w:pPr>
    <w:rPr>
      <w:rFonts w:eastAsia="MS Mincho" w:cstheme="minorBidi"/>
      <w:b/>
      <w:kern w:val="2"/>
      <w:sz w:val="19"/>
      <w:szCs w:val="19"/>
    </w:rPr>
  </w:style>
  <w:style w:type="paragraph" w:customStyle="1" w:styleId="TableCaption">
    <w:name w:val="Table Caption"/>
    <w:basedOn w:val="Normal"/>
    <w:next w:val="Normal"/>
    <w:link w:val="TableCaptionChar"/>
    <w:rsid w:val="005B1F2F"/>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DefaultParagraphFont"/>
    <w:link w:val="TableCaption"/>
    <w:rsid w:val="005B1F2F"/>
    <w:rPr>
      <w:rFonts w:ascii="Cambria" w:eastAsia="Times New Roman" w:hAnsi="Cambria" w:cs="Times New Roman"/>
      <w:snapToGrid w:val="0"/>
      <w:kern w:val="16"/>
      <w:sz w:val="18"/>
      <w:szCs w:val="19"/>
    </w:rPr>
  </w:style>
  <w:style w:type="paragraph" w:customStyle="1" w:styleId="Bulletlist">
    <w:name w:val="Bullet list"/>
    <w:basedOn w:val="Normal"/>
    <w:link w:val="BulletlistChar"/>
    <w:qFormat/>
    <w:rsid w:val="00E36D21"/>
    <w:pPr>
      <w:numPr>
        <w:numId w:val="38"/>
      </w:numPr>
      <w:spacing w:before="0" w:after="180" w:line="252" w:lineRule="auto"/>
    </w:pPr>
    <w:rPr>
      <w:rFonts w:eastAsia="Times New Roman"/>
      <w:snapToGrid w:val="0"/>
      <w:kern w:val="2"/>
      <w:sz w:val="23"/>
    </w:rPr>
  </w:style>
  <w:style w:type="character" w:customStyle="1" w:styleId="BulletlistChar">
    <w:name w:val="Bullet list Char"/>
    <w:basedOn w:val="DefaultParagraphFont"/>
    <w:link w:val="Bulletlist"/>
    <w:rsid w:val="00E36D21"/>
    <w:rPr>
      <w:rFonts w:ascii="Cambria" w:eastAsia="Times New Roman" w:hAnsi="Cambria" w:cs="Times New Roman"/>
      <w:snapToGrid w:val="0"/>
      <w:kern w:val="2"/>
      <w:sz w:val="23"/>
    </w:rPr>
  </w:style>
  <w:style w:type="paragraph" w:customStyle="1" w:styleId="Default">
    <w:name w:val="Default"/>
    <w:rsid w:val="0096155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title0">
    <w:name w:val="Table title"/>
    <w:basedOn w:val="Normal"/>
    <w:next w:val="Normal"/>
    <w:rsid w:val="00F17D4D"/>
    <w:pPr>
      <w:keepNext/>
      <w:spacing w:after="180"/>
      <w:outlineLvl w:val="4"/>
    </w:pPr>
    <w:rPr>
      <w:rFonts w:cstheme="minorBidi"/>
      <w:b/>
    </w:rPr>
  </w:style>
  <w:style w:type="character" w:customStyle="1" w:styleId="apple-converted-space">
    <w:name w:val="apple-converted-space"/>
    <w:basedOn w:val="DefaultParagraphFont"/>
    <w:rsid w:val="00534366"/>
  </w:style>
  <w:style w:type="character" w:styleId="Emphasis">
    <w:name w:val="Emphasis"/>
    <w:basedOn w:val="DefaultParagraphFont"/>
    <w:uiPriority w:val="20"/>
    <w:qFormat/>
    <w:rsid w:val="005343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215689">
      <w:bodyDiv w:val="1"/>
      <w:marLeft w:val="0"/>
      <w:marRight w:val="0"/>
      <w:marTop w:val="0"/>
      <w:marBottom w:val="0"/>
      <w:divBdr>
        <w:top w:val="none" w:sz="0" w:space="0" w:color="auto"/>
        <w:left w:val="none" w:sz="0" w:space="0" w:color="auto"/>
        <w:bottom w:val="none" w:sz="0" w:space="0" w:color="auto"/>
        <w:right w:val="none" w:sz="0" w:space="0" w:color="auto"/>
      </w:divBdr>
    </w:div>
    <w:div w:id="1923489470">
      <w:bodyDiv w:val="1"/>
      <w:marLeft w:val="0"/>
      <w:marRight w:val="0"/>
      <w:marTop w:val="0"/>
      <w:marBottom w:val="0"/>
      <w:divBdr>
        <w:top w:val="none" w:sz="0" w:space="0" w:color="auto"/>
        <w:left w:val="none" w:sz="0" w:space="0" w:color="auto"/>
        <w:bottom w:val="none" w:sz="0" w:space="0" w:color="auto"/>
        <w:right w:val="none" w:sz="0" w:space="0" w:color="auto"/>
      </w:divBdr>
    </w:div>
    <w:div w:id="212325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6.xml"/><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image" Target="media/image12.png"/><Relationship Id="rId33" Type="http://schemas.openxmlformats.org/officeDocument/2006/relationships/hyperlink" Target="https://www.tga.gov.au"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hyperlink" Target="mailto:info@tga.gov.au" TargetMode="Externa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eader" Target="header3.xml"/><Relationship Id="rId36" Type="http://schemas.openxmlformats.org/officeDocument/2006/relationships/footer" Target="footer3.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image" Target="media/image3.png"/><Relationship Id="rId22" Type="http://schemas.microsoft.com/office/2007/relationships/hdphoto" Target="media/hdphoto2.wdp"/><Relationship Id="rId27" Type="http://schemas.openxmlformats.org/officeDocument/2006/relationships/image" Target="media/image14.png"/><Relationship Id="rId30" Type="http://schemas.openxmlformats.org/officeDocument/2006/relationships/header" Target="header5.xml"/><Relationship Id="rId35" Type="http://schemas.openxmlformats.org/officeDocument/2006/relationships/header" Target="header7.xml"/><Relationship Id="rId43" Type="http://schemas.microsoft.com/office/2011/relationships/commentsExtended" Target="commentsExtended.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168\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FA424-79C5-40C2-8F50-591BED0E7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11</TotalTime>
  <Pages>43</Pages>
  <Words>12257</Words>
  <Characters>74523</Characters>
  <Application>Microsoft Office Word</Application>
  <DocSecurity>0</DocSecurity>
  <Lines>1961</Lines>
  <Paragraphs>796</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Company>
  <LinksUpToDate>false</LinksUpToDate>
  <CharactersWithSpaces>85984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Sodium zirconium cyclosilicate hydrate</dc:title>
  <dc:subject>prescription medicines</dc:subject>
  <dc:creator> Therapeutic Goods Administration</dc:creator>
  <cp:keywords>AusPARs</cp:keywords>
  <cp:lastModifiedBy>LACK, Janet</cp:lastModifiedBy>
  <cp:revision>3</cp:revision>
  <cp:lastPrinted>2018-01-04T23:34:00Z</cp:lastPrinted>
  <dcterms:created xsi:type="dcterms:W3CDTF">2018-02-01T01:39:00Z</dcterms:created>
  <dcterms:modified xsi:type="dcterms:W3CDTF">2018-02-01T01:53:00Z</dcterms:modified>
  <cp:category/>
</cp:coreProperties>
</file>