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6"/>
      </w:tblGrid>
      <w:tr w:rsidR="008E7846" w:rsidRPr="00487162" w14:paraId="191A1913" w14:textId="77777777" w:rsidTr="00436B89">
        <w:trPr>
          <w:trHeight w:val="1784"/>
        </w:trPr>
        <w:tc>
          <w:tcPr>
            <w:tcW w:w="7876" w:type="dxa"/>
            <w:tcBorders>
              <w:top w:val="nil"/>
              <w:left w:val="nil"/>
              <w:bottom w:val="nil"/>
              <w:right w:val="nil"/>
            </w:tcBorders>
          </w:tcPr>
          <w:p w14:paraId="1A5A927C" w14:textId="77777777" w:rsidR="008E7846" w:rsidRDefault="00436B89" w:rsidP="0017078F">
            <w:pPr>
              <w:rPr>
                <w:rFonts w:ascii="Arial" w:hAnsi="Arial" w:cs="Arial"/>
                <w:b/>
                <w:color w:val="002C47"/>
                <w:sz w:val="36"/>
                <w:szCs w:val="36"/>
              </w:rPr>
            </w:pPr>
            <w:r>
              <w:rPr>
                <w:rFonts w:ascii="Arial" w:hAnsi="Arial" w:cs="Arial"/>
                <w:b/>
                <w:color w:val="002C47"/>
                <w:sz w:val="36"/>
                <w:szCs w:val="36"/>
              </w:rPr>
              <w:t>First round evaluation: 8 August 2016</w:t>
            </w:r>
          </w:p>
          <w:p w14:paraId="1FB26003" w14:textId="77777777" w:rsidR="00436B89" w:rsidRPr="0017078F" w:rsidRDefault="00436B89" w:rsidP="0017078F">
            <w:pPr>
              <w:rPr>
                <w:rFonts w:ascii="Arial" w:hAnsi="Arial" w:cs="Arial"/>
                <w:b/>
                <w:color w:val="002C47"/>
                <w:sz w:val="36"/>
                <w:szCs w:val="36"/>
              </w:rPr>
            </w:pPr>
            <w:r>
              <w:rPr>
                <w:rFonts w:ascii="Arial" w:hAnsi="Arial" w:cs="Arial"/>
                <w:b/>
                <w:color w:val="002C47"/>
                <w:sz w:val="36"/>
                <w:szCs w:val="36"/>
              </w:rPr>
              <w:t>Second round evaluation: 19 January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33BECB7" w14:textId="77777777" w:rsidTr="00E07F15">
        <w:trPr>
          <w:trHeight w:val="1548"/>
        </w:trPr>
        <w:tc>
          <w:tcPr>
            <w:tcW w:w="9079" w:type="dxa"/>
          </w:tcPr>
          <w:p w14:paraId="1940BA68"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2F07CE38" w14:textId="77777777" w:rsidTr="00E07F15">
        <w:trPr>
          <w:trHeight w:val="868"/>
        </w:trPr>
        <w:tc>
          <w:tcPr>
            <w:tcW w:w="9079" w:type="dxa"/>
          </w:tcPr>
          <w:p w14:paraId="0CF50685" w14:textId="77777777"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436B89" w:rsidRPr="00436B89">
              <w:rPr>
                <w:color w:val="FFFFFF" w:themeColor="background1"/>
              </w:rPr>
              <w:t>Sodium phenylbutyrate</w:t>
            </w:r>
          </w:p>
        </w:tc>
      </w:tr>
      <w:tr w:rsidR="00E07F15" w:rsidRPr="00B64760" w14:paraId="7B0DE28E" w14:textId="77777777" w:rsidTr="00E07F15">
        <w:tc>
          <w:tcPr>
            <w:tcW w:w="9079" w:type="dxa"/>
          </w:tcPr>
          <w:p w14:paraId="597F1322" w14:textId="77777777" w:rsidR="00E07F15" w:rsidRPr="008E7846" w:rsidRDefault="00E07F15" w:rsidP="00436B89">
            <w:pPr>
              <w:pStyle w:val="Subtitle"/>
              <w:rPr>
                <w:color w:val="FFFFFF" w:themeColor="background1"/>
              </w:rPr>
            </w:pPr>
            <w:r w:rsidRPr="008E7846">
              <w:rPr>
                <w:color w:val="FFFFFF" w:themeColor="background1"/>
              </w:rPr>
              <w:t xml:space="preserve">Proprietary Product Name: </w:t>
            </w:r>
            <w:r w:rsidR="00436B89">
              <w:rPr>
                <w:color w:val="FFFFFF" w:themeColor="background1"/>
              </w:rPr>
              <w:t>Pheburane</w:t>
            </w:r>
            <w:r w:rsidRPr="008E7846">
              <w:rPr>
                <w:color w:val="FFFFFF" w:themeColor="background1"/>
              </w:rPr>
              <w:t xml:space="preserve"> </w:t>
            </w:r>
          </w:p>
        </w:tc>
      </w:tr>
      <w:tr w:rsidR="00E07F15" w:rsidRPr="00B64760" w14:paraId="05FDF5C2" w14:textId="77777777" w:rsidTr="00E07F15">
        <w:trPr>
          <w:trHeight w:val="486"/>
        </w:trPr>
        <w:tc>
          <w:tcPr>
            <w:tcW w:w="9079" w:type="dxa"/>
          </w:tcPr>
          <w:p w14:paraId="5EB94E4E" w14:textId="77777777" w:rsidR="00E07F15" w:rsidRPr="008E7846" w:rsidRDefault="00E07F15" w:rsidP="00436B89">
            <w:pPr>
              <w:pStyle w:val="Subtitle"/>
              <w:rPr>
                <w:color w:val="FFFFFF" w:themeColor="background1"/>
              </w:rPr>
            </w:pPr>
            <w:r w:rsidRPr="008E7846">
              <w:rPr>
                <w:color w:val="FFFFFF" w:themeColor="background1"/>
              </w:rPr>
              <w:t>Sponsor:</w:t>
            </w:r>
            <w:r w:rsidR="00436B89">
              <w:t xml:space="preserve"> </w:t>
            </w:r>
            <w:r w:rsidR="00436B89" w:rsidRPr="00436B89">
              <w:rPr>
                <w:color w:val="FFFFFF" w:themeColor="background1"/>
              </w:rPr>
              <w:t>Orpharma Pty Ltd</w:t>
            </w:r>
          </w:p>
        </w:tc>
      </w:tr>
    </w:tbl>
    <w:p w14:paraId="7AC9CAC5" w14:textId="77777777" w:rsidR="008E7846" w:rsidRDefault="008E7846" w:rsidP="008E7846">
      <w:pPr>
        <w:pStyle w:val="NonTOCHeading2"/>
      </w:pPr>
      <w:r>
        <w:br w:type="page"/>
      </w:r>
    </w:p>
    <w:p w14:paraId="2A74E9B8" w14:textId="77777777" w:rsidR="008E7846" w:rsidRPr="001F6CBA" w:rsidRDefault="008E7846" w:rsidP="008E7846">
      <w:pPr>
        <w:pStyle w:val="NonTOCHeading2"/>
      </w:pPr>
      <w:r w:rsidRPr="001F6CBA">
        <w:lastRenderedPageBreak/>
        <w:t>About the Therapeutic Goods Administration (TGA)</w:t>
      </w:r>
    </w:p>
    <w:p w14:paraId="6236FEF3" w14:textId="77777777" w:rsidR="008E7846" w:rsidRDefault="008E7846" w:rsidP="0017780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2DF9893" w14:textId="77777777" w:rsidR="008E7846" w:rsidRDefault="00C811C0" w:rsidP="0017780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06ED399D" w14:textId="77777777" w:rsidR="008E7846" w:rsidRDefault="008E7846" w:rsidP="0017780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55C7F967" w14:textId="77777777" w:rsidR="008E7846" w:rsidRDefault="008E7846" w:rsidP="0017780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3B7B530" w14:textId="77777777" w:rsidR="008E7846" w:rsidRDefault="008E7846" w:rsidP="00177802">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69AEEB4B"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76859BFF"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7EBE7A39" w14:textId="77777777" w:rsidR="003D0A3B" w:rsidRDefault="003D0A3B" w:rsidP="003D0A3B">
      <w:pPr>
        <w:pStyle w:val="ListBullet"/>
      </w:pPr>
      <w:r w:rsidRPr="003D0A3B">
        <w:t>The words [Information redacted], where they appear in this document, indicate that confidential information has been deleted.</w:t>
      </w:r>
    </w:p>
    <w:p w14:paraId="6C63CED2"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4C0240B4" w14:textId="77777777" w:rsidR="00924482" w:rsidRPr="00DF1D7F" w:rsidRDefault="00924482" w:rsidP="0017078F">
      <w:pPr>
        <w:pStyle w:val="LegalSubheading"/>
        <w:spacing w:before="4320"/>
      </w:pPr>
      <w:r w:rsidRPr="00DF1D7F">
        <w:t>Copyright</w:t>
      </w:r>
    </w:p>
    <w:p w14:paraId="0D792152" w14:textId="10A8B23C" w:rsidR="00924482" w:rsidRDefault="00924482" w:rsidP="00924482">
      <w:pPr>
        <w:pStyle w:val="LegalCopy"/>
      </w:pPr>
      <w:r w:rsidRPr="00191B3B">
        <w:rPr>
          <w:rFonts w:cs="Arial"/>
          <w:lang w:val="en-GB"/>
        </w:rPr>
        <w:t>© Comm</w:t>
      </w:r>
      <w:r>
        <w:rPr>
          <w:rFonts w:cs="Arial"/>
          <w:lang w:val="en-GB"/>
        </w:rPr>
        <w:t>onwealth of Australia 201</w:t>
      </w:r>
      <w:r w:rsidR="00D34F8E">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w:t>
      </w:r>
      <w:bookmarkStart w:id="0" w:name="_GoBack"/>
      <w:r w:rsidRPr="00191B3B">
        <w:rPr>
          <w:rFonts w:cs="Arial"/>
          <w:lang w:val="en-GB"/>
        </w:rPr>
        <w:t xml:space="preserve">Copyright Officer, Therapeutic Goods Administration, PO Box 100, Woden ACT 2606 or emailed to </w:t>
      </w:r>
      <w:bookmarkEnd w:id="0"/>
      <w:r w:rsidRPr="00191B3B">
        <w:rPr>
          <w:rFonts w:cs="Arial"/>
          <w:lang w:val="en-GB"/>
        </w:rPr>
        <w:t>&lt;</w:t>
      </w:r>
      <w:hyperlink r:id="rId11" w:history="1">
        <w:r w:rsidRPr="00191B3B">
          <w:rPr>
            <w:rStyle w:val="Hyperlink"/>
            <w:rFonts w:cs="Arial"/>
            <w:lang w:val="en-GB"/>
          </w:rPr>
          <w:t>tga.copyright@tga.gov.au</w:t>
        </w:r>
      </w:hyperlink>
      <w:r w:rsidRPr="00191B3B">
        <w:rPr>
          <w:rFonts w:cs="Arial"/>
        </w:rPr>
        <w:t>&gt;.</w:t>
      </w:r>
    </w:p>
    <w:p w14:paraId="7AFFF7CA"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8D1F8A4" w14:textId="77777777" w:rsidR="0089635C" w:rsidRPr="0089635C" w:rsidRDefault="0089635C" w:rsidP="0010788A">
          <w:pPr>
            <w:pStyle w:val="Contents"/>
          </w:pPr>
          <w:r w:rsidRPr="0010788A">
            <w:t>Contents</w:t>
          </w:r>
        </w:p>
        <w:p w14:paraId="6257C9F4" w14:textId="77777777" w:rsidR="002E66C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5179662" w:history="1">
            <w:r w:rsidR="002E66C8" w:rsidRPr="00A72540">
              <w:rPr>
                <w:rStyle w:val="Hyperlink"/>
                <w:noProof/>
              </w:rPr>
              <w:t>List of common abbreviations</w:t>
            </w:r>
            <w:r w:rsidR="002E66C8">
              <w:rPr>
                <w:noProof/>
                <w:webHidden/>
              </w:rPr>
              <w:tab/>
            </w:r>
            <w:r w:rsidR="002E66C8">
              <w:rPr>
                <w:noProof/>
                <w:webHidden/>
              </w:rPr>
              <w:fldChar w:fldCharType="begin"/>
            </w:r>
            <w:r w:rsidR="002E66C8">
              <w:rPr>
                <w:noProof/>
                <w:webHidden/>
              </w:rPr>
              <w:instrText xml:space="preserve"> PAGEREF _Toc505179662 \h </w:instrText>
            </w:r>
            <w:r w:rsidR="002E66C8">
              <w:rPr>
                <w:noProof/>
                <w:webHidden/>
              </w:rPr>
            </w:r>
            <w:r w:rsidR="002E66C8">
              <w:rPr>
                <w:noProof/>
                <w:webHidden/>
              </w:rPr>
              <w:fldChar w:fldCharType="separate"/>
            </w:r>
            <w:r w:rsidR="002E66C8">
              <w:rPr>
                <w:noProof/>
                <w:webHidden/>
              </w:rPr>
              <w:t>5</w:t>
            </w:r>
            <w:r w:rsidR="002E66C8">
              <w:rPr>
                <w:noProof/>
                <w:webHidden/>
              </w:rPr>
              <w:fldChar w:fldCharType="end"/>
            </w:r>
          </w:hyperlink>
        </w:p>
        <w:p w14:paraId="5CEB8EA6" w14:textId="77777777" w:rsidR="002E66C8" w:rsidRDefault="002E66C8">
          <w:pPr>
            <w:pStyle w:val="TOC2"/>
            <w:tabs>
              <w:tab w:val="left" w:pos="1100"/>
            </w:tabs>
            <w:rPr>
              <w:rFonts w:asciiTheme="minorHAnsi" w:eastAsiaTheme="minorEastAsia" w:hAnsiTheme="minorHAnsi" w:cstheme="minorBidi"/>
              <w:b w:val="0"/>
              <w:noProof/>
              <w:sz w:val="22"/>
              <w:lang w:eastAsia="en-AU"/>
            </w:rPr>
          </w:pPr>
          <w:hyperlink w:anchor="_Toc505179663" w:history="1">
            <w:r w:rsidRPr="00A72540">
              <w:rPr>
                <w:rStyle w:val="Hyperlink"/>
                <w:noProof/>
                <w:lang w:eastAsia="en-AU"/>
              </w:rPr>
              <w:t>1.</w:t>
            </w:r>
            <w:r>
              <w:rPr>
                <w:rFonts w:asciiTheme="minorHAnsi" w:eastAsiaTheme="minorEastAsia" w:hAnsiTheme="minorHAnsi" w:cstheme="minorBidi"/>
                <w:b w:val="0"/>
                <w:noProof/>
                <w:sz w:val="22"/>
                <w:lang w:eastAsia="en-AU"/>
              </w:rPr>
              <w:tab/>
            </w:r>
            <w:r w:rsidRPr="00A72540">
              <w:rPr>
                <w:rStyle w:val="Hyperlink"/>
                <w:noProof/>
                <w:lang w:eastAsia="en-AU"/>
              </w:rPr>
              <w:t>Submission details</w:t>
            </w:r>
            <w:r>
              <w:rPr>
                <w:noProof/>
                <w:webHidden/>
              </w:rPr>
              <w:tab/>
            </w:r>
            <w:r>
              <w:rPr>
                <w:noProof/>
                <w:webHidden/>
              </w:rPr>
              <w:fldChar w:fldCharType="begin"/>
            </w:r>
            <w:r>
              <w:rPr>
                <w:noProof/>
                <w:webHidden/>
              </w:rPr>
              <w:instrText xml:space="preserve"> PAGEREF _Toc505179663 \h </w:instrText>
            </w:r>
            <w:r>
              <w:rPr>
                <w:noProof/>
                <w:webHidden/>
              </w:rPr>
            </w:r>
            <w:r>
              <w:rPr>
                <w:noProof/>
                <w:webHidden/>
              </w:rPr>
              <w:fldChar w:fldCharType="separate"/>
            </w:r>
            <w:r>
              <w:rPr>
                <w:noProof/>
                <w:webHidden/>
              </w:rPr>
              <w:t>8</w:t>
            </w:r>
            <w:r>
              <w:rPr>
                <w:noProof/>
                <w:webHidden/>
              </w:rPr>
              <w:fldChar w:fldCharType="end"/>
            </w:r>
          </w:hyperlink>
        </w:p>
        <w:p w14:paraId="53CC5D8E"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64" w:history="1">
            <w:r w:rsidRPr="00A72540">
              <w:rPr>
                <w:rStyle w:val="Hyperlink"/>
                <w:noProof/>
              </w:rPr>
              <w:t>1.1.</w:t>
            </w:r>
            <w:r>
              <w:rPr>
                <w:rFonts w:asciiTheme="minorHAnsi" w:eastAsiaTheme="minorEastAsia" w:hAnsiTheme="minorHAnsi" w:cstheme="minorBidi"/>
                <w:noProof/>
                <w:lang w:eastAsia="en-AU"/>
              </w:rPr>
              <w:tab/>
            </w:r>
            <w:r w:rsidRPr="00A72540">
              <w:rPr>
                <w:rStyle w:val="Hyperlink"/>
                <w:noProof/>
              </w:rPr>
              <w:t>Drug class and therapeutic indication</w:t>
            </w:r>
            <w:r>
              <w:rPr>
                <w:noProof/>
                <w:webHidden/>
              </w:rPr>
              <w:tab/>
            </w:r>
            <w:r>
              <w:rPr>
                <w:noProof/>
                <w:webHidden/>
              </w:rPr>
              <w:fldChar w:fldCharType="begin"/>
            </w:r>
            <w:r>
              <w:rPr>
                <w:noProof/>
                <w:webHidden/>
              </w:rPr>
              <w:instrText xml:space="preserve"> PAGEREF _Toc505179664 \h </w:instrText>
            </w:r>
            <w:r>
              <w:rPr>
                <w:noProof/>
                <w:webHidden/>
              </w:rPr>
            </w:r>
            <w:r>
              <w:rPr>
                <w:noProof/>
                <w:webHidden/>
              </w:rPr>
              <w:fldChar w:fldCharType="separate"/>
            </w:r>
            <w:r>
              <w:rPr>
                <w:noProof/>
                <w:webHidden/>
              </w:rPr>
              <w:t>8</w:t>
            </w:r>
            <w:r>
              <w:rPr>
                <w:noProof/>
                <w:webHidden/>
              </w:rPr>
              <w:fldChar w:fldCharType="end"/>
            </w:r>
          </w:hyperlink>
        </w:p>
        <w:p w14:paraId="622DF5F6"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65" w:history="1">
            <w:r w:rsidRPr="00A72540">
              <w:rPr>
                <w:rStyle w:val="Hyperlink"/>
                <w:noProof/>
              </w:rPr>
              <w:t>1.2.</w:t>
            </w:r>
            <w:r>
              <w:rPr>
                <w:rFonts w:asciiTheme="minorHAnsi" w:eastAsiaTheme="minorEastAsia" w:hAnsiTheme="minorHAnsi" w:cstheme="minorBidi"/>
                <w:noProof/>
                <w:lang w:eastAsia="en-AU"/>
              </w:rPr>
              <w:tab/>
            </w:r>
            <w:r w:rsidRPr="00A72540">
              <w:rPr>
                <w:rStyle w:val="Hyperlink"/>
                <w:noProof/>
              </w:rPr>
              <w:t>Dosage forms and strengths</w:t>
            </w:r>
            <w:r>
              <w:rPr>
                <w:noProof/>
                <w:webHidden/>
              </w:rPr>
              <w:tab/>
            </w:r>
            <w:r>
              <w:rPr>
                <w:noProof/>
                <w:webHidden/>
              </w:rPr>
              <w:fldChar w:fldCharType="begin"/>
            </w:r>
            <w:r>
              <w:rPr>
                <w:noProof/>
                <w:webHidden/>
              </w:rPr>
              <w:instrText xml:space="preserve"> PAGEREF _Toc505179665 \h </w:instrText>
            </w:r>
            <w:r>
              <w:rPr>
                <w:noProof/>
                <w:webHidden/>
              </w:rPr>
            </w:r>
            <w:r>
              <w:rPr>
                <w:noProof/>
                <w:webHidden/>
              </w:rPr>
              <w:fldChar w:fldCharType="separate"/>
            </w:r>
            <w:r>
              <w:rPr>
                <w:noProof/>
                <w:webHidden/>
              </w:rPr>
              <w:t>9</w:t>
            </w:r>
            <w:r>
              <w:rPr>
                <w:noProof/>
                <w:webHidden/>
              </w:rPr>
              <w:fldChar w:fldCharType="end"/>
            </w:r>
          </w:hyperlink>
        </w:p>
        <w:p w14:paraId="1841D55B"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66" w:history="1">
            <w:r w:rsidRPr="00A72540">
              <w:rPr>
                <w:rStyle w:val="Hyperlink"/>
                <w:noProof/>
              </w:rPr>
              <w:t>1.3.</w:t>
            </w:r>
            <w:r>
              <w:rPr>
                <w:rFonts w:asciiTheme="minorHAnsi" w:eastAsiaTheme="minorEastAsia" w:hAnsiTheme="minorHAnsi" w:cstheme="minorBidi"/>
                <w:noProof/>
                <w:lang w:eastAsia="en-AU"/>
              </w:rPr>
              <w:tab/>
            </w:r>
            <w:r w:rsidRPr="00A72540">
              <w:rPr>
                <w:rStyle w:val="Hyperlink"/>
                <w:noProof/>
              </w:rPr>
              <w:t>Dosage and administration</w:t>
            </w:r>
            <w:r>
              <w:rPr>
                <w:noProof/>
                <w:webHidden/>
              </w:rPr>
              <w:tab/>
            </w:r>
            <w:r>
              <w:rPr>
                <w:noProof/>
                <w:webHidden/>
              </w:rPr>
              <w:fldChar w:fldCharType="begin"/>
            </w:r>
            <w:r>
              <w:rPr>
                <w:noProof/>
                <w:webHidden/>
              </w:rPr>
              <w:instrText xml:space="preserve"> PAGEREF _Toc505179666 \h </w:instrText>
            </w:r>
            <w:r>
              <w:rPr>
                <w:noProof/>
                <w:webHidden/>
              </w:rPr>
            </w:r>
            <w:r>
              <w:rPr>
                <w:noProof/>
                <w:webHidden/>
              </w:rPr>
              <w:fldChar w:fldCharType="separate"/>
            </w:r>
            <w:r>
              <w:rPr>
                <w:noProof/>
                <w:webHidden/>
              </w:rPr>
              <w:t>9</w:t>
            </w:r>
            <w:r>
              <w:rPr>
                <w:noProof/>
                <w:webHidden/>
              </w:rPr>
              <w:fldChar w:fldCharType="end"/>
            </w:r>
          </w:hyperlink>
        </w:p>
        <w:p w14:paraId="30A2C89F" w14:textId="77777777" w:rsidR="002E66C8" w:rsidRDefault="002E66C8">
          <w:pPr>
            <w:pStyle w:val="TOC2"/>
            <w:tabs>
              <w:tab w:val="left" w:pos="1100"/>
            </w:tabs>
            <w:rPr>
              <w:rFonts w:asciiTheme="minorHAnsi" w:eastAsiaTheme="minorEastAsia" w:hAnsiTheme="minorHAnsi" w:cstheme="minorBidi"/>
              <w:b w:val="0"/>
              <w:noProof/>
              <w:sz w:val="22"/>
              <w:lang w:eastAsia="en-AU"/>
            </w:rPr>
          </w:pPr>
          <w:hyperlink w:anchor="_Toc505179667" w:history="1">
            <w:r w:rsidRPr="00A72540">
              <w:rPr>
                <w:rStyle w:val="Hyperlink"/>
                <w:noProof/>
              </w:rPr>
              <w:t>2.</w:t>
            </w:r>
            <w:r>
              <w:rPr>
                <w:rFonts w:asciiTheme="minorHAnsi" w:eastAsiaTheme="minorEastAsia" w:hAnsiTheme="minorHAnsi" w:cstheme="minorBidi"/>
                <w:b w:val="0"/>
                <w:noProof/>
                <w:sz w:val="22"/>
                <w:lang w:eastAsia="en-AU"/>
              </w:rPr>
              <w:tab/>
            </w:r>
            <w:r w:rsidRPr="00A72540">
              <w:rPr>
                <w:rStyle w:val="Hyperlink"/>
                <w:noProof/>
              </w:rPr>
              <w:t>Background</w:t>
            </w:r>
            <w:r>
              <w:rPr>
                <w:noProof/>
                <w:webHidden/>
              </w:rPr>
              <w:tab/>
            </w:r>
            <w:r>
              <w:rPr>
                <w:noProof/>
                <w:webHidden/>
              </w:rPr>
              <w:fldChar w:fldCharType="begin"/>
            </w:r>
            <w:r>
              <w:rPr>
                <w:noProof/>
                <w:webHidden/>
              </w:rPr>
              <w:instrText xml:space="preserve"> PAGEREF _Toc505179667 \h </w:instrText>
            </w:r>
            <w:r>
              <w:rPr>
                <w:noProof/>
                <w:webHidden/>
              </w:rPr>
            </w:r>
            <w:r>
              <w:rPr>
                <w:noProof/>
                <w:webHidden/>
              </w:rPr>
              <w:fldChar w:fldCharType="separate"/>
            </w:r>
            <w:r>
              <w:rPr>
                <w:noProof/>
                <w:webHidden/>
              </w:rPr>
              <w:t>10</w:t>
            </w:r>
            <w:r>
              <w:rPr>
                <w:noProof/>
                <w:webHidden/>
              </w:rPr>
              <w:fldChar w:fldCharType="end"/>
            </w:r>
          </w:hyperlink>
        </w:p>
        <w:p w14:paraId="6FF736F4"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68" w:history="1">
            <w:r w:rsidRPr="00A72540">
              <w:rPr>
                <w:rStyle w:val="Hyperlink"/>
                <w:noProof/>
              </w:rPr>
              <w:t>2.1.</w:t>
            </w:r>
            <w:r>
              <w:rPr>
                <w:rFonts w:asciiTheme="minorHAnsi" w:eastAsiaTheme="minorEastAsia" w:hAnsiTheme="minorHAnsi" w:cstheme="minorBidi"/>
                <w:noProof/>
                <w:lang w:eastAsia="en-AU"/>
              </w:rPr>
              <w:tab/>
            </w:r>
            <w:r w:rsidRPr="00A72540">
              <w:rPr>
                <w:rStyle w:val="Hyperlink"/>
                <w:noProof/>
              </w:rPr>
              <w:t>Information on the condition being treated</w:t>
            </w:r>
            <w:r>
              <w:rPr>
                <w:noProof/>
                <w:webHidden/>
              </w:rPr>
              <w:tab/>
            </w:r>
            <w:r>
              <w:rPr>
                <w:noProof/>
                <w:webHidden/>
              </w:rPr>
              <w:fldChar w:fldCharType="begin"/>
            </w:r>
            <w:r>
              <w:rPr>
                <w:noProof/>
                <w:webHidden/>
              </w:rPr>
              <w:instrText xml:space="preserve"> PAGEREF _Toc505179668 \h </w:instrText>
            </w:r>
            <w:r>
              <w:rPr>
                <w:noProof/>
                <w:webHidden/>
              </w:rPr>
            </w:r>
            <w:r>
              <w:rPr>
                <w:noProof/>
                <w:webHidden/>
              </w:rPr>
              <w:fldChar w:fldCharType="separate"/>
            </w:r>
            <w:r>
              <w:rPr>
                <w:noProof/>
                <w:webHidden/>
              </w:rPr>
              <w:t>10</w:t>
            </w:r>
            <w:r>
              <w:rPr>
                <w:noProof/>
                <w:webHidden/>
              </w:rPr>
              <w:fldChar w:fldCharType="end"/>
            </w:r>
          </w:hyperlink>
        </w:p>
        <w:p w14:paraId="7A041B82"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69" w:history="1">
            <w:r w:rsidRPr="00A72540">
              <w:rPr>
                <w:rStyle w:val="Hyperlink"/>
                <w:noProof/>
              </w:rPr>
              <w:t>2.2.</w:t>
            </w:r>
            <w:r>
              <w:rPr>
                <w:rFonts w:asciiTheme="minorHAnsi" w:eastAsiaTheme="minorEastAsia" w:hAnsiTheme="minorHAnsi" w:cstheme="minorBidi"/>
                <w:noProof/>
                <w:lang w:eastAsia="en-AU"/>
              </w:rPr>
              <w:tab/>
            </w:r>
            <w:r w:rsidRPr="00A72540">
              <w:rPr>
                <w:rStyle w:val="Hyperlink"/>
                <w:noProof/>
              </w:rPr>
              <w:t>Current treatment options</w:t>
            </w:r>
            <w:r>
              <w:rPr>
                <w:noProof/>
                <w:webHidden/>
              </w:rPr>
              <w:tab/>
            </w:r>
            <w:r>
              <w:rPr>
                <w:noProof/>
                <w:webHidden/>
              </w:rPr>
              <w:fldChar w:fldCharType="begin"/>
            </w:r>
            <w:r>
              <w:rPr>
                <w:noProof/>
                <w:webHidden/>
              </w:rPr>
              <w:instrText xml:space="preserve"> PAGEREF _Toc505179669 \h </w:instrText>
            </w:r>
            <w:r>
              <w:rPr>
                <w:noProof/>
                <w:webHidden/>
              </w:rPr>
            </w:r>
            <w:r>
              <w:rPr>
                <w:noProof/>
                <w:webHidden/>
              </w:rPr>
              <w:fldChar w:fldCharType="separate"/>
            </w:r>
            <w:r>
              <w:rPr>
                <w:noProof/>
                <w:webHidden/>
              </w:rPr>
              <w:t>13</w:t>
            </w:r>
            <w:r>
              <w:rPr>
                <w:noProof/>
                <w:webHidden/>
              </w:rPr>
              <w:fldChar w:fldCharType="end"/>
            </w:r>
          </w:hyperlink>
        </w:p>
        <w:p w14:paraId="0AA04796"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70" w:history="1">
            <w:r w:rsidRPr="00A72540">
              <w:rPr>
                <w:rStyle w:val="Hyperlink"/>
                <w:noProof/>
              </w:rPr>
              <w:t>2.3.</w:t>
            </w:r>
            <w:r>
              <w:rPr>
                <w:rFonts w:asciiTheme="minorHAnsi" w:eastAsiaTheme="minorEastAsia" w:hAnsiTheme="minorHAnsi" w:cstheme="minorBidi"/>
                <w:noProof/>
                <w:lang w:eastAsia="en-AU"/>
              </w:rPr>
              <w:tab/>
            </w:r>
            <w:r w:rsidRPr="00A72540">
              <w:rPr>
                <w:rStyle w:val="Hyperlink"/>
                <w:noProof/>
              </w:rPr>
              <w:t>Clinical rationale</w:t>
            </w:r>
            <w:r>
              <w:rPr>
                <w:noProof/>
                <w:webHidden/>
              </w:rPr>
              <w:tab/>
            </w:r>
            <w:r>
              <w:rPr>
                <w:noProof/>
                <w:webHidden/>
              </w:rPr>
              <w:fldChar w:fldCharType="begin"/>
            </w:r>
            <w:r>
              <w:rPr>
                <w:noProof/>
                <w:webHidden/>
              </w:rPr>
              <w:instrText xml:space="preserve"> PAGEREF _Toc505179670 \h </w:instrText>
            </w:r>
            <w:r>
              <w:rPr>
                <w:noProof/>
                <w:webHidden/>
              </w:rPr>
            </w:r>
            <w:r>
              <w:rPr>
                <w:noProof/>
                <w:webHidden/>
              </w:rPr>
              <w:fldChar w:fldCharType="separate"/>
            </w:r>
            <w:r>
              <w:rPr>
                <w:noProof/>
                <w:webHidden/>
              </w:rPr>
              <w:t>14</w:t>
            </w:r>
            <w:r>
              <w:rPr>
                <w:noProof/>
                <w:webHidden/>
              </w:rPr>
              <w:fldChar w:fldCharType="end"/>
            </w:r>
          </w:hyperlink>
        </w:p>
        <w:p w14:paraId="41E6F49F"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71" w:history="1">
            <w:r w:rsidRPr="00A72540">
              <w:rPr>
                <w:rStyle w:val="Hyperlink"/>
                <w:noProof/>
              </w:rPr>
              <w:t>2.4.</w:t>
            </w:r>
            <w:r>
              <w:rPr>
                <w:rFonts w:asciiTheme="minorHAnsi" w:eastAsiaTheme="minorEastAsia" w:hAnsiTheme="minorHAnsi" w:cstheme="minorBidi"/>
                <w:noProof/>
                <w:lang w:eastAsia="en-AU"/>
              </w:rPr>
              <w:tab/>
            </w:r>
            <w:r w:rsidRPr="00A72540">
              <w:rPr>
                <w:rStyle w:val="Hyperlink"/>
                <w:noProof/>
              </w:rPr>
              <w:t>Formulation</w:t>
            </w:r>
            <w:r>
              <w:rPr>
                <w:noProof/>
                <w:webHidden/>
              </w:rPr>
              <w:tab/>
            </w:r>
            <w:r>
              <w:rPr>
                <w:noProof/>
                <w:webHidden/>
              </w:rPr>
              <w:fldChar w:fldCharType="begin"/>
            </w:r>
            <w:r>
              <w:rPr>
                <w:noProof/>
                <w:webHidden/>
              </w:rPr>
              <w:instrText xml:space="preserve"> PAGEREF _Toc505179671 \h </w:instrText>
            </w:r>
            <w:r>
              <w:rPr>
                <w:noProof/>
                <w:webHidden/>
              </w:rPr>
            </w:r>
            <w:r>
              <w:rPr>
                <w:noProof/>
                <w:webHidden/>
              </w:rPr>
              <w:fldChar w:fldCharType="separate"/>
            </w:r>
            <w:r>
              <w:rPr>
                <w:noProof/>
                <w:webHidden/>
              </w:rPr>
              <w:t>15</w:t>
            </w:r>
            <w:r>
              <w:rPr>
                <w:noProof/>
                <w:webHidden/>
              </w:rPr>
              <w:fldChar w:fldCharType="end"/>
            </w:r>
          </w:hyperlink>
        </w:p>
        <w:p w14:paraId="54435B44"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72" w:history="1">
            <w:r w:rsidRPr="00A72540">
              <w:rPr>
                <w:rStyle w:val="Hyperlink"/>
                <w:noProof/>
              </w:rPr>
              <w:t>2.5.</w:t>
            </w:r>
            <w:r>
              <w:rPr>
                <w:rFonts w:asciiTheme="minorHAnsi" w:eastAsiaTheme="minorEastAsia" w:hAnsiTheme="minorHAnsi" w:cstheme="minorBidi"/>
                <w:noProof/>
                <w:lang w:eastAsia="en-AU"/>
              </w:rPr>
              <w:tab/>
            </w:r>
            <w:r w:rsidRPr="00A72540">
              <w:rPr>
                <w:rStyle w:val="Hyperlink"/>
                <w:noProof/>
              </w:rPr>
              <w:t>Guidance</w:t>
            </w:r>
            <w:r>
              <w:rPr>
                <w:noProof/>
                <w:webHidden/>
              </w:rPr>
              <w:tab/>
            </w:r>
            <w:r>
              <w:rPr>
                <w:noProof/>
                <w:webHidden/>
              </w:rPr>
              <w:fldChar w:fldCharType="begin"/>
            </w:r>
            <w:r>
              <w:rPr>
                <w:noProof/>
                <w:webHidden/>
              </w:rPr>
              <w:instrText xml:space="preserve"> PAGEREF _Toc505179672 \h </w:instrText>
            </w:r>
            <w:r>
              <w:rPr>
                <w:noProof/>
                <w:webHidden/>
              </w:rPr>
            </w:r>
            <w:r>
              <w:rPr>
                <w:noProof/>
                <w:webHidden/>
              </w:rPr>
              <w:fldChar w:fldCharType="separate"/>
            </w:r>
            <w:r>
              <w:rPr>
                <w:noProof/>
                <w:webHidden/>
              </w:rPr>
              <w:t>15</w:t>
            </w:r>
            <w:r>
              <w:rPr>
                <w:noProof/>
                <w:webHidden/>
              </w:rPr>
              <w:fldChar w:fldCharType="end"/>
            </w:r>
          </w:hyperlink>
        </w:p>
        <w:p w14:paraId="371121EF"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73" w:history="1">
            <w:r w:rsidRPr="00A72540">
              <w:rPr>
                <w:rStyle w:val="Hyperlink"/>
                <w:noProof/>
              </w:rPr>
              <w:t>2.6.</w:t>
            </w:r>
            <w:r>
              <w:rPr>
                <w:rFonts w:asciiTheme="minorHAnsi" w:eastAsiaTheme="minorEastAsia" w:hAnsiTheme="minorHAnsi" w:cstheme="minorBidi"/>
                <w:noProof/>
                <w:lang w:eastAsia="en-AU"/>
              </w:rPr>
              <w:tab/>
            </w:r>
            <w:r w:rsidRPr="00A72540">
              <w:rPr>
                <w:rStyle w:val="Hyperlink"/>
                <w:noProof/>
              </w:rPr>
              <w:t>Evaluator’s commentary on the background information</w:t>
            </w:r>
            <w:r>
              <w:rPr>
                <w:noProof/>
                <w:webHidden/>
              </w:rPr>
              <w:tab/>
            </w:r>
            <w:r>
              <w:rPr>
                <w:noProof/>
                <w:webHidden/>
              </w:rPr>
              <w:fldChar w:fldCharType="begin"/>
            </w:r>
            <w:r>
              <w:rPr>
                <w:noProof/>
                <w:webHidden/>
              </w:rPr>
              <w:instrText xml:space="preserve"> PAGEREF _Toc505179673 \h </w:instrText>
            </w:r>
            <w:r>
              <w:rPr>
                <w:noProof/>
                <w:webHidden/>
              </w:rPr>
            </w:r>
            <w:r>
              <w:rPr>
                <w:noProof/>
                <w:webHidden/>
              </w:rPr>
              <w:fldChar w:fldCharType="separate"/>
            </w:r>
            <w:r>
              <w:rPr>
                <w:noProof/>
                <w:webHidden/>
              </w:rPr>
              <w:t>15</w:t>
            </w:r>
            <w:r>
              <w:rPr>
                <w:noProof/>
                <w:webHidden/>
              </w:rPr>
              <w:fldChar w:fldCharType="end"/>
            </w:r>
          </w:hyperlink>
        </w:p>
        <w:p w14:paraId="274FACAF" w14:textId="77777777" w:rsidR="002E66C8" w:rsidRDefault="002E66C8">
          <w:pPr>
            <w:pStyle w:val="TOC2"/>
            <w:tabs>
              <w:tab w:val="left" w:pos="1100"/>
            </w:tabs>
            <w:rPr>
              <w:rFonts w:asciiTheme="minorHAnsi" w:eastAsiaTheme="minorEastAsia" w:hAnsiTheme="minorHAnsi" w:cstheme="minorBidi"/>
              <w:b w:val="0"/>
              <w:noProof/>
              <w:sz w:val="22"/>
              <w:lang w:eastAsia="en-AU"/>
            </w:rPr>
          </w:pPr>
          <w:hyperlink w:anchor="_Toc505179674" w:history="1">
            <w:r w:rsidRPr="00A72540">
              <w:rPr>
                <w:rStyle w:val="Hyperlink"/>
                <w:noProof/>
                <w:lang w:eastAsia="en-AU"/>
              </w:rPr>
              <w:t>3.</w:t>
            </w:r>
            <w:r>
              <w:rPr>
                <w:rFonts w:asciiTheme="minorHAnsi" w:eastAsiaTheme="minorEastAsia" w:hAnsiTheme="minorHAnsi" w:cstheme="minorBidi"/>
                <w:b w:val="0"/>
                <w:noProof/>
                <w:sz w:val="22"/>
                <w:lang w:eastAsia="en-AU"/>
              </w:rPr>
              <w:tab/>
            </w:r>
            <w:r w:rsidRPr="00A72540">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_Toc505179674 \h </w:instrText>
            </w:r>
            <w:r>
              <w:rPr>
                <w:noProof/>
                <w:webHidden/>
              </w:rPr>
            </w:r>
            <w:r>
              <w:rPr>
                <w:noProof/>
                <w:webHidden/>
              </w:rPr>
              <w:fldChar w:fldCharType="separate"/>
            </w:r>
            <w:r>
              <w:rPr>
                <w:noProof/>
                <w:webHidden/>
              </w:rPr>
              <w:t>15</w:t>
            </w:r>
            <w:r>
              <w:rPr>
                <w:noProof/>
                <w:webHidden/>
              </w:rPr>
              <w:fldChar w:fldCharType="end"/>
            </w:r>
          </w:hyperlink>
        </w:p>
        <w:p w14:paraId="36A08DC4"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75" w:history="1">
            <w:r w:rsidRPr="00A72540">
              <w:rPr>
                <w:rStyle w:val="Hyperlink"/>
                <w:noProof/>
              </w:rPr>
              <w:t>3.1.</w:t>
            </w:r>
            <w:r>
              <w:rPr>
                <w:rFonts w:asciiTheme="minorHAnsi" w:eastAsiaTheme="minorEastAsia" w:hAnsiTheme="minorHAnsi" w:cstheme="minorBidi"/>
                <w:noProof/>
                <w:lang w:eastAsia="en-AU"/>
              </w:rPr>
              <w:tab/>
            </w:r>
            <w:r w:rsidRPr="00A72540">
              <w:rPr>
                <w:rStyle w:val="Hyperlink"/>
                <w:noProof/>
              </w:rPr>
              <w:t>Scope of the clinical dossier</w:t>
            </w:r>
            <w:r>
              <w:rPr>
                <w:noProof/>
                <w:webHidden/>
              </w:rPr>
              <w:tab/>
            </w:r>
            <w:r>
              <w:rPr>
                <w:noProof/>
                <w:webHidden/>
              </w:rPr>
              <w:fldChar w:fldCharType="begin"/>
            </w:r>
            <w:r>
              <w:rPr>
                <w:noProof/>
                <w:webHidden/>
              </w:rPr>
              <w:instrText xml:space="preserve"> PAGEREF _Toc505179675 \h </w:instrText>
            </w:r>
            <w:r>
              <w:rPr>
                <w:noProof/>
                <w:webHidden/>
              </w:rPr>
            </w:r>
            <w:r>
              <w:rPr>
                <w:noProof/>
                <w:webHidden/>
              </w:rPr>
              <w:fldChar w:fldCharType="separate"/>
            </w:r>
            <w:r>
              <w:rPr>
                <w:noProof/>
                <w:webHidden/>
              </w:rPr>
              <w:t>15</w:t>
            </w:r>
            <w:r>
              <w:rPr>
                <w:noProof/>
                <w:webHidden/>
              </w:rPr>
              <w:fldChar w:fldCharType="end"/>
            </w:r>
          </w:hyperlink>
        </w:p>
        <w:p w14:paraId="486B6A06"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76" w:history="1">
            <w:r w:rsidRPr="00A72540">
              <w:rPr>
                <w:rStyle w:val="Hyperlink"/>
                <w:noProof/>
              </w:rPr>
              <w:t>3.2.</w:t>
            </w:r>
            <w:r>
              <w:rPr>
                <w:rFonts w:asciiTheme="minorHAnsi" w:eastAsiaTheme="minorEastAsia" w:hAnsiTheme="minorHAnsi" w:cstheme="minorBidi"/>
                <w:noProof/>
                <w:lang w:eastAsia="en-AU"/>
              </w:rPr>
              <w:tab/>
            </w:r>
            <w:r w:rsidRPr="00A72540">
              <w:rPr>
                <w:rStyle w:val="Hyperlink"/>
                <w:noProof/>
              </w:rPr>
              <w:t>Paediatric data</w:t>
            </w:r>
            <w:r>
              <w:rPr>
                <w:noProof/>
                <w:webHidden/>
              </w:rPr>
              <w:tab/>
            </w:r>
            <w:r>
              <w:rPr>
                <w:noProof/>
                <w:webHidden/>
              </w:rPr>
              <w:fldChar w:fldCharType="begin"/>
            </w:r>
            <w:r>
              <w:rPr>
                <w:noProof/>
                <w:webHidden/>
              </w:rPr>
              <w:instrText xml:space="preserve"> PAGEREF _Toc505179676 \h </w:instrText>
            </w:r>
            <w:r>
              <w:rPr>
                <w:noProof/>
                <w:webHidden/>
              </w:rPr>
            </w:r>
            <w:r>
              <w:rPr>
                <w:noProof/>
                <w:webHidden/>
              </w:rPr>
              <w:fldChar w:fldCharType="separate"/>
            </w:r>
            <w:r>
              <w:rPr>
                <w:noProof/>
                <w:webHidden/>
              </w:rPr>
              <w:t>16</w:t>
            </w:r>
            <w:r>
              <w:rPr>
                <w:noProof/>
                <w:webHidden/>
              </w:rPr>
              <w:fldChar w:fldCharType="end"/>
            </w:r>
          </w:hyperlink>
        </w:p>
        <w:p w14:paraId="5BCF4F81"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77" w:history="1">
            <w:r w:rsidRPr="00A72540">
              <w:rPr>
                <w:rStyle w:val="Hyperlink"/>
                <w:noProof/>
              </w:rPr>
              <w:t>3.3.</w:t>
            </w:r>
            <w:r>
              <w:rPr>
                <w:rFonts w:asciiTheme="minorHAnsi" w:eastAsiaTheme="minorEastAsia" w:hAnsiTheme="minorHAnsi" w:cstheme="minorBidi"/>
                <w:noProof/>
                <w:lang w:eastAsia="en-AU"/>
              </w:rPr>
              <w:tab/>
            </w:r>
            <w:r w:rsidRPr="00A72540">
              <w:rPr>
                <w:rStyle w:val="Hyperlink"/>
                <w:noProof/>
              </w:rPr>
              <w:t>Good clinical practice</w:t>
            </w:r>
            <w:r>
              <w:rPr>
                <w:noProof/>
                <w:webHidden/>
              </w:rPr>
              <w:tab/>
            </w:r>
            <w:r>
              <w:rPr>
                <w:noProof/>
                <w:webHidden/>
              </w:rPr>
              <w:fldChar w:fldCharType="begin"/>
            </w:r>
            <w:r>
              <w:rPr>
                <w:noProof/>
                <w:webHidden/>
              </w:rPr>
              <w:instrText xml:space="preserve"> PAGEREF _Toc505179677 \h </w:instrText>
            </w:r>
            <w:r>
              <w:rPr>
                <w:noProof/>
                <w:webHidden/>
              </w:rPr>
            </w:r>
            <w:r>
              <w:rPr>
                <w:noProof/>
                <w:webHidden/>
              </w:rPr>
              <w:fldChar w:fldCharType="separate"/>
            </w:r>
            <w:r>
              <w:rPr>
                <w:noProof/>
                <w:webHidden/>
              </w:rPr>
              <w:t>16</w:t>
            </w:r>
            <w:r>
              <w:rPr>
                <w:noProof/>
                <w:webHidden/>
              </w:rPr>
              <w:fldChar w:fldCharType="end"/>
            </w:r>
          </w:hyperlink>
        </w:p>
        <w:p w14:paraId="3B29F436"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78" w:history="1">
            <w:r w:rsidRPr="00A72540">
              <w:rPr>
                <w:rStyle w:val="Hyperlink"/>
                <w:noProof/>
              </w:rPr>
              <w:t>3.4.</w:t>
            </w:r>
            <w:r>
              <w:rPr>
                <w:rFonts w:asciiTheme="minorHAnsi" w:eastAsiaTheme="minorEastAsia" w:hAnsiTheme="minorHAnsi" w:cstheme="minorBidi"/>
                <w:noProof/>
                <w:lang w:eastAsia="en-AU"/>
              </w:rPr>
              <w:tab/>
            </w:r>
            <w:r w:rsidRPr="00A72540">
              <w:rPr>
                <w:rStyle w:val="Hyperlink"/>
                <w:noProof/>
              </w:rPr>
              <w:t>Evaluator’s commentary on the clinical dossier</w:t>
            </w:r>
            <w:r>
              <w:rPr>
                <w:noProof/>
                <w:webHidden/>
              </w:rPr>
              <w:tab/>
            </w:r>
            <w:r>
              <w:rPr>
                <w:noProof/>
                <w:webHidden/>
              </w:rPr>
              <w:fldChar w:fldCharType="begin"/>
            </w:r>
            <w:r>
              <w:rPr>
                <w:noProof/>
                <w:webHidden/>
              </w:rPr>
              <w:instrText xml:space="preserve"> PAGEREF _Toc505179678 \h </w:instrText>
            </w:r>
            <w:r>
              <w:rPr>
                <w:noProof/>
                <w:webHidden/>
              </w:rPr>
            </w:r>
            <w:r>
              <w:rPr>
                <w:noProof/>
                <w:webHidden/>
              </w:rPr>
              <w:fldChar w:fldCharType="separate"/>
            </w:r>
            <w:r>
              <w:rPr>
                <w:noProof/>
                <w:webHidden/>
              </w:rPr>
              <w:t>16</w:t>
            </w:r>
            <w:r>
              <w:rPr>
                <w:noProof/>
                <w:webHidden/>
              </w:rPr>
              <w:fldChar w:fldCharType="end"/>
            </w:r>
          </w:hyperlink>
        </w:p>
        <w:p w14:paraId="538A881E" w14:textId="77777777" w:rsidR="002E66C8" w:rsidRDefault="002E66C8">
          <w:pPr>
            <w:pStyle w:val="TOC2"/>
            <w:tabs>
              <w:tab w:val="left" w:pos="1100"/>
            </w:tabs>
            <w:rPr>
              <w:rFonts w:asciiTheme="minorHAnsi" w:eastAsiaTheme="minorEastAsia" w:hAnsiTheme="minorHAnsi" w:cstheme="minorBidi"/>
              <w:b w:val="0"/>
              <w:noProof/>
              <w:sz w:val="22"/>
              <w:lang w:eastAsia="en-AU"/>
            </w:rPr>
          </w:pPr>
          <w:hyperlink w:anchor="_Toc505179679" w:history="1">
            <w:r w:rsidRPr="00A72540">
              <w:rPr>
                <w:rStyle w:val="Hyperlink"/>
                <w:noProof/>
              </w:rPr>
              <w:t>4.</w:t>
            </w:r>
            <w:r>
              <w:rPr>
                <w:rFonts w:asciiTheme="minorHAnsi" w:eastAsiaTheme="minorEastAsia" w:hAnsiTheme="minorHAnsi" w:cstheme="minorBidi"/>
                <w:b w:val="0"/>
                <w:noProof/>
                <w:sz w:val="22"/>
                <w:lang w:eastAsia="en-AU"/>
              </w:rPr>
              <w:tab/>
            </w:r>
            <w:r w:rsidRPr="00A72540">
              <w:rPr>
                <w:rStyle w:val="Hyperlink"/>
                <w:noProof/>
              </w:rPr>
              <w:t>Pharmacokinetics</w:t>
            </w:r>
            <w:r>
              <w:rPr>
                <w:noProof/>
                <w:webHidden/>
              </w:rPr>
              <w:tab/>
            </w:r>
            <w:r>
              <w:rPr>
                <w:noProof/>
                <w:webHidden/>
              </w:rPr>
              <w:fldChar w:fldCharType="begin"/>
            </w:r>
            <w:r>
              <w:rPr>
                <w:noProof/>
                <w:webHidden/>
              </w:rPr>
              <w:instrText xml:space="preserve"> PAGEREF _Toc505179679 \h </w:instrText>
            </w:r>
            <w:r>
              <w:rPr>
                <w:noProof/>
                <w:webHidden/>
              </w:rPr>
            </w:r>
            <w:r>
              <w:rPr>
                <w:noProof/>
                <w:webHidden/>
              </w:rPr>
              <w:fldChar w:fldCharType="separate"/>
            </w:r>
            <w:r>
              <w:rPr>
                <w:noProof/>
                <w:webHidden/>
              </w:rPr>
              <w:t>16</w:t>
            </w:r>
            <w:r>
              <w:rPr>
                <w:noProof/>
                <w:webHidden/>
              </w:rPr>
              <w:fldChar w:fldCharType="end"/>
            </w:r>
          </w:hyperlink>
        </w:p>
        <w:p w14:paraId="0494D233"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80" w:history="1">
            <w:r w:rsidRPr="00A72540">
              <w:rPr>
                <w:rStyle w:val="Hyperlink"/>
                <w:noProof/>
              </w:rPr>
              <w:t>4.1.</w:t>
            </w:r>
            <w:r>
              <w:rPr>
                <w:rFonts w:asciiTheme="minorHAnsi" w:eastAsiaTheme="minorEastAsia" w:hAnsiTheme="minorHAnsi" w:cstheme="minorBidi"/>
                <w:noProof/>
                <w:lang w:eastAsia="en-AU"/>
              </w:rPr>
              <w:tab/>
            </w:r>
            <w:r w:rsidRPr="00A72540">
              <w:rPr>
                <w:rStyle w:val="Hyperlink"/>
                <w:noProof/>
              </w:rPr>
              <w:t>Studies providing pharmacokinetic information</w:t>
            </w:r>
            <w:r>
              <w:rPr>
                <w:noProof/>
                <w:webHidden/>
              </w:rPr>
              <w:tab/>
            </w:r>
            <w:r>
              <w:rPr>
                <w:noProof/>
                <w:webHidden/>
              </w:rPr>
              <w:fldChar w:fldCharType="begin"/>
            </w:r>
            <w:r>
              <w:rPr>
                <w:noProof/>
                <w:webHidden/>
              </w:rPr>
              <w:instrText xml:space="preserve"> PAGEREF _Toc505179680 \h </w:instrText>
            </w:r>
            <w:r>
              <w:rPr>
                <w:noProof/>
                <w:webHidden/>
              </w:rPr>
            </w:r>
            <w:r>
              <w:rPr>
                <w:noProof/>
                <w:webHidden/>
              </w:rPr>
              <w:fldChar w:fldCharType="separate"/>
            </w:r>
            <w:r>
              <w:rPr>
                <w:noProof/>
                <w:webHidden/>
              </w:rPr>
              <w:t>16</w:t>
            </w:r>
            <w:r>
              <w:rPr>
                <w:noProof/>
                <w:webHidden/>
              </w:rPr>
              <w:fldChar w:fldCharType="end"/>
            </w:r>
          </w:hyperlink>
        </w:p>
        <w:p w14:paraId="5C50A633"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81" w:history="1">
            <w:r w:rsidRPr="00A72540">
              <w:rPr>
                <w:rStyle w:val="Hyperlink"/>
                <w:noProof/>
              </w:rPr>
              <w:t>4.2.</w:t>
            </w:r>
            <w:r>
              <w:rPr>
                <w:rFonts w:asciiTheme="minorHAnsi" w:eastAsiaTheme="minorEastAsia" w:hAnsiTheme="minorHAnsi" w:cstheme="minorBidi"/>
                <w:noProof/>
                <w:lang w:eastAsia="en-AU"/>
              </w:rPr>
              <w:tab/>
            </w:r>
            <w:r w:rsidRPr="00A72540">
              <w:rPr>
                <w:rStyle w:val="Hyperlink"/>
                <w:noProof/>
              </w:rPr>
              <w:t>Summary of pharmacokinetics</w:t>
            </w:r>
            <w:r>
              <w:rPr>
                <w:noProof/>
                <w:webHidden/>
              </w:rPr>
              <w:tab/>
            </w:r>
            <w:r>
              <w:rPr>
                <w:noProof/>
                <w:webHidden/>
              </w:rPr>
              <w:fldChar w:fldCharType="begin"/>
            </w:r>
            <w:r>
              <w:rPr>
                <w:noProof/>
                <w:webHidden/>
              </w:rPr>
              <w:instrText xml:space="preserve"> PAGEREF _Toc505179681 \h </w:instrText>
            </w:r>
            <w:r>
              <w:rPr>
                <w:noProof/>
                <w:webHidden/>
              </w:rPr>
            </w:r>
            <w:r>
              <w:rPr>
                <w:noProof/>
                <w:webHidden/>
              </w:rPr>
              <w:fldChar w:fldCharType="separate"/>
            </w:r>
            <w:r>
              <w:rPr>
                <w:noProof/>
                <w:webHidden/>
              </w:rPr>
              <w:t>17</w:t>
            </w:r>
            <w:r>
              <w:rPr>
                <w:noProof/>
                <w:webHidden/>
              </w:rPr>
              <w:fldChar w:fldCharType="end"/>
            </w:r>
          </w:hyperlink>
        </w:p>
        <w:p w14:paraId="1D04CACC"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82" w:history="1">
            <w:r w:rsidRPr="00A72540">
              <w:rPr>
                <w:rStyle w:val="Hyperlink"/>
                <w:noProof/>
              </w:rPr>
              <w:t>4.3.</w:t>
            </w:r>
            <w:r>
              <w:rPr>
                <w:rFonts w:asciiTheme="minorHAnsi" w:eastAsiaTheme="minorEastAsia" w:hAnsiTheme="minorHAnsi" w:cstheme="minorBidi"/>
                <w:noProof/>
                <w:lang w:eastAsia="en-AU"/>
              </w:rPr>
              <w:tab/>
            </w:r>
            <w:r w:rsidRPr="00A72540">
              <w:rPr>
                <w:rStyle w:val="Hyperlink"/>
                <w:noProof/>
              </w:rPr>
              <w:t>Evaluator’s overall conclusions on pharmacokinetics</w:t>
            </w:r>
            <w:r>
              <w:rPr>
                <w:noProof/>
                <w:webHidden/>
              </w:rPr>
              <w:tab/>
            </w:r>
            <w:r>
              <w:rPr>
                <w:noProof/>
                <w:webHidden/>
              </w:rPr>
              <w:fldChar w:fldCharType="begin"/>
            </w:r>
            <w:r>
              <w:rPr>
                <w:noProof/>
                <w:webHidden/>
              </w:rPr>
              <w:instrText xml:space="preserve"> PAGEREF _Toc505179682 \h </w:instrText>
            </w:r>
            <w:r>
              <w:rPr>
                <w:noProof/>
                <w:webHidden/>
              </w:rPr>
            </w:r>
            <w:r>
              <w:rPr>
                <w:noProof/>
                <w:webHidden/>
              </w:rPr>
              <w:fldChar w:fldCharType="separate"/>
            </w:r>
            <w:r>
              <w:rPr>
                <w:noProof/>
                <w:webHidden/>
              </w:rPr>
              <w:t>31</w:t>
            </w:r>
            <w:r>
              <w:rPr>
                <w:noProof/>
                <w:webHidden/>
              </w:rPr>
              <w:fldChar w:fldCharType="end"/>
            </w:r>
          </w:hyperlink>
        </w:p>
        <w:p w14:paraId="5BE4A689" w14:textId="77777777" w:rsidR="002E66C8" w:rsidRDefault="002E66C8">
          <w:pPr>
            <w:pStyle w:val="TOC2"/>
            <w:tabs>
              <w:tab w:val="left" w:pos="1100"/>
            </w:tabs>
            <w:rPr>
              <w:rFonts w:asciiTheme="minorHAnsi" w:eastAsiaTheme="minorEastAsia" w:hAnsiTheme="minorHAnsi" w:cstheme="minorBidi"/>
              <w:b w:val="0"/>
              <w:noProof/>
              <w:sz w:val="22"/>
              <w:lang w:eastAsia="en-AU"/>
            </w:rPr>
          </w:pPr>
          <w:hyperlink w:anchor="_Toc505179683" w:history="1">
            <w:r w:rsidRPr="00A72540">
              <w:rPr>
                <w:rStyle w:val="Hyperlink"/>
                <w:noProof/>
              </w:rPr>
              <w:t>5.</w:t>
            </w:r>
            <w:r>
              <w:rPr>
                <w:rFonts w:asciiTheme="minorHAnsi" w:eastAsiaTheme="minorEastAsia" w:hAnsiTheme="minorHAnsi" w:cstheme="minorBidi"/>
                <w:b w:val="0"/>
                <w:noProof/>
                <w:sz w:val="22"/>
                <w:lang w:eastAsia="en-AU"/>
              </w:rPr>
              <w:tab/>
            </w:r>
            <w:r w:rsidRPr="00A72540">
              <w:rPr>
                <w:rStyle w:val="Hyperlink"/>
                <w:noProof/>
              </w:rPr>
              <w:t>Pharmacodynamics</w:t>
            </w:r>
            <w:r>
              <w:rPr>
                <w:noProof/>
                <w:webHidden/>
              </w:rPr>
              <w:tab/>
            </w:r>
            <w:r>
              <w:rPr>
                <w:noProof/>
                <w:webHidden/>
              </w:rPr>
              <w:fldChar w:fldCharType="begin"/>
            </w:r>
            <w:r>
              <w:rPr>
                <w:noProof/>
                <w:webHidden/>
              </w:rPr>
              <w:instrText xml:space="preserve"> PAGEREF _Toc505179683 \h </w:instrText>
            </w:r>
            <w:r>
              <w:rPr>
                <w:noProof/>
                <w:webHidden/>
              </w:rPr>
            </w:r>
            <w:r>
              <w:rPr>
                <w:noProof/>
                <w:webHidden/>
              </w:rPr>
              <w:fldChar w:fldCharType="separate"/>
            </w:r>
            <w:r>
              <w:rPr>
                <w:noProof/>
                <w:webHidden/>
              </w:rPr>
              <w:t>32</w:t>
            </w:r>
            <w:r>
              <w:rPr>
                <w:noProof/>
                <w:webHidden/>
              </w:rPr>
              <w:fldChar w:fldCharType="end"/>
            </w:r>
          </w:hyperlink>
        </w:p>
        <w:p w14:paraId="6DD5B8F9"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84" w:history="1">
            <w:r w:rsidRPr="00A72540">
              <w:rPr>
                <w:rStyle w:val="Hyperlink"/>
                <w:noProof/>
              </w:rPr>
              <w:t>5.1.</w:t>
            </w:r>
            <w:r>
              <w:rPr>
                <w:rFonts w:asciiTheme="minorHAnsi" w:eastAsiaTheme="minorEastAsia" w:hAnsiTheme="minorHAnsi" w:cstheme="minorBidi"/>
                <w:noProof/>
                <w:lang w:eastAsia="en-AU"/>
              </w:rPr>
              <w:tab/>
            </w:r>
            <w:r w:rsidRPr="00A72540">
              <w:rPr>
                <w:rStyle w:val="Hyperlink"/>
                <w:noProof/>
              </w:rPr>
              <w:t>Studies providing pharmacodynamic information</w:t>
            </w:r>
            <w:r>
              <w:rPr>
                <w:noProof/>
                <w:webHidden/>
              </w:rPr>
              <w:tab/>
            </w:r>
            <w:r>
              <w:rPr>
                <w:noProof/>
                <w:webHidden/>
              </w:rPr>
              <w:fldChar w:fldCharType="begin"/>
            </w:r>
            <w:r>
              <w:rPr>
                <w:noProof/>
                <w:webHidden/>
              </w:rPr>
              <w:instrText xml:space="preserve"> PAGEREF _Toc505179684 \h </w:instrText>
            </w:r>
            <w:r>
              <w:rPr>
                <w:noProof/>
                <w:webHidden/>
              </w:rPr>
            </w:r>
            <w:r>
              <w:rPr>
                <w:noProof/>
                <w:webHidden/>
              </w:rPr>
              <w:fldChar w:fldCharType="separate"/>
            </w:r>
            <w:r>
              <w:rPr>
                <w:noProof/>
                <w:webHidden/>
              </w:rPr>
              <w:t>32</w:t>
            </w:r>
            <w:r>
              <w:rPr>
                <w:noProof/>
                <w:webHidden/>
              </w:rPr>
              <w:fldChar w:fldCharType="end"/>
            </w:r>
          </w:hyperlink>
        </w:p>
        <w:p w14:paraId="3B26152E"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85" w:history="1">
            <w:r w:rsidRPr="00A72540">
              <w:rPr>
                <w:rStyle w:val="Hyperlink"/>
                <w:noProof/>
              </w:rPr>
              <w:t>5.2.</w:t>
            </w:r>
            <w:r>
              <w:rPr>
                <w:rFonts w:asciiTheme="minorHAnsi" w:eastAsiaTheme="minorEastAsia" w:hAnsiTheme="minorHAnsi" w:cstheme="minorBidi"/>
                <w:noProof/>
                <w:lang w:eastAsia="en-AU"/>
              </w:rPr>
              <w:tab/>
            </w:r>
            <w:r w:rsidRPr="00A72540">
              <w:rPr>
                <w:rStyle w:val="Hyperlink"/>
                <w:noProof/>
              </w:rPr>
              <w:t>Summary of pharmacodynamics</w:t>
            </w:r>
            <w:r>
              <w:rPr>
                <w:noProof/>
                <w:webHidden/>
              </w:rPr>
              <w:tab/>
            </w:r>
            <w:r>
              <w:rPr>
                <w:noProof/>
                <w:webHidden/>
              </w:rPr>
              <w:fldChar w:fldCharType="begin"/>
            </w:r>
            <w:r>
              <w:rPr>
                <w:noProof/>
                <w:webHidden/>
              </w:rPr>
              <w:instrText xml:space="preserve"> PAGEREF _Toc505179685 \h </w:instrText>
            </w:r>
            <w:r>
              <w:rPr>
                <w:noProof/>
                <w:webHidden/>
              </w:rPr>
            </w:r>
            <w:r>
              <w:rPr>
                <w:noProof/>
                <w:webHidden/>
              </w:rPr>
              <w:fldChar w:fldCharType="separate"/>
            </w:r>
            <w:r>
              <w:rPr>
                <w:noProof/>
                <w:webHidden/>
              </w:rPr>
              <w:t>33</w:t>
            </w:r>
            <w:r>
              <w:rPr>
                <w:noProof/>
                <w:webHidden/>
              </w:rPr>
              <w:fldChar w:fldCharType="end"/>
            </w:r>
          </w:hyperlink>
        </w:p>
        <w:p w14:paraId="3F074EC4"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86" w:history="1">
            <w:r w:rsidRPr="00A72540">
              <w:rPr>
                <w:rStyle w:val="Hyperlink"/>
                <w:noProof/>
              </w:rPr>
              <w:t>5.3.</w:t>
            </w:r>
            <w:r>
              <w:rPr>
                <w:rFonts w:asciiTheme="minorHAnsi" w:eastAsiaTheme="minorEastAsia" w:hAnsiTheme="minorHAnsi" w:cstheme="minorBidi"/>
                <w:noProof/>
                <w:lang w:eastAsia="en-AU"/>
              </w:rPr>
              <w:tab/>
            </w:r>
            <w:r w:rsidRPr="00A72540">
              <w:rPr>
                <w:rStyle w:val="Hyperlink"/>
                <w:noProof/>
              </w:rPr>
              <w:t>Evaluator’s overall conclusions on pharmacodynamics</w:t>
            </w:r>
            <w:r>
              <w:rPr>
                <w:noProof/>
                <w:webHidden/>
              </w:rPr>
              <w:tab/>
            </w:r>
            <w:r>
              <w:rPr>
                <w:noProof/>
                <w:webHidden/>
              </w:rPr>
              <w:fldChar w:fldCharType="begin"/>
            </w:r>
            <w:r>
              <w:rPr>
                <w:noProof/>
                <w:webHidden/>
              </w:rPr>
              <w:instrText xml:space="preserve"> PAGEREF _Toc505179686 \h </w:instrText>
            </w:r>
            <w:r>
              <w:rPr>
                <w:noProof/>
                <w:webHidden/>
              </w:rPr>
            </w:r>
            <w:r>
              <w:rPr>
                <w:noProof/>
                <w:webHidden/>
              </w:rPr>
              <w:fldChar w:fldCharType="separate"/>
            </w:r>
            <w:r>
              <w:rPr>
                <w:noProof/>
                <w:webHidden/>
              </w:rPr>
              <w:t>34</w:t>
            </w:r>
            <w:r>
              <w:rPr>
                <w:noProof/>
                <w:webHidden/>
              </w:rPr>
              <w:fldChar w:fldCharType="end"/>
            </w:r>
          </w:hyperlink>
        </w:p>
        <w:p w14:paraId="166592DE" w14:textId="77777777" w:rsidR="002E66C8" w:rsidRDefault="002E66C8">
          <w:pPr>
            <w:pStyle w:val="TOC2"/>
            <w:tabs>
              <w:tab w:val="left" w:pos="1100"/>
            </w:tabs>
            <w:rPr>
              <w:rFonts w:asciiTheme="minorHAnsi" w:eastAsiaTheme="minorEastAsia" w:hAnsiTheme="minorHAnsi" w:cstheme="minorBidi"/>
              <w:b w:val="0"/>
              <w:noProof/>
              <w:sz w:val="22"/>
              <w:lang w:eastAsia="en-AU"/>
            </w:rPr>
          </w:pPr>
          <w:hyperlink w:anchor="_Toc505179687" w:history="1">
            <w:r w:rsidRPr="00A72540">
              <w:rPr>
                <w:rStyle w:val="Hyperlink"/>
                <w:noProof/>
              </w:rPr>
              <w:t>6.</w:t>
            </w:r>
            <w:r>
              <w:rPr>
                <w:rFonts w:asciiTheme="minorHAnsi" w:eastAsiaTheme="minorEastAsia" w:hAnsiTheme="minorHAnsi" w:cstheme="minorBidi"/>
                <w:b w:val="0"/>
                <w:noProof/>
                <w:sz w:val="22"/>
                <w:lang w:eastAsia="en-AU"/>
              </w:rPr>
              <w:tab/>
            </w:r>
            <w:r w:rsidRPr="00A72540">
              <w:rPr>
                <w:rStyle w:val="Hyperlink"/>
                <w:noProof/>
              </w:rPr>
              <w:t>Dosage selection for the pivotal studies</w:t>
            </w:r>
            <w:r>
              <w:rPr>
                <w:noProof/>
                <w:webHidden/>
              </w:rPr>
              <w:tab/>
            </w:r>
            <w:r>
              <w:rPr>
                <w:noProof/>
                <w:webHidden/>
              </w:rPr>
              <w:fldChar w:fldCharType="begin"/>
            </w:r>
            <w:r>
              <w:rPr>
                <w:noProof/>
                <w:webHidden/>
              </w:rPr>
              <w:instrText xml:space="preserve"> PAGEREF _Toc505179687 \h </w:instrText>
            </w:r>
            <w:r>
              <w:rPr>
                <w:noProof/>
                <w:webHidden/>
              </w:rPr>
            </w:r>
            <w:r>
              <w:rPr>
                <w:noProof/>
                <w:webHidden/>
              </w:rPr>
              <w:fldChar w:fldCharType="separate"/>
            </w:r>
            <w:r>
              <w:rPr>
                <w:noProof/>
                <w:webHidden/>
              </w:rPr>
              <w:t>35</w:t>
            </w:r>
            <w:r>
              <w:rPr>
                <w:noProof/>
                <w:webHidden/>
              </w:rPr>
              <w:fldChar w:fldCharType="end"/>
            </w:r>
          </w:hyperlink>
        </w:p>
        <w:p w14:paraId="51C00412"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88" w:history="1">
            <w:r w:rsidRPr="00A72540">
              <w:rPr>
                <w:rStyle w:val="Hyperlink"/>
                <w:noProof/>
              </w:rPr>
              <w:t>6.1.</w:t>
            </w:r>
            <w:r>
              <w:rPr>
                <w:rFonts w:asciiTheme="minorHAnsi" w:eastAsiaTheme="minorEastAsia" w:hAnsiTheme="minorHAnsi" w:cstheme="minorBidi"/>
                <w:noProof/>
                <w:lang w:eastAsia="en-AU"/>
              </w:rPr>
              <w:tab/>
            </w:r>
            <w:r w:rsidRPr="00A72540">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_Toc505179688 \h </w:instrText>
            </w:r>
            <w:r>
              <w:rPr>
                <w:noProof/>
                <w:webHidden/>
              </w:rPr>
            </w:r>
            <w:r>
              <w:rPr>
                <w:noProof/>
                <w:webHidden/>
              </w:rPr>
              <w:fldChar w:fldCharType="separate"/>
            </w:r>
            <w:r>
              <w:rPr>
                <w:noProof/>
                <w:webHidden/>
              </w:rPr>
              <w:t>35</w:t>
            </w:r>
            <w:r>
              <w:rPr>
                <w:noProof/>
                <w:webHidden/>
              </w:rPr>
              <w:fldChar w:fldCharType="end"/>
            </w:r>
          </w:hyperlink>
        </w:p>
        <w:p w14:paraId="4E6913EF"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89" w:history="1">
            <w:r w:rsidRPr="00A72540">
              <w:rPr>
                <w:rStyle w:val="Hyperlink"/>
                <w:noProof/>
              </w:rPr>
              <w:t>6.2.</w:t>
            </w:r>
            <w:r>
              <w:rPr>
                <w:rFonts w:asciiTheme="minorHAnsi" w:eastAsiaTheme="minorEastAsia" w:hAnsiTheme="minorHAnsi" w:cstheme="minorBidi"/>
                <w:noProof/>
                <w:lang w:eastAsia="en-AU"/>
              </w:rPr>
              <w:tab/>
            </w:r>
            <w:r w:rsidRPr="00A72540">
              <w:rPr>
                <w:rStyle w:val="Hyperlink"/>
                <w:noProof/>
              </w:rPr>
              <w:t>Phase II dose finding studies</w:t>
            </w:r>
            <w:r>
              <w:rPr>
                <w:noProof/>
                <w:webHidden/>
              </w:rPr>
              <w:tab/>
            </w:r>
            <w:r>
              <w:rPr>
                <w:noProof/>
                <w:webHidden/>
              </w:rPr>
              <w:fldChar w:fldCharType="begin"/>
            </w:r>
            <w:r>
              <w:rPr>
                <w:noProof/>
                <w:webHidden/>
              </w:rPr>
              <w:instrText xml:space="preserve"> PAGEREF _Toc505179689 \h </w:instrText>
            </w:r>
            <w:r>
              <w:rPr>
                <w:noProof/>
                <w:webHidden/>
              </w:rPr>
            </w:r>
            <w:r>
              <w:rPr>
                <w:noProof/>
                <w:webHidden/>
              </w:rPr>
              <w:fldChar w:fldCharType="separate"/>
            </w:r>
            <w:r>
              <w:rPr>
                <w:noProof/>
                <w:webHidden/>
              </w:rPr>
              <w:t>35</w:t>
            </w:r>
            <w:r>
              <w:rPr>
                <w:noProof/>
                <w:webHidden/>
              </w:rPr>
              <w:fldChar w:fldCharType="end"/>
            </w:r>
          </w:hyperlink>
        </w:p>
        <w:p w14:paraId="302E9928"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90" w:history="1">
            <w:r w:rsidRPr="00A72540">
              <w:rPr>
                <w:rStyle w:val="Hyperlink"/>
                <w:noProof/>
              </w:rPr>
              <w:t>6.3.</w:t>
            </w:r>
            <w:r>
              <w:rPr>
                <w:rFonts w:asciiTheme="minorHAnsi" w:eastAsiaTheme="minorEastAsia" w:hAnsiTheme="minorHAnsi" w:cstheme="minorBidi"/>
                <w:noProof/>
                <w:lang w:eastAsia="en-AU"/>
              </w:rPr>
              <w:tab/>
            </w:r>
            <w:r w:rsidRPr="00A72540">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_Toc505179690 \h </w:instrText>
            </w:r>
            <w:r>
              <w:rPr>
                <w:noProof/>
                <w:webHidden/>
              </w:rPr>
            </w:r>
            <w:r>
              <w:rPr>
                <w:noProof/>
                <w:webHidden/>
              </w:rPr>
              <w:fldChar w:fldCharType="separate"/>
            </w:r>
            <w:r>
              <w:rPr>
                <w:noProof/>
                <w:webHidden/>
              </w:rPr>
              <w:t>35</w:t>
            </w:r>
            <w:r>
              <w:rPr>
                <w:noProof/>
                <w:webHidden/>
              </w:rPr>
              <w:fldChar w:fldCharType="end"/>
            </w:r>
          </w:hyperlink>
        </w:p>
        <w:p w14:paraId="06B66B80"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91" w:history="1">
            <w:r w:rsidRPr="00A72540">
              <w:rPr>
                <w:rStyle w:val="Hyperlink"/>
                <w:noProof/>
              </w:rPr>
              <w:t>6.4.</w:t>
            </w:r>
            <w:r>
              <w:rPr>
                <w:rFonts w:asciiTheme="minorHAnsi" w:eastAsiaTheme="minorEastAsia" w:hAnsiTheme="minorHAnsi" w:cstheme="minorBidi"/>
                <w:noProof/>
                <w:lang w:eastAsia="en-AU"/>
              </w:rPr>
              <w:tab/>
            </w:r>
            <w:r w:rsidRPr="00A72540">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_Toc505179691 \h </w:instrText>
            </w:r>
            <w:r>
              <w:rPr>
                <w:noProof/>
                <w:webHidden/>
              </w:rPr>
            </w:r>
            <w:r>
              <w:rPr>
                <w:noProof/>
                <w:webHidden/>
              </w:rPr>
              <w:fldChar w:fldCharType="separate"/>
            </w:r>
            <w:r>
              <w:rPr>
                <w:noProof/>
                <w:webHidden/>
              </w:rPr>
              <w:t>35</w:t>
            </w:r>
            <w:r>
              <w:rPr>
                <w:noProof/>
                <w:webHidden/>
              </w:rPr>
              <w:fldChar w:fldCharType="end"/>
            </w:r>
          </w:hyperlink>
        </w:p>
        <w:p w14:paraId="1F46CA6B" w14:textId="77777777" w:rsidR="002E66C8" w:rsidRDefault="002E66C8">
          <w:pPr>
            <w:pStyle w:val="TOC2"/>
            <w:tabs>
              <w:tab w:val="left" w:pos="1100"/>
            </w:tabs>
            <w:rPr>
              <w:rFonts w:asciiTheme="minorHAnsi" w:eastAsiaTheme="minorEastAsia" w:hAnsiTheme="minorHAnsi" w:cstheme="minorBidi"/>
              <w:b w:val="0"/>
              <w:noProof/>
              <w:sz w:val="22"/>
              <w:lang w:eastAsia="en-AU"/>
            </w:rPr>
          </w:pPr>
          <w:hyperlink w:anchor="_Toc505179692" w:history="1">
            <w:r w:rsidRPr="00A72540">
              <w:rPr>
                <w:rStyle w:val="Hyperlink"/>
                <w:noProof/>
              </w:rPr>
              <w:t>7.</w:t>
            </w:r>
            <w:r>
              <w:rPr>
                <w:rFonts w:asciiTheme="minorHAnsi" w:eastAsiaTheme="minorEastAsia" w:hAnsiTheme="minorHAnsi" w:cstheme="minorBidi"/>
                <w:b w:val="0"/>
                <w:noProof/>
                <w:sz w:val="22"/>
                <w:lang w:eastAsia="en-AU"/>
              </w:rPr>
              <w:tab/>
            </w:r>
            <w:r w:rsidRPr="00A72540">
              <w:rPr>
                <w:rStyle w:val="Hyperlink"/>
                <w:noProof/>
              </w:rPr>
              <w:t>Clinical efficacy</w:t>
            </w:r>
            <w:r>
              <w:rPr>
                <w:noProof/>
                <w:webHidden/>
              </w:rPr>
              <w:tab/>
            </w:r>
            <w:r>
              <w:rPr>
                <w:noProof/>
                <w:webHidden/>
              </w:rPr>
              <w:fldChar w:fldCharType="begin"/>
            </w:r>
            <w:r>
              <w:rPr>
                <w:noProof/>
                <w:webHidden/>
              </w:rPr>
              <w:instrText xml:space="preserve"> PAGEREF _Toc505179692 \h </w:instrText>
            </w:r>
            <w:r>
              <w:rPr>
                <w:noProof/>
                <w:webHidden/>
              </w:rPr>
            </w:r>
            <w:r>
              <w:rPr>
                <w:noProof/>
                <w:webHidden/>
              </w:rPr>
              <w:fldChar w:fldCharType="separate"/>
            </w:r>
            <w:r>
              <w:rPr>
                <w:noProof/>
                <w:webHidden/>
              </w:rPr>
              <w:t>35</w:t>
            </w:r>
            <w:r>
              <w:rPr>
                <w:noProof/>
                <w:webHidden/>
              </w:rPr>
              <w:fldChar w:fldCharType="end"/>
            </w:r>
          </w:hyperlink>
        </w:p>
        <w:p w14:paraId="79D03832"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93" w:history="1">
            <w:r w:rsidRPr="00A72540">
              <w:rPr>
                <w:rStyle w:val="Hyperlink"/>
                <w:noProof/>
              </w:rPr>
              <w:t>7.1.</w:t>
            </w:r>
            <w:r>
              <w:rPr>
                <w:rFonts w:asciiTheme="minorHAnsi" w:eastAsiaTheme="minorEastAsia" w:hAnsiTheme="minorHAnsi" w:cstheme="minorBidi"/>
                <w:noProof/>
                <w:lang w:eastAsia="en-AU"/>
              </w:rPr>
              <w:tab/>
            </w:r>
            <w:r w:rsidRPr="00A72540">
              <w:rPr>
                <w:rStyle w:val="Hyperlink"/>
                <w:noProof/>
              </w:rPr>
              <w:t>Studies providing evaluable efficacy data</w:t>
            </w:r>
            <w:r>
              <w:rPr>
                <w:noProof/>
                <w:webHidden/>
              </w:rPr>
              <w:tab/>
            </w:r>
            <w:r>
              <w:rPr>
                <w:noProof/>
                <w:webHidden/>
              </w:rPr>
              <w:fldChar w:fldCharType="begin"/>
            </w:r>
            <w:r>
              <w:rPr>
                <w:noProof/>
                <w:webHidden/>
              </w:rPr>
              <w:instrText xml:space="preserve"> PAGEREF _Toc505179693 \h </w:instrText>
            </w:r>
            <w:r>
              <w:rPr>
                <w:noProof/>
                <w:webHidden/>
              </w:rPr>
            </w:r>
            <w:r>
              <w:rPr>
                <w:noProof/>
                <w:webHidden/>
              </w:rPr>
              <w:fldChar w:fldCharType="separate"/>
            </w:r>
            <w:r>
              <w:rPr>
                <w:noProof/>
                <w:webHidden/>
              </w:rPr>
              <w:t>35</w:t>
            </w:r>
            <w:r>
              <w:rPr>
                <w:noProof/>
                <w:webHidden/>
              </w:rPr>
              <w:fldChar w:fldCharType="end"/>
            </w:r>
          </w:hyperlink>
        </w:p>
        <w:p w14:paraId="4408C163"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94" w:history="1">
            <w:r w:rsidRPr="00A72540">
              <w:rPr>
                <w:rStyle w:val="Hyperlink"/>
                <w:noProof/>
              </w:rPr>
              <w:t>7.2.</w:t>
            </w:r>
            <w:r>
              <w:rPr>
                <w:rFonts w:asciiTheme="minorHAnsi" w:eastAsiaTheme="minorEastAsia" w:hAnsiTheme="minorHAnsi" w:cstheme="minorBidi"/>
                <w:noProof/>
                <w:lang w:eastAsia="en-AU"/>
              </w:rPr>
              <w:tab/>
            </w:r>
            <w:r w:rsidRPr="00A72540">
              <w:rPr>
                <w:rStyle w:val="Hyperlink"/>
                <w:noProof/>
              </w:rPr>
              <w:t>Pivotal or main efficacy studies</w:t>
            </w:r>
            <w:r>
              <w:rPr>
                <w:noProof/>
                <w:webHidden/>
              </w:rPr>
              <w:tab/>
            </w:r>
            <w:r>
              <w:rPr>
                <w:noProof/>
                <w:webHidden/>
              </w:rPr>
              <w:fldChar w:fldCharType="begin"/>
            </w:r>
            <w:r>
              <w:rPr>
                <w:noProof/>
                <w:webHidden/>
              </w:rPr>
              <w:instrText xml:space="preserve"> PAGEREF _Toc505179694 \h </w:instrText>
            </w:r>
            <w:r>
              <w:rPr>
                <w:noProof/>
                <w:webHidden/>
              </w:rPr>
            </w:r>
            <w:r>
              <w:rPr>
                <w:noProof/>
                <w:webHidden/>
              </w:rPr>
              <w:fldChar w:fldCharType="separate"/>
            </w:r>
            <w:r>
              <w:rPr>
                <w:noProof/>
                <w:webHidden/>
              </w:rPr>
              <w:t>36</w:t>
            </w:r>
            <w:r>
              <w:rPr>
                <w:noProof/>
                <w:webHidden/>
              </w:rPr>
              <w:fldChar w:fldCharType="end"/>
            </w:r>
          </w:hyperlink>
        </w:p>
        <w:p w14:paraId="1EEFCA1C"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95" w:history="1">
            <w:r w:rsidRPr="00A72540">
              <w:rPr>
                <w:rStyle w:val="Hyperlink"/>
                <w:noProof/>
              </w:rPr>
              <w:t>7.3.</w:t>
            </w:r>
            <w:r>
              <w:rPr>
                <w:rFonts w:asciiTheme="minorHAnsi" w:eastAsiaTheme="minorEastAsia" w:hAnsiTheme="minorHAnsi" w:cstheme="minorBidi"/>
                <w:noProof/>
                <w:lang w:eastAsia="en-AU"/>
              </w:rPr>
              <w:tab/>
            </w:r>
            <w:r w:rsidRPr="00A72540">
              <w:rPr>
                <w:rStyle w:val="Hyperlink"/>
                <w:noProof/>
              </w:rPr>
              <w:t>Other efficacy studies</w:t>
            </w:r>
            <w:r>
              <w:rPr>
                <w:noProof/>
                <w:webHidden/>
              </w:rPr>
              <w:tab/>
            </w:r>
            <w:r>
              <w:rPr>
                <w:noProof/>
                <w:webHidden/>
              </w:rPr>
              <w:fldChar w:fldCharType="begin"/>
            </w:r>
            <w:r>
              <w:rPr>
                <w:noProof/>
                <w:webHidden/>
              </w:rPr>
              <w:instrText xml:space="preserve"> PAGEREF _Toc505179695 \h </w:instrText>
            </w:r>
            <w:r>
              <w:rPr>
                <w:noProof/>
                <w:webHidden/>
              </w:rPr>
            </w:r>
            <w:r>
              <w:rPr>
                <w:noProof/>
                <w:webHidden/>
              </w:rPr>
              <w:fldChar w:fldCharType="separate"/>
            </w:r>
            <w:r>
              <w:rPr>
                <w:noProof/>
                <w:webHidden/>
              </w:rPr>
              <w:t>36</w:t>
            </w:r>
            <w:r>
              <w:rPr>
                <w:noProof/>
                <w:webHidden/>
              </w:rPr>
              <w:fldChar w:fldCharType="end"/>
            </w:r>
          </w:hyperlink>
        </w:p>
        <w:p w14:paraId="70295129"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96" w:history="1">
            <w:r w:rsidRPr="00A72540">
              <w:rPr>
                <w:rStyle w:val="Hyperlink"/>
                <w:noProof/>
              </w:rPr>
              <w:t>7.4.</w:t>
            </w:r>
            <w:r>
              <w:rPr>
                <w:rFonts w:asciiTheme="minorHAnsi" w:eastAsiaTheme="minorEastAsia" w:hAnsiTheme="minorHAnsi" w:cstheme="minorBidi"/>
                <w:noProof/>
                <w:lang w:eastAsia="en-AU"/>
              </w:rPr>
              <w:tab/>
            </w:r>
            <w:r w:rsidRPr="00A72540">
              <w:rPr>
                <w:rStyle w:val="Hyperlink"/>
                <w:noProof/>
              </w:rPr>
              <w:t>Analyses performed across trials: pooled and meta-analyses</w:t>
            </w:r>
            <w:r>
              <w:rPr>
                <w:noProof/>
                <w:webHidden/>
              </w:rPr>
              <w:tab/>
            </w:r>
            <w:r>
              <w:rPr>
                <w:noProof/>
                <w:webHidden/>
              </w:rPr>
              <w:fldChar w:fldCharType="begin"/>
            </w:r>
            <w:r>
              <w:rPr>
                <w:noProof/>
                <w:webHidden/>
              </w:rPr>
              <w:instrText xml:space="preserve"> PAGEREF _Toc505179696 \h </w:instrText>
            </w:r>
            <w:r>
              <w:rPr>
                <w:noProof/>
                <w:webHidden/>
              </w:rPr>
            </w:r>
            <w:r>
              <w:rPr>
                <w:noProof/>
                <w:webHidden/>
              </w:rPr>
              <w:fldChar w:fldCharType="separate"/>
            </w:r>
            <w:r>
              <w:rPr>
                <w:noProof/>
                <w:webHidden/>
              </w:rPr>
              <w:t>41</w:t>
            </w:r>
            <w:r>
              <w:rPr>
                <w:noProof/>
                <w:webHidden/>
              </w:rPr>
              <w:fldChar w:fldCharType="end"/>
            </w:r>
          </w:hyperlink>
        </w:p>
        <w:p w14:paraId="7C1B8C8C"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97" w:history="1">
            <w:r w:rsidRPr="00A72540">
              <w:rPr>
                <w:rStyle w:val="Hyperlink"/>
                <w:noProof/>
              </w:rPr>
              <w:t>7.5.</w:t>
            </w:r>
            <w:r>
              <w:rPr>
                <w:rFonts w:asciiTheme="minorHAnsi" w:eastAsiaTheme="minorEastAsia" w:hAnsiTheme="minorHAnsi" w:cstheme="minorBidi"/>
                <w:noProof/>
                <w:lang w:eastAsia="en-AU"/>
              </w:rPr>
              <w:tab/>
            </w:r>
            <w:r w:rsidRPr="00A72540">
              <w:rPr>
                <w:rStyle w:val="Hyperlink"/>
                <w:noProof/>
              </w:rPr>
              <w:t>Evaluator’s conclusions on clinical efficacy</w:t>
            </w:r>
            <w:r>
              <w:rPr>
                <w:noProof/>
                <w:webHidden/>
              </w:rPr>
              <w:tab/>
            </w:r>
            <w:r>
              <w:rPr>
                <w:noProof/>
                <w:webHidden/>
              </w:rPr>
              <w:fldChar w:fldCharType="begin"/>
            </w:r>
            <w:r>
              <w:rPr>
                <w:noProof/>
                <w:webHidden/>
              </w:rPr>
              <w:instrText xml:space="preserve"> PAGEREF _Toc505179697 \h </w:instrText>
            </w:r>
            <w:r>
              <w:rPr>
                <w:noProof/>
                <w:webHidden/>
              </w:rPr>
            </w:r>
            <w:r>
              <w:rPr>
                <w:noProof/>
                <w:webHidden/>
              </w:rPr>
              <w:fldChar w:fldCharType="separate"/>
            </w:r>
            <w:r>
              <w:rPr>
                <w:noProof/>
                <w:webHidden/>
              </w:rPr>
              <w:t>50</w:t>
            </w:r>
            <w:r>
              <w:rPr>
                <w:noProof/>
                <w:webHidden/>
              </w:rPr>
              <w:fldChar w:fldCharType="end"/>
            </w:r>
          </w:hyperlink>
        </w:p>
        <w:p w14:paraId="47EBE466" w14:textId="77777777" w:rsidR="002E66C8" w:rsidRDefault="002E66C8">
          <w:pPr>
            <w:pStyle w:val="TOC2"/>
            <w:tabs>
              <w:tab w:val="left" w:pos="1100"/>
            </w:tabs>
            <w:rPr>
              <w:rFonts w:asciiTheme="minorHAnsi" w:eastAsiaTheme="minorEastAsia" w:hAnsiTheme="minorHAnsi" w:cstheme="minorBidi"/>
              <w:b w:val="0"/>
              <w:noProof/>
              <w:sz w:val="22"/>
              <w:lang w:eastAsia="en-AU"/>
            </w:rPr>
          </w:pPr>
          <w:hyperlink w:anchor="_Toc505179698" w:history="1">
            <w:r w:rsidRPr="00A72540">
              <w:rPr>
                <w:rStyle w:val="Hyperlink"/>
                <w:noProof/>
              </w:rPr>
              <w:t>8.</w:t>
            </w:r>
            <w:r>
              <w:rPr>
                <w:rFonts w:asciiTheme="minorHAnsi" w:eastAsiaTheme="minorEastAsia" w:hAnsiTheme="minorHAnsi" w:cstheme="minorBidi"/>
                <w:b w:val="0"/>
                <w:noProof/>
                <w:sz w:val="22"/>
                <w:lang w:eastAsia="en-AU"/>
              </w:rPr>
              <w:tab/>
            </w:r>
            <w:r w:rsidRPr="00A72540">
              <w:rPr>
                <w:rStyle w:val="Hyperlink"/>
                <w:noProof/>
              </w:rPr>
              <w:t>Clinical safety</w:t>
            </w:r>
            <w:r>
              <w:rPr>
                <w:noProof/>
                <w:webHidden/>
              </w:rPr>
              <w:tab/>
            </w:r>
            <w:r>
              <w:rPr>
                <w:noProof/>
                <w:webHidden/>
              </w:rPr>
              <w:fldChar w:fldCharType="begin"/>
            </w:r>
            <w:r>
              <w:rPr>
                <w:noProof/>
                <w:webHidden/>
              </w:rPr>
              <w:instrText xml:space="preserve"> PAGEREF _Toc505179698 \h </w:instrText>
            </w:r>
            <w:r>
              <w:rPr>
                <w:noProof/>
                <w:webHidden/>
              </w:rPr>
            </w:r>
            <w:r>
              <w:rPr>
                <w:noProof/>
                <w:webHidden/>
              </w:rPr>
              <w:fldChar w:fldCharType="separate"/>
            </w:r>
            <w:r>
              <w:rPr>
                <w:noProof/>
                <w:webHidden/>
              </w:rPr>
              <w:t>51</w:t>
            </w:r>
            <w:r>
              <w:rPr>
                <w:noProof/>
                <w:webHidden/>
              </w:rPr>
              <w:fldChar w:fldCharType="end"/>
            </w:r>
          </w:hyperlink>
        </w:p>
        <w:p w14:paraId="3FA5FB8A"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699" w:history="1">
            <w:r w:rsidRPr="00A72540">
              <w:rPr>
                <w:rStyle w:val="Hyperlink"/>
                <w:noProof/>
              </w:rPr>
              <w:t>8.2.</w:t>
            </w:r>
            <w:r>
              <w:rPr>
                <w:rFonts w:asciiTheme="minorHAnsi" w:eastAsiaTheme="minorEastAsia" w:hAnsiTheme="minorHAnsi" w:cstheme="minorBidi"/>
                <w:noProof/>
                <w:lang w:eastAsia="en-AU"/>
              </w:rPr>
              <w:tab/>
            </w:r>
            <w:r w:rsidRPr="00A72540">
              <w:rPr>
                <w:rStyle w:val="Hyperlink"/>
                <w:noProof/>
              </w:rPr>
              <w:t>Patient exposure</w:t>
            </w:r>
            <w:r>
              <w:rPr>
                <w:noProof/>
                <w:webHidden/>
              </w:rPr>
              <w:tab/>
            </w:r>
            <w:r>
              <w:rPr>
                <w:noProof/>
                <w:webHidden/>
              </w:rPr>
              <w:fldChar w:fldCharType="begin"/>
            </w:r>
            <w:r>
              <w:rPr>
                <w:noProof/>
                <w:webHidden/>
              </w:rPr>
              <w:instrText xml:space="preserve"> PAGEREF _Toc505179699 \h </w:instrText>
            </w:r>
            <w:r>
              <w:rPr>
                <w:noProof/>
                <w:webHidden/>
              </w:rPr>
            </w:r>
            <w:r>
              <w:rPr>
                <w:noProof/>
                <w:webHidden/>
              </w:rPr>
              <w:fldChar w:fldCharType="separate"/>
            </w:r>
            <w:r>
              <w:rPr>
                <w:noProof/>
                <w:webHidden/>
              </w:rPr>
              <w:t>59</w:t>
            </w:r>
            <w:r>
              <w:rPr>
                <w:noProof/>
                <w:webHidden/>
              </w:rPr>
              <w:fldChar w:fldCharType="end"/>
            </w:r>
          </w:hyperlink>
        </w:p>
        <w:p w14:paraId="5DAFB8D8"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00" w:history="1">
            <w:r w:rsidRPr="00A72540">
              <w:rPr>
                <w:rStyle w:val="Hyperlink"/>
                <w:noProof/>
              </w:rPr>
              <w:t>8.3.</w:t>
            </w:r>
            <w:r>
              <w:rPr>
                <w:rFonts w:asciiTheme="minorHAnsi" w:eastAsiaTheme="minorEastAsia" w:hAnsiTheme="minorHAnsi" w:cstheme="minorBidi"/>
                <w:noProof/>
                <w:lang w:eastAsia="en-AU"/>
              </w:rPr>
              <w:tab/>
            </w:r>
            <w:r w:rsidRPr="00A72540">
              <w:rPr>
                <w:rStyle w:val="Hyperlink"/>
                <w:noProof/>
              </w:rPr>
              <w:t>Adverse events</w:t>
            </w:r>
            <w:r>
              <w:rPr>
                <w:noProof/>
                <w:webHidden/>
              </w:rPr>
              <w:tab/>
            </w:r>
            <w:r>
              <w:rPr>
                <w:noProof/>
                <w:webHidden/>
              </w:rPr>
              <w:fldChar w:fldCharType="begin"/>
            </w:r>
            <w:r>
              <w:rPr>
                <w:noProof/>
                <w:webHidden/>
              </w:rPr>
              <w:instrText xml:space="preserve"> PAGEREF _Toc505179700 \h </w:instrText>
            </w:r>
            <w:r>
              <w:rPr>
                <w:noProof/>
                <w:webHidden/>
              </w:rPr>
            </w:r>
            <w:r>
              <w:rPr>
                <w:noProof/>
                <w:webHidden/>
              </w:rPr>
              <w:fldChar w:fldCharType="separate"/>
            </w:r>
            <w:r>
              <w:rPr>
                <w:noProof/>
                <w:webHidden/>
              </w:rPr>
              <w:t>61</w:t>
            </w:r>
            <w:r>
              <w:rPr>
                <w:noProof/>
                <w:webHidden/>
              </w:rPr>
              <w:fldChar w:fldCharType="end"/>
            </w:r>
          </w:hyperlink>
        </w:p>
        <w:p w14:paraId="39531CE5"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01" w:history="1">
            <w:r w:rsidRPr="00A72540">
              <w:rPr>
                <w:rStyle w:val="Hyperlink"/>
                <w:noProof/>
              </w:rPr>
              <w:t>8.4.</w:t>
            </w:r>
            <w:r>
              <w:rPr>
                <w:rFonts w:asciiTheme="minorHAnsi" w:eastAsiaTheme="minorEastAsia" w:hAnsiTheme="minorHAnsi" w:cstheme="minorBidi"/>
                <w:noProof/>
                <w:lang w:eastAsia="en-AU"/>
              </w:rPr>
              <w:tab/>
            </w:r>
            <w:r w:rsidRPr="00A72540">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_Toc505179701 \h </w:instrText>
            </w:r>
            <w:r>
              <w:rPr>
                <w:noProof/>
                <w:webHidden/>
              </w:rPr>
            </w:r>
            <w:r>
              <w:rPr>
                <w:noProof/>
                <w:webHidden/>
              </w:rPr>
              <w:fldChar w:fldCharType="separate"/>
            </w:r>
            <w:r>
              <w:rPr>
                <w:noProof/>
                <w:webHidden/>
              </w:rPr>
              <w:t>61</w:t>
            </w:r>
            <w:r>
              <w:rPr>
                <w:noProof/>
                <w:webHidden/>
              </w:rPr>
              <w:fldChar w:fldCharType="end"/>
            </w:r>
          </w:hyperlink>
        </w:p>
        <w:p w14:paraId="448862A5"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02" w:history="1">
            <w:r w:rsidRPr="00A72540">
              <w:rPr>
                <w:rStyle w:val="Hyperlink"/>
                <w:noProof/>
              </w:rPr>
              <w:t>8.5.</w:t>
            </w:r>
            <w:r>
              <w:rPr>
                <w:rFonts w:asciiTheme="minorHAnsi" w:eastAsiaTheme="minorEastAsia" w:hAnsiTheme="minorHAnsi" w:cstheme="minorBidi"/>
                <w:noProof/>
                <w:lang w:eastAsia="en-AU"/>
              </w:rPr>
              <w:tab/>
            </w:r>
            <w:r w:rsidRPr="00A72540">
              <w:rPr>
                <w:rStyle w:val="Hyperlink"/>
                <w:noProof/>
              </w:rPr>
              <w:t>Other safety issues</w:t>
            </w:r>
            <w:r>
              <w:rPr>
                <w:noProof/>
                <w:webHidden/>
              </w:rPr>
              <w:tab/>
            </w:r>
            <w:r>
              <w:rPr>
                <w:noProof/>
                <w:webHidden/>
              </w:rPr>
              <w:fldChar w:fldCharType="begin"/>
            </w:r>
            <w:r>
              <w:rPr>
                <w:noProof/>
                <w:webHidden/>
              </w:rPr>
              <w:instrText xml:space="preserve"> PAGEREF _Toc505179702 \h </w:instrText>
            </w:r>
            <w:r>
              <w:rPr>
                <w:noProof/>
                <w:webHidden/>
              </w:rPr>
            </w:r>
            <w:r>
              <w:rPr>
                <w:noProof/>
                <w:webHidden/>
              </w:rPr>
              <w:fldChar w:fldCharType="separate"/>
            </w:r>
            <w:r>
              <w:rPr>
                <w:noProof/>
                <w:webHidden/>
              </w:rPr>
              <w:t>62</w:t>
            </w:r>
            <w:r>
              <w:rPr>
                <w:noProof/>
                <w:webHidden/>
              </w:rPr>
              <w:fldChar w:fldCharType="end"/>
            </w:r>
          </w:hyperlink>
        </w:p>
        <w:p w14:paraId="3F3D2B88"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03" w:history="1">
            <w:r w:rsidRPr="00A72540">
              <w:rPr>
                <w:rStyle w:val="Hyperlink"/>
                <w:noProof/>
              </w:rPr>
              <w:t>8.6.</w:t>
            </w:r>
            <w:r>
              <w:rPr>
                <w:rFonts w:asciiTheme="minorHAnsi" w:eastAsiaTheme="minorEastAsia" w:hAnsiTheme="minorHAnsi" w:cstheme="minorBidi"/>
                <w:noProof/>
                <w:lang w:eastAsia="en-AU"/>
              </w:rPr>
              <w:tab/>
            </w:r>
            <w:r w:rsidRPr="00A72540">
              <w:rPr>
                <w:rStyle w:val="Hyperlink"/>
                <w:noProof/>
              </w:rPr>
              <w:t>Post marketing experience</w:t>
            </w:r>
            <w:r>
              <w:rPr>
                <w:noProof/>
                <w:webHidden/>
              </w:rPr>
              <w:tab/>
            </w:r>
            <w:r>
              <w:rPr>
                <w:noProof/>
                <w:webHidden/>
              </w:rPr>
              <w:fldChar w:fldCharType="begin"/>
            </w:r>
            <w:r>
              <w:rPr>
                <w:noProof/>
                <w:webHidden/>
              </w:rPr>
              <w:instrText xml:space="preserve"> PAGEREF _Toc505179703 \h </w:instrText>
            </w:r>
            <w:r>
              <w:rPr>
                <w:noProof/>
                <w:webHidden/>
              </w:rPr>
            </w:r>
            <w:r>
              <w:rPr>
                <w:noProof/>
                <w:webHidden/>
              </w:rPr>
              <w:fldChar w:fldCharType="separate"/>
            </w:r>
            <w:r>
              <w:rPr>
                <w:noProof/>
                <w:webHidden/>
              </w:rPr>
              <w:t>62</w:t>
            </w:r>
            <w:r>
              <w:rPr>
                <w:noProof/>
                <w:webHidden/>
              </w:rPr>
              <w:fldChar w:fldCharType="end"/>
            </w:r>
          </w:hyperlink>
        </w:p>
        <w:p w14:paraId="28BBE736"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04" w:history="1">
            <w:r w:rsidRPr="00A72540">
              <w:rPr>
                <w:rStyle w:val="Hyperlink"/>
                <w:noProof/>
              </w:rPr>
              <w:t>8.7.</w:t>
            </w:r>
            <w:r>
              <w:rPr>
                <w:rFonts w:asciiTheme="minorHAnsi" w:eastAsiaTheme="minorEastAsia" w:hAnsiTheme="minorHAnsi" w:cstheme="minorBidi"/>
                <w:noProof/>
                <w:lang w:eastAsia="en-AU"/>
              </w:rPr>
              <w:tab/>
            </w:r>
            <w:r w:rsidRPr="00A72540">
              <w:rPr>
                <w:rStyle w:val="Hyperlink"/>
                <w:noProof/>
              </w:rPr>
              <w:t>Evaluator’s overall conclusions on clinical safety</w:t>
            </w:r>
            <w:r>
              <w:rPr>
                <w:noProof/>
                <w:webHidden/>
              </w:rPr>
              <w:tab/>
            </w:r>
            <w:r>
              <w:rPr>
                <w:noProof/>
                <w:webHidden/>
              </w:rPr>
              <w:fldChar w:fldCharType="begin"/>
            </w:r>
            <w:r>
              <w:rPr>
                <w:noProof/>
                <w:webHidden/>
              </w:rPr>
              <w:instrText xml:space="preserve"> PAGEREF _Toc505179704 \h </w:instrText>
            </w:r>
            <w:r>
              <w:rPr>
                <w:noProof/>
                <w:webHidden/>
              </w:rPr>
            </w:r>
            <w:r>
              <w:rPr>
                <w:noProof/>
                <w:webHidden/>
              </w:rPr>
              <w:fldChar w:fldCharType="separate"/>
            </w:r>
            <w:r>
              <w:rPr>
                <w:noProof/>
                <w:webHidden/>
              </w:rPr>
              <w:t>65</w:t>
            </w:r>
            <w:r>
              <w:rPr>
                <w:noProof/>
                <w:webHidden/>
              </w:rPr>
              <w:fldChar w:fldCharType="end"/>
            </w:r>
          </w:hyperlink>
        </w:p>
        <w:p w14:paraId="4BA1BE2F" w14:textId="77777777" w:rsidR="002E66C8" w:rsidRDefault="002E66C8">
          <w:pPr>
            <w:pStyle w:val="TOC2"/>
            <w:tabs>
              <w:tab w:val="left" w:pos="1100"/>
            </w:tabs>
            <w:rPr>
              <w:rFonts w:asciiTheme="minorHAnsi" w:eastAsiaTheme="minorEastAsia" w:hAnsiTheme="minorHAnsi" w:cstheme="minorBidi"/>
              <w:b w:val="0"/>
              <w:noProof/>
              <w:sz w:val="22"/>
              <w:lang w:eastAsia="en-AU"/>
            </w:rPr>
          </w:pPr>
          <w:hyperlink w:anchor="_Toc505179705" w:history="1">
            <w:r w:rsidRPr="00A72540">
              <w:rPr>
                <w:rStyle w:val="Hyperlink"/>
                <w:noProof/>
              </w:rPr>
              <w:t>9.</w:t>
            </w:r>
            <w:r>
              <w:rPr>
                <w:rFonts w:asciiTheme="minorHAnsi" w:eastAsiaTheme="minorEastAsia" w:hAnsiTheme="minorHAnsi" w:cstheme="minorBidi"/>
                <w:b w:val="0"/>
                <w:noProof/>
                <w:sz w:val="22"/>
                <w:lang w:eastAsia="en-AU"/>
              </w:rPr>
              <w:tab/>
            </w:r>
            <w:r w:rsidRPr="00A72540">
              <w:rPr>
                <w:rStyle w:val="Hyperlink"/>
                <w:noProof/>
              </w:rPr>
              <w:t>First round benefit-risk assessment</w:t>
            </w:r>
            <w:r>
              <w:rPr>
                <w:noProof/>
                <w:webHidden/>
              </w:rPr>
              <w:tab/>
            </w:r>
            <w:r>
              <w:rPr>
                <w:noProof/>
                <w:webHidden/>
              </w:rPr>
              <w:fldChar w:fldCharType="begin"/>
            </w:r>
            <w:r>
              <w:rPr>
                <w:noProof/>
                <w:webHidden/>
              </w:rPr>
              <w:instrText xml:space="preserve"> PAGEREF _Toc505179705 \h </w:instrText>
            </w:r>
            <w:r>
              <w:rPr>
                <w:noProof/>
                <w:webHidden/>
              </w:rPr>
            </w:r>
            <w:r>
              <w:rPr>
                <w:noProof/>
                <w:webHidden/>
              </w:rPr>
              <w:fldChar w:fldCharType="separate"/>
            </w:r>
            <w:r>
              <w:rPr>
                <w:noProof/>
                <w:webHidden/>
              </w:rPr>
              <w:t>66</w:t>
            </w:r>
            <w:r>
              <w:rPr>
                <w:noProof/>
                <w:webHidden/>
              </w:rPr>
              <w:fldChar w:fldCharType="end"/>
            </w:r>
          </w:hyperlink>
        </w:p>
        <w:p w14:paraId="1709FA6D"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06" w:history="1">
            <w:r w:rsidRPr="00A72540">
              <w:rPr>
                <w:rStyle w:val="Hyperlink"/>
                <w:noProof/>
              </w:rPr>
              <w:t>9.1.</w:t>
            </w:r>
            <w:r>
              <w:rPr>
                <w:rFonts w:asciiTheme="minorHAnsi" w:eastAsiaTheme="minorEastAsia" w:hAnsiTheme="minorHAnsi" w:cstheme="minorBidi"/>
                <w:noProof/>
                <w:lang w:eastAsia="en-AU"/>
              </w:rPr>
              <w:tab/>
            </w:r>
            <w:r w:rsidRPr="00A72540">
              <w:rPr>
                <w:rStyle w:val="Hyperlink"/>
                <w:noProof/>
              </w:rPr>
              <w:t>First round assessment of benefits</w:t>
            </w:r>
            <w:r>
              <w:rPr>
                <w:noProof/>
                <w:webHidden/>
              </w:rPr>
              <w:tab/>
            </w:r>
            <w:r>
              <w:rPr>
                <w:noProof/>
                <w:webHidden/>
              </w:rPr>
              <w:fldChar w:fldCharType="begin"/>
            </w:r>
            <w:r>
              <w:rPr>
                <w:noProof/>
                <w:webHidden/>
              </w:rPr>
              <w:instrText xml:space="preserve"> PAGEREF _Toc505179706 \h </w:instrText>
            </w:r>
            <w:r>
              <w:rPr>
                <w:noProof/>
                <w:webHidden/>
              </w:rPr>
            </w:r>
            <w:r>
              <w:rPr>
                <w:noProof/>
                <w:webHidden/>
              </w:rPr>
              <w:fldChar w:fldCharType="separate"/>
            </w:r>
            <w:r>
              <w:rPr>
                <w:noProof/>
                <w:webHidden/>
              </w:rPr>
              <w:t>66</w:t>
            </w:r>
            <w:r>
              <w:rPr>
                <w:noProof/>
                <w:webHidden/>
              </w:rPr>
              <w:fldChar w:fldCharType="end"/>
            </w:r>
          </w:hyperlink>
        </w:p>
        <w:p w14:paraId="74D8E9E8"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07" w:history="1">
            <w:r w:rsidRPr="00A72540">
              <w:rPr>
                <w:rStyle w:val="Hyperlink"/>
                <w:noProof/>
              </w:rPr>
              <w:t>9.2.</w:t>
            </w:r>
            <w:r>
              <w:rPr>
                <w:rFonts w:asciiTheme="minorHAnsi" w:eastAsiaTheme="minorEastAsia" w:hAnsiTheme="minorHAnsi" w:cstheme="minorBidi"/>
                <w:noProof/>
                <w:lang w:eastAsia="en-AU"/>
              </w:rPr>
              <w:tab/>
            </w:r>
            <w:r w:rsidRPr="00A72540">
              <w:rPr>
                <w:rStyle w:val="Hyperlink"/>
                <w:noProof/>
              </w:rPr>
              <w:t>First round assessment of risks</w:t>
            </w:r>
            <w:r>
              <w:rPr>
                <w:noProof/>
                <w:webHidden/>
              </w:rPr>
              <w:tab/>
            </w:r>
            <w:r>
              <w:rPr>
                <w:noProof/>
                <w:webHidden/>
              </w:rPr>
              <w:fldChar w:fldCharType="begin"/>
            </w:r>
            <w:r>
              <w:rPr>
                <w:noProof/>
                <w:webHidden/>
              </w:rPr>
              <w:instrText xml:space="preserve"> PAGEREF _Toc505179707 \h </w:instrText>
            </w:r>
            <w:r>
              <w:rPr>
                <w:noProof/>
                <w:webHidden/>
              </w:rPr>
            </w:r>
            <w:r>
              <w:rPr>
                <w:noProof/>
                <w:webHidden/>
              </w:rPr>
              <w:fldChar w:fldCharType="separate"/>
            </w:r>
            <w:r>
              <w:rPr>
                <w:noProof/>
                <w:webHidden/>
              </w:rPr>
              <w:t>66</w:t>
            </w:r>
            <w:r>
              <w:rPr>
                <w:noProof/>
                <w:webHidden/>
              </w:rPr>
              <w:fldChar w:fldCharType="end"/>
            </w:r>
          </w:hyperlink>
        </w:p>
        <w:p w14:paraId="40925FF8"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08" w:history="1">
            <w:r w:rsidRPr="00A72540">
              <w:rPr>
                <w:rStyle w:val="Hyperlink"/>
                <w:noProof/>
              </w:rPr>
              <w:t>9.3.</w:t>
            </w:r>
            <w:r>
              <w:rPr>
                <w:rFonts w:asciiTheme="minorHAnsi" w:eastAsiaTheme="minorEastAsia" w:hAnsiTheme="minorHAnsi" w:cstheme="minorBidi"/>
                <w:noProof/>
                <w:lang w:eastAsia="en-AU"/>
              </w:rPr>
              <w:tab/>
            </w:r>
            <w:r w:rsidRPr="00A72540">
              <w:rPr>
                <w:rStyle w:val="Hyperlink"/>
                <w:noProof/>
              </w:rPr>
              <w:t>First round assessment of benefit-risk balance</w:t>
            </w:r>
            <w:r>
              <w:rPr>
                <w:noProof/>
                <w:webHidden/>
              </w:rPr>
              <w:tab/>
            </w:r>
            <w:r>
              <w:rPr>
                <w:noProof/>
                <w:webHidden/>
              </w:rPr>
              <w:fldChar w:fldCharType="begin"/>
            </w:r>
            <w:r>
              <w:rPr>
                <w:noProof/>
                <w:webHidden/>
              </w:rPr>
              <w:instrText xml:space="preserve"> PAGEREF _Toc505179708 \h </w:instrText>
            </w:r>
            <w:r>
              <w:rPr>
                <w:noProof/>
                <w:webHidden/>
              </w:rPr>
            </w:r>
            <w:r>
              <w:rPr>
                <w:noProof/>
                <w:webHidden/>
              </w:rPr>
              <w:fldChar w:fldCharType="separate"/>
            </w:r>
            <w:r>
              <w:rPr>
                <w:noProof/>
                <w:webHidden/>
              </w:rPr>
              <w:t>66</w:t>
            </w:r>
            <w:r>
              <w:rPr>
                <w:noProof/>
                <w:webHidden/>
              </w:rPr>
              <w:fldChar w:fldCharType="end"/>
            </w:r>
          </w:hyperlink>
        </w:p>
        <w:p w14:paraId="4A787C25" w14:textId="77777777" w:rsidR="002E66C8" w:rsidRDefault="002E66C8">
          <w:pPr>
            <w:pStyle w:val="TOC2"/>
            <w:tabs>
              <w:tab w:val="left" w:pos="1320"/>
            </w:tabs>
            <w:rPr>
              <w:rFonts w:asciiTheme="minorHAnsi" w:eastAsiaTheme="minorEastAsia" w:hAnsiTheme="minorHAnsi" w:cstheme="minorBidi"/>
              <w:b w:val="0"/>
              <w:noProof/>
              <w:sz w:val="22"/>
              <w:lang w:eastAsia="en-AU"/>
            </w:rPr>
          </w:pPr>
          <w:hyperlink w:anchor="_Toc505179709" w:history="1">
            <w:r w:rsidRPr="00A72540">
              <w:rPr>
                <w:rStyle w:val="Hyperlink"/>
                <w:noProof/>
              </w:rPr>
              <w:t>10.</w:t>
            </w:r>
            <w:r>
              <w:rPr>
                <w:rFonts w:asciiTheme="minorHAnsi" w:eastAsiaTheme="minorEastAsia" w:hAnsiTheme="minorHAnsi" w:cstheme="minorBidi"/>
                <w:b w:val="0"/>
                <w:noProof/>
                <w:sz w:val="22"/>
                <w:lang w:eastAsia="en-AU"/>
              </w:rPr>
              <w:tab/>
            </w:r>
            <w:r w:rsidRPr="00A72540">
              <w:rPr>
                <w:rStyle w:val="Hyperlink"/>
                <w:noProof/>
              </w:rPr>
              <w:t>First round recommendation regarding authorisation</w:t>
            </w:r>
            <w:r>
              <w:rPr>
                <w:noProof/>
                <w:webHidden/>
              </w:rPr>
              <w:tab/>
            </w:r>
            <w:r>
              <w:rPr>
                <w:noProof/>
                <w:webHidden/>
              </w:rPr>
              <w:fldChar w:fldCharType="begin"/>
            </w:r>
            <w:r>
              <w:rPr>
                <w:noProof/>
                <w:webHidden/>
              </w:rPr>
              <w:instrText xml:space="preserve"> PAGEREF _Toc505179709 \h </w:instrText>
            </w:r>
            <w:r>
              <w:rPr>
                <w:noProof/>
                <w:webHidden/>
              </w:rPr>
            </w:r>
            <w:r>
              <w:rPr>
                <w:noProof/>
                <w:webHidden/>
              </w:rPr>
              <w:fldChar w:fldCharType="separate"/>
            </w:r>
            <w:r>
              <w:rPr>
                <w:noProof/>
                <w:webHidden/>
              </w:rPr>
              <w:t>67</w:t>
            </w:r>
            <w:r>
              <w:rPr>
                <w:noProof/>
                <w:webHidden/>
              </w:rPr>
              <w:fldChar w:fldCharType="end"/>
            </w:r>
          </w:hyperlink>
        </w:p>
        <w:p w14:paraId="0B3F631F" w14:textId="77777777" w:rsidR="002E66C8" w:rsidRDefault="002E66C8">
          <w:pPr>
            <w:pStyle w:val="TOC2"/>
            <w:tabs>
              <w:tab w:val="left" w:pos="1320"/>
            </w:tabs>
            <w:rPr>
              <w:rFonts w:asciiTheme="minorHAnsi" w:eastAsiaTheme="minorEastAsia" w:hAnsiTheme="minorHAnsi" w:cstheme="minorBidi"/>
              <w:b w:val="0"/>
              <w:noProof/>
              <w:sz w:val="22"/>
              <w:lang w:eastAsia="en-AU"/>
            </w:rPr>
          </w:pPr>
          <w:hyperlink w:anchor="_Toc505179710" w:history="1">
            <w:r w:rsidRPr="00A72540">
              <w:rPr>
                <w:rStyle w:val="Hyperlink"/>
                <w:noProof/>
              </w:rPr>
              <w:t>11.</w:t>
            </w:r>
            <w:r>
              <w:rPr>
                <w:rFonts w:asciiTheme="minorHAnsi" w:eastAsiaTheme="minorEastAsia" w:hAnsiTheme="minorHAnsi" w:cstheme="minorBidi"/>
                <w:b w:val="0"/>
                <w:noProof/>
                <w:sz w:val="22"/>
                <w:lang w:eastAsia="en-AU"/>
              </w:rPr>
              <w:tab/>
            </w:r>
            <w:r w:rsidRPr="00A72540">
              <w:rPr>
                <w:rStyle w:val="Hyperlink"/>
                <w:noProof/>
              </w:rPr>
              <w:t>Clinical questions</w:t>
            </w:r>
            <w:r>
              <w:rPr>
                <w:noProof/>
                <w:webHidden/>
              </w:rPr>
              <w:tab/>
            </w:r>
            <w:r>
              <w:rPr>
                <w:noProof/>
                <w:webHidden/>
              </w:rPr>
              <w:fldChar w:fldCharType="begin"/>
            </w:r>
            <w:r>
              <w:rPr>
                <w:noProof/>
                <w:webHidden/>
              </w:rPr>
              <w:instrText xml:space="preserve"> PAGEREF _Toc505179710 \h </w:instrText>
            </w:r>
            <w:r>
              <w:rPr>
                <w:noProof/>
                <w:webHidden/>
              </w:rPr>
            </w:r>
            <w:r>
              <w:rPr>
                <w:noProof/>
                <w:webHidden/>
              </w:rPr>
              <w:fldChar w:fldCharType="separate"/>
            </w:r>
            <w:r>
              <w:rPr>
                <w:noProof/>
                <w:webHidden/>
              </w:rPr>
              <w:t>67</w:t>
            </w:r>
            <w:r>
              <w:rPr>
                <w:noProof/>
                <w:webHidden/>
              </w:rPr>
              <w:fldChar w:fldCharType="end"/>
            </w:r>
          </w:hyperlink>
        </w:p>
        <w:p w14:paraId="19CA6146"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11" w:history="1">
            <w:r w:rsidRPr="00A72540">
              <w:rPr>
                <w:rStyle w:val="Hyperlink"/>
                <w:noProof/>
              </w:rPr>
              <w:t>11.1.</w:t>
            </w:r>
            <w:r>
              <w:rPr>
                <w:rFonts w:asciiTheme="minorHAnsi" w:eastAsiaTheme="minorEastAsia" w:hAnsiTheme="minorHAnsi" w:cstheme="minorBidi"/>
                <w:noProof/>
                <w:lang w:eastAsia="en-AU"/>
              </w:rPr>
              <w:tab/>
            </w:r>
            <w:r w:rsidRPr="00A72540">
              <w:rPr>
                <w:rStyle w:val="Hyperlink"/>
                <w:noProof/>
              </w:rPr>
              <w:t>Pharmacokinetics</w:t>
            </w:r>
            <w:r>
              <w:rPr>
                <w:noProof/>
                <w:webHidden/>
              </w:rPr>
              <w:tab/>
            </w:r>
            <w:r>
              <w:rPr>
                <w:noProof/>
                <w:webHidden/>
              </w:rPr>
              <w:fldChar w:fldCharType="begin"/>
            </w:r>
            <w:r>
              <w:rPr>
                <w:noProof/>
                <w:webHidden/>
              </w:rPr>
              <w:instrText xml:space="preserve"> PAGEREF _Toc505179711 \h </w:instrText>
            </w:r>
            <w:r>
              <w:rPr>
                <w:noProof/>
                <w:webHidden/>
              </w:rPr>
            </w:r>
            <w:r>
              <w:rPr>
                <w:noProof/>
                <w:webHidden/>
              </w:rPr>
              <w:fldChar w:fldCharType="separate"/>
            </w:r>
            <w:r>
              <w:rPr>
                <w:noProof/>
                <w:webHidden/>
              </w:rPr>
              <w:t>67</w:t>
            </w:r>
            <w:r>
              <w:rPr>
                <w:noProof/>
                <w:webHidden/>
              </w:rPr>
              <w:fldChar w:fldCharType="end"/>
            </w:r>
          </w:hyperlink>
        </w:p>
        <w:p w14:paraId="04027913"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12" w:history="1">
            <w:r w:rsidRPr="00A72540">
              <w:rPr>
                <w:rStyle w:val="Hyperlink"/>
                <w:noProof/>
              </w:rPr>
              <w:t>11.2.</w:t>
            </w:r>
            <w:r>
              <w:rPr>
                <w:rFonts w:asciiTheme="minorHAnsi" w:eastAsiaTheme="minorEastAsia" w:hAnsiTheme="minorHAnsi" w:cstheme="minorBidi"/>
                <w:noProof/>
                <w:lang w:eastAsia="en-AU"/>
              </w:rPr>
              <w:tab/>
            </w:r>
            <w:r w:rsidRPr="00A72540">
              <w:rPr>
                <w:rStyle w:val="Hyperlink"/>
                <w:noProof/>
              </w:rPr>
              <w:t>Pharmacodynamics</w:t>
            </w:r>
            <w:r>
              <w:rPr>
                <w:noProof/>
                <w:webHidden/>
              </w:rPr>
              <w:tab/>
            </w:r>
            <w:r>
              <w:rPr>
                <w:noProof/>
                <w:webHidden/>
              </w:rPr>
              <w:fldChar w:fldCharType="begin"/>
            </w:r>
            <w:r>
              <w:rPr>
                <w:noProof/>
                <w:webHidden/>
              </w:rPr>
              <w:instrText xml:space="preserve"> PAGEREF _Toc505179712 \h </w:instrText>
            </w:r>
            <w:r>
              <w:rPr>
                <w:noProof/>
                <w:webHidden/>
              </w:rPr>
            </w:r>
            <w:r>
              <w:rPr>
                <w:noProof/>
                <w:webHidden/>
              </w:rPr>
              <w:fldChar w:fldCharType="separate"/>
            </w:r>
            <w:r>
              <w:rPr>
                <w:noProof/>
                <w:webHidden/>
              </w:rPr>
              <w:t>67</w:t>
            </w:r>
            <w:r>
              <w:rPr>
                <w:noProof/>
                <w:webHidden/>
              </w:rPr>
              <w:fldChar w:fldCharType="end"/>
            </w:r>
          </w:hyperlink>
        </w:p>
        <w:p w14:paraId="6DEB7BAE"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13" w:history="1">
            <w:r w:rsidRPr="00A72540">
              <w:rPr>
                <w:rStyle w:val="Hyperlink"/>
                <w:noProof/>
              </w:rPr>
              <w:t>11.3.</w:t>
            </w:r>
            <w:r>
              <w:rPr>
                <w:rFonts w:asciiTheme="minorHAnsi" w:eastAsiaTheme="minorEastAsia" w:hAnsiTheme="minorHAnsi" w:cstheme="minorBidi"/>
                <w:noProof/>
                <w:lang w:eastAsia="en-AU"/>
              </w:rPr>
              <w:tab/>
            </w:r>
            <w:r w:rsidRPr="00A72540">
              <w:rPr>
                <w:rStyle w:val="Hyperlink"/>
                <w:noProof/>
              </w:rPr>
              <w:t>Efficacy</w:t>
            </w:r>
            <w:r>
              <w:rPr>
                <w:noProof/>
                <w:webHidden/>
              </w:rPr>
              <w:tab/>
            </w:r>
            <w:r>
              <w:rPr>
                <w:noProof/>
                <w:webHidden/>
              </w:rPr>
              <w:fldChar w:fldCharType="begin"/>
            </w:r>
            <w:r>
              <w:rPr>
                <w:noProof/>
                <w:webHidden/>
              </w:rPr>
              <w:instrText xml:space="preserve"> PAGEREF _Toc505179713 \h </w:instrText>
            </w:r>
            <w:r>
              <w:rPr>
                <w:noProof/>
                <w:webHidden/>
              </w:rPr>
            </w:r>
            <w:r>
              <w:rPr>
                <w:noProof/>
                <w:webHidden/>
              </w:rPr>
              <w:fldChar w:fldCharType="separate"/>
            </w:r>
            <w:r>
              <w:rPr>
                <w:noProof/>
                <w:webHidden/>
              </w:rPr>
              <w:t>67</w:t>
            </w:r>
            <w:r>
              <w:rPr>
                <w:noProof/>
                <w:webHidden/>
              </w:rPr>
              <w:fldChar w:fldCharType="end"/>
            </w:r>
          </w:hyperlink>
        </w:p>
        <w:p w14:paraId="7DF4C1BC"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14" w:history="1">
            <w:r w:rsidRPr="00A72540">
              <w:rPr>
                <w:rStyle w:val="Hyperlink"/>
                <w:noProof/>
              </w:rPr>
              <w:t>11.4.</w:t>
            </w:r>
            <w:r>
              <w:rPr>
                <w:rFonts w:asciiTheme="minorHAnsi" w:eastAsiaTheme="minorEastAsia" w:hAnsiTheme="minorHAnsi" w:cstheme="minorBidi"/>
                <w:noProof/>
                <w:lang w:eastAsia="en-AU"/>
              </w:rPr>
              <w:tab/>
            </w:r>
            <w:r w:rsidRPr="00A72540">
              <w:rPr>
                <w:rStyle w:val="Hyperlink"/>
                <w:noProof/>
              </w:rPr>
              <w:t>Safety</w:t>
            </w:r>
            <w:r>
              <w:rPr>
                <w:noProof/>
                <w:webHidden/>
              </w:rPr>
              <w:tab/>
            </w:r>
            <w:r>
              <w:rPr>
                <w:noProof/>
                <w:webHidden/>
              </w:rPr>
              <w:fldChar w:fldCharType="begin"/>
            </w:r>
            <w:r>
              <w:rPr>
                <w:noProof/>
                <w:webHidden/>
              </w:rPr>
              <w:instrText xml:space="preserve"> PAGEREF _Toc505179714 \h </w:instrText>
            </w:r>
            <w:r>
              <w:rPr>
                <w:noProof/>
                <w:webHidden/>
              </w:rPr>
            </w:r>
            <w:r>
              <w:rPr>
                <w:noProof/>
                <w:webHidden/>
              </w:rPr>
              <w:fldChar w:fldCharType="separate"/>
            </w:r>
            <w:r>
              <w:rPr>
                <w:noProof/>
                <w:webHidden/>
              </w:rPr>
              <w:t>67</w:t>
            </w:r>
            <w:r>
              <w:rPr>
                <w:noProof/>
                <w:webHidden/>
              </w:rPr>
              <w:fldChar w:fldCharType="end"/>
            </w:r>
          </w:hyperlink>
        </w:p>
        <w:p w14:paraId="31B94F58" w14:textId="77777777" w:rsidR="002E66C8" w:rsidRDefault="002E66C8">
          <w:pPr>
            <w:pStyle w:val="TOC2"/>
            <w:tabs>
              <w:tab w:val="left" w:pos="1320"/>
            </w:tabs>
            <w:rPr>
              <w:rFonts w:asciiTheme="minorHAnsi" w:eastAsiaTheme="minorEastAsia" w:hAnsiTheme="minorHAnsi" w:cstheme="minorBidi"/>
              <w:b w:val="0"/>
              <w:noProof/>
              <w:sz w:val="22"/>
              <w:lang w:eastAsia="en-AU"/>
            </w:rPr>
          </w:pPr>
          <w:hyperlink w:anchor="_Toc505179715" w:history="1">
            <w:r w:rsidRPr="00A72540">
              <w:rPr>
                <w:rStyle w:val="Hyperlink"/>
                <w:noProof/>
              </w:rPr>
              <w:t>12.</w:t>
            </w:r>
            <w:r>
              <w:rPr>
                <w:rFonts w:asciiTheme="minorHAnsi" w:eastAsiaTheme="minorEastAsia" w:hAnsiTheme="minorHAnsi" w:cstheme="minorBidi"/>
                <w:b w:val="0"/>
                <w:noProof/>
                <w:sz w:val="22"/>
                <w:lang w:eastAsia="en-AU"/>
              </w:rPr>
              <w:tab/>
            </w:r>
            <w:r w:rsidRPr="00A72540">
              <w:rPr>
                <w:rStyle w:val="Hyperlink"/>
                <w:noProof/>
              </w:rPr>
              <w:t>Second round evaluation</w:t>
            </w:r>
            <w:r>
              <w:rPr>
                <w:noProof/>
                <w:webHidden/>
              </w:rPr>
              <w:tab/>
            </w:r>
            <w:r>
              <w:rPr>
                <w:noProof/>
                <w:webHidden/>
              </w:rPr>
              <w:fldChar w:fldCharType="begin"/>
            </w:r>
            <w:r>
              <w:rPr>
                <w:noProof/>
                <w:webHidden/>
              </w:rPr>
              <w:instrText xml:space="preserve"> PAGEREF _Toc505179715 \h </w:instrText>
            </w:r>
            <w:r>
              <w:rPr>
                <w:noProof/>
                <w:webHidden/>
              </w:rPr>
            </w:r>
            <w:r>
              <w:rPr>
                <w:noProof/>
                <w:webHidden/>
              </w:rPr>
              <w:fldChar w:fldCharType="separate"/>
            </w:r>
            <w:r>
              <w:rPr>
                <w:noProof/>
                <w:webHidden/>
              </w:rPr>
              <w:t>68</w:t>
            </w:r>
            <w:r>
              <w:rPr>
                <w:noProof/>
                <w:webHidden/>
              </w:rPr>
              <w:fldChar w:fldCharType="end"/>
            </w:r>
          </w:hyperlink>
        </w:p>
        <w:p w14:paraId="2D25BB29"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16" w:history="1">
            <w:r w:rsidRPr="00A72540">
              <w:rPr>
                <w:rStyle w:val="Hyperlink"/>
                <w:noProof/>
              </w:rPr>
              <w:t>12.1.</w:t>
            </w:r>
            <w:r>
              <w:rPr>
                <w:rFonts w:asciiTheme="minorHAnsi" w:eastAsiaTheme="minorEastAsia" w:hAnsiTheme="minorHAnsi" w:cstheme="minorBidi"/>
                <w:noProof/>
                <w:lang w:eastAsia="en-AU"/>
              </w:rPr>
              <w:tab/>
            </w:r>
            <w:r w:rsidRPr="00A72540">
              <w:rPr>
                <w:rStyle w:val="Hyperlink"/>
                <w:noProof/>
              </w:rPr>
              <w:t>Clinical questions</w:t>
            </w:r>
            <w:r>
              <w:rPr>
                <w:noProof/>
                <w:webHidden/>
              </w:rPr>
              <w:tab/>
            </w:r>
            <w:r>
              <w:rPr>
                <w:noProof/>
                <w:webHidden/>
              </w:rPr>
              <w:fldChar w:fldCharType="begin"/>
            </w:r>
            <w:r>
              <w:rPr>
                <w:noProof/>
                <w:webHidden/>
              </w:rPr>
              <w:instrText xml:space="preserve"> PAGEREF _Toc505179716 \h </w:instrText>
            </w:r>
            <w:r>
              <w:rPr>
                <w:noProof/>
                <w:webHidden/>
              </w:rPr>
            </w:r>
            <w:r>
              <w:rPr>
                <w:noProof/>
                <w:webHidden/>
              </w:rPr>
              <w:fldChar w:fldCharType="separate"/>
            </w:r>
            <w:r>
              <w:rPr>
                <w:noProof/>
                <w:webHidden/>
              </w:rPr>
              <w:t>68</w:t>
            </w:r>
            <w:r>
              <w:rPr>
                <w:noProof/>
                <w:webHidden/>
              </w:rPr>
              <w:fldChar w:fldCharType="end"/>
            </w:r>
          </w:hyperlink>
        </w:p>
        <w:p w14:paraId="1B89E5B8" w14:textId="77777777" w:rsidR="002E66C8" w:rsidRDefault="002E66C8">
          <w:pPr>
            <w:pStyle w:val="TOC2"/>
            <w:tabs>
              <w:tab w:val="left" w:pos="1320"/>
            </w:tabs>
            <w:rPr>
              <w:rFonts w:asciiTheme="minorHAnsi" w:eastAsiaTheme="minorEastAsia" w:hAnsiTheme="minorHAnsi" w:cstheme="minorBidi"/>
              <w:b w:val="0"/>
              <w:noProof/>
              <w:sz w:val="22"/>
              <w:lang w:eastAsia="en-AU"/>
            </w:rPr>
          </w:pPr>
          <w:hyperlink w:anchor="_Toc505179717" w:history="1">
            <w:r w:rsidRPr="00A72540">
              <w:rPr>
                <w:rStyle w:val="Hyperlink"/>
                <w:noProof/>
              </w:rPr>
              <w:t>13.</w:t>
            </w:r>
            <w:r>
              <w:rPr>
                <w:rFonts w:asciiTheme="minorHAnsi" w:eastAsiaTheme="minorEastAsia" w:hAnsiTheme="minorHAnsi" w:cstheme="minorBidi"/>
                <w:b w:val="0"/>
                <w:noProof/>
                <w:sz w:val="22"/>
                <w:lang w:eastAsia="en-AU"/>
              </w:rPr>
              <w:tab/>
            </w:r>
            <w:r w:rsidRPr="00A72540">
              <w:rPr>
                <w:rStyle w:val="Hyperlink"/>
                <w:noProof/>
              </w:rPr>
              <w:t>Second round benefit-risk assessment</w:t>
            </w:r>
            <w:r>
              <w:rPr>
                <w:noProof/>
                <w:webHidden/>
              </w:rPr>
              <w:tab/>
            </w:r>
            <w:r>
              <w:rPr>
                <w:noProof/>
                <w:webHidden/>
              </w:rPr>
              <w:fldChar w:fldCharType="begin"/>
            </w:r>
            <w:r>
              <w:rPr>
                <w:noProof/>
                <w:webHidden/>
              </w:rPr>
              <w:instrText xml:space="preserve"> PAGEREF _Toc505179717 \h </w:instrText>
            </w:r>
            <w:r>
              <w:rPr>
                <w:noProof/>
                <w:webHidden/>
              </w:rPr>
            </w:r>
            <w:r>
              <w:rPr>
                <w:noProof/>
                <w:webHidden/>
              </w:rPr>
              <w:fldChar w:fldCharType="separate"/>
            </w:r>
            <w:r>
              <w:rPr>
                <w:noProof/>
                <w:webHidden/>
              </w:rPr>
              <w:t>80</w:t>
            </w:r>
            <w:r>
              <w:rPr>
                <w:noProof/>
                <w:webHidden/>
              </w:rPr>
              <w:fldChar w:fldCharType="end"/>
            </w:r>
          </w:hyperlink>
        </w:p>
        <w:p w14:paraId="143E84CF"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18" w:history="1">
            <w:r w:rsidRPr="00A72540">
              <w:rPr>
                <w:rStyle w:val="Hyperlink"/>
                <w:noProof/>
              </w:rPr>
              <w:t>13.1.</w:t>
            </w:r>
            <w:r>
              <w:rPr>
                <w:rFonts w:asciiTheme="minorHAnsi" w:eastAsiaTheme="minorEastAsia" w:hAnsiTheme="minorHAnsi" w:cstheme="minorBidi"/>
                <w:noProof/>
                <w:lang w:eastAsia="en-AU"/>
              </w:rPr>
              <w:tab/>
            </w:r>
            <w:r w:rsidRPr="00A72540">
              <w:rPr>
                <w:rStyle w:val="Hyperlink"/>
                <w:noProof/>
              </w:rPr>
              <w:t>Second round assessment of benefits</w:t>
            </w:r>
            <w:r>
              <w:rPr>
                <w:noProof/>
                <w:webHidden/>
              </w:rPr>
              <w:tab/>
            </w:r>
            <w:r>
              <w:rPr>
                <w:noProof/>
                <w:webHidden/>
              </w:rPr>
              <w:fldChar w:fldCharType="begin"/>
            </w:r>
            <w:r>
              <w:rPr>
                <w:noProof/>
                <w:webHidden/>
              </w:rPr>
              <w:instrText xml:space="preserve"> PAGEREF _Toc505179718 \h </w:instrText>
            </w:r>
            <w:r>
              <w:rPr>
                <w:noProof/>
                <w:webHidden/>
              </w:rPr>
            </w:r>
            <w:r>
              <w:rPr>
                <w:noProof/>
                <w:webHidden/>
              </w:rPr>
              <w:fldChar w:fldCharType="separate"/>
            </w:r>
            <w:r>
              <w:rPr>
                <w:noProof/>
                <w:webHidden/>
              </w:rPr>
              <w:t>80</w:t>
            </w:r>
            <w:r>
              <w:rPr>
                <w:noProof/>
                <w:webHidden/>
              </w:rPr>
              <w:fldChar w:fldCharType="end"/>
            </w:r>
          </w:hyperlink>
        </w:p>
        <w:p w14:paraId="3D79BF2F"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19" w:history="1">
            <w:r w:rsidRPr="00A72540">
              <w:rPr>
                <w:rStyle w:val="Hyperlink"/>
                <w:noProof/>
              </w:rPr>
              <w:t>13.2.</w:t>
            </w:r>
            <w:r>
              <w:rPr>
                <w:rFonts w:asciiTheme="minorHAnsi" w:eastAsiaTheme="minorEastAsia" w:hAnsiTheme="minorHAnsi" w:cstheme="minorBidi"/>
                <w:noProof/>
                <w:lang w:eastAsia="en-AU"/>
              </w:rPr>
              <w:tab/>
            </w:r>
            <w:r w:rsidRPr="00A72540">
              <w:rPr>
                <w:rStyle w:val="Hyperlink"/>
                <w:noProof/>
              </w:rPr>
              <w:t>Second round assessment of risks</w:t>
            </w:r>
            <w:r>
              <w:rPr>
                <w:noProof/>
                <w:webHidden/>
              </w:rPr>
              <w:tab/>
            </w:r>
            <w:r>
              <w:rPr>
                <w:noProof/>
                <w:webHidden/>
              </w:rPr>
              <w:fldChar w:fldCharType="begin"/>
            </w:r>
            <w:r>
              <w:rPr>
                <w:noProof/>
                <w:webHidden/>
              </w:rPr>
              <w:instrText xml:space="preserve"> PAGEREF _Toc505179719 \h </w:instrText>
            </w:r>
            <w:r>
              <w:rPr>
                <w:noProof/>
                <w:webHidden/>
              </w:rPr>
            </w:r>
            <w:r>
              <w:rPr>
                <w:noProof/>
                <w:webHidden/>
              </w:rPr>
              <w:fldChar w:fldCharType="separate"/>
            </w:r>
            <w:r>
              <w:rPr>
                <w:noProof/>
                <w:webHidden/>
              </w:rPr>
              <w:t>80</w:t>
            </w:r>
            <w:r>
              <w:rPr>
                <w:noProof/>
                <w:webHidden/>
              </w:rPr>
              <w:fldChar w:fldCharType="end"/>
            </w:r>
          </w:hyperlink>
        </w:p>
        <w:p w14:paraId="02A83A94" w14:textId="77777777" w:rsidR="002E66C8" w:rsidRDefault="002E66C8">
          <w:pPr>
            <w:pStyle w:val="TOC3"/>
            <w:tabs>
              <w:tab w:val="left" w:pos="1760"/>
            </w:tabs>
            <w:rPr>
              <w:rFonts w:asciiTheme="minorHAnsi" w:eastAsiaTheme="minorEastAsia" w:hAnsiTheme="minorHAnsi" w:cstheme="minorBidi"/>
              <w:noProof/>
              <w:lang w:eastAsia="en-AU"/>
            </w:rPr>
          </w:pPr>
          <w:hyperlink w:anchor="_Toc505179720" w:history="1">
            <w:r w:rsidRPr="00A72540">
              <w:rPr>
                <w:rStyle w:val="Hyperlink"/>
                <w:noProof/>
              </w:rPr>
              <w:t>13.3.</w:t>
            </w:r>
            <w:r>
              <w:rPr>
                <w:rFonts w:asciiTheme="minorHAnsi" w:eastAsiaTheme="minorEastAsia" w:hAnsiTheme="minorHAnsi" w:cstheme="minorBidi"/>
                <w:noProof/>
                <w:lang w:eastAsia="en-AU"/>
              </w:rPr>
              <w:tab/>
            </w:r>
            <w:r w:rsidRPr="00A72540">
              <w:rPr>
                <w:rStyle w:val="Hyperlink"/>
                <w:noProof/>
              </w:rPr>
              <w:t>Second round assessment of benefit-risk balance</w:t>
            </w:r>
            <w:r>
              <w:rPr>
                <w:noProof/>
                <w:webHidden/>
              </w:rPr>
              <w:tab/>
            </w:r>
            <w:r>
              <w:rPr>
                <w:noProof/>
                <w:webHidden/>
              </w:rPr>
              <w:fldChar w:fldCharType="begin"/>
            </w:r>
            <w:r>
              <w:rPr>
                <w:noProof/>
                <w:webHidden/>
              </w:rPr>
              <w:instrText xml:space="preserve"> PAGEREF _Toc505179720 \h </w:instrText>
            </w:r>
            <w:r>
              <w:rPr>
                <w:noProof/>
                <w:webHidden/>
              </w:rPr>
            </w:r>
            <w:r>
              <w:rPr>
                <w:noProof/>
                <w:webHidden/>
              </w:rPr>
              <w:fldChar w:fldCharType="separate"/>
            </w:r>
            <w:r>
              <w:rPr>
                <w:noProof/>
                <w:webHidden/>
              </w:rPr>
              <w:t>80</w:t>
            </w:r>
            <w:r>
              <w:rPr>
                <w:noProof/>
                <w:webHidden/>
              </w:rPr>
              <w:fldChar w:fldCharType="end"/>
            </w:r>
          </w:hyperlink>
        </w:p>
        <w:p w14:paraId="0ADC04B4" w14:textId="77777777" w:rsidR="002E66C8" w:rsidRDefault="002E66C8">
          <w:pPr>
            <w:pStyle w:val="TOC2"/>
            <w:tabs>
              <w:tab w:val="left" w:pos="1320"/>
            </w:tabs>
            <w:rPr>
              <w:rFonts w:asciiTheme="minorHAnsi" w:eastAsiaTheme="minorEastAsia" w:hAnsiTheme="minorHAnsi" w:cstheme="minorBidi"/>
              <w:b w:val="0"/>
              <w:noProof/>
              <w:sz w:val="22"/>
              <w:lang w:eastAsia="en-AU"/>
            </w:rPr>
          </w:pPr>
          <w:hyperlink w:anchor="_Toc505179721" w:history="1">
            <w:r w:rsidRPr="00A72540">
              <w:rPr>
                <w:rStyle w:val="Hyperlink"/>
                <w:noProof/>
              </w:rPr>
              <w:t>14.</w:t>
            </w:r>
            <w:r>
              <w:rPr>
                <w:rFonts w:asciiTheme="minorHAnsi" w:eastAsiaTheme="minorEastAsia" w:hAnsiTheme="minorHAnsi" w:cstheme="minorBidi"/>
                <w:b w:val="0"/>
                <w:noProof/>
                <w:sz w:val="22"/>
                <w:lang w:eastAsia="en-AU"/>
              </w:rPr>
              <w:tab/>
            </w:r>
            <w:r w:rsidRPr="00A72540">
              <w:rPr>
                <w:rStyle w:val="Hyperlink"/>
                <w:noProof/>
              </w:rPr>
              <w:t>Second round recommendation regarding authorisation</w:t>
            </w:r>
            <w:r>
              <w:rPr>
                <w:noProof/>
                <w:webHidden/>
              </w:rPr>
              <w:tab/>
            </w:r>
            <w:r>
              <w:rPr>
                <w:noProof/>
                <w:webHidden/>
              </w:rPr>
              <w:fldChar w:fldCharType="begin"/>
            </w:r>
            <w:r>
              <w:rPr>
                <w:noProof/>
                <w:webHidden/>
              </w:rPr>
              <w:instrText xml:space="preserve"> PAGEREF _Toc505179721 \h </w:instrText>
            </w:r>
            <w:r>
              <w:rPr>
                <w:noProof/>
                <w:webHidden/>
              </w:rPr>
            </w:r>
            <w:r>
              <w:rPr>
                <w:noProof/>
                <w:webHidden/>
              </w:rPr>
              <w:fldChar w:fldCharType="separate"/>
            </w:r>
            <w:r>
              <w:rPr>
                <w:noProof/>
                <w:webHidden/>
              </w:rPr>
              <w:t>80</w:t>
            </w:r>
            <w:r>
              <w:rPr>
                <w:noProof/>
                <w:webHidden/>
              </w:rPr>
              <w:fldChar w:fldCharType="end"/>
            </w:r>
          </w:hyperlink>
        </w:p>
        <w:p w14:paraId="35AD2511" w14:textId="77777777" w:rsidR="002E66C8" w:rsidRDefault="002E66C8">
          <w:pPr>
            <w:pStyle w:val="TOC2"/>
            <w:tabs>
              <w:tab w:val="left" w:pos="1320"/>
            </w:tabs>
            <w:rPr>
              <w:rFonts w:asciiTheme="minorHAnsi" w:eastAsiaTheme="minorEastAsia" w:hAnsiTheme="minorHAnsi" w:cstheme="minorBidi"/>
              <w:b w:val="0"/>
              <w:noProof/>
              <w:sz w:val="22"/>
              <w:lang w:eastAsia="en-AU"/>
            </w:rPr>
          </w:pPr>
          <w:hyperlink w:anchor="_Toc505179722" w:history="1">
            <w:r w:rsidRPr="00A72540">
              <w:rPr>
                <w:rStyle w:val="Hyperlink"/>
                <w:noProof/>
              </w:rPr>
              <w:t>15.</w:t>
            </w:r>
            <w:r>
              <w:rPr>
                <w:rFonts w:asciiTheme="minorHAnsi" w:eastAsiaTheme="minorEastAsia" w:hAnsiTheme="minorHAnsi" w:cstheme="minorBidi"/>
                <w:b w:val="0"/>
                <w:noProof/>
                <w:sz w:val="22"/>
                <w:lang w:eastAsia="en-AU"/>
              </w:rPr>
              <w:tab/>
            </w:r>
            <w:r w:rsidRPr="00A72540">
              <w:rPr>
                <w:rStyle w:val="Hyperlink"/>
                <w:noProof/>
              </w:rPr>
              <w:t>References</w:t>
            </w:r>
            <w:r>
              <w:rPr>
                <w:noProof/>
                <w:webHidden/>
              </w:rPr>
              <w:tab/>
            </w:r>
            <w:r>
              <w:rPr>
                <w:noProof/>
                <w:webHidden/>
              </w:rPr>
              <w:fldChar w:fldCharType="begin"/>
            </w:r>
            <w:r>
              <w:rPr>
                <w:noProof/>
                <w:webHidden/>
              </w:rPr>
              <w:instrText xml:space="preserve"> PAGEREF _Toc505179722 \h </w:instrText>
            </w:r>
            <w:r>
              <w:rPr>
                <w:noProof/>
                <w:webHidden/>
              </w:rPr>
            </w:r>
            <w:r>
              <w:rPr>
                <w:noProof/>
                <w:webHidden/>
              </w:rPr>
              <w:fldChar w:fldCharType="separate"/>
            </w:r>
            <w:r>
              <w:rPr>
                <w:noProof/>
                <w:webHidden/>
              </w:rPr>
              <w:t>80</w:t>
            </w:r>
            <w:r>
              <w:rPr>
                <w:noProof/>
                <w:webHidden/>
              </w:rPr>
              <w:fldChar w:fldCharType="end"/>
            </w:r>
          </w:hyperlink>
        </w:p>
        <w:p w14:paraId="50F79057" w14:textId="77777777" w:rsidR="003A7F6C" w:rsidRPr="00B811C6" w:rsidRDefault="004F4AF5" w:rsidP="00B811C6">
          <w:pPr>
            <w:pStyle w:val="TOC2"/>
          </w:pPr>
          <w:r>
            <w:fldChar w:fldCharType="end"/>
          </w:r>
        </w:p>
      </w:sdtContent>
    </w:sdt>
    <w:bookmarkStart w:id="3" w:name="_Toc314842482" w:displacedByCustomXml="prev"/>
    <w:p w14:paraId="44694A5F" w14:textId="77777777" w:rsidR="00436B89" w:rsidRDefault="00436B89">
      <w:pPr>
        <w:spacing w:before="0" w:after="200" w:line="0" w:lineRule="auto"/>
        <w:rPr>
          <w:rFonts w:ascii="Arial" w:eastAsia="Times New Roman" w:hAnsi="Arial"/>
          <w:b/>
          <w:bCs/>
          <w:sz w:val="32"/>
          <w:szCs w:val="26"/>
          <w:lang w:eastAsia="ja-JP"/>
        </w:rPr>
      </w:pPr>
      <w:bookmarkStart w:id="4" w:name="_Toc473013859"/>
      <w:bookmarkEnd w:id="3"/>
      <w:bookmarkEnd w:id="2"/>
      <w:bookmarkEnd w:id="1"/>
      <w:r>
        <w:br w:type="page"/>
      </w:r>
    </w:p>
    <w:p w14:paraId="16570684" w14:textId="77777777" w:rsidR="00436B89" w:rsidRPr="00A613A8" w:rsidRDefault="00436B89" w:rsidP="00436B89">
      <w:pPr>
        <w:pStyle w:val="Heading2"/>
        <w:numPr>
          <w:ilvl w:val="0"/>
          <w:numId w:val="0"/>
        </w:numPr>
      </w:pPr>
      <w:bookmarkStart w:id="5" w:name="_Toc505179662"/>
      <w:r w:rsidRPr="00A613A8">
        <w:lastRenderedPageBreak/>
        <w:t xml:space="preserve">List of </w:t>
      </w:r>
      <w:r>
        <w:t xml:space="preserve">common </w:t>
      </w:r>
      <w:r w:rsidRPr="00A613A8">
        <w:t>abbreviations</w:t>
      </w:r>
      <w:bookmarkEnd w:id="4"/>
      <w:bookmarkEnd w:id="5"/>
    </w:p>
    <w:tbl>
      <w:tblPr>
        <w:tblStyle w:val="TableTGAblue"/>
        <w:tblW w:w="0" w:type="auto"/>
        <w:tblLook w:val="04A0" w:firstRow="1" w:lastRow="0" w:firstColumn="1" w:lastColumn="0" w:noHBand="0" w:noVBand="1"/>
      </w:tblPr>
      <w:tblGrid>
        <w:gridCol w:w="1890"/>
        <w:gridCol w:w="6911"/>
      </w:tblGrid>
      <w:tr w:rsidR="00436B89" w:rsidRPr="00A613A8" w14:paraId="116B9BAF" w14:textId="77777777" w:rsidTr="00D34F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3A1ADED" w14:textId="77777777" w:rsidR="00436B89" w:rsidRPr="00A613A8" w:rsidRDefault="00436B89" w:rsidP="00D34F8E">
            <w:pPr>
              <w:rPr>
                <w:b w:val="0"/>
              </w:rPr>
            </w:pPr>
            <w:r w:rsidRPr="00A613A8">
              <w:t>Abbreviation</w:t>
            </w:r>
          </w:p>
        </w:tc>
        <w:tc>
          <w:tcPr>
            <w:tcW w:w="6911" w:type="dxa"/>
          </w:tcPr>
          <w:p w14:paraId="0C9A2AE0" w14:textId="77777777" w:rsidR="00436B89" w:rsidRPr="00A613A8" w:rsidRDefault="00436B89" w:rsidP="00D34F8E">
            <w:pPr>
              <w:cnfStyle w:val="100000000000" w:firstRow="1" w:lastRow="0" w:firstColumn="0" w:lastColumn="0" w:oddVBand="0" w:evenVBand="0" w:oddHBand="0" w:evenHBand="0" w:firstRowFirstColumn="0" w:firstRowLastColumn="0" w:lastRowFirstColumn="0" w:lastRowLastColumn="0"/>
              <w:rPr>
                <w:b w:val="0"/>
              </w:rPr>
            </w:pPr>
            <w:r w:rsidRPr="00A613A8">
              <w:t>Meaning</w:t>
            </w:r>
          </w:p>
        </w:tc>
      </w:tr>
      <w:tr w:rsidR="00436B89" w:rsidRPr="00656ABD" w14:paraId="212E463B"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684046EA" w14:textId="77777777" w:rsidR="00436B89" w:rsidRPr="00656ABD" w:rsidRDefault="00436B89" w:rsidP="00D34F8E">
            <w:pPr>
              <w:rPr>
                <w:color w:val="000000"/>
              </w:rPr>
            </w:pPr>
            <w:r w:rsidRPr="00656ABD">
              <w:rPr>
                <w:color w:val="000000"/>
              </w:rPr>
              <w:t>°C</w:t>
            </w:r>
          </w:p>
        </w:tc>
        <w:tc>
          <w:tcPr>
            <w:tcW w:w="6911" w:type="dxa"/>
          </w:tcPr>
          <w:p w14:paraId="04ED5DA5"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degree Celsius</w:t>
            </w:r>
          </w:p>
        </w:tc>
      </w:tr>
      <w:tr w:rsidR="00436B89" w:rsidRPr="00656ABD" w14:paraId="2CAEFE7A"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0748FD42" w14:textId="77777777" w:rsidR="00436B89" w:rsidRPr="00656ABD" w:rsidRDefault="00436B89" w:rsidP="00D34F8E">
            <w:pPr>
              <w:rPr>
                <w:color w:val="000000"/>
              </w:rPr>
            </w:pPr>
            <w:r w:rsidRPr="00656ABD">
              <w:rPr>
                <w:color w:val="000000"/>
              </w:rPr>
              <w:t>AE</w:t>
            </w:r>
          </w:p>
        </w:tc>
        <w:tc>
          <w:tcPr>
            <w:tcW w:w="6911" w:type="dxa"/>
          </w:tcPr>
          <w:p w14:paraId="16288CD1"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adverse event</w:t>
            </w:r>
          </w:p>
        </w:tc>
      </w:tr>
      <w:tr w:rsidR="00436B89" w:rsidRPr="00656ABD" w14:paraId="713EA948"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50654BE9" w14:textId="77777777" w:rsidR="00436B89" w:rsidRPr="00656ABD" w:rsidRDefault="00436B89" w:rsidP="00D34F8E">
            <w:pPr>
              <w:rPr>
                <w:color w:val="000000"/>
              </w:rPr>
            </w:pPr>
            <w:r w:rsidRPr="00656ABD">
              <w:rPr>
                <w:color w:val="000000"/>
              </w:rPr>
              <w:t>ANCOVA</w:t>
            </w:r>
          </w:p>
        </w:tc>
        <w:tc>
          <w:tcPr>
            <w:tcW w:w="6911" w:type="dxa"/>
          </w:tcPr>
          <w:p w14:paraId="591E0F52"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analysis of covariance</w:t>
            </w:r>
          </w:p>
        </w:tc>
      </w:tr>
      <w:tr w:rsidR="00436B89" w:rsidRPr="00656ABD" w14:paraId="5A03D71A"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0BF12FF6" w14:textId="77777777" w:rsidR="00436B89" w:rsidRPr="00656ABD" w:rsidRDefault="00436B89" w:rsidP="00D34F8E">
            <w:pPr>
              <w:rPr>
                <w:color w:val="000000"/>
              </w:rPr>
            </w:pPr>
            <w:r w:rsidRPr="00656ABD">
              <w:rPr>
                <w:color w:val="000000"/>
              </w:rPr>
              <w:t>ANOVA</w:t>
            </w:r>
          </w:p>
        </w:tc>
        <w:tc>
          <w:tcPr>
            <w:tcW w:w="6911" w:type="dxa"/>
          </w:tcPr>
          <w:p w14:paraId="3EC9AD22"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analysis of variance</w:t>
            </w:r>
          </w:p>
        </w:tc>
      </w:tr>
      <w:tr w:rsidR="00436B89" w:rsidRPr="00656ABD" w14:paraId="60C74BCC"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605FF3E8" w14:textId="77777777" w:rsidR="00436B89" w:rsidRPr="00656ABD" w:rsidRDefault="00436B89" w:rsidP="00D34F8E">
            <w:pPr>
              <w:rPr>
                <w:color w:val="000000"/>
              </w:rPr>
            </w:pPr>
            <w:r w:rsidRPr="00656ABD">
              <w:rPr>
                <w:color w:val="000000"/>
              </w:rPr>
              <w:t>ARRB</w:t>
            </w:r>
          </w:p>
        </w:tc>
        <w:tc>
          <w:tcPr>
            <w:tcW w:w="6911" w:type="dxa"/>
          </w:tcPr>
          <w:p w14:paraId="5C1D07F6"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Allergic Reaction Review Board</w:t>
            </w:r>
          </w:p>
        </w:tc>
      </w:tr>
      <w:tr w:rsidR="00436B89" w:rsidRPr="00656ABD" w14:paraId="19A20898"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58B3AC5F" w14:textId="77777777" w:rsidR="00436B89" w:rsidRPr="00656ABD" w:rsidRDefault="00436B89" w:rsidP="00D34F8E">
            <w:pPr>
              <w:rPr>
                <w:color w:val="000000"/>
              </w:rPr>
            </w:pPr>
            <w:r w:rsidRPr="00656ABD">
              <w:rPr>
                <w:color w:val="000000"/>
              </w:rPr>
              <w:t>ASL</w:t>
            </w:r>
          </w:p>
        </w:tc>
        <w:tc>
          <w:tcPr>
            <w:tcW w:w="6911" w:type="dxa"/>
          </w:tcPr>
          <w:p w14:paraId="7FE89B7D"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 xml:space="preserve">argininosuccinate lyase </w:t>
            </w:r>
          </w:p>
        </w:tc>
      </w:tr>
      <w:tr w:rsidR="00436B89" w:rsidRPr="00656ABD" w14:paraId="30FCA358"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8305E32" w14:textId="77777777" w:rsidR="00436B89" w:rsidRPr="00656ABD" w:rsidRDefault="00436B89" w:rsidP="00D34F8E">
            <w:pPr>
              <w:rPr>
                <w:color w:val="000000"/>
              </w:rPr>
            </w:pPr>
            <w:r w:rsidRPr="00656ABD">
              <w:rPr>
                <w:color w:val="000000"/>
              </w:rPr>
              <w:t>ASS</w:t>
            </w:r>
          </w:p>
        </w:tc>
        <w:tc>
          <w:tcPr>
            <w:tcW w:w="6911" w:type="dxa"/>
          </w:tcPr>
          <w:p w14:paraId="729AA018"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 xml:space="preserve">argininosuccinate synthetase </w:t>
            </w:r>
          </w:p>
        </w:tc>
      </w:tr>
      <w:tr w:rsidR="00436B89" w:rsidRPr="00656ABD" w14:paraId="6E8567B3"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67132CBA" w14:textId="77777777" w:rsidR="00436B89" w:rsidRPr="00656ABD" w:rsidRDefault="00436B89" w:rsidP="00D34F8E">
            <w:pPr>
              <w:rPr>
                <w:color w:val="000000"/>
              </w:rPr>
            </w:pPr>
            <w:r w:rsidRPr="00656ABD">
              <w:rPr>
                <w:color w:val="000000"/>
              </w:rPr>
              <w:t>AUC</w:t>
            </w:r>
            <w:r w:rsidRPr="00656ABD">
              <w:rPr>
                <w:color w:val="000000"/>
                <w:vertAlign w:val="subscript"/>
              </w:rPr>
              <w:t>0-∞</w:t>
            </w:r>
          </w:p>
        </w:tc>
        <w:tc>
          <w:tcPr>
            <w:tcW w:w="6911" w:type="dxa"/>
          </w:tcPr>
          <w:p w14:paraId="65A7B987"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area under the plasma concentration-time curve from time zero to infinity</w:t>
            </w:r>
          </w:p>
        </w:tc>
      </w:tr>
      <w:tr w:rsidR="00436B89" w:rsidRPr="00656ABD" w14:paraId="3E6AEDB7"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0EE8414E" w14:textId="77777777" w:rsidR="00436B89" w:rsidRPr="00656ABD" w:rsidRDefault="00436B89" w:rsidP="00D34F8E">
            <w:pPr>
              <w:rPr>
                <w:color w:val="000000"/>
              </w:rPr>
            </w:pPr>
            <w:r w:rsidRPr="00656ABD">
              <w:rPr>
                <w:color w:val="000000"/>
              </w:rPr>
              <w:t>AUC</w:t>
            </w:r>
            <w:r w:rsidRPr="00656ABD">
              <w:rPr>
                <w:color w:val="000000"/>
                <w:vertAlign w:val="subscript"/>
              </w:rPr>
              <w:t>0-t</w:t>
            </w:r>
          </w:p>
        </w:tc>
        <w:tc>
          <w:tcPr>
            <w:tcW w:w="6911" w:type="dxa"/>
          </w:tcPr>
          <w:p w14:paraId="7F1E09CD"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area under the plasma concentration-time curve from time zero to the time of last measurable concentration</w:t>
            </w:r>
          </w:p>
        </w:tc>
      </w:tr>
      <w:tr w:rsidR="00436B89" w:rsidRPr="00656ABD" w14:paraId="74187091"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272E6338" w14:textId="77777777" w:rsidR="00436B89" w:rsidRPr="00656ABD" w:rsidRDefault="00436B89" w:rsidP="00D34F8E">
            <w:pPr>
              <w:rPr>
                <w:color w:val="000000"/>
              </w:rPr>
            </w:pPr>
            <w:r w:rsidRPr="00656ABD">
              <w:rPr>
                <w:color w:val="000000"/>
              </w:rPr>
              <w:t>BCAA</w:t>
            </w:r>
          </w:p>
        </w:tc>
        <w:tc>
          <w:tcPr>
            <w:tcW w:w="6911" w:type="dxa"/>
          </w:tcPr>
          <w:p w14:paraId="39A117BD"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 xml:space="preserve">Branched chain amino acid </w:t>
            </w:r>
          </w:p>
        </w:tc>
      </w:tr>
      <w:tr w:rsidR="00436B89" w:rsidRPr="00656ABD" w14:paraId="01CC030F"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68A372BE" w14:textId="77777777" w:rsidR="00436B89" w:rsidRPr="00656ABD" w:rsidRDefault="00436B89" w:rsidP="00D34F8E">
            <w:pPr>
              <w:rPr>
                <w:color w:val="000000"/>
              </w:rPr>
            </w:pPr>
            <w:r w:rsidRPr="00656ABD">
              <w:rPr>
                <w:color w:val="000000"/>
              </w:rPr>
              <w:t>CL</w:t>
            </w:r>
          </w:p>
        </w:tc>
        <w:tc>
          <w:tcPr>
            <w:tcW w:w="6911" w:type="dxa"/>
          </w:tcPr>
          <w:p w14:paraId="6175DDD4"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total clearance of drug after intravenous administration</w:t>
            </w:r>
          </w:p>
        </w:tc>
      </w:tr>
      <w:tr w:rsidR="00436B89" w:rsidRPr="00656ABD" w14:paraId="3702AB7A"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0A9DFF4A" w14:textId="77777777" w:rsidR="00436B89" w:rsidRPr="00656ABD" w:rsidRDefault="00436B89" w:rsidP="00D34F8E">
            <w:pPr>
              <w:rPr>
                <w:color w:val="000000"/>
              </w:rPr>
            </w:pPr>
            <w:r w:rsidRPr="00A613A8">
              <w:rPr>
                <w:lang w:eastAsia="ja-JP"/>
              </w:rPr>
              <w:t>C</w:t>
            </w:r>
            <w:r w:rsidRPr="005C3B9A">
              <w:rPr>
                <w:vertAlign w:val="subscript"/>
                <w:lang w:eastAsia="ja-JP"/>
              </w:rPr>
              <w:t>max</w:t>
            </w:r>
          </w:p>
        </w:tc>
        <w:tc>
          <w:tcPr>
            <w:tcW w:w="6911" w:type="dxa"/>
          </w:tcPr>
          <w:p w14:paraId="6A576D22"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observed maximum plasma concentration</w:t>
            </w:r>
          </w:p>
        </w:tc>
      </w:tr>
      <w:tr w:rsidR="00436B89" w:rsidRPr="00656ABD" w14:paraId="7F125136"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C7934B8" w14:textId="77777777" w:rsidR="00436B89" w:rsidRPr="00656ABD" w:rsidRDefault="00436B89" w:rsidP="00D34F8E">
            <w:pPr>
              <w:rPr>
                <w:color w:val="000000"/>
              </w:rPr>
            </w:pPr>
            <w:r w:rsidRPr="00656ABD">
              <w:rPr>
                <w:color w:val="000000"/>
              </w:rPr>
              <w:t>CNS</w:t>
            </w:r>
          </w:p>
        </w:tc>
        <w:tc>
          <w:tcPr>
            <w:tcW w:w="6911" w:type="dxa"/>
          </w:tcPr>
          <w:p w14:paraId="50E86909"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central nervous system</w:t>
            </w:r>
          </w:p>
        </w:tc>
      </w:tr>
      <w:tr w:rsidR="00436B89" w:rsidRPr="00656ABD" w14:paraId="660BC14F"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CC287BD" w14:textId="77777777" w:rsidR="00436B89" w:rsidRPr="00656ABD" w:rsidRDefault="00436B89" w:rsidP="00D34F8E">
            <w:pPr>
              <w:rPr>
                <w:color w:val="000000"/>
              </w:rPr>
            </w:pPr>
            <w:r w:rsidRPr="00656ABD">
              <w:rPr>
                <w:color w:val="000000"/>
              </w:rPr>
              <w:t>CP</w:t>
            </w:r>
          </w:p>
        </w:tc>
        <w:tc>
          <w:tcPr>
            <w:tcW w:w="6911" w:type="dxa"/>
          </w:tcPr>
          <w:p w14:paraId="4DDE5911"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 xml:space="preserve">carbamyl phosphate </w:t>
            </w:r>
          </w:p>
        </w:tc>
      </w:tr>
      <w:tr w:rsidR="00436B89" w:rsidRPr="00656ABD" w14:paraId="67D953C9"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6C03CF42" w14:textId="77777777" w:rsidR="00436B89" w:rsidRPr="00656ABD" w:rsidRDefault="00436B89" w:rsidP="00D34F8E">
            <w:pPr>
              <w:rPr>
                <w:color w:val="000000"/>
              </w:rPr>
            </w:pPr>
            <w:r w:rsidRPr="00656ABD">
              <w:rPr>
                <w:color w:val="000000"/>
              </w:rPr>
              <w:t>CPS-I</w:t>
            </w:r>
          </w:p>
        </w:tc>
        <w:tc>
          <w:tcPr>
            <w:tcW w:w="6911" w:type="dxa"/>
          </w:tcPr>
          <w:p w14:paraId="693315D4"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carbamyl phosphate synthetase I</w:t>
            </w:r>
          </w:p>
        </w:tc>
      </w:tr>
      <w:tr w:rsidR="00436B89" w:rsidRPr="00656ABD" w14:paraId="6A1AE8D0"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177023D5" w14:textId="77777777" w:rsidR="00436B89" w:rsidRPr="00656ABD" w:rsidRDefault="00436B89" w:rsidP="00D34F8E">
            <w:pPr>
              <w:rPr>
                <w:color w:val="000000"/>
              </w:rPr>
            </w:pPr>
            <w:r w:rsidRPr="00656ABD">
              <w:rPr>
                <w:color w:val="000000"/>
              </w:rPr>
              <w:t>CRA</w:t>
            </w:r>
          </w:p>
        </w:tc>
        <w:tc>
          <w:tcPr>
            <w:tcW w:w="6911" w:type="dxa"/>
          </w:tcPr>
          <w:p w14:paraId="441B65BD"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Clinical Research Associate</w:t>
            </w:r>
          </w:p>
        </w:tc>
      </w:tr>
      <w:tr w:rsidR="00436B89" w:rsidRPr="00656ABD" w14:paraId="6842DDB7"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256255A5" w14:textId="77777777" w:rsidR="00436B89" w:rsidRPr="00656ABD" w:rsidRDefault="00436B89" w:rsidP="00D34F8E">
            <w:pPr>
              <w:rPr>
                <w:color w:val="000000"/>
              </w:rPr>
            </w:pPr>
            <w:r w:rsidRPr="00656ABD">
              <w:rPr>
                <w:color w:val="000000"/>
              </w:rPr>
              <w:t>CRF</w:t>
            </w:r>
          </w:p>
        </w:tc>
        <w:tc>
          <w:tcPr>
            <w:tcW w:w="6911" w:type="dxa"/>
          </w:tcPr>
          <w:p w14:paraId="487C6BDD"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case report form</w:t>
            </w:r>
          </w:p>
        </w:tc>
      </w:tr>
      <w:tr w:rsidR="00436B89" w:rsidRPr="00656ABD" w14:paraId="09280112"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6840ACEA" w14:textId="77777777" w:rsidR="00436B89" w:rsidRPr="00656ABD" w:rsidRDefault="00436B89" w:rsidP="00D34F8E">
            <w:pPr>
              <w:rPr>
                <w:color w:val="000000"/>
              </w:rPr>
            </w:pPr>
            <w:r w:rsidRPr="00656ABD">
              <w:rPr>
                <w:color w:val="000000"/>
              </w:rPr>
              <w:t>CSR</w:t>
            </w:r>
          </w:p>
        </w:tc>
        <w:tc>
          <w:tcPr>
            <w:tcW w:w="6911" w:type="dxa"/>
          </w:tcPr>
          <w:p w14:paraId="14367B61"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Clinical Study Report</w:t>
            </w:r>
          </w:p>
        </w:tc>
      </w:tr>
      <w:tr w:rsidR="00436B89" w:rsidRPr="00656ABD" w14:paraId="3BE617F7"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5EBDD84B" w14:textId="77777777" w:rsidR="00436B89" w:rsidRPr="00656ABD" w:rsidRDefault="00436B89" w:rsidP="00D34F8E">
            <w:pPr>
              <w:rPr>
                <w:color w:val="000000"/>
              </w:rPr>
            </w:pPr>
            <w:r w:rsidRPr="00656ABD">
              <w:rPr>
                <w:color w:val="000000"/>
              </w:rPr>
              <w:t>DMC</w:t>
            </w:r>
          </w:p>
        </w:tc>
        <w:tc>
          <w:tcPr>
            <w:tcW w:w="6911" w:type="dxa"/>
          </w:tcPr>
          <w:p w14:paraId="341F9D66"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Data Monitoring Committee</w:t>
            </w:r>
          </w:p>
        </w:tc>
      </w:tr>
      <w:tr w:rsidR="00436B89" w:rsidRPr="00656ABD" w14:paraId="506AA923"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05322445" w14:textId="77777777" w:rsidR="00436B89" w:rsidRPr="00656ABD" w:rsidRDefault="00436B89" w:rsidP="00D34F8E">
            <w:pPr>
              <w:rPr>
                <w:color w:val="000000"/>
              </w:rPr>
            </w:pPr>
            <w:r w:rsidRPr="00656ABD">
              <w:rPr>
                <w:color w:val="000000"/>
              </w:rPr>
              <w:t>ECG</w:t>
            </w:r>
          </w:p>
        </w:tc>
        <w:tc>
          <w:tcPr>
            <w:tcW w:w="6911" w:type="dxa"/>
          </w:tcPr>
          <w:p w14:paraId="6FA60DC1"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electrocardiogram</w:t>
            </w:r>
          </w:p>
        </w:tc>
      </w:tr>
      <w:tr w:rsidR="00436B89" w:rsidRPr="00656ABD" w14:paraId="4BED8C4E"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26E77FA7" w14:textId="77777777" w:rsidR="00436B89" w:rsidRPr="00656ABD" w:rsidRDefault="00436B89" w:rsidP="00D34F8E">
            <w:pPr>
              <w:rPr>
                <w:color w:val="000000"/>
              </w:rPr>
            </w:pPr>
            <w:r w:rsidRPr="00656ABD">
              <w:rPr>
                <w:color w:val="000000"/>
              </w:rPr>
              <w:t>ECHO</w:t>
            </w:r>
          </w:p>
        </w:tc>
        <w:tc>
          <w:tcPr>
            <w:tcW w:w="6911" w:type="dxa"/>
          </w:tcPr>
          <w:p w14:paraId="1A18FEA4"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echocardiogram</w:t>
            </w:r>
          </w:p>
        </w:tc>
      </w:tr>
      <w:tr w:rsidR="00436B89" w:rsidRPr="00656ABD" w14:paraId="3192CAEC"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32C650C" w14:textId="77777777" w:rsidR="00436B89" w:rsidRPr="00656ABD" w:rsidRDefault="00436B89" w:rsidP="00D34F8E">
            <w:pPr>
              <w:rPr>
                <w:color w:val="000000"/>
              </w:rPr>
            </w:pPr>
            <w:r w:rsidRPr="00656ABD">
              <w:rPr>
                <w:color w:val="000000"/>
              </w:rPr>
              <w:t>FDA</w:t>
            </w:r>
          </w:p>
        </w:tc>
        <w:tc>
          <w:tcPr>
            <w:tcW w:w="6911" w:type="dxa"/>
          </w:tcPr>
          <w:p w14:paraId="092D7FF7"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Food and Drug Administration</w:t>
            </w:r>
          </w:p>
        </w:tc>
      </w:tr>
      <w:tr w:rsidR="00436B89" w:rsidRPr="00656ABD" w14:paraId="3D63FD45"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677F8F4E" w14:textId="77777777" w:rsidR="00436B89" w:rsidRPr="00656ABD" w:rsidRDefault="00436B89" w:rsidP="00D34F8E">
            <w:pPr>
              <w:rPr>
                <w:color w:val="000000"/>
              </w:rPr>
            </w:pPr>
            <w:r w:rsidRPr="00656ABD">
              <w:rPr>
                <w:color w:val="000000"/>
              </w:rPr>
              <w:t>GCP</w:t>
            </w:r>
          </w:p>
        </w:tc>
        <w:tc>
          <w:tcPr>
            <w:tcW w:w="6911" w:type="dxa"/>
          </w:tcPr>
          <w:p w14:paraId="23A99FCB"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Good Clinical Practice</w:t>
            </w:r>
          </w:p>
        </w:tc>
      </w:tr>
      <w:tr w:rsidR="00436B89" w:rsidRPr="00656ABD" w14:paraId="597547E9"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3FF827B1" w14:textId="77777777" w:rsidR="00436B89" w:rsidRPr="00656ABD" w:rsidRDefault="00436B89" w:rsidP="00D34F8E">
            <w:pPr>
              <w:rPr>
                <w:color w:val="000000"/>
              </w:rPr>
            </w:pPr>
            <w:r w:rsidRPr="00656ABD">
              <w:rPr>
                <w:color w:val="000000"/>
              </w:rPr>
              <w:lastRenderedPageBreak/>
              <w:t>GPB</w:t>
            </w:r>
          </w:p>
        </w:tc>
        <w:tc>
          <w:tcPr>
            <w:tcW w:w="6911" w:type="dxa"/>
          </w:tcPr>
          <w:p w14:paraId="2E179329"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glycerol phenylbutyrate</w:t>
            </w:r>
          </w:p>
        </w:tc>
      </w:tr>
      <w:tr w:rsidR="00436B89" w:rsidRPr="00656ABD" w14:paraId="56426793"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0354A272" w14:textId="77777777" w:rsidR="00436B89" w:rsidRPr="00656ABD" w:rsidRDefault="00436B89" w:rsidP="00D34F8E">
            <w:pPr>
              <w:rPr>
                <w:color w:val="000000"/>
              </w:rPr>
            </w:pPr>
            <w:r w:rsidRPr="00656ABD">
              <w:rPr>
                <w:color w:val="000000"/>
              </w:rPr>
              <w:t>HAQ</w:t>
            </w:r>
          </w:p>
        </w:tc>
        <w:tc>
          <w:tcPr>
            <w:tcW w:w="6911" w:type="dxa"/>
          </w:tcPr>
          <w:p w14:paraId="60E898FF"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Health Assessment Questionnaire</w:t>
            </w:r>
          </w:p>
        </w:tc>
      </w:tr>
      <w:tr w:rsidR="00436B89" w:rsidRPr="00656ABD" w14:paraId="59CCF690"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4C8C4353" w14:textId="77777777" w:rsidR="00436B89" w:rsidRPr="00656ABD" w:rsidRDefault="00436B89" w:rsidP="00D34F8E">
            <w:pPr>
              <w:rPr>
                <w:color w:val="000000"/>
              </w:rPr>
            </w:pPr>
            <w:r w:rsidRPr="00656ABD">
              <w:rPr>
                <w:color w:val="000000"/>
              </w:rPr>
              <w:t>IAR</w:t>
            </w:r>
          </w:p>
        </w:tc>
        <w:tc>
          <w:tcPr>
            <w:tcW w:w="6911" w:type="dxa"/>
          </w:tcPr>
          <w:p w14:paraId="3BFFA796"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Infusion associated reaction</w:t>
            </w:r>
          </w:p>
        </w:tc>
      </w:tr>
      <w:tr w:rsidR="00436B89" w:rsidRPr="00656ABD" w14:paraId="2BD6F88A"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271BE0AF" w14:textId="77777777" w:rsidR="00436B89" w:rsidRPr="00656ABD" w:rsidRDefault="00436B89" w:rsidP="00D34F8E">
            <w:pPr>
              <w:rPr>
                <w:color w:val="000000"/>
              </w:rPr>
            </w:pPr>
            <w:r w:rsidRPr="00656ABD">
              <w:rPr>
                <w:color w:val="000000"/>
              </w:rPr>
              <w:t>ICF</w:t>
            </w:r>
          </w:p>
        </w:tc>
        <w:tc>
          <w:tcPr>
            <w:tcW w:w="6911" w:type="dxa"/>
          </w:tcPr>
          <w:p w14:paraId="73876267"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Informed Consent Form</w:t>
            </w:r>
          </w:p>
        </w:tc>
      </w:tr>
      <w:tr w:rsidR="00436B89" w:rsidRPr="00656ABD" w14:paraId="11409F85"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10987FE" w14:textId="77777777" w:rsidR="00436B89" w:rsidRPr="00656ABD" w:rsidRDefault="00436B89" w:rsidP="00D34F8E">
            <w:pPr>
              <w:rPr>
                <w:color w:val="000000"/>
              </w:rPr>
            </w:pPr>
            <w:r w:rsidRPr="00656ABD">
              <w:rPr>
                <w:color w:val="000000"/>
              </w:rPr>
              <w:t>ICH</w:t>
            </w:r>
          </w:p>
        </w:tc>
        <w:tc>
          <w:tcPr>
            <w:tcW w:w="6911" w:type="dxa"/>
          </w:tcPr>
          <w:p w14:paraId="15B30E84"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International Conference on Harmonisation of Technical Requirements for Registration of Pharmaceuticals for Human Use</w:t>
            </w:r>
          </w:p>
        </w:tc>
      </w:tr>
      <w:tr w:rsidR="00436B89" w:rsidRPr="00656ABD" w14:paraId="0FC2E8F2"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7346251" w14:textId="77777777" w:rsidR="00436B89" w:rsidRPr="00656ABD" w:rsidRDefault="00436B89" w:rsidP="00D34F8E">
            <w:pPr>
              <w:rPr>
                <w:color w:val="000000"/>
              </w:rPr>
            </w:pPr>
            <w:r w:rsidRPr="00656ABD">
              <w:rPr>
                <w:color w:val="000000"/>
              </w:rPr>
              <w:t>ICH E6</w:t>
            </w:r>
          </w:p>
        </w:tc>
        <w:tc>
          <w:tcPr>
            <w:tcW w:w="6911" w:type="dxa"/>
          </w:tcPr>
          <w:p w14:paraId="2FACB5B0"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ICH Harmonised Tripartite Guideline: Guideline for Good Clinical Practice E6</w:t>
            </w:r>
          </w:p>
        </w:tc>
      </w:tr>
      <w:tr w:rsidR="00436B89" w:rsidRPr="00656ABD" w14:paraId="6DFA093A"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436F54BF" w14:textId="77777777" w:rsidR="00436B89" w:rsidRPr="00656ABD" w:rsidRDefault="00436B89" w:rsidP="00D34F8E">
            <w:pPr>
              <w:rPr>
                <w:color w:val="000000"/>
              </w:rPr>
            </w:pPr>
            <w:r w:rsidRPr="00656ABD">
              <w:rPr>
                <w:color w:val="000000"/>
              </w:rPr>
              <w:t>IEC</w:t>
            </w:r>
          </w:p>
        </w:tc>
        <w:tc>
          <w:tcPr>
            <w:tcW w:w="6911" w:type="dxa"/>
          </w:tcPr>
          <w:p w14:paraId="2112EC25"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Independent Ethics Committee</w:t>
            </w:r>
          </w:p>
        </w:tc>
      </w:tr>
      <w:tr w:rsidR="00436B89" w:rsidRPr="00656ABD" w14:paraId="11BA70CB"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2C40E258" w14:textId="77777777" w:rsidR="00436B89" w:rsidRPr="00656ABD" w:rsidRDefault="00436B89" w:rsidP="00D34F8E">
            <w:pPr>
              <w:rPr>
                <w:color w:val="000000"/>
              </w:rPr>
            </w:pPr>
            <w:r w:rsidRPr="00656ABD">
              <w:rPr>
                <w:color w:val="000000"/>
              </w:rPr>
              <w:t>IRB</w:t>
            </w:r>
          </w:p>
        </w:tc>
        <w:tc>
          <w:tcPr>
            <w:tcW w:w="6911" w:type="dxa"/>
          </w:tcPr>
          <w:p w14:paraId="50380F94"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Institutional Review Board</w:t>
            </w:r>
          </w:p>
        </w:tc>
      </w:tr>
      <w:tr w:rsidR="00436B89" w:rsidRPr="00656ABD" w14:paraId="004EAE12"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3885CEEC" w14:textId="77777777" w:rsidR="00436B89" w:rsidRPr="00656ABD" w:rsidRDefault="00436B89" w:rsidP="00D34F8E">
            <w:pPr>
              <w:rPr>
                <w:color w:val="000000"/>
              </w:rPr>
            </w:pPr>
            <w:r w:rsidRPr="00656ABD">
              <w:rPr>
                <w:color w:val="000000"/>
              </w:rPr>
              <w:t>ITT</w:t>
            </w:r>
          </w:p>
        </w:tc>
        <w:tc>
          <w:tcPr>
            <w:tcW w:w="6911" w:type="dxa"/>
          </w:tcPr>
          <w:p w14:paraId="00600FE6"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Intent-to-treat</w:t>
            </w:r>
          </w:p>
        </w:tc>
      </w:tr>
      <w:tr w:rsidR="00436B89" w:rsidRPr="00656ABD" w14:paraId="27B70B9C"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65788EE7" w14:textId="77777777" w:rsidR="00436B89" w:rsidRPr="00656ABD" w:rsidRDefault="00436B89" w:rsidP="00D34F8E">
            <w:pPr>
              <w:rPr>
                <w:color w:val="000000"/>
              </w:rPr>
            </w:pPr>
            <w:r w:rsidRPr="00656ABD">
              <w:rPr>
                <w:color w:val="000000"/>
              </w:rPr>
              <w:t>IV</w:t>
            </w:r>
          </w:p>
        </w:tc>
        <w:tc>
          <w:tcPr>
            <w:tcW w:w="6911" w:type="dxa"/>
          </w:tcPr>
          <w:p w14:paraId="5D0F1C21"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intravenous</w:t>
            </w:r>
          </w:p>
        </w:tc>
      </w:tr>
      <w:tr w:rsidR="00436B89" w:rsidRPr="00656ABD" w14:paraId="28CC6846"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34452F8C" w14:textId="77777777" w:rsidR="00436B89" w:rsidRPr="00656ABD" w:rsidRDefault="00436B89" w:rsidP="00D34F8E">
            <w:pPr>
              <w:rPr>
                <w:color w:val="000000"/>
              </w:rPr>
            </w:pPr>
            <w:r w:rsidRPr="00656ABD">
              <w:rPr>
                <w:color w:val="000000"/>
              </w:rPr>
              <w:t>LS</w:t>
            </w:r>
          </w:p>
        </w:tc>
        <w:tc>
          <w:tcPr>
            <w:tcW w:w="6911" w:type="dxa"/>
          </w:tcPr>
          <w:p w14:paraId="5D3DD976"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least square</w:t>
            </w:r>
          </w:p>
        </w:tc>
      </w:tr>
      <w:tr w:rsidR="00436B89" w:rsidRPr="00656ABD" w14:paraId="5497A4B9"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44C90831" w14:textId="77777777" w:rsidR="00436B89" w:rsidRPr="00656ABD" w:rsidRDefault="00436B89" w:rsidP="00D34F8E">
            <w:pPr>
              <w:rPr>
                <w:color w:val="000000"/>
              </w:rPr>
            </w:pPr>
            <w:r w:rsidRPr="00656ABD">
              <w:rPr>
                <w:color w:val="000000"/>
              </w:rPr>
              <w:t>MedDRA</w:t>
            </w:r>
          </w:p>
        </w:tc>
        <w:tc>
          <w:tcPr>
            <w:tcW w:w="6911" w:type="dxa"/>
          </w:tcPr>
          <w:p w14:paraId="6F4C1391"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Medical Dictionary for Regulatory Activities</w:t>
            </w:r>
          </w:p>
        </w:tc>
      </w:tr>
      <w:tr w:rsidR="00436B89" w:rsidRPr="00656ABD" w14:paraId="57A87E97"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58974192" w14:textId="77777777" w:rsidR="00436B89" w:rsidRPr="00656ABD" w:rsidRDefault="00436B89" w:rsidP="00D34F8E">
            <w:pPr>
              <w:rPr>
                <w:color w:val="000000"/>
              </w:rPr>
            </w:pPr>
            <w:r w:rsidRPr="00656ABD">
              <w:rPr>
                <w:color w:val="000000"/>
              </w:rPr>
              <w:t>NAGS</w:t>
            </w:r>
          </w:p>
        </w:tc>
        <w:tc>
          <w:tcPr>
            <w:tcW w:w="6911" w:type="dxa"/>
          </w:tcPr>
          <w:p w14:paraId="3DBB5B40"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 xml:space="preserve">N-acetylglutamate synthase </w:t>
            </w:r>
          </w:p>
        </w:tc>
      </w:tr>
      <w:tr w:rsidR="00436B89" w:rsidRPr="00656ABD" w14:paraId="15887012"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60D469C" w14:textId="77777777" w:rsidR="00436B89" w:rsidRPr="00656ABD" w:rsidRDefault="00436B89" w:rsidP="00D34F8E">
            <w:pPr>
              <w:rPr>
                <w:color w:val="000000"/>
              </w:rPr>
            </w:pPr>
            <w:r w:rsidRPr="00656ABD">
              <w:rPr>
                <w:color w:val="000000"/>
              </w:rPr>
              <w:t>NaPB</w:t>
            </w:r>
          </w:p>
        </w:tc>
        <w:tc>
          <w:tcPr>
            <w:tcW w:w="6911" w:type="dxa"/>
          </w:tcPr>
          <w:p w14:paraId="765AD41E"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sodium phenylbutyrate</w:t>
            </w:r>
          </w:p>
        </w:tc>
      </w:tr>
      <w:tr w:rsidR="00436B89" w:rsidRPr="00656ABD" w14:paraId="5740F17F"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2E402F0B" w14:textId="77777777" w:rsidR="00436B89" w:rsidRPr="00656ABD" w:rsidRDefault="00436B89" w:rsidP="00D34F8E">
            <w:pPr>
              <w:rPr>
                <w:color w:val="000000"/>
              </w:rPr>
            </w:pPr>
            <w:r w:rsidRPr="00656ABD">
              <w:rPr>
                <w:color w:val="000000"/>
              </w:rPr>
              <w:t>NaPBA</w:t>
            </w:r>
          </w:p>
        </w:tc>
        <w:tc>
          <w:tcPr>
            <w:tcW w:w="6911" w:type="dxa"/>
          </w:tcPr>
          <w:p w14:paraId="6F597DED"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 xml:space="preserve">sodium phenylbutyrate </w:t>
            </w:r>
          </w:p>
        </w:tc>
      </w:tr>
      <w:tr w:rsidR="00436B89" w:rsidRPr="00656ABD" w14:paraId="1D44FB80"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17D6D79" w14:textId="77777777" w:rsidR="00436B89" w:rsidRPr="00656ABD" w:rsidRDefault="00436B89" w:rsidP="00D34F8E">
            <w:pPr>
              <w:rPr>
                <w:color w:val="000000"/>
              </w:rPr>
            </w:pPr>
            <w:r w:rsidRPr="00656ABD">
              <w:rPr>
                <w:color w:val="000000"/>
              </w:rPr>
              <w:t>NH3</w:t>
            </w:r>
          </w:p>
        </w:tc>
        <w:tc>
          <w:tcPr>
            <w:tcW w:w="6911" w:type="dxa"/>
          </w:tcPr>
          <w:p w14:paraId="73DDC113"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ammonia</w:t>
            </w:r>
          </w:p>
        </w:tc>
      </w:tr>
      <w:tr w:rsidR="00436B89" w:rsidRPr="00656ABD" w14:paraId="40C91AC4"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A71323E" w14:textId="77777777" w:rsidR="00436B89" w:rsidRPr="00656ABD" w:rsidRDefault="00436B89" w:rsidP="00D34F8E">
            <w:pPr>
              <w:rPr>
                <w:color w:val="000000"/>
              </w:rPr>
            </w:pPr>
            <w:r w:rsidRPr="00656ABD">
              <w:rPr>
                <w:color w:val="000000"/>
              </w:rPr>
              <w:t>OTC</w:t>
            </w:r>
          </w:p>
        </w:tc>
        <w:tc>
          <w:tcPr>
            <w:tcW w:w="6911" w:type="dxa"/>
          </w:tcPr>
          <w:p w14:paraId="63A15F12"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ornithine transcarbamylase deficiency</w:t>
            </w:r>
          </w:p>
        </w:tc>
      </w:tr>
      <w:tr w:rsidR="00436B89" w:rsidRPr="00656ABD" w14:paraId="5C60EF64"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E14BA40" w14:textId="77777777" w:rsidR="00436B89" w:rsidRPr="00656ABD" w:rsidRDefault="00436B89" w:rsidP="00D34F8E">
            <w:pPr>
              <w:rPr>
                <w:color w:val="000000"/>
              </w:rPr>
            </w:pPr>
            <w:r w:rsidRPr="00656ABD">
              <w:rPr>
                <w:color w:val="000000"/>
              </w:rPr>
              <w:t>PAA</w:t>
            </w:r>
          </w:p>
        </w:tc>
        <w:tc>
          <w:tcPr>
            <w:tcW w:w="6911" w:type="dxa"/>
          </w:tcPr>
          <w:p w14:paraId="7C3A1C69"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phenylacetic acid</w:t>
            </w:r>
          </w:p>
        </w:tc>
      </w:tr>
      <w:tr w:rsidR="00436B89" w:rsidRPr="00656ABD" w14:paraId="2B3E2A4A"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0DCCA3ED" w14:textId="77777777" w:rsidR="00436B89" w:rsidRPr="00656ABD" w:rsidRDefault="00436B89" w:rsidP="00D34F8E">
            <w:pPr>
              <w:rPr>
                <w:color w:val="000000"/>
              </w:rPr>
            </w:pPr>
            <w:r w:rsidRPr="00656ABD">
              <w:rPr>
                <w:color w:val="000000"/>
              </w:rPr>
              <w:t>PAGN</w:t>
            </w:r>
          </w:p>
        </w:tc>
        <w:tc>
          <w:tcPr>
            <w:tcW w:w="6911" w:type="dxa"/>
          </w:tcPr>
          <w:p w14:paraId="7EB97158"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 xml:space="preserve">phenylacetylglutamine </w:t>
            </w:r>
          </w:p>
        </w:tc>
      </w:tr>
      <w:tr w:rsidR="00436B89" w:rsidRPr="00656ABD" w14:paraId="789A4440"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0AE93353" w14:textId="77777777" w:rsidR="00436B89" w:rsidRPr="00656ABD" w:rsidRDefault="00436B89" w:rsidP="00D34F8E">
            <w:pPr>
              <w:rPr>
                <w:color w:val="000000"/>
              </w:rPr>
            </w:pPr>
            <w:r w:rsidRPr="00656ABD">
              <w:rPr>
                <w:color w:val="000000"/>
              </w:rPr>
              <w:t>PBA</w:t>
            </w:r>
          </w:p>
        </w:tc>
        <w:tc>
          <w:tcPr>
            <w:tcW w:w="6911" w:type="dxa"/>
          </w:tcPr>
          <w:p w14:paraId="2F62B3D8"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phenylbutyric acid</w:t>
            </w:r>
          </w:p>
        </w:tc>
      </w:tr>
      <w:tr w:rsidR="00436B89" w:rsidRPr="00656ABD" w14:paraId="6E6FDD86"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513942D6" w14:textId="77777777" w:rsidR="00436B89" w:rsidRPr="00656ABD" w:rsidRDefault="00436B89" w:rsidP="00D34F8E">
            <w:pPr>
              <w:rPr>
                <w:color w:val="000000"/>
              </w:rPr>
            </w:pPr>
            <w:r w:rsidRPr="00656ABD">
              <w:rPr>
                <w:color w:val="000000"/>
              </w:rPr>
              <w:t>PD</w:t>
            </w:r>
          </w:p>
        </w:tc>
        <w:tc>
          <w:tcPr>
            <w:tcW w:w="6911" w:type="dxa"/>
          </w:tcPr>
          <w:p w14:paraId="1CC5E1B0"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pharmacodynamics</w:t>
            </w:r>
          </w:p>
        </w:tc>
      </w:tr>
      <w:tr w:rsidR="00436B89" w:rsidRPr="00656ABD" w14:paraId="59BAD106"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54924D8C" w14:textId="77777777" w:rsidR="00436B89" w:rsidRPr="00656ABD" w:rsidRDefault="00436B89" w:rsidP="00D34F8E">
            <w:pPr>
              <w:rPr>
                <w:color w:val="000000"/>
              </w:rPr>
            </w:pPr>
            <w:r w:rsidRPr="00656ABD">
              <w:rPr>
                <w:color w:val="000000"/>
              </w:rPr>
              <w:t>PK</w:t>
            </w:r>
          </w:p>
        </w:tc>
        <w:tc>
          <w:tcPr>
            <w:tcW w:w="6911" w:type="dxa"/>
          </w:tcPr>
          <w:p w14:paraId="0BB5D50B"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pharmacokinetics</w:t>
            </w:r>
          </w:p>
        </w:tc>
      </w:tr>
      <w:tr w:rsidR="00436B89" w:rsidRPr="00656ABD" w14:paraId="36F6B526"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6EF1BEB3" w14:textId="77777777" w:rsidR="00436B89" w:rsidRPr="00656ABD" w:rsidRDefault="00436B89" w:rsidP="00D34F8E">
            <w:pPr>
              <w:rPr>
                <w:color w:val="000000"/>
              </w:rPr>
            </w:pPr>
            <w:r w:rsidRPr="00656ABD">
              <w:rPr>
                <w:color w:val="000000"/>
              </w:rPr>
              <w:t>PP</w:t>
            </w:r>
          </w:p>
        </w:tc>
        <w:tc>
          <w:tcPr>
            <w:tcW w:w="6911" w:type="dxa"/>
          </w:tcPr>
          <w:p w14:paraId="4B2DCBF8"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per-protocol</w:t>
            </w:r>
          </w:p>
        </w:tc>
      </w:tr>
      <w:tr w:rsidR="00436B89" w:rsidRPr="00656ABD" w14:paraId="316D1CF6"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3190344B" w14:textId="77777777" w:rsidR="00436B89" w:rsidRPr="00656ABD" w:rsidRDefault="00436B89" w:rsidP="00D34F8E">
            <w:pPr>
              <w:rPr>
                <w:color w:val="000000"/>
              </w:rPr>
            </w:pPr>
            <w:r w:rsidRPr="00656ABD">
              <w:rPr>
                <w:color w:val="000000"/>
              </w:rPr>
              <w:t>qow</w:t>
            </w:r>
          </w:p>
        </w:tc>
        <w:tc>
          <w:tcPr>
            <w:tcW w:w="6911" w:type="dxa"/>
          </w:tcPr>
          <w:p w14:paraId="0432F1A6"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every other week</w:t>
            </w:r>
          </w:p>
        </w:tc>
      </w:tr>
      <w:tr w:rsidR="00436B89" w:rsidRPr="00656ABD" w14:paraId="4B8F252A"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41FCD0ED" w14:textId="77777777" w:rsidR="00436B89" w:rsidRPr="00656ABD" w:rsidRDefault="00436B89" w:rsidP="00D34F8E">
            <w:pPr>
              <w:rPr>
                <w:color w:val="000000"/>
              </w:rPr>
            </w:pPr>
            <w:r w:rsidRPr="00656ABD">
              <w:rPr>
                <w:color w:val="000000"/>
              </w:rPr>
              <w:t>REB</w:t>
            </w:r>
          </w:p>
        </w:tc>
        <w:tc>
          <w:tcPr>
            <w:tcW w:w="6911" w:type="dxa"/>
          </w:tcPr>
          <w:p w14:paraId="1AE7D97C"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Research Ethics Board</w:t>
            </w:r>
          </w:p>
        </w:tc>
      </w:tr>
      <w:tr w:rsidR="00436B89" w:rsidRPr="00656ABD" w14:paraId="0CE373E7"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4D91A229" w14:textId="77777777" w:rsidR="00436B89" w:rsidRPr="00656ABD" w:rsidRDefault="00436B89" w:rsidP="00D34F8E">
            <w:pPr>
              <w:rPr>
                <w:color w:val="000000"/>
              </w:rPr>
            </w:pPr>
            <w:r w:rsidRPr="00656ABD">
              <w:rPr>
                <w:color w:val="000000"/>
              </w:rPr>
              <w:lastRenderedPageBreak/>
              <w:t>RFTs</w:t>
            </w:r>
          </w:p>
        </w:tc>
        <w:tc>
          <w:tcPr>
            <w:tcW w:w="6911" w:type="dxa"/>
          </w:tcPr>
          <w:p w14:paraId="6706D9EE"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respiratory function tests</w:t>
            </w:r>
          </w:p>
        </w:tc>
      </w:tr>
      <w:tr w:rsidR="00436B89" w:rsidRPr="00656ABD" w14:paraId="7DAC5A15"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0CE222BD" w14:textId="77777777" w:rsidR="00436B89" w:rsidRPr="00656ABD" w:rsidRDefault="00436B89" w:rsidP="00D34F8E">
            <w:pPr>
              <w:rPr>
                <w:color w:val="000000"/>
              </w:rPr>
            </w:pPr>
            <w:r w:rsidRPr="00656ABD">
              <w:rPr>
                <w:color w:val="000000"/>
              </w:rPr>
              <w:t>SAE</w:t>
            </w:r>
          </w:p>
        </w:tc>
        <w:tc>
          <w:tcPr>
            <w:tcW w:w="6911" w:type="dxa"/>
          </w:tcPr>
          <w:p w14:paraId="5A5B5A84"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serious adverse event</w:t>
            </w:r>
          </w:p>
        </w:tc>
      </w:tr>
      <w:tr w:rsidR="00436B89" w:rsidRPr="00656ABD" w14:paraId="15628757"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5808D98E" w14:textId="77777777" w:rsidR="00436B89" w:rsidRPr="00656ABD" w:rsidRDefault="00436B89" w:rsidP="00D34F8E">
            <w:pPr>
              <w:rPr>
                <w:color w:val="000000"/>
              </w:rPr>
            </w:pPr>
            <w:r w:rsidRPr="00656ABD">
              <w:rPr>
                <w:color w:val="000000"/>
              </w:rPr>
              <w:t>SAP</w:t>
            </w:r>
          </w:p>
        </w:tc>
        <w:tc>
          <w:tcPr>
            <w:tcW w:w="6911" w:type="dxa"/>
          </w:tcPr>
          <w:p w14:paraId="668EF539"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Statistical Analysis Plan</w:t>
            </w:r>
          </w:p>
        </w:tc>
      </w:tr>
      <w:tr w:rsidR="00436B89" w:rsidRPr="00656ABD" w14:paraId="3243E2C9"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FEEE334" w14:textId="77777777" w:rsidR="00436B89" w:rsidRPr="00656ABD" w:rsidRDefault="00436B89" w:rsidP="00D34F8E">
            <w:pPr>
              <w:rPr>
                <w:color w:val="000000"/>
              </w:rPr>
            </w:pPr>
            <w:r w:rsidRPr="00656ABD">
              <w:rPr>
                <w:color w:val="000000"/>
              </w:rPr>
              <w:t>SD</w:t>
            </w:r>
          </w:p>
        </w:tc>
        <w:tc>
          <w:tcPr>
            <w:tcW w:w="6911" w:type="dxa"/>
          </w:tcPr>
          <w:p w14:paraId="0A8F307D"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standard deviation</w:t>
            </w:r>
          </w:p>
        </w:tc>
      </w:tr>
      <w:tr w:rsidR="00436B89" w:rsidRPr="00656ABD" w14:paraId="5C3B38A7"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15FF569" w14:textId="77777777" w:rsidR="00436B89" w:rsidRPr="00656ABD" w:rsidRDefault="00436B89" w:rsidP="00D34F8E">
            <w:pPr>
              <w:rPr>
                <w:color w:val="000000"/>
              </w:rPr>
            </w:pPr>
            <w:r w:rsidRPr="00656ABD">
              <w:rPr>
                <w:color w:val="000000"/>
              </w:rPr>
              <w:t>SMQ</w:t>
            </w:r>
          </w:p>
        </w:tc>
        <w:tc>
          <w:tcPr>
            <w:tcW w:w="6911" w:type="dxa"/>
          </w:tcPr>
          <w:p w14:paraId="0956A66C"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Standardised MedDRA Query</w:t>
            </w:r>
          </w:p>
        </w:tc>
      </w:tr>
      <w:tr w:rsidR="00436B89" w:rsidRPr="00656ABD" w14:paraId="6CFE94A5"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66F93A14" w14:textId="77777777" w:rsidR="00436B89" w:rsidRPr="00656ABD" w:rsidRDefault="00436B89" w:rsidP="00D34F8E">
            <w:pPr>
              <w:rPr>
                <w:color w:val="000000"/>
              </w:rPr>
            </w:pPr>
            <w:r w:rsidRPr="00656ABD">
              <w:rPr>
                <w:color w:val="000000"/>
              </w:rPr>
              <w:t>SOC</w:t>
            </w:r>
          </w:p>
        </w:tc>
        <w:tc>
          <w:tcPr>
            <w:tcW w:w="6911" w:type="dxa"/>
          </w:tcPr>
          <w:p w14:paraId="02360230"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system organ class</w:t>
            </w:r>
          </w:p>
        </w:tc>
      </w:tr>
      <w:tr w:rsidR="00436B89" w:rsidRPr="00656ABD" w14:paraId="15C6B2C4" w14:textId="77777777" w:rsidTr="00D34F8E">
        <w:trPr>
          <w:trHeight w:val="600"/>
        </w:trPr>
        <w:tc>
          <w:tcPr>
            <w:cnfStyle w:val="001000000000" w:firstRow="0" w:lastRow="0" w:firstColumn="1" w:lastColumn="0" w:oddVBand="0" w:evenVBand="0" w:oddHBand="0" w:evenHBand="0" w:firstRowFirstColumn="0" w:firstRowLastColumn="0" w:lastRowFirstColumn="0" w:lastRowLastColumn="0"/>
            <w:tcW w:w="1890" w:type="dxa"/>
          </w:tcPr>
          <w:p w14:paraId="7D997A65" w14:textId="77777777" w:rsidR="00436B89" w:rsidRPr="00656ABD" w:rsidRDefault="00436B89" w:rsidP="00D34F8E">
            <w:pPr>
              <w:rPr>
                <w:color w:val="000000"/>
                <w:vertAlign w:val="subscript"/>
              </w:rPr>
            </w:pPr>
            <w:r w:rsidRPr="00656ABD">
              <w:rPr>
                <w:color w:val="000000"/>
              </w:rPr>
              <w:t>T</w:t>
            </w:r>
            <w:r>
              <w:rPr>
                <w:color w:val="000000"/>
                <w:vertAlign w:val="subscript"/>
              </w:rPr>
              <w:t xml:space="preserve">½ </w:t>
            </w:r>
            <w:r w:rsidRPr="007E48E5">
              <w:rPr>
                <w:color w:val="000000"/>
              </w:rPr>
              <w:t>or t</w:t>
            </w:r>
            <w:r>
              <w:rPr>
                <w:color w:val="000000"/>
                <w:vertAlign w:val="subscript"/>
              </w:rPr>
              <w:t>½</w:t>
            </w:r>
          </w:p>
        </w:tc>
        <w:tc>
          <w:tcPr>
            <w:tcW w:w="6911" w:type="dxa"/>
          </w:tcPr>
          <w:p w14:paraId="03F98096"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elimination half-life</w:t>
            </w:r>
          </w:p>
        </w:tc>
      </w:tr>
      <w:tr w:rsidR="00436B89" w:rsidRPr="00656ABD" w14:paraId="51746E6C"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02C4CC7E" w14:textId="77777777" w:rsidR="00436B89" w:rsidRPr="00656ABD" w:rsidRDefault="00436B89" w:rsidP="00D34F8E">
            <w:pPr>
              <w:rPr>
                <w:color w:val="000000"/>
              </w:rPr>
            </w:pPr>
            <w:r w:rsidRPr="00656ABD">
              <w:rPr>
                <w:color w:val="000000"/>
              </w:rPr>
              <w:t>T</w:t>
            </w:r>
            <w:r w:rsidRPr="00656ABD">
              <w:rPr>
                <w:color w:val="000000"/>
                <w:vertAlign w:val="subscript"/>
              </w:rPr>
              <w:t>max</w:t>
            </w:r>
          </w:p>
        </w:tc>
        <w:tc>
          <w:tcPr>
            <w:tcW w:w="6911" w:type="dxa"/>
          </w:tcPr>
          <w:p w14:paraId="52E5B598"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 xml:space="preserve">time to reach </w:t>
            </w:r>
            <w:r w:rsidRPr="00A613A8">
              <w:rPr>
                <w:lang w:eastAsia="ja-JP"/>
              </w:rPr>
              <w:t>C</w:t>
            </w:r>
            <w:r w:rsidRPr="005C3B9A">
              <w:rPr>
                <w:vertAlign w:val="subscript"/>
                <w:lang w:eastAsia="ja-JP"/>
              </w:rPr>
              <w:t>max</w:t>
            </w:r>
          </w:p>
        </w:tc>
      </w:tr>
      <w:tr w:rsidR="00436B89" w:rsidRPr="00656ABD" w14:paraId="3F0C8BDC"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7ABD0CC8" w14:textId="77777777" w:rsidR="00436B89" w:rsidRPr="00656ABD" w:rsidRDefault="00436B89" w:rsidP="00D34F8E">
            <w:pPr>
              <w:rPr>
                <w:color w:val="000000"/>
              </w:rPr>
            </w:pPr>
            <w:r w:rsidRPr="00656ABD">
              <w:rPr>
                <w:color w:val="000000"/>
              </w:rPr>
              <w:t>UCD</w:t>
            </w:r>
          </w:p>
        </w:tc>
        <w:tc>
          <w:tcPr>
            <w:tcW w:w="6911" w:type="dxa"/>
          </w:tcPr>
          <w:p w14:paraId="41A055E8"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 xml:space="preserve">Urea Cycle Disorders </w:t>
            </w:r>
          </w:p>
        </w:tc>
      </w:tr>
      <w:tr w:rsidR="00436B89" w:rsidRPr="00656ABD" w14:paraId="3FF631AD"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5F5E43F2" w14:textId="77777777" w:rsidR="00436B89" w:rsidRPr="00656ABD" w:rsidRDefault="00436B89" w:rsidP="00D34F8E">
            <w:pPr>
              <w:rPr>
                <w:color w:val="000000"/>
              </w:rPr>
            </w:pPr>
            <w:r w:rsidRPr="00656ABD">
              <w:rPr>
                <w:color w:val="000000"/>
              </w:rPr>
              <w:t>Vd</w:t>
            </w:r>
          </w:p>
        </w:tc>
        <w:tc>
          <w:tcPr>
            <w:tcW w:w="6911" w:type="dxa"/>
          </w:tcPr>
          <w:p w14:paraId="3E6190A0"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Pr>
                <w:color w:val="000000"/>
              </w:rPr>
              <w:t>apparent volume of distribution</w:t>
            </w:r>
          </w:p>
        </w:tc>
      </w:tr>
      <w:tr w:rsidR="00436B89" w:rsidRPr="00656ABD" w14:paraId="76373C87"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62DC94BC" w14:textId="77777777" w:rsidR="00436B89" w:rsidRPr="00656ABD" w:rsidRDefault="00436B89" w:rsidP="00D34F8E">
            <w:pPr>
              <w:rPr>
                <w:color w:val="000000"/>
              </w:rPr>
            </w:pPr>
            <w:r w:rsidRPr="00656ABD">
              <w:rPr>
                <w:color w:val="000000"/>
              </w:rPr>
              <w:t>Vdz</w:t>
            </w:r>
          </w:p>
        </w:tc>
        <w:tc>
          <w:tcPr>
            <w:tcW w:w="6911" w:type="dxa"/>
          </w:tcPr>
          <w:p w14:paraId="4342D6CD"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apparent volume of distribution based upon the terminal phase</w:t>
            </w:r>
          </w:p>
        </w:tc>
      </w:tr>
      <w:tr w:rsidR="00436B89" w:rsidRPr="00656ABD" w14:paraId="6743575F"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401A00E0" w14:textId="77777777" w:rsidR="00436B89" w:rsidRPr="00656ABD" w:rsidRDefault="00436B89" w:rsidP="00D34F8E">
            <w:pPr>
              <w:rPr>
                <w:color w:val="000000"/>
              </w:rPr>
            </w:pPr>
            <w:r w:rsidRPr="00656ABD">
              <w:rPr>
                <w:color w:val="000000"/>
              </w:rPr>
              <w:t>Vdz</w:t>
            </w:r>
          </w:p>
        </w:tc>
        <w:tc>
          <w:tcPr>
            <w:tcW w:w="6911" w:type="dxa"/>
          </w:tcPr>
          <w:p w14:paraId="40A078B4"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apparent volume of distribution based upon the terminal phase</w:t>
            </w:r>
          </w:p>
        </w:tc>
      </w:tr>
      <w:tr w:rsidR="00436B89" w:rsidRPr="00656ABD" w14:paraId="41E66605" w14:textId="77777777" w:rsidTr="00D34F8E">
        <w:tc>
          <w:tcPr>
            <w:cnfStyle w:val="001000000000" w:firstRow="0" w:lastRow="0" w:firstColumn="1" w:lastColumn="0" w:oddVBand="0" w:evenVBand="0" w:oddHBand="0" w:evenHBand="0" w:firstRowFirstColumn="0" w:firstRowLastColumn="0" w:lastRowFirstColumn="0" w:lastRowLastColumn="0"/>
            <w:tcW w:w="1890" w:type="dxa"/>
          </w:tcPr>
          <w:p w14:paraId="1D7BCA61" w14:textId="77777777" w:rsidR="00436B89" w:rsidRPr="00656ABD" w:rsidRDefault="00436B89" w:rsidP="00D34F8E">
            <w:pPr>
              <w:rPr>
                <w:color w:val="000000"/>
              </w:rPr>
            </w:pPr>
            <w:r w:rsidRPr="00656ABD">
              <w:rPr>
                <w:color w:val="000000"/>
              </w:rPr>
              <w:t>WHO</w:t>
            </w:r>
          </w:p>
        </w:tc>
        <w:tc>
          <w:tcPr>
            <w:tcW w:w="6911" w:type="dxa"/>
          </w:tcPr>
          <w:p w14:paraId="310FB02C" w14:textId="77777777" w:rsidR="00436B89" w:rsidRPr="00656ABD"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656ABD">
              <w:rPr>
                <w:color w:val="000000"/>
              </w:rPr>
              <w:t>World Health Organization</w:t>
            </w:r>
          </w:p>
        </w:tc>
      </w:tr>
    </w:tbl>
    <w:p w14:paraId="3EE4A615" w14:textId="77777777" w:rsidR="00436B89" w:rsidRPr="00A613A8" w:rsidRDefault="00436B89" w:rsidP="00436B89">
      <w:pPr>
        <w:rPr>
          <w:lang w:eastAsia="ja-JP"/>
        </w:rPr>
      </w:pPr>
      <w:bookmarkStart w:id="6" w:name="_Toc351718900"/>
      <w:bookmarkStart w:id="7" w:name="_Toc355338635"/>
      <w:r w:rsidRPr="00A613A8">
        <w:br w:type="page"/>
      </w:r>
    </w:p>
    <w:p w14:paraId="64C44C6B" w14:textId="77777777" w:rsidR="00436B89" w:rsidRPr="00A613A8" w:rsidRDefault="00436B89" w:rsidP="00177802">
      <w:pPr>
        <w:pStyle w:val="Heading2"/>
        <w:pageBreakBefore/>
        <w:numPr>
          <w:ilvl w:val="0"/>
          <w:numId w:val="5"/>
        </w:numPr>
        <w:rPr>
          <w:lang w:eastAsia="en-AU"/>
        </w:rPr>
      </w:pPr>
      <w:bookmarkStart w:id="8" w:name="_Toc473013862"/>
      <w:bookmarkStart w:id="9" w:name="_Toc505179663"/>
      <w:r w:rsidRPr="00A613A8">
        <w:rPr>
          <w:lang w:eastAsia="en-AU"/>
        </w:rPr>
        <w:lastRenderedPageBreak/>
        <w:t>Submission details</w:t>
      </w:r>
      <w:bookmarkEnd w:id="8"/>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40"/>
      </w:tblGrid>
      <w:tr w:rsidR="00436B89" w:rsidRPr="00A613A8" w14:paraId="76441C1A" w14:textId="77777777" w:rsidTr="00D34F8E">
        <w:tc>
          <w:tcPr>
            <w:tcW w:w="2802" w:type="dxa"/>
            <w:shd w:val="clear" w:color="auto" w:fill="006DA7"/>
          </w:tcPr>
          <w:p w14:paraId="59B48813" w14:textId="77777777" w:rsidR="00436B89" w:rsidRPr="00BA45C2" w:rsidRDefault="00436B89" w:rsidP="00436B89">
            <w:pPr>
              <w:rPr>
                <w:rFonts w:asciiTheme="majorHAnsi" w:hAnsiTheme="majorHAnsi"/>
                <w:b/>
                <w:color w:val="FFFFFF" w:themeColor="background1"/>
                <w:sz w:val="20"/>
                <w:szCs w:val="20"/>
                <w:lang w:eastAsia="en-AU"/>
              </w:rPr>
            </w:pPr>
            <w:r w:rsidRPr="00BA45C2">
              <w:rPr>
                <w:rFonts w:asciiTheme="majorHAnsi" w:hAnsiTheme="majorHAnsi"/>
                <w:b/>
                <w:color w:val="FFFFFF" w:themeColor="background1"/>
                <w:sz w:val="20"/>
                <w:szCs w:val="20"/>
                <w:lang w:eastAsia="en-AU"/>
              </w:rPr>
              <w:t>Submission number</w:t>
            </w:r>
          </w:p>
        </w:tc>
        <w:tc>
          <w:tcPr>
            <w:tcW w:w="6440" w:type="dxa"/>
            <w:shd w:val="clear" w:color="auto" w:fill="auto"/>
          </w:tcPr>
          <w:p w14:paraId="7DD52D9F" w14:textId="77777777" w:rsidR="00436B89" w:rsidRPr="00BA45C2" w:rsidRDefault="00436B89" w:rsidP="00436B89">
            <w:pPr>
              <w:rPr>
                <w:rFonts w:asciiTheme="majorHAnsi" w:hAnsiTheme="majorHAnsi"/>
                <w:sz w:val="20"/>
                <w:szCs w:val="20"/>
                <w:lang w:eastAsia="en-AU"/>
              </w:rPr>
            </w:pPr>
            <w:r w:rsidRPr="00BA45C2">
              <w:rPr>
                <w:rFonts w:asciiTheme="majorHAnsi" w:hAnsiTheme="majorHAnsi" w:cs="TimesNewRomanPS-BoldMT"/>
                <w:bCs/>
                <w:sz w:val="20"/>
                <w:szCs w:val="20"/>
                <w:lang w:eastAsia="en-AU"/>
              </w:rPr>
              <w:t>PM-2016-00417-1-3</w:t>
            </w:r>
          </w:p>
        </w:tc>
      </w:tr>
      <w:tr w:rsidR="00436B89" w:rsidRPr="00A613A8" w14:paraId="02B54A75" w14:textId="77777777" w:rsidTr="00D34F8E">
        <w:tc>
          <w:tcPr>
            <w:tcW w:w="2802" w:type="dxa"/>
            <w:shd w:val="clear" w:color="auto" w:fill="006DA7"/>
          </w:tcPr>
          <w:p w14:paraId="2DF70EA7" w14:textId="77777777" w:rsidR="00436B89" w:rsidRPr="00BA45C2" w:rsidRDefault="00436B89" w:rsidP="00436B89">
            <w:pPr>
              <w:rPr>
                <w:rFonts w:asciiTheme="majorHAnsi" w:hAnsiTheme="majorHAnsi" w:cs="TimesNewRomanPS-BoldMT"/>
                <w:b/>
                <w:bCs/>
                <w:color w:val="FFFFFF" w:themeColor="background1"/>
                <w:sz w:val="20"/>
                <w:szCs w:val="20"/>
                <w:lang w:eastAsia="en-AU"/>
              </w:rPr>
            </w:pPr>
            <w:r w:rsidRPr="00BA45C2">
              <w:rPr>
                <w:rFonts w:asciiTheme="majorHAnsi" w:hAnsiTheme="majorHAnsi" w:cs="TimesNewRomanPS-BoldMT"/>
                <w:b/>
                <w:bCs/>
                <w:color w:val="FFFFFF" w:themeColor="background1"/>
                <w:sz w:val="20"/>
                <w:szCs w:val="20"/>
                <w:lang w:eastAsia="en-AU"/>
              </w:rPr>
              <w:t>Sponsor</w:t>
            </w:r>
          </w:p>
        </w:tc>
        <w:tc>
          <w:tcPr>
            <w:tcW w:w="6440" w:type="dxa"/>
            <w:shd w:val="clear" w:color="auto" w:fill="auto"/>
          </w:tcPr>
          <w:p w14:paraId="79F9E439" w14:textId="77777777" w:rsidR="00436B89" w:rsidRPr="00BA45C2" w:rsidRDefault="00436B89" w:rsidP="00436B89">
            <w:pPr>
              <w:rPr>
                <w:rFonts w:asciiTheme="majorHAnsi" w:hAnsiTheme="majorHAnsi" w:cs="TimesNewRomanPS-BoldMT"/>
                <w:bCs/>
                <w:sz w:val="20"/>
                <w:szCs w:val="20"/>
                <w:lang w:eastAsia="en-AU"/>
              </w:rPr>
            </w:pPr>
            <w:r w:rsidRPr="00BA45C2">
              <w:rPr>
                <w:rFonts w:asciiTheme="majorHAnsi" w:hAnsiTheme="majorHAnsi" w:cs="TimesNewRomanPS-BoldMT"/>
                <w:bCs/>
                <w:sz w:val="20"/>
                <w:szCs w:val="20"/>
                <w:lang w:eastAsia="en-AU"/>
              </w:rPr>
              <w:t>Orpharma Pty Ltd</w:t>
            </w:r>
          </w:p>
        </w:tc>
      </w:tr>
      <w:tr w:rsidR="00436B89" w:rsidRPr="00A613A8" w14:paraId="141481A8" w14:textId="77777777" w:rsidTr="00D34F8E">
        <w:tc>
          <w:tcPr>
            <w:tcW w:w="2802" w:type="dxa"/>
            <w:shd w:val="clear" w:color="auto" w:fill="006DA7"/>
          </w:tcPr>
          <w:p w14:paraId="7FF625C5" w14:textId="77777777" w:rsidR="00436B89" w:rsidRPr="00BA45C2" w:rsidRDefault="00436B89" w:rsidP="00436B89">
            <w:pPr>
              <w:rPr>
                <w:rFonts w:asciiTheme="majorHAnsi" w:hAnsiTheme="majorHAnsi"/>
                <w:b/>
                <w:color w:val="FFFFFF" w:themeColor="background1"/>
                <w:sz w:val="20"/>
                <w:szCs w:val="20"/>
                <w:lang w:eastAsia="en-AU"/>
              </w:rPr>
            </w:pPr>
            <w:r w:rsidRPr="00BA45C2">
              <w:rPr>
                <w:rFonts w:asciiTheme="majorHAnsi" w:hAnsiTheme="majorHAnsi"/>
                <w:b/>
                <w:color w:val="FFFFFF" w:themeColor="background1"/>
                <w:sz w:val="20"/>
                <w:szCs w:val="20"/>
                <w:lang w:eastAsia="en-AU"/>
              </w:rPr>
              <w:t>Trade name</w:t>
            </w:r>
          </w:p>
        </w:tc>
        <w:tc>
          <w:tcPr>
            <w:tcW w:w="6440" w:type="dxa"/>
            <w:shd w:val="clear" w:color="auto" w:fill="auto"/>
          </w:tcPr>
          <w:p w14:paraId="2113EA69" w14:textId="77777777" w:rsidR="00436B89" w:rsidRPr="00BA45C2" w:rsidRDefault="00436B89" w:rsidP="00436B89">
            <w:pPr>
              <w:rPr>
                <w:rFonts w:asciiTheme="majorHAnsi" w:hAnsiTheme="majorHAnsi"/>
                <w:sz w:val="20"/>
                <w:szCs w:val="20"/>
                <w:lang w:eastAsia="en-AU"/>
              </w:rPr>
            </w:pPr>
            <w:r w:rsidRPr="00BA45C2">
              <w:rPr>
                <w:rFonts w:asciiTheme="majorHAnsi" w:hAnsiTheme="majorHAnsi" w:cs="TimesNewRomanPS-BoldMT"/>
                <w:bCs/>
                <w:sz w:val="20"/>
                <w:szCs w:val="20"/>
                <w:lang w:eastAsia="en-AU"/>
              </w:rPr>
              <w:t>Pheburane</w:t>
            </w:r>
          </w:p>
        </w:tc>
      </w:tr>
      <w:tr w:rsidR="00436B89" w:rsidRPr="00A613A8" w14:paraId="0F2FB72D" w14:textId="77777777" w:rsidTr="00D34F8E">
        <w:tc>
          <w:tcPr>
            <w:tcW w:w="2802" w:type="dxa"/>
            <w:shd w:val="clear" w:color="auto" w:fill="006DA7"/>
          </w:tcPr>
          <w:p w14:paraId="71BED6C1" w14:textId="77777777" w:rsidR="00436B89" w:rsidRPr="00BA45C2" w:rsidRDefault="00436B89" w:rsidP="00436B89">
            <w:pPr>
              <w:rPr>
                <w:rFonts w:asciiTheme="majorHAnsi" w:hAnsiTheme="majorHAnsi"/>
                <w:b/>
                <w:color w:val="FFFFFF" w:themeColor="background1"/>
                <w:sz w:val="20"/>
                <w:szCs w:val="20"/>
                <w:lang w:eastAsia="en-AU"/>
              </w:rPr>
            </w:pPr>
            <w:r w:rsidRPr="00BA45C2">
              <w:rPr>
                <w:rFonts w:asciiTheme="majorHAnsi" w:hAnsiTheme="majorHAnsi"/>
                <w:b/>
                <w:color w:val="FFFFFF" w:themeColor="background1"/>
                <w:sz w:val="20"/>
                <w:szCs w:val="20"/>
                <w:lang w:eastAsia="en-AU"/>
              </w:rPr>
              <w:t>Active substance</w:t>
            </w:r>
          </w:p>
        </w:tc>
        <w:tc>
          <w:tcPr>
            <w:tcW w:w="6440" w:type="dxa"/>
            <w:shd w:val="clear" w:color="auto" w:fill="auto"/>
          </w:tcPr>
          <w:p w14:paraId="4141AA51" w14:textId="77777777" w:rsidR="00436B89" w:rsidRPr="00BA45C2" w:rsidRDefault="00436B89" w:rsidP="00436B89">
            <w:pPr>
              <w:rPr>
                <w:rFonts w:asciiTheme="majorHAnsi" w:hAnsiTheme="majorHAnsi"/>
                <w:sz w:val="20"/>
                <w:szCs w:val="20"/>
                <w:lang w:eastAsia="en-AU"/>
              </w:rPr>
            </w:pPr>
            <w:r>
              <w:rPr>
                <w:rFonts w:asciiTheme="majorHAnsi" w:hAnsiTheme="majorHAnsi" w:cs="TimesNewRomanPS-BoldMT"/>
                <w:bCs/>
                <w:sz w:val="20"/>
                <w:szCs w:val="20"/>
                <w:lang w:eastAsia="en-AU"/>
              </w:rPr>
              <w:t>S</w:t>
            </w:r>
            <w:r w:rsidRPr="00BA45C2">
              <w:rPr>
                <w:rFonts w:asciiTheme="majorHAnsi" w:hAnsiTheme="majorHAnsi" w:cs="TimesNewRomanPS-BoldMT"/>
                <w:bCs/>
                <w:sz w:val="20"/>
                <w:szCs w:val="20"/>
                <w:lang w:eastAsia="en-AU"/>
              </w:rPr>
              <w:t>odium phenylbutyrate 174g granules</w:t>
            </w:r>
          </w:p>
        </w:tc>
      </w:tr>
    </w:tbl>
    <w:p w14:paraId="3492F358" w14:textId="77777777" w:rsidR="00436B89" w:rsidRPr="00A613A8" w:rsidRDefault="00436B89" w:rsidP="00436B89">
      <w:pPr>
        <w:rPr>
          <w:lang w:eastAsia="en-AU"/>
        </w:rPr>
      </w:pPr>
      <w:r w:rsidRPr="00A613A8">
        <w:rPr>
          <w:lang w:eastAsia="en-AU"/>
        </w:rPr>
        <w:t>Pheburane is a new chemical entity in Australia.</w:t>
      </w:r>
    </w:p>
    <w:p w14:paraId="048E4114" w14:textId="77777777" w:rsidR="00436B89" w:rsidRDefault="00436B89" w:rsidP="00436B89">
      <w:pPr>
        <w:rPr>
          <w:lang w:eastAsia="ja-JP"/>
        </w:rPr>
      </w:pPr>
      <w:r w:rsidRPr="00A613A8">
        <w:rPr>
          <w:lang w:eastAsia="ja-JP"/>
        </w:rPr>
        <w:t>This is a hybrid dossier with literature-based submission and a single bioequivalence study.</w:t>
      </w:r>
    </w:p>
    <w:p w14:paraId="60634207" w14:textId="77777777" w:rsidR="00436B89" w:rsidRDefault="00436B89" w:rsidP="00436B89">
      <w:pPr>
        <w:rPr>
          <w:lang w:eastAsia="ja-JP"/>
        </w:rPr>
      </w:pPr>
      <w:r>
        <w:rPr>
          <w:lang w:eastAsia="ja-JP"/>
        </w:rPr>
        <w:t xml:space="preserve">The clinical submission was based upon a single bioequivalence study between </w:t>
      </w:r>
      <w:r w:rsidRPr="00A613A8">
        <w:rPr>
          <w:lang w:eastAsia="en-AU"/>
        </w:rPr>
        <w:t>Pheburane</w:t>
      </w:r>
      <w:r>
        <w:rPr>
          <w:lang w:eastAsia="en-AU"/>
        </w:rPr>
        <w:t xml:space="preserve"> and the innovator product </w:t>
      </w:r>
      <w:r w:rsidRPr="00A613A8">
        <w:rPr>
          <w:lang w:eastAsia="ja-JP"/>
        </w:rPr>
        <w:t>Ammonaps</w:t>
      </w:r>
      <w:r>
        <w:rPr>
          <w:lang w:eastAsia="ja-JP"/>
        </w:rPr>
        <w:t>. A</w:t>
      </w:r>
      <w:r w:rsidRPr="00A613A8">
        <w:rPr>
          <w:lang w:eastAsia="ja-JP"/>
        </w:rPr>
        <w:t>mmonaps</w:t>
      </w:r>
      <w:r>
        <w:rPr>
          <w:vertAlign w:val="superscript"/>
          <w:lang w:eastAsia="ja-JP"/>
        </w:rPr>
        <w:t xml:space="preserve"> </w:t>
      </w:r>
      <w:r w:rsidRPr="00FB21D7">
        <w:rPr>
          <w:lang w:eastAsia="ja-JP"/>
        </w:rPr>
        <w:t>is not</w:t>
      </w:r>
      <w:r>
        <w:rPr>
          <w:lang w:eastAsia="ja-JP"/>
        </w:rPr>
        <w:t xml:space="preserve"> a registered medicine in Australia and so the sponsor has requested that they supplement the bioequivalence study with evidence of the efficacy and safety of the innovator drug (</w:t>
      </w:r>
      <w:r w:rsidRPr="00A613A8">
        <w:rPr>
          <w:lang w:eastAsia="ja-JP"/>
        </w:rPr>
        <w:t>Ammonaps</w:t>
      </w:r>
      <w:r>
        <w:rPr>
          <w:lang w:eastAsia="ja-JP"/>
        </w:rPr>
        <w:t xml:space="preserve">) from the literature (as they do not have access to the initial </w:t>
      </w:r>
      <w:r w:rsidRPr="00A613A8">
        <w:rPr>
          <w:lang w:eastAsia="ja-JP"/>
        </w:rPr>
        <w:t>Ammonaps</w:t>
      </w:r>
      <w:r>
        <w:rPr>
          <w:lang w:eastAsia="ja-JP"/>
        </w:rPr>
        <w:t xml:space="preserve"> application). The literature search strategy was developed in consultation with the TGA.</w:t>
      </w:r>
    </w:p>
    <w:p w14:paraId="5AE8F55C" w14:textId="77777777" w:rsidR="00436B89" w:rsidRPr="000A32E4" w:rsidRDefault="00436B89" w:rsidP="00436B89">
      <w:r>
        <w:rPr>
          <w:lang w:eastAsia="ja-JP"/>
        </w:rPr>
        <w:t xml:space="preserve">The proposed indication is urea cycle defects (UCDs), which are severe, rare and for which there are few effective therapies for treating the hyperammonaemia. Because of this, </w:t>
      </w:r>
      <w:r w:rsidRPr="00A613A8">
        <w:rPr>
          <w:lang w:eastAsia="ja-JP"/>
        </w:rPr>
        <w:t>sodium phenylbutyrate</w:t>
      </w:r>
      <w:r>
        <w:rPr>
          <w:lang w:eastAsia="ja-JP"/>
        </w:rPr>
        <w:t xml:space="preserve"> has become a standard treatment without the support of randomised placebo-controlled trials.</w:t>
      </w:r>
    </w:p>
    <w:p w14:paraId="3619BD10" w14:textId="77777777" w:rsidR="00436B89" w:rsidRPr="00A613A8" w:rsidRDefault="00436B89" w:rsidP="00177802">
      <w:pPr>
        <w:pStyle w:val="Heading3"/>
        <w:numPr>
          <w:ilvl w:val="1"/>
          <w:numId w:val="5"/>
        </w:numPr>
        <w:ind w:left="907" w:hanging="794"/>
      </w:pPr>
      <w:bookmarkStart w:id="10" w:name="_Toc473013865"/>
      <w:bookmarkStart w:id="11" w:name="_Toc505179664"/>
      <w:r w:rsidRPr="00A613A8">
        <w:t>Drug class and therapeutic indication</w:t>
      </w:r>
      <w:bookmarkEnd w:id="10"/>
      <w:bookmarkEnd w:id="11"/>
    </w:p>
    <w:p w14:paraId="1476E535" w14:textId="2B8B3801" w:rsidR="00436B89" w:rsidRPr="00A613A8" w:rsidRDefault="00436B89" w:rsidP="00177802">
      <w:pPr>
        <w:pStyle w:val="Heading4"/>
        <w:numPr>
          <w:ilvl w:val="2"/>
          <w:numId w:val="5"/>
        </w:numPr>
      </w:pPr>
      <w:r w:rsidRPr="00A613A8">
        <w:t xml:space="preserve">Drug </w:t>
      </w:r>
      <w:r w:rsidR="00D34F8E">
        <w:t>c</w:t>
      </w:r>
      <w:r w:rsidRPr="00A613A8">
        <w:t>lass</w:t>
      </w:r>
    </w:p>
    <w:p w14:paraId="3043E64A" w14:textId="77777777" w:rsidR="00436B89" w:rsidRPr="00A613A8" w:rsidRDefault="00436B89" w:rsidP="00436B89">
      <w:pPr>
        <w:rPr>
          <w:lang w:eastAsia="en-AU"/>
        </w:rPr>
      </w:pPr>
      <w:r w:rsidRPr="00A613A8">
        <w:rPr>
          <w:lang w:eastAsia="en-AU"/>
        </w:rPr>
        <w:t>Pheburane, sodium phenylbutyrate (sodium 4-phenylbutanoate), is an ammonia scavenger. It has an empirical formula of C</w:t>
      </w:r>
      <w:r w:rsidRPr="00BA45C2">
        <w:rPr>
          <w:vertAlign w:val="subscript"/>
          <w:lang w:eastAsia="en-AU"/>
        </w:rPr>
        <w:t>10</w:t>
      </w:r>
      <w:r w:rsidRPr="00A613A8">
        <w:rPr>
          <w:lang w:eastAsia="en-AU"/>
        </w:rPr>
        <w:t>H</w:t>
      </w:r>
      <w:r w:rsidRPr="00BA45C2">
        <w:rPr>
          <w:vertAlign w:val="subscript"/>
          <w:lang w:eastAsia="en-AU"/>
        </w:rPr>
        <w:t>11</w:t>
      </w:r>
      <w:r w:rsidRPr="00A613A8">
        <w:rPr>
          <w:lang w:eastAsia="en-AU"/>
        </w:rPr>
        <w:t>NaO</w:t>
      </w:r>
      <w:r w:rsidRPr="00BA45C2">
        <w:rPr>
          <w:vertAlign w:val="subscript"/>
          <w:lang w:eastAsia="en-AU"/>
        </w:rPr>
        <w:t>2</w:t>
      </w:r>
      <w:r w:rsidRPr="00A613A8">
        <w:rPr>
          <w:lang w:eastAsia="en-AU"/>
        </w:rPr>
        <w:t xml:space="preserve"> and a molecular weight of 186.2. </w:t>
      </w:r>
      <w:r>
        <w:rPr>
          <w:lang w:eastAsia="en-AU"/>
        </w:rPr>
        <w:t>T</w:t>
      </w:r>
      <w:r w:rsidRPr="00A613A8">
        <w:rPr>
          <w:lang w:eastAsia="en-AU"/>
        </w:rPr>
        <w:t>he chemical structure is shown in</w:t>
      </w:r>
      <w:r>
        <w:rPr>
          <w:lang w:eastAsia="en-AU"/>
        </w:rPr>
        <w:t xml:space="preserve"> Figure 1</w:t>
      </w:r>
      <w:r w:rsidRPr="00A613A8">
        <w:rPr>
          <w:lang w:eastAsia="en-AU"/>
        </w:rPr>
        <w:t>.</w:t>
      </w:r>
    </w:p>
    <w:p w14:paraId="37E67C06" w14:textId="77777777" w:rsidR="00436B89" w:rsidRPr="00A613A8" w:rsidRDefault="00436B89" w:rsidP="00D34F8E">
      <w:pPr>
        <w:pStyle w:val="FigureTitle"/>
        <w:rPr>
          <w:lang w:eastAsia="ja-JP"/>
        </w:rPr>
      </w:pPr>
      <w:bookmarkStart w:id="12" w:name="_Ref457764684"/>
      <w:bookmarkStart w:id="13" w:name="_Toc473013983"/>
      <w:r w:rsidRPr="00A613A8">
        <w:t>Figure</w:t>
      </w:r>
      <w:r>
        <w:t xml:space="preserve"> 1:</w:t>
      </w:r>
      <w:bookmarkEnd w:id="12"/>
      <w:r w:rsidRPr="00A613A8">
        <w:rPr>
          <w:lang w:eastAsia="ja-JP"/>
        </w:rPr>
        <w:t xml:space="preserve"> The chemical structure of </w:t>
      </w:r>
      <w:r w:rsidRPr="00A613A8">
        <w:rPr>
          <w:lang w:eastAsia="en-AU"/>
        </w:rPr>
        <w:t>sodium phenylbutyrate</w:t>
      </w:r>
      <w:bookmarkEnd w:id="13"/>
    </w:p>
    <w:p w14:paraId="2030D589" w14:textId="77777777" w:rsidR="00436B89" w:rsidRPr="00A613A8" w:rsidRDefault="00436B89" w:rsidP="00436B89">
      <w:pPr>
        <w:autoSpaceDE w:val="0"/>
        <w:autoSpaceDN w:val="0"/>
        <w:adjustRightInd w:val="0"/>
        <w:spacing w:before="0" w:after="0" w:line="240" w:lineRule="auto"/>
        <w:rPr>
          <w:lang w:eastAsia="ja-JP"/>
        </w:rPr>
      </w:pPr>
      <w:r>
        <w:rPr>
          <w:noProof/>
          <w:lang w:eastAsia="en-AU"/>
        </w:rPr>
        <w:drawing>
          <wp:inline distT="0" distB="0" distL="0" distR="0" wp14:anchorId="23F34965" wp14:editId="47536CDA">
            <wp:extent cx="2026920" cy="655320"/>
            <wp:effectExtent l="0" t="0" r="0" b="0"/>
            <wp:docPr id="4" name="Picture 4" descr="Figure 1: The chemical structure of sodium phenylbuty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6920" cy="655320"/>
                    </a:xfrm>
                    <a:prstGeom prst="rect">
                      <a:avLst/>
                    </a:prstGeom>
                    <a:noFill/>
                    <a:ln>
                      <a:noFill/>
                    </a:ln>
                  </pic:spPr>
                </pic:pic>
              </a:graphicData>
            </a:graphic>
          </wp:inline>
        </w:drawing>
      </w:r>
    </w:p>
    <w:p w14:paraId="0C7CBD11" w14:textId="77777777" w:rsidR="00436B89" w:rsidRPr="00A613A8" w:rsidRDefault="00436B89" w:rsidP="00436B89">
      <w:pPr>
        <w:rPr>
          <w:lang w:eastAsia="en-AU"/>
        </w:rPr>
      </w:pPr>
      <w:r w:rsidRPr="00A613A8">
        <w:rPr>
          <w:lang w:eastAsia="en-AU"/>
        </w:rPr>
        <w:t xml:space="preserve">Sodium phenylbutyrate is a pro-drug </w:t>
      </w:r>
      <w:r>
        <w:rPr>
          <w:lang w:eastAsia="en-AU"/>
        </w:rPr>
        <w:t>that</w:t>
      </w:r>
      <w:r w:rsidRPr="00A613A8">
        <w:rPr>
          <w:lang w:eastAsia="en-AU"/>
        </w:rPr>
        <w:t xml:space="preserve"> is rapidly metabolised to phenylacetate. Phenylacetate is a metabolically active compound that conjugates with glutamine via acetylation to form phenylacetylglutamine which is then excreted by the kidneys. On a molar basis, phenylacetylglutamine</w:t>
      </w:r>
      <w:r>
        <w:rPr>
          <w:lang w:eastAsia="en-AU"/>
        </w:rPr>
        <w:t>’s ability to bind nitrogen</w:t>
      </w:r>
      <w:r w:rsidRPr="00A613A8">
        <w:rPr>
          <w:lang w:eastAsia="en-AU"/>
        </w:rPr>
        <w:t xml:space="preserve"> is comparable to urea (each containing 2 moles of nitrogen) and therefore provides an alternate vehicle for waste nitrogen excretion</w:t>
      </w:r>
    </w:p>
    <w:p w14:paraId="286DF5EA" w14:textId="77777777" w:rsidR="00436B89" w:rsidRPr="00A613A8" w:rsidRDefault="00436B89" w:rsidP="00177802">
      <w:pPr>
        <w:pStyle w:val="Heading4"/>
        <w:numPr>
          <w:ilvl w:val="2"/>
          <w:numId w:val="5"/>
        </w:numPr>
      </w:pPr>
      <w:r w:rsidRPr="00A613A8">
        <w:t>Indication</w:t>
      </w:r>
    </w:p>
    <w:p w14:paraId="1D7FE974" w14:textId="77777777" w:rsidR="00436B89" w:rsidRPr="00A613A8" w:rsidRDefault="00436B89" w:rsidP="00436B89">
      <w:pPr>
        <w:rPr>
          <w:lang w:eastAsia="en-AU"/>
        </w:rPr>
      </w:pPr>
      <w:r w:rsidRPr="00A613A8">
        <w:rPr>
          <w:lang w:eastAsia="en-AU"/>
        </w:rPr>
        <w:t xml:space="preserve">Pheburane (sodium phenylbutyrate) is indicated as adjunctive therapy in the chronic management of urea cycle disorders, involving deficiencies of carbamylphosphate synthetase, ornithine transcarbamylase or argininosuccinate synthetase. </w:t>
      </w:r>
      <w:r>
        <w:rPr>
          <w:lang w:eastAsia="en-AU"/>
        </w:rPr>
        <w:t>Pheburane</w:t>
      </w:r>
      <w:r w:rsidRPr="00A613A8">
        <w:rPr>
          <w:lang w:eastAsia="en-AU"/>
        </w:rPr>
        <w:t xml:space="preserve"> should be used with dietary protein restriction and, in some cases, dietary supplements (</w:t>
      </w:r>
      <w:r>
        <w:rPr>
          <w:lang w:eastAsia="en-AU"/>
        </w:rPr>
        <w:t>for example,</w:t>
      </w:r>
      <w:r w:rsidRPr="00A613A8">
        <w:rPr>
          <w:lang w:eastAsia="en-AU"/>
        </w:rPr>
        <w:t xml:space="preserve"> essential amino acids, arginine, citrulline, and protein-free calorie supplements).</w:t>
      </w:r>
    </w:p>
    <w:p w14:paraId="4F2BB9A4" w14:textId="77777777" w:rsidR="00436B89" w:rsidRDefault="00436B89" w:rsidP="00436B89">
      <w:pPr>
        <w:rPr>
          <w:lang w:eastAsia="en-AU"/>
        </w:rPr>
      </w:pPr>
      <w:r>
        <w:rPr>
          <w:lang w:eastAsia="en-AU"/>
        </w:rPr>
        <w:t>Pheburane</w:t>
      </w:r>
      <w:r w:rsidRPr="00A613A8">
        <w:rPr>
          <w:lang w:eastAsia="en-AU"/>
        </w:rPr>
        <w:t xml:space="preserve"> is indicated in patients with </w:t>
      </w:r>
      <w:r w:rsidRPr="00A613A8">
        <w:rPr>
          <w:rFonts w:cs="TimesNewRomanPS-ItalicMT"/>
          <w:i/>
          <w:iCs/>
          <w:lang w:eastAsia="en-AU"/>
        </w:rPr>
        <w:t xml:space="preserve">neonatal-onset </w:t>
      </w:r>
      <w:r w:rsidRPr="00A613A8">
        <w:rPr>
          <w:lang w:eastAsia="en-AU"/>
        </w:rPr>
        <w:t xml:space="preserve">presentation (complete enzyme deficiencies, presenting within the first 28 days of life). It is also indicated in patients with </w:t>
      </w:r>
      <w:r w:rsidRPr="00A613A8">
        <w:rPr>
          <w:rFonts w:cs="TimesNewRomanPS-ItalicMT"/>
          <w:i/>
          <w:iCs/>
          <w:lang w:eastAsia="en-AU"/>
        </w:rPr>
        <w:t>late-</w:t>
      </w:r>
      <w:r w:rsidRPr="00A613A8">
        <w:rPr>
          <w:rFonts w:cs="TimesNewRomanPS-ItalicMT"/>
          <w:i/>
          <w:iCs/>
          <w:lang w:eastAsia="en-AU"/>
        </w:rPr>
        <w:lastRenderedPageBreak/>
        <w:t xml:space="preserve">onset </w:t>
      </w:r>
      <w:r w:rsidRPr="00A613A8">
        <w:rPr>
          <w:lang w:eastAsia="en-AU"/>
        </w:rPr>
        <w:t>disease (partial enzyme deficiencies, presenting after the first month of life) who have a history of hyperammonaemic encephalopathy.</w:t>
      </w:r>
    </w:p>
    <w:p w14:paraId="5B7DB2C0" w14:textId="77777777" w:rsidR="00436B89" w:rsidRPr="00A613A8" w:rsidRDefault="00436B89" w:rsidP="00177802">
      <w:pPr>
        <w:pStyle w:val="Heading3"/>
        <w:numPr>
          <w:ilvl w:val="1"/>
          <w:numId w:val="5"/>
        </w:numPr>
        <w:ind w:left="907" w:hanging="794"/>
      </w:pPr>
      <w:bookmarkStart w:id="14" w:name="_Toc473013866"/>
      <w:bookmarkStart w:id="15" w:name="_Toc505179665"/>
      <w:r w:rsidRPr="00A613A8">
        <w:t>Dosage forms and strengths</w:t>
      </w:r>
      <w:bookmarkEnd w:id="14"/>
      <w:bookmarkEnd w:id="15"/>
    </w:p>
    <w:p w14:paraId="003F585B" w14:textId="77777777" w:rsidR="00436B89" w:rsidRPr="00A613A8" w:rsidRDefault="00436B89" w:rsidP="00436B89">
      <w:pPr>
        <w:rPr>
          <w:lang w:eastAsia="ja-JP"/>
        </w:rPr>
      </w:pPr>
      <w:r w:rsidRPr="00A613A8">
        <w:rPr>
          <w:lang w:eastAsia="en-AU"/>
        </w:rPr>
        <w:t xml:space="preserve">Pheburane granules are sugar-coated spheres containing sodium phenylbutyrate. The granules contain the following excipients: ethylcellulose, </w:t>
      </w:r>
      <w:r w:rsidR="00625EDD" w:rsidRPr="00A613A8">
        <w:rPr>
          <w:lang w:eastAsia="en-AU"/>
        </w:rPr>
        <w:t>hydroxypropyl ethylcellulose</w:t>
      </w:r>
      <w:r w:rsidRPr="00A613A8">
        <w:rPr>
          <w:lang w:eastAsia="en-AU"/>
        </w:rPr>
        <w:t>, macrogol, maize starch, povidone and sucrose. Pheburane</w:t>
      </w:r>
      <w:r w:rsidRPr="00A613A8">
        <w:rPr>
          <w:vertAlign w:val="superscript"/>
          <w:lang w:eastAsia="en-AU"/>
        </w:rPr>
        <w:t xml:space="preserve"> </w:t>
      </w:r>
      <w:r w:rsidRPr="00A613A8">
        <w:rPr>
          <w:lang w:eastAsia="en-AU"/>
        </w:rPr>
        <w:t>contains sodium phenylbutyrate 483 mg/g granule bottle and is in a p</w:t>
      </w:r>
      <w:r w:rsidRPr="00A613A8">
        <w:rPr>
          <w:lang w:eastAsia="ja-JP"/>
        </w:rPr>
        <w:t>ack size of</w:t>
      </w:r>
      <w:r>
        <w:rPr>
          <w:lang w:eastAsia="ja-JP"/>
        </w:rPr>
        <w:t xml:space="preserve"> </w:t>
      </w:r>
      <w:r w:rsidRPr="00A613A8">
        <w:rPr>
          <w:lang w:eastAsia="ja-JP"/>
        </w:rPr>
        <w:t>174 g</w:t>
      </w:r>
      <w:r>
        <w:rPr>
          <w:lang w:eastAsia="ja-JP"/>
        </w:rPr>
        <w:t>.</w:t>
      </w:r>
    </w:p>
    <w:p w14:paraId="192D3E0E" w14:textId="77777777" w:rsidR="00436B89" w:rsidRPr="00A613A8" w:rsidRDefault="00436B89" w:rsidP="00177802">
      <w:pPr>
        <w:pStyle w:val="Heading3"/>
        <w:numPr>
          <w:ilvl w:val="1"/>
          <w:numId w:val="5"/>
        </w:numPr>
        <w:ind w:left="907" w:hanging="794"/>
      </w:pPr>
      <w:bookmarkStart w:id="16" w:name="_Toc473013867"/>
      <w:bookmarkStart w:id="17" w:name="_Toc505179666"/>
      <w:r w:rsidRPr="00A613A8">
        <w:t>Dosage and administration</w:t>
      </w:r>
      <w:bookmarkEnd w:id="16"/>
      <w:bookmarkEnd w:id="17"/>
    </w:p>
    <w:p w14:paraId="77B24BE4" w14:textId="77777777" w:rsidR="00436B89" w:rsidRPr="00A613A8" w:rsidRDefault="00436B89" w:rsidP="00436B89">
      <w:pPr>
        <w:rPr>
          <w:lang w:eastAsia="en-AU"/>
        </w:rPr>
      </w:pPr>
      <w:r w:rsidRPr="00A613A8">
        <w:rPr>
          <w:lang w:eastAsia="en-AU"/>
        </w:rPr>
        <w:t>Pheburane is administered orally. The usual total daily dose of sodium phenylbutyrate is:</w:t>
      </w:r>
    </w:p>
    <w:p w14:paraId="0E1669DD" w14:textId="77777777" w:rsidR="00436B89" w:rsidRPr="00A613A8" w:rsidRDefault="00436B89" w:rsidP="00177802">
      <w:pPr>
        <w:numPr>
          <w:ilvl w:val="0"/>
          <w:numId w:val="10"/>
        </w:numPr>
        <w:rPr>
          <w:lang w:eastAsia="en-AU"/>
        </w:rPr>
      </w:pPr>
      <w:r w:rsidRPr="00A613A8">
        <w:rPr>
          <w:lang w:eastAsia="en-AU"/>
        </w:rPr>
        <w:t>450 - 600 mg/</w:t>
      </w:r>
      <w:r>
        <w:rPr>
          <w:lang w:eastAsia="en-AU"/>
        </w:rPr>
        <w:t>kg/day</w:t>
      </w:r>
      <w:r w:rsidRPr="00A613A8">
        <w:rPr>
          <w:lang w:eastAsia="en-AU"/>
        </w:rPr>
        <w:t xml:space="preserve"> in neonates, infants and children weighing less than 20 kg;</w:t>
      </w:r>
    </w:p>
    <w:p w14:paraId="0CE80EE4" w14:textId="77777777" w:rsidR="00436B89" w:rsidRDefault="00436B89" w:rsidP="00177802">
      <w:pPr>
        <w:numPr>
          <w:ilvl w:val="0"/>
          <w:numId w:val="10"/>
        </w:numPr>
        <w:rPr>
          <w:lang w:eastAsia="en-AU"/>
        </w:rPr>
      </w:pPr>
      <w:r w:rsidRPr="00A613A8">
        <w:rPr>
          <w:lang w:eastAsia="en-AU"/>
        </w:rPr>
        <w:t>9.9 - 13.0 g/m</w:t>
      </w:r>
      <w:r w:rsidRPr="001B0983">
        <w:rPr>
          <w:vertAlign w:val="superscript"/>
          <w:lang w:eastAsia="en-AU"/>
        </w:rPr>
        <w:t>2</w:t>
      </w:r>
      <w:r w:rsidRPr="00A613A8">
        <w:rPr>
          <w:lang w:eastAsia="en-AU"/>
        </w:rPr>
        <w:t xml:space="preserve">/day in children weighing more than 20 kg, adolescents and adults </w:t>
      </w:r>
    </w:p>
    <w:p w14:paraId="3D8FFEDF" w14:textId="77777777" w:rsidR="00436B89" w:rsidRPr="00A613A8" w:rsidRDefault="00436B89" w:rsidP="00436B89">
      <w:pPr>
        <w:ind w:left="360"/>
        <w:rPr>
          <w:lang w:eastAsia="en-AU"/>
        </w:rPr>
      </w:pPr>
      <w:r w:rsidRPr="00A613A8">
        <w:rPr>
          <w:lang w:eastAsia="en-AU"/>
        </w:rPr>
        <w:t>The safety and efficacy of doses in excess of 20 g/day have not been established.</w:t>
      </w:r>
    </w:p>
    <w:p w14:paraId="583173C6" w14:textId="77777777" w:rsidR="00436B89" w:rsidRPr="00A613A8" w:rsidRDefault="00436B89" w:rsidP="00436B89">
      <w:pPr>
        <w:rPr>
          <w:lang w:eastAsia="en-AU"/>
        </w:rPr>
      </w:pPr>
      <w:r w:rsidRPr="00A613A8">
        <w:rPr>
          <w:lang w:eastAsia="en-AU"/>
        </w:rPr>
        <w:t xml:space="preserve">The recommended doses for oral administration of </w:t>
      </w:r>
      <w:r>
        <w:rPr>
          <w:lang w:eastAsia="en-AU"/>
        </w:rPr>
        <w:t>Pheburane</w:t>
      </w:r>
      <w:r w:rsidRPr="00A613A8">
        <w:rPr>
          <w:lang w:eastAsia="en-AU"/>
        </w:rPr>
        <w:t xml:space="preserve"> granules are shown in </w:t>
      </w:r>
      <w:r>
        <w:rPr>
          <w:lang w:eastAsia="en-AU"/>
        </w:rPr>
        <w:t>Tables 1-2</w:t>
      </w:r>
      <w:r w:rsidRPr="00A613A8">
        <w:rPr>
          <w:lang w:eastAsia="en-AU"/>
        </w:rPr>
        <w:t xml:space="preserve">. The recommended doses for administration of </w:t>
      </w:r>
      <w:r>
        <w:rPr>
          <w:lang w:eastAsia="en-AU"/>
        </w:rPr>
        <w:t>Pheburane</w:t>
      </w:r>
      <w:r w:rsidRPr="00A613A8">
        <w:rPr>
          <w:lang w:eastAsia="en-AU"/>
        </w:rPr>
        <w:t xml:space="preserve"> solution through nasogastric or gastrostomy tube are shown in</w:t>
      </w:r>
      <w:r>
        <w:rPr>
          <w:lang w:eastAsia="en-AU"/>
        </w:rPr>
        <w:t xml:space="preserve"> Tables 3-4</w:t>
      </w:r>
      <w:r w:rsidRPr="00A613A8">
        <w:rPr>
          <w:lang w:eastAsia="en-AU"/>
        </w:rPr>
        <w:t>.</w:t>
      </w:r>
    </w:p>
    <w:p w14:paraId="7C3346B2" w14:textId="77777777" w:rsidR="00436B89" w:rsidRPr="00A613A8" w:rsidRDefault="00436B89" w:rsidP="00436B89">
      <w:pPr>
        <w:pStyle w:val="TableCaption"/>
        <w:rPr>
          <w:lang w:eastAsia="en-AU"/>
        </w:rPr>
      </w:pPr>
      <w:bookmarkStart w:id="18" w:name="_Ref457767181"/>
      <w:bookmarkStart w:id="19" w:name="_Toc473013939"/>
      <w:r w:rsidRPr="00A613A8">
        <w:t>Table</w:t>
      </w:r>
      <w:r>
        <w:t xml:space="preserve"> 1:</w:t>
      </w:r>
      <w:bookmarkEnd w:id="18"/>
      <w:r w:rsidRPr="00A613A8">
        <w:t xml:space="preserve"> </w:t>
      </w:r>
      <w:r w:rsidRPr="00A613A8">
        <w:rPr>
          <w:lang w:eastAsia="en-AU"/>
        </w:rPr>
        <w:t xml:space="preserve">Recommended doses of </w:t>
      </w:r>
      <w:r>
        <w:rPr>
          <w:lang w:eastAsia="en-AU"/>
        </w:rPr>
        <w:t>Pheburane</w:t>
      </w:r>
      <w:r w:rsidRPr="00A613A8">
        <w:rPr>
          <w:lang w:eastAsia="en-AU"/>
        </w:rPr>
        <w:t xml:space="preserve"> granules (expressed in mg of sodium phenylbutyrate) for oral dosing in neonates, infants and children weighing less than 20 kg</w:t>
      </w:r>
      <w:bookmarkEnd w:id="19"/>
    </w:p>
    <w:p w14:paraId="562C1DB6" w14:textId="77777777" w:rsidR="00436B89" w:rsidRPr="00A613A8" w:rsidRDefault="00436B89" w:rsidP="00436B89">
      <w:pPr>
        <w:rPr>
          <w:lang w:eastAsia="ja-JP"/>
        </w:rPr>
      </w:pPr>
      <w:r>
        <w:rPr>
          <w:noProof/>
          <w:lang w:eastAsia="en-AU"/>
        </w:rPr>
        <w:drawing>
          <wp:inline distT="0" distB="0" distL="0" distR="0" wp14:anchorId="6683B3C5" wp14:editId="65947ED5">
            <wp:extent cx="4699591" cy="1535200"/>
            <wp:effectExtent l="0" t="0" r="6350" b="8255"/>
            <wp:docPr id="5" name="Picture 5" descr="Table 1: Recommended doses of Pheburane granules (expressed in mg of sodium phenylbutyrate) for oral dosing in neonates, infants and children weighing less than 2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6292" cy="1537389"/>
                    </a:xfrm>
                    <a:prstGeom prst="rect">
                      <a:avLst/>
                    </a:prstGeom>
                    <a:noFill/>
                    <a:ln>
                      <a:noFill/>
                    </a:ln>
                  </pic:spPr>
                </pic:pic>
              </a:graphicData>
            </a:graphic>
          </wp:inline>
        </w:drawing>
      </w:r>
    </w:p>
    <w:p w14:paraId="757CC37A" w14:textId="77777777" w:rsidR="00436B89" w:rsidRPr="00A613A8" w:rsidRDefault="00436B89" w:rsidP="00436B89">
      <w:pPr>
        <w:pStyle w:val="TableCaption"/>
        <w:rPr>
          <w:lang w:eastAsia="ja-JP"/>
        </w:rPr>
      </w:pPr>
      <w:bookmarkStart w:id="20" w:name="_Ref457767191"/>
      <w:bookmarkStart w:id="21" w:name="_Toc473013940"/>
      <w:r w:rsidRPr="00A613A8">
        <w:t xml:space="preserve">Table </w:t>
      </w:r>
      <w:bookmarkEnd w:id="20"/>
      <w:r>
        <w:t>2:</w:t>
      </w:r>
      <w:r w:rsidRPr="00A613A8">
        <w:t xml:space="preserve"> </w:t>
      </w:r>
      <w:r w:rsidRPr="00A613A8">
        <w:rPr>
          <w:lang w:eastAsia="en-AU"/>
        </w:rPr>
        <w:t>Recommended doses of Pheburane granules (expressed in grams of sodium phenylbutyrate) for oral dosing in children weighing more than 20 kg, adolescents and adults</w:t>
      </w:r>
      <w:bookmarkEnd w:id="21"/>
    </w:p>
    <w:p w14:paraId="4E6422E5" w14:textId="77777777" w:rsidR="00436B89" w:rsidRPr="00A613A8" w:rsidRDefault="00436B89" w:rsidP="00436B89">
      <w:pPr>
        <w:rPr>
          <w:lang w:eastAsia="ja-JP"/>
        </w:rPr>
      </w:pPr>
      <w:r>
        <w:rPr>
          <w:noProof/>
          <w:lang w:eastAsia="en-AU"/>
        </w:rPr>
        <w:drawing>
          <wp:inline distT="0" distB="0" distL="0" distR="0" wp14:anchorId="0CD28B4C" wp14:editId="043694E4">
            <wp:extent cx="4699591" cy="1564444"/>
            <wp:effectExtent l="0" t="0" r="6350" b="0"/>
            <wp:docPr id="6" name="Picture 6" descr="Table 2: Recommended doses of Pheburane granules (expressed in grams of sodium phenylbutyrate) for oral dosing in children weighing more than 20 kg, adolescents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1484" cy="1565074"/>
                    </a:xfrm>
                    <a:prstGeom prst="rect">
                      <a:avLst/>
                    </a:prstGeom>
                    <a:noFill/>
                    <a:ln>
                      <a:noFill/>
                    </a:ln>
                  </pic:spPr>
                </pic:pic>
              </a:graphicData>
            </a:graphic>
          </wp:inline>
        </w:drawing>
      </w:r>
    </w:p>
    <w:p w14:paraId="729B8387" w14:textId="77777777" w:rsidR="00436B89" w:rsidRPr="00A613A8" w:rsidRDefault="00436B89" w:rsidP="00436B89">
      <w:pPr>
        <w:pStyle w:val="TableCaption"/>
        <w:rPr>
          <w:lang w:eastAsia="en-AU"/>
        </w:rPr>
      </w:pPr>
      <w:bookmarkStart w:id="22" w:name="_Ref457767226"/>
      <w:bookmarkStart w:id="23" w:name="_Toc473013941"/>
      <w:r w:rsidRPr="00A613A8">
        <w:lastRenderedPageBreak/>
        <w:t xml:space="preserve">Table </w:t>
      </w:r>
      <w:bookmarkEnd w:id="22"/>
      <w:r>
        <w:t xml:space="preserve">3: </w:t>
      </w:r>
      <w:r w:rsidRPr="00A613A8">
        <w:rPr>
          <w:lang w:eastAsia="en-AU"/>
        </w:rPr>
        <w:t>Recommended doses of Pheburane solution (50 mg/ml of sodium phenylbutyrate) prepared for administration by nasogastric or gastrostomy tube in neonates, infants and children weighing less than 20 kg</w:t>
      </w:r>
      <w:bookmarkEnd w:id="23"/>
    </w:p>
    <w:p w14:paraId="5311D82A" w14:textId="77777777" w:rsidR="00436B89" w:rsidRPr="00A613A8" w:rsidRDefault="00436B89" w:rsidP="00436B89">
      <w:pPr>
        <w:rPr>
          <w:lang w:eastAsia="ja-JP"/>
        </w:rPr>
      </w:pPr>
      <w:r>
        <w:rPr>
          <w:noProof/>
          <w:lang w:eastAsia="en-AU"/>
        </w:rPr>
        <w:drawing>
          <wp:inline distT="0" distB="0" distL="0" distR="0" wp14:anchorId="3CFA9DBC" wp14:editId="758203E5">
            <wp:extent cx="4664149" cy="1556784"/>
            <wp:effectExtent l="0" t="0" r="3175" b="5715"/>
            <wp:docPr id="7" name="Picture 7" descr="Table 3: Recommended doses of Pheburane solution (50 mg/ml of sodium phenylbutyrate) prepared for administration by nasogastric or gastrostomy tube in neonates, infants and children weighing less than 2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6458" cy="1557555"/>
                    </a:xfrm>
                    <a:prstGeom prst="rect">
                      <a:avLst/>
                    </a:prstGeom>
                    <a:noFill/>
                    <a:ln>
                      <a:noFill/>
                    </a:ln>
                  </pic:spPr>
                </pic:pic>
              </a:graphicData>
            </a:graphic>
          </wp:inline>
        </w:drawing>
      </w:r>
    </w:p>
    <w:p w14:paraId="6E9EA27D" w14:textId="77777777" w:rsidR="00436B89" w:rsidRPr="00A613A8" w:rsidRDefault="00436B89" w:rsidP="00436B89">
      <w:pPr>
        <w:pStyle w:val="TableCaption"/>
        <w:rPr>
          <w:lang w:eastAsia="ja-JP"/>
        </w:rPr>
      </w:pPr>
      <w:bookmarkStart w:id="24" w:name="_Ref457767233"/>
      <w:bookmarkStart w:id="25" w:name="_Toc473013942"/>
      <w:r w:rsidRPr="00A613A8">
        <w:t xml:space="preserve">Table </w:t>
      </w:r>
      <w:bookmarkEnd w:id="24"/>
      <w:r>
        <w:t>4:</w:t>
      </w:r>
      <w:r w:rsidRPr="00A613A8">
        <w:t xml:space="preserve"> </w:t>
      </w:r>
      <w:r w:rsidRPr="00A613A8">
        <w:rPr>
          <w:lang w:eastAsia="en-AU"/>
        </w:rPr>
        <w:t>Recommended doses of Pheburane solution (50 mg/ml of sodium phenylbutyrate) prepared for administration by nasogastric or gastrostomy tube in children weighing more than 20 kg, adolescents and adults</w:t>
      </w:r>
      <w:bookmarkEnd w:id="25"/>
    </w:p>
    <w:p w14:paraId="56CC9071" w14:textId="77777777" w:rsidR="00436B89" w:rsidRPr="00A613A8" w:rsidRDefault="00436B89" w:rsidP="00436B89">
      <w:pPr>
        <w:rPr>
          <w:lang w:eastAsia="ja-JP"/>
        </w:rPr>
      </w:pPr>
      <w:r>
        <w:rPr>
          <w:noProof/>
          <w:lang w:eastAsia="en-AU"/>
        </w:rPr>
        <w:drawing>
          <wp:inline distT="0" distB="0" distL="0" distR="0" wp14:anchorId="17DC56CA" wp14:editId="7AFA3AC0">
            <wp:extent cx="4664149" cy="1654219"/>
            <wp:effectExtent l="0" t="0" r="3175" b="3175"/>
            <wp:docPr id="8" name="Picture 8" descr="Table 4: Recommended doses of Pheburane solution (50 mg/ml of sodium phenylbutyrate) prepared for administration by nasogastric or gastrostomy tube in children weighing more than 20 kg, adolescents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5596" cy="1654732"/>
                    </a:xfrm>
                    <a:prstGeom prst="rect">
                      <a:avLst/>
                    </a:prstGeom>
                    <a:noFill/>
                    <a:ln>
                      <a:noFill/>
                    </a:ln>
                  </pic:spPr>
                </pic:pic>
              </a:graphicData>
            </a:graphic>
          </wp:inline>
        </w:drawing>
      </w:r>
    </w:p>
    <w:p w14:paraId="00CE22C9" w14:textId="77777777" w:rsidR="00436B89" w:rsidRPr="00A613A8" w:rsidRDefault="00436B89" w:rsidP="00177802">
      <w:pPr>
        <w:pStyle w:val="Heading2"/>
        <w:numPr>
          <w:ilvl w:val="0"/>
          <w:numId w:val="5"/>
        </w:numPr>
      </w:pPr>
      <w:bookmarkStart w:id="26" w:name="_Toc473013869"/>
      <w:bookmarkStart w:id="27" w:name="_Toc505179667"/>
      <w:r w:rsidRPr="00A613A8">
        <w:t>Background</w:t>
      </w:r>
      <w:bookmarkEnd w:id="26"/>
      <w:bookmarkEnd w:id="27"/>
    </w:p>
    <w:p w14:paraId="7F19236D" w14:textId="77777777" w:rsidR="00436B89" w:rsidRPr="00A613A8" w:rsidRDefault="00436B89" w:rsidP="00177802">
      <w:pPr>
        <w:pStyle w:val="Heading3"/>
        <w:numPr>
          <w:ilvl w:val="1"/>
          <w:numId w:val="5"/>
        </w:numPr>
        <w:ind w:left="907" w:hanging="794"/>
      </w:pPr>
      <w:bookmarkStart w:id="28" w:name="_Toc473013870"/>
      <w:bookmarkStart w:id="29" w:name="_Toc505179668"/>
      <w:r w:rsidRPr="00A613A8">
        <w:t>Information on the condition being treated</w:t>
      </w:r>
      <w:bookmarkEnd w:id="28"/>
      <w:bookmarkEnd w:id="29"/>
    </w:p>
    <w:p w14:paraId="02710576" w14:textId="77777777" w:rsidR="00436B89" w:rsidRPr="00A613A8" w:rsidRDefault="00436B89" w:rsidP="00436B89">
      <w:pPr>
        <w:rPr>
          <w:lang w:eastAsia="ja-JP"/>
        </w:rPr>
      </w:pPr>
      <w:r w:rsidRPr="00A613A8">
        <w:rPr>
          <w:lang w:eastAsia="ja-JP"/>
        </w:rPr>
        <w:t>The submission describes Urea Cycle Disorders as follows.</w:t>
      </w:r>
    </w:p>
    <w:p w14:paraId="44EB3E6F" w14:textId="77777777" w:rsidR="00436B89" w:rsidRPr="00A613A8" w:rsidRDefault="00436B89" w:rsidP="00436B89">
      <w:pPr>
        <w:ind w:left="720"/>
        <w:rPr>
          <w:lang w:eastAsia="ja-JP"/>
        </w:rPr>
      </w:pPr>
      <w:r w:rsidRPr="00A613A8">
        <w:rPr>
          <w:lang w:eastAsia="ja-JP"/>
        </w:rPr>
        <w:t xml:space="preserve">Ureagenesis follows a cycle: in the mitochondrial matrix, the first step of ammonia detoxification carbamyl phosphate synthetase I (CPS-I) converts ammonium and bicarbonate to carbamyl phosphate (CP). The second step ornithine transcarbamylase (OTC) catalyses the condensation reaction between CP and ornithine to yield citrulline. Citrulline is transported to the cytosol where it is conjugated with aspartate to form argininosuccinic acid via argininosuccinate synthetase (ASS). Subsequently, arginine is produced by the action of argininosuccinate lyase (ASL). The final step involves the cleavage of arginine by arginase to form urea and ornithine. Ornithine must be then transported to the mitochondrion for the next turn of the cycle. </w:t>
      </w:r>
      <w:proofErr w:type="gramStart"/>
      <w:r w:rsidRPr="00A613A8">
        <w:rPr>
          <w:lang w:eastAsia="ja-JP"/>
        </w:rPr>
        <w:t>In addition, another intra-mitochondrial enzyme N-acetylglutamate synthase (NAGS) catalyses the formation of N-acetylglutamate, the essential cofactor for CPS-I activity.</w:t>
      </w:r>
      <w:proofErr w:type="gramEnd"/>
    </w:p>
    <w:p w14:paraId="0FC6F582" w14:textId="77777777" w:rsidR="00436B89" w:rsidRPr="00A613A8" w:rsidRDefault="00436B89" w:rsidP="00436B89">
      <w:pPr>
        <w:ind w:left="720"/>
        <w:rPr>
          <w:lang w:eastAsia="ja-JP"/>
        </w:rPr>
      </w:pPr>
      <w:r w:rsidRPr="00A613A8">
        <w:rPr>
          <w:lang w:eastAsia="ja-JP"/>
        </w:rPr>
        <w:t xml:space="preserve">The urea cycle serves two purposes: (1) it contains, in part, the biochemical reactions required for the de novo biosynthesis and degradation of arginine, and (2) it incorporates nitrogen atoms not retained for net biosynthetic purposes into urea, which serves as a waste nitrogen product. Excess dietary protein and the nitrogenous substances produced by endogenous protein turnover are normally </w:t>
      </w:r>
      <w:r>
        <w:rPr>
          <w:lang w:eastAsia="ja-JP"/>
        </w:rPr>
        <w:t>metabolised</w:t>
      </w:r>
      <w:r w:rsidRPr="00A613A8">
        <w:rPr>
          <w:lang w:eastAsia="ja-JP"/>
        </w:rPr>
        <w:t xml:space="preserve"> to yield </w:t>
      </w:r>
      <w:r w:rsidRPr="00A613A8">
        <w:rPr>
          <w:lang w:eastAsia="ja-JP"/>
        </w:rPr>
        <w:lastRenderedPageBreak/>
        <w:t xml:space="preserve">energy and the by-product ammonia is transformed into nontoxic urea which is freely excreted in the urine. </w:t>
      </w:r>
    </w:p>
    <w:p w14:paraId="5EC523CA" w14:textId="77777777" w:rsidR="00436B89" w:rsidRPr="00A613A8" w:rsidRDefault="00436B89" w:rsidP="00436B89">
      <w:pPr>
        <w:ind w:left="720"/>
        <w:rPr>
          <w:lang w:eastAsia="ja-JP"/>
        </w:rPr>
      </w:pPr>
      <w:r w:rsidRPr="00A613A8">
        <w:rPr>
          <w:lang w:eastAsia="ja-JP"/>
        </w:rPr>
        <w:t>Urea Cycle Disorders (UCD) are inherited deficiencies of one of the 6 enzymes involved:</w:t>
      </w:r>
    </w:p>
    <w:p w14:paraId="4BFAD2A0" w14:textId="77777777" w:rsidR="00436B89" w:rsidRPr="00A613A8" w:rsidRDefault="00436B89" w:rsidP="00177802">
      <w:pPr>
        <w:pStyle w:val="ListBullet3"/>
        <w:numPr>
          <w:ilvl w:val="2"/>
          <w:numId w:val="1"/>
        </w:numPr>
        <w:rPr>
          <w:lang w:eastAsia="ja-JP"/>
        </w:rPr>
      </w:pPr>
      <w:r w:rsidRPr="00A613A8">
        <w:rPr>
          <w:lang w:eastAsia="ja-JP"/>
        </w:rPr>
        <w:t>N-Acetyl glutamate synthetase (NAGS)</w:t>
      </w:r>
    </w:p>
    <w:p w14:paraId="706F2095" w14:textId="77777777" w:rsidR="00436B89" w:rsidRPr="00A613A8" w:rsidRDefault="00436B89" w:rsidP="00177802">
      <w:pPr>
        <w:pStyle w:val="ListBullet3"/>
        <w:numPr>
          <w:ilvl w:val="2"/>
          <w:numId w:val="1"/>
        </w:numPr>
        <w:rPr>
          <w:lang w:eastAsia="ja-JP"/>
        </w:rPr>
      </w:pPr>
      <w:r w:rsidRPr="00A613A8">
        <w:rPr>
          <w:lang w:eastAsia="ja-JP"/>
        </w:rPr>
        <w:t>Carbamyl phosphate synthetase (CPS-I)</w:t>
      </w:r>
    </w:p>
    <w:p w14:paraId="7241F9E0" w14:textId="77777777" w:rsidR="00436B89" w:rsidRPr="00A613A8" w:rsidRDefault="00436B89" w:rsidP="00177802">
      <w:pPr>
        <w:pStyle w:val="ListBullet3"/>
        <w:numPr>
          <w:ilvl w:val="2"/>
          <w:numId w:val="1"/>
        </w:numPr>
        <w:rPr>
          <w:lang w:eastAsia="ja-JP"/>
        </w:rPr>
      </w:pPr>
      <w:r w:rsidRPr="00A613A8">
        <w:rPr>
          <w:lang w:eastAsia="ja-JP"/>
        </w:rPr>
        <w:t>Ornithine transcarbamylase (OTC)</w:t>
      </w:r>
    </w:p>
    <w:p w14:paraId="681BE90E" w14:textId="77777777" w:rsidR="00436B89" w:rsidRPr="00A613A8" w:rsidRDefault="00436B89" w:rsidP="00177802">
      <w:pPr>
        <w:pStyle w:val="ListBullet3"/>
        <w:numPr>
          <w:ilvl w:val="2"/>
          <w:numId w:val="1"/>
        </w:numPr>
        <w:rPr>
          <w:lang w:eastAsia="ja-JP"/>
        </w:rPr>
      </w:pPr>
      <w:r w:rsidRPr="00A613A8">
        <w:rPr>
          <w:lang w:eastAsia="ja-JP"/>
        </w:rPr>
        <w:t>Argininosuccinate synthetase (ASS)</w:t>
      </w:r>
    </w:p>
    <w:p w14:paraId="11C8A078" w14:textId="77777777" w:rsidR="00436B89" w:rsidRPr="00A613A8" w:rsidRDefault="00436B89" w:rsidP="00177802">
      <w:pPr>
        <w:pStyle w:val="ListBullet3"/>
        <w:numPr>
          <w:ilvl w:val="2"/>
          <w:numId w:val="1"/>
        </w:numPr>
        <w:rPr>
          <w:lang w:eastAsia="ja-JP"/>
        </w:rPr>
      </w:pPr>
      <w:r w:rsidRPr="00A613A8">
        <w:rPr>
          <w:lang w:eastAsia="ja-JP"/>
        </w:rPr>
        <w:t>Argininosuccinate lyase (ASL)</w:t>
      </w:r>
    </w:p>
    <w:p w14:paraId="58C0E206" w14:textId="77777777" w:rsidR="00436B89" w:rsidRPr="00A613A8" w:rsidRDefault="00436B89" w:rsidP="00177802">
      <w:pPr>
        <w:pStyle w:val="ListBullet3"/>
        <w:numPr>
          <w:ilvl w:val="2"/>
          <w:numId w:val="1"/>
        </w:numPr>
        <w:rPr>
          <w:lang w:eastAsia="ja-JP"/>
        </w:rPr>
      </w:pPr>
      <w:r w:rsidRPr="00A613A8">
        <w:rPr>
          <w:lang w:eastAsia="ja-JP"/>
        </w:rPr>
        <w:t>Arginase.</w:t>
      </w:r>
    </w:p>
    <w:p w14:paraId="7AABF67D" w14:textId="77777777" w:rsidR="00436B89" w:rsidRPr="00A613A8" w:rsidRDefault="00436B89" w:rsidP="00436B89">
      <w:pPr>
        <w:ind w:left="720"/>
        <w:rPr>
          <w:lang w:eastAsia="ja-JP"/>
        </w:rPr>
      </w:pPr>
      <w:r w:rsidRPr="00A613A8">
        <w:rPr>
          <w:lang w:eastAsia="ja-JP"/>
        </w:rPr>
        <w:t>At each cycle one molecule of urea which contains two atoms of waste nitrogen (</w:t>
      </w:r>
      <w:r>
        <w:rPr>
          <w:lang w:eastAsia="ja-JP"/>
        </w:rPr>
        <w:t>that is,</w:t>
      </w:r>
      <w:r w:rsidRPr="00A613A8">
        <w:rPr>
          <w:lang w:eastAsia="ja-JP"/>
        </w:rPr>
        <w:t xml:space="preserve"> nitrogen not used for net protein synthesis) is cleared. A defect in the ureagenic pathway has two consequences: arginine becomes an essential amino acid (except in arginase deficiency, where the enzyme defect results in a failure of degradation of arginine) and nitrogen atoms accumulate in precursors the pattern of which varies according to the specific enzymatic defect. Nevertheless, plasma levels of ammonium and glutamine are increased in all UCD not under metabolic control.</w:t>
      </w:r>
    </w:p>
    <w:p w14:paraId="321C1258" w14:textId="77777777" w:rsidR="00436B89" w:rsidRPr="00A613A8" w:rsidRDefault="00436B89" w:rsidP="00436B89">
      <w:pPr>
        <w:ind w:left="720"/>
        <w:rPr>
          <w:lang w:eastAsia="ja-JP"/>
        </w:rPr>
      </w:pPr>
      <w:r w:rsidRPr="00A613A8">
        <w:rPr>
          <w:lang w:eastAsia="ja-JP"/>
        </w:rPr>
        <w:t>Severe, prolonged and/or repeated episodes of hyperammonaemia could lead to cerebral oedema and death or mental retardation</w:t>
      </w:r>
      <w:r>
        <w:rPr>
          <w:lang w:eastAsia="ja-JP"/>
        </w:rPr>
        <w:t>.</w:t>
      </w:r>
    </w:p>
    <w:p w14:paraId="79F89A66" w14:textId="77777777" w:rsidR="00436B89" w:rsidRPr="00A613A8" w:rsidRDefault="00436B89" w:rsidP="00436B89">
      <w:pPr>
        <w:ind w:left="720"/>
        <w:rPr>
          <w:lang w:eastAsia="ja-JP"/>
        </w:rPr>
      </w:pPr>
      <w:r w:rsidRPr="00A613A8">
        <w:rPr>
          <w:lang w:eastAsia="ja-JP"/>
        </w:rPr>
        <w:t>Five enzyme-catalysed reactions that constitute the urea cycle function primarily to prevent the accumulation of toxic nitrogenous entities by incorporating them into urea. Inherited defects in four of the five enzymes that constitute the urea cycle function (carbamyl phosphate synthetase [CPS], ornithine transcarbamylase [OTC], argininosuccinic acid synthetase [AS], and argininosuccinate lyase [AL]) (</w:t>
      </w:r>
      <w:r>
        <w:rPr>
          <w:lang w:eastAsia="ja-JP"/>
        </w:rPr>
        <w:t>Figure 2</w:t>
      </w:r>
      <w:r w:rsidRPr="00A613A8">
        <w:rPr>
          <w:lang w:eastAsia="ja-JP"/>
        </w:rPr>
        <w:t>) lead to protein intolerance and massive accumulation of ammonia, with most catastrophic presentations in full-term infants in the first week of life. Inheritance for all UCDs is autosomal recessive, except for OTC deficiency, which is X-linked.</w:t>
      </w:r>
    </w:p>
    <w:p w14:paraId="5148327D" w14:textId="77777777" w:rsidR="00436B89" w:rsidRPr="00A613A8" w:rsidRDefault="00436B89" w:rsidP="00D34F8E">
      <w:pPr>
        <w:pStyle w:val="FigureTitle"/>
        <w:rPr>
          <w:lang w:eastAsia="ja-JP"/>
        </w:rPr>
      </w:pPr>
      <w:bookmarkStart w:id="30" w:name="_Ref457764700"/>
      <w:bookmarkStart w:id="31" w:name="_Toc473013984"/>
      <w:r w:rsidRPr="00A613A8">
        <w:lastRenderedPageBreak/>
        <w:t xml:space="preserve">Figure </w:t>
      </w:r>
      <w:bookmarkEnd w:id="30"/>
      <w:r>
        <w:t>2:</w:t>
      </w:r>
      <w:r w:rsidRPr="00A613A8">
        <w:rPr>
          <w:lang w:eastAsia="ja-JP"/>
        </w:rPr>
        <w:t xml:space="preserve"> Urea cycle and alternate pathway activation. Deficiencies of these enzymes lead to hyperammonaemia and protein intolerance</w:t>
      </w:r>
      <w:bookmarkEnd w:id="31"/>
    </w:p>
    <w:p w14:paraId="59C5D3EE" w14:textId="77777777" w:rsidR="00436B89" w:rsidRPr="00A613A8" w:rsidRDefault="00436B89" w:rsidP="00436B89">
      <w:pPr>
        <w:ind w:left="720"/>
        <w:rPr>
          <w:lang w:eastAsia="ja-JP"/>
        </w:rPr>
      </w:pPr>
      <w:r>
        <w:rPr>
          <w:noProof/>
          <w:lang w:eastAsia="en-AU"/>
        </w:rPr>
        <w:drawing>
          <wp:inline distT="0" distB="0" distL="0" distR="0" wp14:anchorId="6CACE0DE" wp14:editId="3F3B8E13">
            <wp:extent cx="4085698" cy="35867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lum bright="-20000" contrast="40000"/>
                      <a:extLst>
                        <a:ext uri="{28A0092B-C50C-407E-A947-70E740481C1C}">
                          <a14:useLocalDpi xmlns:a14="http://schemas.microsoft.com/office/drawing/2010/main" val="0"/>
                        </a:ext>
                      </a:extLst>
                    </a:blip>
                    <a:srcRect l="8931"/>
                    <a:stretch/>
                  </pic:blipFill>
                  <pic:spPr bwMode="auto">
                    <a:xfrm>
                      <a:off x="0" y="0"/>
                      <a:ext cx="4095137" cy="3595004"/>
                    </a:xfrm>
                    <a:prstGeom prst="rect">
                      <a:avLst/>
                    </a:prstGeom>
                    <a:noFill/>
                    <a:ln>
                      <a:noFill/>
                    </a:ln>
                    <a:extLst>
                      <a:ext uri="{53640926-AAD7-44D8-BBD7-CCE9431645EC}">
                        <a14:shadowObscured xmlns:a14="http://schemas.microsoft.com/office/drawing/2010/main"/>
                      </a:ext>
                    </a:extLst>
                  </pic:spPr>
                </pic:pic>
              </a:graphicData>
            </a:graphic>
          </wp:inline>
        </w:drawing>
      </w:r>
    </w:p>
    <w:p w14:paraId="1560283B" w14:textId="77777777" w:rsidR="00436B89" w:rsidRPr="00A613A8" w:rsidRDefault="00436B89" w:rsidP="00436B89">
      <w:pPr>
        <w:ind w:left="720"/>
        <w:rPr>
          <w:lang w:eastAsia="ja-JP"/>
        </w:rPr>
      </w:pPr>
      <w:r w:rsidRPr="00A613A8">
        <w:rPr>
          <w:lang w:eastAsia="ja-JP"/>
        </w:rPr>
        <w:t>The initial presentation varies widely. This is a challenge for rapid diagnosis and early start of treatment. Severe acute hyperammonaemia causes a rapidly progressive, often fatal, encephalopathy with brain oedema. Chronic milder hyperammonaemia causes a neuropsychiatric illness. Survivors of severe neonatal hyperammonaemia have structural brain damage. There is wide genotypic and phenotypic heterogeneity, such that milder forms of these urea cycle disorders (UCDs) may present in childhood or in adults manifesting as dietary protein aversion and encephalopathy that may be misdiagnosed for years. Clinical manifestations range from mild (</w:t>
      </w:r>
      <w:r>
        <w:rPr>
          <w:lang w:eastAsia="ja-JP"/>
        </w:rPr>
        <w:t>for example,</w:t>
      </w:r>
      <w:r w:rsidRPr="00A613A8">
        <w:rPr>
          <w:lang w:eastAsia="ja-JP"/>
        </w:rPr>
        <w:t xml:space="preserve"> failure to thrive, intellectual disability</w:t>
      </w:r>
      <w:r>
        <w:rPr>
          <w:lang w:eastAsia="ja-JP"/>
        </w:rPr>
        <w:t xml:space="preserve"> and </w:t>
      </w:r>
      <w:r w:rsidRPr="00A613A8">
        <w:rPr>
          <w:lang w:eastAsia="ja-JP"/>
        </w:rPr>
        <w:t>episodic hyperammonaemia) to severe (</w:t>
      </w:r>
      <w:r>
        <w:rPr>
          <w:lang w:eastAsia="ja-JP"/>
        </w:rPr>
        <w:t>for example,</w:t>
      </w:r>
      <w:r w:rsidRPr="00A613A8">
        <w:rPr>
          <w:lang w:eastAsia="ja-JP"/>
        </w:rPr>
        <w:t xml:space="preserve"> altered mental status, coma, death)</w:t>
      </w:r>
      <w:r>
        <w:rPr>
          <w:lang w:eastAsia="ja-JP"/>
        </w:rPr>
        <w:t xml:space="preserve"> illness</w:t>
      </w:r>
      <w:r w:rsidRPr="00A613A8">
        <w:rPr>
          <w:lang w:eastAsia="ja-JP"/>
        </w:rPr>
        <w:t>.</w:t>
      </w:r>
    </w:p>
    <w:p w14:paraId="24F41FF3" w14:textId="77777777" w:rsidR="00436B89" w:rsidRPr="00A613A8" w:rsidRDefault="00436B89" w:rsidP="00436B89">
      <w:pPr>
        <w:ind w:left="720"/>
        <w:rPr>
          <w:lang w:eastAsia="ja-JP"/>
        </w:rPr>
      </w:pPr>
      <w:r w:rsidRPr="00A613A8">
        <w:rPr>
          <w:lang w:eastAsia="ja-JP"/>
        </w:rPr>
        <w:t>The overall prevalence of UCDs is approximately 1/35,000, with 2/3 presenting initial symptoms after the newborn period. The mortality rate is 24% in neonatal onset cases and 11% in late onset cases. It is estimated that there are only 1000-2000 patients with UCDs in the United States, approximately half of whom are diagnosed and approximately 400 of whom are taking sodium phenylbutyrate.</w:t>
      </w:r>
    </w:p>
    <w:p w14:paraId="447A6FD0" w14:textId="77777777" w:rsidR="00436B89" w:rsidRPr="00A613A8" w:rsidRDefault="00436B89" w:rsidP="00436B89">
      <w:pPr>
        <w:ind w:left="720"/>
        <w:rPr>
          <w:lang w:eastAsia="ja-JP"/>
        </w:rPr>
      </w:pPr>
      <w:r w:rsidRPr="00A613A8">
        <w:rPr>
          <w:lang w:eastAsia="ja-JP"/>
        </w:rPr>
        <w:t>Currently available data suggest that the overall prevalence of UCDs and distribution of subtypes is similar in Japan, North America and Europe (European Medicines Agency, 2015). It is estimated that the number of UCD patients in Europe is about 3400 patients, approximately half of whom are diagnosed and less than 700 patients are taking sodium phenylbutyrate (European Medicines Agency, 2015). In Australia, there are likely to be only 100-150 UCD patients. Around one in 50,000 babies born in Australia and New Zealand has a UCD (Australasian Society for Inborn Errors of Metabolism, 2007; Wilcken, 2004). This means that only six to seven babies a year are diagnosed</w:t>
      </w:r>
      <w:r>
        <w:rPr>
          <w:lang w:eastAsia="ja-JP"/>
        </w:rPr>
        <w:t xml:space="preserve"> in Australia</w:t>
      </w:r>
      <w:r w:rsidRPr="00A613A8">
        <w:rPr>
          <w:lang w:eastAsia="ja-JP"/>
        </w:rPr>
        <w:t>.</w:t>
      </w:r>
    </w:p>
    <w:p w14:paraId="282063CB" w14:textId="77777777" w:rsidR="00436B89" w:rsidRPr="00A613A8" w:rsidRDefault="00436B89" w:rsidP="00177802">
      <w:pPr>
        <w:pStyle w:val="Heading4"/>
        <w:numPr>
          <w:ilvl w:val="2"/>
          <w:numId w:val="5"/>
        </w:numPr>
      </w:pPr>
      <w:r w:rsidRPr="00A613A8">
        <w:t>Clinical outcome in patients with UCDs</w:t>
      </w:r>
    </w:p>
    <w:p w14:paraId="7DA1256E" w14:textId="77777777" w:rsidR="00436B89" w:rsidRPr="00A613A8" w:rsidRDefault="00436B89" w:rsidP="00436B89">
      <w:pPr>
        <w:rPr>
          <w:lang w:eastAsia="ja-JP"/>
        </w:rPr>
      </w:pPr>
      <w:r w:rsidRPr="00A613A8">
        <w:rPr>
          <w:lang w:eastAsia="ja-JP"/>
        </w:rPr>
        <w:t xml:space="preserve">Prior to the availability of waste nitrogen excretion stimulation, the natural history of UCD was established among 28 patients (5 CPS-I, 10 OTC, 6 ASS, 7 ASL; Shih 1976). The one-year survival </w:t>
      </w:r>
      <w:r w:rsidRPr="00A613A8">
        <w:rPr>
          <w:lang w:eastAsia="ja-JP"/>
        </w:rPr>
        <w:lastRenderedPageBreak/>
        <w:t>rate was 14% and 3 of the 4 survivors were mentally retarded. After implementing alternative-pathway therapy (Msall 1984) the one-year survival rate was 92% in 26 children with complete UCD and neonatal hyperammonaemic coma (3 CPS-I, 7 OTC, 8 ASS, 8 ASL). Among the 24 who survived at least one year (2 male OTC died of hyperammonaemic coma) there were 4 further deaths, 1 from each diagnosis: 2 from hyperammonaemic coma, 1 from overdose of waste nitrogen excretion drugs, and 1 from pneumonia. Of those 24 children 19 had one or more developmental disabilities and mean IQ score was 53±6 (</w:t>
      </w:r>
      <w:r>
        <w:rPr>
          <w:lang w:eastAsia="ja-JP"/>
        </w:rPr>
        <w:t>Table 5</w:t>
      </w:r>
      <w:r w:rsidRPr="00A613A8">
        <w:rPr>
          <w:lang w:eastAsia="ja-JP"/>
        </w:rPr>
        <w:t>).</w:t>
      </w:r>
    </w:p>
    <w:p w14:paraId="2A25E021" w14:textId="77777777" w:rsidR="00436B89" w:rsidRPr="00A613A8" w:rsidRDefault="00436B89" w:rsidP="00436B89">
      <w:pPr>
        <w:pStyle w:val="TableCaption"/>
        <w:rPr>
          <w:lang w:eastAsia="ja-JP"/>
        </w:rPr>
      </w:pPr>
      <w:bookmarkStart w:id="32" w:name="_Ref457767258"/>
      <w:bookmarkStart w:id="33" w:name="_Toc473013943"/>
      <w:r>
        <w:t>Table 5</w:t>
      </w:r>
      <w:bookmarkEnd w:id="32"/>
      <w:r>
        <w:t>:</w:t>
      </w:r>
      <w:r w:rsidRPr="00A613A8">
        <w:t xml:space="preserve"> </w:t>
      </w:r>
      <w:r w:rsidRPr="00A613A8">
        <w:rPr>
          <w:lang w:eastAsia="ja-JP"/>
        </w:rPr>
        <w:t>Neurological long-term outcome in UCD as a function of diagnosis and coma duration</w:t>
      </w:r>
      <w:r>
        <w:rPr>
          <w:lang w:eastAsia="ja-JP"/>
        </w:rPr>
        <w:t xml:space="preserve"> </w:t>
      </w:r>
      <w:r w:rsidRPr="00A613A8">
        <w:rPr>
          <w:lang w:eastAsia="ja-JP"/>
        </w:rPr>
        <w:t>(Msall 1984)</w:t>
      </w:r>
      <w:bookmarkEnd w:id="33"/>
    </w:p>
    <w:p w14:paraId="0A140C83" w14:textId="77777777" w:rsidR="00436B89" w:rsidRPr="00A613A8" w:rsidRDefault="00436B89" w:rsidP="00436B89">
      <w:pPr>
        <w:rPr>
          <w:lang w:eastAsia="ja-JP"/>
        </w:rPr>
      </w:pPr>
      <w:r>
        <w:rPr>
          <w:noProof/>
          <w:lang w:eastAsia="en-AU"/>
        </w:rPr>
        <w:drawing>
          <wp:inline distT="0" distB="0" distL="0" distR="0" wp14:anchorId="6AC63841" wp14:editId="51690F25">
            <wp:extent cx="5722620" cy="1158240"/>
            <wp:effectExtent l="0" t="0" r="0" b="3810"/>
            <wp:docPr id="10" name="Picture 10" descr="Table 5: Neurological long-term outcome in UCD as a function of diagnosis and coma duration (Msall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722620" cy="1158240"/>
                    </a:xfrm>
                    <a:prstGeom prst="rect">
                      <a:avLst/>
                    </a:prstGeom>
                    <a:noFill/>
                    <a:ln>
                      <a:noFill/>
                    </a:ln>
                  </pic:spPr>
                </pic:pic>
              </a:graphicData>
            </a:graphic>
          </wp:inline>
        </w:drawing>
      </w:r>
    </w:p>
    <w:p w14:paraId="3E30ABBF" w14:textId="77777777" w:rsidR="00436B89" w:rsidRPr="00A613A8" w:rsidRDefault="00436B89" w:rsidP="00436B89">
      <w:pPr>
        <w:rPr>
          <w:lang w:eastAsia="ja-JP"/>
        </w:rPr>
      </w:pPr>
      <w:r w:rsidRPr="00A613A8">
        <w:rPr>
          <w:lang w:eastAsia="ja-JP"/>
        </w:rPr>
        <w:t xml:space="preserve">No correlation was found between peak ammonium levels (351-1800 μmol/L) and IQ score at 1 year, however these scores were directly correlated with the length of time in neonatal hyperammonaemic coma: a good prognosis (normal IQ in 4/5 children) was observed in the group with coma lasting less than 3 days. Conversely patients in stage III-IV coma for longer than 5 days were all handicapped with abnormal CT-scans. </w:t>
      </w:r>
    </w:p>
    <w:p w14:paraId="6C399407" w14:textId="77777777" w:rsidR="00436B89" w:rsidRPr="00A613A8" w:rsidRDefault="00436B89" w:rsidP="00436B89">
      <w:pPr>
        <w:rPr>
          <w:lang w:eastAsia="ja-JP"/>
        </w:rPr>
      </w:pPr>
      <w:r w:rsidRPr="00A613A8">
        <w:rPr>
          <w:lang w:eastAsia="ja-JP"/>
        </w:rPr>
        <w:t xml:space="preserve">In a retrospective survey in Japan (Uchino 1998) on a larger group of 216 UCD patients including 116 with late-onset (26 CPS-I, 95 male OTC, 52 female OTC, 24 ASS, 12 ASL, 7 AG), the one-year survival was 43% for neonatal onset and 75% for late-onset; the long-term 5-year survival rates were 22% and 41%, respectively. The survival rate of patients with neonatal ASS or ASL was 85% </w:t>
      </w:r>
      <w:r>
        <w:rPr>
          <w:lang w:eastAsia="ja-JP"/>
        </w:rPr>
        <w:t>versus</w:t>
      </w:r>
      <w:r w:rsidRPr="00A613A8">
        <w:rPr>
          <w:lang w:eastAsia="ja-JP"/>
        </w:rPr>
        <w:t xml:space="preserve"> 14% for those with neonatal CPS-I or OTC. A retrospective survey in France (Nassogne 2005) from a group of 217 UCD patients including 96 with late-onset (14 CPS-I, 112 male OTC, 38 female OTC, 33 ASS, 20 ASL) retrieved similar long-term survival rates (16% for neonatal onset and 40% for late-onset).</w:t>
      </w:r>
    </w:p>
    <w:p w14:paraId="77F0C1FB" w14:textId="77777777" w:rsidR="00436B89" w:rsidRPr="00A613A8" w:rsidRDefault="00436B89" w:rsidP="00436B89">
      <w:pPr>
        <w:rPr>
          <w:lang w:eastAsia="ja-JP"/>
        </w:rPr>
      </w:pPr>
      <w:r w:rsidRPr="00A613A8">
        <w:rPr>
          <w:lang w:eastAsia="ja-JP"/>
        </w:rPr>
        <w:t>Similar survival rates were observed in a Swiss-coordinated survey on 88 UCD (Bachmann 2003). In this latter series, the effect of extensive treatm</w:t>
      </w:r>
      <w:r>
        <w:rPr>
          <w:lang w:eastAsia="ja-JP"/>
        </w:rPr>
        <w:t xml:space="preserve">ent was significantly improving </w:t>
      </w:r>
      <w:r w:rsidRPr="00A613A8">
        <w:rPr>
          <w:lang w:eastAsia="ja-JP"/>
        </w:rPr>
        <w:t xml:space="preserve">survival in neonatal presentation cases (p=0.045) but not in post-neonatal cases. Extensive treatment had not been effective in preventing mental retardation, with a significantly (p=0.0325) higher incidence of mental retardation in patients receiving extensive treatment </w:t>
      </w:r>
      <w:r>
        <w:rPr>
          <w:lang w:eastAsia="ja-JP"/>
        </w:rPr>
        <w:t>versus</w:t>
      </w:r>
      <w:r w:rsidRPr="00A613A8">
        <w:rPr>
          <w:lang w:eastAsia="ja-JP"/>
        </w:rPr>
        <w:t xml:space="preserve"> patients on diet alone. </w:t>
      </w:r>
    </w:p>
    <w:p w14:paraId="6A4EBAAF" w14:textId="77777777" w:rsidR="00436B89" w:rsidRPr="00A613A8" w:rsidRDefault="00436B89" w:rsidP="00177802">
      <w:pPr>
        <w:pStyle w:val="Heading3"/>
        <w:numPr>
          <w:ilvl w:val="1"/>
          <w:numId w:val="5"/>
        </w:numPr>
        <w:ind w:left="907" w:hanging="794"/>
      </w:pPr>
      <w:bookmarkStart w:id="34" w:name="_Toc473013871"/>
      <w:bookmarkStart w:id="35" w:name="_Toc505179669"/>
      <w:r w:rsidRPr="00A613A8">
        <w:t>Current treatment options</w:t>
      </w:r>
      <w:bookmarkEnd w:id="34"/>
      <w:bookmarkEnd w:id="35"/>
    </w:p>
    <w:p w14:paraId="695CB931" w14:textId="77777777" w:rsidR="00436B89" w:rsidRPr="00A613A8" w:rsidRDefault="00436B89" w:rsidP="00436B89">
      <w:pPr>
        <w:rPr>
          <w:lang w:eastAsia="ja-JP"/>
        </w:rPr>
      </w:pPr>
      <w:r w:rsidRPr="00A613A8">
        <w:rPr>
          <w:lang w:eastAsia="ja-JP"/>
        </w:rPr>
        <w:t>The submission describes three key components to therapy for UCDs:</w:t>
      </w:r>
    </w:p>
    <w:p w14:paraId="2539830A" w14:textId="77777777" w:rsidR="00436B89" w:rsidRPr="00A613A8" w:rsidRDefault="00436B89" w:rsidP="00436B89">
      <w:pPr>
        <w:pStyle w:val="Numberbullet2"/>
        <w:rPr>
          <w:lang w:eastAsia="ja-JP"/>
        </w:rPr>
      </w:pPr>
      <w:r w:rsidRPr="00A613A8">
        <w:rPr>
          <w:lang w:eastAsia="ja-JP"/>
        </w:rPr>
        <w:t>pharmacological intervention, or so-called nitrogen scavenger therapy;</w:t>
      </w:r>
    </w:p>
    <w:p w14:paraId="2A64E23D" w14:textId="77777777" w:rsidR="00436B89" w:rsidRPr="00A613A8" w:rsidRDefault="00436B89" w:rsidP="00436B89">
      <w:pPr>
        <w:pStyle w:val="Numberbullet2"/>
        <w:rPr>
          <w:lang w:eastAsia="ja-JP"/>
        </w:rPr>
      </w:pPr>
      <w:r w:rsidRPr="00A613A8">
        <w:rPr>
          <w:lang w:eastAsia="ja-JP"/>
        </w:rPr>
        <w:t>nutritional supplementation with the amino acids l-citrulline or l-arginine; and</w:t>
      </w:r>
    </w:p>
    <w:p w14:paraId="7B47FC33" w14:textId="77777777" w:rsidR="00436B89" w:rsidRPr="00A613A8" w:rsidRDefault="00436B89" w:rsidP="00436B89">
      <w:pPr>
        <w:pStyle w:val="Numberbullet2"/>
        <w:rPr>
          <w:lang w:eastAsia="ja-JP"/>
        </w:rPr>
      </w:pPr>
      <w:proofErr w:type="gramStart"/>
      <w:r w:rsidRPr="00A613A8">
        <w:rPr>
          <w:lang w:eastAsia="ja-JP"/>
        </w:rPr>
        <w:t>a</w:t>
      </w:r>
      <w:proofErr w:type="gramEnd"/>
      <w:r w:rsidRPr="00A613A8">
        <w:rPr>
          <w:lang w:eastAsia="ja-JP"/>
        </w:rPr>
        <w:t xml:space="preserve"> low-protein diet that balances nitrogen restriction with growth requirements.</w:t>
      </w:r>
    </w:p>
    <w:p w14:paraId="13A319A8" w14:textId="77777777" w:rsidR="00436B89" w:rsidRPr="00A613A8" w:rsidRDefault="00436B89" w:rsidP="00436B89">
      <w:pPr>
        <w:rPr>
          <w:lang w:eastAsia="ja-JP"/>
        </w:rPr>
      </w:pPr>
      <w:r w:rsidRPr="00A613A8">
        <w:rPr>
          <w:lang w:eastAsia="ja-JP"/>
        </w:rPr>
        <w:t xml:space="preserve">The only known </w:t>
      </w:r>
      <w:r>
        <w:rPr>
          <w:lang w:eastAsia="ja-JP"/>
        </w:rPr>
        <w:t>‘</w:t>
      </w:r>
      <w:r w:rsidRPr="00A613A8">
        <w:rPr>
          <w:lang w:eastAsia="ja-JP"/>
        </w:rPr>
        <w:t>cure</w:t>
      </w:r>
      <w:r>
        <w:rPr>
          <w:lang w:eastAsia="ja-JP"/>
        </w:rPr>
        <w:t>’</w:t>
      </w:r>
      <w:r w:rsidRPr="00A613A8">
        <w:rPr>
          <w:lang w:eastAsia="ja-JP"/>
        </w:rPr>
        <w:t xml:space="preserve"> for UCDs is liver transplantation, which in itself carries a significant morbidity and mortality and does not correct all metabolic abnormalities.</w:t>
      </w:r>
    </w:p>
    <w:p w14:paraId="731BEF83" w14:textId="77777777" w:rsidR="00436B89" w:rsidRPr="00A613A8" w:rsidRDefault="00436B89" w:rsidP="00177802">
      <w:pPr>
        <w:pStyle w:val="Heading3"/>
        <w:numPr>
          <w:ilvl w:val="1"/>
          <w:numId w:val="5"/>
        </w:numPr>
        <w:ind w:left="907" w:hanging="794"/>
      </w:pPr>
      <w:bookmarkStart w:id="36" w:name="_Toc473013872"/>
      <w:bookmarkStart w:id="37" w:name="_Toc505179670"/>
      <w:r w:rsidRPr="00A613A8">
        <w:lastRenderedPageBreak/>
        <w:t>Clinical rationale</w:t>
      </w:r>
      <w:bookmarkEnd w:id="36"/>
      <w:bookmarkEnd w:id="37"/>
    </w:p>
    <w:p w14:paraId="11C0583F" w14:textId="77777777" w:rsidR="00436B89" w:rsidRPr="00A613A8" w:rsidRDefault="00436B89" w:rsidP="00436B89">
      <w:pPr>
        <w:rPr>
          <w:lang w:eastAsia="ja-JP"/>
        </w:rPr>
      </w:pPr>
      <w:r w:rsidRPr="00A613A8">
        <w:rPr>
          <w:lang w:eastAsia="ja-JP"/>
        </w:rPr>
        <w:t>The submission gives a clear rationale for the development of Pheburane</w:t>
      </w:r>
      <w:r>
        <w:rPr>
          <w:lang w:eastAsia="ja-JP"/>
        </w:rPr>
        <w:t xml:space="preserve">. As described below, </w:t>
      </w:r>
      <w:r w:rsidRPr="00A613A8">
        <w:rPr>
          <w:lang w:eastAsia="ja-JP"/>
        </w:rPr>
        <w:t>Ammonaps</w:t>
      </w:r>
      <w:r w:rsidRPr="00217EC3">
        <w:rPr>
          <w:lang w:eastAsia="ja-JP"/>
        </w:rPr>
        <w:t xml:space="preserve"> </w:t>
      </w:r>
      <w:r>
        <w:rPr>
          <w:lang w:eastAsia="ja-JP"/>
        </w:rPr>
        <w:t>was</w:t>
      </w:r>
      <w:r w:rsidRPr="00217EC3">
        <w:rPr>
          <w:lang w:eastAsia="ja-JP"/>
        </w:rPr>
        <w:t xml:space="preserve"> the original formulation of </w:t>
      </w:r>
      <w:r w:rsidRPr="00A613A8">
        <w:rPr>
          <w:lang w:eastAsia="ja-JP"/>
        </w:rPr>
        <w:t>sodium phenylbutyrate</w:t>
      </w:r>
      <w:r>
        <w:rPr>
          <w:lang w:eastAsia="ja-JP"/>
        </w:rPr>
        <w:t xml:space="preserve"> used for the treatment of urea cycle defects (UCDs) as a nitrogen scavenger. However, </w:t>
      </w:r>
      <w:r w:rsidRPr="00A613A8">
        <w:rPr>
          <w:lang w:eastAsia="ja-JP"/>
        </w:rPr>
        <w:t>Ammonaps</w:t>
      </w:r>
      <w:r w:rsidRPr="00217EC3">
        <w:rPr>
          <w:lang w:eastAsia="ja-JP"/>
        </w:rPr>
        <w:t xml:space="preserve"> has</w:t>
      </w:r>
      <w:r>
        <w:rPr>
          <w:lang w:eastAsia="ja-JP"/>
        </w:rPr>
        <w:t xml:space="preserve"> an objectionable taste and this resulted in poor compliance and potentially poor outcomes in the treatment of UCDs. </w:t>
      </w:r>
      <w:r w:rsidRPr="00A613A8">
        <w:rPr>
          <w:lang w:eastAsia="ja-JP"/>
        </w:rPr>
        <w:t>Pheburane</w:t>
      </w:r>
      <w:r>
        <w:rPr>
          <w:lang w:eastAsia="ja-JP"/>
        </w:rPr>
        <w:t xml:space="preserve"> was developed as an encapsulated version of </w:t>
      </w:r>
      <w:r w:rsidRPr="00A613A8">
        <w:rPr>
          <w:lang w:eastAsia="ja-JP"/>
        </w:rPr>
        <w:t>sodium phenylbutyrate</w:t>
      </w:r>
      <w:r>
        <w:rPr>
          <w:lang w:eastAsia="ja-JP"/>
        </w:rPr>
        <w:t xml:space="preserve"> which avoided the taste but did not alter the bioavailability of the medicine.</w:t>
      </w:r>
    </w:p>
    <w:p w14:paraId="1B0632D8" w14:textId="77777777" w:rsidR="00436B89" w:rsidRPr="00A613A8" w:rsidRDefault="00436B89" w:rsidP="00177802">
      <w:pPr>
        <w:pStyle w:val="Heading4"/>
        <w:numPr>
          <w:ilvl w:val="2"/>
          <w:numId w:val="5"/>
        </w:numPr>
      </w:pPr>
      <w:r w:rsidRPr="00A613A8">
        <w:t>Alternate pathways of nitrogen waste excretion</w:t>
      </w:r>
    </w:p>
    <w:p w14:paraId="57D946A8" w14:textId="77777777" w:rsidR="00436B89" w:rsidRPr="00A613A8" w:rsidRDefault="00436B89" w:rsidP="00436B89">
      <w:pPr>
        <w:rPr>
          <w:lang w:eastAsia="ja-JP"/>
        </w:rPr>
      </w:pPr>
      <w:r w:rsidRPr="00A613A8">
        <w:rPr>
          <w:lang w:eastAsia="ja-JP"/>
        </w:rPr>
        <w:t>The existence of such potentially useful pathways exist was shown one century ago (Lewis 1914, Sherwin 1919) via the stoichiometric relationship between the administration of benzoate or phenylacetic acid and the resulting decreased urea nitrogen excretion, accounted for by the respective appearance of hippurate nitrogen and phenylacetylglutamine nitrogen in the urine. It was suggested that these pathways may be useful in patients with defective ureagenesis where the amino acid acylation products (hippurate and phenylacetylglutamine) may substitute for urea nitrogen excretion in all UCD. To date, however, they have been mostly used in CPS-I, OTC and ASS (Brusilow 1980).</w:t>
      </w:r>
    </w:p>
    <w:p w14:paraId="45789218" w14:textId="77777777" w:rsidR="00436B89" w:rsidRPr="00A613A8" w:rsidRDefault="00436B89" w:rsidP="00436B89">
      <w:pPr>
        <w:rPr>
          <w:lang w:eastAsia="ja-JP"/>
        </w:rPr>
      </w:pPr>
      <w:r w:rsidRPr="00A613A8">
        <w:rPr>
          <w:lang w:eastAsia="ja-JP"/>
        </w:rPr>
        <w:t xml:space="preserve">Since phenylacetate has an offensive odour, sodium phenylbutyrate was developed. This compound was selected as it is rapidly </w:t>
      </w:r>
      <w:r>
        <w:rPr>
          <w:lang w:eastAsia="ja-JP"/>
        </w:rPr>
        <w:t>oxidised</w:t>
      </w:r>
      <w:r w:rsidRPr="00A613A8">
        <w:rPr>
          <w:lang w:eastAsia="ja-JP"/>
        </w:rPr>
        <w:t xml:space="preserve"> in vivo to phenylacetate but has a less offensive odour. Sodium phenylbutyrate had been used since 1987 under an IND and was approved for Marketing as Buphenyl in the USA in 1996 and as Ammonaps in the European Union in 1999. Two presentations (both uncoated) are available: 500 mg tablets and powder/granules 94% w/w. Granules are usually prescribed in infants and children, and in adults when large dose is required. Pheburane was developed as a hybrid generic formulation of the granule presentation of Ammonaps.</w:t>
      </w:r>
    </w:p>
    <w:p w14:paraId="3D896E3F" w14:textId="77777777" w:rsidR="00436B89" w:rsidRPr="00A613A8" w:rsidRDefault="00436B89" w:rsidP="00177802">
      <w:pPr>
        <w:pStyle w:val="Heading4"/>
        <w:numPr>
          <w:ilvl w:val="2"/>
          <w:numId w:val="5"/>
        </w:numPr>
      </w:pPr>
      <w:r w:rsidRPr="00A613A8">
        <w:t>Pheburane granules</w:t>
      </w:r>
    </w:p>
    <w:p w14:paraId="5C574452" w14:textId="77777777" w:rsidR="00436B89" w:rsidRPr="00A613A8" w:rsidRDefault="00436B89" w:rsidP="00436B89">
      <w:pPr>
        <w:rPr>
          <w:lang w:eastAsia="ja-JP"/>
        </w:rPr>
      </w:pPr>
      <w:r w:rsidRPr="00A613A8">
        <w:rPr>
          <w:lang w:eastAsia="ja-JP"/>
        </w:rPr>
        <w:t>Bad taste or taste aversion are amongst the most frequent adverse events (AE) reported with Ammonaps. Moreover, this very bitter taste cannot be easily disguised and dietician support is often necessary (Dover 1994, Guffon 2011).</w:t>
      </w:r>
    </w:p>
    <w:p w14:paraId="1AE4EB09" w14:textId="77777777" w:rsidR="00436B89" w:rsidRPr="00A613A8" w:rsidRDefault="00436B89" w:rsidP="00436B89">
      <w:pPr>
        <w:rPr>
          <w:lang w:eastAsia="ja-JP"/>
        </w:rPr>
      </w:pPr>
      <w:r w:rsidRPr="00A613A8">
        <w:rPr>
          <w:lang w:eastAsia="ja-JP"/>
        </w:rPr>
        <w:t>Sodium phenylbutyrate is notoriously bitter and in patients in whom it cannot be tolerated the medication has to be administered via nasogastric tube or gastrostomy (Brusilow 1996). In children, extemporaneously prepared sweetened suspensions of the oral powder may be needed in an effort to improve compliance (Caruthers 2007).</w:t>
      </w:r>
    </w:p>
    <w:p w14:paraId="5B198BAA" w14:textId="77777777" w:rsidR="00436B89" w:rsidRPr="00A613A8" w:rsidRDefault="00436B89" w:rsidP="00436B89">
      <w:pPr>
        <w:rPr>
          <w:lang w:eastAsia="ja-JP"/>
        </w:rPr>
      </w:pPr>
      <w:r w:rsidRPr="00A613A8">
        <w:rPr>
          <w:lang w:eastAsia="ja-JP"/>
        </w:rPr>
        <w:t>Rejection of unpalatable medications is a reflection of basic biology. From an evolutionary perspective, the senses that evaluate what is put into the mouth have evolved to reject that which is harmful and seek out that which is beneficial. Particularly, rejection of bitter-tasting and irritating substances is thought to have evolved to protect the animal from being poisoned and the plant producing these chemicals from being eaten. Moreover, bitter compounds stimulate rejection reflexes such as nausea and vomiting, and</w:t>
      </w:r>
      <w:r>
        <w:rPr>
          <w:lang w:eastAsia="ja-JP"/>
        </w:rPr>
        <w:t xml:space="preserve"> </w:t>
      </w:r>
      <w:r w:rsidRPr="00A613A8">
        <w:rPr>
          <w:lang w:eastAsia="ja-JP"/>
        </w:rPr>
        <w:t>children are more sensitive to bitter taste than adults (Menella 2008).</w:t>
      </w:r>
    </w:p>
    <w:p w14:paraId="7E0FD8F6" w14:textId="77777777" w:rsidR="00436B89" w:rsidRPr="00A613A8" w:rsidRDefault="00436B89" w:rsidP="00436B89">
      <w:pPr>
        <w:rPr>
          <w:lang w:eastAsia="ja-JP"/>
        </w:rPr>
      </w:pPr>
      <w:r w:rsidRPr="00A613A8">
        <w:rPr>
          <w:lang w:eastAsia="ja-JP"/>
        </w:rPr>
        <w:t xml:space="preserve">Since Ammonaps granules have an offensive taste the </w:t>
      </w:r>
      <w:r>
        <w:rPr>
          <w:lang w:eastAsia="ja-JP"/>
        </w:rPr>
        <w:t>sponsor</w:t>
      </w:r>
      <w:r w:rsidRPr="00A613A8">
        <w:rPr>
          <w:lang w:eastAsia="ja-JP"/>
        </w:rPr>
        <w:t xml:space="preserve"> has developed an improved granule of sodium phenylbutyrate whereby coating of individual granules results in a formulation which has no immediate taste (</w:t>
      </w:r>
      <w:r>
        <w:rPr>
          <w:lang w:eastAsia="ja-JP"/>
        </w:rPr>
        <w:t>that is,</w:t>
      </w:r>
      <w:r w:rsidRPr="00A613A8">
        <w:rPr>
          <w:lang w:eastAsia="ja-JP"/>
        </w:rPr>
        <w:t xml:space="preserve"> when swallowing the drug). The active ingredient remains sodium phenylbutyrate therefore, it was essential that the new product be bioequivalent to the reference product, which was subsequently demonstrated</w:t>
      </w:r>
      <w:r>
        <w:rPr>
          <w:lang w:eastAsia="ja-JP"/>
        </w:rPr>
        <w:t>.</w:t>
      </w:r>
    </w:p>
    <w:p w14:paraId="41035E43" w14:textId="77777777" w:rsidR="00436B89" w:rsidRPr="00A613A8" w:rsidRDefault="00436B89" w:rsidP="00177802">
      <w:pPr>
        <w:pStyle w:val="Heading3"/>
        <w:numPr>
          <w:ilvl w:val="1"/>
          <w:numId w:val="5"/>
        </w:numPr>
        <w:ind w:left="907" w:hanging="794"/>
      </w:pPr>
      <w:bookmarkStart w:id="38" w:name="_Toc473013873"/>
      <w:bookmarkStart w:id="39" w:name="_Toc505179671"/>
      <w:r w:rsidRPr="00A613A8">
        <w:lastRenderedPageBreak/>
        <w:t>Formulation</w:t>
      </w:r>
      <w:bookmarkEnd w:id="38"/>
      <w:bookmarkEnd w:id="39"/>
    </w:p>
    <w:p w14:paraId="394404C9" w14:textId="77777777" w:rsidR="00436B89" w:rsidRPr="00A613A8" w:rsidRDefault="00436B89" w:rsidP="00177802">
      <w:pPr>
        <w:pStyle w:val="Heading4"/>
        <w:numPr>
          <w:ilvl w:val="2"/>
          <w:numId w:val="5"/>
        </w:numPr>
      </w:pPr>
      <w:r w:rsidRPr="00A613A8">
        <w:t>Formulation development</w:t>
      </w:r>
    </w:p>
    <w:p w14:paraId="017861B3" w14:textId="77777777" w:rsidR="00436B89" w:rsidRPr="00A613A8" w:rsidRDefault="00436B89" w:rsidP="00436B89">
      <w:pPr>
        <w:rPr>
          <w:lang w:eastAsia="ja-JP"/>
        </w:rPr>
      </w:pPr>
      <w:r>
        <w:rPr>
          <w:lang w:eastAsia="ja-JP"/>
        </w:rPr>
        <w:t xml:space="preserve">Sodium phenylbutyrate has a very bitter taste resulting in serious difficulties in compliance with treatment, especially for children. </w:t>
      </w:r>
      <w:r w:rsidRPr="00A613A8">
        <w:rPr>
          <w:lang w:eastAsia="ja-JP"/>
        </w:rPr>
        <w:t xml:space="preserve">Pheburane </w:t>
      </w:r>
      <w:r>
        <w:rPr>
          <w:lang w:eastAsia="ja-JP"/>
        </w:rPr>
        <w:t>granules were developed specifically to have no taste, this being achieved by the use of pellets initially coated with sodium phenylbutyrate and further coated with film coating agent (taste masking agent).</w:t>
      </w:r>
    </w:p>
    <w:p w14:paraId="0248B8DE" w14:textId="77777777" w:rsidR="00436B89" w:rsidRPr="00A613A8" w:rsidRDefault="00436B89" w:rsidP="00177802">
      <w:pPr>
        <w:pStyle w:val="Heading4"/>
        <w:numPr>
          <w:ilvl w:val="2"/>
          <w:numId w:val="5"/>
        </w:numPr>
      </w:pPr>
      <w:r w:rsidRPr="00A613A8">
        <w:t>Excipients</w:t>
      </w:r>
    </w:p>
    <w:p w14:paraId="3AE8CFE7" w14:textId="77777777" w:rsidR="00436B89" w:rsidRPr="00A613A8" w:rsidRDefault="00436B89" w:rsidP="00436B89">
      <w:pPr>
        <w:rPr>
          <w:lang w:eastAsia="ja-JP"/>
        </w:rPr>
      </w:pPr>
      <w:r w:rsidRPr="00A613A8">
        <w:rPr>
          <w:lang w:eastAsia="ja-JP"/>
        </w:rPr>
        <w:t>The qualitative and quantitative composition of Pheburane granules is shown in</w:t>
      </w:r>
      <w:r>
        <w:rPr>
          <w:lang w:eastAsia="ja-JP"/>
        </w:rPr>
        <w:t xml:space="preserve"> Table 6</w:t>
      </w:r>
      <w:r w:rsidRPr="00A613A8">
        <w:rPr>
          <w:lang w:eastAsia="ja-JP"/>
        </w:rPr>
        <w:t>.</w:t>
      </w:r>
    </w:p>
    <w:p w14:paraId="107C9930" w14:textId="77777777" w:rsidR="00436B89" w:rsidRPr="00A613A8" w:rsidRDefault="00436B89" w:rsidP="00436B89">
      <w:pPr>
        <w:pStyle w:val="TableCaption"/>
        <w:rPr>
          <w:lang w:eastAsia="ja-JP"/>
        </w:rPr>
      </w:pPr>
      <w:bookmarkStart w:id="40" w:name="_Ref457767283"/>
      <w:bookmarkStart w:id="41" w:name="_Toc473013944"/>
      <w:r w:rsidRPr="00A613A8">
        <w:t>Table</w:t>
      </w:r>
      <w:r>
        <w:t xml:space="preserve"> 6:</w:t>
      </w:r>
      <w:bookmarkEnd w:id="40"/>
      <w:r w:rsidRPr="00A613A8">
        <w:t xml:space="preserve"> </w:t>
      </w:r>
      <w:r w:rsidRPr="00A613A8">
        <w:rPr>
          <w:lang w:eastAsia="ja-JP"/>
        </w:rPr>
        <w:t>The qualitative and quantitative composition of Pheburane granules</w:t>
      </w:r>
      <w:bookmarkEnd w:id="41"/>
    </w:p>
    <w:p w14:paraId="170D7D83" w14:textId="77777777" w:rsidR="00436B89" w:rsidRDefault="00436B89" w:rsidP="00436B89">
      <w:pPr>
        <w:rPr>
          <w:lang w:eastAsia="en-AU"/>
        </w:rPr>
      </w:pPr>
      <w:r>
        <w:rPr>
          <w:noProof/>
          <w:lang w:eastAsia="en-AU"/>
        </w:rPr>
        <w:drawing>
          <wp:inline distT="0" distB="0" distL="0" distR="0" wp14:anchorId="4676F042" wp14:editId="0199DED2">
            <wp:extent cx="1365558" cy="2743200"/>
            <wp:effectExtent l="0" t="0" r="6350" b="0"/>
            <wp:docPr id="11" name="Picture 11" descr="Table 6: The qualitative and quantitative composition of Pheburane gran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lum bright="-20000" contrast="40000"/>
                      <a:extLst>
                        <a:ext uri="{28A0092B-C50C-407E-A947-70E740481C1C}">
                          <a14:useLocalDpi xmlns:a14="http://schemas.microsoft.com/office/drawing/2010/main" val="0"/>
                        </a:ext>
                      </a:extLst>
                    </a:blip>
                    <a:srcRect r="72026" b="4822"/>
                    <a:stretch/>
                  </pic:blipFill>
                  <pic:spPr bwMode="auto">
                    <a:xfrm>
                      <a:off x="0" y="0"/>
                      <a:ext cx="1366417" cy="2744926"/>
                    </a:xfrm>
                    <a:prstGeom prst="rect">
                      <a:avLst/>
                    </a:prstGeom>
                    <a:noFill/>
                    <a:ln>
                      <a:noFill/>
                    </a:ln>
                    <a:extLst>
                      <a:ext uri="{53640926-AAD7-44D8-BBD7-CCE9431645EC}">
                        <a14:shadowObscured xmlns:a14="http://schemas.microsoft.com/office/drawing/2010/main"/>
                      </a:ext>
                    </a:extLst>
                  </pic:spPr>
                </pic:pic>
              </a:graphicData>
            </a:graphic>
          </wp:inline>
        </w:drawing>
      </w:r>
    </w:p>
    <w:p w14:paraId="7B94D178" w14:textId="77777777" w:rsidR="00436B89" w:rsidRPr="00A613A8" w:rsidRDefault="00436B89" w:rsidP="00D34F8E">
      <w:pPr>
        <w:pStyle w:val="TableDescription"/>
        <w:rPr>
          <w:lang w:eastAsia="en-AU"/>
        </w:rPr>
      </w:pPr>
      <w:r>
        <w:rPr>
          <w:lang w:eastAsia="en-AU"/>
        </w:rPr>
        <w:t>*Evaporated during process</w:t>
      </w:r>
    </w:p>
    <w:p w14:paraId="1734E25B" w14:textId="77777777" w:rsidR="00436B89" w:rsidRPr="00A613A8" w:rsidRDefault="00436B89" w:rsidP="00177802">
      <w:pPr>
        <w:pStyle w:val="Heading3"/>
        <w:numPr>
          <w:ilvl w:val="1"/>
          <w:numId w:val="5"/>
        </w:numPr>
        <w:ind w:left="907" w:hanging="794"/>
      </w:pPr>
      <w:bookmarkStart w:id="42" w:name="_Toc473013875"/>
      <w:bookmarkStart w:id="43" w:name="_Toc505179672"/>
      <w:r w:rsidRPr="00A613A8">
        <w:t>Guidance</w:t>
      </w:r>
      <w:bookmarkEnd w:id="42"/>
      <w:bookmarkEnd w:id="43"/>
    </w:p>
    <w:p w14:paraId="62DC76FA" w14:textId="77777777" w:rsidR="00436B89" w:rsidRPr="00A613A8" w:rsidRDefault="00436B89" w:rsidP="00436B89">
      <w:pPr>
        <w:rPr>
          <w:lang w:eastAsia="ja-JP"/>
        </w:rPr>
      </w:pPr>
      <w:r>
        <w:rPr>
          <w:lang w:eastAsia="ja-JP"/>
        </w:rPr>
        <w:t xml:space="preserve">The sponsor, in consultation with the TGA, developed a hybrid application and has relied upon specific TGA guidance on the development and presentation of the literature based section of the application. </w:t>
      </w:r>
    </w:p>
    <w:p w14:paraId="3ECD3E52" w14:textId="77777777" w:rsidR="00436B89" w:rsidRPr="00A613A8" w:rsidRDefault="00436B89" w:rsidP="00177802">
      <w:pPr>
        <w:pStyle w:val="Heading3"/>
        <w:numPr>
          <w:ilvl w:val="1"/>
          <w:numId w:val="5"/>
        </w:numPr>
        <w:ind w:left="907" w:hanging="794"/>
      </w:pPr>
      <w:bookmarkStart w:id="44" w:name="_Toc473013876"/>
      <w:bookmarkStart w:id="45" w:name="_Toc505179673"/>
      <w:r w:rsidRPr="00A613A8">
        <w:t>Evaluator’s commentary on the background information</w:t>
      </w:r>
      <w:bookmarkEnd w:id="44"/>
      <w:bookmarkEnd w:id="45"/>
    </w:p>
    <w:p w14:paraId="62DCA009" w14:textId="77777777" w:rsidR="00436B89" w:rsidRPr="00A613A8" w:rsidRDefault="00436B89" w:rsidP="00436B89">
      <w:pPr>
        <w:rPr>
          <w:lang w:eastAsia="ja-JP"/>
        </w:rPr>
      </w:pPr>
      <w:r>
        <w:rPr>
          <w:lang w:eastAsia="ja-JP"/>
        </w:rPr>
        <w:t>The background information is adequate to explain the proposed indications, the development of Pheburane</w:t>
      </w:r>
      <w:r w:rsidRPr="00A613A8">
        <w:rPr>
          <w:lang w:eastAsia="ja-JP"/>
        </w:rPr>
        <w:t xml:space="preserve"> </w:t>
      </w:r>
      <w:r>
        <w:rPr>
          <w:lang w:eastAsia="ja-JP"/>
        </w:rPr>
        <w:t>and the rationale for the current hybrid application.</w:t>
      </w:r>
    </w:p>
    <w:p w14:paraId="44F467B7" w14:textId="77777777" w:rsidR="00436B89" w:rsidRPr="00A613A8" w:rsidRDefault="00436B89" w:rsidP="00177802">
      <w:pPr>
        <w:pStyle w:val="Heading2"/>
        <w:numPr>
          <w:ilvl w:val="0"/>
          <w:numId w:val="5"/>
        </w:numPr>
        <w:rPr>
          <w:lang w:eastAsia="en-AU"/>
        </w:rPr>
      </w:pPr>
      <w:bookmarkStart w:id="46" w:name="_Toc473013877"/>
      <w:bookmarkStart w:id="47" w:name="_Toc505179674"/>
      <w:r w:rsidRPr="00A613A8">
        <w:rPr>
          <w:lang w:eastAsia="en-AU"/>
        </w:rPr>
        <w:t>Contents of the clinical dossier</w:t>
      </w:r>
      <w:bookmarkEnd w:id="6"/>
      <w:bookmarkEnd w:id="7"/>
      <w:bookmarkEnd w:id="46"/>
      <w:bookmarkEnd w:id="47"/>
    </w:p>
    <w:p w14:paraId="6F3BA747" w14:textId="77777777" w:rsidR="00436B89" w:rsidRPr="00A613A8" w:rsidRDefault="00436B89" w:rsidP="00177802">
      <w:pPr>
        <w:pStyle w:val="Heading3"/>
        <w:numPr>
          <w:ilvl w:val="1"/>
          <w:numId w:val="5"/>
        </w:numPr>
        <w:ind w:left="907" w:hanging="794"/>
      </w:pPr>
      <w:bookmarkStart w:id="48" w:name="_Toc473013878"/>
      <w:bookmarkStart w:id="49" w:name="_Toc505179675"/>
      <w:r w:rsidRPr="00A613A8">
        <w:t>Scope of the clinical dossier</w:t>
      </w:r>
      <w:bookmarkEnd w:id="48"/>
      <w:bookmarkEnd w:id="49"/>
    </w:p>
    <w:p w14:paraId="5E8D39CA" w14:textId="77777777" w:rsidR="00436B89" w:rsidRDefault="00436B89" w:rsidP="00436B89">
      <w:pPr>
        <w:rPr>
          <w:lang w:eastAsia="ja-JP"/>
        </w:rPr>
      </w:pPr>
      <w:r>
        <w:rPr>
          <w:lang w:eastAsia="ja-JP"/>
        </w:rPr>
        <w:t>The clinical dossier contains the following:</w:t>
      </w:r>
    </w:p>
    <w:p w14:paraId="6AEEE2E8" w14:textId="77777777" w:rsidR="00436B89" w:rsidRDefault="00436B89" w:rsidP="00177802">
      <w:pPr>
        <w:numPr>
          <w:ilvl w:val="0"/>
          <w:numId w:val="15"/>
        </w:numPr>
        <w:rPr>
          <w:lang w:eastAsia="ja-JP"/>
        </w:rPr>
      </w:pPr>
      <w:r>
        <w:rPr>
          <w:lang w:eastAsia="ja-JP"/>
        </w:rPr>
        <w:t>1 bioequivalence study</w:t>
      </w:r>
    </w:p>
    <w:p w14:paraId="6983C707" w14:textId="77777777" w:rsidR="00436B89" w:rsidRDefault="00436B89" w:rsidP="00177802">
      <w:pPr>
        <w:numPr>
          <w:ilvl w:val="0"/>
          <w:numId w:val="15"/>
        </w:numPr>
        <w:rPr>
          <w:lang w:eastAsia="ja-JP"/>
        </w:rPr>
      </w:pPr>
      <w:r>
        <w:rPr>
          <w:lang w:eastAsia="ja-JP"/>
        </w:rPr>
        <w:t>14 Literature based study reports relating to pharmacokinetics, efficacy and safety</w:t>
      </w:r>
    </w:p>
    <w:p w14:paraId="7F775558" w14:textId="77777777" w:rsidR="00436B89" w:rsidRDefault="00436B89" w:rsidP="00177802">
      <w:pPr>
        <w:numPr>
          <w:ilvl w:val="0"/>
          <w:numId w:val="15"/>
        </w:numPr>
        <w:rPr>
          <w:lang w:eastAsia="ja-JP"/>
        </w:rPr>
      </w:pPr>
      <w:r>
        <w:rPr>
          <w:lang w:eastAsia="ja-JP"/>
        </w:rPr>
        <w:t>69 Clinical references</w:t>
      </w:r>
    </w:p>
    <w:p w14:paraId="20121033" w14:textId="77777777" w:rsidR="00436B89" w:rsidRDefault="00436B89" w:rsidP="00177802">
      <w:pPr>
        <w:numPr>
          <w:ilvl w:val="0"/>
          <w:numId w:val="15"/>
        </w:numPr>
        <w:rPr>
          <w:lang w:eastAsia="ja-JP"/>
        </w:rPr>
      </w:pPr>
      <w:r>
        <w:lastRenderedPageBreak/>
        <w:t xml:space="preserve">The </w:t>
      </w:r>
      <w:r w:rsidRPr="00A613A8">
        <w:t>First EU Periodic benefit-risk evaluation report</w:t>
      </w:r>
      <w:r>
        <w:rPr>
          <w:lang w:eastAsia="ja-JP"/>
        </w:rPr>
        <w:t xml:space="preserve"> (PBRER), 2016</w:t>
      </w:r>
    </w:p>
    <w:p w14:paraId="7004387C" w14:textId="77777777" w:rsidR="00436B89" w:rsidRPr="00A613A8" w:rsidRDefault="00436B89" w:rsidP="00177802">
      <w:pPr>
        <w:pStyle w:val="Heading3"/>
        <w:numPr>
          <w:ilvl w:val="1"/>
          <w:numId w:val="5"/>
        </w:numPr>
        <w:ind w:left="907" w:hanging="794"/>
      </w:pPr>
      <w:bookmarkStart w:id="50" w:name="_Toc473013879"/>
      <w:bookmarkStart w:id="51" w:name="_Toc505179676"/>
      <w:r w:rsidRPr="00A613A8">
        <w:t>Paediatric data</w:t>
      </w:r>
      <w:bookmarkEnd w:id="50"/>
      <w:bookmarkEnd w:id="51"/>
    </w:p>
    <w:p w14:paraId="6CF7E395" w14:textId="77777777" w:rsidR="00436B89" w:rsidRPr="00A613A8" w:rsidRDefault="00436B89" w:rsidP="00436B89">
      <w:pPr>
        <w:rPr>
          <w:lang w:eastAsia="ja-JP"/>
        </w:rPr>
      </w:pPr>
      <w:r w:rsidRPr="00A613A8">
        <w:rPr>
          <w:lang w:eastAsia="ja-JP"/>
        </w:rPr>
        <w:t>Paediatric data are included in several of the submitted papers on the efficacy of sodium phenylbutyrate. There is no separate commentary about the use of sodium phenylbutyrate in children and the data are pooled with the adult data.</w:t>
      </w:r>
    </w:p>
    <w:p w14:paraId="7CE2B2C0" w14:textId="77777777" w:rsidR="00436B89" w:rsidRDefault="00436B89" w:rsidP="00436B89">
      <w:pPr>
        <w:rPr>
          <w:lang w:eastAsia="ja-JP"/>
        </w:rPr>
      </w:pPr>
      <w:r w:rsidRPr="00A613A8">
        <w:rPr>
          <w:lang w:eastAsia="ja-JP"/>
        </w:rPr>
        <w:t xml:space="preserve">There </w:t>
      </w:r>
      <w:r>
        <w:rPr>
          <w:lang w:eastAsia="ja-JP"/>
        </w:rPr>
        <w:t>is</w:t>
      </w:r>
      <w:r w:rsidRPr="00A613A8">
        <w:rPr>
          <w:lang w:eastAsia="ja-JP"/>
        </w:rPr>
        <w:t xml:space="preserve"> </w:t>
      </w:r>
      <w:r>
        <w:rPr>
          <w:lang w:eastAsia="ja-JP"/>
        </w:rPr>
        <w:t xml:space="preserve">one </w:t>
      </w:r>
      <w:r w:rsidRPr="00A613A8">
        <w:rPr>
          <w:lang w:eastAsia="ja-JP"/>
        </w:rPr>
        <w:t xml:space="preserve">specific study </w:t>
      </w:r>
      <w:r>
        <w:rPr>
          <w:lang w:eastAsia="ja-JP"/>
        </w:rPr>
        <w:t xml:space="preserve">that includes </w:t>
      </w:r>
      <w:r w:rsidRPr="00A613A8">
        <w:rPr>
          <w:lang w:eastAsia="ja-JP"/>
        </w:rPr>
        <w:t xml:space="preserve">data on the use of </w:t>
      </w:r>
      <w:r>
        <w:rPr>
          <w:lang w:eastAsia="ja-JP"/>
        </w:rPr>
        <w:t>Pheburane</w:t>
      </w:r>
      <w:r w:rsidRPr="00A613A8">
        <w:rPr>
          <w:lang w:eastAsia="ja-JP"/>
        </w:rPr>
        <w:t xml:space="preserve"> in children</w:t>
      </w:r>
      <w:r>
        <w:rPr>
          <w:lang w:eastAsia="ja-JP"/>
        </w:rPr>
        <w:t xml:space="preserve"> (Kibleur 2014). This was a follow-up study of a French premarketing authorisation</w:t>
      </w:r>
      <w:r w:rsidRPr="00A613A8">
        <w:rPr>
          <w:lang w:eastAsia="ja-JP"/>
        </w:rPr>
        <w:t>.</w:t>
      </w:r>
    </w:p>
    <w:p w14:paraId="1FF0780C" w14:textId="77777777" w:rsidR="00436B89" w:rsidRPr="00622E5D" w:rsidRDefault="00436B89" w:rsidP="00177802">
      <w:pPr>
        <w:pStyle w:val="ListBullet"/>
        <w:numPr>
          <w:ilvl w:val="0"/>
          <w:numId w:val="1"/>
        </w:numPr>
        <w:rPr>
          <w:i/>
          <w:lang w:eastAsia="ja-JP"/>
        </w:rPr>
      </w:pPr>
      <w:r w:rsidRPr="00622E5D">
        <w:rPr>
          <w:i/>
          <w:lang w:eastAsia="ja-JP"/>
        </w:rPr>
        <w:t>The sponsor should provide a separate commentary about the use of sodium phenylbutyrate in children.</w:t>
      </w:r>
    </w:p>
    <w:p w14:paraId="673A276B" w14:textId="77777777" w:rsidR="00436B89" w:rsidRPr="00A613A8" w:rsidRDefault="00436B89" w:rsidP="00177802">
      <w:pPr>
        <w:pStyle w:val="Heading3"/>
        <w:numPr>
          <w:ilvl w:val="1"/>
          <w:numId w:val="5"/>
        </w:numPr>
        <w:ind w:left="907" w:hanging="794"/>
      </w:pPr>
      <w:bookmarkStart w:id="52" w:name="_Toc473013880"/>
      <w:bookmarkStart w:id="53" w:name="_Toc505179677"/>
      <w:r w:rsidRPr="00A613A8">
        <w:t>Good clinical practice</w:t>
      </w:r>
      <w:bookmarkEnd w:id="52"/>
      <w:bookmarkEnd w:id="53"/>
    </w:p>
    <w:p w14:paraId="3D072384" w14:textId="77777777" w:rsidR="00436B89" w:rsidRPr="00A613A8" w:rsidRDefault="00436B89" w:rsidP="00436B89">
      <w:pPr>
        <w:rPr>
          <w:lang w:eastAsia="ja-JP"/>
        </w:rPr>
      </w:pPr>
      <w:r w:rsidRPr="00A613A8">
        <w:rPr>
          <w:lang w:eastAsia="ja-JP"/>
        </w:rPr>
        <w:t>The submitted application stated the following:</w:t>
      </w:r>
    </w:p>
    <w:p w14:paraId="55EA4B27" w14:textId="77777777" w:rsidR="00436B89" w:rsidRPr="00A613A8" w:rsidRDefault="00436B89" w:rsidP="00436B89">
      <w:pPr>
        <w:ind w:left="720"/>
        <w:rPr>
          <w:b/>
          <w:lang w:eastAsia="en-AU"/>
        </w:rPr>
      </w:pPr>
      <w:r w:rsidRPr="00A613A8">
        <w:rPr>
          <w:b/>
          <w:lang w:eastAsia="en-AU"/>
        </w:rPr>
        <w:t>Ethics Certification</w:t>
      </w:r>
    </w:p>
    <w:p w14:paraId="18520CF5" w14:textId="77777777" w:rsidR="00436B89" w:rsidRPr="00A613A8" w:rsidRDefault="00436B89" w:rsidP="00436B89">
      <w:pPr>
        <w:ind w:left="720"/>
        <w:rPr>
          <w:rFonts w:eastAsia="TimesNewRomanPSMT" w:cs="TimesNewRomanPSMT"/>
          <w:lang w:eastAsia="en-AU"/>
        </w:rPr>
      </w:pPr>
      <w:r w:rsidRPr="00A613A8">
        <w:rPr>
          <w:rFonts w:eastAsia="TimesNewRomanPSMT" w:cs="TimesNewRomanPSMT"/>
          <w:lang w:eastAsia="en-AU"/>
        </w:rPr>
        <w:t>The key clinical studies of NaPB versus GPB were conducted by the same USA study group and the National Urea Cycle Disorders Foundation in a multi-centre collaboration across many US investigative centres. Studies were conducted around 2009 to 2012 and ethics certification and informed consent were all in line with ICH GCP Guidelines for these USA multicentre trials.</w:t>
      </w:r>
    </w:p>
    <w:p w14:paraId="1EC7DB2A" w14:textId="77777777" w:rsidR="00436B89" w:rsidRPr="00A613A8" w:rsidRDefault="00436B89" w:rsidP="00436B89">
      <w:pPr>
        <w:ind w:left="720"/>
        <w:rPr>
          <w:rFonts w:eastAsia="TimesNewRomanPSMT" w:cs="TimesNewRomanPSMT"/>
          <w:lang w:eastAsia="en-AU"/>
        </w:rPr>
      </w:pPr>
      <w:r w:rsidRPr="00A613A8">
        <w:rPr>
          <w:rFonts w:eastAsia="TimesNewRomanPSMT" w:cs="TimesNewRomanPSMT"/>
          <w:lang w:eastAsia="en-AU"/>
        </w:rPr>
        <w:t>All protocols were conducted under a US IND and were reviewed and approved by the appropriate Institutional Review Board. A Data Safety Monitoring Board was engaged throughout the studies and reviewed all safety results periodically. All patients or their parents signed a consent or assent form, which had been approved by local Institutional Review Boards, prior to enrolment and initiation of any protocol-specific activities</w:t>
      </w:r>
    </w:p>
    <w:p w14:paraId="742F8AA9" w14:textId="77777777" w:rsidR="00436B89" w:rsidRPr="00622E5D" w:rsidRDefault="00436B89" w:rsidP="00177802">
      <w:pPr>
        <w:pStyle w:val="ListBullet"/>
        <w:numPr>
          <w:ilvl w:val="0"/>
          <w:numId w:val="1"/>
        </w:numPr>
        <w:rPr>
          <w:i/>
          <w:lang w:eastAsia="ja-JP"/>
        </w:rPr>
      </w:pPr>
      <w:r w:rsidRPr="00622E5D">
        <w:rPr>
          <w:i/>
          <w:lang w:eastAsia="en-AU"/>
        </w:rPr>
        <w:t>The evaluator was unable to verify that all of the presented data complied with GCP.</w:t>
      </w:r>
    </w:p>
    <w:p w14:paraId="5EE75C45" w14:textId="77777777" w:rsidR="00436B89" w:rsidRPr="00A613A8" w:rsidRDefault="00436B89" w:rsidP="00177802">
      <w:pPr>
        <w:pStyle w:val="Heading3"/>
        <w:numPr>
          <w:ilvl w:val="1"/>
          <w:numId w:val="5"/>
        </w:numPr>
        <w:ind w:left="907" w:hanging="794"/>
      </w:pPr>
      <w:bookmarkStart w:id="54" w:name="_Toc473013881"/>
      <w:bookmarkStart w:id="55" w:name="_Toc355338639"/>
      <w:bookmarkStart w:id="56" w:name="_Toc505179678"/>
      <w:r w:rsidRPr="00A613A8">
        <w:t>Evaluator’s commentary on the clinical dossier</w:t>
      </w:r>
      <w:bookmarkEnd w:id="54"/>
      <w:bookmarkEnd w:id="56"/>
    </w:p>
    <w:p w14:paraId="6CCBAC0A" w14:textId="77777777" w:rsidR="00436B89" w:rsidRPr="00A613A8" w:rsidRDefault="00436B89" w:rsidP="00436B89">
      <w:pPr>
        <w:rPr>
          <w:lang w:eastAsia="ja-JP"/>
        </w:rPr>
      </w:pPr>
      <w:r>
        <w:rPr>
          <w:lang w:eastAsia="ja-JP"/>
        </w:rPr>
        <w:t xml:space="preserve">The dossier was poorly constructed and difficult to follow. All of the appropriate papers except one were included in the dossier. The PDF links from the table of contents in the dossier did not always function correctly and the appropriate paper had to be sourced manually through searching the files. </w:t>
      </w:r>
    </w:p>
    <w:p w14:paraId="5C93E7D4" w14:textId="77777777" w:rsidR="00436B89" w:rsidRPr="00A613A8" w:rsidRDefault="00436B89" w:rsidP="00177802">
      <w:pPr>
        <w:pStyle w:val="Heading2"/>
        <w:numPr>
          <w:ilvl w:val="0"/>
          <w:numId w:val="5"/>
        </w:numPr>
      </w:pPr>
      <w:bookmarkStart w:id="57" w:name="_Toc473013882"/>
      <w:bookmarkStart w:id="58" w:name="_Toc505179679"/>
      <w:r w:rsidRPr="00A613A8">
        <w:t>Pharmacokinetics</w:t>
      </w:r>
      <w:bookmarkEnd w:id="55"/>
      <w:bookmarkEnd w:id="57"/>
      <w:bookmarkEnd w:id="58"/>
    </w:p>
    <w:p w14:paraId="313194F2" w14:textId="77777777" w:rsidR="00436B89" w:rsidRPr="00A613A8" w:rsidRDefault="00436B89" w:rsidP="00177802">
      <w:pPr>
        <w:pStyle w:val="Heading3"/>
        <w:numPr>
          <w:ilvl w:val="1"/>
          <w:numId w:val="5"/>
        </w:numPr>
        <w:ind w:left="907" w:hanging="794"/>
      </w:pPr>
      <w:bookmarkStart w:id="59" w:name="_Toc473013883"/>
      <w:bookmarkStart w:id="60" w:name="_Toc505179680"/>
      <w:r w:rsidRPr="00A613A8">
        <w:t>Studies providing pharmacokinetic information</w:t>
      </w:r>
      <w:bookmarkEnd w:id="59"/>
      <w:bookmarkEnd w:id="60"/>
    </w:p>
    <w:p w14:paraId="562BD517" w14:textId="77777777" w:rsidR="00436B89" w:rsidRPr="00A613A8" w:rsidRDefault="00436B89" w:rsidP="00436B89">
      <w:pPr>
        <w:pStyle w:val="Tabletitle"/>
      </w:pPr>
      <w:bookmarkStart w:id="61" w:name="_Toc473013946"/>
      <w:r w:rsidRPr="00A613A8">
        <w:t xml:space="preserve">Table </w:t>
      </w:r>
      <w:r>
        <w:t>7:</w:t>
      </w:r>
      <w:r w:rsidRPr="00A613A8">
        <w:t xml:space="preserve"> Submitted pharmacokinetic studies</w:t>
      </w:r>
      <w:bookmarkEnd w:id="61"/>
    </w:p>
    <w:tbl>
      <w:tblPr>
        <w:tblStyle w:val="TableTGAblue"/>
        <w:tblW w:w="9039" w:type="dxa"/>
        <w:tblLayout w:type="fixed"/>
        <w:tblLook w:val="04A0" w:firstRow="1" w:lastRow="0" w:firstColumn="1" w:lastColumn="0" w:noHBand="0" w:noVBand="1"/>
      </w:tblPr>
      <w:tblGrid>
        <w:gridCol w:w="2235"/>
        <w:gridCol w:w="3685"/>
        <w:gridCol w:w="2126"/>
        <w:gridCol w:w="993"/>
      </w:tblGrid>
      <w:tr w:rsidR="00436B89" w:rsidRPr="00A613A8" w14:paraId="0471857F" w14:textId="77777777" w:rsidTr="00682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A9AB0A4" w14:textId="77777777" w:rsidR="00436B89" w:rsidRPr="00A613A8" w:rsidRDefault="00436B89" w:rsidP="00D34F8E">
            <w:pPr>
              <w:rPr>
                <w:b w:val="0"/>
              </w:rPr>
            </w:pPr>
            <w:r w:rsidRPr="00A613A8">
              <w:t>PK topic</w:t>
            </w:r>
          </w:p>
        </w:tc>
        <w:tc>
          <w:tcPr>
            <w:tcW w:w="3685" w:type="dxa"/>
          </w:tcPr>
          <w:p w14:paraId="4B7762E3" w14:textId="77777777" w:rsidR="00436B89" w:rsidRPr="00A613A8" w:rsidRDefault="00436B89" w:rsidP="00D34F8E">
            <w:pPr>
              <w:cnfStyle w:val="100000000000" w:firstRow="1" w:lastRow="0" w:firstColumn="0" w:lastColumn="0" w:oddVBand="0" w:evenVBand="0" w:oddHBand="0" w:evenHBand="0" w:firstRowFirstColumn="0" w:firstRowLastColumn="0" w:lastRowFirstColumn="0" w:lastRowLastColumn="0"/>
              <w:rPr>
                <w:b w:val="0"/>
              </w:rPr>
            </w:pPr>
            <w:r w:rsidRPr="00A613A8">
              <w:t>Subtopic</w:t>
            </w:r>
          </w:p>
        </w:tc>
        <w:tc>
          <w:tcPr>
            <w:tcW w:w="2126" w:type="dxa"/>
          </w:tcPr>
          <w:p w14:paraId="3E197A1A" w14:textId="77777777" w:rsidR="00436B89" w:rsidRPr="00A613A8" w:rsidRDefault="00436B89" w:rsidP="00D34F8E">
            <w:pPr>
              <w:cnfStyle w:val="100000000000" w:firstRow="1" w:lastRow="0" w:firstColumn="0" w:lastColumn="0" w:oddVBand="0" w:evenVBand="0" w:oddHBand="0" w:evenHBand="0" w:firstRowFirstColumn="0" w:firstRowLastColumn="0" w:lastRowFirstColumn="0" w:lastRowLastColumn="0"/>
              <w:rPr>
                <w:b w:val="0"/>
              </w:rPr>
            </w:pPr>
            <w:r w:rsidRPr="00A613A8">
              <w:t>Study ID</w:t>
            </w:r>
          </w:p>
        </w:tc>
        <w:tc>
          <w:tcPr>
            <w:tcW w:w="993" w:type="dxa"/>
          </w:tcPr>
          <w:p w14:paraId="726E16E7" w14:textId="77777777" w:rsidR="00436B89" w:rsidRPr="00A613A8" w:rsidRDefault="00436B89" w:rsidP="00D34F8E">
            <w:pPr>
              <w:cnfStyle w:val="100000000000" w:firstRow="1" w:lastRow="0" w:firstColumn="0" w:lastColumn="0" w:oddVBand="0" w:evenVBand="0" w:oddHBand="0" w:evenHBand="0" w:firstRowFirstColumn="0" w:firstRowLastColumn="0" w:lastRowFirstColumn="0" w:lastRowLastColumn="0"/>
              <w:rPr>
                <w:b w:val="0"/>
              </w:rPr>
            </w:pPr>
            <w:r w:rsidRPr="00A613A8">
              <w:t>*</w:t>
            </w:r>
          </w:p>
        </w:tc>
      </w:tr>
      <w:tr w:rsidR="00436B89" w:rsidRPr="00A613A8" w14:paraId="4FCB0B88" w14:textId="77777777" w:rsidTr="006820CE">
        <w:trPr>
          <w:trHeight w:val="876"/>
        </w:trPr>
        <w:tc>
          <w:tcPr>
            <w:cnfStyle w:val="001000000000" w:firstRow="0" w:lastRow="0" w:firstColumn="1" w:lastColumn="0" w:oddVBand="0" w:evenVBand="0" w:oddHBand="0" w:evenHBand="0" w:firstRowFirstColumn="0" w:firstRowLastColumn="0" w:lastRowFirstColumn="0" w:lastRowLastColumn="0"/>
            <w:tcW w:w="2235" w:type="dxa"/>
          </w:tcPr>
          <w:p w14:paraId="121B0A11" w14:textId="77777777" w:rsidR="00436B89" w:rsidRPr="00A613A8" w:rsidRDefault="00436B89" w:rsidP="00D34F8E">
            <w:pPr>
              <w:rPr>
                <w:color w:val="000000"/>
              </w:rPr>
            </w:pPr>
            <w:r w:rsidRPr="00A613A8">
              <w:rPr>
                <w:color w:val="000000"/>
              </w:rPr>
              <w:t>PK in healthy adults</w:t>
            </w:r>
          </w:p>
        </w:tc>
        <w:tc>
          <w:tcPr>
            <w:tcW w:w="3685" w:type="dxa"/>
          </w:tcPr>
          <w:p w14:paraId="325DF91B" w14:textId="77777777" w:rsidR="00436B89" w:rsidRPr="00A613A8"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A613A8">
              <w:rPr>
                <w:color w:val="000000"/>
              </w:rPr>
              <w:t>Bioequivalence †- Single dose</w:t>
            </w:r>
          </w:p>
        </w:tc>
        <w:tc>
          <w:tcPr>
            <w:tcW w:w="2126" w:type="dxa"/>
          </w:tcPr>
          <w:p w14:paraId="5A2A4CDC" w14:textId="77777777" w:rsidR="00436B89"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Pr>
                <w:color w:val="000000"/>
              </w:rPr>
              <w:t>LUC1001</w:t>
            </w:r>
          </w:p>
          <w:p w14:paraId="23D37BC6" w14:textId="77777777" w:rsidR="00436B89" w:rsidRPr="00A613A8"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Pr>
                <w:color w:val="000000"/>
              </w:rPr>
              <w:t>(Guffon 2012)</w:t>
            </w:r>
          </w:p>
        </w:tc>
        <w:tc>
          <w:tcPr>
            <w:tcW w:w="993" w:type="dxa"/>
          </w:tcPr>
          <w:p w14:paraId="03402B55" w14:textId="77777777" w:rsidR="00436B89" w:rsidRPr="00A613A8"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A613A8">
              <w:t>*</w:t>
            </w:r>
          </w:p>
        </w:tc>
      </w:tr>
      <w:tr w:rsidR="00436B89" w:rsidRPr="00A613A8" w14:paraId="6E9EDA45" w14:textId="77777777" w:rsidTr="006820CE">
        <w:tc>
          <w:tcPr>
            <w:cnfStyle w:val="001000000000" w:firstRow="0" w:lastRow="0" w:firstColumn="1" w:lastColumn="0" w:oddVBand="0" w:evenVBand="0" w:oddHBand="0" w:evenHBand="0" w:firstRowFirstColumn="0" w:firstRowLastColumn="0" w:lastRowFirstColumn="0" w:lastRowLastColumn="0"/>
            <w:tcW w:w="2235" w:type="dxa"/>
            <w:vMerge w:val="restart"/>
          </w:tcPr>
          <w:p w14:paraId="3B864E54" w14:textId="77777777" w:rsidR="00436B89" w:rsidRPr="00A613A8" w:rsidRDefault="00436B89" w:rsidP="00D34F8E">
            <w:pPr>
              <w:rPr>
                <w:color w:val="000000"/>
              </w:rPr>
            </w:pPr>
            <w:r w:rsidRPr="00A613A8">
              <w:rPr>
                <w:color w:val="000000"/>
              </w:rPr>
              <w:t xml:space="preserve">PK in special </w:t>
            </w:r>
            <w:r w:rsidRPr="00A613A8">
              <w:rPr>
                <w:color w:val="000000"/>
              </w:rPr>
              <w:lastRenderedPageBreak/>
              <w:t>populations</w:t>
            </w:r>
          </w:p>
        </w:tc>
        <w:tc>
          <w:tcPr>
            <w:tcW w:w="3685" w:type="dxa"/>
          </w:tcPr>
          <w:p w14:paraId="2A77C8E7" w14:textId="77777777" w:rsidR="00436B89" w:rsidRPr="00A613A8" w:rsidRDefault="002F68A8" w:rsidP="00D34F8E">
            <w:pPr>
              <w:cnfStyle w:val="000000000000" w:firstRow="0" w:lastRow="0" w:firstColumn="0" w:lastColumn="0" w:oddVBand="0" w:evenVBand="0" w:oddHBand="0" w:evenHBand="0" w:firstRowFirstColumn="0" w:firstRowLastColumn="0" w:lastRowFirstColumn="0" w:lastRowLastColumn="0"/>
              <w:rPr>
                <w:color w:val="000000"/>
              </w:rPr>
            </w:pPr>
            <w:r w:rsidRPr="00A613A8">
              <w:rPr>
                <w:color w:val="000000"/>
              </w:rPr>
              <w:lastRenderedPageBreak/>
              <w:t>Target population §</w:t>
            </w:r>
            <w:r w:rsidR="00436B89" w:rsidRPr="00A613A8">
              <w:rPr>
                <w:color w:val="000000"/>
              </w:rPr>
              <w:tab/>
              <w:t xml:space="preserve">- Single </w:t>
            </w:r>
            <w:r w:rsidR="00436B89" w:rsidRPr="00A613A8">
              <w:rPr>
                <w:color w:val="000000"/>
              </w:rPr>
              <w:lastRenderedPageBreak/>
              <w:t>dose</w:t>
            </w:r>
          </w:p>
        </w:tc>
        <w:tc>
          <w:tcPr>
            <w:tcW w:w="2126" w:type="dxa"/>
          </w:tcPr>
          <w:p w14:paraId="50631E55" w14:textId="77777777" w:rsidR="00436B89" w:rsidRPr="00A613A8"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p>
        </w:tc>
        <w:tc>
          <w:tcPr>
            <w:tcW w:w="993" w:type="dxa"/>
          </w:tcPr>
          <w:p w14:paraId="058F899C" w14:textId="77777777" w:rsidR="00436B89" w:rsidRPr="00A613A8"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p>
        </w:tc>
      </w:tr>
      <w:tr w:rsidR="00436B89" w:rsidRPr="00A613A8" w14:paraId="4951DC18" w14:textId="77777777" w:rsidTr="006820CE">
        <w:trPr>
          <w:trHeight w:val="1332"/>
        </w:trPr>
        <w:tc>
          <w:tcPr>
            <w:cnfStyle w:val="001000000000" w:firstRow="0" w:lastRow="0" w:firstColumn="1" w:lastColumn="0" w:oddVBand="0" w:evenVBand="0" w:oddHBand="0" w:evenHBand="0" w:firstRowFirstColumn="0" w:firstRowLastColumn="0" w:lastRowFirstColumn="0" w:lastRowLastColumn="0"/>
            <w:tcW w:w="2235" w:type="dxa"/>
            <w:vMerge/>
          </w:tcPr>
          <w:p w14:paraId="5F287689" w14:textId="77777777" w:rsidR="00436B89" w:rsidRPr="00A613A8" w:rsidRDefault="00436B89" w:rsidP="00D34F8E">
            <w:pPr>
              <w:rPr>
                <w:color w:val="000000"/>
              </w:rPr>
            </w:pPr>
          </w:p>
        </w:tc>
        <w:tc>
          <w:tcPr>
            <w:tcW w:w="3685" w:type="dxa"/>
          </w:tcPr>
          <w:p w14:paraId="2E584E25" w14:textId="77777777" w:rsidR="00436B89" w:rsidRPr="00A613A8"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A613A8">
              <w:rPr>
                <w:color w:val="000000"/>
              </w:rPr>
              <w:tab/>
              <w:t>- Multi-dose</w:t>
            </w:r>
          </w:p>
        </w:tc>
        <w:tc>
          <w:tcPr>
            <w:tcW w:w="2126" w:type="dxa"/>
          </w:tcPr>
          <w:p w14:paraId="0CBABC42" w14:textId="77777777" w:rsidR="00436B89"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Pr>
                <w:color w:val="000000"/>
              </w:rPr>
              <w:t>Gilbert 2001</w:t>
            </w:r>
          </w:p>
          <w:p w14:paraId="72D4E925" w14:textId="77777777" w:rsidR="00436B89"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Pr>
                <w:color w:val="000000"/>
              </w:rPr>
              <w:t>Lee 2010</w:t>
            </w:r>
          </w:p>
          <w:p w14:paraId="6D0120FB" w14:textId="77777777" w:rsidR="00436B89" w:rsidRPr="00A613A8"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Pr>
                <w:color w:val="000000"/>
              </w:rPr>
              <w:t>Smith 2013</w:t>
            </w:r>
          </w:p>
        </w:tc>
        <w:tc>
          <w:tcPr>
            <w:tcW w:w="993" w:type="dxa"/>
          </w:tcPr>
          <w:p w14:paraId="5F5B36CA" w14:textId="77777777" w:rsidR="00436B89" w:rsidRPr="00A613A8"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p>
        </w:tc>
      </w:tr>
      <w:tr w:rsidR="00436B89" w:rsidRPr="00A613A8" w14:paraId="21C39667" w14:textId="77777777" w:rsidTr="006820CE">
        <w:trPr>
          <w:trHeight w:val="812"/>
        </w:trPr>
        <w:tc>
          <w:tcPr>
            <w:cnfStyle w:val="001000000000" w:firstRow="0" w:lastRow="0" w:firstColumn="1" w:lastColumn="0" w:oddVBand="0" w:evenVBand="0" w:oddHBand="0" w:evenHBand="0" w:firstRowFirstColumn="0" w:firstRowLastColumn="0" w:lastRowFirstColumn="0" w:lastRowLastColumn="0"/>
            <w:tcW w:w="2235" w:type="dxa"/>
          </w:tcPr>
          <w:p w14:paraId="64755018" w14:textId="77777777" w:rsidR="00436B89" w:rsidRPr="00A613A8" w:rsidRDefault="00436B89" w:rsidP="00D34F8E">
            <w:pPr>
              <w:rPr>
                <w:color w:val="000000"/>
              </w:rPr>
            </w:pPr>
            <w:r w:rsidRPr="00A613A8">
              <w:rPr>
                <w:color w:val="000000"/>
              </w:rPr>
              <w:t>Population PK analyses</w:t>
            </w:r>
          </w:p>
        </w:tc>
        <w:tc>
          <w:tcPr>
            <w:tcW w:w="3685" w:type="dxa"/>
          </w:tcPr>
          <w:p w14:paraId="038E9E96" w14:textId="77777777" w:rsidR="00436B89" w:rsidRPr="00A613A8"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A613A8">
              <w:rPr>
                <w:color w:val="000000"/>
              </w:rPr>
              <w:t>Target population</w:t>
            </w:r>
          </w:p>
        </w:tc>
        <w:tc>
          <w:tcPr>
            <w:tcW w:w="2126" w:type="dxa"/>
          </w:tcPr>
          <w:p w14:paraId="11668942" w14:textId="77777777" w:rsidR="00436B89"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Pr>
                <w:color w:val="000000"/>
              </w:rPr>
              <w:t>Monteleone 2102</w:t>
            </w:r>
          </w:p>
          <w:p w14:paraId="25AC5543" w14:textId="77777777" w:rsidR="00436B89" w:rsidRPr="00A613A8"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Pr>
                <w:color w:val="000000"/>
              </w:rPr>
              <w:t>Mokhtaraini 2012</w:t>
            </w:r>
          </w:p>
        </w:tc>
        <w:tc>
          <w:tcPr>
            <w:tcW w:w="993" w:type="dxa"/>
          </w:tcPr>
          <w:p w14:paraId="5F4FAC3A" w14:textId="77777777" w:rsidR="00436B89" w:rsidRDefault="00436B89" w:rsidP="00D34F8E">
            <w:pPr>
              <w:cnfStyle w:val="000000000000" w:firstRow="0" w:lastRow="0" w:firstColumn="0" w:lastColumn="0" w:oddVBand="0" w:evenVBand="0" w:oddHBand="0" w:evenHBand="0" w:firstRowFirstColumn="0" w:firstRowLastColumn="0" w:lastRowFirstColumn="0" w:lastRowLastColumn="0"/>
            </w:pPr>
            <w:r w:rsidRPr="00A613A8">
              <w:t>*</w:t>
            </w:r>
          </w:p>
          <w:p w14:paraId="0E8F1274" w14:textId="77777777" w:rsidR="00436B89" w:rsidRPr="00A613A8" w:rsidRDefault="00436B89" w:rsidP="00D34F8E">
            <w:pPr>
              <w:cnfStyle w:val="000000000000" w:firstRow="0" w:lastRow="0" w:firstColumn="0" w:lastColumn="0" w:oddVBand="0" w:evenVBand="0" w:oddHBand="0" w:evenHBand="0" w:firstRowFirstColumn="0" w:firstRowLastColumn="0" w:lastRowFirstColumn="0" w:lastRowLastColumn="0"/>
              <w:rPr>
                <w:color w:val="000000"/>
              </w:rPr>
            </w:pPr>
            <w:r w:rsidRPr="00A613A8">
              <w:t>*</w:t>
            </w:r>
          </w:p>
        </w:tc>
      </w:tr>
    </w:tbl>
    <w:p w14:paraId="676DB1FA" w14:textId="77777777" w:rsidR="00436B89" w:rsidRPr="00A613A8" w:rsidRDefault="00436B89" w:rsidP="00436B89">
      <w:pPr>
        <w:pStyle w:val="TableDescription"/>
      </w:pPr>
      <w:r w:rsidRPr="00A613A8">
        <w:t xml:space="preserve">* Indicates the primary PK </w:t>
      </w:r>
      <w:r w:rsidRPr="00622E5D">
        <w:t>aim</w:t>
      </w:r>
      <w:r w:rsidRPr="00A613A8">
        <w:t xml:space="preserve"> of the study.</w:t>
      </w:r>
      <w:r>
        <w:t xml:space="preserve"> </w:t>
      </w:r>
      <w:r w:rsidRPr="00A613A8">
        <w:t>† Bioequivalence of different formulations.</w:t>
      </w:r>
      <w:r>
        <w:t xml:space="preserve"> </w:t>
      </w:r>
      <w:r w:rsidRPr="00A613A8">
        <w:t>§ Subjects who would be eligible to receive the drug if approved for the proposed indication.</w:t>
      </w:r>
    </w:p>
    <w:p w14:paraId="7651A560" w14:textId="77777777" w:rsidR="00436B89" w:rsidRPr="00A613A8" w:rsidRDefault="00436B89" w:rsidP="00177802">
      <w:pPr>
        <w:pStyle w:val="Heading3"/>
        <w:numPr>
          <w:ilvl w:val="1"/>
          <w:numId w:val="5"/>
        </w:numPr>
        <w:ind w:left="907" w:hanging="794"/>
      </w:pPr>
      <w:bookmarkStart w:id="62" w:name="_Toc473013884"/>
      <w:bookmarkStart w:id="63" w:name="_Toc505179681"/>
      <w:r w:rsidRPr="00A613A8">
        <w:t>Summary of pharmacokinetics</w:t>
      </w:r>
      <w:bookmarkEnd w:id="62"/>
      <w:bookmarkEnd w:id="63"/>
    </w:p>
    <w:p w14:paraId="354240BF" w14:textId="77777777" w:rsidR="00436B89" w:rsidRPr="00A613A8" w:rsidRDefault="00436B89" w:rsidP="00177802">
      <w:pPr>
        <w:pStyle w:val="Heading4"/>
        <w:numPr>
          <w:ilvl w:val="2"/>
          <w:numId w:val="5"/>
        </w:numPr>
      </w:pPr>
      <w:bookmarkStart w:id="64" w:name="_Toc272414617"/>
      <w:bookmarkStart w:id="65" w:name="_Toc290888466"/>
      <w:bookmarkStart w:id="66" w:name="_Toc416353662"/>
      <w:bookmarkStart w:id="67" w:name="_Toc421005243"/>
      <w:bookmarkStart w:id="68" w:name="_Toc432079125"/>
      <w:bookmarkStart w:id="69" w:name="_Toc432080698"/>
      <w:r w:rsidRPr="00A613A8">
        <w:t>Physicochemical characteristics of the active substance</w:t>
      </w:r>
      <w:bookmarkEnd w:id="64"/>
      <w:bookmarkEnd w:id="65"/>
      <w:bookmarkEnd w:id="66"/>
      <w:bookmarkEnd w:id="67"/>
      <w:bookmarkEnd w:id="68"/>
      <w:bookmarkEnd w:id="69"/>
    </w:p>
    <w:p w14:paraId="49BAB661" w14:textId="77777777" w:rsidR="00436B89" w:rsidRPr="00A613A8" w:rsidRDefault="00436B89" w:rsidP="00436B89">
      <w:pPr>
        <w:rPr>
          <w:lang w:eastAsia="ja-JP"/>
        </w:rPr>
      </w:pPr>
      <w:bookmarkStart w:id="70" w:name="_Ref271189106"/>
      <w:bookmarkStart w:id="71" w:name="_Ref271189143"/>
      <w:bookmarkStart w:id="72" w:name="_Toc272414618"/>
      <w:bookmarkStart w:id="73" w:name="_Toc290888467"/>
      <w:bookmarkStart w:id="74" w:name="_Toc416353663"/>
      <w:bookmarkStart w:id="75" w:name="_Toc421005244"/>
      <w:bookmarkStart w:id="76" w:name="_Toc432079126"/>
      <w:bookmarkStart w:id="77" w:name="_Toc432080699"/>
      <w:r>
        <w:rPr>
          <w:lang w:eastAsia="ja-JP"/>
        </w:rPr>
        <w:t>Phenylbutyrate is an aromatic short-chain fatty acid which is a chemical derivative of butyric acid naturally produced by colonic bacteria fermentation. Sodium phenylbutyrate is an off-white crystalline substance which is soluble in water and has a strong salty taste. Sodium phenylbutyrate also is freely soluble in methanol and practically insoluble in acetone and diethyl ether. It is known chemically as 4-phenylbutyric acid, sodium salt with a molecular weight of 186 and the molecular formula C</w:t>
      </w:r>
      <w:r w:rsidRPr="00622E5D">
        <w:rPr>
          <w:vertAlign w:val="subscript"/>
          <w:lang w:eastAsia="ja-JP"/>
        </w:rPr>
        <w:t>10</w:t>
      </w:r>
      <w:r>
        <w:rPr>
          <w:lang w:eastAsia="ja-JP"/>
        </w:rPr>
        <w:t>H</w:t>
      </w:r>
      <w:r w:rsidRPr="00622E5D">
        <w:rPr>
          <w:vertAlign w:val="subscript"/>
          <w:lang w:eastAsia="ja-JP"/>
        </w:rPr>
        <w:t>11</w:t>
      </w:r>
      <w:r>
        <w:rPr>
          <w:lang w:eastAsia="ja-JP"/>
        </w:rPr>
        <w:t>O</w:t>
      </w:r>
      <w:r w:rsidRPr="00622E5D">
        <w:rPr>
          <w:vertAlign w:val="subscript"/>
          <w:lang w:eastAsia="ja-JP"/>
        </w:rPr>
        <w:t>2</w:t>
      </w:r>
      <w:r>
        <w:rPr>
          <w:lang w:eastAsia="ja-JP"/>
        </w:rPr>
        <w:t>Na.</w:t>
      </w:r>
    </w:p>
    <w:p w14:paraId="1AF37CA9" w14:textId="77777777" w:rsidR="00436B89" w:rsidRPr="00A613A8" w:rsidRDefault="00436B89" w:rsidP="00177802">
      <w:pPr>
        <w:pStyle w:val="Heading4"/>
        <w:numPr>
          <w:ilvl w:val="2"/>
          <w:numId w:val="5"/>
        </w:numPr>
      </w:pPr>
      <w:r w:rsidRPr="00A613A8">
        <w:t>Pharmacokinetics in healthy subjects</w:t>
      </w:r>
      <w:bookmarkEnd w:id="70"/>
      <w:bookmarkEnd w:id="71"/>
      <w:bookmarkEnd w:id="72"/>
      <w:bookmarkEnd w:id="73"/>
      <w:bookmarkEnd w:id="74"/>
      <w:bookmarkEnd w:id="75"/>
      <w:bookmarkEnd w:id="76"/>
      <w:bookmarkEnd w:id="77"/>
    </w:p>
    <w:p w14:paraId="0A021592" w14:textId="77777777" w:rsidR="00436B89" w:rsidRPr="00A613A8" w:rsidRDefault="00436B89" w:rsidP="00436B89">
      <w:pPr>
        <w:rPr>
          <w:lang w:eastAsia="ja-JP"/>
        </w:rPr>
      </w:pPr>
      <w:r w:rsidRPr="00A613A8">
        <w:rPr>
          <w:lang w:eastAsia="ja-JP"/>
        </w:rPr>
        <w:t>The submission confirms that formal ADME studies were not provided. Plasma and urine concentration of phenylbutyrate and its metabolites were obtained from fasting normal adults and from patients with UCD, haemoglobinopathies, cancer, cystic fibrosis (CF) and cirrhosis receiving single and repeated oral doses up to 45 g/day</w:t>
      </w:r>
      <w:r>
        <w:rPr>
          <w:lang w:eastAsia="ja-JP"/>
        </w:rPr>
        <w:t>; this is over double the recommended daily dose of 20 g/day for the current indication</w:t>
      </w:r>
      <w:r w:rsidRPr="00A613A8">
        <w:rPr>
          <w:lang w:eastAsia="ja-JP"/>
        </w:rPr>
        <w:t>.</w:t>
      </w:r>
    </w:p>
    <w:p w14:paraId="0D024208" w14:textId="77777777"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t>Study, LUC1001</w:t>
      </w:r>
    </w:p>
    <w:p w14:paraId="2AABE507" w14:textId="77777777" w:rsidR="00436B89" w:rsidRPr="00A613A8" w:rsidRDefault="00436B89" w:rsidP="00436B89">
      <w:pPr>
        <w:rPr>
          <w:lang w:eastAsia="ja-JP"/>
        </w:rPr>
      </w:pPr>
      <w:r w:rsidRPr="00A613A8">
        <w:rPr>
          <w:lang w:eastAsia="ja-JP"/>
        </w:rPr>
        <w:t>The bioequivalence study, LUC1001, defined the basic pharmacokinetic parameters in normal adult volunteers after a single dose (</w:t>
      </w:r>
      <w:r>
        <w:rPr>
          <w:lang w:eastAsia="ja-JP"/>
        </w:rPr>
        <w:t>Table 8</w:t>
      </w:r>
      <w:r w:rsidRPr="00A613A8">
        <w:rPr>
          <w:lang w:eastAsia="ja-JP"/>
        </w:rPr>
        <w:t>). McGuire found similar results in 22 healthy adults receiving a single dose of</w:t>
      </w:r>
      <w:r>
        <w:rPr>
          <w:lang w:eastAsia="ja-JP"/>
        </w:rPr>
        <w:t xml:space="preserve"> phenylbutyrate (not Pheburane)</w:t>
      </w:r>
      <w:r w:rsidRPr="00A613A8">
        <w:rPr>
          <w:lang w:eastAsia="ja-JP"/>
        </w:rPr>
        <w:t xml:space="preserve"> 3 g/m2 (</w:t>
      </w:r>
      <w:r>
        <w:rPr>
          <w:lang w:eastAsia="ja-JP"/>
        </w:rPr>
        <w:t>Table 9</w:t>
      </w:r>
      <w:r w:rsidRPr="00A613A8">
        <w:rPr>
          <w:lang w:eastAsia="ja-JP"/>
        </w:rPr>
        <w:t>).</w:t>
      </w:r>
    </w:p>
    <w:p w14:paraId="1F7E1942" w14:textId="77777777" w:rsidR="00436B89" w:rsidRPr="00A613A8" w:rsidRDefault="00436B89" w:rsidP="006820CE">
      <w:pPr>
        <w:pStyle w:val="Tabletitle"/>
        <w:rPr>
          <w:lang w:eastAsia="ja-JP"/>
        </w:rPr>
      </w:pPr>
      <w:bookmarkStart w:id="78" w:name="_Ref457767342"/>
      <w:bookmarkStart w:id="79" w:name="_Toc473013947"/>
      <w:r w:rsidRPr="00A613A8">
        <w:t xml:space="preserve">Table </w:t>
      </w:r>
      <w:bookmarkEnd w:id="78"/>
      <w:r>
        <w:t>8:</w:t>
      </w:r>
      <w:r w:rsidRPr="00A613A8">
        <w:t xml:space="preserve"> </w:t>
      </w:r>
      <w:r w:rsidRPr="00A613A8">
        <w:rPr>
          <w:spacing w:val="-1"/>
          <w:lang w:eastAsia="en-AU"/>
        </w:rPr>
        <w:t>Pharmacokinetics</w:t>
      </w:r>
      <w:r w:rsidRPr="00A613A8">
        <w:rPr>
          <w:spacing w:val="-7"/>
          <w:lang w:eastAsia="en-AU"/>
        </w:rPr>
        <w:t xml:space="preserve"> </w:t>
      </w:r>
      <w:r w:rsidRPr="00A613A8">
        <w:rPr>
          <w:lang w:eastAsia="en-AU"/>
        </w:rPr>
        <w:t>of</w:t>
      </w:r>
      <w:r w:rsidRPr="00A613A8">
        <w:rPr>
          <w:spacing w:val="-7"/>
          <w:lang w:eastAsia="en-AU"/>
        </w:rPr>
        <w:t xml:space="preserve"> </w:t>
      </w:r>
      <w:r w:rsidRPr="00A613A8">
        <w:rPr>
          <w:lang w:eastAsia="en-AU"/>
        </w:rPr>
        <w:t>sodium</w:t>
      </w:r>
      <w:r w:rsidRPr="00A613A8">
        <w:rPr>
          <w:spacing w:val="-10"/>
          <w:lang w:eastAsia="en-AU"/>
        </w:rPr>
        <w:t xml:space="preserve"> </w:t>
      </w:r>
      <w:r w:rsidRPr="00A613A8">
        <w:rPr>
          <w:lang w:eastAsia="en-AU"/>
        </w:rPr>
        <w:t>phenylbutyrate</w:t>
      </w:r>
      <w:r w:rsidRPr="00A613A8">
        <w:rPr>
          <w:spacing w:val="-6"/>
          <w:lang w:eastAsia="en-AU"/>
        </w:rPr>
        <w:t xml:space="preserve"> </w:t>
      </w:r>
      <w:r w:rsidRPr="00A613A8">
        <w:rPr>
          <w:lang w:eastAsia="en-AU"/>
        </w:rPr>
        <w:t>in</w:t>
      </w:r>
      <w:r w:rsidRPr="00A613A8">
        <w:rPr>
          <w:spacing w:val="-7"/>
          <w:lang w:eastAsia="en-AU"/>
        </w:rPr>
        <w:t xml:space="preserve"> </w:t>
      </w:r>
      <w:r w:rsidRPr="00A613A8">
        <w:rPr>
          <w:lang w:eastAsia="en-AU"/>
        </w:rPr>
        <w:t>healthy</w:t>
      </w:r>
      <w:r w:rsidRPr="00A613A8">
        <w:rPr>
          <w:spacing w:val="-7"/>
          <w:lang w:eastAsia="en-AU"/>
        </w:rPr>
        <w:t xml:space="preserve"> </w:t>
      </w:r>
      <w:r w:rsidRPr="00A613A8">
        <w:rPr>
          <w:lang w:eastAsia="en-AU"/>
        </w:rPr>
        <w:t>volunteers</w:t>
      </w:r>
      <w:r w:rsidRPr="00A613A8">
        <w:rPr>
          <w:spacing w:val="-7"/>
          <w:lang w:eastAsia="en-AU"/>
        </w:rPr>
        <w:t xml:space="preserve"> </w:t>
      </w:r>
      <w:r w:rsidRPr="00A613A8">
        <w:rPr>
          <w:lang w:eastAsia="en-AU"/>
        </w:rPr>
        <w:t>according</w:t>
      </w:r>
      <w:r w:rsidRPr="00A613A8">
        <w:rPr>
          <w:spacing w:val="-9"/>
          <w:lang w:eastAsia="en-AU"/>
        </w:rPr>
        <w:t xml:space="preserve"> </w:t>
      </w:r>
      <w:r w:rsidRPr="00A613A8">
        <w:rPr>
          <w:lang w:eastAsia="en-AU"/>
        </w:rPr>
        <w:t>to</w:t>
      </w:r>
      <w:r w:rsidRPr="00A613A8">
        <w:rPr>
          <w:spacing w:val="-7"/>
          <w:lang w:eastAsia="en-AU"/>
        </w:rPr>
        <w:t xml:space="preserve"> </w:t>
      </w:r>
      <w:r w:rsidRPr="00A613A8">
        <w:rPr>
          <w:lang w:eastAsia="en-AU"/>
        </w:rPr>
        <w:t xml:space="preserve">gender (Study </w:t>
      </w:r>
      <w:r w:rsidRPr="00A613A8">
        <w:rPr>
          <w:lang w:eastAsia="ja-JP"/>
        </w:rPr>
        <w:t>LUC1001)</w:t>
      </w:r>
      <w:bookmarkEnd w:id="79"/>
    </w:p>
    <w:tbl>
      <w:tblPr>
        <w:tblStyle w:val="TableTGAblue"/>
        <w:tblW w:w="9125" w:type="dxa"/>
        <w:tblLayout w:type="fixed"/>
        <w:tblLook w:val="0020" w:firstRow="1" w:lastRow="0" w:firstColumn="0" w:lastColumn="0" w:noHBand="0" w:noVBand="0"/>
      </w:tblPr>
      <w:tblGrid>
        <w:gridCol w:w="1033"/>
        <w:gridCol w:w="1910"/>
        <w:gridCol w:w="1103"/>
        <w:gridCol w:w="1526"/>
        <w:gridCol w:w="1415"/>
        <w:gridCol w:w="2138"/>
      </w:tblGrid>
      <w:tr w:rsidR="00436B89" w:rsidRPr="006820CE" w14:paraId="04A2DBEF" w14:textId="77777777" w:rsidTr="006820CE">
        <w:trPr>
          <w:cnfStyle w:val="100000000000" w:firstRow="1" w:lastRow="0" w:firstColumn="0" w:lastColumn="0" w:oddVBand="0" w:evenVBand="0" w:oddHBand="0" w:evenHBand="0" w:firstRowFirstColumn="0" w:firstRowLastColumn="0" w:lastRowFirstColumn="0" w:lastRowLastColumn="0"/>
          <w:trHeight w:hRule="exact" w:val="438"/>
          <w:tblHeader/>
        </w:trPr>
        <w:tc>
          <w:tcPr>
            <w:tcW w:w="1033" w:type="dxa"/>
            <w:vMerge w:val="restart"/>
          </w:tcPr>
          <w:p w14:paraId="439BB90A" w14:textId="77777777" w:rsidR="00436B89" w:rsidRPr="006820CE" w:rsidRDefault="00436B89" w:rsidP="006820CE">
            <w:pPr>
              <w:ind w:left="0"/>
              <w:rPr>
                <w:sz w:val="20"/>
                <w:szCs w:val="20"/>
              </w:rPr>
            </w:pPr>
            <w:r w:rsidRPr="006820CE">
              <w:rPr>
                <w:sz w:val="20"/>
                <w:szCs w:val="20"/>
              </w:rPr>
              <w:t>Ref.</w:t>
            </w:r>
          </w:p>
        </w:tc>
        <w:tc>
          <w:tcPr>
            <w:tcW w:w="3013" w:type="dxa"/>
            <w:gridSpan w:val="2"/>
            <w:vMerge w:val="restart"/>
          </w:tcPr>
          <w:p w14:paraId="48169A16" w14:textId="77777777" w:rsidR="00436B89" w:rsidRPr="006820CE" w:rsidRDefault="00436B89" w:rsidP="006820CE">
            <w:pPr>
              <w:ind w:left="0"/>
              <w:rPr>
                <w:sz w:val="20"/>
                <w:szCs w:val="20"/>
              </w:rPr>
            </w:pPr>
            <w:r w:rsidRPr="006820CE">
              <w:rPr>
                <w:spacing w:val="-1"/>
                <w:sz w:val="20"/>
                <w:szCs w:val="20"/>
              </w:rPr>
              <w:t>Parameter</w:t>
            </w:r>
          </w:p>
        </w:tc>
        <w:tc>
          <w:tcPr>
            <w:tcW w:w="5079" w:type="dxa"/>
            <w:gridSpan w:val="3"/>
          </w:tcPr>
          <w:p w14:paraId="26221596" w14:textId="77777777" w:rsidR="00436B89" w:rsidRPr="006820CE" w:rsidRDefault="00436B89" w:rsidP="006820CE">
            <w:pPr>
              <w:ind w:left="0"/>
              <w:rPr>
                <w:sz w:val="20"/>
                <w:szCs w:val="20"/>
              </w:rPr>
            </w:pPr>
            <w:r w:rsidRPr="006820CE">
              <w:rPr>
                <w:spacing w:val="-1"/>
                <w:sz w:val="20"/>
                <w:szCs w:val="20"/>
              </w:rPr>
              <w:t>Plasma</w:t>
            </w:r>
            <w:r w:rsidRPr="006820CE">
              <w:rPr>
                <w:spacing w:val="-19"/>
                <w:sz w:val="20"/>
                <w:szCs w:val="20"/>
              </w:rPr>
              <w:t xml:space="preserve"> </w:t>
            </w:r>
            <w:r w:rsidRPr="006820CE">
              <w:rPr>
                <w:sz w:val="20"/>
                <w:szCs w:val="20"/>
              </w:rPr>
              <w:t>concentrations</w:t>
            </w:r>
          </w:p>
        </w:tc>
      </w:tr>
      <w:tr w:rsidR="00436B89" w:rsidRPr="006820CE" w14:paraId="309FA37C" w14:textId="77777777" w:rsidTr="006820CE">
        <w:trPr>
          <w:cnfStyle w:val="100000000000" w:firstRow="1" w:lastRow="0" w:firstColumn="0" w:lastColumn="0" w:oddVBand="0" w:evenVBand="0" w:oddHBand="0" w:evenHBand="0" w:firstRowFirstColumn="0" w:firstRowLastColumn="0" w:lastRowFirstColumn="0" w:lastRowLastColumn="0"/>
          <w:trHeight w:hRule="exact" w:val="714"/>
          <w:tblHeader/>
        </w:trPr>
        <w:tc>
          <w:tcPr>
            <w:tcW w:w="1033" w:type="dxa"/>
            <w:vMerge/>
          </w:tcPr>
          <w:p w14:paraId="76DC1B64" w14:textId="77777777" w:rsidR="00436B89" w:rsidRPr="006820CE" w:rsidRDefault="00436B89" w:rsidP="006820CE">
            <w:pPr>
              <w:ind w:left="0"/>
              <w:rPr>
                <w:sz w:val="20"/>
                <w:szCs w:val="20"/>
              </w:rPr>
            </w:pPr>
          </w:p>
        </w:tc>
        <w:tc>
          <w:tcPr>
            <w:tcW w:w="3013" w:type="dxa"/>
            <w:gridSpan w:val="2"/>
            <w:vMerge/>
          </w:tcPr>
          <w:p w14:paraId="7513B4AD" w14:textId="77777777" w:rsidR="00436B89" w:rsidRPr="006820CE" w:rsidRDefault="00436B89" w:rsidP="006820CE">
            <w:pPr>
              <w:ind w:left="0"/>
              <w:rPr>
                <w:sz w:val="20"/>
                <w:szCs w:val="20"/>
              </w:rPr>
            </w:pPr>
          </w:p>
        </w:tc>
        <w:tc>
          <w:tcPr>
            <w:tcW w:w="1526" w:type="dxa"/>
          </w:tcPr>
          <w:p w14:paraId="100739AD" w14:textId="77777777" w:rsidR="00436B89" w:rsidRPr="006820CE" w:rsidRDefault="00436B89" w:rsidP="006820CE">
            <w:pPr>
              <w:ind w:left="0"/>
              <w:rPr>
                <w:sz w:val="20"/>
                <w:szCs w:val="20"/>
              </w:rPr>
            </w:pPr>
            <w:r w:rsidRPr="006820CE">
              <w:rPr>
                <w:spacing w:val="-1"/>
                <w:sz w:val="20"/>
                <w:szCs w:val="20"/>
              </w:rPr>
              <w:t>phenylbutyrate</w:t>
            </w:r>
          </w:p>
        </w:tc>
        <w:tc>
          <w:tcPr>
            <w:tcW w:w="1415" w:type="dxa"/>
          </w:tcPr>
          <w:p w14:paraId="003C59D3" w14:textId="77777777" w:rsidR="00436B89" w:rsidRPr="006820CE" w:rsidRDefault="00436B89" w:rsidP="006820CE">
            <w:pPr>
              <w:ind w:left="0"/>
              <w:rPr>
                <w:sz w:val="20"/>
                <w:szCs w:val="20"/>
              </w:rPr>
            </w:pPr>
            <w:r w:rsidRPr="006820CE">
              <w:rPr>
                <w:spacing w:val="-1"/>
                <w:sz w:val="20"/>
                <w:szCs w:val="20"/>
              </w:rPr>
              <w:t>phenylacetate</w:t>
            </w:r>
          </w:p>
        </w:tc>
        <w:tc>
          <w:tcPr>
            <w:tcW w:w="2138" w:type="dxa"/>
          </w:tcPr>
          <w:p w14:paraId="264E9B11" w14:textId="77777777" w:rsidR="00436B89" w:rsidRPr="006820CE" w:rsidRDefault="00436B89" w:rsidP="006820CE">
            <w:pPr>
              <w:ind w:left="0"/>
              <w:rPr>
                <w:sz w:val="20"/>
                <w:szCs w:val="20"/>
              </w:rPr>
            </w:pPr>
            <w:r w:rsidRPr="006820CE">
              <w:rPr>
                <w:spacing w:val="-1"/>
                <w:sz w:val="20"/>
                <w:szCs w:val="20"/>
              </w:rPr>
              <w:t>phenylacetylglutamine</w:t>
            </w:r>
          </w:p>
        </w:tc>
      </w:tr>
      <w:tr w:rsidR="00436B89" w:rsidRPr="006820CE" w14:paraId="7E938F78" w14:textId="77777777" w:rsidTr="006820CE">
        <w:trPr>
          <w:trHeight w:hRule="exact" w:val="426"/>
        </w:trPr>
        <w:tc>
          <w:tcPr>
            <w:tcW w:w="1033" w:type="dxa"/>
            <w:vMerge w:val="restart"/>
          </w:tcPr>
          <w:p w14:paraId="774F98C5" w14:textId="77777777" w:rsidR="00436B89" w:rsidRPr="006820CE" w:rsidRDefault="00436B89" w:rsidP="006820CE">
            <w:pPr>
              <w:ind w:left="0"/>
              <w:rPr>
                <w:sz w:val="20"/>
                <w:szCs w:val="20"/>
              </w:rPr>
            </w:pPr>
            <w:r w:rsidRPr="006820CE">
              <w:rPr>
                <w:sz w:val="20"/>
                <w:szCs w:val="20"/>
                <w:lang w:eastAsia="ja-JP"/>
              </w:rPr>
              <w:t>LUC1001</w:t>
            </w:r>
          </w:p>
        </w:tc>
        <w:tc>
          <w:tcPr>
            <w:tcW w:w="1910" w:type="dxa"/>
            <w:vMerge w:val="restart"/>
          </w:tcPr>
          <w:p w14:paraId="43A4BDC5" w14:textId="77777777" w:rsidR="00436B89" w:rsidRPr="006820CE" w:rsidRDefault="00436B89" w:rsidP="006820CE">
            <w:pPr>
              <w:ind w:left="0"/>
              <w:rPr>
                <w:color w:val="000000"/>
                <w:sz w:val="20"/>
                <w:szCs w:val="20"/>
              </w:rPr>
            </w:pPr>
            <w:r w:rsidRPr="006820CE">
              <w:rPr>
                <w:color w:val="010202"/>
                <w:spacing w:val="-1"/>
                <w:sz w:val="20"/>
                <w:szCs w:val="20"/>
              </w:rPr>
              <w:t>AUC</w:t>
            </w:r>
          </w:p>
          <w:p w14:paraId="22110051" w14:textId="77777777" w:rsidR="00436B89" w:rsidRPr="006820CE" w:rsidRDefault="00436B89" w:rsidP="006820CE">
            <w:pPr>
              <w:ind w:left="0"/>
              <w:rPr>
                <w:sz w:val="20"/>
                <w:szCs w:val="20"/>
              </w:rPr>
            </w:pPr>
            <w:r w:rsidRPr="006820CE">
              <w:rPr>
                <w:color w:val="010202"/>
                <w:spacing w:val="-1"/>
                <w:sz w:val="20"/>
                <w:szCs w:val="20"/>
              </w:rPr>
              <w:t xml:space="preserve">μmol/L </w:t>
            </w:r>
            <w:r w:rsidRPr="006820CE">
              <w:rPr>
                <w:color w:val="010202"/>
                <w:sz w:val="20"/>
                <w:szCs w:val="20"/>
              </w:rPr>
              <w:t>x</w:t>
            </w:r>
            <w:r w:rsidRPr="006820CE">
              <w:rPr>
                <w:color w:val="010202"/>
                <w:spacing w:val="-1"/>
                <w:sz w:val="20"/>
                <w:szCs w:val="20"/>
              </w:rPr>
              <w:t xml:space="preserve"> h</w:t>
            </w:r>
          </w:p>
        </w:tc>
        <w:tc>
          <w:tcPr>
            <w:tcW w:w="1103" w:type="dxa"/>
          </w:tcPr>
          <w:p w14:paraId="0145DD6D" w14:textId="77777777" w:rsidR="00436B89" w:rsidRPr="006820CE" w:rsidRDefault="00436B89" w:rsidP="006820CE">
            <w:pPr>
              <w:ind w:left="0"/>
              <w:rPr>
                <w:sz w:val="20"/>
                <w:szCs w:val="20"/>
              </w:rPr>
            </w:pPr>
            <w:r w:rsidRPr="006820CE">
              <w:rPr>
                <w:color w:val="010202"/>
                <w:sz w:val="20"/>
                <w:szCs w:val="20"/>
              </w:rPr>
              <w:t>Males</w:t>
            </w:r>
          </w:p>
        </w:tc>
        <w:tc>
          <w:tcPr>
            <w:tcW w:w="1526" w:type="dxa"/>
          </w:tcPr>
          <w:p w14:paraId="704C4256" w14:textId="77777777" w:rsidR="00436B89" w:rsidRPr="006820CE" w:rsidRDefault="00436B89" w:rsidP="006820CE">
            <w:pPr>
              <w:ind w:left="0"/>
              <w:rPr>
                <w:sz w:val="20"/>
                <w:szCs w:val="20"/>
              </w:rPr>
            </w:pPr>
            <w:r w:rsidRPr="006820CE">
              <w:rPr>
                <w:color w:val="010202"/>
                <w:sz w:val="20"/>
                <w:szCs w:val="20"/>
              </w:rPr>
              <w:t>2578.4</w:t>
            </w:r>
          </w:p>
        </w:tc>
        <w:tc>
          <w:tcPr>
            <w:tcW w:w="1415" w:type="dxa"/>
          </w:tcPr>
          <w:p w14:paraId="3899CFBC" w14:textId="77777777" w:rsidR="00436B89" w:rsidRPr="006820CE" w:rsidRDefault="00436B89" w:rsidP="006820CE">
            <w:pPr>
              <w:ind w:left="0"/>
              <w:rPr>
                <w:sz w:val="20"/>
                <w:szCs w:val="20"/>
              </w:rPr>
            </w:pPr>
            <w:r w:rsidRPr="006820CE">
              <w:rPr>
                <w:color w:val="010202"/>
                <w:sz w:val="20"/>
                <w:szCs w:val="20"/>
              </w:rPr>
              <w:t>1134.0</w:t>
            </w:r>
          </w:p>
        </w:tc>
        <w:tc>
          <w:tcPr>
            <w:tcW w:w="2138" w:type="dxa"/>
          </w:tcPr>
          <w:p w14:paraId="7FC3334A" w14:textId="77777777" w:rsidR="00436B89" w:rsidRPr="006820CE" w:rsidRDefault="00436B89" w:rsidP="006820CE">
            <w:pPr>
              <w:ind w:left="0"/>
              <w:rPr>
                <w:sz w:val="20"/>
                <w:szCs w:val="20"/>
              </w:rPr>
            </w:pPr>
            <w:r w:rsidRPr="006820CE">
              <w:rPr>
                <w:color w:val="010202"/>
                <w:sz w:val="20"/>
                <w:szCs w:val="20"/>
              </w:rPr>
              <w:t>1049.7</w:t>
            </w:r>
          </w:p>
        </w:tc>
      </w:tr>
      <w:tr w:rsidR="00436B89" w:rsidRPr="006820CE" w14:paraId="59782543" w14:textId="77777777" w:rsidTr="006820CE">
        <w:trPr>
          <w:trHeight w:hRule="exact" w:val="702"/>
        </w:trPr>
        <w:tc>
          <w:tcPr>
            <w:tcW w:w="1033" w:type="dxa"/>
            <w:vMerge/>
          </w:tcPr>
          <w:p w14:paraId="7DF3FCE1" w14:textId="77777777" w:rsidR="00436B89" w:rsidRPr="006820CE" w:rsidRDefault="00436B89" w:rsidP="006820CE">
            <w:pPr>
              <w:ind w:left="0"/>
              <w:rPr>
                <w:sz w:val="20"/>
                <w:szCs w:val="20"/>
              </w:rPr>
            </w:pPr>
          </w:p>
        </w:tc>
        <w:tc>
          <w:tcPr>
            <w:tcW w:w="1910" w:type="dxa"/>
            <w:vMerge/>
          </w:tcPr>
          <w:p w14:paraId="1439418C" w14:textId="77777777" w:rsidR="00436B89" w:rsidRPr="006820CE" w:rsidRDefault="00436B89" w:rsidP="006820CE">
            <w:pPr>
              <w:ind w:left="0"/>
              <w:rPr>
                <w:sz w:val="20"/>
                <w:szCs w:val="20"/>
              </w:rPr>
            </w:pPr>
          </w:p>
        </w:tc>
        <w:tc>
          <w:tcPr>
            <w:tcW w:w="1103" w:type="dxa"/>
          </w:tcPr>
          <w:p w14:paraId="73944A6F" w14:textId="77777777" w:rsidR="00436B89" w:rsidRPr="006820CE" w:rsidRDefault="00436B89" w:rsidP="006820CE">
            <w:pPr>
              <w:ind w:left="0"/>
              <w:rPr>
                <w:sz w:val="20"/>
                <w:szCs w:val="20"/>
              </w:rPr>
            </w:pPr>
            <w:r w:rsidRPr="006820CE">
              <w:rPr>
                <w:color w:val="010202"/>
                <w:spacing w:val="-1"/>
                <w:sz w:val="20"/>
                <w:szCs w:val="20"/>
              </w:rPr>
              <w:t>Females</w:t>
            </w:r>
          </w:p>
        </w:tc>
        <w:tc>
          <w:tcPr>
            <w:tcW w:w="1526" w:type="dxa"/>
          </w:tcPr>
          <w:p w14:paraId="1AF87578" w14:textId="77777777" w:rsidR="00436B89" w:rsidRPr="006820CE" w:rsidRDefault="00436B89" w:rsidP="006820CE">
            <w:pPr>
              <w:ind w:left="0"/>
              <w:rPr>
                <w:sz w:val="20"/>
                <w:szCs w:val="20"/>
              </w:rPr>
            </w:pPr>
            <w:r w:rsidRPr="006820CE">
              <w:rPr>
                <w:color w:val="010202"/>
                <w:sz w:val="20"/>
                <w:szCs w:val="20"/>
              </w:rPr>
              <w:t>3341.0</w:t>
            </w:r>
          </w:p>
        </w:tc>
        <w:tc>
          <w:tcPr>
            <w:tcW w:w="1415" w:type="dxa"/>
          </w:tcPr>
          <w:p w14:paraId="48BF3ADC" w14:textId="77777777" w:rsidR="00436B89" w:rsidRPr="006820CE" w:rsidRDefault="00436B89" w:rsidP="006820CE">
            <w:pPr>
              <w:ind w:left="0"/>
              <w:rPr>
                <w:sz w:val="20"/>
                <w:szCs w:val="20"/>
              </w:rPr>
            </w:pPr>
            <w:r w:rsidRPr="006820CE">
              <w:rPr>
                <w:color w:val="010202"/>
                <w:sz w:val="20"/>
                <w:szCs w:val="20"/>
              </w:rPr>
              <w:t>1805.4</w:t>
            </w:r>
          </w:p>
        </w:tc>
        <w:tc>
          <w:tcPr>
            <w:tcW w:w="2138" w:type="dxa"/>
          </w:tcPr>
          <w:p w14:paraId="6B41E196" w14:textId="77777777" w:rsidR="00436B89" w:rsidRPr="006820CE" w:rsidRDefault="00436B89" w:rsidP="006820CE">
            <w:pPr>
              <w:ind w:left="0"/>
              <w:rPr>
                <w:sz w:val="20"/>
                <w:szCs w:val="20"/>
              </w:rPr>
            </w:pPr>
            <w:r w:rsidRPr="006820CE">
              <w:rPr>
                <w:color w:val="010202"/>
                <w:sz w:val="20"/>
                <w:szCs w:val="20"/>
              </w:rPr>
              <w:t>1105.4</w:t>
            </w:r>
          </w:p>
        </w:tc>
      </w:tr>
      <w:tr w:rsidR="00436B89" w:rsidRPr="006820CE" w14:paraId="7F014213" w14:textId="77777777" w:rsidTr="006820CE">
        <w:trPr>
          <w:trHeight w:hRule="exact" w:val="428"/>
        </w:trPr>
        <w:tc>
          <w:tcPr>
            <w:tcW w:w="1033" w:type="dxa"/>
            <w:vMerge/>
          </w:tcPr>
          <w:p w14:paraId="713A5939" w14:textId="77777777" w:rsidR="00436B89" w:rsidRPr="006820CE" w:rsidRDefault="00436B89" w:rsidP="006820CE">
            <w:pPr>
              <w:ind w:left="0"/>
              <w:rPr>
                <w:sz w:val="20"/>
                <w:szCs w:val="20"/>
              </w:rPr>
            </w:pPr>
          </w:p>
        </w:tc>
        <w:tc>
          <w:tcPr>
            <w:tcW w:w="1910" w:type="dxa"/>
            <w:vMerge w:val="restart"/>
          </w:tcPr>
          <w:p w14:paraId="667DD066" w14:textId="77777777" w:rsidR="00436B89" w:rsidRPr="006820CE" w:rsidRDefault="00436B89" w:rsidP="006820CE">
            <w:pPr>
              <w:ind w:left="0"/>
              <w:rPr>
                <w:sz w:val="20"/>
                <w:szCs w:val="20"/>
              </w:rPr>
            </w:pPr>
            <w:r w:rsidRPr="006820CE">
              <w:rPr>
                <w:sz w:val="20"/>
                <w:szCs w:val="20"/>
                <w:lang w:eastAsia="ja-JP"/>
              </w:rPr>
              <w:t>C</w:t>
            </w:r>
            <w:r w:rsidRPr="006820CE">
              <w:rPr>
                <w:sz w:val="20"/>
                <w:szCs w:val="20"/>
                <w:vertAlign w:val="subscript"/>
                <w:lang w:eastAsia="ja-JP"/>
              </w:rPr>
              <w:t>max</w:t>
            </w:r>
            <w:r w:rsidRPr="006820CE">
              <w:rPr>
                <w:color w:val="010202"/>
                <w:spacing w:val="22"/>
                <w:w w:val="99"/>
                <w:sz w:val="20"/>
                <w:szCs w:val="20"/>
              </w:rPr>
              <w:t xml:space="preserve"> </w:t>
            </w:r>
            <w:r w:rsidRPr="006820CE">
              <w:rPr>
                <w:color w:val="010202"/>
                <w:spacing w:val="-1"/>
                <w:sz w:val="20"/>
                <w:szCs w:val="20"/>
              </w:rPr>
              <w:t>μmol/L</w:t>
            </w:r>
          </w:p>
        </w:tc>
        <w:tc>
          <w:tcPr>
            <w:tcW w:w="1103" w:type="dxa"/>
          </w:tcPr>
          <w:p w14:paraId="03B0BA17" w14:textId="77777777" w:rsidR="00436B89" w:rsidRPr="006820CE" w:rsidRDefault="00436B89" w:rsidP="006820CE">
            <w:pPr>
              <w:ind w:left="0"/>
              <w:rPr>
                <w:sz w:val="20"/>
                <w:szCs w:val="20"/>
              </w:rPr>
            </w:pPr>
            <w:r w:rsidRPr="006820CE">
              <w:rPr>
                <w:color w:val="010202"/>
                <w:sz w:val="20"/>
                <w:szCs w:val="20"/>
              </w:rPr>
              <w:t>Males</w:t>
            </w:r>
          </w:p>
        </w:tc>
        <w:tc>
          <w:tcPr>
            <w:tcW w:w="1526" w:type="dxa"/>
          </w:tcPr>
          <w:p w14:paraId="2DDFC073" w14:textId="77777777" w:rsidR="00436B89" w:rsidRPr="006820CE" w:rsidRDefault="00436B89" w:rsidP="006820CE">
            <w:pPr>
              <w:ind w:left="0"/>
              <w:rPr>
                <w:sz w:val="20"/>
                <w:szCs w:val="20"/>
              </w:rPr>
            </w:pPr>
            <w:r w:rsidRPr="006820CE">
              <w:rPr>
                <w:color w:val="010202"/>
                <w:sz w:val="20"/>
                <w:szCs w:val="20"/>
              </w:rPr>
              <w:t>1033.8</w:t>
            </w:r>
          </w:p>
        </w:tc>
        <w:tc>
          <w:tcPr>
            <w:tcW w:w="1415" w:type="dxa"/>
          </w:tcPr>
          <w:p w14:paraId="7BE6C92D" w14:textId="77777777" w:rsidR="00436B89" w:rsidRPr="006820CE" w:rsidRDefault="00436B89" w:rsidP="006820CE">
            <w:pPr>
              <w:ind w:left="0"/>
              <w:rPr>
                <w:sz w:val="20"/>
                <w:szCs w:val="20"/>
              </w:rPr>
            </w:pPr>
            <w:r w:rsidRPr="006820CE">
              <w:rPr>
                <w:color w:val="010202"/>
                <w:spacing w:val="1"/>
                <w:sz w:val="20"/>
                <w:szCs w:val="20"/>
              </w:rPr>
              <w:t>287.9</w:t>
            </w:r>
          </w:p>
        </w:tc>
        <w:tc>
          <w:tcPr>
            <w:tcW w:w="2138" w:type="dxa"/>
          </w:tcPr>
          <w:p w14:paraId="5FC0B589" w14:textId="77777777" w:rsidR="00436B89" w:rsidRPr="006820CE" w:rsidRDefault="00436B89" w:rsidP="006820CE">
            <w:pPr>
              <w:ind w:left="0"/>
              <w:rPr>
                <w:sz w:val="20"/>
                <w:szCs w:val="20"/>
              </w:rPr>
            </w:pPr>
            <w:r w:rsidRPr="006820CE">
              <w:rPr>
                <w:color w:val="010202"/>
                <w:spacing w:val="1"/>
                <w:sz w:val="20"/>
                <w:szCs w:val="20"/>
              </w:rPr>
              <w:t>250.3</w:t>
            </w:r>
          </w:p>
        </w:tc>
      </w:tr>
      <w:tr w:rsidR="00436B89" w:rsidRPr="006820CE" w14:paraId="02680CE0" w14:textId="77777777" w:rsidTr="006820CE">
        <w:trPr>
          <w:trHeight w:hRule="exact" w:val="420"/>
        </w:trPr>
        <w:tc>
          <w:tcPr>
            <w:tcW w:w="1033" w:type="dxa"/>
            <w:vMerge/>
          </w:tcPr>
          <w:p w14:paraId="6E50D606" w14:textId="77777777" w:rsidR="00436B89" w:rsidRPr="006820CE" w:rsidRDefault="00436B89" w:rsidP="006820CE">
            <w:pPr>
              <w:ind w:left="0"/>
              <w:rPr>
                <w:sz w:val="20"/>
                <w:szCs w:val="20"/>
              </w:rPr>
            </w:pPr>
          </w:p>
        </w:tc>
        <w:tc>
          <w:tcPr>
            <w:tcW w:w="1910" w:type="dxa"/>
            <w:vMerge/>
          </w:tcPr>
          <w:p w14:paraId="2E2F9F97" w14:textId="77777777" w:rsidR="00436B89" w:rsidRPr="006820CE" w:rsidRDefault="00436B89" w:rsidP="006820CE">
            <w:pPr>
              <w:ind w:left="0"/>
              <w:rPr>
                <w:sz w:val="20"/>
                <w:szCs w:val="20"/>
              </w:rPr>
            </w:pPr>
          </w:p>
        </w:tc>
        <w:tc>
          <w:tcPr>
            <w:tcW w:w="1103" w:type="dxa"/>
          </w:tcPr>
          <w:p w14:paraId="740A1D9F" w14:textId="77777777" w:rsidR="00436B89" w:rsidRPr="006820CE" w:rsidRDefault="00436B89" w:rsidP="006820CE">
            <w:pPr>
              <w:ind w:left="0"/>
              <w:rPr>
                <w:sz w:val="20"/>
                <w:szCs w:val="20"/>
              </w:rPr>
            </w:pPr>
            <w:r w:rsidRPr="006820CE">
              <w:rPr>
                <w:color w:val="010202"/>
                <w:spacing w:val="-1"/>
                <w:sz w:val="20"/>
                <w:szCs w:val="20"/>
              </w:rPr>
              <w:t>Females</w:t>
            </w:r>
          </w:p>
        </w:tc>
        <w:tc>
          <w:tcPr>
            <w:tcW w:w="1526" w:type="dxa"/>
          </w:tcPr>
          <w:p w14:paraId="431F5EB0" w14:textId="77777777" w:rsidR="00436B89" w:rsidRPr="006820CE" w:rsidRDefault="00436B89" w:rsidP="006820CE">
            <w:pPr>
              <w:ind w:left="0"/>
              <w:rPr>
                <w:sz w:val="20"/>
                <w:szCs w:val="20"/>
              </w:rPr>
            </w:pPr>
            <w:r w:rsidRPr="006820CE">
              <w:rPr>
                <w:color w:val="010202"/>
                <w:sz w:val="20"/>
                <w:szCs w:val="20"/>
              </w:rPr>
              <w:t>1302.9</w:t>
            </w:r>
          </w:p>
        </w:tc>
        <w:tc>
          <w:tcPr>
            <w:tcW w:w="1415" w:type="dxa"/>
          </w:tcPr>
          <w:p w14:paraId="25805E94" w14:textId="77777777" w:rsidR="00436B89" w:rsidRPr="006820CE" w:rsidRDefault="00436B89" w:rsidP="006820CE">
            <w:pPr>
              <w:ind w:left="0"/>
              <w:rPr>
                <w:sz w:val="20"/>
                <w:szCs w:val="20"/>
              </w:rPr>
            </w:pPr>
            <w:r w:rsidRPr="006820CE">
              <w:rPr>
                <w:color w:val="010202"/>
                <w:spacing w:val="1"/>
                <w:sz w:val="20"/>
                <w:szCs w:val="20"/>
              </w:rPr>
              <w:t>404.7</w:t>
            </w:r>
          </w:p>
        </w:tc>
        <w:tc>
          <w:tcPr>
            <w:tcW w:w="2138" w:type="dxa"/>
          </w:tcPr>
          <w:p w14:paraId="48B92909" w14:textId="77777777" w:rsidR="00436B89" w:rsidRPr="006820CE" w:rsidRDefault="00436B89" w:rsidP="006820CE">
            <w:pPr>
              <w:ind w:left="0"/>
              <w:rPr>
                <w:sz w:val="20"/>
                <w:szCs w:val="20"/>
              </w:rPr>
            </w:pPr>
            <w:r w:rsidRPr="006820CE">
              <w:rPr>
                <w:color w:val="010202"/>
                <w:spacing w:val="1"/>
                <w:sz w:val="20"/>
                <w:szCs w:val="20"/>
              </w:rPr>
              <w:t>248.4</w:t>
            </w:r>
          </w:p>
        </w:tc>
      </w:tr>
      <w:tr w:rsidR="00436B89" w:rsidRPr="006820CE" w14:paraId="1F30799D" w14:textId="77777777" w:rsidTr="006820CE">
        <w:trPr>
          <w:trHeight w:hRule="exact" w:val="413"/>
        </w:trPr>
        <w:tc>
          <w:tcPr>
            <w:tcW w:w="1033" w:type="dxa"/>
            <w:vMerge/>
          </w:tcPr>
          <w:p w14:paraId="6CC28F3D" w14:textId="77777777" w:rsidR="00436B89" w:rsidRPr="006820CE" w:rsidRDefault="00436B89" w:rsidP="006820CE">
            <w:pPr>
              <w:ind w:left="0"/>
              <w:rPr>
                <w:sz w:val="20"/>
                <w:szCs w:val="20"/>
              </w:rPr>
            </w:pPr>
          </w:p>
        </w:tc>
        <w:tc>
          <w:tcPr>
            <w:tcW w:w="1910" w:type="dxa"/>
            <w:vMerge w:val="restart"/>
          </w:tcPr>
          <w:p w14:paraId="7EFE1B42" w14:textId="77777777" w:rsidR="00436B89" w:rsidRPr="006820CE" w:rsidRDefault="00436B89" w:rsidP="006820CE">
            <w:pPr>
              <w:ind w:left="0"/>
              <w:rPr>
                <w:sz w:val="20"/>
                <w:szCs w:val="20"/>
              </w:rPr>
            </w:pPr>
            <w:r w:rsidRPr="006820CE">
              <w:rPr>
                <w:color w:val="010202"/>
                <w:w w:val="95"/>
                <w:position w:val="3"/>
                <w:sz w:val="20"/>
                <w:szCs w:val="20"/>
              </w:rPr>
              <w:t>T</w:t>
            </w:r>
            <w:r w:rsidRPr="006820CE">
              <w:rPr>
                <w:color w:val="010202"/>
                <w:w w:val="95"/>
                <w:sz w:val="20"/>
                <w:szCs w:val="20"/>
                <w:vertAlign w:val="subscript"/>
              </w:rPr>
              <w:t>max</w:t>
            </w:r>
            <w:r w:rsidRPr="006820CE">
              <w:rPr>
                <w:color w:val="010202"/>
                <w:w w:val="99"/>
                <w:sz w:val="20"/>
                <w:szCs w:val="20"/>
                <w:vertAlign w:val="subscript"/>
              </w:rPr>
              <w:t xml:space="preserve"> </w:t>
            </w:r>
            <w:r w:rsidRPr="006820CE">
              <w:rPr>
                <w:color w:val="010202"/>
                <w:spacing w:val="-1"/>
                <w:sz w:val="20"/>
                <w:szCs w:val="20"/>
              </w:rPr>
              <w:t>h</w:t>
            </w:r>
          </w:p>
        </w:tc>
        <w:tc>
          <w:tcPr>
            <w:tcW w:w="1103" w:type="dxa"/>
          </w:tcPr>
          <w:p w14:paraId="7568ACBB" w14:textId="77777777" w:rsidR="00436B89" w:rsidRPr="006820CE" w:rsidRDefault="00436B89" w:rsidP="006820CE">
            <w:pPr>
              <w:ind w:left="0"/>
              <w:rPr>
                <w:sz w:val="20"/>
                <w:szCs w:val="20"/>
              </w:rPr>
            </w:pPr>
            <w:r w:rsidRPr="006820CE">
              <w:rPr>
                <w:color w:val="010202"/>
                <w:sz w:val="20"/>
                <w:szCs w:val="20"/>
              </w:rPr>
              <w:t>Males</w:t>
            </w:r>
          </w:p>
        </w:tc>
        <w:tc>
          <w:tcPr>
            <w:tcW w:w="1526" w:type="dxa"/>
          </w:tcPr>
          <w:p w14:paraId="4BB78894" w14:textId="77777777" w:rsidR="00436B89" w:rsidRPr="006820CE" w:rsidRDefault="00436B89" w:rsidP="006820CE">
            <w:pPr>
              <w:ind w:left="0"/>
              <w:rPr>
                <w:sz w:val="20"/>
                <w:szCs w:val="20"/>
              </w:rPr>
            </w:pPr>
            <w:r w:rsidRPr="006820CE">
              <w:rPr>
                <w:color w:val="010202"/>
                <w:sz w:val="20"/>
                <w:szCs w:val="20"/>
              </w:rPr>
              <w:t>1.18</w:t>
            </w:r>
          </w:p>
        </w:tc>
        <w:tc>
          <w:tcPr>
            <w:tcW w:w="1415" w:type="dxa"/>
          </w:tcPr>
          <w:p w14:paraId="5AFF7F57" w14:textId="77777777" w:rsidR="00436B89" w:rsidRPr="006820CE" w:rsidRDefault="00436B89" w:rsidP="006820CE">
            <w:pPr>
              <w:ind w:left="0"/>
              <w:rPr>
                <w:sz w:val="20"/>
                <w:szCs w:val="20"/>
              </w:rPr>
            </w:pPr>
            <w:r w:rsidRPr="006820CE">
              <w:rPr>
                <w:color w:val="010202"/>
                <w:sz w:val="20"/>
                <w:szCs w:val="20"/>
              </w:rPr>
              <w:t>3.62</w:t>
            </w:r>
          </w:p>
        </w:tc>
        <w:tc>
          <w:tcPr>
            <w:tcW w:w="2138" w:type="dxa"/>
          </w:tcPr>
          <w:p w14:paraId="16C503D3" w14:textId="77777777" w:rsidR="00436B89" w:rsidRPr="006820CE" w:rsidRDefault="00436B89" w:rsidP="006820CE">
            <w:pPr>
              <w:ind w:left="0"/>
              <w:rPr>
                <w:sz w:val="20"/>
                <w:szCs w:val="20"/>
              </w:rPr>
            </w:pPr>
            <w:r w:rsidRPr="006820CE">
              <w:rPr>
                <w:color w:val="010202"/>
                <w:sz w:val="20"/>
                <w:szCs w:val="20"/>
              </w:rPr>
              <w:t>3.25</w:t>
            </w:r>
          </w:p>
        </w:tc>
      </w:tr>
      <w:tr w:rsidR="00436B89" w:rsidRPr="006820CE" w14:paraId="34529732" w14:textId="77777777" w:rsidTr="006820CE">
        <w:trPr>
          <w:trHeight w:hRule="exact" w:val="483"/>
        </w:trPr>
        <w:tc>
          <w:tcPr>
            <w:tcW w:w="1033" w:type="dxa"/>
            <w:vMerge/>
          </w:tcPr>
          <w:p w14:paraId="21B64C36" w14:textId="77777777" w:rsidR="00436B89" w:rsidRPr="006820CE" w:rsidRDefault="00436B89" w:rsidP="006820CE">
            <w:pPr>
              <w:ind w:left="0"/>
              <w:rPr>
                <w:sz w:val="20"/>
                <w:szCs w:val="20"/>
              </w:rPr>
            </w:pPr>
          </w:p>
        </w:tc>
        <w:tc>
          <w:tcPr>
            <w:tcW w:w="1910" w:type="dxa"/>
            <w:vMerge/>
          </w:tcPr>
          <w:p w14:paraId="699674BA" w14:textId="77777777" w:rsidR="00436B89" w:rsidRPr="006820CE" w:rsidRDefault="00436B89" w:rsidP="006820CE">
            <w:pPr>
              <w:ind w:left="0"/>
              <w:rPr>
                <w:sz w:val="20"/>
                <w:szCs w:val="20"/>
              </w:rPr>
            </w:pPr>
          </w:p>
        </w:tc>
        <w:tc>
          <w:tcPr>
            <w:tcW w:w="1103" w:type="dxa"/>
          </w:tcPr>
          <w:p w14:paraId="4C08FDDA" w14:textId="77777777" w:rsidR="00436B89" w:rsidRPr="006820CE" w:rsidRDefault="00436B89" w:rsidP="006820CE">
            <w:pPr>
              <w:ind w:left="0"/>
              <w:rPr>
                <w:sz w:val="20"/>
                <w:szCs w:val="20"/>
              </w:rPr>
            </w:pPr>
            <w:r w:rsidRPr="006820CE">
              <w:rPr>
                <w:color w:val="010202"/>
                <w:sz w:val="20"/>
                <w:szCs w:val="20"/>
              </w:rPr>
              <w:t>Females</w:t>
            </w:r>
          </w:p>
        </w:tc>
        <w:tc>
          <w:tcPr>
            <w:tcW w:w="1526" w:type="dxa"/>
          </w:tcPr>
          <w:p w14:paraId="0FFF7ED2" w14:textId="77777777" w:rsidR="00436B89" w:rsidRPr="006820CE" w:rsidRDefault="00436B89" w:rsidP="006820CE">
            <w:pPr>
              <w:ind w:left="0"/>
              <w:rPr>
                <w:sz w:val="20"/>
                <w:szCs w:val="20"/>
              </w:rPr>
            </w:pPr>
            <w:r w:rsidRPr="006820CE">
              <w:rPr>
                <w:color w:val="010202"/>
                <w:sz w:val="20"/>
                <w:szCs w:val="20"/>
              </w:rPr>
              <w:t>1.21</w:t>
            </w:r>
          </w:p>
        </w:tc>
        <w:tc>
          <w:tcPr>
            <w:tcW w:w="1415" w:type="dxa"/>
          </w:tcPr>
          <w:p w14:paraId="57B103F9" w14:textId="77777777" w:rsidR="00436B89" w:rsidRPr="006820CE" w:rsidRDefault="00436B89" w:rsidP="006820CE">
            <w:pPr>
              <w:ind w:left="0"/>
              <w:rPr>
                <w:sz w:val="20"/>
                <w:szCs w:val="20"/>
              </w:rPr>
            </w:pPr>
            <w:r w:rsidRPr="006820CE">
              <w:rPr>
                <w:color w:val="010202"/>
                <w:sz w:val="20"/>
                <w:szCs w:val="20"/>
              </w:rPr>
              <w:t>3.73</w:t>
            </w:r>
          </w:p>
        </w:tc>
        <w:tc>
          <w:tcPr>
            <w:tcW w:w="2138" w:type="dxa"/>
          </w:tcPr>
          <w:p w14:paraId="3CF23E73" w14:textId="77777777" w:rsidR="00436B89" w:rsidRPr="006820CE" w:rsidRDefault="00436B89" w:rsidP="006820CE">
            <w:pPr>
              <w:ind w:left="0"/>
              <w:rPr>
                <w:sz w:val="20"/>
                <w:szCs w:val="20"/>
              </w:rPr>
            </w:pPr>
            <w:r w:rsidRPr="006820CE">
              <w:rPr>
                <w:color w:val="010202"/>
                <w:sz w:val="20"/>
                <w:szCs w:val="20"/>
              </w:rPr>
              <w:t>3.43</w:t>
            </w:r>
          </w:p>
        </w:tc>
      </w:tr>
      <w:tr w:rsidR="00436B89" w:rsidRPr="006820CE" w14:paraId="731FD8E7" w14:textId="77777777" w:rsidTr="006820CE">
        <w:trPr>
          <w:trHeight w:hRule="exact" w:val="419"/>
        </w:trPr>
        <w:tc>
          <w:tcPr>
            <w:tcW w:w="1033" w:type="dxa"/>
            <w:vMerge/>
          </w:tcPr>
          <w:p w14:paraId="5F7F35B3" w14:textId="77777777" w:rsidR="00436B89" w:rsidRPr="006820CE" w:rsidRDefault="00436B89" w:rsidP="006820CE">
            <w:pPr>
              <w:ind w:left="0"/>
              <w:rPr>
                <w:sz w:val="20"/>
                <w:szCs w:val="20"/>
              </w:rPr>
            </w:pPr>
          </w:p>
        </w:tc>
        <w:tc>
          <w:tcPr>
            <w:tcW w:w="1910" w:type="dxa"/>
            <w:vMerge w:val="restart"/>
          </w:tcPr>
          <w:p w14:paraId="2E3BFA61" w14:textId="77777777" w:rsidR="00436B89" w:rsidRPr="006820CE" w:rsidRDefault="00436B89" w:rsidP="006820CE">
            <w:pPr>
              <w:ind w:left="0"/>
              <w:rPr>
                <w:sz w:val="20"/>
                <w:szCs w:val="20"/>
              </w:rPr>
            </w:pPr>
            <w:r w:rsidRPr="006820CE">
              <w:rPr>
                <w:color w:val="010202"/>
                <w:spacing w:val="-1"/>
                <w:position w:val="3"/>
                <w:sz w:val="20"/>
                <w:szCs w:val="20"/>
              </w:rPr>
              <w:t>t</w:t>
            </w:r>
            <w:r w:rsidRPr="006820CE">
              <w:rPr>
                <w:color w:val="010202"/>
                <w:spacing w:val="-1"/>
                <w:sz w:val="20"/>
                <w:szCs w:val="20"/>
                <w:vertAlign w:val="subscript"/>
              </w:rPr>
              <w:t>1/2</w:t>
            </w:r>
            <w:r w:rsidRPr="006820CE">
              <w:rPr>
                <w:color w:val="010202"/>
                <w:spacing w:val="23"/>
                <w:w w:val="99"/>
                <w:sz w:val="20"/>
                <w:szCs w:val="20"/>
              </w:rPr>
              <w:t xml:space="preserve"> </w:t>
            </w:r>
            <w:r w:rsidRPr="006820CE">
              <w:rPr>
                <w:color w:val="010202"/>
                <w:spacing w:val="-1"/>
                <w:sz w:val="20"/>
                <w:szCs w:val="20"/>
              </w:rPr>
              <w:t>h</w:t>
            </w:r>
          </w:p>
        </w:tc>
        <w:tc>
          <w:tcPr>
            <w:tcW w:w="1103" w:type="dxa"/>
          </w:tcPr>
          <w:p w14:paraId="4E0139B9" w14:textId="77777777" w:rsidR="00436B89" w:rsidRPr="006820CE" w:rsidRDefault="00436B89" w:rsidP="006820CE">
            <w:pPr>
              <w:ind w:left="0"/>
              <w:rPr>
                <w:sz w:val="20"/>
                <w:szCs w:val="20"/>
              </w:rPr>
            </w:pPr>
            <w:r w:rsidRPr="006820CE">
              <w:rPr>
                <w:color w:val="010202"/>
                <w:sz w:val="20"/>
                <w:szCs w:val="20"/>
              </w:rPr>
              <w:t>Males</w:t>
            </w:r>
          </w:p>
        </w:tc>
        <w:tc>
          <w:tcPr>
            <w:tcW w:w="1526" w:type="dxa"/>
          </w:tcPr>
          <w:p w14:paraId="201049EC" w14:textId="77777777" w:rsidR="00436B89" w:rsidRPr="006820CE" w:rsidRDefault="00436B89" w:rsidP="006820CE">
            <w:pPr>
              <w:ind w:left="0"/>
              <w:rPr>
                <w:sz w:val="20"/>
                <w:szCs w:val="20"/>
              </w:rPr>
            </w:pPr>
            <w:r w:rsidRPr="006820CE">
              <w:rPr>
                <w:color w:val="010202"/>
                <w:sz w:val="20"/>
                <w:szCs w:val="20"/>
              </w:rPr>
              <w:t>0.78</w:t>
            </w:r>
          </w:p>
        </w:tc>
        <w:tc>
          <w:tcPr>
            <w:tcW w:w="1415" w:type="dxa"/>
          </w:tcPr>
          <w:p w14:paraId="2BF0A2CD" w14:textId="77777777" w:rsidR="00436B89" w:rsidRPr="006820CE" w:rsidRDefault="00436B89" w:rsidP="006820CE">
            <w:pPr>
              <w:ind w:left="0"/>
              <w:rPr>
                <w:sz w:val="20"/>
                <w:szCs w:val="20"/>
              </w:rPr>
            </w:pPr>
            <w:r w:rsidRPr="006820CE">
              <w:rPr>
                <w:color w:val="010202"/>
                <w:sz w:val="20"/>
                <w:szCs w:val="20"/>
              </w:rPr>
              <w:t>1.2</w:t>
            </w:r>
          </w:p>
        </w:tc>
        <w:tc>
          <w:tcPr>
            <w:tcW w:w="2138" w:type="dxa"/>
          </w:tcPr>
          <w:p w14:paraId="49A25190" w14:textId="77777777" w:rsidR="00436B89" w:rsidRPr="006820CE" w:rsidRDefault="00436B89" w:rsidP="006820CE">
            <w:pPr>
              <w:ind w:left="0"/>
              <w:rPr>
                <w:sz w:val="20"/>
                <w:szCs w:val="20"/>
              </w:rPr>
            </w:pPr>
            <w:r w:rsidRPr="006820CE">
              <w:rPr>
                <w:color w:val="010202"/>
                <w:sz w:val="20"/>
                <w:szCs w:val="20"/>
              </w:rPr>
              <w:t>2.12</w:t>
            </w:r>
          </w:p>
        </w:tc>
      </w:tr>
      <w:tr w:rsidR="00436B89" w:rsidRPr="006820CE" w14:paraId="26D7ECEA" w14:textId="77777777" w:rsidTr="006820CE">
        <w:trPr>
          <w:trHeight w:hRule="exact" w:val="553"/>
        </w:trPr>
        <w:tc>
          <w:tcPr>
            <w:tcW w:w="1033" w:type="dxa"/>
            <w:vMerge/>
          </w:tcPr>
          <w:p w14:paraId="27D0FCB9" w14:textId="77777777" w:rsidR="00436B89" w:rsidRPr="006820CE" w:rsidRDefault="00436B89" w:rsidP="006820CE">
            <w:pPr>
              <w:ind w:left="0"/>
              <w:rPr>
                <w:sz w:val="20"/>
                <w:szCs w:val="20"/>
              </w:rPr>
            </w:pPr>
          </w:p>
        </w:tc>
        <w:tc>
          <w:tcPr>
            <w:tcW w:w="1910" w:type="dxa"/>
            <w:vMerge/>
          </w:tcPr>
          <w:p w14:paraId="177C00C7" w14:textId="77777777" w:rsidR="00436B89" w:rsidRPr="006820CE" w:rsidRDefault="00436B89" w:rsidP="006820CE">
            <w:pPr>
              <w:ind w:left="0"/>
              <w:rPr>
                <w:sz w:val="20"/>
                <w:szCs w:val="20"/>
              </w:rPr>
            </w:pPr>
          </w:p>
        </w:tc>
        <w:tc>
          <w:tcPr>
            <w:tcW w:w="1103" w:type="dxa"/>
          </w:tcPr>
          <w:p w14:paraId="0B369548" w14:textId="77777777" w:rsidR="00436B89" w:rsidRPr="006820CE" w:rsidRDefault="00436B89" w:rsidP="006820CE">
            <w:pPr>
              <w:ind w:left="0"/>
              <w:rPr>
                <w:sz w:val="20"/>
                <w:szCs w:val="20"/>
              </w:rPr>
            </w:pPr>
            <w:r w:rsidRPr="006820CE">
              <w:rPr>
                <w:color w:val="010202"/>
                <w:sz w:val="20"/>
                <w:szCs w:val="20"/>
              </w:rPr>
              <w:t>Females</w:t>
            </w:r>
          </w:p>
        </w:tc>
        <w:tc>
          <w:tcPr>
            <w:tcW w:w="1526" w:type="dxa"/>
          </w:tcPr>
          <w:p w14:paraId="4809AD78" w14:textId="77777777" w:rsidR="00436B89" w:rsidRPr="006820CE" w:rsidRDefault="00436B89" w:rsidP="006820CE">
            <w:pPr>
              <w:ind w:left="0"/>
              <w:rPr>
                <w:sz w:val="20"/>
                <w:szCs w:val="20"/>
              </w:rPr>
            </w:pPr>
            <w:r w:rsidRPr="006820CE">
              <w:rPr>
                <w:color w:val="010202"/>
                <w:sz w:val="20"/>
                <w:szCs w:val="20"/>
              </w:rPr>
              <w:t>0.82</w:t>
            </w:r>
          </w:p>
        </w:tc>
        <w:tc>
          <w:tcPr>
            <w:tcW w:w="1415" w:type="dxa"/>
          </w:tcPr>
          <w:p w14:paraId="3650A4EB" w14:textId="77777777" w:rsidR="00436B89" w:rsidRPr="006820CE" w:rsidRDefault="00436B89" w:rsidP="006820CE">
            <w:pPr>
              <w:ind w:left="0"/>
              <w:rPr>
                <w:sz w:val="20"/>
                <w:szCs w:val="20"/>
              </w:rPr>
            </w:pPr>
            <w:r w:rsidRPr="006820CE">
              <w:rPr>
                <w:color w:val="010202"/>
                <w:sz w:val="20"/>
                <w:szCs w:val="20"/>
              </w:rPr>
              <w:t>1.26</w:t>
            </w:r>
          </w:p>
        </w:tc>
        <w:tc>
          <w:tcPr>
            <w:tcW w:w="2138" w:type="dxa"/>
          </w:tcPr>
          <w:p w14:paraId="4ED39A6B" w14:textId="77777777" w:rsidR="00436B89" w:rsidRPr="006820CE" w:rsidRDefault="00436B89" w:rsidP="006820CE">
            <w:pPr>
              <w:ind w:left="0"/>
              <w:rPr>
                <w:sz w:val="20"/>
                <w:szCs w:val="20"/>
              </w:rPr>
            </w:pPr>
            <w:r w:rsidRPr="006820CE">
              <w:rPr>
                <w:color w:val="010202"/>
                <w:sz w:val="20"/>
                <w:szCs w:val="20"/>
              </w:rPr>
              <w:t>2.66</w:t>
            </w:r>
          </w:p>
        </w:tc>
      </w:tr>
    </w:tbl>
    <w:p w14:paraId="11F68876" w14:textId="77777777" w:rsidR="00436B89" w:rsidRPr="00A613A8" w:rsidRDefault="00436B89" w:rsidP="006820CE">
      <w:pPr>
        <w:pStyle w:val="Tabletitle"/>
        <w:rPr>
          <w:color w:val="000000"/>
          <w:lang w:eastAsia="en-AU"/>
        </w:rPr>
      </w:pPr>
      <w:bookmarkStart w:id="80" w:name="_Ref457767355"/>
      <w:bookmarkStart w:id="81" w:name="_Toc473013948"/>
      <w:r w:rsidRPr="00A613A8">
        <w:t xml:space="preserve">Table </w:t>
      </w:r>
      <w:r>
        <w:t>9</w:t>
      </w:r>
      <w:bookmarkEnd w:id="80"/>
      <w:r w:rsidRPr="00A613A8">
        <w:t xml:space="preserve"> </w:t>
      </w:r>
      <w:r w:rsidRPr="00A613A8">
        <w:rPr>
          <w:spacing w:val="-1"/>
          <w:lang w:eastAsia="en-AU"/>
        </w:rPr>
        <w:t>Pharmacokinetics</w:t>
      </w:r>
      <w:r w:rsidRPr="00A613A8">
        <w:rPr>
          <w:spacing w:val="-7"/>
          <w:lang w:eastAsia="en-AU"/>
        </w:rPr>
        <w:t xml:space="preserve"> </w:t>
      </w:r>
      <w:r w:rsidRPr="00A613A8">
        <w:rPr>
          <w:lang w:eastAsia="en-AU"/>
        </w:rPr>
        <w:t>of</w:t>
      </w:r>
      <w:r w:rsidRPr="00A613A8">
        <w:rPr>
          <w:spacing w:val="-7"/>
          <w:lang w:eastAsia="en-AU"/>
        </w:rPr>
        <w:t xml:space="preserve"> </w:t>
      </w:r>
      <w:r w:rsidRPr="00A613A8">
        <w:rPr>
          <w:lang w:eastAsia="en-AU"/>
        </w:rPr>
        <w:t>sodium</w:t>
      </w:r>
      <w:r w:rsidRPr="00A613A8">
        <w:rPr>
          <w:spacing w:val="-10"/>
          <w:lang w:eastAsia="en-AU"/>
        </w:rPr>
        <w:t xml:space="preserve"> </w:t>
      </w:r>
      <w:r w:rsidRPr="00A613A8">
        <w:rPr>
          <w:lang w:eastAsia="en-AU"/>
        </w:rPr>
        <w:t>phenylbutyrate</w:t>
      </w:r>
      <w:r w:rsidRPr="00A613A8">
        <w:rPr>
          <w:spacing w:val="-6"/>
          <w:lang w:eastAsia="en-AU"/>
        </w:rPr>
        <w:t xml:space="preserve"> </w:t>
      </w:r>
      <w:r w:rsidRPr="00A613A8">
        <w:rPr>
          <w:lang w:eastAsia="en-AU"/>
        </w:rPr>
        <w:t>in</w:t>
      </w:r>
      <w:r w:rsidRPr="00A613A8">
        <w:rPr>
          <w:spacing w:val="-7"/>
          <w:lang w:eastAsia="en-AU"/>
        </w:rPr>
        <w:t xml:space="preserve"> </w:t>
      </w:r>
      <w:r w:rsidRPr="00A613A8">
        <w:rPr>
          <w:lang w:eastAsia="en-AU"/>
        </w:rPr>
        <w:t>healthy</w:t>
      </w:r>
      <w:r w:rsidRPr="00A613A8">
        <w:rPr>
          <w:spacing w:val="-7"/>
          <w:lang w:eastAsia="en-AU"/>
        </w:rPr>
        <w:t xml:space="preserve"> </w:t>
      </w:r>
      <w:r w:rsidRPr="00A613A8">
        <w:rPr>
          <w:lang w:eastAsia="en-AU"/>
        </w:rPr>
        <w:t>volunteers</w:t>
      </w:r>
      <w:r w:rsidRPr="00A613A8">
        <w:rPr>
          <w:spacing w:val="-7"/>
          <w:lang w:eastAsia="en-AU"/>
        </w:rPr>
        <w:t xml:space="preserve"> </w:t>
      </w:r>
      <w:r w:rsidRPr="00A613A8">
        <w:rPr>
          <w:lang w:eastAsia="en-AU"/>
        </w:rPr>
        <w:t>according</w:t>
      </w:r>
      <w:r w:rsidRPr="00A613A8">
        <w:rPr>
          <w:spacing w:val="-9"/>
          <w:lang w:eastAsia="en-AU"/>
        </w:rPr>
        <w:t xml:space="preserve"> </w:t>
      </w:r>
      <w:r w:rsidRPr="00A613A8">
        <w:rPr>
          <w:lang w:eastAsia="en-AU"/>
        </w:rPr>
        <w:t>to</w:t>
      </w:r>
      <w:r w:rsidRPr="00A613A8">
        <w:rPr>
          <w:spacing w:val="-7"/>
          <w:lang w:eastAsia="en-AU"/>
        </w:rPr>
        <w:t xml:space="preserve"> </w:t>
      </w:r>
      <w:r w:rsidRPr="00A613A8">
        <w:rPr>
          <w:lang w:eastAsia="en-AU"/>
        </w:rPr>
        <w:t>gender (McGuire 2010)</w:t>
      </w:r>
      <w:bookmarkEnd w:id="81"/>
    </w:p>
    <w:tbl>
      <w:tblPr>
        <w:tblStyle w:val="TableTGAblue"/>
        <w:tblW w:w="9125" w:type="dxa"/>
        <w:tblLayout w:type="fixed"/>
        <w:tblLook w:val="0020" w:firstRow="1" w:lastRow="0" w:firstColumn="0" w:lastColumn="0" w:noHBand="0" w:noVBand="0"/>
      </w:tblPr>
      <w:tblGrid>
        <w:gridCol w:w="1333"/>
        <w:gridCol w:w="1809"/>
        <w:gridCol w:w="904"/>
        <w:gridCol w:w="1526"/>
        <w:gridCol w:w="1415"/>
        <w:gridCol w:w="2138"/>
      </w:tblGrid>
      <w:tr w:rsidR="00436B89" w:rsidRPr="006820CE" w14:paraId="29771FE9" w14:textId="77777777" w:rsidTr="006820CE">
        <w:trPr>
          <w:cnfStyle w:val="100000000000" w:firstRow="1" w:lastRow="0" w:firstColumn="0" w:lastColumn="0" w:oddVBand="0" w:evenVBand="0" w:oddHBand="0" w:evenHBand="0" w:firstRowFirstColumn="0" w:firstRowLastColumn="0" w:lastRowFirstColumn="0" w:lastRowLastColumn="0"/>
          <w:trHeight w:hRule="exact" w:val="459"/>
          <w:tblHeader/>
        </w:trPr>
        <w:tc>
          <w:tcPr>
            <w:tcW w:w="1333" w:type="dxa"/>
            <w:vMerge w:val="restart"/>
          </w:tcPr>
          <w:p w14:paraId="39DDC4A6" w14:textId="77777777" w:rsidR="00436B89" w:rsidRPr="006820CE" w:rsidRDefault="00436B89" w:rsidP="006820CE">
            <w:pPr>
              <w:ind w:left="0"/>
              <w:rPr>
                <w:b w:val="0"/>
                <w:sz w:val="20"/>
                <w:szCs w:val="20"/>
              </w:rPr>
            </w:pPr>
            <w:r w:rsidRPr="006820CE">
              <w:rPr>
                <w:b w:val="0"/>
                <w:sz w:val="20"/>
                <w:szCs w:val="20"/>
              </w:rPr>
              <w:t>Ref.</w:t>
            </w:r>
          </w:p>
        </w:tc>
        <w:tc>
          <w:tcPr>
            <w:tcW w:w="2713" w:type="dxa"/>
            <w:gridSpan w:val="2"/>
            <w:vMerge w:val="restart"/>
          </w:tcPr>
          <w:p w14:paraId="0BCDED79" w14:textId="77777777" w:rsidR="00436B89" w:rsidRPr="006820CE" w:rsidRDefault="00436B89" w:rsidP="006820CE">
            <w:pPr>
              <w:ind w:left="85"/>
              <w:rPr>
                <w:b w:val="0"/>
                <w:sz w:val="20"/>
                <w:szCs w:val="20"/>
              </w:rPr>
            </w:pPr>
            <w:r w:rsidRPr="006820CE">
              <w:rPr>
                <w:b w:val="0"/>
                <w:spacing w:val="-1"/>
                <w:sz w:val="20"/>
                <w:szCs w:val="20"/>
              </w:rPr>
              <w:t>Parameter</w:t>
            </w:r>
          </w:p>
        </w:tc>
        <w:tc>
          <w:tcPr>
            <w:tcW w:w="5079" w:type="dxa"/>
            <w:gridSpan w:val="3"/>
          </w:tcPr>
          <w:p w14:paraId="761BF446" w14:textId="77777777" w:rsidR="00436B89" w:rsidRPr="006820CE" w:rsidRDefault="00436B89" w:rsidP="006820CE">
            <w:pPr>
              <w:ind w:left="0"/>
              <w:rPr>
                <w:b w:val="0"/>
                <w:sz w:val="20"/>
                <w:szCs w:val="20"/>
              </w:rPr>
            </w:pPr>
            <w:r w:rsidRPr="006820CE">
              <w:rPr>
                <w:b w:val="0"/>
                <w:spacing w:val="-1"/>
                <w:sz w:val="20"/>
                <w:szCs w:val="20"/>
              </w:rPr>
              <w:t>Plasma</w:t>
            </w:r>
            <w:r w:rsidRPr="006820CE">
              <w:rPr>
                <w:b w:val="0"/>
                <w:spacing w:val="-19"/>
                <w:sz w:val="20"/>
                <w:szCs w:val="20"/>
              </w:rPr>
              <w:t xml:space="preserve"> </w:t>
            </w:r>
            <w:r w:rsidRPr="006820CE">
              <w:rPr>
                <w:b w:val="0"/>
                <w:sz w:val="20"/>
                <w:szCs w:val="20"/>
              </w:rPr>
              <w:t>concentrations</w:t>
            </w:r>
          </w:p>
        </w:tc>
      </w:tr>
      <w:tr w:rsidR="00436B89" w:rsidRPr="006820CE" w14:paraId="0615AD84" w14:textId="77777777" w:rsidTr="006820CE">
        <w:trPr>
          <w:cnfStyle w:val="100000000000" w:firstRow="1" w:lastRow="0" w:firstColumn="0" w:lastColumn="0" w:oddVBand="0" w:evenVBand="0" w:oddHBand="0" w:evenHBand="0" w:firstRowFirstColumn="0" w:firstRowLastColumn="0" w:lastRowFirstColumn="0" w:lastRowLastColumn="0"/>
          <w:trHeight w:hRule="exact" w:val="706"/>
          <w:tblHeader/>
        </w:trPr>
        <w:tc>
          <w:tcPr>
            <w:tcW w:w="1333" w:type="dxa"/>
            <w:vMerge/>
          </w:tcPr>
          <w:p w14:paraId="5A0FF87F" w14:textId="77777777" w:rsidR="00436B89" w:rsidRPr="006820CE" w:rsidRDefault="00436B89" w:rsidP="006820CE">
            <w:pPr>
              <w:ind w:left="0"/>
              <w:rPr>
                <w:b w:val="0"/>
                <w:sz w:val="20"/>
                <w:szCs w:val="20"/>
              </w:rPr>
            </w:pPr>
          </w:p>
        </w:tc>
        <w:tc>
          <w:tcPr>
            <w:tcW w:w="2713" w:type="dxa"/>
            <w:gridSpan w:val="2"/>
            <w:vMerge/>
          </w:tcPr>
          <w:p w14:paraId="31BD0B96" w14:textId="77777777" w:rsidR="00436B89" w:rsidRPr="006820CE" w:rsidRDefault="00436B89" w:rsidP="006820CE">
            <w:pPr>
              <w:ind w:left="85"/>
              <w:rPr>
                <w:b w:val="0"/>
                <w:sz w:val="20"/>
                <w:szCs w:val="20"/>
              </w:rPr>
            </w:pPr>
          </w:p>
        </w:tc>
        <w:tc>
          <w:tcPr>
            <w:tcW w:w="1526" w:type="dxa"/>
          </w:tcPr>
          <w:p w14:paraId="3C723F1A" w14:textId="77777777" w:rsidR="00436B89" w:rsidRPr="006820CE" w:rsidRDefault="00436B89" w:rsidP="006820CE">
            <w:pPr>
              <w:ind w:left="0"/>
              <w:rPr>
                <w:b w:val="0"/>
                <w:sz w:val="20"/>
                <w:szCs w:val="20"/>
              </w:rPr>
            </w:pPr>
            <w:r w:rsidRPr="006820CE">
              <w:rPr>
                <w:b w:val="0"/>
                <w:spacing w:val="-1"/>
                <w:sz w:val="20"/>
                <w:szCs w:val="20"/>
              </w:rPr>
              <w:t>phenylbutyrate</w:t>
            </w:r>
          </w:p>
        </w:tc>
        <w:tc>
          <w:tcPr>
            <w:tcW w:w="1415" w:type="dxa"/>
          </w:tcPr>
          <w:p w14:paraId="05EB9879" w14:textId="77777777" w:rsidR="00436B89" w:rsidRPr="006820CE" w:rsidRDefault="00436B89" w:rsidP="006820CE">
            <w:pPr>
              <w:ind w:left="0"/>
              <w:rPr>
                <w:b w:val="0"/>
                <w:sz w:val="20"/>
                <w:szCs w:val="20"/>
              </w:rPr>
            </w:pPr>
            <w:r w:rsidRPr="006820CE">
              <w:rPr>
                <w:b w:val="0"/>
                <w:spacing w:val="-1"/>
                <w:sz w:val="20"/>
                <w:szCs w:val="20"/>
              </w:rPr>
              <w:t>phenylacetate</w:t>
            </w:r>
          </w:p>
        </w:tc>
        <w:tc>
          <w:tcPr>
            <w:tcW w:w="2138" w:type="dxa"/>
          </w:tcPr>
          <w:p w14:paraId="3A450D22" w14:textId="77777777" w:rsidR="00436B89" w:rsidRPr="006820CE" w:rsidRDefault="00436B89" w:rsidP="006820CE">
            <w:pPr>
              <w:ind w:left="0"/>
              <w:rPr>
                <w:b w:val="0"/>
                <w:sz w:val="20"/>
                <w:szCs w:val="20"/>
              </w:rPr>
            </w:pPr>
            <w:r w:rsidRPr="006820CE">
              <w:rPr>
                <w:b w:val="0"/>
                <w:spacing w:val="-1"/>
                <w:sz w:val="20"/>
                <w:szCs w:val="20"/>
              </w:rPr>
              <w:t>phenylacetylglutamine</w:t>
            </w:r>
          </w:p>
        </w:tc>
      </w:tr>
      <w:tr w:rsidR="00436B89" w:rsidRPr="006820CE" w14:paraId="11F1480B" w14:textId="77777777" w:rsidTr="006820CE">
        <w:trPr>
          <w:trHeight w:hRule="exact" w:val="702"/>
        </w:trPr>
        <w:tc>
          <w:tcPr>
            <w:tcW w:w="1333" w:type="dxa"/>
            <w:vMerge w:val="restart"/>
          </w:tcPr>
          <w:p w14:paraId="08AE6478" w14:textId="77777777" w:rsidR="00436B89" w:rsidRPr="006820CE" w:rsidRDefault="00436B89" w:rsidP="006820CE">
            <w:pPr>
              <w:ind w:left="0"/>
              <w:rPr>
                <w:sz w:val="20"/>
                <w:szCs w:val="20"/>
              </w:rPr>
            </w:pPr>
            <w:r w:rsidRPr="006820CE">
              <w:rPr>
                <w:sz w:val="20"/>
                <w:szCs w:val="20"/>
                <w:lang w:eastAsia="ja-JP"/>
              </w:rPr>
              <w:t>McGuire 2010</w:t>
            </w:r>
          </w:p>
        </w:tc>
        <w:tc>
          <w:tcPr>
            <w:tcW w:w="1809" w:type="dxa"/>
          </w:tcPr>
          <w:p w14:paraId="2550F5F6" w14:textId="77777777" w:rsidR="00436B89" w:rsidRPr="006820CE" w:rsidRDefault="00436B89" w:rsidP="006820CE">
            <w:pPr>
              <w:ind w:left="85"/>
              <w:rPr>
                <w:sz w:val="20"/>
                <w:szCs w:val="20"/>
              </w:rPr>
            </w:pPr>
            <w:r w:rsidRPr="006820CE">
              <w:rPr>
                <w:color w:val="010202"/>
                <w:sz w:val="20"/>
                <w:szCs w:val="20"/>
              </w:rPr>
              <w:t>AUC</w:t>
            </w:r>
            <w:r w:rsidRPr="006820CE">
              <w:rPr>
                <w:color w:val="010202"/>
                <w:spacing w:val="-3"/>
                <w:sz w:val="20"/>
                <w:szCs w:val="20"/>
              </w:rPr>
              <w:t xml:space="preserve"> </w:t>
            </w:r>
            <w:r w:rsidRPr="006820CE">
              <w:rPr>
                <w:color w:val="010202"/>
                <w:sz w:val="20"/>
                <w:szCs w:val="20"/>
              </w:rPr>
              <w:t>(μmol/L</w:t>
            </w:r>
            <w:r w:rsidRPr="006820CE">
              <w:rPr>
                <w:color w:val="010202"/>
                <w:spacing w:val="-2"/>
                <w:sz w:val="20"/>
                <w:szCs w:val="20"/>
              </w:rPr>
              <w:t xml:space="preserve"> </w:t>
            </w:r>
            <w:r w:rsidRPr="006820CE">
              <w:rPr>
                <w:color w:val="010202"/>
                <w:sz w:val="20"/>
                <w:szCs w:val="20"/>
              </w:rPr>
              <w:t>x</w:t>
            </w:r>
            <w:r w:rsidRPr="006820CE">
              <w:rPr>
                <w:color w:val="010202"/>
                <w:spacing w:val="-2"/>
                <w:sz w:val="20"/>
                <w:szCs w:val="20"/>
              </w:rPr>
              <w:t xml:space="preserve"> h)</w:t>
            </w:r>
          </w:p>
        </w:tc>
        <w:tc>
          <w:tcPr>
            <w:tcW w:w="904" w:type="dxa"/>
            <w:vMerge w:val="restart"/>
          </w:tcPr>
          <w:p w14:paraId="2DF891D8" w14:textId="77777777" w:rsidR="00436B89" w:rsidRPr="006820CE" w:rsidRDefault="00436B89" w:rsidP="006820CE">
            <w:pPr>
              <w:ind w:left="85"/>
              <w:rPr>
                <w:sz w:val="20"/>
                <w:szCs w:val="20"/>
              </w:rPr>
            </w:pPr>
            <w:r w:rsidRPr="006820CE">
              <w:rPr>
                <w:color w:val="010202"/>
                <w:sz w:val="20"/>
                <w:szCs w:val="20"/>
              </w:rPr>
              <w:t>22</w:t>
            </w:r>
            <w:r w:rsidRPr="006820CE">
              <w:rPr>
                <w:color w:val="010202"/>
                <w:spacing w:val="-5"/>
                <w:sz w:val="20"/>
                <w:szCs w:val="20"/>
              </w:rPr>
              <w:t xml:space="preserve"> </w:t>
            </w:r>
            <w:r w:rsidRPr="006820CE">
              <w:rPr>
                <w:color w:val="010202"/>
                <w:sz w:val="20"/>
                <w:szCs w:val="20"/>
              </w:rPr>
              <w:t>HV</w:t>
            </w:r>
            <w:r w:rsidRPr="006820CE">
              <w:rPr>
                <w:color w:val="010202"/>
                <w:position w:val="9"/>
                <w:sz w:val="20"/>
                <w:szCs w:val="20"/>
              </w:rPr>
              <w:t>*</w:t>
            </w:r>
          </w:p>
        </w:tc>
        <w:tc>
          <w:tcPr>
            <w:tcW w:w="1526" w:type="dxa"/>
          </w:tcPr>
          <w:p w14:paraId="33FFDD24" w14:textId="77777777" w:rsidR="00436B89" w:rsidRPr="006820CE" w:rsidRDefault="00436B89" w:rsidP="006820CE">
            <w:pPr>
              <w:ind w:left="0"/>
              <w:rPr>
                <w:sz w:val="20"/>
                <w:szCs w:val="20"/>
              </w:rPr>
            </w:pPr>
            <w:r w:rsidRPr="006820CE">
              <w:rPr>
                <w:color w:val="010202"/>
                <w:sz w:val="20"/>
                <w:szCs w:val="20"/>
              </w:rPr>
              <w:t>2890±599</w:t>
            </w:r>
          </w:p>
        </w:tc>
        <w:tc>
          <w:tcPr>
            <w:tcW w:w="1415" w:type="dxa"/>
          </w:tcPr>
          <w:p w14:paraId="79D38777" w14:textId="77777777" w:rsidR="00436B89" w:rsidRPr="006820CE" w:rsidRDefault="00436B89" w:rsidP="006820CE">
            <w:pPr>
              <w:ind w:left="0"/>
              <w:rPr>
                <w:sz w:val="20"/>
                <w:szCs w:val="20"/>
              </w:rPr>
            </w:pPr>
            <w:r w:rsidRPr="006820CE">
              <w:rPr>
                <w:color w:val="010202"/>
                <w:sz w:val="20"/>
                <w:szCs w:val="20"/>
              </w:rPr>
              <w:t>1958±422</w:t>
            </w:r>
          </w:p>
        </w:tc>
        <w:tc>
          <w:tcPr>
            <w:tcW w:w="2138" w:type="dxa"/>
          </w:tcPr>
          <w:p w14:paraId="4300D4D2" w14:textId="77777777" w:rsidR="00436B89" w:rsidRPr="006820CE" w:rsidRDefault="00436B89" w:rsidP="006820CE">
            <w:pPr>
              <w:ind w:left="0"/>
              <w:rPr>
                <w:sz w:val="20"/>
                <w:szCs w:val="20"/>
              </w:rPr>
            </w:pPr>
            <w:r w:rsidRPr="006820CE">
              <w:rPr>
                <w:color w:val="010202"/>
                <w:sz w:val="20"/>
                <w:szCs w:val="20"/>
              </w:rPr>
              <w:t>1411±221</w:t>
            </w:r>
          </w:p>
        </w:tc>
      </w:tr>
      <w:tr w:rsidR="00436B89" w:rsidRPr="006820CE" w14:paraId="0CF126D0" w14:textId="77777777" w:rsidTr="006820CE">
        <w:trPr>
          <w:trHeight w:hRule="exact" w:val="570"/>
        </w:trPr>
        <w:tc>
          <w:tcPr>
            <w:tcW w:w="1333" w:type="dxa"/>
            <w:vMerge/>
          </w:tcPr>
          <w:p w14:paraId="706599F9" w14:textId="77777777" w:rsidR="00436B89" w:rsidRPr="006820CE" w:rsidRDefault="00436B89" w:rsidP="006820CE">
            <w:pPr>
              <w:ind w:left="0"/>
              <w:rPr>
                <w:sz w:val="20"/>
                <w:szCs w:val="20"/>
              </w:rPr>
            </w:pPr>
          </w:p>
        </w:tc>
        <w:tc>
          <w:tcPr>
            <w:tcW w:w="1809" w:type="dxa"/>
          </w:tcPr>
          <w:p w14:paraId="04D0C658" w14:textId="77777777" w:rsidR="00436B89" w:rsidRPr="006820CE" w:rsidRDefault="00436B89" w:rsidP="006820CE">
            <w:pPr>
              <w:ind w:left="85"/>
              <w:rPr>
                <w:sz w:val="20"/>
                <w:szCs w:val="20"/>
              </w:rPr>
            </w:pPr>
            <w:r w:rsidRPr="006820CE">
              <w:rPr>
                <w:sz w:val="20"/>
                <w:szCs w:val="20"/>
                <w:lang w:eastAsia="ja-JP"/>
              </w:rPr>
              <w:t>C</w:t>
            </w:r>
            <w:r w:rsidRPr="006820CE">
              <w:rPr>
                <w:sz w:val="20"/>
                <w:szCs w:val="20"/>
                <w:vertAlign w:val="subscript"/>
                <w:lang w:eastAsia="ja-JP"/>
              </w:rPr>
              <w:t>max</w:t>
            </w:r>
            <w:r w:rsidRPr="006820CE">
              <w:rPr>
                <w:color w:val="010202"/>
                <w:spacing w:val="-2"/>
                <w:position w:val="-3"/>
                <w:sz w:val="20"/>
                <w:szCs w:val="20"/>
              </w:rPr>
              <w:t xml:space="preserve"> </w:t>
            </w:r>
            <w:r w:rsidRPr="006820CE">
              <w:rPr>
                <w:color w:val="010202"/>
                <w:spacing w:val="-1"/>
                <w:sz w:val="20"/>
                <w:szCs w:val="20"/>
              </w:rPr>
              <w:t>(μmol/L)</w:t>
            </w:r>
          </w:p>
        </w:tc>
        <w:tc>
          <w:tcPr>
            <w:tcW w:w="904" w:type="dxa"/>
            <w:vMerge/>
          </w:tcPr>
          <w:p w14:paraId="5855CC33" w14:textId="77777777" w:rsidR="00436B89" w:rsidRPr="006820CE" w:rsidRDefault="00436B89" w:rsidP="006820CE">
            <w:pPr>
              <w:ind w:left="85"/>
              <w:rPr>
                <w:sz w:val="20"/>
                <w:szCs w:val="20"/>
              </w:rPr>
            </w:pPr>
          </w:p>
        </w:tc>
        <w:tc>
          <w:tcPr>
            <w:tcW w:w="1526" w:type="dxa"/>
          </w:tcPr>
          <w:p w14:paraId="6E879D23" w14:textId="77777777" w:rsidR="00436B89" w:rsidRPr="006820CE" w:rsidRDefault="00436B89" w:rsidP="006820CE">
            <w:pPr>
              <w:ind w:left="0"/>
              <w:rPr>
                <w:sz w:val="20"/>
                <w:szCs w:val="20"/>
              </w:rPr>
            </w:pPr>
            <w:r w:rsidRPr="006820CE">
              <w:rPr>
                <w:color w:val="010202"/>
                <w:sz w:val="20"/>
                <w:szCs w:val="20"/>
              </w:rPr>
              <w:t>1187±236</w:t>
            </w:r>
          </w:p>
        </w:tc>
        <w:tc>
          <w:tcPr>
            <w:tcW w:w="1415" w:type="dxa"/>
          </w:tcPr>
          <w:p w14:paraId="63A43509" w14:textId="77777777" w:rsidR="00436B89" w:rsidRPr="006820CE" w:rsidRDefault="00436B89" w:rsidP="006820CE">
            <w:pPr>
              <w:ind w:left="0"/>
              <w:rPr>
                <w:sz w:val="20"/>
                <w:szCs w:val="20"/>
              </w:rPr>
            </w:pPr>
            <w:r w:rsidRPr="006820CE">
              <w:rPr>
                <w:color w:val="010202"/>
                <w:sz w:val="20"/>
                <w:szCs w:val="20"/>
              </w:rPr>
              <w:t>432±76</w:t>
            </w:r>
          </w:p>
        </w:tc>
        <w:tc>
          <w:tcPr>
            <w:tcW w:w="2138" w:type="dxa"/>
          </w:tcPr>
          <w:p w14:paraId="2D9374B6" w14:textId="77777777" w:rsidR="00436B89" w:rsidRPr="006820CE" w:rsidRDefault="00436B89" w:rsidP="006820CE">
            <w:pPr>
              <w:ind w:left="0"/>
              <w:rPr>
                <w:sz w:val="20"/>
                <w:szCs w:val="20"/>
              </w:rPr>
            </w:pPr>
            <w:r w:rsidRPr="006820CE">
              <w:rPr>
                <w:color w:val="010202"/>
                <w:sz w:val="20"/>
                <w:szCs w:val="20"/>
              </w:rPr>
              <w:t>234±27</w:t>
            </w:r>
          </w:p>
        </w:tc>
      </w:tr>
      <w:tr w:rsidR="00436B89" w:rsidRPr="006820CE" w14:paraId="0661986C" w14:textId="77777777" w:rsidTr="006820CE">
        <w:trPr>
          <w:trHeight w:hRule="exact" w:val="408"/>
        </w:trPr>
        <w:tc>
          <w:tcPr>
            <w:tcW w:w="1333" w:type="dxa"/>
            <w:vMerge/>
          </w:tcPr>
          <w:p w14:paraId="1A6AB1FC" w14:textId="77777777" w:rsidR="00436B89" w:rsidRPr="006820CE" w:rsidRDefault="00436B89" w:rsidP="006820CE">
            <w:pPr>
              <w:ind w:left="0"/>
              <w:rPr>
                <w:sz w:val="20"/>
                <w:szCs w:val="20"/>
              </w:rPr>
            </w:pPr>
          </w:p>
        </w:tc>
        <w:tc>
          <w:tcPr>
            <w:tcW w:w="1809" w:type="dxa"/>
          </w:tcPr>
          <w:p w14:paraId="0A3AE1C6" w14:textId="77777777" w:rsidR="00436B89" w:rsidRPr="006820CE" w:rsidRDefault="00436B89" w:rsidP="006820CE">
            <w:pPr>
              <w:ind w:left="85"/>
              <w:rPr>
                <w:sz w:val="20"/>
                <w:szCs w:val="20"/>
              </w:rPr>
            </w:pPr>
            <w:r w:rsidRPr="006820CE">
              <w:rPr>
                <w:color w:val="010202"/>
                <w:sz w:val="20"/>
                <w:szCs w:val="20"/>
              </w:rPr>
              <w:t>T</w:t>
            </w:r>
            <w:r w:rsidRPr="006820CE">
              <w:rPr>
                <w:color w:val="010202"/>
                <w:position w:val="-3"/>
                <w:sz w:val="20"/>
                <w:szCs w:val="20"/>
              </w:rPr>
              <w:t>max</w:t>
            </w:r>
            <w:r w:rsidRPr="006820CE">
              <w:rPr>
                <w:color w:val="010202"/>
                <w:spacing w:val="-5"/>
                <w:position w:val="-3"/>
                <w:sz w:val="20"/>
                <w:szCs w:val="20"/>
              </w:rPr>
              <w:t xml:space="preserve"> </w:t>
            </w:r>
            <w:r w:rsidRPr="006820CE">
              <w:rPr>
                <w:color w:val="010202"/>
                <w:spacing w:val="-1"/>
                <w:sz w:val="20"/>
                <w:szCs w:val="20"/>
              </w:rPr>
              <w:t>(h)</w:t>
            </w:r>
          </w:p>
        </w:tc>
        <w:tc>
          <w:tcPr>
            <w:tcW w:w="904" w:type="dxa"/>
            <w:vMerge/>
          </w:tcPr>
          <w:p w14:paraId="0FF41883" w14:textId="77777777" w:rsidR="00436B89" w:rsidRPr="006820CE" w:rsidRDefault="00436B89" w:rsidP="006820CE">
            <w:pPr>
              <w:ind w:left="85"/>
              <w:rPr>
                <w:sz w:val="20"/>
                <w:szCs w:val="20"/>
              </w:rPr>
            </w:pPr>
          </w:p>
        </w:tc>
        <w:tc>
          <w:tcPr>
            <w:tcW w:w="1526" w:type="dxa"/>
          </w:tcPr>
          <w:p w14:paraId="225D1A2E" w14:textId="77777777" w:rsidR="00436B89" w:rsidRPr="006820CE" w:rsidRDefault="00436B89" w:rsidP="006820CE">
            <w:pPr>
              <w:ind w:left="0"/>
              <w:rPr>
                <w:sz w:val="20"/>
                <w:szCs w:val="20"/>
              </w:rPr>
            </w:pPr>
            <w:r w:rsidRPr="006820CE">
              <w:rPr>
                <w:color w:val="010202"/>
                <w:spacing w:val="-1"/>
                <w:sz w:val="20"/>
                <w:szCs w:val="20"/>
              </w:rPr>
              <w:t>0.9±0.61</w:t>
            </w:r>
          </w:p>
        </w:tc>
        <w:tc>
          <w:tcPr>
            <w:tcW w:w="1415" w:type="dxa"/>
          </w:tcPr>
          <w:p w14:paraId="68C22037" w14:textId="77777777" w:rsidR="00436B89" w:rsidRPr="006820CE" w:rsidRDefault="00436B89" w:rsidP="006820CE">
            <w:pPr>
              <w:ind w:left="0"/>
              <w:rPr>
                <w:sz w:val="20"/>
                <w:szCs w:val="20"/>
              </w:rPr>
            </w:pPr>
            <w:r w:rsidRPr="006820CE">
              <w:rPr>
                <w:color w:val="010202"/>
                <w:spacing w:val="-1"/>
                <w:sz w:val="20"/>
                <w:szCs w:val="20"/>
              </w:rPr>
              <w:t>3.9±0.3</w:t>
            </w:r>
          </w:p>
        </w:tc>
        <w:tc>
          <w:tcPr>
            <w:tcW w:w="2138" w:type="dxa"/>
          </w:tcPr>
          <w:p w14:paraId="7A5ABF16" w14:textId="77777777" w:rsidR="00436B89" w:rsidRPr="006820CE" w:rsidRDefault="00436B89" w:rsidP="006820CE">
            <w:pPr>
              <w:ind w:left="0"/>
              <w:rPr>
                <w:sz w:val="20"/>
                <w:szCs w:val="20"/>
              </w:rPr>
            </w:pPr>
            <w:r w:rsidRPr="006820CE">
              <w:rPr>
                <w:color w:val="010202"/>
                <w:spacing w:val="-1"/>
                <w:sz w:val="20"/>
                <w:szCs w:val="20"/>
              </w:rPr>
              <w:t>3.2±0.4</w:t>
            </w:r>
          </w:p>
        </w:tc>
      </w:tr>
      <w:tr w:rsidR="00436B89" w:rsidRPr="006820CE" w14:paraId="787E41E8" w14:textId="77777777" w:rsidTr="006820CE">
        <w:trPr>
          <w:trHeight w:hRule="exact" w:val="571"/>
        </w:trPr>
        <w:tc>
          <w:tcPr>
            <w:tcW w:w="1333" w:type="dxa"/>
            <w:vMerge/>
          </w:tcPr>
          <w:p w14:paraId="69210A39" w14:textId="77777777" w:rsidR="00436B89" w:rsidRPr="006820CE" w:rsidRDefault="00436B89" w:rsidP="006820CE">
            <w:pPr>
              <w:ind w:left="0"/>
              <w:rPr>
                <w:sz w:val="20"/>
                <w:szCs w:val="20"/>
              </w:rPr>
            </w:pPr>
          </w:p>
        </w:tc>
        <w:tc>
          <w:tcPr>
            <w:tcW w:w="1809" w:type="dxa"/>
          </w:tcPr>
          <w:p w14:paraId="3392263E" w14:textId="77777777" w:rsidR="00436B89" w:rsidRPr="006820CE" w:rsidRDefault="00436B89" w:rsidP="006820CE">
            <w:pPr>
              <w:ind w:left="85"/>
              <w:rPr>
                <w:sz w:val="20"/>
                <w:szCs w:val="20"/>
              </w:rPr>
            </w:pPr>
            <w:r w:rsidRPr="006820CE">
              <w:rPr>
                <w:color w:val="010202"/>
                <w:spacing w:val="-1"/>
                <w:sz w:val="20"/>
                <w:szCs w:val="20"/>
              </w:rPr>
              <w:t>t</w:t>
            </w:r>
            <w:r w:rsidRPr="006820CE">
              <w:rPr>
                <w:color w:val="010202"/>
                <w:spacing w:val="-1"/>
                <w:position w:val="-3"/>
                <w:sz w:val="20"/>
                <w:szCs w:val="20"/>
              </w:rPr>
              <w:t>1/2</w:t>
            </w:r>
            <w:r w:rsidRPr="006820CE">
              <w:rPr>
                <w:color w:val="010202"/>
                <w:spacing w:val="-4"/>
                <w:position w:val="-3"/>
                <w:sz w:val="20"/>
                <w:szCs w:val="20"/>
              </w:rPr>
              <w:t xml:space="preserve"> </w:t>
            </w:r>
            <w:r w:rsidRPr="006820CE">
              <w:rPr>
                <w:color w:val="010202"/>
                <w:spacing w:val="-1"/>
                <w:sz w:val="20"/>
                <w:szCs w:val="20"/>
              </w:rPr>
              <w:t>(h)</w:t>
            </w:r>
          </w:p>
        </w:tc>
        <w:tc>
          <w:tcPr>
            <w:tcW w:w="904" w:type="dxa"/>
            <w:vMerge/>
          </w:tcPr>
          <w:p w14:paraId="08D1E3D4" w14:textId="77777777" w:rsidR="00436B89" w:rsidRPr="006820CE" w:rsidRDefault="00436B89" w:rsidP="006820CE">
            <w:pPr>
              <w:ind w:left="85"/>
              <w:rPr>
                <w:sz w:val="20"/>
                <w:szCs w:val="20"/>
              </w:rPr>
            </w:pPr>
          </w:p>
        </w:tc>
        <w:tc>
          <w:tcPr>
            <w:tcW w:w="1526" w:type="dxa"/>
          </w:tcPr>
          <w:p w14:paraId="771E048B" w14:textId="77777777" w:rsidR="00436B89" w:rsidRPr="006820CE" w:rsidRDefault="00436B89" w:rsidP="006820CE">
            <w:pPr>
              <w:ind w:left="0"/>
              <w:rPr>
                <w:sz w:val="20"/>
                <w:szCs w:val="20"/>
              </w:rPr>
            </w:pPr>
            <w:r w:rsidRPr="006820CE">
              <w:rPr>
                <w:color w:val="010202"/>
                <w:spacing w:val="-1"/>
                <w:sz w:val="20"/>
                <w:szCs w:val="20"/>
              </w:rPr>
              <w:t>0.7±0.1</w:t>
            </w:r>
          </w:p>
        </w:tc>
        <w:tc>
          <w:tcPr>
            <w:tcW w:w="1415" w:type="dxa"/>
          </w:tcPr>
          <w:p w14:paraId="55A1421B" w14:textId="77777777" w:rsidR="00436B89" w:rsidRPr="006820CE" w:rsidRDefault="00436B89" w:rsidP="006820CE">
            <w:pPr>
              <w:ind w:left="0"/>
              <w:rPr>
                <w:sz w:val="20"/>
                <w:szCs w:val="20"/>
              </w:rPr>
            </w:pPr>
            <w:r w:rsidRPr="006820CE">
              <w:rPr>
                <w:color w:val="010202"/>
                <w:spacing w:val="-1"/>
                <w:sz w:val="20"/>
                <w:szCs w:val="20"/>
              </w:rPr>
              <w:t>1.2±0.2</w:t>
            </w:r>
          </w:p>
        </w:tc>
        <w:tc>
          <w:tcPr>
            <w:tcW w:w="2138" w:type="dxa"/>
          </w:tcPr>
          <w:p w14:paraId="2671D828" w14:textId="77777777" w:rsidR="00436B89" w:rsidRPr="006820CE" w:rsidRDefault="00436B89" w:rsidP="006820CE">
            <w:pPr>
              <w:ind w:left="0"/>
              <w:rPr>
                <w:sz w:val="20"/>
                <w:szCs w:val="20"/>
              </w:rPr>
            </w:pPr>
            <w:r w:rsidRPr="006820CE">
              <w:rPr>
                <w:color w:val="010202"/>
                <w:spacing w:val="-1"/>
                <w:sz w:val="20"/>
                <w:szCs w:val="20"/>
              </w:rPr>
              <w:t>1.7±0.5</w:t>
            </w:r>
          </w:p>
        </w:tc>
      </w:tr>
    </w:tbl>
    <w:p w14:paraId="1EB35725" w14:textId="77777777" w:rsidR="00436B89" w:rsidRPr="00A613A8" w:rsidRDefault="00436B89" w:rsidP="006820CE">
      <w:pPr>
        <w:pStyle w:val="TableDescription"/>
        <w:rPr>
          <w:color w:val="000000"/>
          <w:lang w:eastAsia="en-AU"/>
        </w:rPr>
      </w:pPr>
      <w:r w:rsidRPr="00A613A8">
        <w:rPr>
          <w:lang w:eastAsia="en-AU"/>
        </w:rPr>
        <w:t>* HV=healthy</w:t>
      </w:r>
      <w:r w:rsidRPr="00A613A8">
        <w:rPr>
          <w:spacing w:val="-3"/>
          <w:lang w:eastAsia="en-AU"/>
        </w:rPr>
        <w:t xml:space="preserve"> </w:t>
      </w:r>
      <w:r w:rsidRPr="00A613A8">
        <w:rPr>
          <w:lang w:eastAsia="en-AU"/>
        </w:rPr>
        <w:t>volunteers,</w:t>
      </w:r>
      <w:r w:rsidRPr="00A613A8">
        <w:rPr>
          <w:spacing w:val="1"/>
          <w:lang w:eastAsia="en-AU"/>
        </w:rPr>
        <w:t xml:space="preserve"> </w:t>
      </w:r>
      <w:r w:rsidRPr="00A613A8">
        <w:rPr>
          <w:lang w:eastAsia="en-AU"/>
        </w:rPr>
        <w:t>gender not specified</w:t>
      </w:r>
    </w:p>
    <w:p w14:paraId="6122F5A4" w14:textId="77777777" w:rsidR="00436B89" w:rsidRPr="00A613A8" w:rsidRDefault="00436B89" w:rsidP="00177802">
      <w:pPr>
        <w:pStyle w:val="Heading5"/>
        <w:numPr>
          <w:ilvl w:val="3"/>
          <w:numId w:val="5"/>
        </w:numPr>
        <w:tabs>
          <w:tab w:val="clear" w:pos="1418"/>
          <w:tab w:val="num" w:pos="1191"/>
        </w:tabs>
        <w:ind w:left="1191"/>
      </w:pPr>
      <w:bookmarkStart w:id="82" w:name="_Toc272414619"/>
      <w:bookmarkStart w:id="83" w:name="_Toc290888468"/>
      <w:bookmarkStart w:id="84" w:name="_Toc416353664"/>
      <w:r w:rsidRPr="00A613A8">
        <w:t>Absorption</w:t>
      </w:r>
      <w:bookmarkEnd w:id="82"/>
      <w:bookmarkEnd w:id="83"/>
      <w:bookmarkEnd w:id="84"/>
    </w:p>
    <w:p w14:paraId="15366E32" w14:textId="77777777" w:rsidR="00436B89" w:rsidRDefault="00436B89" w:rsidP="00436B89">
      <w:pPr>
        <w:pStyle w:val="Heading6"/>
        <w:rPr>
          <w:lang w:eastAsia="ja-JP"/>
        </w:rPr>
      </w:pPr>
      <w:bookmarkStart w:id="85" w:name="_Toc241374287"/>
      <w:bookmarkStart w:id="86" w:name="_Toc272414620"/>
      <w:bookmarkStart w:id="87" w:name="_Toc290888469"/>
      <w:bookmarkStart w:id="88" w:name="_Toc416353665"/>
      <w:r w:rsidRPr="00A613A8">
        <w:rPr>
          <w:lang w:eastAsia="ja-JP"/>
        </w:rPr>
        <w:t>Sites and mechanism of absorption</w:t>
      </w:r>
    </w:p>
    <w:p w14:paraId="642E30EE" w14:textId="77777777" w:rsidR="00436B89" w:rsidRPr="000342C6" w:rsidRDefault="00436B89" w:rsidP="00436B89">
      <w:pPr>
        <w:rPr>
          <w:lang w:eastAsia="ja-JP"/>
        </w:rPr>
      </w:pPr>
      <w:r>
        <w:rPr>
          <w:lang w:eastAsia="ja-JP"/>
        </w:rPr>
        <w:t>The mechanism of absorption was not addressed in the clinical studies. As a small molecule, it is likely to be mostly absorbed at the small intestine.</w:t>
      </w:r>
    </w:p>
    <w:p w14:paraId="5B180036" w14:textId="77777777" w:rsidR="00436B89" w:rsidRPr="00A613A8" w:rsidRDefault="00436B89" w:rsidP="00177802">
      <w:pPr>
        <w:pStyle w:val="Heading5"/>
        <w:numPr>
          <w:ilvl w:val="3"/>
          <w:numId w:val="5"/>
        </w:numPr>
        <w:tabs>
          <w:tab w:val="clear" w:pos="1418"/>
          <w:tab w:val="num" w:pos="1191"/>
        </w:tabs>
        <w:ind w:left="1191"/>
      </w:pPr>
      <w:r w:rsidRPr="00A613A8">
        <w:t>Bioavailability</w:t>
      </w:r>
      <w:bookmarkEnd w:id="85"/>
      <w:bookmarkEnd w:id="86"/>
      <w:bookmarkEnd w:id="87"/>
      <w:bookmarkEnd w:id="88"/>
    </w:p>
    <w:p w14:paraId="42CD0B15" w14:textId="77777777" w:rsidR="00436B89" w:rsidRPr="00A613A8" w:rsidRDefault="00436B89" w:rsidP="00436B89">
      <w:pPr>
        <w:pStyle w:val="Heading6"/>
      </w:pPr>
      <w:r w:rsidRPr="00A613A8">
        <w:t>Absolute bioavailability</w:t>
      </w:r>
    </w:p>
    <w:p w14:paraId="4F2EFAF2" w14:textId="77777777" w:rsidR="00436B89" w:rsidRPr="00A613A8" w:rsidRDefault="00436B89" w:rsidP="00436B89">
      <w:pPr>
        <w:rPr>
          <w:lang w:eastAsia="ja-JP"/>
        </w:rPr>
      </w:pPr>
      <w:r w:rsidRPr="00A613A8">
        <w:rPr>
          <w:lang w:eastAsia="ja-JP"/>
        </w:rPr>
        <w:t>Absolute Bioavailability data were not provided in healthy subjects. However, intravenous data were available in cancer patients.</w:t>
      </w:r>
    </w:p>
    <w:p w14:paraId="585DF958" w14:textId="77777777" w:rsidR="00436B89" w:rsidRPr="00A613A8" w:rsidRDefault="00436B89" w:rsidP="00436B89">
      <w:pPr>
        <w:pStyle w:val="Heading6"/>
        <w:rPr>
          <w:lang w:eastAsia="ja-JP"/>
        </w:rPr>
      </w:pPr>
      <w:r w:rsidRPr="00A613A8">
        <w:rPr>
          <w:lang w:eastAsia="ja-JP"/>
        </w:rPr>
        <w:t>Piscitelli 1995</w:t>
      </w:r>
    </w:p>
    <w:p w14:paraId="2833803C" w14:textId="77777777" w:rsidR="00436B89" w:rsidRPr="00A613A8" w:rsidRDefault="00436B89" w:rsidP="00436B89">
      <w:pPr>
        <w:rPr>
          <w:lang w:eastAsia="ja-JP"/>
        </w:rPr>
      </w:pPr>
      <w:r w:rsidRPr="00A613A8">
        <w:rPr>
          <w:lang w:eastAsia="ja-JP"/>
        </w:rPr>
        <w:t>In 14 cancer patients (51.8±13.8 years) receiving a 30-min infusion at 3 dose levels (0.6, 1.2, and 2 g/m2), phenylbutyrate peak concentrations ranges were 500-2000 μmol/L. Metabolism into phenylacetate was rapid and extensive (80±12.6%) with median (range) T</w:t>
      </w:r>
      <w:r w:rsidRPr="00B76751">
        <w:rPr>
          <w:vertAlign w:val="subscript"/>
          <w:lang w:eastAsia="ja-JP"/>
        </w:rPr>
        <w:t>max</w:t>
      </w:r>
      <w:r w:rsidRPr="00A613A8">
        <w:rPr>
          <w:lang w:eastAsia="ja-JP"/>
        </w:rPr>
        <w:t xml:space="preserve"> for phenylacetate and phenylacetylglutamine of 1 (1-2) and 2 (1-3.5) hours, respectively. Elimination was saturable, therefore pharmacokinetics was nonlinear. Plasma phenylacetate was low because of its rapid conversion into phenylacetylglutamine.</w:t>
      </w:r>
    </w:p>
    <w:p w14:paraId="5ACB3A6A" w14:textId="77777777" w:rsidR="00436B89" w:rsidRPr="00A613A8" w:rsidRDefault="00436B89" w:rsidP="00436B89">
      <w:pPr>
        <w:pStyle w:val="Heading6"/>
        <w:rPr>
          <w:lang w:eastAsia="ja-JP"/>
        </w:rPr>
      </w:pPr>
      <w:r w:rsidRPr="00A613A8">
        <w:rPr>
          <w:lang w:eastAsia="ja-JP"/>
        </w:rPr>
        <w:t>Carducci 2001</w:t>
      </w:r>
    </w:p>
    <w:p w14:paraId="418CCC53" w14:textId="77777777" w:rsidR="00436B89" w:rsidRPr="00A613A8" w:rsidRDefault="00436B89" w:rsidP="00436B89">
      <w:pPr>
        <w:rPr>
          <w:lang w:eastAsia="ja-JP"/>
        </w:rPr>
      </w:pPr>
      <w:r w:rsidRPr="00A613A8">
        <w:rPr>
          <w:lang w:eastAsia="ja-JP"/>
        </w:rPr>
        <w:t xml:space="preserve">Ascending doses were studied in 24 patients (23 males; 48-80 years) with refractory prostate cancer (19) or other solid tumours (5) after a first 120-h infusion. In most patients, plasma </w:t>
      </w:r>
      <w:r w:rsidRPr="00A613A8">
        <w:rPr>
          <w:lang w:eastAsia="ja-JP"/>
        </w:rPr>
        <w:lastRenderedPageBreak/>
        <w:t>phenylbutyrate curves achieved a plateau within 4–6 h into the infusion followed by a substantial decline starting approximately 24 h into the infusion. This pattern was not seen at 150 or 225 mg/</w:t>
      </w:r>
      <w:r>
        <w:rPr>
          <w:lang w:eastAsia="ja-JP"/>
        </w:rPr>
        <w:t>kg/day</w:t>
      </w:r>
      <w:r w:rsidRPr="00A613A8">
        <w:rPr>
          <w:lang w:eastAsia="ja-JP"/>
        </w:rPr>
        <w:t>, and appeared in 1 patient at 285, 3 at 345, and 5 of 7 patients at 410 mg/</w:t>
      </w:r>
      <w:r>
        <w:rPr>
          <w:lang w:eastAsia="ja-JP"/>
        </w:rPr>
        <w:t>kg/day</w:t>
      </w:r>
      <w:r w:rsidRPr="00A613A8">
        <w:rPr>
          <w:lang w:eastAsia="ja-JP"/>
        </w:rPr>
        <w:t>, which suggested that the plasma clearance of phenylbutyrate increased and a saturable elimination.</w:t>
      </w:r>
    </w:p>
    <w:p w14:paraId="5187617F" w14:textId="77777777" w:rsidR="00436B89" w:rsidRPr="00A613A8" w:rsidRDefault="00436B89" w:rsidP="00436B89">
      <w:pPr>
        <w:rPr>
          <w:lang w:eastAsia="ja-JP"/>
        </w:rPr>
      </w:pPr>
      <w:r w:rsidRPr="00A613A8">
        <w:rPr>
          <w:lang w:eastAsia="ja-JP"/>
        </w:rPr>
        <w:t>Phenylacetate maintained a steady concentration throughout the infusion and displayed a zero order pharmacokinetics suggesting it could accumulate in patients whose V</w:t>
      </w:r>
      <w:r w:rsidRPr="00B76751">
        <w:rPr>
          <w:vertAlign w:val="subscript"/>
          <w:lang w:eastAsia="ja-JP"/>
        </w:rPr>
        <w:t>max</w:t>
      </w:r>
      <w:r w:rsidRPr="00A613A8">
        <w:rPr>
          <w:lang w:eastAsia="ja-JP"/>
        </w:rPr>
        <w:t xml:space="preserve"> was lower than the dosing rate, which occurred in one patient.</w:t>
      </w:r>
    </w:p>
    <w:p w14:paraId="51B41AB4" w14:textId="77777777" w:rsidR="00436B89" w:rsidRPr="00A613A8" w:rsidRDefault="00436B89" w:rsidP="00436B89">
      <w:pPr>
        <w:pStyle w:val="Heading6"/>
        <w:rPr>
          <w:lang w:eastAsia="ja-JP"/>
        </w:rPr>
      </w:pPr>
      <w:r w:rsidRPr="00A613A8">
        <w:rPr>
          <w:lang w:eastAsia="ja-JP"/>
        </w:rPr>
        <w:t>Gore 2001</w:t>
      </w:r>
    </w:p>
    <w:p w14:paraId="057155DE" w14:textId="77777777" w:rsidR="00436B89" w:rsidRPr="00A613A8" w:rsidRDefault="00436B89" w:rsidP="00436B89">
      <w:pPr>
        <w:rPr>
          <w:lang w:eastAsia="ja-JP"/>
        </w:rPr>
      </w:pPr>
      <w:r w:rsidRPr="00A613A8">
        <w:rPr>
          <w:lang w:eastAsia="ja-JP"/>
        </w:rPr>
        <w:t>Patients with myelodysplasia (n = 11) and acute myeloid leukaemia (n = 16) were treated with phenylbutyrate as a 7-day continuous intravenous infusion repeated every 28 days in a Phase I dose escalation study. The maximum tolerated dose was 375 mg/</w:t>
      </w:r>
      <w:r>
        <w:rPr>
          <w:lang w:eastAsia="ja-JP"/>
        </w:rPr>
        <w:t>kg/day</w:t>
      </w:r>
      <w:r w:rsidRPr="00A613A8">
        <w:rPr>
          <w:lang w:eastAsia="ja-JP"/>
        </w:rPr>
        <w:t>; higher doses led to dose-limiting reversible neurocortical toxicity. Phenylacetate exhibited nonlinear elimination, clearance decreasing with dose. At a dose of 500 mg/</w:t>
      </w:r>
      <w:r>
        <w:rPr>
          <w:lang w:eastAsia="ja-JP"/>
        </w:rPr>
        <w:t>kg/day</w:t>
      </w:r>
      <w:r w:rsidRPr="00A613A8">
        <w:rPr>
          <w:lang w:eastAsia="ja-JP"/>
        </w:rPr>
        <w:t>, there also seemed to be nonlinear elimination for phenylbutyrate, with an increase in the elimination half-life to 2 hours</w:t>
      </w:r>
      <w:r>
        <w:rPr>
          <w:lang w:eastAsia="ja-JP"/>
        </w:rPr>
        <w:t xml:space="preserve"> (Table 10)</w:t>
      </w:r>
      <w:r w:rsidRPr="00A613A8">
        <w:rPr>
          <w:lang w:eastAsia="ja-JP"/>
        </w:rPr>
        <w:t>.</w:t>
      </w:r>
    </w:p>
    <w:p w14:paraId="67F7DD65" w14:textId="77777777" w:rsidR="00436B89" w:rsidRPr="00A613A8" w:rsidRDefault="00436B89" w:rsidP="00436B89">
      <w:pPr>
        <w:pStyle w:val="TableCaption"/>
        <w:rPr>
          <w:lang w:eastAsia="en-AU"/>
        </w:rPr>
      </w:pPr>
      <w:bookmarkStart w:id="89" w:name="_Ref457767380"/>
      <w:bookmarkStart w:id="90" w:name="_Toc473013949"/>
      <w:r w:rsidRPr="00A613A8">
        <w:t xml:space="preserve">Table </w:t>
      </w:r>
      <w:r>
        <w:t>10:</w:t>
      </w:r>
      <w:bookmarkEnd w:id="89"/>
      <w:r w:rsidRPr="00A613A8">
        <w:t xml:space="preserve"> </w:t>
      </w:r>
      <w:r w:rsidRPr="00A613A8">
        <w:rPr>
          <w:lang w:eastAsia="en-AU"/>
        </w:rPr>
        <w:t>AUC and half-life of phenylbutyrate and phenylacetate with 7-day continuous intravenous infusion (Gore 2001)</w:t>
      </w:r>
      <w:bookmarkEnd w:id="90"/>
    </w:p>
    <w:p w14:paraId="2AF54AED" w14:textId="77777777" w:rsidR="00436B89" w:rsidRPr="00A613A8" w:rsidRDefault="00436B89" w:rsidP="00436B89">
      <w:pPr>
        <w:rPr>
          <w:lang w:eastAsia="ja-JP"/>
        </w:rPr>
      </w:pPr>
      <w:r>
        <w:rPr>
          <w:noProof/>
          <w:lang w:eastAsia="en-AU"/>
        </w:rPr>
        <w:drawing>
          <wp:inline distT="0" distB="0" distL="0" distR="0" wp14:anchorId="048DE26C" wp14:editId="5233F5E4">
            <wp:extent cx="5730240" cy="2049780"/>
            <wp:effectExtent l="0" t="0" r="3810" b="7620"/>
            <wp:docPr id="13" name="Picture 13" descr="Table 10: AUC and half-life of phenylbutyrate and phenylacetate with 7-day continuous intravenous infusion (Go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5730240" cy="2049780"/>
                    </a:xfrm>
                    <a:prstGeom prst="rect">
                      <a:avLst/>
                    </a:prstGeom>
                    <a:noFill/>
                    <a:ln>
                      <a:noFill/>
                    </a:ln>
                  </pic:spPr>
                </pic:pic>
              </a:graphicData>
            </a:graphic>
          </wp:inline>
        </w:drawing>
      </w:r>
    </w:p>
    <w:p w14:paraId="1F483AC5" w14:textId="77777777" w:rsidR="00436B89" w:rsidRPr="00A613A8" w:rsidRDefault="00436B89" w:rsidP="00436B89">
      <w:pPr>
        <w:pStyle w:val="Heading6"/>
        <w:rPr>
          <w:lang w:eastAsia="ja-JP"/>
        </w:rPr>
      </w:pPr>
      <w:r w:rsidRPr="00A613A8">
        <w:rPr>
          <w:lang w:eastAsia="ja-JP"/>
        </w:rPr>
        <w:t>Gore 2006</w:t>
      </w:r>
    </w:p>
    <w:p w14:paraId="310354C9" w14:textId="77777777" w:rsidR="00436B89" w:rsidRPr="00A613A8" w:rsidRDefault="00436B89" w:rsidP="00436B89">
      <w:pPr>
        <w:rPr>
          <w:lang w:eastAsia="ja-JP"/>
        </w:rPr>
      </w:pPr>
      <w:r w:rsidRPr="00A613A8">
        <w:rPr>
          <w:lang w:eastAsia="ja-JP"/>
        </w:rPr>
        <w:t>A continuous 7 day-infusion of 375 mg/</w:t>
      </w:r>
      <w:r>
        <w:rPr>
          <w:lang w:eastAsia="ja-JP"/>
        </w:rPr>
        <w:t>kg/day</w:t>
      </w:r>
      <w:r w:rsidRPr="00A613A8">
        <w:rPr>
          <w:lang w:eastAsia="ja-JP"/>
        </w:rPr>
        <w:t xml:space="preserve"> in 36 patients (41-85 years) with myelodysplastic syndrome or acute myeloid leukaemia provided mean ±SD, median (range) of steady-state concentrations for phenylbutyrate, phenylacetate, phenylacetylglutamine (and an unidentified metabolite in 6 patients) as given in</w:t>
      </w:r>
      <w:r>
        <w:rPr>
          <w:lang w:eastAsia="ja-JP"/>
        </w:rPr>
        <w:t xml:space="preserve"> Table 11</w:t>
      </w:r>
      <w:r>
        <w:rPr>
          <w:lang w:eastAsia="ja-JP"/>
        </w:rPr>
        <w:fldChar w:fldCharType="begin"/>
      </w:r>
      <w:r>
        <w:rPr>
          <w:lang w:eastAsia="ja-JP"/>
        </w:rPr>
        <w:instrText xml:space="preserve"> REF _Ref457767397 \h </w:instrText>
      </w:r>
      <w:r>
        <w:rPr>
          <w:lang w:eastAsia="ja-JP"/>
        </w:rPr>
      </w:r>
      <w:r>
        <w:rPr>
          <w:lang w:eastAsia="ja-JP"/>
        </w:rPr>
        <w:fldChar w:fldCharType="separate"/>
      </w:r>
      <w:r w:rsidR="00ED3E85" w:rsidRPr="00A613A8">
        <w:t xml:space="preserve">Table </w:t>
      </w:r>
      <w:r w:rsidR="00ED3E85">
        <w:t>11:</w:t>
      </w:r>
      <w:r>
        <w:rPr>
          <w:lang w:eastAsia="ja-JP"/>
        </w:rPr>
        <w:fldChar w:fldCharType="end"/>
      </w:r>
      <w:r w:rsidRPr="00A613A8">
        <w:rPr>
          <w:lang w:eastAsia="ja-JP"/>
        </w:rPr>
        <w:t>.</w:t>
      </w:r>
    </w:p>
    <w:p w14:paraId="67D865DA" w14:textId="77777777" w:rsidR="00436B89" w:rsidRPr="00A613A8" w:rsidRDefault="00436B89" w:rsidP="00436B89">
      <w:pPr>
        <w:pStyle w:val="TableCaption"/>
        <w:rPr>
          <w:lang w:eastAsia="ja-JP"/>
        </w:rPr>
      </w:pPr>
      <w:bookmarkStart w:id="91" w:name="_Ref457767397"/>
      <w:bookmarkStart w:id="92" w:name="_Toc473013950"/>
      <w:r w:rsidRPr="00A613A8">
        <w:t xml:space="preserve">Table </w:t>
      </w:r>
      <w:r>
        <w:t>11:</w:t>
      </w:r>
      <w:bookmarkEnd w:id="91"/>
      <w:r w:rsidRPr="00A613A8">
        <w:t xml:space="preserve"> </w:t>
      </w:r>
      <w:r w:rsidRPr="00A613A8">
        <w:rPr>
          <w:lang w:eastAsia="ja-JP"/>
        </w:rPr>
        <w:t>Pharmacokinetics of infusions of phenylbutyrate in haematological malignancies</w:t>
      </w:r>
      <w:r>
        <w:rPr>
          <w:lang w:eastAsia="ja-JP"/>
        </w:rPr>
        <w:t xml:space="preserve"> (Gore 2006)</w:t>
      </w:r>
      <w:bookmarkEnd w:id="92"/>
    </w:p>
    <w:p w14:paraId="73C85D4B" w14:textId="77777777" w:rsidR="00436B89" w:rsidRPr="00A613A8" w:rsidRDefault="00436B89" w:rsidP="00436B89">
      <w:pPr>
        <w:rPr>
          <w:lang w:eastAsia="ja-JP"/>
        </w:rPr>
      </w:pPr>
      <w:r>
        <w:rPr>
          <w:noProof/>
          <w:lang w:eastAsia="en-AU"/>
        </w:rPr>
        <w:drawing>
          <wp:inline distT="0" distB="0" distL="0" distR="0" wp14:anchorId="2E6D0F8F" wp14:editId="28FAB1B9">
            <wp:extent cx="5715000" cy="693420"/>
            <wp:effectExtent l="0" t="0" r="0" b="0"/>
            <wp:docPr id="14" name="Picture 14" descr="Table 11: Pharmacokinetics of infusions of phenylbutyrate in haematological malignancies (Go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5715000" cy="693420"/>
                    </a:xfrm>
                    <a:prstGeom prst="rect">
                      <a:avLst/>
                    </a:prstGeom>
                    <a:noFill/>
                    <a:ln>
                      <a:noFill/>
                    </a:ln>
                  </pic:spPr>
                </pic:pic>
              </a:graphicData>
            </a:graphic>
          </wp:inline>
        </w:drawing>
      </w:r>
    </w:p>
    <w:p w14:paraId="68B0052C" w14:textId="77777777" w:rsidR="00436B89" w:rsidRPr="00A613A8" w:rsidRDefault="00436B89" w:rsidP="00436B89">
      <w:pPr>
        <w:pStyle w:val="Heading6"/>
        <w:rPr>
          <w:lang w:eastAsia="ja-JP"/>
        </w:rPr>
      </w:pPr>
      <w:r w:rsidRPr="00A613A8">
        <w:rPr>
          <w:lang w:eastAsia="ja-JP"/>
        </w:rPr>
        <w:t>Lin 2009</w:t>
      </w:r>
    </w:p>
    <w:p w14:paraId="43C35DCC" w14:textId="77777777" w:rsidR="00436B89" w:rsidRPr="00A613A8" w:rsidRDefault="00436B89" w:rsidP="00436B89">
      <w:pPr>
        <w:rPr>
          <w:lang w:eastAsia="ja-JP"/>
        </w:rPr>
      </w:pPr>
      <w:r w:rsidRPr="00A613A8">
        <w:rPr>
          <w:lang w:eastAsia="ja-JP"/>
        </w:rPr>
        <w:t>In 27 patients (34-82 years) with advanced refractory solid tumour malignancy the drug was given in various dose regimen at 200 or 400 mg/m2/day as a 24-h infusion on 2 or 3 days (21 patients), or for one week (6 patients). After 24-hour infusion there was no statistically significant difference in phenylbutyrate, phenylacetate, or phenylacetylglutamine pharmacokinetic variables across dose levels which then could be pooled. C</w:t>
      </w:r>
      <w:r w:rsidRPr="005C3B9A">
        <w:rPr>
          <w:vertAlign w:val="subscript"/>
          <w:lang w:eastAsia="ja-JP"/>
        </w:rPr>
        <w:t>max</w:t>
      </w:r>
      <w:r w:rsidRPr="00A613A8">
        <w:rPr>
          <w:lang w:eastAsia="ja-JP"/>
        </w:rPr>
        <w:t xml:space="preserve"> and AUC</w:t>
      </w:r>
      <w:r w:rsidRPr="00A613A8">
        <w:rPr>
          <w:vertAlign w:val="subscript"/>
          <w:lang w:eastAsia="ja-JP"/>
        </w:rPr>
        <w:t>inf</w:t>
      </w:r>
      <w:r w:rsidRPr="00A613A8">
        <w:rPr>
          <w:lang w:eastAsia="ja-JP"/>
        </w:rPr>
        <w:t xml:space="preserve"> for </w:t>
      </w:r>
      <w:r w:rsidRPr="00A613A8">
        <w:rPr>
          <w:lang w:eastAsia="ja-JP"/>
        </w:rPr>
        <w:lastRenderedPageBreak/>
        <w:t>phenylbutyrate, phenylacetate, phenylacetylglutamine and an unidentified phenylbutyrate metabolite in 4 patients, only in 24h-infusion schedule</w:t>
      </w:r>
      <w:r>
        <w:rPr>
          <w:lang w:eastAsia="ja-JP"/>
        </w:rPr>
        <w:t xml:space="preserve"> are shown in Table 12</w:t>
      </w:r>
      <w:r w:rsidRPr="00A613A8">
        <w:rPr>
          <w:lang w:eastAsia="ja-JP"/>
        </w:rPr>
        <w:t>.</w:t>
      </w:r>
      <w:r>
        <w:rPr>
          <w:lang w:eastAsia="ja-JP"/>
        </w:rPr>
        <w:t xml:space="preserve"> The</w:t>
      </w:r>
      <w:r w:rsidRPr="00A613A8">
        <w:rPr>
          <w:lang w:eastAsia="ja-JP"/>
        </w:rPr>
        <w:t xml:space="preserve"> </w:t>
      </w:r>
      <w:proofErr w:type="gramStart"/>
      <w:r w:rsidRPr="00A613A8">
        <w:rPr>
          <w:lang w:eastAsia="ja-JP"/>
        </w:rPr>
        <w:t>Vd</w:t>
      </w:r>
      <w:proofErr w:type="gramEnd"/>
      <w:r w:rsidRPr="00A613A8">
        <w:rPr>
          <w:lang w:eastAsia="ja-JP"/>
        </w:rPr>
        <w:t xml:space="preserve"> for phenylbutyrate was 14±8 L. Mean AUC ratios over phenylbutyrate of phenylacetate and phenylacetylglutamine were 1.71±0.92 and 1.85±1.78, respectively. Four patients had an unidentified metabolite in plasma with C</w:t>
      </w:r>
      <w:r w:rsidRPr="005C3B9A">
        <w:rPr>
          <w:vertAlign w:val="subscript"/>
          <w:lang w:eastAsia="ja-JP"/>
        </w:rPr>
        <w:t>max</w:t>
      </w:r>
      <w:r w:rsidRPr="00A613A8">
        <w:rPr>
          <w:lang w:eastAsia="ja-JP"/>
        </w:rPr>
        <w:t xml:space="preserve"> </w:t>
      </w:r>
      <w:proofErr w:type="gramStart"/>
      <w:r w:rsidRPr="00A613A8">
        <w:rPr>
          <w:lang w:eastAsia="ja-JP"/>
        </w:rPr>
        <w:t>of 316 µmol/L</w:t>
      </w:r>
      <w:proofErr w:type="gramEnd"/>
      <w:r w:rsidRPr="00A613A8">
        <w:rPr>
          <w:lang w:eastAsia="ja-JP"/>
        </w:rPr>
        <w:t xml:space="preserve"> at 24.2 hours.</w:t>
      </w:r>
    </w:p>
    <w:p w14:paraId="38F23BC5" w14:textId="77777777" w:rsidR="00436B89" w:rsidRPr="00A613A8" w:rsidRDefault="00436B89" w:rsidP="00436B89">
      <w:pPr>
        <w:pStyle w:val="TableCaption"/>
        <w:rPr>
          <w:lang w:eastAsia="ja-JP"/>
        </w:rPr>
      </w:pPr>
      <w:bookmarkStart w:id="93" w:name="_Ref457767488"/>
      <w:bookmarkStart w:id="94" w:name="_Toc473013951"/>
      <w:r w:rsidRPr="00A613A8">
        <w:t xml:space="preserve">Table </w:t>
      </w:r>
      <w:r>
        <w:t>12:</w:t>
      </w:r>
      <w:bookmarkEnd w:id="93"/>
      <w:r w:rsidRPr="00A613A8">
        <w:t xml:space="preserve"> </w:t>
      </w:r>
      <w:r w:rsidRPr="00A613A8">
        <w:rPr>
          <w:lang w:eastAsia="ja-JP"/>
        </w:rPr>
        <w:t>Pharmacokinetics of infusions of phenylbutyrate in solid malignancies</w:t>
      </w:r>
      <w:r>
        <w:rPr>
          <w:lang w:eastAsia="ja-JP"/>
        </w:rPr>
        <w:t xml:space="preserve"> (Lin 2009)</w:t>
      </w:r>
      <w:bookmarkEnd w:id="94"/>
    </w:p>
    <w:p w14:paraId="3FEBB42E" w14:textId="77777777" w:rsidR="00436B89" w:rsidRPr="00A613A8" w:rsidRDefault="00436B89" w:rsidP="00436B89">
      <w:pPr>
        <w:rPr>
          <w:lang w:eastAsia="ja-JP"/>
        </w:rPr>
      </w:pPr>
      <w:r>
        <w:rPr>
          <w:noProof/>
          <w:lang w:eastAsia="en-AU"/>
        </w:rPr>
        <w:drawing>
          <wp:inline distT="0" distB="0" distL="0" distR="0" wp14:anchorId="3480D8B4" wp14:editId="4E064AB4">
            <wp:extent cx="4508205" cy="1554760"/>
            <wp:effectExtent l="0" t="0" r="6985" b="7620"/>
            <wp:docPr id="15" name="Picture 15" descr="Table 12: Pharmacokinetics of infusions of phenylbutyrate in solid malignancies (Lin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lum bright="-20000" contrast="40000"/>
                      <a:extLst>
                        <a:ext uri="{28A0092B-C50C-407E-A947-70E740481C1C}">
                          <a14:useLocalDpi xmlns:a14="http://schemas.microsoft.com/office/drawing/2010/main" val="0"/>
                        </a:ext>
                      </a:extLst>
                    </a:blip>
                    <a:srcRect/>
                    <a:stretch>
                      <a:fillRect/>
                    </a:stretch>
                  </pic:blipFill>
                  <pic:spPr bwMode="auto">
                    <a:xfrm>
                      <a:off x="0" y="0"/>
                      <a:ext cx="4510021" cy="1555386"/>
                    </a:xfrm>
                    <a:prstGeom prst="rect">
                      <a:avLst/>
                    </a:prstGeom>
                    <a:noFill/>
                    <a:ln>
                      <a:noFill/>
                    </a:ln>
                  </pic:spPr>
                </pic:pic>
              </a:graphicData>
            </a:graphic>
          </wp:inline>
        </w:drawing>
      </w:r>
    </w:p>
    <w:p w14:paraId="506C2AB7" w14:textId="77777777" w:rsidR="00436B89" w:rsidRPr="00A613A8" w:rsidRDefault="00436B89" w:rsidP="00436B89">
      <w:pPr>
        <w:rPr>
          <w:lang w:eastAsia="ja-JP"/>
        </w:rPr>
      </w:pPr>
      <w:r w:rsidRPr="00A613A8">
        <w:rPr>
          <w:lang w:eastAsia="ja-JP"/>
        </w:rPr>
        <w:t xml:space="preserve">The dossier states that intravenous phenylbutyrate pharmacokinetics of doses between 150 mg/kg and 500 mg/kg is associated with initial plasma concentration ranging between 300 and 2000 μmol/L rising to a plateau within 4-6 h of infusion. Plasma clearance increases with time into infusion and with dose, indicating a saturable elimination with nonlinear pharmacokinetics. Mean distribution volume is 14L. Metabolism into phenylacetate represents a mean 80% of phenylbutyrate administered. Metabolites phenylacetate and phenylacetylglutamine appear after a median 1 (1-2) and 2 (1-3.5) hours, and correspond to 70-85% higher exposures than to the </w:t>
      </w:r>
      <w:r>
        <w:rPr>
          <w:lang w:eastAsia="ja-JP"/>
        </w:rPr>
        <w:t>parent compound.</w:t>
      </w:r>
    </w:p>
    <w:p w14:paraId="60AF9ECC" w14:textId="77777777" w:rsidR="00436B89" w:rsidRDefault="00436B89" w:rsidP="00436B89">
      <w:pPr>
        <w:pStyle w:val="Heading6"/>
      </w:pPr>
      <w:r w:rsidRPr="00A613A8">
        <w:t>Bioequivalence of clinical trial and market formulations</w:t>
      </w:r>
    </w:p>
    <w:p w14:paraId="4C6BDCAA" w14:textId="77777777" w:rsidR="00436B89" w:rsidRPr="00603488" w:rsidRDefault="00436B89" w:rsidP="00436B89">
      <w:r>
        <w:t>One study was a bioequivalence study of Phebuterone.</w:t>
      </w:r>
    </w:p>
    <w:p w14:paraId="60FD3674" w14:textId="77777777" w:rsidR="00436B89" w:rsidRPr="00A613A8" w:rsidRDefault="00436B89" w:rsidP="00436B89">
      <w:pPr>
        <w:pStyle w:val="Heading6"/>
        <w:rPr>
          <w:lang w:eastAsia="ja-JP"/>
        </w:rPr>
      </w:pPr>
      <w:r w:rsidRPr="00A613A8">
        <w:rPr>
          <w:lang w:eastAsia="ja-JP"/>
        </w:rPr>
        <w:t>Study LUC1001</w:t>
      </w:r>
    </w:p>
    <w:p w14:paraId="6D1EF207" w14:textId="77777777" w:rsidR="00436B89" w:rsidRDefault="00436B89" w:rsidP="00436B89">
      <w:pPr>
        <w:rPr>
          <w:lang w:eastAsia="ja-JP"/>
        </w:rPr>
      </w:pPr>
      <w:bookmarkStart w:id="95" w:name="Table_5_Pharmacokinetics_of_sodium_pheny"/>
      <w:bookmarkStart w:id="96" w:name="bookmark0"/>
      <w:bookmarkEnd w:id="95"/>
      <w:bookmarkEnd w:id="96"/>
      <w:r w:rsidRPr="00A613A8">
        <w:rPr>
          <w:lang w:eastAsia="ja-JP"/>
        </w:rPr>
        <w:t xml:space="preserve">This </w:t>
      </w:r>
      <w:r>
        <w:rPr>
          <w:lang w:eastAsia="ja-JP"/>
        </w:rPr>
        <w:t xml:space="preserve">study </w:t>
      </w:r>
      <w:r w:rsidRPr="00A613A8">
        <w:rPr>
          <w:lang w:eastAsia="ja-JP"/>
        </w:rPr>
        <w:t>was a two-stage bioequivalence study</w:t>
      </w:r>
      <w:r>
        <w:rPr>
          <w:lang w:eastAsia="ja-JP"/>
        </w:rPr>
        <w:t xml:space="preserve"> of</w:t>
      </w:r>
      <w:r w:rsidRPr="00A613A8">
        <w:rPr>
          <w:lang w:eastAsia="ja-JP"/>
        </w:rPr>
        <w:t xml:space="preserve"> </w:t>
      </w:r>
      <w:r>
        <w:rPr>
          <w:lang w:eastAsia="ja-JP"/>
        </w:rPr>
        <w:t>14</w:t>
      </w:r>
      <w:r w:rsidRPr="00A613A8">
        <w:rPr>
          <w:lang w:eastAsia="ja-JP"/>
        </w:rPr>
        <w:t xml:space="preserve"> healthy non-smoking male and female</w:t>
      </w:r>
      <w:r>
        <w:rPr>
          <w:lang w:eastAsia="ja-JP"/>
        </w:rPr>
        <w:t xml:space="preserve"> </w:t>
      </w:r>
      <w:r w:rsidRPr="00A613A8">
        <w:rPr>
          <w:lang w:eastAsia="ja-JP"/>
        </w:rPr>
        <w:t xml:space="preserve">Caucasian subjects </w:t>
      </w:r>
      <w:r>
        <w:rPr>
          <w:lang w:eastAsia="ja-JP"/>
        </w:rPr>
        <w:t xml:space="preserve">who </w:t>
      </w:r>
      <w:r w:rsidRPr="00A613A8">
        <w:rPr>
          <w:lang w:eastAsia="ja-JP"/>
        </w:rPr>
        <w:t>were entered into the first stage of the study and assigned to treatment</w:t>
      </w:r>
      <w:r>
        <w:rPr>
          <w:lang w:eastAsia="ja-JP"/>
        </w:rPr>
        <w:t xml:space="preserve"> </w:t>
      </w:r>
      <w:r w:rsidRPr="00A613A8">
        <w:rPr>
          <w:lang w:eastAsia="ja-JP"/>
        </w:rPr>
        <w:t>sequence according to the randomisation schedule. Based on the results of this f</w:t>
      </w:r>
      <w:r>
        <w:rPr>
          <w:lang w:eastAsia="ja-JP"/>
        </w:rPr>
        <w:t xml:space="preserve">irst cohort, </w:t>
      </w:r>
      <w:r w:rsidRPr="00A613A8">
        <w:rPr>
          <w:lang w:eastAsia="ja-JP"/>
        </w:rPr>
        <w:t>the option of including additional subjects was not exercised as bioequivalence was already</w:t>
      </w:r>
      <w:r>
        <w:rPr>
          <w:lang w:eastAsia="ja-JP"/>
        </w:rPr>
        <w:t xml:space="preserve"> </w:t>
      </w:r>
      <w:r w:rsidRPr="00A613A8">
        <w:rPr>
          <w:lang w:eastAsia="ja-JP"/>
        </w:rPr>
        <w:t xml:space="preserve">achieved, as demonstrated in the analysis of data </w:t>
      </w:r>
      <w:r>
        <w:rPr>
          <w:lang w:eastAsia="ja-JP"/>
        </w:rPr>
        <w:t xml:space="preserve">obtained from the first cohort. </w:t>
      </w:r>
      <w:r w:rsidRPr="00A613A8">
        <w:rPr>
          <w:lang w:eastAsia="ja-JP"/>
        </w:rPr>
        <w:t>Subjects were admitted to the clinic approximately 11.5 hours before dosing to ensure an</w:t>
      </w:r>
      <w:r>
        <w:rPr>
          <w:lang w:eastAsia="ja-JP"/>
        </w:rPr>
        <w:t xml:space="preserve"> </w:t>
      </w:r>
      <w:r w:rsidRPr="00A613A8">
        <w:rPr>
          <w:lang w:eastAsia="ja-JP"/>
        </w:rPr>
        <w:t>overnight fast of minimum 10 hours (a food- and beverage-free period, with the exception of</w:t>
      </w:r>
      <w:r>
        <w:rPr>
          <w:lang w:eastAsia="ja-JP"/>
        </w:rPr>
        <w:t xml:space="preserve"> </w:t>
      </w:r>
      <w:r w:rsidRPr="00A613A8">
        <w:rPr>
          <w:lang w:eastAsia="ja-JP"/>
        </w:rPr>
        <w:t>240 mL water which was taken upon waking on clinic days, approximately 90 minutes before</w:t>
      </w:r>
      <w:r>
        <w:rPr>
          <w:lang w:eastAsia="ja-JP"/>
        </w:rPr>
        <w:t xml:space="preserve"> </w:t>
      </w:r>
      <w:r w:rsidRPr="00A613A8">
        <w:rPr>
          <w:lang w:eastAsia="ja-JP"/>
        </w:rPr>
        <w:t>study drug administration). On admission to the clinic, on the pre-profile night of each</w:t>
      </w:r>
      <w:r>
        <w:rPr>
          <w:lang w:eastAsia="ja-JP"/>
        </w:rPr>
        <w:t xml:space="preserve"> </w:t>
      </w:r>
      <w:r w:rsidRPr="00A613A8">
        <w:rPr>
          <w:lang w:eastAsia="ja-JP"/>
        </w:rPr>
        <w:t>treatment period, a pregnancy test was performed on each female subject.</w:t>
      </w:r>
    </w:p>
    <w:p w14:paraId="5737FA57" w14:textId="77777777" w:rsidR="00436B89" w:rsidRPr="00A613A8" w:rsidRDefault="00436B89" w:rsidP="00436B89">
      <w:pPr>
        <w:rPr>
          <w:lang w:eastAsia="ja-JP"/>
        </w:rPr>
      </w:pPr>
      <w:r w:rsidRPr="00A613A8">
        <w:rPr>
          <w:lang w:eastAsia="ja-JP"/>
        </w:rPr>
        <w:t>For pharmacokinetic analysis a total of 16 venous blood samples, 9 mL each, were collected</w:t>
      </w:r>
      <w:r>
        <w:rPr>
          <w:lang w:eastAsia="ja-JP"/>
        </w:rPr>
        <w:t xml:space="preserve"> </w:t>
      </w:r>
      <w:r w:rsidRPr="00A613A8">
        <w:rPr>
          <w:lang w:eastAsia="ja-JP"/>
        </w:rPr>
        <w:t>through the indwelling venous cannula into heparinised, labelled, plastic tubes at baseline and</w:t>
      </w:r>
      <w:r>
        <w:rPr>
          <w:lang w:eastAsia="ja-JP"/>
        </w:rPr>
        <w:t xml:space="preserve"> </w:t>
      </w:r>
      <w:r w:rsidRPr="00A613A8">
        <w:rPr>
          <w:lang w:eastAsia="ja-JP"/>
        </w:rPr>
        <w:t>at 0.25, 0.50, 0.75, 1, 1.25, 1.5, 2, 2.5, 3, 3.5, 4, 6, 8, 12, 16 hours post dose. Blood samples</w:t>
      </w:r>
      <w:r>
        <w:rPr>
          <w:lang w:eastAsia="ja-JP"/>
        </w:rPr>
        <w:t xml:space="preserve"> </w:t>
      </w:r>
      <w:r w:rsidRPr="00A613A8">
        <w:rPr>
          <w:lang w:eastAsia="ja-JP"/>
        </w:rPr>
        <w:t>were handled on ice between collection</w:t>
      </w:r>
      <w:r w:rsidR="00625EDD">
        <w:rPr>
          <w:lang w:eastAsia="ja-JP"/>
        </w:rPr>
        <w:t xml:space="preserve">s </w:t>
      </w:r>
      <w:r w:rsidRPr="00A613A8">
        <w:rPr>
          <w:lang w:eastAsia="ja-JP"/>
        </w:rPr>
        <w:t>and centrifug</w:t>
      </w:r>
      <w:r w:rsidR="00625EDD">
        <w:rPr>
          <w:lang w:eastAsia="ja-JP"/>
        </w:rPr>
        <w:t>ed</w:t>
      </w:r>
      <w:r w:rsidRPr="00A613A8">
        <w:rPr>
          <w:lang w:eastAsia="ja-JP"/>
        </w:rPr>
        <w:t xml:space="preserve"> within one hour at ~2700 g for 10</w:t>
      </w:r>
      <w:r>
        <w:rPr>
          <w:lang w:eastAsia="ja-JP"/>
        </w:rPr>
        <w:t xml:space="preserve"> </w:t>
      </w:r>
      <w:r w:rsidRPr="00A613A8">
        <w:rPr>
          <w:lang w:eastAsia="ja-JP"/>
        </w:rPr>
        <w:t>minutes (at 0</w:t>
      </w:r>
      <w:r w:rsidRPr="00A613A8">
        <w:rPr>
          <w:rFonts w:ascii="Calibri" w:hAnsi="Calibri"/>
          <w:lang w:eastAsia="ja-JP"/>
        </w:rPr>
        <w:t>°</w:t>
      </w:r>
      <w:r w:rsidRPr="00A613A8">
        <w:rPr>
          <w:lang w:eastAsia="ja-JP"/>
        </w:rPr>
        <w:t>C to 8</w:t>
      </w:r>
      <w:r w:rsidRPr="00A613A8">
        <w:rPr>
          <w:rFonts w:ascii="Calibri" w:hAnsi="Calibri"/>
          <w:lang w:eastAsia="ja-JP"/>
        </w:rPr>
        <w:t>°</w:t>
      </w:r>
      <w:r w:rsidRPr="00A613A8">
        <w:rPr>
          <w:lang w:eastAsia="ja-JP"/>
        </w:rPr>
        <w:t>C) Plasma samples were stored frozen at -20 until phenylbutyrate was assayed.</w:t>
      </w:r>
    </w:p>
    <w:p w14:paraId="198BC8EE" w14:textId="77777777" w:rsidR="00436B89" w:rsidRPr="00A613A8" w:rsidRDefault="00436B89" w:rsidP="00436B89">
      <w:pPr>
        <w:rPr>
          <w:lang w:eastAsia="ja-JP"/>
        </w:rPr>
      </w:pPr>
      <w:r w:rsidRPr="00A613A8">
        <w:rPr>
          <w:lang w:eastAsia="ja-JP"/>
        </w:rPr>
        <w:t>Quantitative analyses of phenylbutyrate in the plasma samples and in suitable quality controls were performed using liquid chromatography with tandem mass spectrometry (LC-MS/MS).</w:t>
      </w:r>
    </w:p>
    <w:p w14:paraId="22A80677" w14:textId="77777777" w:rsidR="00436B89" w:rsidRPr="00A613A8" w:rsidRDefault="00436B89" w:rsidP="00436B89">
      <w:pPr>
        <w:rPr>
          <w:lang w:eastAsia="ja-JP"/>
        </w:rPr>
      </w:pPr>
      <w:r w:rsidRPr="00A613A8">
        <w:rPr>
          <w:lang w:eastAsia="ja-JP"/>
        </w:rPr>
        <w:t>Primary Variables:</w:t>
      </w:r>
    </w:p>
    <w:p w14:paraId="230CB8F5" w14:textId="77777777" w:rsidR="00436B89" w:rsidRPr="00A613A8" w:rsidRDefault="00436B89" w:rsidP="00177802">
      <w:pPr>
        <w:pStyle w:val="ListBullet"/>
        <w:numPr>
          <w:ilvl w:val="0"/>
          <w:numId w:val="1"/>
        </w:numPr>
        <w:rPr>
          <w:lang w:eastAsia="ja-JP"/>
        </w:rPr>
      </w:pPr>
      <w:r w:rsidRPr="00A613A8">
        <w:rPr>
          <w:lang w:eastAsia="ja-JP"/>
        </w:rPr>
        <w:t>Maximum observed plasma concentration (C</w:t>
      </w:r>
      <w:r w:rsidRPr="005C3B9A">
        <w:rPr>
          <w:vertAlign w:val="subscript"/>
          <w:lang w:eastAsia="ja-JP"/>
        </w:rPr>
        <w:t>max</w:t>
      </w:r>
      <w:r w:rsidRPr="00A613A8">
        <w:rPr>
          <w:lang w:eastAsia="ja-JP"/>
        </w:rPr>
        <w:t>).</w:t>
      </w:r>
    </w:p>
    <w:p w14:paraId="3A204B8C" w14:textId="77777777" w:rsidR="00436B89" w:rsidRPr="00A613A8" w:rsidRDefault="00436B89" w:rsidP="00177802">
      <w:pPr>
        <w:pStyle w:val="ListBullet"/>
        <w:numPr>
          <w:ilvl w:val="0"/>
          <w:numId w:val="1"/>
        </w:numPr>
        <w:rPr>
          <w:lang w:eastAsia="ja-JP"/>
        </w:rPr>
      </w:pPr>
      <w:r w:rsidRPr="00A613A8">
        <w:rPr>
          <w:lang w:eastAsia="ja-JP"/>
        </w:rPr>
        <w:lastRenderedPageBreak/>
        <w:t>Area under the plasma concentration versus time data pairs [AUC</w:t>
      </w:r>
      <w:r w:rsidRPr="000342C6">
        <w:rPr>
          <w:vertAlign w:val="subscript"/>
          <w:lang w:eastAsia="ja-JP"/>
        </w:rPr>
        <w:t>t</w:t>
      </w:r>
      <w:r w:rsidRPr="00A613A8">
        <w:rPr>
          <w:lang w:eastAsia="ja-JP"/>
        </w:rPr>
        <w:t xml:space="preserve">], where </w:t>
      </w:r>
      <w:r w:rsidRPr="00625EDD">
        <w:rPr>
          <w:i/>
          <w:lang w:eastAsia="ja-JP"/>
        </w:rPr>
        <w:t>t</w:t>
      </w:r>
      <w:r w:rsidRPr="00A613A8">
        <w:rPr>
          <w:lang w:eastAsia="ja-JP"/>
        </w:rPr>
        <w:t xml:space="preserve"> is the</w:t>
      </w:r>
      <w:r>
        <w:rPr>
          <w:lang w:eastAsia="ja-JP"/>
        </w:rPr>
        <w:t xml:space="preserve"> </w:t>
      </w:r>
      <w:r w:rsidRPr="00A613A8">
        <w:rPr>
          <w:lang w:eastAsia="ja-JP"/>
        </w:rPr>
        <w:t>time of the last quantifiable concentration.</w:t>
      </w:r>
    </w:p>
    <w:p w14:paraId="03FF0AB6" w14:textId="77777777" w:rsidR="00436B89" w:rsidRPr="00A613A8" w:rsidRDefault="00436B89" w:rsidP="00436B89">
      <w:pPr>
        <w:rPr>
          <w:lang w:eastAsia="ja-JP"/>
        </w:rPr>
      </w:pPr>
      <w:r w:rsidRPr="00A613A8">
        <w:rPr>
          <w:lang w:eastAsia="ja-JP"/>
        </w:rPr>
        <w:t>Secondary Variables:</w:t>
      </w:r>
    </w:p>
    <w:p w14:paraId="6A4A9B37" w14:textId="77777777" w:rsidR="00436B89" w:rsidRPr="00A613A8" w:rsidRDefault="00436B89" w:rsidP="00177802">
      <w:pPr>
        <w:pStyle w:val="ListBullet"/>
        <w:numPr>
          <w:ilvl w:val="0"/>
          <w:numId w:val="1"/>
        </w:numPr>
        <w:rPr>
          <w:lang w:eastAsia="ja-JP"/>
        </w:rPr>
      </w:pPr>
      <w:r w:rsidRPr="00A613A8">
        <w:rPr>
          <w:lang w:eastAsia="ja-JP"/>
        </w:rPr>
        <w:t>Area under the plasma concentration versus time data pairs, with extrapolation to</w:t>
      </w:r>
      <w:r>
        <w:rPr>
          <w:lang w:eastAsia="ja-JP"/>
        </w:rPr>
        <w:t xml:space="preserve"> </w:t>
      </w:r>
      <w:r w:rsidRPr="00A613A8">
        <w:rPr>
          <w:lang w:eastAsia="ja-JP"/>
        </w:rPr>
        <w:t>infinity [AUC</w:t>
      </w:r>
      <w:r w:rsidRPr="005C3B9A">
        <w:rPr>
          <w:vertAlign w:val="subscript"/>
          <w:lang w:eastAsia="ja-JP"/>
        </w:rPr>
        <w:t>inf</w:t>
      </w:r>
      <w:r w:rsidRPr="00A613A8">
        <w:rPr>
          <w:lang w:eastAsia="ja-JP"/>
        </w:rPr>
        <w:t>]</w:t>
      </w:r>
    </w:p>
    <w:p w14:paraId="4B318889" w14:textId="77777777" w:rsidR="00436B89" w:rsidRPr="00A613A8" w:rsidRDefault="00436B89" w:rsidP="00177802">
      <w:pPr>
        <w:pStyle w:val="ListBullet"/>
        <w:numPr>
          <w:ilvl w:val="0"/>
          <w:numId w:val="1"/>
        </w:numPr>
        <w:rPr>
          <w:lang w:eastAsia="ja-JP"/>
        </w:rPr>
      </w:pPr>
      <w:r w:rsidRPr="00A613A8">
        <w:rPr>
          <w:lang w:eastAsia="ja-JP"/>
        </w:rPr>
        <w:t>Residual area [(AUC</w:t>
      </w:r>
      <w:r w:rsidRPr="000342C6">
        <w:rPr>
          <w:vertAlign w:val="subscript"/>
          <w:lang w:eastAsia="ja-JP"/>
        </w:rPr>
        <w:t>inf</w:t>
      </w:r>
      <w:r w:rsidRPr="00A613A8">
        <w:rPr>
          <w:lang w:eastAsia="ja-JP"/>
        </w:rPr>
        <w:t>] – AUC</w:t>
      </w:r>
      <w:r w:rsidRPr="000342C6">
        <w:rPr>
          <w:vertAlign w:val="subscript"/>
          <w:lang w:eastAsia="ja-JP"/>
        </w:rPr>
        <w:t>t</w:t>
      </w:r>
      <w:r w:rsidRPr="00A613A8">
        <w:rPr>
          <w:lang w:eastAsia="ja-JP"/>
        </w:rPr>
        <w:t>) / AUCi</w:t>
      </w:r>
      <w:r w:rsidRPr="000342C6">
        <w:rPr>
          <w:vertAlign w:val="subscript"/>
          <w:lang w:eastAsia="ja-JP"/>
        </w:rPr>
        <w:t>nf</w:t>
      </w:r>
      <w:r w:rsidRPr="00A613A8">
        <w:rPr>
          <w:lang w:eastAsia="ja-JP"/>
        </w:rPr>
        <w:t>].</w:t>
      </w:r>
    </w:p>
    <w:p w14:paraId="464FDDC4" w14:textId="77777777" w:rsidR="00436B89" w:rsidRPr="00A613A8" w:rsidRDefault="00436B89" w:rsidP="00177802">
      <w:pPr>
        <w:pStyle w:val="ListBullet"/>
        <w:numPr>
          <w:ilvl w:val="0"/>
          <w:numId w:val="1"/>
        </w:numPr>
        <w:rPr>
          <w:lang w:eastAsia="ja-JP"/>
        </w:rPr>
      </w:pPr>
      <w:r w:rsidRPr="00A613A8">
        <w:rPr>
          <w:lang w:eastAsia="ja-JP"/>
        </w:rPr>
        <w:t>Time to maximum observed plasma concentration (T</w:t>
      </w:r>
      <w:r w:rsidRPr="000342C6">
        <w:rPr>
          <w:vertAlign w:val="subscript"/>
          <w:lang w:eastAsia="ja-JP"/>
        </w:rPr>
        <w:t>max</w:t>
      </w:r>
      <w:r w:rsidRPr="00A613A8">
        <w:rPr>
          <w:lang w:eastAsia="ja-JP"/>
        </w:rPr>
        <w:t>).</w:t>
      </w:r>
    </w:p>
    <w:p w14:paraId="00FB748F" w14:textId="77777777" w:rsidR="00436B89" w:rsidRPr="00A613A8" w:rsidRDefault="00436B89" w:rsidP="00177802">
      <w:pPr>
        <w:pStyle w:val="ListBullet"/>
        <w:numPr>
          <w:ilvl w:val="0"/>
          <w:numId w:val="1"/>
        </w:numPr>
        <w:rPr>
          <w:lang w:eastAsia="ja-JP"/>
        </w:rPr>
      </w:pPr>
      <w:r w:rsidRPr="00A613A8">
        <w:rPr>
          <w:lang w:eastAsia="ja-JP"/>
        </w:rPr>
        <w:t>Terminal elimination rate constant (</w:t>
      </w:r>
      <w:r w:rsidRPr="00A613A8">
        <w:rPr>
          <w:lang w:eastAsia="ja-JP"/>
        </w:rPr>
        <w:sym w:font="Symbol" w:char="F06C"/>
      </w:r>
      <w:r w:rsidRPr="000342C6">
        <w:rPr>
          <w:vertAlign w:val="subscript"/>
          <w:lang w:eastAsia="ja-JP"/>
        </w:rPr>
        <w:t>z</w:t>
      </w:r>
      <w:r w:rsidRPr="00A613A8">
        <w:rPr>
          <w:lang w:eastAsia="ja-JP"/>
        </w:rPr>
        <w:t>).</w:t>
      </w:r>
    </w:p>
    <w:p w14:paraId="49B348F2" w14:textId="77777777" w:rsidR="00436B89" w:rsidRPr="00A613A8" w:rsidRDefault="00436B89" w:rsidP="00177802">
      <w:pPr>
        <w:pStyle w:val="ListBullet"/>
        <w:numPr>
          <w:ilvl w:val="0"/>
          <w:numId w:val="1"/>
        </w:numPr>
        <w:rPr>
          <w:lang w:eastAsia="ja-JP"/>
        </w:rPr>
      </w:pPr>
      <w:r w:rsidRPr="00A613A8">
        <w:rPr>
          <w:lang w:eastAsia="ja-JP"/>
        </w:rPr>
        <w:t>Apparent terminal half-life (t</w:t>
      </w:r>
      <w:r w:rsidRPr="000342C6">
        <w:rPr>
          <w:vertAlign w:val="subscript"/>
          <w:lang w:eastAsia="ja-JP"/>
        </w:rPr>
        <w:t>½</w:t>
      </w:r>
      <w:r w:rsidRPr="00A613A8">
        <w:rPr>
          <w:lang w:eastAsia="ja-JP"/>
        </w:rPr>
        <w:t>.z).</w:t>
      </w:r>
    </w:p>
    <w:p w14:paraId="7E025230" w14:textId="77777777" w:rsidR="00436B89" w:rsidRPr="00A613A8" w:rsidRDefault="00436B89" w:rsidP="00177802">
      <w:pPr>
        <w:pStyle w:val="ListBullet"/>
        <w:numPr>
          <w:ilvl w:val="0"/>
          <w:numId w:val="1"/>
        </w:numPr>
        <w:rPr>
          <w:lang w:eastAsia="ja-JP"/>
        </w:rPr>
      </w:pPr>
      <w:r w:rsidRPr="00A613A8">
        <w:rPr>
          <w:lang w:eastAsia="ja-JP"/>
        </w:rPr>
        <w:t>Number of points used to estimate the terminal rate constant (</w:t>
      </w:r>
      <w:r w:rsidRPr="00A613A8">
        <w:rPr>
          <w:lang w:eastAsia="ja-JP"/>
        </w:rPr>
        <w:sym w:font="Symbol" w:char="F06C"/>
      </w:r>
      <w:r w:rsidRPr="000342C6">
        <w:rPr>
          <w:vertAlign w:val="subscript"/>
          <w:lang w:eastAsia="ja-JP"/>
        </w:rPr>
        <w:t>z</w:t>
      </w:r>
      <w:r w:rsidRPr="00A613A8">
        <w:rPr>
          <w:lang w:eastAsia="ja-JP"/>
        </w:rPr>
        <w:t>)</w:t>
      </w:r>
    </w:p>
    <w:p w14:paraId="3A1804C8" w14:textId="77777777" w:rsidR="00436B89" w:rsidRPr="00A613A8" w:rsidRDefault="00436B89" w:rsidP="00436B89">
      <w:pPr>
        <w:rPr>
          <w:lang w:eastAsia="ja-JP"/>
        </w:rPr>
      </w:pPr>
      <w:r w:rsidRPr="00A613A8">
        <w:rPr>
          <w:lang w:eastAsia="ja-JP"/>
        </w:rPr>
        <w:t>The decision rule of bioequivalence (all subjects) was based on characteristics C</w:t>
      </w:r>
      <w:r w:rsidRPr="005C3B9A">
        <w:rPr>
          <w:vertAlign w:val="subscript"/>
          <w:lang w:eastAsia="ja-JP"/>
        </w:rPr>
        <w:t>max</w:t>
      </w:r>
      <w:r w:rsidRPr="00A613A8">
        <w:rPr>
          <w:lang w:eastAsia="ja-JP"/>
        </w:rPr>
        <w:t xml:space="preserve"> and AUC</w:t>
      </w:r>
      <w:r w:rsidRPr="00D00AEF">
        <w:rPr>
          <w:vertAlign w:val="subscript"/>
          <w:lang w:eastAsia="ja-JP"/>
        </w:rPr>
        <w:t>t</w:t>
      </w:r>
      <w:r w:rsidRPr="00A613A8">
        <w:rPr>
          <w:lang w:eastAsia="ja-JP"/>
        </w:rPr>
        <w:t>, AUC</w:t>
      </w:r>
      <w:r w:rsidRPr="00D00AEF">
        <w:rPr>
          <w:vertAlign w:val="subscript"/>
          <w:lang w:eastAsia="ja-JP"/>
        </w:rPr>
        <w:t xml:space="preserve">inf </w:t>
      </w:r>
      <w:r w:rsidRPr="00A613A8">
        <w:rPr>
          <w:lang w:eastAsia="ja-JP"/>
        </w:rPr>
        <w:t>and t</w:t>
      </w:r>
      <w:r w:rsidRPr="00D00AEF">
        <w:rPr>
          <w:vertAlign w:val="subscript"/>
          <w:lang w:eastAsia="ja-JP"/>
        </w:rPr>
        <w:t>½</w:t>
      </w:r>
      <w:r w:rsidRPr="00A613A8">
        <w:rPr>
          <w:lang w:eastAsia="ja-JP"/>
        </w:rPr>
        <w:t>.z on log-transformed data of phenylbutyrate, using ANOVA with sequence, subject, treatment and period effects. The respective 94.12% (adjustment of alpha level due to multiple testing) confidence intervals were calculated and compared to the regulatory interval [0.8-1.25]. For T</w:t>
      </w:r>
      <w:r w:rsidRPr="00D00AEF">
        <w:rPr>
          <w:vertAlign w:val="subscript"/>
          <w:lang w:eastAsia="ja-JP"/>
        </w:rPr>
        <w:t>max</w:t>
      </w:r>
      <w:r w:rsidRPr="00A613A8">
        <w:rPr>
          <w:lang w:eastAsia="ja-JP"/>
        </w:rPr>
        <w:t xml:space="preserve"> a non-parametric Wilcoxon signed rank test was used and the calculated p-value reported.</w:t>
      </w:r>
    </w:p>
    <w:p w14:paraId="467C448C" w14:textId="77777777" w:rsidR="00436B89" w:rsidRPr="00A613A8" w:rsidRDefault="00436B89" w:rsidP="00436B89">
      <w:pPr>
        <w:rPr>
          <w:lang w:eastAsia="ja-JP"/>
        </w:rPr>
      </w:pPr>
      <w:r w:rsidRPr="00A613A8">
        <w:rPr>
          <w:lang w:eastAsia="ja-JP"/>
        </w:rPr>
        <w:t>After single dose (2.5 g, n=2; 5 g, n= 21) under fasting conditions, phenylbutyrate was rapidly absorbed with measurable plasma levels 15 minutes after administration. Peak concentrations of approximately 1000 μmol/L were reached after 1 h. The elimination half-life was estimated to be 0.8 h. Measurable plasma levels of phenylacetate and phenylacetylglutamine were detected 30-60 min after oral dosing of phenylbutyrate (the mean peak concentration is 45.3 and 62.8 μg/mL, respectively). T</w:t>
      </w:r>
      <w:r w:rsidRPr="00D00AEF">
        <w:rPr>
          <w:vertAlign w:val="subscript"/>
          <w:lang w:eastAsia="ja-JP"/>
        </w:rPr>
        <w:t>max</w:t>
      </w:r>
      <w:r w:rsidRPr="00A613A8">
        <w:rPr>
          <w:lang w:eastAsia="ja-JP"/>
        </w:rPr>
        <w:t xml:space="preserve"> increased with the dose of phenylbutyrate and was around 3.5 h for both metabolites after 5 g phenylbutyrate. Elimination half-lives were estimated to be 1.3 and 2.4 hours, respectively</w:t>
      </w:r>
      <w:r>
        <w:rPr>
          <w:lang w:eastAsia="ja-JP"/>
        </w:rPr>
        <w:t xml:space="preserve"> (see Table 13 and Figure 3)</w:t>
      </w:r>
      <w:r w:rsidRPr="00A613A8">
        <w:rPr>
          <w:lang w:eastAsia="ja-JP"/>
        </w:rPr>
        <w:t>.</w:t>
      </w:r>
    </w:p>
    <w:p w14:paraId="285E8B2C" w14:textId="77777777" w:rsidR="00436B89" w:rsidRPr="00A918A1" w:rsidRDefault="00436B89" w:rsidP="006820CE">
      <w:pPr>
        <w:pStyle w:val="Tabletitle"/>
        <w:rPr>
          <w:bCs/>
          <w:lang w:eastAsia="ja-JP"/>
        </w:rPr>
      </w:pPr>
      <w:bookmarkStart w:id="97" w:name="Table_6_Pharmacokinetics_of_sodium_pheny"/>
      <w:bookmarkStart w:id="98" w:name="Figure_5_Bioequivalent_pharmacokinetics_"/>
      <w:bookmarkStart w:id="99" w:name="_Ref457767512"/>
      <w:bookmarkStart w:id="100" w:name="_Toc473013952"/>
      <w:bookmarkEnd w:id="97"/>
      <w:bookmarkEnd w:id="98"/>
      <w:r w:rsidRPr="00A613A8">
        <w:t xml:space="preserve">Table </w:t>
      </w:r>
      <w:r>
        <w:t>13:</w:t>
      </w:r>
      <w:bookmarkEnd w:id="99"/>
      <w:r w:rsidRPr="00A613A8">
        <w:t xml:space="preserve"> </w:t>
      </w:r>
      <w:r w:rsidRPr="00A613A8">
        <w:rPr>
          <w:spacing w:val="-1"/>
        </w:rPr>
        <w:t>Pharmacokinetics</w:t>
      </w:r>
      <w:r w:rsidRPr="00A613A8">
        <w:rPr>
          <w:spacing w:val="-8"/>
        </w:rPr>
        <w:t xml:space="preserve"> </w:t>
      </w:r>
      <w:r w:rsidRPr="00A613A8">
        <w:t>of</w:t>
      </w:r>
      <w:r w:rsidRPr="00A613A8">
        <w:rPr>
          <w:spacing w:val="-7"/>
        </w:rPr>
        <w:t xml:space="preserve"> </w:t>
      </w:r>
      <w:r w:rsidRPr="00A613A8">
        <w:t>Phebuterone and Ammonaps</w:t>
      </w:r>
      <w:r w:rsidRPr="00A613A8">
        <w:rPr>
          <w:spacing w:val="-7"/>
        </w:rPr>
        <w:t xml:space="preserve"> </w:t>
      </w:r>
      <w:r w:rsidRPr="00A613A8">
        <w:rPr>
          <w:spacing w:val="1"/>
        </w:rPr>
        <w:t>in</w:t>
      </w:r>
      <w:r w:rsidRPr="00A613A8">
        <w:rPr>
          <w:spacing w:val="-9"/>
        </w:rPr>
        <w:t xml:space="preserve"> </w:t>
      </w:r>
      <w:r w:rsidRPr="00A613A8">
        <w:t>healthy</w:t>
      </w:r>
      <w:r w:rsidRPr="00A613A8">
        <w:rPr>
          <w:spacing w:val="-7"/>
        </w:rPr>
        <w:t xml:space="preserve"> </w:t>
      </w:r>
      <w:r w:rsidRPr="00A613A8">
        <w:t>volunteers</w:t>
      </w:r>
      <w:r>
        <w:t xml:space="preserve"> (</w:t>
      </w:r>
      <w:r w:rsidRPr="00A613A8">
        <w:rPr>
          <w:lang w:eastAsia="ja-JP"/>
        </w:rPr>
        <w:t>Study LUC1001</w:t>
      </w:r>
      <w:r>
        <w:t>)</w:t>
      </w:r>
      <w:bookmarkEnd w:id="100"/>
    </w:p>
    <w:p w14:paraId="4E0DE86E" w14:textId="77777777" w:rsidR="00436B89" w:rsidRPr="00A613A8" w:rsidRDefault="00436B89" w:rsidP="006820CE">
      <w:pPr>
        <w:rPr>
          <w:lang w:eastAsia="en-AU"/>
        </w:rPr>
      </w:pPr>
      <w:r>
        <w:rPr>
          <w:noProof/>
          <w:lang w:eastAsia="en-AU"/>
        </w:rPr>
        <w:drawing>
          <wp:inline distT="0" distB="0" distL="0" distR="0" wp14:anchorId="626CC902" wp14:editId="026847F8">
            <wp:extent cx="4860467" cy="3579628"/>
            <wp:effectExtent l="0" t="0" r="0" b="1905"/>
            <wp:docPr id="16" name="Picture 16" descr="Table 13: Pharmacokinetics of Phebuterone and Ammonaps in healthy volunteers (Study LUC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b="3809"/>
                    <a:stretch/>
                  </pic:blipFill>
                  <pic:spPr bwMode="auto">
                    <a:xfrm>
                      <a:off x="0" y="0"/>
                      <a:ext cx="4864582" cy="3582659"/>
                    </a:xfrm>
                    <a:prstGeom prst="rect">
                      <a:avLst/>
                    </a:prstGeom>
                    <a:noFill/>
                    <a:ln>
                      <a:noFill/>
                    </a:ln>
                    <a:extLst>
                      <a:ext uri="{53640926-AAD7-44D8-BBD7-CCE9431645EC}">
                        <a14:shadowObscured xmlns:a14="http://schemas.microsoft.com/office/drawing/2010/main"/>
                      </a:ext>
                    </a:extLst>
                  </pic:spPr>
                </pic:pic>
              </a:graphicData>
            </a:graphic>
          </wp:inline>
        </w:drawing>
      </w:r>
    </w:p>
    <w:p w14:paraId="773115C9" w14:textId="77777777" w:rsidR="00436B89" w:rsidRPr="00A613A8" w:rsidRDefault="00436B89" w:rsidP="006820CE">
      <w:pPr>
        <w:pStyle w:val="FigureTitle"/>
        <w:rPr>
          <w:lang w:eastAsia="ja-JP"/>
        </w:rPr>
      </w:pPr>
      <w:bookmarkStart w:id="101" w:name="_Ref457764782"/>
      <w:bookmarkStart w:id="102" w:name="_Toc473013985"/>
      <w:r w:rsidRPr="00A613A8">
        <w:lastRenderedPageBreak/>
        <w:t xml:space="preserve">Figure </w:t>
      </w:r>
      <w:r>
        <w:t>3:</w:t>
      </w:r>
      <w:bookmarkEnd w:id="101"/>
      <w:r w:rsidRPr="00A613A8">
        <w:rPr>
          <w:lang w:eastAsia="ja-JP"/>
        </w:rPr>
        <w:t xml:space="preserve"> </w:t>
      </w:r>
      <w:r w:rsidRPr="00A613A8">
        <w:rPr>
          <w:lang w:eastAsia="en-AU"/>
        </w:rPr>
        <w:t>Bioequivalent pharmacokinetics curves of 2 different products sodium phenylbutyrate granules in healthy volunteers</w:t>
      </w:r>
      <w:r>
        <w:t xml:space="preserve"> (</w:t>
      </w:r>
      <w:r w:rsidRPr="00A613A8">
        <w:rPr>
          <w:lang w:eastAsia="ja-JP"/>
        </w:rPr>
        <w:t>Study LUC1001</w:t>
      </w:r>
      <w:r>
        <w:t>)</w:t>
      </w:r>
      <w:bookmarkEnd w:id="102"/>
    </w:p>
    <w:p w14:paraId="311DB103" w14:textId="77777777" w:rsidR="00436B89" w:rsidRPr="00A613A8" w:rsidRDefault="00436B89" w:rsidP="00436B89">
      <w:pPr>
        <w:rPr>
          <w:lang w:eastAsia="ja-JP"/>
        </w:rPr>
      </w:pPr>
      <w:r>
        <w:rPr>
          <w:noProof/>
          <w:lang w:eastAsia="en-AU"/>
        </w:rPr>
        <w:drawing>
          <wp:inline distT="0" distB="0" distL="0" distR="0" wp14:anchorId="759D9A55" wp14:editId="3A369349">
            <wp:extent cx="4494544" cy="2629786"/>
            <wp:effectExtent l="0" t="0" r="1270" b="0"/>
            <wp:docPr id="17" name="Picture 17" descr="Figure 3: Bioequivalent pharmacokinetics curves of 2 different products sodium phenylbutyrate granules in healthy volunteers (Study LUC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lum bright="-20000" contrast="40000"/>
                      <a:extLst>
                        <a:ext uri="{28A0092B-C50C-407E-A947-70E740481C1C}">
                          <a14:useLocalDpi xmlns:a14="http://schemas.microsoft.com/office/drawing/2010/main" val="0"/>
                        </a:ext>
                      </a:extLst>
                    </a:blip>
                    <a:srcRect/>
                    <a:stretch>
                      <a:fillRect/>
                    </a:stretch>
                  </pic:blipFill>
                  <pic:spPr bwMode="auto">
                    <a:xfrm>
                      <a:off x="0" y="0"/>
                      <a:ext cx="4496769" cy="2631088"/>
                    </a:xfrm>
                    <a:prstGeom prst="rect">
                      <a:avLst/>
                    </a:prstGeom>
                    <a:noFill/>
                    <a:ln>
                      <a:noFill/>
                    </a:ln>
                  </pic:spPr>
                </pic:pic>
              </a:graphicData>
            </a:graphic>
          </wp:inline>
        </w:drawing>
      </w:r>
    </w:p>
    <w:p w14:paraId="5B1C96A1" w14:textId="77777777" w:rsidR="00436B89" w:rsidRDefault="00436B89" w:rsidP="00436B89">
      <w:pPr>
        <w:rPr>
          <w:lang w:eastAsia="ja-JP"/>
        </w:rPr>
      </w:pPr>
      <w:r w:rsidRPr="00A613A8">
        <w:rPr>
          <w:lang w:eastAsia="ja-JP"/>
        </w:rPr>
        <w:t>The study also assessed the taste of the test product (</w:t>
      </w:r>
      <w:r>
        <w:rPr>
          <w:lang w:eastAsia="ja-JP"/>
        </w:rPr>
        <w:t>Pheburane</w:t>
      </w:r>
      <w:r w:rsidRPr="00A613A8">
        <w:rPr>
          <w:lang w:eastAsia="ja-JP"/>
        </w:rPr>
        <w:t>) with Ammonaps. The parametric comparison of taste of the test and reference products shows that acceptability, bitterness and saltiness of the two products immediately after administration of the IMP, are significantly different and indicate a preference for the test. The evaluation of Sweetness showed no difference immediately after dosing.</w:t>
      </w:r>
    </w:p>
    <w:p w14:paraId="72CB96D2" w14:textId="77777777"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t>Guffon 2012</w:t>
      </w:r>
    </w:p>
    <w:p w14:paraId="0765EB8E" w14:textId="77777777" w:rsidR="00436B89" w:rsidRPr="00A613A8" w:rsidRDefault="00436B89" w:rsidP="00436B89">
      <w:pPr>
        <w:rPr>
          <w:i/>
          <w:lang w:eastAsia="ja-JP"/>
        </w:rPr>
      </w:pPr>
      <w:r w:rsidRPr="00A613A8">
        <w:rPr>
          <w:i/>
          <w:lang w:eastAsia="ja-JP"/>
        </w:rPr>
        <w:t>Guffon N. et al, Developing a new formulation of sodium phenylbutyrate Archives of Disease in Childhood (2012) 97:1081-85</w:t>
      </w:r>
    </w:p>
    <w:p w14:paraId="6C0A6466" w14:textId="77777777" w:rsidR="00436B89" w:rsidRPr="00A613A8" w:rsidRDefault="00436B89" w:rsidP="00436B89">
      <w:pPr>
        <w:rPr>
          <w:lang w:eastAsia="ja-JP"/>
        </w:rPr>
      </w:pPr>
      <w:r w:rsidRPr="00A613A8">
        <w:rPr>
          <w:lang w:eastAsia="ja-JP"/>
        </w:rPr>
        <w:t xml:space="preserve">This is the published report of the Study LUC1001, the bioequivalence study conducted for </w:t>
      </w:r>
      <w:r>
        <w:rPr>
          <w:lang w:eastAsia="ja-JP"/>
        </w:rPr>
        <w:t>Pheburane</w:t>
      </w:r>
      <w:r w:rsidRPr="00A613A8">
        <w:rPr>
          <w:lang w:eastAsia="ja-JP"/>
        </w:rPr>
        <w:t xml:space="preserve"> versus Ammonaps.</w:t>
      </w:r>
    </w:p>
    <w:p w14:paraId="65BA97A3" w14:textId="77777777" w:rsidR="00436B89" w:rsidRPr="00A613A8" w:rsidRDefault="00436B89" w:rsidP="00436B89">
      <w:pPr>
        <w:pStyle w:val="Heading6"/>
      </w:pPr>
      <w:r w:rsidRPr="00A613A8">
        <w:t>Influence of food</w:t>
      </w:r>
    </w:p>
    <w:p w14:paraId="42582859" w14:textId="77777777" w:rsidR="00436B89" w:rsidRPr="00A613A8" w:rsidRDefault="00436B89" w:rsidP="00436B89">
      <w:pPr>
        <w:rPr>
          <w:lang w:eastAsia="ja-JP"/>
        </w:rPr>
      </w:pPr>
      <w:r w:rsidRPr="00A613A8">
        <w:rPr>
          <w:lang w:eastAsia="ja-JP"/>
        </w:rPr>
        <w:t>The submission acknowledged that there w</w:t>
      </w:r>
      <w:r>
        <w:rPr>
          <w:lang w:eastAsia="ja-JP"/>
        </w:rPr>
        <w:t>as</w:t>
      </w:r>
      <w:r w:rsidRPr="00A613A8">
        <w:rPr>
          <w:lang w:eastAsia="ja-JP"/>
        </w:rPr>
        <w:t xml:space="preserve"> no formal food interaction studies presented. It states that the suggestion for administration with food is based on clinical practice. In addition, the dose is to be titrated against metabolic status and an important principle would seem to be that the administration with or without food is kept constant. </w:t>
      </w:r>
    </w:p>
    <w:p w14:paraId="4B10B9E5" w14:textId="77777777" w:rsidR="00436B89" w:rsidRPr="00A613A8" w:rsidRDefault="00436B89" w:rsidP="00436B89">
      <w:pPr>
        <w:pStyle w:val="Heading6"/>
      </w:pPr>
      <w:r w:rsidRPr="00A613A8">
        <w:t>Dose proportionality</w:t>
      </w:r>
    </w:p>
    <w:p w14:paraId="5BB85EAE" w14:textId="77777777" w:rsidR="00436B89" w:rsidRPr="00A613A8" w:rsidRDefault="00436B89" w:rsidP="00436B89">
      <w:pPr>
        <w:rPr>
          <w:lang w:eastAsia="ja-JP"/>
        </w:rPr>
      </w:pPr>
      <w:r w:rsidRPr="00A613A8">
        <w:rPr>
          <w:lang w:eastAsia="ja-JP"/>
        </w:rPr>
        <w:t>There w</w:t>
      </w:r>
      <w:r>
        <w:rPr>
          <w:lang w:eastAsia="ja-JP"/>
        </w:rPr>
        <w:t>as</w:t>
      </w:r>
      <w:r w:rsidRPr="00A613A8">
        <w:rPr>
          <w:lang w:eastAsia="ja-JP"/>
        </w:rPr>
        <w:t xml:space="preserve"> no data presented investigating dose</w:t>
      </w:r>
      <w:r>
        <w:rPr>
          <w:lang w:eastAsia="ja-JP"/>
        </w:rPr>
        <w:t xml:space="preserve"> </w:t>
      </w:r>
      <w:r w:rsidRPr="00A613A8">
        <w:rPr>
          <w:lang w:eastAsia="ja-JP"/>
        </w:rPr>
        <w:t>proportionality.</w:t>
      </w:r>
    </w:p>
    <w:p w14:paraId="4B1526E8" w14:textId="77777777" w:rsidR="00436B89" w:rsidRPr="00A613A8" w:rsidRDefault="00436B89" w:rsidP="00177802">
      <w:pPr>
        <w:pStyle w:val="Heading5"/>
        <w:numPr>
          <w:ilvl w:val="3"/>
          <w:numId w:val="5"/>
        </w:numPr>
        <w:tabs>
          <w:tab w:val="clear" w:pos="1418"/>
          <w:tab w:val="num" w:pos="1191"/>
        </w:tabs>
        <w:ind w:left="1191"/>
      </w:pPr>
      <w:r w:rsidRPr="00A613A8">
        <w:t>Distribution</w:t>
      </w:r>
    </w:p>
    <w:p w14:paraId="05826921" w14:textId="77777777" w:rsidR="00436B89" w:rsidRPr="00A613A8" w:rsidRDefault="00436B89" w:rsidP="00436B89">
      <w:pPr>
        <w:rPr>
          <w:lang w:eastAsia="ja-JP"/>
        </w:rPr>
      </w:pPr>
      <w:bookmarkStart w:id="103" w:name="_Toc272414622"/>
      <w:bookmarkStart w:id="104" w:name="_Toc290888471"/>
      <w:bookmarkStart w:id="105" w:name="_Toc416353667"/>
      <w:r>
        <w:rPr>
          <w:lang w:eastAsia="ja-JP"/>
        </w:rPr>
        <w:t xml:space="preserve">The distribution of </w:t>
      </w:r>
      <w:r w:rsidRPr="00D00AEF">
        <w:rPr>
          <w:lang w:eastAsia="ja-JP"/>
        </w:rPr>
        <w:t>sodium phenylbutyrate</w:t>
      </w:r>
      <w:r>
        <w:rPr>
          <w:lang w:eastAsia="ja-JP"/>
        </w:rPr>
        <w:t xml:space="preserve"> was not addressed in the pharmacokinetic studies supplied in the dossier.</w:t>
      </w:r>
    </w:p>
    <w:p w14:paraId="7707B81B" w14:textId="77777777" w:rsidR="00436B89" w:rsidRPr="00A613A8" w:rsidRDefault="00436B89" w:rsidP="00177802">
      <w:pPr>
        <w:pStyle w:val="Heading5"/>
        <w:numPr>
          <w:ilvl w:val="3"/>
          <w:numId w:val="5"/>
        </w:numPr>
        <w:tabs>
          <w:tab w:val="clear" w:pos="1418"/>
          <w:tab w:val="num" w:pos="1191"/>
        </w:tabs>
        <w:ind w:left="1191"/>
      </w:pPr>
      <w:r w:rsidRPr="00A613A8">
        <w:t>Metabolism</w:t>
      </w:r>
      <w:bookmarkEnd w:id="103"/>
      <w:bookmarkEnd w:id="104"/>
      <w:bookmarkEnd w:id="105"/>
    </w:p>
    <w:p w14:paraId="7E2EC895" w14:textId="77777777" w:rsidR="00436B89" w:rsidRPr="00A613A8" w:rsidRDefault="00436B89" w:rsidP="00436B89">
      <w:pPr>
        <w:pStyle w:val="Heading6"/>
      </w:pPr>
      <w:r w:rsidRPr="00A613A8">
        <w:t>Sites of metabolism and mechanisms / enzyme systems involved</w:t>
      </w:r>
    </w:p>
    <w:p w14:paraId="63D2082B" w14:textId="77777777" w:rsidR="00436B89" w:rsidRPr="00A613A8" w:rsidRDefault="00436B89" w:rsidP="00436B89">
      <w:r w:rsidRPr="00A613A8">
        <w:t>Phenylbutyrate is rapidly converted via β-oxidation by medium chain acyl-CoA dehydrogenase to its active metabolite phenylacetic acid which is conjugated with glutamine to form phenylacetylglutamine, which mediates waste nitrogen removal through urinary excretion (Figure 1). It has been demonstrated that, in most subjects, the kidneys excrete 80-100% of the drug as the conjugated product, phenylacetylglutamine, within 24 hours (Piscitelli1995)</w:t>
      </w:r>
      <w:r>
        <w:t xml:space="preserve"> (see Figure 4)</w:t>
      </w:r>
      <w:r w:rsidRPr="00A613A8">
        <w:t xml:space="preserve">. The elimination half-life of phenylbutyrate is 1 to 1.5 hours and unchanged drug is not detected in the urine of normal subjects or patients with UCDs (European Medicines Agency, </w:t>
      </w:r>
      <w:r w:rsidRPr="00A613A8">
        <w:lastRenderedPageBreak/>
        <w:t>2009). There could be up to 20 minor metabolites of Phenylbutyrate. There is evidence of substantial yet variable presystemic (first pass) conversion of phenylbutyrate to phenylacetic acid.</w:t>
      </w:r>
    </w:p>
    <w:p w14:paraId="0B904632" w14:textId="77777777" w:rsidR="00436B89" w:rsidRPr="00A613A8" w:rsidRDefault="00436B89" w:rsidP="00436B89">
      <w:r w:rsidRPr="00A613A8">
        <w:t>The formation of phenylacetylglutamine from phenylacetate is saturable which may impact the ability to clear phenylacetic acid from the circulation. However, the accumulation of phenylacetic acid is not appreciable among any age groups (Diaz 2013; Smith 2013). At very high intravenous doses (</w:t>
      </w:r>
      <w:r>
        <w:t>for example,</w:t>
      </w:r>
      <w:r w:rsidRPr="00A613A8">
        <w:t xml:space="preserve"> 500 mg/</w:t>
      </w:r>
      <w:r>
        <w:t>kg/day</w:t>
      </w:r>
      <w:r w:rsidRPr="00A613A8">
        <w:t xml:space="preserve"> or 2000 mg/m</w:t>
      </w:r>
      <w:r w:rsidRPr="00A613A8">
        <w:rPr>
          <w:vertAlign w:val="superscript"/>
        </w:rPr>
        <w:t>2</w:t>
      </w:r>
      <w:r w:rsidRPr="00A613A8">
        <w:t>), there also seemed to be saturable metabolism of phenylbutyrate to phenylacetate.</w:t>
      </w:r>
    </w:p>
    <w:p w14:paraId="38E1A735" w14:textId="77777777" w:rsidR="00436B89" w:rsidRPr="00A613A8" w:rsidRDefault="00436B89" w:rsidP="006820CE">
      <w:pPr>
        <w:pStyle w:val="FigureTitle"/>
        <w:rPr>
          <w:lang w:eastAsia="en-AU"/>
        </w:rPr>
      </w:pPr>
      <w:bookmarkStart w:id="106" w:name="_Ref457764872"/>
      <w:bookmarkStart w:id="107" w:name="_Toc473013986"/>
      <w:r w:rsidRPr="00A613A8">
        <w:t xml:space="preserve">Figure </w:t>
      </w:r>
      <w:r>
        <w:t>4:</w:t>
      </w:r>
      <w:bookmarkEnd w:id="106"/>
      <w:r>
        <w:t xml:space="preserve"> </w:t>
      </w:r>
      <w:r w:rsidRPr="00A613A8">
        <w:rPr>
          <w:lang w:eastAsia="en-AU"/>
        </w:rPr>
        <w:t>Presystemic and systemic metabolism of glycerol phenylbutyrate and sodium phenylbutyrate (Mokhtarani 2012)</w:t>
      </w:r>
      <w:bookmarkEnd w:id="107"/>
    </w:p>
    <w:p w14:paraId="43D87B30" w14:textId="77777777" w:rsidR="00436B89" w:rsidRPr="00A613A8" w:rsidRDefault="00436B89" w:rsidP="00436B89">
      <w:r>
        <w:rPr>
          <w:noProof/>
          <w:lang w:eastAsia="en-AU"/>
        </w:rPr>
        <w:drawing>
          <wp:inline distT="0" distB="0" distL="0" distR="0" wp14:anchorId="5ABD315B" wp14:editId="271B6818">
            <wp:extent cx="3700130" cy="2226976"/>
            <wp:effectExtent l="0" t="0" r="0" b="1905"/>
            <wp:docPr id="18" name="Picture 18" descr="Figure 4: Presystemic and systemic metabolism of glycerol phenylbutyrate and sodium phenylbutyrate (Mokhtarani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9071" cy="2232357"/>
                    </a:xfrm>
                    <a:prstGeom prst="rect">
                      <a:avLst/>
                    </a:prstGeom>
                    <a:noFill/>
                    <a:ln>
                      <a:noFill/>
                    </a:ln>
                  </pic:spPr>
                </pic:pic>
              </a:graphicData>
            </a:graphic>
          </wp:inline>
        </w:drawing>
      </w:r>
    </w:p>
    <w:p w14:paraId="62FABF98" w14:textId="77777777" w:rsidR="00436B89" w:rsidRPr="00A613A8" w:rsidRDefault="00436B89" w:rsidP="00436B89">
      <w:pPr>
        <w:pStyle w:val="Heading6"/>
      </w:pPr>
      <w:r w:rsidRPr="00A613A8">
        <w:t>Metabolites identified in humans: active and other</w:t>
      </w:r>
    </w:p>
    <w:p w14:paraId="48951E48" w14:textId="77777777" w:rsidR="00436B89" w:rsidRPr="00A613A8" w:rsidRDefault="00436B89" w:rsidP="00436B89">
      <w:r w:rsidRPr="00A613A8">
        <w:t xml:space="preserve">The main metabolites of phenylbutyrate are shown in </w:t>
      </w:r>
      <w:r>
        <w:t>Figure 5</w:t>
      </w:r>
      <w:r w:rsidRPr="00A613A8">
        <w:t>.</w:t>
      </w:r>
    </w:p>
    <w:p w14:paraId="1BB797DC" w14:textId="77777777" w:rsidR="00436B89" w:rsidRPr="00A613A8" w:rsidRDefault="00436B89" w:rsidP="006820CE">
      <w:pPr>
        <w:pStyle w:val="FigureTitle"/>
      </w:pPr>
      <w:bookmarkStart w:id="108" w:name="_Ref457764888"/>
      <w:bookmarkStart w:id="109" w:name="_Toc473013987"/>
      <w:r w:rsidRPr="00A613A8">
        <w:t xml:space="preserve">Figure </w:t>
      </w:r>
      <w:r>
        <w:t>5:</w:t>
      </w:r>
      <w:bookmarkEnd w:id="108"/>
      <w:r w:rsidRPr="00A613A8">
        <w:rPr>
          <w:lang w:eastAsia="ja-JP"/>
        </w:rPr>
        <w:t xml:space="preserve"> </w:t>
      </w:r>
      <w:r w:rsidRPr="00A613A8">
        <w:rPr>
          <w:lang w:eastAsia="en-AU"/>
        </w:rPr>
        <w:t>Metabolic pathway of phenylbutyrate</w:t>
      </w:r>
      <w:bookmarkEnd w:id="109"/>
      <w:r w:rsidRPr="00A613A8">
        <w:t xml:space="preserve"> </w:t>
      </w:r>
    </w:p>
    <w:p w14:paraId="6D499561" w14:textId="77777777" w:rsidR="00436B89" w:rsidRPr="00A613A8" w:rsidRDefault="00436B89" w:rsidP="00436B89">
      <w:r>
        <w:rPr>
          <w:noProof/>
          <w:lang w:eastAsia="en-AU"/>
        </w:rPr>
        <w:drawing>
          <wp:inline distT="0" distB="0" distL="0" distR="0" wp14:anchorId="61753A1B" wp14:editId="69431265">
            <wp:extent cx="4492954" cy="3232298"/>
            <wp:effectExtent l="0" t="0" r="3175" b="6350"/>
            <wp:docPr id="19" name="Picture 19" descr="Figure 5: Metabolic pathway of phenylbuty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md.aspetjournals.org/content/32/1/10/F9.lar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5178" cy="3233898"/>
                    </a:xfrm>
                    <a:prstGeom prst="rect">
                      <a:avLst/>
                    </a:prstGeom>
                    <a:noFill/>
                    <a:ln>
                      <a:noFill/>
                    </a:ln>
                  </pic:spPr>
                </pic:pic>
              </a:graphicData>
            </a:graphic>
          </wp:inline>
        </w:drawing>
      </w:r>
    </w:p>
    <w:p w14:paraId="3AF4AEDD" w14:textId="77777777" w:rsidR="00436B89" w:rsidRPr="00A613A8" w:rsidRDefault="00436B89" w:rsidP="00436B89">
      <w:pPr>
        <w:pStyle w:val="Heading6"/>
      </w:pPr>
      <w:r w:rsidRPr="00A613A8">
        <w:lastRenderedPageBreak/>
        <w:t>Pharmacokinetics of metabolites</w:t>
      </w:r>
    </w:p>
    <w:p w14:paraId="57E51B3E" w14:textId="77777777" w:rsidR="00436B89" w:rsidRDefault="00436B89" w:rsidP="00436B89">
      <w:pPr>
        <w:pStyle w:val="Heading6"/>
      </w:pPr>
      <w:r w:rsidRPr="00A613A8">
        <w:t xml:space="preserve">Gilbert </w:t>
      </w:r>
      <w:r>
        <w:t>2001</w:t>
      </w:r>
    </w:p>
    <w:p w14:paraId="0B52F3E4" w14:textId="77777777" w:rsidR="00436B89" w:rsidRDefault="00436B89" w:rsidP="00436B89">
      <w:r>
        <w:t>This was</w:t>
      </w:r>
      <w:r w:rsidRPr="00A613A8">
        <w:t xml:space="preserve"> a Phase I trial of oral sodium phenylbutyrate in 28 patients with</w:t>
      </w:r>
      <w:r>
        <w:t xml:space="preserve"> </w:t>
      </w:r>
      <w:r w:rsidRPr="00A613A8">
        <w:t>refractory solid tumour malignancies to evaluate toxicity, pharmacokinetic parameters, and</w:t>
      </w:r>
      <w:r>
        <w:t xml:space="preserve"> </w:t>
      </w:r>
      <w:r w:rsidRPr="00A613A8">
        <w:t>feasibility of oral administration (Gilbert 2001). Five dose levels of phenylbutyrate</w:t>
      </w:r>
      <w:r>
        <w:t xml:space="preserve"> </w:t>
      </w:r>
      <w:r w:rsidRPr="00A613A8">
        <w:t>were studied: 9 g/day (n = 4), 18 g/day (n = 4), 27 g/day (n = 4), 36 g/day (n = 12), and 45</w:t>
      </w:r>
      <w:r>
        <w:t xml:space="preserve"> </w:t>
      </w:r>
      <w:r w:rsidRPr="00A613A8">
        <w:t>g/day (n = 4). Pharmacokinetic studies were performed and included an oral bioavailability</w:t>
      </w:r>
      <w:r>
        <w:t xml:space="preserve"> </w:t>
      </w:r>
      <w:r w:rsidRPr="00A613A8">
        <w:t>determination. Absorption was rapid, and the oral bioavailability of phenylbutyrate was</w:t>
      </w:r>
      <w:r>
        <w:t xml:space="preserve"> </w:t>
      </w:r>
      <w:r w:rsidRPr="00A613A8">
        <w:t>78% for all dose levels. Phenylbutyrate pharmacokinetics were linear within the dose range</w:t>
      </w:r>
      <w:r>
        <w:t xml:space="preserve"> </w:t>
      </w:r>
      <w:r w:rsidRPr="00A613A8">
        <w:t>studied, as evidenced by a 4.4-fold increase in AUC values as the sodium phenylbutyrate</w:t>
      </w:r>
      <w:r>
        <w:t xml:space="preserve"> </w:t>
      </w:r>
      <w:r w:rsidRPr="00A613A8">
        <w:t>dose was incr</w:t>
      </w:r>
      <w:r>
        <w:t>eased 4-fold from 9 to 36 g/day. After oral administration on D</w:t>
      </w:r>
      <w:r w:rsidRPr="00A613A8">
        <w:t>ay</w:t>
      </w:r>
      <w:r>
        <w:t xml:space="preserve"> </w:t>
      </w:r>
      <w:r w:rsidRPr="00A613A8">
        <w:t xml:space="preserve">1 or 2, the average elimination half-life was 1 h and </w:t>
      </w:r>
      <w:r>
        <w:t>‘</w:t>
      </w:r>
      <w:r w:rsidRPr="00A613A8">
        <w:t>apparent</w:t>
      </w:r>
      <w:r>
        <w:t>’</w:t>
      </w:r>
      <w:r w:rsidRPr="00A613A8">
        <w:t xml:space="preserve"> oral clearance was 15 L/hr.</w:t>
      </w:r>
      <w:r>
        <w:t xml:space="preserve"> </w:t>
      </w:r>
      <w:r w:rsidRPr="00A613A8">
        <w:t>These parameters were independent of phenylbutyrate dose. Phenylbutyrate</w:t>
      </w:r>
      <w:r>
        <w:t xml:space="preserve"> </w:t>
      </w:r>
      <w:r w:rsidRPr="00A613A8">
        <w:t>pharmacokinetic parameters were similar after administration of a single IV or oral dose</w:t>
      </w:r>
      <w:r>
        <w:t xml:space="preserve"> </w:t>
      </w:r>
      <w:r w:rsidRPr="00A613A8">
        <w:t>(</w:t>
      </w:r>
      <w:r>
        <w:t>Table 14</w:t>
      </w:r>
      <w:r w:rsidRPr="00A613A8">
        <w:t>) and after administration of the first oral dose on day 3 (</w:t>
      </w:r>
      <w:r>
        <w:t>Figure 6</w:t>
      </w:r>
      <w:r w:rsidRPr="00A613A8">
        <w:t>).</w:t>
      </w:r>
      <w:r>
        <w:t xml:space="preserve"> </w:t>
      </w:r>
      <w:r w:rsidRPr="00A613A8">
        <w:t>The formation of phenylacetylglutamine from phenylacetate was saturable; phenylacetate</w:t>
      </w:r>
      <w:r>
        <w:t xml:space="preserve"> </w:t>
      </w:r>
      <w:r w:rsidRPr="00A613A8">
        <w:t>AUC increased disproportionately with phenylbutyrate dose. When the phenylbutyrate</w:t>
      </w:r>
      <w:r>
        <w:t xml:space="preserve"> </w:t>
      </w:r>
      <w:r w:rsidRPr="00A613A8">
        <w:t>dose was in- creased 4-fold from 9 to 36 g/day, the average phenylacetate AUC value</w:t>
      </w:r>
      <w:r>
        <w:t xml:space="preserve"> </w:t>
      </w:r>
      <w:r w:rsidRPr="00A613A8">
        <w:t>increased 8-fold. After intravenous and oral administration, mean systemic exposure</w:t>
      </w:r>
      <w:r>
        <w:t xml:space="preserve"> </w:t>
      </w:r>
      <w:r w:rsidRPr="00A613A8">
        <w:t>(AUC) to phenylacetate represented approximately 46–66% of that for phenylbutyrate; at</w:t>
      </w:r>
      <w:r>
        <w:t xml:space="preserve"> </w:t>
      </w:r>
      <w:r w:rsidRPr="00A613A8">
        <w:t>the highest dose level (45 g/day), phenylacetate represent</w:t>
      </w:r>
      <w:r>
        <w:t>ed</w:t>
      </w:r>
      <w:r w:rsidRPr="00A613A8">
        <w:t xml:space="preserve"> an average of 77-95% of</w:t>
      </w:r>
      <w:r>
        <w:t xml:space="preserve"> </w:t>
      </w:r>
      <w:r w:rsidRPr="00A613A8">
        <w:t>phenylbutyrate exposure, which is consistent with a disproportionate increase in</w:t>
      </w:r>
      <w:r>
        <w:t xml:space="preserve"> </w:t>
      </w:r>
      <w:r w:rsidRPr="00A613A8">
        <w:t>phenylacetate exposure at the higher phenylbutyrate dose-levels</w:t>
      </w:r>
      <w:r>
        <w:t xml:space="preserve"> (Figure 7)</w:t>
      </w:r>
      <w:r w:rsidRPr="00A613A8">
        <w:t>. Exposure to</w:t>
      </w:r>
      <w:r>
        <w:t xml:space="preserve"> </w:t>
      </w:r>
      <w:r w:rsidRPr="00A613A8">
        <w:t>phenylacetylglutamine represented 70-100% of that for phenylbutyrate and appeared to be</w:t>
      </w:r>
      <w:r>
        <w:t xml:space="preserve"> </w:t>
      </w:r>
      <w:r w:rsidRPr="00A613A8">
        <w:t>independent of phenylbutyrate dose</w:t>
      </w:r>
      <w:r>
        <w:t>.</w:t>
      </w:r>
    </w:p>
    <w:p w14:paraId="0863278E" w14:textId="77777777" w:rsidR="00436B89" w:rsidRPr="00A613A8" w:rsidRDefault="00436B89" w:rsidP="00436B89">
      <w:pPr>
        <w:pStyle w:val="Heading6"/>
      </w:pPr>
      <w:r w:rsidRPr="00A613A8">
        <w:t>Consequences of genetic polymorphism</w:t>
      </w:r>
    </w:p>
    <w:p w14:paraId="5EF12F20" w14:textId="77777777" w:rsidR="00436B89" w:rsidRPr="00A613A8" w:rsidRDefault="00436B89" w:rsidP="00436B89">
      <w:r w:rsidRPr="00A613A8">
        <w:t>In a pharmacokinetic study in CNS-malignancies the co-administration with p-450 inducing</w:t>
      </w:r>
      <w:r>
        <w:t xml:space="preserve"> </w:t>
      </w:r>
      <w:r w:rsidRPr="00A613A8">
        <w:t>anticonvulsants led to a higher clearance and higher conversion of phenylbutyrate to</w:t>
      </w:r>
      <w:r>
        <w:t xml:space="preserve"> </w:t>
      </w:r>
      <w:r w:rsidRPr="00A613A8">
        <w:t>phenylacetate (Phuphanich 2005) than in the previous study in non-CNS malignancies</w:t>
      </w:r>
      <w:r>
        <w:t xml:space="preserve"> </w:t>
      </w:r>
      <w:r w:rsidRPr="00A613A8">
        <w:t>without anticonvulsants (Gilbert 2001). It appears that the pharmacokinetics of</w:t>
      </w:r>
      <w:r>
        <w:t xml:space="preserve"> </w:t>
      </w:r>
      <w:r w:rsidRPr="00A613A8">
        <w:t>phenylbutyrate may be affected by the concurrent administration of anticonvulsants.</w:t>
      </w:r>
    </w:p>
    <w:p w14:paraId="65A9D5D5" w14:textId="77777777" w:rsidR="00436B89" w:rsidRPr="00A613A8" w:rsidRDefault="00436B89" w:rsidP="006820CE">
      <w:pPr>
        <w:pStyle w:val="Tabletitle"/>
        <w:rPr>
          <w:lang w:eastAsia="en-AU"/>
        </w:rPr>
      </w:pPr>
      <w:bookmarkStart w:id="110" w:name="_Ref457767558"/>
      <w:bookmarkStart w:id="111" w:name="_Toc473013953"/>
      <w:r w:rsidRPr="00A613A8">
        <w:lastRenderedPageBreak/>
        <w:t xml:space="preserve">Table </w:t>
      </w:r>
      <w:r>
        <w:t>14:</w:t>
      </w:r>
      <w:bookmarkEnd w:id="110"/>
      <w:r w:rsidRPr="00A613A8">
        <w:t xml:space="preserve"> </w:t>
      </w:r>
      <w:r w:rsidRPr="00A613A8">
        <w:rPr>
          <w:lang w:eastAsia="en-AU"/>
        </w:rPr>
        <w:t>Oral bioavailability &amp; pharmacokinetic parameters for phenylbutyrate &amp; metabolites determined using non-compartmental method (Gilbert 2001)</w:t>
      </w:r>
      <w:bookmarkEnd w:id="111"/>
    </w:p>
    <w:p w14:paraId="3F7D4C35" w14:textId="77777777" w:rsidR="00436B89" w:rsidRPr="00A613A8" w:rsidRDefault="00436B89" w:rsidP="00436B89">
      <w:pPr>
        <w:autoSpaceDE w:val="0"/>
        <w:autoSpaceDN w:val="0"/>
        <w:adjustRightInd w:val="0"/>
        <w:spacing w:before="0" w:after="0" w:line="240" w:lineRule="auto"/>
        <w:rPr>
          <w:rFonts w:ascii="TimesNewRomanPS-BoldMT" w:hAnsi="TimesNewRomanPS-BoldMT" w:cs="TimesNewRomanPS-BoldMT"/>
          <w:b/>
          <w:bCs/>
          <w:lang w:eastAsia="en-AU"/>
        </w:rPr>
      </w:pPr>
      <w:r>
        <w:rPr>
          <w:rFonts w:ascii="TimesNewRomanPS-BoldMT" w:hAnsi="TimesNewRomanPS-BoldMT" w:cs="TimesNewRomanPS-BoldMT"/>
          <w:b/>
          <w:bCs/>
          <w:noProof/>
          <w:lang w:eastAsia="en-AU"/>
        </w:rPr>
        <w:drawing>
          <wp:inline distT="0" distB="0" distL="0" distR="0" wp14:anchorId="4D259ECF" wp14:editId="374A372D">
            <wp:extent cx="5730240" cy="4084320"/>
            <wp:effectExtent l="0" t="0" r="3810" b="0"/>
            <wp:docPr id="20" name="Picture 20" descr="Table 14: Oral bioavailability &amp; pharmacokinetic parameters for phenylbutyrate &amp; metabolites determined using non-compartmental method (Gilbert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lum bright="-20000" contrast="40000"/>
                      <a:extLst>
                        <a:ext uri="{28A0092B-C50C-407E-A947-70E740481C1C}">
                          <a14:useLocalDpi xmlns:a14="http://schemas.microsoft.com/office/drawing/2010/main" val="0"/>
                        </a:ext>
                      </a:extLst>
                    </a:blip>
                    <a:srcRect/>
                    <a:stretch>
                      <a:fillRect/>
                    </a:stretch>
                  </pic:blipFill>
                  <pic:spPr bwMode="auto">
                    <a:xfrm>
                      <a:off x="0" y="0"/>
                      <a:ext cx="5730240" cy="4084320"/>
                    </a:xfrm>
                    <a:prstGeom prst="rect">
                      <a:avLst/>
                    </a:prstGeom>
                    <a:noFill/>
                    <a:ln>
                      <a:noFill/>
                    </a:ln>
                  </pic:spPr>
                </pic:pic>
              </a:graphicData>
            </a:graphic>
          </wp:inline>
        </w:drawing>
      </w:r>
    </w:p>
    <w:p w14:paraId="44E16273" w14:textId="77777777" w:rsidR="00436B89" w:rsidRPr="00A613A8" w:rsidRDefault="00436B89" w:rsidP="006820CE">
      <w:pPr>
        <w:pStyle w:val="FigureTitle"/>
        <w:rPr>
          <w:lang w:eastAsia="en-AU"/>
        </w:rPr>
      </w:pPr>
      <w:bookmarkStart w:id="112" w:name="_Ref457764911"/>
      <w:bookmarkStart w:id="113" w:name="_Toc473013988"/>
      <w:bookmarkStart w:id="114" w:name="_Toc241374289"/>
      <w:bookmarkStart w:id="115" w:name="_Toc272414623"/>
      <w:bookmarkStart w:id="116" w:name="_Toc290888472"/>
      <w:bookmarkStart w:id="117" w:name="_Toc416353668"/>
      <w:r w:rsidRPr="00A613A8">
        <w:t xml:space="preserve">Figure </w:t>
      </w:r>
      <w:r>
        <w:t>6:</w:t>
      </w:r>
      <w:bookmarkEnd w:id="112"/>
      <w:r w:rsidRPr="00A613A8">
        <w:rPr>
          <w:lang w:eastAsia="ja-JP"/>
        </w:rPr>
        <w:t xml:space="preserve"> </w:t>
      </w:r>
      <w:r w:rsidRPr="00A613A8">
        <w:rPr>
          <w:lang w:eastAsia="en-AU"/>
        </w:rPr>
        <w:t xml:space="preserve">Representative </w:t>
      </w:r>
      <w:proofErr w:type="gramStart"/>
      <w:r w:rsidRPr="00A613A8">
        <w:rPr>
          <w:lang w:eastAsia="en-AU"/>
        </w:rPr>
        <w:t>phenylbutyrate</w:t>
      </w:r>
      <w:proofErr w:type="gramEnd"/>
      <w:r w:rsidRPr="00A613A8">
        <w:rPr>
          <w:lang w:eastAsia="en-AU"/>
        </w:rPr>
        <w:t xml:space="preserve"> plasma concentration- time profiles at the 27 g/day (A) and 36 g/day (B) dose levels (Gilbert 2001)</w:t>
      </w:r>
      <w:bookmarkEnd w:id="113"/>
    </w:p>
    <w:p w14:paraId="158A9D69" w14:textId="77777777" w:rsidR="00436B89" w:rsidRPr="00A613A8" w:rsidRDefault="00436B89" w:rsidP="006820CE">
      <w:pPr>
        <w:rPr>
          <w:lang w:eastAsia="en-AU"/>
        </w:rPr>
      </w:pPr>
      <w:r>
        <w:rPr>
          <w:noProof/>
          <w:lang w:eastAsia="en-AU"/>
        </w:rPr>
        <w:drawing>
          <wp:inline distT="0" distB="0" distL="0" distR="0" wp14:anchorId="35339A3B" wp14:editId="17B09DF5">
            <wp:extent cx="4770816" cy="2509284"/>
            <wp:effectExtent l="0" t="0" r="0" b="5715"/>
            <wp:docPr id="21" name="Picture 21" descr="Figure 6: Representative phenylbutyrate plasma concentration- time profiles at the 27 g/day (A) and 36 g/day (B) dose levels (Gilbert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2738" cy="2510295"/>
                    </a:xfrm>
                    <a:prstGeom prst="rect">
                      <a:avLst/>
                    </a:prstGeom>
                    <a:noFill/>
                    <a:ln>
                      <a:noFill/>
                    </a:ln>
                  </pic:spPr>
                </pic:pic>
              </a:graphicData>
            </a:graphic>
          </wp:inline>
        </w:drawing>
      </w:r>
    </w:p>
    <w:p w14:paraId="01C59180" w14:textId="77777777" w:rsidR="00436B89" w:rsidRPr="00A613A8" w:rsidRDefault="00436B89" w:rsidP="00535367">
      <w:pPr>
        <w:pStyle w:val="FigureTitle"/>
        <w:rPr>
          <w:lang w:eastAsia="en-AU"/>
        </w:rPr>
      </w:pPr>
      <w:bookmarkStart w:id="118" w:name="_Ref457765021"/>
      <w:bookmarkStart w:id="119" w:name="_Toc473013989"/>
      <w:r w:rsidRPr="00A613A8">
        <w:lastRenderedPageBreak/>
        <w:t xml:space="preserve">Figure </w:t>
      </w:r>
      <w:r>
        <w:t>7:</w:t>
      </w:r>
      <w:bookmarkEnd w:id="118"/>
      <w:r w:rsidRPr="00A613A8">
        <w:rPr>
          <w:lang w:eastAsia="ja-JP"/>
        </w:rPr>
        <w:t xml:space="preserve"> </w:t>
      </w:r>
      <w:r w:rsidRPr="00A613A8">
        <w:rPr>
          <w:lang w:eastAsia="en-AU"/>
        </w:rPr>
        <w:t>Cumulative disposition curves of phenylbutyrate (PB) and phenylacetate (PA) for all evaluable patients with phenylbutyrate administered IV as a 120 hour infusion every 21 days (Carducci 2001)</w:t>
      </w:r>
      <w:bookmarkEnd w:id="119"/>
    </w:p>
    <w:p w14:paraId="136B9280" w14:textId="77777777" w:rsidR="00436B89" w:rsidRPr="00A613A8" w:rsidRDefault="00436B89" w:rsidP="00436B89">
      <w:pPr>
        <w:autoSpaceDE w:val="0"/>
        <w:autoSpaceDN w:val="0"/>
        <w:adjustRightInd w:val="0"/>
        <w:spacing w:before="0" w:after="0" w:line="240" w:lineRule="auto"/>
        <w:rPr>
          <w:rFonts w:ascii="TimesNewRomanPS-BoldMT" w:hAnsi="TimesNewRomanPS-BoldMT" w:cs="TimesNewRomanPS-BoldMT"/>
          <w:b/>
          <w:bCs/>
          <w:lang w:eastAsia="en-AU"/>
        </w:rPr>
      </w:pPr>
      <w:r>
        <w:rPr>
          <w:rFonts w:ascii="TimesNewRomanPS-BoldMT" w:hAnsi="TimesNewRomanPS-BoldMT" w:cs="TimesNewRomanPS-BoldMT"/>
          <w:b/>
          <w:bCs/>
          <w:noProof/>
          <w:lang w:eastAsia="en-AU"/>
        </w:rPr>
        <w:drawing>
          <wp:inline distT="0" distB="0" distL="0" distR="0" wp14:anchorId="6DA86F48" wp14:editId="71C20E98">
            <wp:extent cx="3505493" cy="4309730"/>
            <wp:effectExtent l="0" t="0" r="0" b="0"/>
            <wp:docPr id="22" name="Picture 22" descr="Figure 7: Cumulative disposition curves of phenylbutyrate (PB) and phenylacetate (PA) for all evaluable patients with phenylbutyrate administered IV as a 120 hour infusion every 21 days (Carducci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3508515" cy="4313445"/>
                    </a:xfrm>
                    <a:prstGeom prst="rect">
                      <a:avLst/>
                    </a:prstGeom>
                    <a:noFill/>
                    <a:ln>
                      <a:noFill/>
                    </a:ln>
                  </pic:spPr>
                </pic:pic>
              </a:graphicData>
            </a:graphic>
          </wp:inline>
        </w:drawing>
      </w:r>
    </w:p>
    <w:p w14:paraId="20DFF86B" w14:textId="77777777" w:rsidR="00436B89" w:rsidRPr="00A613A8" w:rsidRDefault="00436B89" w:rsidP="00177802">
      <w:pPr>
        <w:pStyle w:val="Heading5"/>
        <w:numPr>
          <w:ilvl w:val="3"/>
          <w:numId w:val="5"/>
        </w:numPr>
        <w:tabs>
          <w:tab w:val="clear" w:pos="1418"/>
          <w:tab w:val="num" w:pos="1191"/>
        </w:tabs>
        <w:ind w:left="1191"/>
      </w:pPr>
      <w:r w:rsidRPr="00A613A8">
        <w:t>E</w:t>
      </w:r>
      <w:bookmarkEnd w:id="114"/>
      <w:r w:rsidRPr="00A613A8">
        <w:t>xcretion</w:t>
      </w:r>
      <w:bookmarkEnd w:id="115"/>
      <w:bookmarkEnd w:id="116"/>
      <w:bookmarkEnd w:id="117"/>
    </w:p>
    <w:p w14:paraId="4B49E907" w14:textId="77777777" w:rsidR="00436B89" w:rsidRPr="00A613A8" w:rsidRDefault="00436B89" w:rsidP="00436B89">
      <w:pPr>
        <w:pStyle w:val="Heading6"/>
      </w:pPr>
      <w:r w:rsidRPr="00A613A8">
        <w:t>Routes and mechanisms of excretion</w:t>
      </w:r>
    </w:p>
    <w:p w14:paraId="6D7D884F" w14:textId="77777777" w:rsidR="00436B89" w:rsidRPr="00A613A8" w:rsidRDefault="00436B89" w:rsidP="00436B89">
      <w:r w:rsidRPr="00A613A8">
        <w:t>Approximately 80-100% of the medicinal product is excreted by the kidneys within 24 hours as the conjugated product, phenylacetylglutamine.</w:t>
      </w:r>
    </w:p>
    <w:p w14:paraId="03E32594" w14:textId="77777777" w:rsidR="00436B89" w:rsidRPr="00A613A8" w:rsidRDefault="00436B89" w:rsidP="00177802">
      <w:pPr>
        <w:pStyle w:val="Heading5"/>
        <w:numPr>
          <w:ilvl w:val="3"/>
          <w:numId w:val="5"/>
        </w:numPr>
        <w:tabs>
          <w:tab w:val="clear" w:pos="1418"/>
          <w:tab w:val="num" w:pos="1191"/>
        </w:tabs>
        <w:ind w:left="1191"/>
      </w:pPr>
      <w:bookmarkStart w:id="120" w:name="_Toc241374291"/>
      <w:bookmarkStart w:id="121" w:name="_Toc272414624"/>
      <w:bookmarkStart w:id="122" w:name="_Toc290888473"/>
      <w:bookmarkStart w:id="123" w:name="_Toc416353669"/>
      <w:r w:rsidRPr="00A613A8">
        <w:t>Intra and inter individual variability</w:t>
      </w:r>
      <w:bookmarkEnd w:id="120"/>
      <w:r w:rsidRPr="00A613A8">
        <w:t xml:space="preserve"> of pharmacokinetics</w:t>
      </w:r>
      <w:bookmarkEnd w:id="121"/>
      <w:bookmarkEnd w:id="122"/>
      <w:bookmarkEnd w:id="123"/>
    </w:p>
    <w:p w14:paraId="3C256161" w14:textId="4D4FA572" w:rsidR="00436B89" w:rsidRPr="00A613A8" w:rsidRDefault="00436B89" w:rsidP="00436B89">
      <w:pPr>
        <w:rPr>
          <w:lang w:eastAsia="ja-JP"/>
        </w:rPr>
      </w:pPr>
      <w:bookmarkStart w:id="124" w:name="_Toc241374292"/>
      <w:bookmarkStart w:id="125" w:name="_Ref271189131"/>
      <w:bookmarkStart w:id="126" w:name="_Ref271189136"/>
      <w:bookmarkStart w:id="127" w:name="_Toc272414625"/>
      <w:bookmarkStart w:id="128" w:name="_Toc290888474"/>
      <w:bookmarkStart w:id="129" w:name="_Toc416353670"/>
      <w:bookmarkStart w:id="130" w:name="_Toc421005245"/>
      <w:bookmarkStart w:id="131" w:name="_Toc432079127"/>
      <w:bookmarkStart w:id="132" w:name="_Toc432080700"/>
      <w:r>
        <w:rPr>
          <w:lang w:eastAsia="ja-JP"/>
        </w:rPr>
        <w:t xml:space="preserve">Pharmacokinetic variability was addressed in the study by </w:t>
      </w:r>
      <w:r w:rsidRPr="00A613A8">
        <w:rPr>
          <w:lang w:eastAsia="ja-JP"/>
        </w:rPr>
        <w:t>Mokhtarani 2012</w:t>
      </w:r>
      <w:r>
        <w:rPr>
          <w:lang w:eastAsia="ja-JP"/>
        </w:rPr>
        <w:t xml:space="preserve"> which demonstrated </w:t>
      </w:r>
      <w:r w:rsidRPr="00A613A8">
        <w:rPr>
          <w:lang w:eastAsia="ja-JP"/>
        </w:rPr>
        <w:t>high</w:t>
      </w:r>
      <w:r>
        <w:rPr>
          <w:lang w:eastAsia="ja-JP"/>
        </w:rPr>
        <w:t xml:space="preserve"> </w:t>
      </w:r>
      <w:r w:rsidRPr="00A613A8">
        <w:rPr>
          <w:lang w:eastAsia="ja-JP"/>
        </w:rPr>
        <w:t>inter- and intra-subject variability noted in plasma metabolite levels. The</w:t>
      </w:r>
      <w:r>
        <w:rPr>
          <w:lang w:eastAsia="ja-JP"/>
        </w:rPr>
        <w:t xml:space="preserve">y explained the </w:t>
      </w:r>
      <w:r w:rsidRPr="00A613A8">
        <w:rPr>
          <w:lang w:eastAsia="ja-JP"/>
        </w:rPr>
        <w:t>inter-subject variability by a wide range of doses that the study</w:t>
      </w:r>
      <w:r>
        <w:rPr>
          <w:lang w:eastAsia="ja-JP"/>
        </w:rPr>
        <w:t xml:space="preserve"> </w:t>
      </w:r>
      <w:r w:rsidRPr="00A613A8">
        <w:rPr>
          <w:lang w:eastAsia="ja-JP"/>
        </w:rPr>
        <w:t xml:space="preserve">population received and differences in first pass metabolism. </w:t>
      </w:r>
      <w:r>
        <w:rPr>
          <w:lang w:eastAsia="ja-JP"/>
        </w:rPr>
        <w:t>T</w:t>
      </w:r>
      <w:r w:rsidRPr="00A613A8">
        <w:rPr>
          <w:lang w:eastAsia="ja-JP"/>
        </w:rPr>
        <w:t>he intra- subject</w:t>
      </w:r>
      <w:r>
        <w:rPr>
          <w:lang w:eastAsia="ja-JP"/>
        </w:rPr>
        <w:t xml:space="preserve"> </w:t>
      </w:r>
      <w:r w:rsidRPr="00A613A8">
        <w:rPr>
          <w:lang w:eastAsia="ja-JP"/>
        </w:rPr>
        <w:t>variability</w:t>
      </w:r>
      <w:r>
        <w:rPr>
          <w:lang w:eastAsia="ja-JP"/>
        </w:rPr>
        <w:t xml:space="preserve"> was</w:t>
      </w:r>
      <w:r w:rsidRPr="00A613A8">
        <w:rPr>
          <w:lang w:eastAsia="ja-JP"/>
        </w:rPr>
        <w:t xml:space="preserve"> explained by the short metabolite</w:t>
      </w:r>
      <w:r>
        <w:rPr>
          <w:lang w:eastAsia="ja-JP"/>
        </w:rPr>
        <w:t xml:space="preserve"> </w:t>
      </w:r>
      <w:r w:rsidRPr="00A613A8">
        <w:rPr>
          <w:lang w:eastAsia="ja-JP"/>
        </w:rPr>
        <w:t>half-life and limits the utility of random measurement of plasma metabolite.</w:t>
      </w:r>
    </w:p>
    <w:p w14:paraId="01158C13" w14:textId="77777777" w:rsidR="00436B89" w:rsidRDefault="00436B89" w:rsidP="00177802">
      <w:pPr>
        <w:pStyle w:val="Heading4"/>
        <w:numPr>
          <w:ilvl w:val="2"/>
          <w:numId w:val="5"/>
        </w:numPr>
      </w:pPr>
      <w:r w:rsidRPr="00A613A8">
        <w:t>Pharmacokinetics in the target population</w:t>
      </w:r>
      <w:bookmarkEnd w:id="124"/>
      <w:bookmarkEnd w:id="125"/>
      <w:bookmarkEnd w:id="126"/>
      <w:bookmarkEnd w:id="127"/>
      <w:bookmarkEnd w:id="128"/>
      <w:bookmarkEnd w:id="129"/>
      <w:bookmarkEnd w:id="130"/>
      <w:bookmarkEnd w:id="131"/>
      <w:bookmarkEnd w:id="132"/>
    </w:p>
    <w:p w14:paraId="32AB7378" w14:textId="77777777" w:rsidR="00436B89" w:rsidRPr="00A613A8" w:rsidRDefault="00436B89" w:rsidP="00177802">
      <w:pPr>
        <w:pStyle w:val="Heading5"/>
        <w:numPr>
          <w:ilvl w:val="3"/>
          <w:numId w:val="5"/>
        </w:numPr>
        <w:tabs>
          <w:tab w:val="clear" w:pos="1418"/>
          <w:tab w:val="num" w:pos="1191"/>
        </w:tabs>
        <w:ind w:left="1191"/>
        <w:rPr>
          <w:lang w:eastAsia="en-AU"/>
        </w:rPr>
      </w:pPr>
      <w:r w:rsidRPr="00A613A8">
        <w:rPr>
          <w:lang w:eastAsia="en-AU"/>
        </w:rPr>
        <w:t>Lee 2010</w:t>
      </w:r>
    </w:p>
    <w:p w14:paraId="76798FC5" w14:textId="77777777" w:rsidR="00436B89" w:rsidRPr="00B27069" w:rsidRDefault="00436B89" w:rsidP="00436B89">
      <w:pPr>
        <w:rPr>
          <w:i/>
          <w:lang w:eastAsia="en-AU"/>
        </w:rPr>
      </w:pPr>
      <w:r w:rsidRPr="00B27069">
        <w:rPr>
          <w:i/>
          <w:lang w:eastAsia="en-AU"/>
        </w:rPr>
        <w:t xml:space="preserve">Lee B, Rhead W, Diaz GA, </w:t>
      </w:r>
      <w:proofErr w:type="gramStart"/>
      <w:r w:rsidRPr="00B27069">
        <w:rPr>
          <w:i/>
          <w:lang w:eastAsia="en-AU"/>
        </w:rPr>
        <w:t>Scharschmidt</w:t>
      </w:r>
      <w:proofErr w:type="gramEnd"/>
      <w:r w:rsidRPr="00B27069">
        <w:rPr>
          <w:i/>
          <w:lang w:eastAsia="en-AU"/>
        </w:rPr>
        <w:t xml:space="preserve"> BF, et al.: </w:t>
      </w:r>
      <w:r>
        <w:rPr>
          <w:i/>
          <w:lang w:eastAsia="en-AU"/>
        </w:rPr>
        <w:t>Phase II</w:t>
      </w:r>
      <w:r w:rsidRPr="00B27069">
        <w:rPr>
          <w:i/>
          <w:lang w:eastAsia="en-AU"/>
        </w:rPr>
        <w:t xml:space="preserve"> comparison of a novel ammonia scavenging agent with sodium phenylbutyrate in patients with urea cycle disorders: safety, pharmacokinetics and ammonia control. Mol Genet Metab 2010; 100(3): 221-8</w:t>
      </w:r>
    </w:p>
    <w:p w14:paraId="308D615B" w14:textId="77777777" w:rsidR="00436B89" w:rsidRPr="00A613A8" w:rsidRDefault="00436B89" w:rsidP="00436B89">
      <w:pPr>
        <w:rPr>
          <w:lang w:eastAsia="en-AU"/>
        </w:rPr>
      </w:pPr>
      <w:r w:rsidRPr="00A613A8">
        <w:rPr>
          <w:lang w:eastAsia="en-AU"/>
        </w:rPr>
        <w:t xml:space="preserve">Glycerol phenylbutyrate was compared with sodium phenylbutyrate in a </w:t>
      </w:r>
      <w:r>
        <w:rPr>
          <w:lang w:eastAsia="en-AU"/>
        </w:rPr>
        <w:t>Phase II</w:t>
      </w:r>
      <w:r w:rsidRPr="00A613A8">
        <w:rPr>
          <w:lang w:eastAsia="en-AU"/>
        </w:rPr>
        <w:t xml:space="preserve">, open label, fixed sequence, switch-over study in patients being treated with sodium phenylbutyrate for a UCD (Lee et al., 2010). Subjects 18 years old or older who had been treated with sodium </w:t>
      </w:r>
      <w:r w:rsidRPr="00A613A8">
        <w:rPr>
          <w:lang w:eastAsia="en-AU"/>
        </w:rPr>
        <w:lastRenderedPageBreak/>
        <w:t>phenylbutyrate for at least 2 weeks were eligible. After enrolment, subjects received sodium phenylbutyrate for at least 7 days, three times daily with meals. Blood ammonia and blood and urine metabolites were compared after 7 days (steady state) of dosing on either drug, both dosed to deliver the same amount of phenylbutyric acid. Ten subjects completed the study. Adverse events were comparable for the two drugs. Systemic exposure (AUC</w:t>
      </w:r>
      <w:r w:rsidRPr="00A613A8">
        <w:rPr>
          <w:vertAlign w:val="subscript"/>
          <w:lang w:eastAsia="en-AU"/>
        </w:rPr>
        <w:t>0-24</w:t>
      </w:r>
      <w:r w:rsidRPr="00A613A8">
        <w:rPr>
          <w:lang w:eastAsia="en-AU"/>
        </w:rPr>
        <w:t xml:space="preserve">) to phenylbutyrate on glycerol phenylbutyrate was 27% lower than on sodium phenylbutyrate (540 </w:t>
      </w:r>
      <w:r>
        <w:rPr>
          <w:lang w:eastAsia="en-AU"/>
        </w:rPr>
        <w:t>versus</w:t>
      </w:r>
      <w:r w:rsidRPr="00A613A8">
        <w:rPr>
          <w:lang w:eastAsia="en-AU"/>
        </w:rPr>
        <w:t xml:space="preserve"> 739 µg.h/mL), whereas exposure to phenylacetate (575 </w:t>
      </w:r>
      <w:r>
        <w:rPr>
          <w:lang w:eastAsia="en-AU"/>
        </w:rPr>
        <w:t>versus</w:t>
      </w:r>
      <w:r w:rsidRPr="00A613A8">
        <w:rPr>
          <w:lang w:eastAsia="en-AU"/>
        </w:rPr>
        <w:t xml:space="preserve"> 596 µg.h/mL) and phenylacetylglutamine (1098 </w:t>
      </w:r>
      <w:r>
        <w:rPr>
          <w:lang w:eastAsia="en-AU"/>
        </w:rPr>
        <w:t>versus</w:t>
      </w:r>
      <w:r w:rsidRPr="00A613A8">
        <w:rPr>
          <w:lang w:eastAsia="en-AU"/>
        </w:rPr>
        <w:t xml:space="preserve"> 1133 µg.h mL) were similar (</w:t>
      </w:r>
      <w:r>
        <w:rPr>
          <w:lang w:eastAsia="en-AU"/>
        </w:rPr>
        <w:t>Figure 8</w:t>
      </w:r>
      <w:r w:rsidRPr="00A613A8">
        <w:rPr>
          <w:lang w:eastAsia="en-AU"/>
        </w:rPr>
        <w:t>). Urinary phenylacetylglutamine excretion accounted for approximately 54% of phenylbutyrate administered for both sodium phenylbutyrate and glycerol phenylbutyrate; other metabolites accounted for &lt;1%. Blood ammonia correlated strongly and inversely with urinary phenylacetylglutamine (r=-0.82; P&lt;0.0001) but not with blood metabolite levels.</w:t>
      </w:r>
    </w:p>
    <w:p w14:paraId="3ADCA7C4" w14:textId="77777777" w:rsidR="00436B89" w:rsidRPr="00A613A8" w:rsidRDefault="00436B89" w:rsidP="00C64237">
      <w:pPr>
        <w:pStyle w:val="FigureTitle"/>
        <w:rPr>
          <w:lang w:eastAsia="en-AU"/>
        </w:rPr>
      </w:pPr>
      <w:bookmarkStart w:id="133" w:name="_Ref457765067"/>
      <w:bookmarkStart w:id="134" w:name="_Toc473013990"/>
      <w:r w:rsidRPr="00A613A8">
        <w:t xml:space="preserve">Figure </w:t>
      </w:r>
      <w:r>
        <w:t>8:</w:t>
      </w:r>
      <w:bookmarkEnd w:id="133"/>
      <w:r w:rsidRPr="00A613A8">
        <w:rPr>
          <w:lang w:eastAsia="ja-JP"/>
        </w:rPr>
        <w:t xml:space="preserve"> </w:t>
      </w:r>
      <w:r w:rsidRPr="00A613A8">
        <w:rPr>
          <w:lang w:eastAsia="en-AU"/>
        </w:rPr>
        <w:t>Plasma phenylbutyric acid (PBA), (B) phenylacetic acid (PAA) and (C) phenylacetylglutamine (PAGN) measured for 24 h following one week of oral sodium phenylbutyrate (NaPB) and glycerol phenylbutyrate administration for one week (Lee 2010)</w:t>
      </w:r>
      <w:bookmarkEnd w:id="134"/>
    </w:p>
    <w:p w14:paraId="3E1CDD86" w14:textId="77777777" w:rsidR="00436B89" w:rsidRPr="00A613A8" w:rsidRDefault="00436B89" w:rsidP="00436B89">
      <w:pPr>
        <w:autoSpaceDE w:val="0"/>
        <w:autoSpaceDN w:val="0"/>
        <w:adjustRightInd w:val="0"/>
        <w:spacing w:before="0" w:after="0" w:line="240" w:lineRule="auto"/>
        <w:ind w:left="360"/>
        <w:rPr>
          <w:rFonts w:ascii="TimesNewRomanPS-BoldMT" w:hAnsi="TimesNewRomanPS-BoldMT" w:cs="TimesNewRomanPS-BoldMT"/>
          <w:b/>
          <w:bCs/>
          <w:lang w:eastAsia="en-AU"/>
        </w:rPr>
      </w:pPr>
      <w:r>
        <w:rPr>
          <w:rFonts w:ascii="TimesNewRomanPS-BoldMT" w:hAnsi="TimesNewRomanPS-BoldMT" w:cs="TimesNewRomanPS-BoldMT"/>
          <w:b/>
          <w:bCs/>
          <w:noProof/>
          <w:lang w:eastAsia="en-AU"/>
        </w:rPr>
        <w:drawing>
          <wp:inline distT="0" distB="0" distL="0" distR="0" wp14:anchorId="3CB6DDB9" wp14:editId="2EA2A968">
            <wp:extent cx="2998450" cy="5705475"/>
            <wp:effectExtent l="0" t="0" r="0" b="0"/>
            <wp:docPr id="23" name="Picture 23" descr="Figure 8: Plasma phenylbutyric acid (PBA), (B) phenylacetic acid (PAA) and (C) phenylacetylglutamine (PAGN) measured for 24 h following one week of oral sodium phenylbutyrate (NaPB) and glycerol phenylbutyrate administration for one week (Le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3000872" cy="5710083"/>
                    </a:xfrm>
                    <a:prstGeom prst="rect">
                      <a:avLst/>
                    </a:prstGeom>
                    <a:noFill/>
                    <a:ln>
                      <a:noFill/>
                    </a:ln>
                  </pic:spPr>
                </pic:pic>
              </a:graphicData>
            </a:graphic>
          </wp:inline>
        </w:drawing>
      </w:r>
    </w:p>
    <w:p w14:paraId="746B36EB" w14:textId="77777777"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lastRenderedPageBreak/>
        <w:t>Smith 2013</w:t>
      </w:r>
    </w:p>
    <w:p w14:paraId="5026BC06" w14:textId="77777777" w:rsidR="00436B89" w:rsidRPr="00A613A8" w:rsidRDefault="00436B89" w:rsidP="00436B89">
      <w:pPr>
        <w:rPr>
          <w:i/>
          <w:lang w:eastAsia="ja-JP"/>
        </w:rPr>
      </w:pPr>
      <w:r w:rsidRPr="00A613A8">
        <w:rPr>
          <w:i/>
          <w:lang w:eastAsia="ja-JP"/>
        </w:rPr>
        <w:t xml:space="preserve">Smith W et al, Ammonia control in children ages 2 months through 5 years with urea cycle disorders: comparison of sodium phenylbutyrate and glycerol phenylbutyrate. </w:t>
      </w:r>
      <w:proofErr w:type="gramStart"/>
      <w:r w:rsidRPr="00A613A8">
        <w:rPr>
          <w:i/>
          <w:lang w:eastAsia="ja-JP"/>
        </w:rPr>
        <w:t>Journal of Pediatrics.</w:t>
      </w:r>
      <w:proofErr w:type="gramEnd"/>
      <w:r w:rsidRPr="00A613A8">
        <w:rPr>
          <w:i/>
          <w:lang w:eastAsia="ja-JP"/>
        </w:rPr>
        <w:t xml:space="preserve"> 162(6):1228-34, 1234.e1, 2013.</w:t>
      </w:r>
    </w:p>
    <w:p w14:paraId="79080652" w14:textId="77777777" w:rsidR="00436B89" w:rsidRPr="00A613A8" w:rsidRDefault="00436B89" w:rsidP="00436B89">
      <w:pPr>
        <w:rPr>
          <w:lang w:eastAsia="ja-JP"/>
        </w:rPr>
      </w:pPr>
      <w:r w:rsidRPr="00A613A8">
        <w:rPr>
          <w:lang w:eastAsia="ja-JP"/>
        </w:rPr>
        <w:t>In an open label switch-over study, Smith et al. examined ammonia levels, pharmacokinetics, and safety of glycerol phenylbutyrate and sodium phenylbutyrate in young children with UCDs (Smith et al., 2013). Eligible patients included children aged below 6 years with a confirmed or clinically suspected UCD who had been receiving a stable dose of sodium phenylbutyrate powder for at least 5 days. Patients underwent 24- hour blood and urine sampling on sodium phenylbutyrate and again on a phenylbutyric acid-equimolar dose of glycerol phenylbutyrate and completed questionnaires regarding signs and symptoms associated with sodium phenylbutyrate and/or their UCD. Mean systemic exposure to phenylbutyric acid, phenylacetic acid, and phenylacetylglutamine was similar (</w:t>
      </w:r>
      <w:r>
        <w:rPr>
          <w:lang w:eastAsia="ja-JP"/>
        </w:rPr>
        <w:t>Figure 9</w:t>
      </w:r>
      <w:r w:rsidRPr="00A613A8">
        <w:rPr>
          <w:lang w:eastAsia="ja-JP"/>
        </w:rPr>
        <w:t>).</w:t>
      </w:r>
    </w:p>
    <w:p w14:paraId="43E77751" w14:textId="77777777" w:rsidR="00436B89" w:rsidRPr="00A613A8" w:rsidRDefault="00436B89" w:rsidP="00C64237">
      <w:pPr>
        <w:pStyle w:val="FigureTitle"/>
        <w:rPr>
          <w:lang w:eastAsia="ja-JP"/>
        </w:rPr>
      </w:pPr>
      <w:bookmarkStart w:id="135" w:name="_Ref457765080"/>
      <w:bookmarkStart w:id="136" w:name="_Toc473013991"/>
      <w:r w:rsidRPr="00A613A8">
        <w:t xml:space="preserve">Figure </w:t>
      </w:r>
      <w:r>
        <w:t>9:</w:t>
      </w:r>
      <w:bookmarkEnd w:id="135"/>
      <w:r w:rsidRPr="00A613A8">
        <w:rPr>
          <w:lang w:eastAsia="ja-JP"/>
        </w:rPr>
        <w:t xml:space="preserve"> </w:t>
      </w:r>
      <w:r w:rsidRPr="00A613A8">
        <w:rPr>
          <w:lang w:eastAsia="en-AU"/>
        </w:rPr>
        <w:t>Systemic exposure to phenylbutyrate and phenylacetate during dosing with sodium phenylbutyrate (NaPB) and glycerol phenylbutyrate (GPB), resulting in similar levels (Smith 2013)</w:t>
      </w:r>
      <w:bookmarkEnd w:id="136"/>
    </w:p>
    <w:p w14:paraId="21D93E43" w14:textId="77777777" w:rsidR="00436B89" w:rsidRPr="00A613A8" w:rsidRDefault="00436B89" w:rsidP="00436B89">
      <w:pPr>
        <w:rPr>
          <w:lang w:eastAsia="ja-JP"/>
        </w:rPr>
      </w:pPr>
      <w:r>
        <w:rPr>
          <w:noProof/>
          <w:lang w:eastAsia="en-AU"/>
        </w:rPr>
        <w:drawing>
          <wp:inline distT="0" distB="0" distL="0" distR="0" wp14:anchorId="0B91AA1C" wp14:editId="6E379969">
            <wp:extent cx="5188688" cy="1699624"/>
            <wp:effectExtent l="0" t="0" r="0" b="0"/>
            <wp:docPr id="24" name="Picture 24" descr="Figure 9: Systemic exposure to phenylbutyrate and phenylacetate during dosing with sodium phenylbutyrate (NaPB) and glycerol phenylbutyrate (GPB), resulting in similar levels (Smit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lum bright="-20000" contrast="40000"/>
                      <a:extLst>
                        <a:ext uri="{28A0092B-C50C-407E-A947-70E740481C1C}">
                          <a14:useLocalDpi xmlns:a14="http://schemas.microsoft.com/office/drawing/2010/main" val="0"/>
                        </a:ext>
                      </a:extLst>
                    </a:blip>
                    <a:srcRect/>
                    <a:stretch>
                      <a:fillRect/>
                    </a:stretch>
                  </pic:blipFill>
                  <pic:spPr bwMode="auto">
                    <a:xfrm>
                      <a:off x="0" y="0"/>
                      <a:ext cx="5197533" cy="1702521"/>
                    </a:xfrm>
                    <a:prstGeom prst="rect">
                      <a:avLst/>
                    </a:prstGeom>
                    <a:noFill/>
                    <a:ln>
                      <a:noFill/>
                    </a:ln>
                  </pic:spPr>
                </pic:pic>
              </a:graphicData>
            </a:graphic>
          </wp:inline>
        </w:drawing>
      </w:r>
    </w:p>
    <w:p w14:paraId="26365008" w14:textId="77777777" w:rsidR="00436B89" w:rsidRPr="00A613A8" w:rsidRDefault="00436B89" w:rsidP="00177802">
      <w:pPr>
        <w:pStyle w:val="Heading4"/>
        <w:numPr>
          <w:ilvl w:val="2"/>
          <w:numId w:val="5"/>
        </w:numPr>
      </w:pPr>
      <w:bookmarkStart w:id="137" w:name="_Toc241374293"/>
      <w:bookmarkStart w:id="138" w:name="_Toc272414626"/>
      <w:bookmarkStart w:id="139" w:name="_Toc290888475"/>
      <w:bookmarkStart w:id="140" w:name="_Toc416353671"/>
      <w:bookmarkStart w:id="141" w:name="_Toc421005246"/>
      <w:bookmarkStart w:id="142" w:name="_Toc432079128"/>
      <w:bookmarkStart w:id="143" w:name="_Toc432080701"/>
      <w:r w:rsidRPr="00A613A8">
        <w:t>Pharmacokinetics in special populations</w:t>
      </w:r>
      <w:bookmarkEnd w:id="137"/>
      <w:bookmarkEnd w:id="138"/>
      <w:bookmarkEnd w:id="139"/>
      <w:bookmarkEnd w:id="140"/>
      <w:bookmarkEnd w:id="141"/>
      <w:bookmarkEnd w:id="142"/>
      <w:bookmarkEnd w:id="143"/>
    </w:p>
    <w:p w14:paraId="0CA90585" w14:textId="77777777" w:rsidR="00436B89" w:rsidRPr="00A613A8" w:rsidRDefault="00436B89" w:rsidP="00177802">
      <w:pPr>
        <w:pStyle w:val="Heading5"/>
        <w:numPr>
          <w:ilvl w:val="3"/>
          <w:numId w:val="5"/>
        </w:numPr>
        <w:tabs>
          <w:tab w:val="clear" w:pos="1418"/>
          <w:tab w:val="num" w:pos="1191"/>
        </w:tabs>
        <w:ind w:left="1191"/>
      </w:pPr>
      <w:bookmarkStart w:id="144" w:name="_Toc272414627"/>
      <w:bookmarkStart w:id="145" w:name="_Toc290888476"/>
      <w:bookmarkStart w:id="146" w:name="_Toc416353672"/>
      <w:bookmarkStart w:id="147" w:name="_Ref458292513"/>
      <w:bookmarkStart w:id="148" w:name="_Ref458292527"/>
      <w:r w:rsidRPr="00A613A8">
        <w:t>Pharmacokinetics in subjects with impaired hepatic function</w:t>
      </w:r>
      <w:bookmarkEnd w:id="144"/>
      <w:bookmarkEnd w:id="145"/>
      <w:bookmarkEnd w:id="146"/>
      <w:bookmarkEnd w:id="147"/>
      <w:bookmarkEnd w:id="148"/>
    </w:p>
    <w:p w14:paraId="4B458526" w14:textId="77777777" w:rsidR="00436B89" w:rsidRPr="00A613A8" w:rsidRDefault="00436B89" w:rsidP="00436B89">
      <w:pPr>
        <w:rPr>
          <w:lang w:eastAsia="ja-JP"/>
        </w:rPr>
      </w:pPr>
      <w:bookmarkStart w:id="149" w:name="_Toc272414628"/>
      <w:bookmarkStart w:id="150" w:name="_Toc290888477"/>
      <w:bookmarkStart w:id="151" w:name="_Toc416353673"/>
      <w:r w:rsidRPr="00A613A8">
        <w:rPr>
          <w:lang w:eastAsia="ja-JP"/>
        </w:rPr>
        <w:t>In male patients with hepatic cirrhosis after oral administration of 20 g/day sodium phenylbutyrate in three doses, plasma levels of phenylbutyrate followed the peak and trough pattern familiar from healthy subjects and UCD patients (EMEA 2005). The conversion to phenylacetylglutamine was relatively slower as evidenced by progressive accumulation of phenylacetate in 3 out of the 6 patients, and phenylbutyrate and phenylacetate were detected in urine. This suggests that in patients with cirrhosis the capacity of the metabolic pathway of phenylacetate is reduced.</w:t>
      </w:r>
    </w:p>
    <w:p w14:paraId="4511E7BC" w14:textId="77777777" w:rsidR="00436B89" w:rsidRPr="00A613A8" w:rsidRDefault="00436B89" w:rsidP="00177802">
      <w:pPr>
        <w:pStyle w:val="Heading5"/>
        <w:numPr>
          <w:ilvl w:val="3"/>
          <w:numId w:val="5"/>
        </w:numPr>
        <w:tabs>
          <w:tab w:val="clear" w:pos="1418"/>
          <w:tab w:val="num" w:pos="1191"/>
        </w:tabs>
        <w:ind w:left="1191"/>
      </w:pPr>
      <w:r w:rsidRPr="00A613A8">
        <w:t>Pharmacokinetics in subjects with impaired renal function</w:t>
      </w:r>
      <w:bookmarkEnd w:id="149"/>
      <w:bookmarkEnd w:id="150"/>
      <w:bookmarkEnd w:id="151"/>
    </w:p>
    <w:p w14:paraId="5AF3E479" w14:textId="0705DDFB" w:rsidR="00436B89" w:rsidRPr="00A613A8" w:rsidRDefault="00436B89" w:rsidP="00436B89">
      <w:pPr>
        <w:rPr>
          <w:lang w:eastAsia="ja-JP"/>
        </w:rPr>
      </w:pPr>
      <w:bookmarkStart w:id="152" w:name="_Toc272414629"/>
      <w:bookmarkStart w:id="153" w:name="_Toc290888478"/>
      <w:bookmarkStart w:id="154" w:name="_Toc416353674"/>
      <w:r w:rsidRPr="00A613A8">
        <w:rPr>
          <w:lang w:eastAsia="ja-JP"/>
        </w:rPr>
        <w:t>The pharmacokinetics of phenylbutyrate has not been studied in patients with renal impairment.</w:t>
      </w:r>
      <w:r>
        <w:rPr>
          <w:lang w:eastAsia="ja-JP"/>
        </w:rPr>
        <w:t xml:space="preserve"> However, given that the major metabolite phenylacetylglutamine is excreted via the kidneys, caution wo</w:t>
      </w:r>
      <w:r w:rsidR="001C4E1A">
        <w:rPr>
          <w:lang w:eastAsia="ja-JP"/>
        </w:rPr>
        <w:t>u</w:t>
      </w:r>
      <w:r>
        <w:rPr>
          <w:lang w:eastAsia="ja-JP"/>
        </w:rPr>
        <w:t xml:space="preserve">ld be advised in prescribing in patients with renal impairment. </w:t>
      </w:r>
    </w:p>
    <w:p w14:paraId="5990D33E" w14:textId="77777777" w:rsidR="00436B89" w:rsidRPr="00A613A8" w:rsidRDefault="00436B89" w:rsidP="00177802">
      <w:pPr>
        <w:pStyle w:val="Heading5"/>
        <w:numPr>
          <w:ilvl w:val="3"/>
          <w:numId w:val="5"/>
        </w:numPr>
        <w:tabs>
          <w:tab w:val="clear" w:pos="1418"/>
          <w:tab w:val="num" w:pos="1191"/>
        </w:tabs>
        <w:ind w:left="1191"/>
      </w:pPr>
      <w:r w:rsidRPr="00A613A8">
        <w:t>Pharmacokinetics according to age</w:t>
      </w:r>
      <w:bookmarkEnd w:id="152"/>
      <w:bookmarkEnd w:id="153"/>
      <w:bookmarkEnd w:id="154"/>
    </w:p>
    <w:p w14:paraId="2404D0D6" w14:textId="77777777" w:rsidR="00436B89" w:rsidRPr="00A613A8" w:rsidRDefault="00436B89" w:rsidP="00436B89">
      <w:r w:rsidRPr="00A613A8">
        <w:t xml:space="preserve">Pharmacokinetic data from </w:t>
      </w:r>
      <w:r>
        <w:t>2</w:t>
      </w:r>
      <w:r w:rsidRPr="00A613A8">
        <w:t xml:space="preserve"> months into adulthood were described.</w:t>
      </w:r>
    </w:p>
    <w:p w14:paraId="67CC5704" w14:textId="77777777" w:rsidR="00436B89" w:rsidRPr="00A613A8" w:rsidRDefault="00436B89" w:rsidP="00436B89">
      <w:r w:rsidRPr="00A613A8">
        <w:t xml:space="preserve">No data in elderly </w:t>
      </w:r>
      <w:r>
        <w:t>patients</w:t>
      </w:r>
      <w:r w:rsidRPr="00A613A8">
        <w:t xml:space="preserve"> were presented.</w:t>
      </w:r>
    </w:p>
    <w:p w14:paraId="253313EA" w14:textId="77777777" w:rsidR="00436B89" w:rsidRPr="00A613A8" w:rsidRDefault="00436B89" w:rsidP="00177802">
      <w:pPr>
        <w:pStyle w:val="Heading5"/>
        <w:numPr>
          <w:ilvl w:val="3"/>
          <w:numId w:val="5"/>
        </w:numPr>
        <w:tabs>
          <w:tab w:val="clear" w:pos="1418"/>
          <w:tab w:val="num" w:pos="1191"/>
        </w:tabs>
        <w:ind w:left="1191"/>
      </w:pPr>
      <w:bookmarkStart w:id="155" w:name="_Toc272414630"/>
      <w:bookmarkStart w:id="156" w:name="_Toc290888479"/>
      <w:bookmarkStart w:id="157" w:name="_Toc416353675"/>
      <w:r w:rsidRPr="00A613A8">
        <w:t>Pharmacokinetics related to genetic factors</w:t>
      </w:r>
      <w:bookmarkEnd w:id="155"/>
      <w:bookmarkEnd w:id="156"/>
      <w:bookmarkEnd w:id="157"/>
    </w:p>
    <w:p w14:paraId="338FBB38" w14:textId="77777777" w:rsidR="00436B89" w:rsidRPr="00A613A8" w:rsidRDefault="00436B89" w:rsidP="00436B89">
      <w:r w:rsidRPr="00A613A8">
        <w:t>No pharmacogenomics studies were presented</w:t>
      </w:r>
      <w:r>
        <w:t>.</w:t>
      </w:r>
    </w:p>
    <w:p w14:paraId="2C0E2A90" w14:textId="77777777" w:rsidR="00436B89" w:rsidRPr="00A613A8" w:rsidRDefault="00436B89" w:rsidP="00177802">
      <w:pPr>
        <w:pStyle w:val="Heading5"/>
        <w:numPr>
          <w:ilvl w:val="3"/>
          <w:numId w:val="5"/>
        </w:numPr>
        <w:tabs>
          <w:tab w:val="clear" w:pos="1418"/>
          <w:tab w:val="num" w:pos="1191"/>
        </w:tabs>
        <w:ind w:left="1191"/>
      </w:pPr>
      <w:bookmarkStart w:id="158" w:name="_Toc272414631"/>
      <w:bookmarkStart w:id="159" w:name="_Toc290888480"/>
      <w:bookmarkStart w:id="160" w:name="_Toc416353676"/>
      <w:r w:rsidRPr="00A613A8">
        <w:lastRenderedPageBreak/>
        <w:t>Pharmacokinetics in other special populations / with other population characteristic</w:t>
      </w:r>
      <w:bookmarkEnd w:id="158"/>
      <w:bookmarkEnd w:id="159"/>
      <w:bookmarkEnd w:id="160"/>
      <w:r w:rsidRPr="00A613A8">
        <w:t>s</w:t>
      </w:r>
    </w:p>
    <w:p w14:paraId="36839A46" w14:textId="77777777" w:rsidR="00436B89" w:rsidRPr="00A613A8" w:rsidRDefault="00436B89" w:rsidP="00436B89">
      <w:r w:rsidRPr="00A613A8">
        <w:t>No other studies were presented</w:t>
      </w:r>
    </w:p>
    <w:p w14:paraId="71C23F9A" w14:textId="77777777" w:rsidR="00436B89" w:rsidRPr="00A613A8" w:rsidRDefault="00436B89" w:rsidP="00177802">
      <w:pPr>
        <w:pStyle w:val="Heading4"/>
        <w:numPr>
          <w:ilvl w:val="2"/>
          <w:numId w:val="5"/>
        </w:numPr>
      </w:pPr>
      <w:bookmarkStart w:id="161" w:name="_Toc416353677"/>
      <w:bookmarkStart w:id="162" w:name="_Toc421005247"/>
      <w:bookmarkStart w:id="163" w:name="_Toc432079129"/>
      <w:bookmarkStart w:id="164" w:name="_Toc432080702"/>
      <w:r w:rsidRPr="00A613A8">
        <w:t>Population pharmacokinetics</w:t>
      </w:r>
      <w:bookmarkEnd w:id="161"/>
      <w:bookmarkEnd w:id="162"/>
      <w:bookmarkEnd w:id="163"/>
      <w:bookmarkEnd w:id="164"/>
    </w:p>
    <w:p w14:paraId="440EDE6C" w14:textId="77777777" w:rsidR="00436B89" w:rsidRPr="00A613A8" w:rsidRDefault="00436B89" w:rsidP="00177802">
      <w:pPr>
        <w:pStyle w:val="Heading5"/>
        <w:numPr>
          <w:ilvl w:val="3"/>
          <w:numId w:val="5"/>
        </w:numPr>
        <w:tabs>
          <w:tab w:val="clear" w:pos="1418"/>
          <w:tab w:val="num" w:pos="1191"/>
        </w:tabs>
        <w:ind w:left="1191"/>
        <w:rPr>
          <w:lang w:eastAsia="ja-JP"/>
        </w:rPr>
      </w:pPr>
      <w:bookmarkStart w:id="165" w:name="_Toc421005248"/>
      <w:r w:rsidRPr="00A613A8">
        <w:rPr>
          <w:lang w:eastAsia="ja-JP"/>
        </w:rPr>
        <w:t>Monteleone 2012</w:t>
      </w:r>
    </w:p>
    <w:p w14:paraId="0977A93C" w14:textId="77777777" w:rsidR="00436B89" w:rsidRPr="00D00AEF" w:rsidRDefault="00436B89" w:rsidP="00436B89">
      <w:pPr>
        <w:rPr>
          <w:i/>
          <w:lang w:eastAsia="ja-JP"/>
        </w:rPr>
      </w:pPr>
      <w:r w:rsidRPr="00D00AEF">
        <w:rPr>
          <w:i/>
          <w:lang w:eastAsia="ja-JP"/>
        </w:rPr>
        <w:t>Monteleone J.P.R. et al, Population PK analysis of glycerol phenylbutyrate (GPB) and sodium phenylbutyrate(NAPB) in adult and pediatric patients with urea cycle disorders (UCD)Molecular Genetics and Metabolism (2012) 105:3 (343-344).</w:t>
      </w:r>
    </w:p>
    <w:p w14:paraId="4EA407A9" w14:textId="77777777" w:rsidR="00436B89" w:rsidRPr="00A613A8" w:rsidRDefault="00436B89" w:rsidP="00436B89">
      <w:pPr>
        <w:rPr>
          <w:lang w:eastAsia="ja-JP"/>
        </w:rPr>
      </w:pPr>
      <w:r w:rsidRPr="00A613A8">
        <w:rPr>
          <w:lang w:eastAsia="ja-JP"/>
        </w:rPr>
        <w:t xml:space="preserve">Population PK model building was performed using NONMEM (version 7.2) based on 2981 (PBA, PAA, PAGN and urine PAGN [UPAGN])) data points from 53 adult and 11 paediatric UCD patients (ages 6-17) who participated in </w:t>
      </w:r>
      <w:r>
        <w:rPr>
          <w:lang w:eastAsia="ja-JP"/>
        </w:rPr>
        <w:t>Phase II</w:t>
      </w:r>
      <w:r w:rsidRPr="00A613A8">
        <w:rPr>
          <w:lang w:eastAsia="ja-JP"/>
        </w:rPr>
        <w:t xml:space="preserve"> </w:t>
      </w:r>
      <w:r>
        <w:rPr>
          <w:lang w:eastAsia="ja-JP"/>
        </w:rPr>
        <w:t>(UP 1204-003; HPN-100- 005) or P</w:t>
      </w:r>
      <w:r w:rsidRPr="00A613A8">
        <w:rPr>
          <w:lang w:eastAsia="ja-JP"/>
        </w:rPr>
        <w:t xml:space="preserve">hase </w:t>
      </w:r>
      <w:r>
        <w:rPr>
          <w:lang w:eastAsia="ja-JP"/>
        </w:rPr>
        <w:t>III</w:t>
      </w:r>
      <w:r w:rsidRPr="00A613A8">
        <w:rPr>
          <w:lang w:eastAsia="ja-JP"/>
        </w:rPr>
        <w:t xml:space="preserve"> (HPN-100-006) switchover comparisons of the pharmacokinetics of NaPB and GPB. </w:t>
      </w:r>
    </w:p>
    <w:p w14:paraId="05C6C653" w14:textId="77777777" w:rsidR="00436B89" w:rsidRPr="00A613A8" w:rsidRDefault="00436B89" w:rsidP="00436B89">
      <w:pPr>
        <w:rPr>
          <w:lang w:eastAsia="ja-JP"/>
        </w:rPr>
      </w:pPr>
      <w:r w:rsidRPr="00A613A8">
        <w:rPr>
          <w:lang w:eastAsia="ja-JP"/>
        </w:rPr>
        <w:t xml:space="preserve">The main objective of this PK modelling was to compare GPB with NaPB as the registered product. Via this process, useful information in relation to NaPB is also provided. Using the final popPK model and parameter estimates, Monte Carlo simulations were performed in ∼1000 virtual patients for a range of NaPB and GPB doses to predict systemic metabolite exposure and UPAGN output. The final model that best fit the data was </w:t>
      </w:r>
      <w:r>
        <w:rPr>
          <w:lang w:eastAsia="ja-JP"/>
        </w:rPr>
        <w:t>characterised</w:t>
      </w:r>
      <w:r w:rsidRPr="00A613A8">
        <w:rPr>
          <w:lang w:eastAsia="ja-JP"/>
        </w:rPr>
        <w:t xml:space="preserve"> by</w:t>
      </w:r>
    </w:p>
    <w:p w14:paraId="35B30F28" w14:textId="77777777" w:rsidR="00436B89" w:rsidRPr="00A613A8" w:rsidRDefault="00436B89" w:rsidP="00177802">
      <w:pPr>
        <w:pStyle w:val="Numberbullet2"/>
        <w:numPr>
          <w:ilvl w:val="1"/>
          <w:numId w:val="7"/>
        </w:numPr>
        <w:rPr>
          <w:lang w:eastAsia="ja-JP"/>
        </w:rPr>
      </w:pPr>
      <w:r w:rsidRPr="00A613A8">
        <w:rPr>
          <w:lang w:eastAsia="ja-JP"/>
        </w:rPr>
        <w:t>partial conversion of PBA to PAGN prior to reaching the systemic circulation</w:t>
      </w:r>
    </w:p>
    <w:p w14:paraId="3159436E" w14:textId="77777777" w:rsidR="00436B89" w:rsidRPr="00A613A8" w:rsidRDefault="00436B89" w:rsidP="00177802">
      <w:pPr>
        <w:pStyle w:val="Numberbullet2"/>
        <w:numPr>
          <w:ilvl w:val="1"/>
          <w:numId w:val="7"/>
        </w:numPr>
        <w:rPr>
          <w:lang w:eastAsia="ja-JP"/>
        </w:rPr>
      </w:pPr>
      <w:r w:rsidRPr="00A613A8">
        <w:rPr>
          <w:lang w:eastAsia="ja-JP"/>
        </w:rPr>
        <w:t>saturable conversion of PAA to PAGN (Km ∼161 μg/ml)</w:t>
      </w:r>
    </w:p>
    <w:p w14:paraId="487C9AE4" w14:textId="77777777" w:rsidR="00436B89" w:rsidRPr="00A613A8" w:rsidRDefault="00436B89" w:rsidP="00177802">
      <w:pPr>
        <w:pStyle w:val="Numberbullet2"/>
        <w:numPr>
          <w:ilvl w:val="1"/>
          <w:numId w:val="7"/>
        </w:numPr>
        <w:rPr>
          <w:lang w:eastAsia="ja-JP"/>
        </w:rPr>
      </w:pPr>
      <w:r w:rsidRPr="00A613A8">
        <w:rPr>
          <w:lang w:eastAsia="ja-JP"/>
        </w:rPr>
        <w:t xml:space="preserve">∼60% slower PBA absorption when delivered as GPB </w:t>
      </w:r>
      <w:r>
        <w:rPr>
          <w:lang w:eastAsia="ja-JP"/>
        </w:rPr>
        <w:t>versus</w:t>
      </w:r>
      <w:r w:rsidRPr="00A613A8">
        <w:rPr>
          <w:lang w:eastAsia="ja-JP"/>
        </w:rPr>
        <w:t xml:space="preserve"> NaPB.</w:t>
      </w:r>
    </w:p>
    <w:p w14:paraId="6F4F050D" w14:textId="77777777" w:rsidR="00436B89" w:rsidRPr="00A613A8" w:rsidRDefault="00436B89" w:rsidP="00436B89">
      <w:pPr>
        <w:rPr>
          <w:lang w:eastAsia="ja-JP"/>
        </w:rPr>
      </w:pPr>
      <w:r w:rsidRPr="00A613A8">
        <w:rPr>
          <w:lang w:eastAsia="ja-JP"/>
        </w:rPr>
        <w:t>Body size (</w:t>
      </w:r>
      <w:r>
        <w:rPr>
          <w:lang w:eastAsia="ja-JP"/>
        </w:rPr>
        <w:t>that is,</w:t>
      </w:r>
      <w:r w:rsidRPr="00A613A8">
        <w:rPr>
          <w:lang w:eastAsia="ja-JP"/>
        </w:rPr>
        <w:t xml:space="preserve"> BSA) was a significant covariate such that metabolite clearance was proportionally related to BSA, </w:t>
      </w:r>
      <w:r>
        <w:rPr>
          <w:lang w:eastAsia="ja-JP"/>
        </w:rPr>
        <w:t>that is,</w:t>
      </w:r>
      <w:r w:rsidRPr="00A613A8">
        <w:rPr>
          <w:lang w:eastAsia="ja-JP"/>
        </w:rPr>
        <w:t xml:space="preserve"> larger BSA corresponds to more rapid metabolite clearance. Fractional presystemic metabolism of PBA was higher for adults than for</w:t>
      </w:r>
      <w:r>
        <w:rPr>
          <w:lang w:eastAsia="ja-JP"/>
        </w:rPr>
        <w:t xml:space="preserve"> </w:t>
      </w:r>
      <w:r w:rsidRPr="00A613A8">
        <w:rPr>
          <w:lang w:eastAsia="ja-JP"/>
        </w:rPr>
        <w:t>paediatric</w:t>
      </w:r>
      <w:r>
        <w:rPr>
          <w:lang w:eastAsia="ja-JP"/>
        </w:rPr>
        <w:t xml:space="preserve"> patients receiving GPB (43% versus </w:t>
      </w:r>
      <w:r w:rsidRPr="00A613A8">
        <w:rPr>
          <w:lang w:eastAsia="ja-JP"/>
        </w:rPr>
        <w:t>14%), whereas the r</w:t>
      </w:r>
      <w:r>
        <w:rPr>
          <w:lang w:eastAsia="ja-JP"/>
        </w:rPr>
        <w:t xml:space="preserve">everse was true for NaPB (23% versus </w:t>
      </w:r>
      <w:r w:rsidRPr="00A613A8">
        <w:rPr>
          <w:lang w:eastAsia="ja-JP"/>
        </w:rPr>
        <w:t>43%).</w:t>
      </w:r>
    </w:p>
    <w:p w14:paraId="4581B6F6" w14:textId="77777777" w:rsidR="00436B89" w:rsidRPr="00A613A8" w:rsidRDefault="00436B89" w:rsidP="00436B89">
      <w:pPr>
        <w:rPr>
          <w:lang w:eastAsia="ja-JP"/>
        </w:rPr>
      </w:pPr>
      <w:r w:rsidRPr="00A613A8">
        <w:rPr>
          <w:lang w:eastAsia="ja-JP"/>
        </w:rPr>
        <w:t xml:space="preserve">As compared with NaPB, predicted median PAA exposure based on simulated GPB dosing at the PBA equivalent of 13 g/m2 of NaPB was ∼13%-22% lower in adults and ∼13% higher in paediatric subjects ages 6-17; predicted upper 95th percentile PAA exposure was 25%-40% lower for adult subjects on GPB vs NaPB and similar for paediatric subjects. </w:t>
      </w:r>
      <w:proofErr w:type="gramStart"/>
      <w:r w:rsidRPr="00A613A8">
        <w:rPr>
          <w:lang w:eastAsia="ja-JP"/>
        </w:rPr>
        <w:t>Simulated dosing at the PBA equivalent of ∼5 g/m</w:t>
      </w:r>
      <w:r w:rsidRPr="00845727">
        <w:rPr>
          <w:vertAlign w:val="superscript"/>
          <w:lang w:eastAsia="ja-JP"/>
        </w:rPr>
        <w:t>2</w:t>
      </w:r>
      <w:r w:rsidRPr="00A613A8">
        <w:rPr>
          <w:lang w:eastAsia="ja-JP"/>
        </w:rPr>
        <w:t xml:space="preserve"> of NaPB yielded generally similar and less variable predicted PAA exposure for both drugs and for paediatric </w:t>
      </w:r>
      <w:r w:rsidR="00625EDD">
        <w:rPr>
          <w:lang w:eastAsia="ja-JP"/>
        </w:rPr>
        <w:t>and</w:t>
      </w:r>
      <w:r w:rsidRPr="00A613A8">
        <w:rPr>
          <w:lang w:eastAsia="ja-JP"/>
        </w:rPr>
        <w:t xml:space="preserve"> adult patients.</w:t>
      </w:r>
      <w:proofErr w:type="gramEnd"/>
      <w:r w:rsidRPr="00A613A8">
        <w:rPr>
          <w:lang w:eastAsia="ja-JP"/>
        </w:rPr>
        <w:t xml:space="preserve"> Recovery of PBA as UPAGN was very similar whether delivered orally as GPB or NaPB.</w:t>
      </w:r>
    </w:p>
    <w:p w14:paraId="1C54E34C" w14:textId="77777777" w:rsidR="00436B89" w:rsidRPr="00A613A8" w:rsidRDefault="00436B89" w:rsidP="00436B89">
      <w:pPr>
        <w:rPr>
          <w:lang w:eastAsia="ja-JP"/>
        </w:rPr>
      </w:pPr>
      <w:r w:rsidRPr="00A613A8">
        <w:rPr>
          <w:lang w:eastAsia="ja-JP"/>
        </w:rPr>
        <w:t xml:space="preserve">The study </w:t>
      </w:r>
      <w:r>
        <w:rPr>
          <w:lang w:eastAsia="ja-JP"/>
        </w:rPr>
        <w:t>found</w:t>
      </w:r>
      <w:r w:rsidRPr="00A613A8">
        <w:rPr>
          <w:lang w:eastAsia="ja-JP"/>
        </w:rPr>
        <w:t xml:space="preserve"> that PAA to PAGN conversion is saturable, and the higher PAA levels in paediatric as compared with adult UCD patients for both GPB AND NaPB reflect BSA-related changes in PAA clearance and higher per weight dosing in paediatric patients. Differences in the proportion of PBA </w:t>
      </w:r>
      <w:r>
        <w:rPr>
          <w:lang w:eastAsia="ja-JP"/>
        </w:rPr>
        <w:t>metabolised</w:t>
      </w:r>
      <w:r w:rsidRPr="00A613A8">
        <w:rPr>
          <w:lang w:eastAsia="ja-JP"/>
        </w:rPr>
        <w:t xml:space="preserve"> pre-systemically appear to account for the drug-related differences in PAA levels, which are modest in relation to inter-subject variability observed with both drugs. Even with dosing at the upper end of the labelled range for NaPB (</w:t>
      </w:r>
      <w:r>
        <w:rPr>
          <w:lang w:eastAsia="ja-JP"/>
        </w:rPr>
        <w:t>that is,</w:t>
      </w:r>
      <w:r w:rsidRPr="00A613A8">
        <w:rPr>
          <w:lang w:eastAsia="ja-JP"/>
        </w:rPr>
        <w:t xml:space="preserve"> 13 g/m</w:t>
      </w:r>
      <w:r w:rsidRPr="006159CE">
        <w:rPr>
          <w:vertAlign w:val="superscript"/>
          <w:lang w:eastAsia="ja-JP"/>
        </w:rPr>
        <w:t>2</w:t>
      </w:r>
      <w:r w:rsidRPr="00A613A8">
        <w:rPr>
          <w:lang w:eastAsia="ja-JP"/>
        </w:rPr>
        <w:t xml:space="preserve"> of NaPB; not to exceed 20 g/day) where PAA exposure shows greatest variability, the upper 95th percentile for PAA exposure, assessed as C</w:t>
      </w:r>
      <w:r w:rsidRPr="005C3B9A">
        <w:rPr>
          <w:vertAlign w:val="subscript"/>
          <w:lang w:eastAsia="ja-JP"/>
        </w:rPr>
        <w:t>max</w:t>
      </w:r>
      <w:r w:rsidRPr="00A613A8">
        <w:rPr>
          <w:lang w:eastAsia="ja-JP"/>
        </w:rPr>
        <w:t xml:space="preserve">, is </w:t>
      </w:r>
      <w:proofErr w:type="gramStart"/>
      <w:r w:rsidRPr="00A613A8">
        <w:rPr>
          <w:lang w:eastAsia="ja-JP"/>
        </w:rPr>
        <w:t>less than 500 μg/ml</w:t>
      </w:r>
      <w:proofErr w:type="gramEnd"/>
      <w:r w:rsidRPr="00A613A8">
        <w:rPr>
          <w:lang w:eastAsia="ja-JP"/>
        </w:rPr>
        <w:t>.</w:t>
      </w:r>
    </w:p>
    <w:p w14:paraId="7FA08B9C" w14:textId="77777777" w:rsidR="00436B89" w:rsidRDefault="00436B89" w:rsidP="00436B89">
      <w:pPr>
        <w:rPr>
          <w:lang w:eastAsia="ja-JP"/>
        </w:rPr>
      </w:pPr>
      <w:r w:rsidRPr="004915AC">
        <w:rPr>
          <w:lang w:eastAsia="ja-JP"/>
        </w:rPr>
        <w:t xml:space="preserve">The </w:t>
      </w:r>
      <w:r>
        <w:rPr>
          <w:lang w:eastAsia="ja-JP"/>
        </w:rPr>
        <w:t xml:space="preserve">pharmacokinetic </w:t>
      </w:r>
      <w:r w:rsidRPr="004915AC">
        <w:rPr>
          <w:lang w:eastAsia="ja-JP"/>
        </w:rPr>
        <w:t xml:space="preserve">model approximated the biotransformation of GPB and NaPBA; including the absorption of PBA, conversion of PBA to PAA via β‐oxidation, enzymatic conjugation of PAA with glutamine to form PAGN and the urinary excretion of PAGN. Conversion of PAA to PAGN is concentration‐limited, saturable and described using a Michaelis–Menten relationship; whereas, the rate of β‐oxidation of PBA to PAA was </w:t>
      </w:r>
      <w:r>
        <w:rPr>
          <w:lang w:eastAsia="ja-JP"/>
        </w:rPr>
        <w:t>hypothesised</w:t>
      </w:r>
      <w:r w:rsidRPr="004915AC">
        <w:rPr>
          <w:lang w:eastAsia="ja-JP"/>
        </w:rPr>
        <w:t xml:space="preserve"> to be linear due to the widespread prevalence of the enzymes. One hundred percent PBA to PAA conversion via β‐oxidation was assumed, that is, no alternative metabolic pathways were included. The elimination rate for </w:t>
      </w:r>
      <w:r w:rsidRPr="004915AC">
        <w:rPr>
          <w:lang w:eastAsia="ja-JP"/>
        </w:rPr>
        <w:lastRenderedPageBreak/>
        <w:t>PAGN (CLG/VPG) was determined to be a linear process, consistent with renal elimination of PAGN</w:t>
      </w:r>
      <w:r>
        <w:rPr>
          <w:lang w:eastAsia="ja-JP"/>
        </w:rPr>
        <w:t xml:space="preserve"> (Figure 10)</w:t>
      </w:r>
      <w:r w:rsidRPr="004915AC">
        <w:rPr>
          <w:lang w:eastAsia="ja-JP"/>
        </w:rPr>
        <w:t>.</w:t>
      </w:r>
    </w:p>
    <w:p w14:paraId="4D18D7EE" w14:textId="77777777" w:rsidR="00436B89" w:rsidRDefault="00436B89" w:rsidP="00436B89">
      <w:pPr>
        <w:pStyle w:val="FigureTitle"/>
        <w:rPr>
          <w:lang w:eastAsia="ja-JP"/>
        </w:rPr>
      </w:pPr>
      <w:bookmarkStart w:id="166" w:name="_Ref457765155"/>
      <w:bookmarkStart w:id="167" w:name="_Toc473013992"/>
      <w:r>
        <w:t>Figure</w:t>
      </w:r>
      <w:bookmarkEnd w:id="166"/>
      <w:r>
        <w:t xml:space="preserve"> 10:</w:t>
      </w:r>
      <w:r w:rsidRPr="00A613A8">
        <w:rPr>
          <w:lang w:eastAsia="ja-JP"/>
        </w:rPr>
        <w:t xml:space="preserve"> Simultaneous modelling of parent and metabolite data in plasma and urine following administrati</w:t>
      </w:r>
      <w:r>
        <w:rPr>
          <w:lang w:eastAsia="ja-JP"/>
        </w:rPr>
        <w:t>on of two different treatments (</w:t>
      </w:r>
      <w:r w:rsidRPr="00A613A8">
        <w:rPr>
          <w:lang w:eastAsia="ja-JP"/>
        </w:rPr>
        <w:t>Monteleone 2012</w:t>
      </w:r>
      <w:r>
        <w:rPr>
          <w:lang w:eastAsia="ja-JP"/>
        </w:rPr>
        <w:t>)</w:t>
      </w:r>
      <w:bookmarkEnd w:id="167"/>
    </w:p>
    <w:p w14:paraId="4D20B3D4" w14:textId="77777777" w:rsidR="00436B89" w:rsidRPr="00A613A8" w:rsidRDefault="00436B89" w:rsidP="00436B89">
      <w:pPr>
        <w:rPr>
          <w:lang w:eastAsia="ja-JP"/>
        </w:rPr>
      </w:pPr>
      <w:r>
        <w:rPr>
          <w:noProof/>
          <w:lang w:eastAsia="en-AU"/>
        </w:rPr>
        <w:drawing>
          <wp:inline distT="0" distB="0" distL="0" distR="0" wp14:anchorId="6605358C" wp14:editId="70E424FB">
            <wp:extent cx="4324942" cy="3248025"/>
            <wp:effectExtent l="0" t="0" r="0" b="0"/>
            <wp:docPr id="25" name="Picture 25" descr="Figure 10: Simultaneous modelling of parent and metabolite data in plasma and urine following administration of two different treatments (Monteleon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1763" cy="3253148"/>
                    </a:xfrm>
                    <a:prstGeom prst="rect">
                      <a:avLst/>
                    </a:prstGeom>
                    <a:noFill/>
                    <a:ln>
                      <a:noFill/>
                    </a:ln>
                  </pic:spPr>
                </pic:pic>
              </a:graphicData>
            </a:graphic>
          </wp:inline>
        </w:drawing>
      </w:r>
    </w:p>
    <w:p w14:paraId="7A9FBB35" w14:textId="77777777" w:rsidR="00436B89" w:rsidRPr="00A613A8" w:rsidRDefault="00436B89" w:rsidP="00177802">
      <w:pPr>
        <w:pStyle w:val="Heading5"/>
        <w:numPr>
          <w:ilvl w:val="3"/>
          <w:numId w:val="11"/>
        </w:numPr>
        <w:tabs>
          <w:tab w:val="clear" w:pos="1418"/>
          <w:tab w:val="num" w:pos="1191"/>
        </w:tabs>
        <w:ind w:left="1191"/>
        <w:rPr>
          <w:lang w:eastAsia="ja-JP"/>
        </w:rPr>
      </w:pPr>
      <w:bookmarkStart w:id="168" w:name="_Ref457989862"/>
      <w:r w:rsidRPr="00A613A8">
        <w:rPr>
          <w:lang w:eastAsia="ja-JP"/>
        </w:rPr>
        <w:t>Mokhtarani 2012</w:t>
      </w:r>
      <w:bookmarkEnd w:id="168"/>
    </w:p>
    <w:p w14:paraId="5CDDCF5F" w14:textId="77777777" w:rsidR="00436B89" w:rsidRPr="004915AC" w:rsidRDefault="00436B89" w:rsidP="00436B89">
      <w:pPr>
        <w:rPr>
          <w:i/>
          <w:lang w:eastAsia="ja-JP"/>
        </w:rPr>
      </w:pPr>
      <w:r w:rsidRPr="004915AC">
        <w:rPr>
          <w:i/>
          <w:lang w:eastAsia="ja-JP"/>
        </w:rPr>
        <w:t>Mokhtarani M, Diaz GA, Rhead W, Lichter-Konecki U, Bartley J, Feigenbaum A, et al.</w:t>
      </w:r>
      <w:r w:rsidR="00625EDD">
        <w:rPr>
          <w:i/>
          <w:lang w:eastAsia="ja-JP"/>
        </w:rPr>
        <w:t xml:space="preserve"> </w:t>
      </w:r>
      <w:r w:rsidRPr="004915AC">
        <w:rPr>
          <w:i/>
          <w:lang w:eastAsia="ja-JP"/>
        </w:rPr>
        <w:t>Urinary phenylacetylglutamine as dosing biomarker for patients with urea cycle disorders.</w:t>
      </w:r>
      <w:r w:rsidR="00625EDD">
        <w:rPr>
          <w:i/>
          <w:lang w:eastAsia="ja-JP"/>
        </w:rPr>
        <w:t xml:space="preserve"> </w:t>
      </w:r>
      <w:r w:rsidRPr="004915AC">
        <w:rPr>
          <w:i/>
          <w:lang w:eastAsia="ja-JP"/>
        </w:rPr>
        <w:t>Mol Genet Metab 2012</w:t>
      </w:r>
      <w:r w:rsidR="00625EDD" w:rsidRPr="004915AC">
        <w:rPr>
          <w:i/>
          <w:lang w:eastAsia="ja-JP"/>
        </w:rPr>
        <w:t>; 107</w:t>
      </w:r>
      <w:r w:rsidRPr="004915AC">
        <w:rPr>
          <w:i/>
          <w:lang w:eastAsia="ja-JP"/>
        </w:rPr>
        <w:t>(3):308-14.</w:t>
      </w:r>
    </w:p>
    <w:p w14:paraId="446957BD" w14:textId="77777777" w:rsidR="00436B89" w:rsidRPr="00A613A8" w:rsidRDefault="00436B89" w:rsidP="00436B89">
      <w:pPr>
        <w:rPr>
          <w:lang w:eastAsia="ja-JP"/>
        </w:rPr>
      </w:pPr>
      <w:r w:rsidRPr="00A613A8">
        <w:rPr>
          <w:lang w:eastAsia="ja-JP"/>
        </w:rPr>
        <w:t>A total of 65 UCD patients, including 11 paediatric patients aged 6-17, were enrolled in a</w:t>
      </w:r>
      <w:r>
        <w:rPr>
          <w:lang w:eastAsia="ja-JP"/>
        </w:rPr>
        <w:t xml:space="preserve"> </w:t>
      </w:r>
      <w:r w:rsidRPr="00A613A8">
        <w:rPr>
          <w:lang w:eastAsia="ja-JP"/>
        </w:rPr>
        <w:t>pharmacokinetic study for glycerol phenylbutyrate and sodium phenylbutyrate. Each</w:t>
      </w:r>
      <w:r>
        <w:rPr>
          <w:lang w:eastAsia="ja-JP"/>
        </w:rPr>
        <w:t xml:space="preserve"> </w:t>
      </w:r>
      <w:r w:rsidRPr="00A613A8">
        <w:rPr>
          <w:lang w:eastAsia="ja-JP"/>
        </w:rPr>
        <w:t>patient received an equivalent amount of sodium phenylbutyrate or glycerol</w:t>
      </w:r>
      <w:r>
        <w:rPr>
          <w:lang w:eastAsia="ja-JP"/>
        </w:rPr>
        <w:t xml:space="preserve"> </w:t>
      </w:r>
      <w:r w:rsidRPr="00A613A8">
        <w:rPr>
          <w:lang w:eastAsia="ja-JP"/>
        </w:rPr>
        <w:t>phenylbutyrate; the dose of glycerol phenylbutyrate was calculated based on each patient’s</w:t>
      </w:r>
      <w:r>
        <w:rPr>
          <w:lang w:eastAsia="ja-JP"/>
        </w:rPr>
        <w:t xml:space="preserve"> </w:t>
      </w:r>
      <w:r w:rsidRPr="00A613A8">
        <w:rPr>
          <w:lang w:eastAsia="ja-JP"/>
        </w:rPr>
        <w:t>prescribed dose of sodium phenylbutyrate at the time of enrolment, which ranged from 197</w:t>
      </w:r>
      <w:r>
        <w:rPr>
          <w:lang w:eastAsia="ja-JP"/>
        </w:rPr>
        <w:t xml:space="preserve"> </w:t>
      </w:r>
      <w:r w:rsidRPr="00A613A8">
        <w:rPr>
          <w:lang w:eastAsia="ja-JP"/>
        </w:rPr>
        <w:t>to 476 mg/</w:t>
      </w:r>
      <w:r>
        <w:rPr>
          <w:lang w:eastAsia="ja-JP"/>
        </w:rPr>
        <w:t>kg/day</w:t>
      </w:r>
      <w:r w:rsidRPr="00A613A8">
        <w:rPr>
          <w:lang w:eastAsia="ja-JP"/>
        </w:rPr>
        <w:t xml:space="preserve"> (1.3 to 31.7 g/day), with a mean of 321 mg/</w:t>
      </w:r>
      <w:r>
        <w:rPr>
          <w:lang w:eastAsia="ja-JP"/>
        </w:rPr>
        <w:t>kg/day</w:t>
      </w:r>
      <w:r w:rsidRPr="00A613A8">
        <w:rPr>
          <w:lang w:eastAsia="ja-JP"/>
        </w:rPr>
        <w:t xml:space="preserve"> (Mokhtarani et al.,</w:t>
      </w:r>
      <w:r>
        <w:rPr>
          <w:lang w:eastAsia="ja-JP"/>
        </w:rPr>
        <w:t xml:space="preserve"> </w:t>
      </w:r>
      <w:r w:rsidRPr="00A613A8">
        <w:rPr>
          <w:lang w:eastAsia="ja-JP"/>
        </w:rPr>
        <w:t>2012).</w:t>
      </w:r>
    </w:p>
    <w:p w14:paraId="1857BA8A" w14:textId="77777777" w:rsidR="00436B89" w:rsidRPr="00A613A8" w:rsidRDefault="00436B89" w:rsidP="00436B89">
      <w:pPr>
        <w:rPr>
          <w:lang w:eastAsia="ja-JP"/>
        </w:rPr>
      </w:pPr>
      <w:r w:rsidRPr="00A613A8">
        <w:rPr>
          <w:lang w:eastAsia="ja-JP"/>
        </w:rPr>
        <w:t>Plasma metabolite concentrations varied greatly during the day after three times daily</w:t>
      </w:r>
      <w:r>
        <w:rPr>
          <w:lang w:eastAsia="ja-JP"/>
        </w:rPr>
        <w:t xml:space="preserve"> </w:t>
      </w:r>
      <w:r w:rsidRPr="00A613A8">
        <w:rPr>
          <w:lang w:eastAsia="ja-JP"/>
        </w:rPr>
        <w:t>dosing with either sodium phenylbutyrate or glycerol phenylbutyrate, with average</w:t>
      </w:r>
      <w:r>
        <w:rPr>
          <w:lang w:eastAsia="ja-JP"/>
        </w:rPr>
        <w:t xml:space="preserve"> </w:t>
      </w:r>
      <w:r w:rsidRPr="00A613A8">
        <w:rPr>
          <w:lang w:eastAsia="ja-JP"/>
        </w:rPr>
        <w:t>fluctuation indices ranging from 1979% to 5690% for phenylbutyric acid, 843% to 3931%</w:t>
      </w:r>
      <w:r>
        <w:rPr>
          <w:lang w:eastAsia="ja-JP"/>
        </w:rPr>
        <w:t xml:space="preserve"> </w:t>
      </w:r>
      <w:r w:rsidRPr="00A613A8">
        <w:rPr>
          <w:lang w:eastAsia="ja-JP"/>
        </w:rPr>
        <w:t>for phenylacetic acid, and 881% to 1434% for phenylacetylglutamine. There was high</w:t>
      </w:r>
      <w:r>
        <w:rPr>
          <w:lang w:eastAsia="ja-JP"/>
        </w:rPr>
        <w:t xml:space="preserve"> </w:t>
      </w:r>
      <w:r w:rsidRPr="00A613A8">
        <w:rPr>
          <w:lang w:eastAsia="ja-JP"/>
        </w:rPr>
        <w:t>inter- and intra-subject variability noted in plasma metabolite levels (</w:t>
      </w:r>
      <w:r>
        <w:rPr>
          <w:lang w:eastAsia="ja-JP"/>
        </w:rPr>
        <w:t>Table 15</w:t>
      </w:r>
      <w:r w:rsidRPr="00A613A8">
        <w:rPr>
          <w:lang w:eastAsia="ja-JP"/>
        </w:rPr>
        <w:t>). The high</w:t>
      </w:r>
      <w:r>
        <w:rPr>
          <w:lang w:eastAsia="ja-JP"/>
        </w:rPr>
        <w:t xml:space="preserve"> </w:t>
      </w:r>
      <w:r w:rsidRPr="00A613A8">
        <w:rPr>
          <w:lang w:eastAsia="ja-JP"/>
        </w:rPr>
        <w:t>inter-subject variability is explained in part by a wide range of doses that the study</w:t>
      </w:r>
      <w:r>
        <w:rPr>
          <w:lang w:eastAsia="ja-JP"/>
        </w:rPr>
        <w:t xml:space="preserve"> </w:t>
      </w:r>
      <w:r w:rsidRPr="00A613A8">
        <w:rPr>
          <w:lang w:eastAsia="ja-JP"/>
        </w:rPr>
        <w:t>population received and differences in first pass metabolism. However, the intra- subject</w:t>
      </w:r>
      <w:r>
        <w:rPr>
          <w:lang w:eastAsia="ja-JP"/>
        </w:rPr>
        <w:t xml:space="preserve"> </w:t>
      </w:r>
      <w:r w:rsidRPr="00A613A8">
        <w:rPr>
          <w:lang w:eastAsia="ja-JP"/>
        </w:rPr>
        <w:t>variability, as reflected in the high fluctuation indices, is explained by the short metabolite</w:t>
      </w:r>
      <w:r>
        <w:rPr>
          <w:lang w:eastAsia="ja-JP"/>
        </w:rPr>
        <w:t xml:space="preserve"> </w:t>
      </w:r>
      <w:r w:rsidRPr="00A613A8">
        <w:rPr>
          <w:lang w:eastAsia="ja-JP"/>
        </w:rPr>
        <w:t>half-life and limits the utility of random measurement of plasma metabolite. By contrast,</w:t>
      </w:r>
      <w:r>
        <w:rPr>
          <w:lang w:eastAsia="ja-JP"/>
        </w:rPr>
        <w:t xml:space="preserve"> </w:t>
      </w:r>
      <w:r w:rsidRPr="00A613A8">
        <w:rPr>
          <w:lang w:eastAsia="ja-JP"/>
        </w:rPr>
        <w:t>24-hour urinary phenylacetylglutamine and morning spot urine phenylacetylglutamine</w:t>
      </w:r>
      <w:r>
        <w:rPr>
          <w:lang w:eastAsia="ja-JP"/>
        </w:rPr>
        <w:t xml:space="preserve"> </w:t>
      </w:r>
      <w:r w:rsidRPr="00A613A8">
        <w:rPr>
          <w:lang w:eastAsia="ja-JP"/>
        </w:rPr>
        <w:t>correlated strongly with dose and appear to be clinically useful non-invasive biomarkers</w:t>
      </w:r>
      <w:r>
        <w:rPr>
          <w:lang w:eastAsia="ja-JP"/>
        </w:rPr>
        <w:t xml:space="preserve"> </w:t>
      </w:r>
      <w:r w:rsidRPr="00A613A8">
        <w:rPr>
          <w:lang w:eastAsia="ja-JP"/>
        </w:rPr>
        <w:t xml:space="preserve">for compliance and </w:t>
      </w:r>
      <w:r>
        <w:rPr>
          <w:lang w:eastAsia="ja-JP"/>
        </w:rPr>
        <w:t>therapeutic monitoring (Figure 11</w:t>
      </w:r>
      <w:r w:rsidRPr="00A613A8">
        <w:rPr>
          <w:lang w:eastAsia="ja-JP"/>
        </w:rPr>
        <w:t>).</w:t>
      </w:r>
    </w:p>
    <w:p w14:paraId="789C018B" w14:textId="77777777" w:rsidR="00436B89" w:rsidRPr="00A613A8" w:rsidRDefault="00436B89" w:rsidP="00436B89">
      <w:pPr>
        <w:rPr>
          <w:lang w:eastAsia="en-AU"/>
        </w:rPr>
      </w:pPr>
      <w:r w:rsidRPr="00A613A8">
        <w:rPr>
          <w:lang w:eastAsia="ja-JP"/>
        </w:rPr>
        <w:t>Unlike most other drugs which need to reach the systemic circulation to exert their effect,</w:t>
      </w:r>
      <w:r>
        <w:rPr>
          <w:lang w:eastAsia="ja-JP"/>
        </w:rPr>
        <w:t xml:space="preserve"> </w:t>
      </w:r>
      <w:r w:rsidRPr="00A613A8">
        <w:rPr>
          <w:lang w:eastAsia="ja-JP"/>
        </w:rPr>
        <w:t>PBA delivered either as GPB or NaPB does not need to reach the systemic circulation to</w:t>
      </w:r>
      <w:r>
        <w:rPr>
          <w:lang w:eastAsia="ja-JP"/>
        </w:rPr>
        <w:t xml:space="preserve"> </w:t>
      </w:r>
      <w:r w:rsidRPr="00A613A8">
        <w:rPr>
          <w:lang w:eastAsia="ja-JP"/>
        </w:rPr>
        <w:t>mediate urinary excretion of waste nitrogen in the form of PAGN. Rather, phenylbutyric</w:t>
      </w:r>
      <w:r>
        <w:rPr>
          <w:lang w:eastAsia="ja-JP"/>
        </w:rPr>
        <w:t xml:space="preserve"> </w:t>
      </w:r>
      <w:r w:rsidRPr="00A613A8">
        <w:rPr>
          <w:lang w:eastAsia="ja-JP"/>
        </w:rPr>
        <w:t>acid (PBA) released by dissolution of sodium phenylbutyrate (NaPB) or by pancreatic</w:t>
      </w:r>
      <w:r>
        <w:rPr>
          <w:lang w:eastAsia="ja-JP"/>
        </w:rPr>
        <w:t xml:space="preserve"> </w:t>
      </w:r>
      <w:r w:rsidRPr="00A613A8">
        <w:rPr>
          <w:lang w:eastAsia="ja-JP"/>
        </w:rPr>
        <w:t xml:space="preserve">lipases via hydrolysis </w:t>
      </w:r>
      <w:r w:rsidRPr="00A613A8">
        <w:rPr>
          <w:lang w:eastAsia="ja-JP"/>
        </w:rPr>
        <w:lastRenderedPageBreak/>
        <w:t>of glycerol phenylbutyrate (GPB) undergoes partial pre-systemic (1</w:t>
      </w:r>
      <w:r w:rsidRPr="00845727">
        <w:rPr>
          <w:vertAlign w:val="superscript"/>
          <w:lang w:eastAsia="ja-JP"/>
        </w:rPr>
        <w:t>st</w:t>
      </w:r>
      <w:r>
        <w:rPr>
          <w:lang w:eastAsia="ja-JP"/>
        </w:rPr>
        <w:t xml:space="preserve"> </w:t>
      </w:r>
      <w:r w:rsidRPr="00A613A8">
        <w:rPr>
          <w:lang w:eastAsia="ja-JP"/>
        </w:rPr>
        <w:t>pass) metabolism to phenylacetic acid (PAA) and/or phenylacetylglutamine (PAGN) in</w:t>
      </w:r>
      <w:r>
        <w:rPr>
          <w:lang w:eastAsia="ja-JP"/>
        </w:rPr>
        <w:t xml:space="preserve"> </w:t>
      </w:r>
      <w:r w:rsidRPr="00A613A8">
        <w:rPr>
          <w:lang w:eastAsia="ja-JP"/>
        </w:rPr>
        <w:t>enterocytes and/or hepatocytes. Patient to patient variability in the degree of 1st pass</w:t>
      </w:r>
      <w:r>
        <w:rPr>
          <w:lang w:eastAsia="ja-JP"/>
        </w:rPr>
        <w:t xml:space="preserve"> </w:t>
      </w:r>
      <w:r w:rsidRPr="00A613A8">
        <w:rPr>
          <w:lang w:eastAsia="ja-JP"/>
        </w:rPr>
        <w:t>metabolism accounts for differences in systemic exposure to PBA, PAA, and PAGN</w:t>
      </w:r>
      <w:r>
        <w:rPr>
          <w:lang w:eastAsia="ja-JP"/>
        </w:rPr>
        <w:t xml:space="preserve"> </w:t>
      </w:r>
      <w:r w:rsidRPr="00A613A8">
        <w:rPr>
          <w:lang w:eastAsia="ja-JP"/>
        </w:rPr>
        <w:t>despite similar urinary recovery of PAGN. The kidney is also enzymatically equipped to</w:t>
      </w:r>
      <w:r>
        <w:rPr>
          <w:lang w:eastAsia="ja-JP"/>
        </w:rPr>
        <w:t xml:space="preserve"> </w:t>
      </w:r>
      <w:r w:rsidRPr="00A613A8">
        <w:rPr>
          <w:lang w:eastAsia="ja-JP"/>
        </w:rPr>
        <w:t>conjugate PAA with PAGN to form PAGN.</w:t>
      </w:r>
    </w:p>
    <w:p w14:paraId="13F4214B" w14:textId="77777777" w:rsidR="00436B89" w:rsidRPr="00A613A8" w:rsidRDefault="00436B89" w:rsidP="00C64237">
      <w:pPr>
        <w:pStyle w:val="Tabletitle"/>
        <w:rPr>
          <w:lang w:eastAsia="ja-JP"/>
        </w:rPr>
      </w:pPr>
      <w:bookmarkStart w:id="169" w:name="_Ref457767653"/>
      <w:bookmarkStart w:id="170" w:name="_Toc473013954"/>
      <w:r w:rsidRPr="00A613A8">
        <w:t xml:space="preserve">Table </w:t>
      </w:r>
      <w:r>
        <w:t>15:</w:t>
      </w:r>
      <w:bookmarkEnd w:id="169"/>
      <w:r w:rsidRPr="00A613A8">
        <w:t xml:space="preserve"> </w:t>
      </w:r>
      <w:r w:rsidRPr="00A613A8">
        <w:rPr>
          <w:lang w:eastAsia="en-AU"/>
        </w:rPr>
        <w:t>Pharmacokinetics of glycerol phenylbutyrate (GPB) or sodium phenylbutyrate (NaPB) in adult and paediatric patients with UCDs (Mokhtarani 2012)</w:t>
      </w:r>
      <w:bookmarkEnd w:id="170"/>
    </w:p>
    <w:p w14:paraId="17ADEE06" w14:textId="77777777" w:rsidR="00436B89" w:rsidRPr="00A613A8" w:rsidRDefault="00436B89" w:rsidP="00436B89">
      <w:pPr>
        <w:rPr>
          <w:lang w:eastAsia="ja-JP"/>
        </w:rPr>
      </w:pPr>
      <w:r>
        <w:rPr>
          <w:noProof/>
          <w:lang w:eastAsia="en-AU"/>
        </w:rPr>
        <w:drawing>
          <wp:inline distT="0" distB="0" distL="0" distR="0" wp14:anchorId="7B6BAB50" wp14:editId="6C981F42">
            <wp:extent cx="5722620" cy="2804160"/>
            <wp:effectExtent l="0" t="0" r="0" b="0"/>
            <wp:docPr id="26" name="Picture 26" descr="Table 15: Pharmacokinetics of glycerol phenylbutyrate (GPB) or sodium phenylbutyrate (NaPB) in adult and paediatric patients with UCDs (Mokhtarani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lum bright="-20000" contrast="40000"/>
                      <a:extLst>
                        <a:ext uri="{28A0092B-C50C-407E-A947-70E740481C1C}">
                          <a14:useLocalDpi xmlns:a14="http://schemas.microsoft.com/office/drawing/2010/main" val="0"/>
                        </a:ext>
                      </a:extLst>
                    </a:blip>
                    <a:srcRect/>
                    <a:stretch>
                      <a:fillRect/>
                    </a:stretch>
                  </pic:blipFill>
                  <pic:spPr bwMode="auto">
                    <a:xfrm>
                      <a:off x="0" y="0"/>
                      <a:ext cx="5722620" cy="2804160"/>
                    </a:xfrm>
                    <a:prstGeom prst="rect">
                      <a:avLst/>
                    </a:prstGeom>
                    <a:noFill/>
                    <a:ln>
                      <a:noFill/>
                    </a:ln>
                  </pic:spPr>
                </pic:pic>
              </a:graphicData>
            </a:graphic>
          </wp:inline>
        </w:drawing>
      </w:r>
    </w:p>
    <w:p w14:paraId="0691235E" w14:textId="77777777" w:rsidR="00436B89" w:rsidRPr="00A613A8" w:rsidRDefault="00436B89" w:rsidP="00C64237">
      <w:pPr>
        <w:pStyle w:val="FigureTitle"/>
        <w:rPr>
          <w:lang w:eastAsia="en-AU"/>
        </w:rPr>
      </w:pPr>
      <w:bookmarkStart w:id="171" w:name="_Ref457765199"/>
      <w:bookmarkStart w:id="172" w:name="_Toc473013993"/>
      <w:r w:rsidRPr="00A613A8">
        <w:t xml:space="preserve">Figure </w:t>
      </w:r>
      <w:r>
        <w:t>11:</w:t>
      </w:r>
      <w:bookmarkEnd w:id="171"/>
      <w:r w:rsidRPr="00A613A8">
        <w:rPr>
          <w:lang w:eastAsia="ja-JP"/>
        </w:rPr>
        <w:t xml:space="preserve"> </w:t>
      </w:r>
      <w:r w:rsidRPr="00A613A8">
        <w:rPr>
          <w:lang w:eastAsia="en-AU"/>
        </w:rPr>
        <w:t xml:space="preserve">Urinary phenylacetylglutamine excretion </w:t>
      </w:r>
      <w:r>
        <w:rPr>
          <w:lang w:eastAsia="en-AU"/>
        </w:rPr>
        <w:t>versus</w:t>
      </w:r>
      <w:r w:rsidRPr="00A613A8">
        <w:rPr>
          <w:lang w:eastAsia="en-AU"/>
        </w:rPr>
        <w:t xml:space="preserve"> total dose of glycerol phenylbutyrate or sodium phenylbutyrate administered (Mokhtarani 2012)</w:t>
      </w:r>
      <w:bookmarkEnd w:id="172"/>
    </w:p>
    <w:p w14:paraId="09066FB2" w14:textId="77777777" w:rsidR="00436B89" w:rsidRPr="00A613A8" w:rsidRDefault="00436B89" w:rsidP="00436B89">
      <w:pPr>
        <w:rPr>
          <w:lang w:eastAsia="ja-JP"/>
        </w:rPr>
      </w:pPr>
      <w:r>
        <w:rPr>
          <w:noProof/>
          <w:lang w:eastAsia="en-AU"/>
        </w:rPr>
        <w:drawing>
          <wp:inline distT="0" distB="0" distL="0" distR="0" wp14:anchorId="22F42947" wp14:editId="0BE05DD7">
            <wp:extent cx="5722620" cy="2598420"/>
            <wp:effectExtent l="0" t="0" r="0" b="0"/>
            <wp:docPr id="27" name="Picture 27" descr="Figure 11: Urinary phenylacetylglutamine excretion versus total dose of glycerol phenylbutyrate or sodium phenylbutyrate administered (Mokhtarani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5722620" cy="2598420"/>
                    </a:xfrm>
                    <a:prstGeom prst="rect">
                      <a:avLst/>
                    </a:prstGeom>
                    <a:noFill/>
                    <a:ln>
                      <a:noFill/>
                    </a:ln>
                  </pic:spPr>
                </pic:pic>
              </a:graphicData>
            </a:graphic>
          </wp:inline>
        </w:drawing>
      </w:r>
    </w:p>
    <w:p w14:paraId="56F7A906" w14:textId="77777777" w:rsidR="00436B89" w:rsidRPr="00A613A8" w:rsidRDefault="00436B89" w:rsidP="00177802">
      <w:pPr>
        <w:pStyle w:val="Heading4"/>
        <w:numPr>
          <w:ilvl w:val="2"/>
          <w:numId w:val="5"/>
        </w:numPr>
      </w:pPr>
      <w:bookmarkStart w:id="173" w:name="_Toc241374294"/>
      <w:bookmarkStart w:id="174" w:name="_Toc272414632"/>
      <w:bookmarkStart w:id="175" w:name="_Toc290888481"/>
      <w:bookmarkStart w:id="176" w:name="_Toc416353678"/>
      <w:bookmarkStart w:id="177" w:name="_Toc421005249"/>
      <w:bookmarkStart w:id="178" w:name="_Toc432079130"/>
      <w:bookmarkStart w:id="179" w:name="_Toc432080703"/>
      <w:bookmarkEnd w:id="165"/>
      <w:r w:rsidRPr="00A613A8">
        <w:t>Pharmacokinetic interactions</w:t>
      </w:r>
      <w:bookmarkEnd w:id="173"/>
      <w:bookmarkEnd w:id="174"/>
      <w:bookmarkEnd w:id="175"/>
      <w:bookmarkEnd w:id="176"/>
      <w:bookmarkEnd w:id="177"/>
      <w:bookmarkEnd w:id="178"/>
      <w:bookmarkEnd w:id="179"/>
    </w:p>
    <w:p w14:paraId="761C2F35" w14:textId="77777777" w:rsidR="00436B89" w:rsidRPr="00A613A8" w:rsidRDefault="00436B89" w:rsidP="00436B89">
      <w:pPr>
        <w:rPr>
          <w:lang w:eastAsia="ja-JP"/>
        </w:rPr>
      </w:pPr>
      <w:r w:rsidRPr="00A613A8">
        <w:rPr>
          <w:lang w:eastAsia="ja-JP"/>
        </w:rPr>
        <w:t>No drug-drug interactions have been investigated.</w:t>
      </w:r>
      <w:r>
        <w:rPr>
          <w:lang w:eastAsia="ja-JP"/>
        </w:rPr>
        <w:t xml:space="preserve"> However, Phuphanich 2005 did describe evidence of interactions with inducing and inhibiting anticonvulsants.</w:t>
      </w:r>
    </w:p>
    <w:p w14:paraId="324BF0E7" w14:textId="77777777" w:rsidR="00436B89" w:rsidRPr="00A613A8" w:rsidRDefault="00436B89" w:rsidP="00177802">
      <w:pPr>
        <w:pStyle w:val="Heading3"/>
        <w:numPr>
          <w:ilvl w:val="1"/>
          <w:numId w:val="5"/>
        </w:numPr>
        <w:ind w:left="907" w:hanging="794"/>
      </w:pPr>
      <w:bookmarkStart w:id="180" w:name="_Toc241374296"/>
      <w:bookmarkStart w:id="181" w:name="_Ref269982040"/>
      <w:bookmarkStart w:id="182" w:name="_Ref271018704"/>
      <w:bookmarkStart w:id="183" w:name="_Ref271018755"/>
      <w:bookmarkStart w:id="184" w:name="_Toc272414635"/>
      <w:bookmarkStart w:id="185" w:name="_Toc290888484"/>
      <w:bookmarkStart w:id="186" w:name="_Toc416353681"/>
      <w:bookmarkStart w:id="187" w:name="_Toc421005250"/>
      <w:bookmarkStart w:id="188" w:name="_Toc432079132"/>
      <w:bookmarkStart w:id="189" w:name="_Toc432080705"/>
      <w:bookmarkStart w:id="190" w:name="_Toc473013885"/>
      <w:bookmarkStart w:id="191" w:name="_Toc505179682"/>
      <w:r w:rsidRPr="00A613A8">
        <w:t>Evaluator’s overall conclusions on pharmacokinetics</w:t>
      </w:r>
      <w:bookmarkEnd w:id="180"/>
      <w:bookmarkEnd w:id="181"/>
      <w:bookmarkEnd w:id="182"/>
      <w:bookmarkEnd w:id="183"/>
      <w:bookmarkEnd w:id="184"/>
      <w:bookmarkEnd w:id="185"/>
      <w:bookmarkEnd w:id="186"/>
      <w:bookmarkEnd w:id="187"/>
      <w:bookmarkEnd w:id="188"/>
      <w:bookmarkEnd w:id="189"/>
      <w:bookmarkEnd w:id="190"/>
      <w:bookmarkEnd w:id="191"/>
    </w:p>
    <w:p w14:paraId="26659015" w14:textId="77777777" w:rsidR="00436B89" w:rsidRDefault="00436B89" w:rsidP="00436B89">
      <w:pPr>
        <w:rPr>
          <w:lang w:eastAsia="en-AU"/>
        </w:rPr>
      </w:pPr>
      <w:r>
        <w:rPr>
          <w:lang w:eastAsia="ja-JP"/>
        </w:rPr>
        <w:t xml:space="preserve">The pharmacokinetics of </w:t>
      </w:r>
      <w:r w:rsidRPr="00A613A8">
        <w:rPr>
          <w:lang w:eastAsia="ja-JP"/>
        </w:rPr>
        <w:t xml:space="preserve">Pheburane </w:t>
      </w:r>
      <w:r>
        <w:rPr>
          <w:lang w:eastAsia="en-AU"/>
        </w:rPr>
        <w:t>is described through the following:</w:t>
      </w:r>
    </w:p>
    <w:p w14:paraId="21553804" w14:textId="77777777" w:rsidR="00436B89" w:rsidRDefault="00436B89" w:rsidP="00177802">
      <w:pPr>
        <w:pStyle w:val="ListBullet"/>
        <w:numPr>
          <w:ilvl w:val="0"/>
          <w:numId w:val="1"/>
        </w:numPr>
        <w:rPr>
          <w:lang w:eastAsia="ja-JP"/>
        </w:rPr>
      </w:pPr>
      <w:r>
        <w:rPr>
          <w:lang w:eastAsia="en-AU"/>
        </w:rPr>
        <w:lastRenderedPageBreak/>
        <w:t>A single bioequiva</w:t>
      </w:r>
      <w:r w:rsidR="00625EDD">
        <w:rPr>
          <w:lang w:eastAsia="en-AU"/>
        </w:rPr>
        <w:t>le</w:t>
      </w:r>
      <w:r>
        <w:rPr>
          <w:lang w:eastAsia="en-AU"/>
        </w:rPr>
        <w:t xml:space="preserve">nce study demonstrating that </w:t>
      </w:r>
      <w:r w:rsidRPr="00A613A8">
        <w:rPr>
          <w:lang w:eastAsia="ja-JP"/>
        </w:rPr>
        <w:t>Pheburane was developed as a hybrid generic formulation of the granule presentation of Ammonaps.</w:t>
      </w:r>
    </w:p>
    <w:p w14:paraId="5D52C8BE" w14:textId="77777777" w:rsidR="00436B89" w:rsidRDefault="00436B89" w:rsidP="00177802">
      <w:pPr>
        <w:pStyle w:val="ListBullet"/>
        <w:numPr>
          <w:ilvl w:val="0"/>
          <w:numId w:val="1"/>
        </w:numPr>
        <w:rPr>
          <w:lang w:eastAsia="en-AU"/>
        </w:rPr>
      </w:pPr>
      <w:r>
        <w:rPr>
          <w:lang w:eastAsia="en-AU"/>
        </w:rPr>
        <w:t xml:space="preserve">A series of literature articles describing the pharmacokinetics of sodium </w:t>
      </w:r>
      <w:r w:rsidRPr="00A613A8">
        <w:rPr>
          <w:lang w:eastAsia="en-AU"/>
        </w:rPr>
        <w:t>phenylbutyrate</w:t>
      </w:r>
      <w:r>
        <w:rPr>
          <w:lang w:eastAsia="en-AU"/>
        </w:rPr>
        <w:t xml:space="preserve">, often in comparator trials with </w:t>
      </w:r>
      <w:r w:rsidRPr="00A613A8">
        <w:rPr>
          <w:lang w:eastAsia="en-AU"/>
        </w:rPr>
        <w:t>glycerol phenylbutyrate</w:t>
      </w:r>
      <w:r>
        <w:rPr>
          <w:lang w:eastAsia="en-AU"/>
        </w:rPr>
        <w:t xml:space="preserve">. </w:t>
      </w:r>
    </w:p>
    <w:p w14:paraId="4BEC1251" w14:textId="77777777" w:rsidR="00436B89" w:rsidRPr="00A613A8" w:rsidRDefault="00436B89" w:rsidP="00177802">
      <w:pPr>
        <w:pStyle w:val="ListBullet"/>
        <w:numPr>
          <w:ilvl w:val="0"/>
          <w:numId w:val="1"/>
        </w:numPr>
        <w:rPr>
          <w:lang w:eastAsia="ja-JP"/>
        </w:rPr>
      </w:pPr>
      <w:r>
        <w:rPr>
          <w:lang w:eastAsia="en-AU"/>
        </w:rPr>
        <w:t xml:space="preserve">Some literature articles including higher doses used in the treatment of malignancies </w:t>
      </w:r>
    </w:p>
    <w:p w14:paraId="3A87797B" w14:textId="77777777" w:rsidR="00436B89" w:rsidRDefault="00436B89" w:rsidP="00436B89">
      <w:pPr>
        <w:rPr>
          <w:lang w:eastAsia="en-AU"/>
        </w:rPr>
      </w:pPr>
      <w:r>
        <w:rPr>
          <w:lang w:eastAsia="en-AU"/>
        </w:rPr>
        <w:t xml:space="preserve">There were no dose finding studies presented. There were higher doses used in the treatment of malignancies suggesting linear pharmacokinetics up to about 36 g per day (Gilbert 2001). </w:t>
      </w:r>
    </w:p>
    <w:p w14:paraId="7A4C252B" w14:textId="77777777" w:rsidR="00436B89" w:rsidRPr="00845727" w:rsidRDefault="00436B89" w:rsidP="00177802">
      <w:pPr>
        <w:pStyle w:val="ListBullet"/>
        <w:numPr>
          <w:ilvl w:val="0"/>
          <w:numId w:val="1"/>
        </w:numPr>
        <w:rPr>
          <w:i/>
          <w:lang w:eastAsia="en-AU"/>
        </w:rPr>
      </w:pPr>
      <w:r w:rsidRPr="00845727">
        <w:rPr>
          <w:i/>
          <w:lang w:eastAsia="en-AU"/>
        </w:rPr>
        <w:t>There are significant deficiencies in the presented pharmacokinetic data that need to be addressed</w:t>
      </w:r>
    </w:p>
    <w:p w14:paraId="563AD962" w14:textId="77777777" w:rsidR="00436B89" w:rsidRPr="00845727" w:rsidRDefault="00436B89" w:rsidP="00177802">
      <w:pPr>
        <w:pStyle w:val="ListBullet2"/>
        <w:numPr>
          <w:ilvl w:val="1"/>
          <w:numId w:val="1"/>
        </w:numPr>
        <w:rPr>
          <w:i/>
          <w:lang w:eastAsia="ja-JP"/>
        </w:rPr>
      </w:pPr>
      <w:r w:rsidRPr="00845727">
        <w:rPr>
          <w:i/>
          <w:lang w:eastAsia="ja-JP"/>
        </w:rPr>
        <w:t>Clarify the proposed dosing schedule and linearity of Pheburane.</w:t>
      </w:r>
    </w:p>
    <w:p w14:paraId="2AB25AB2" w14:textId="77777777" w:rsidR="00436B89" w:rsidRPr="00845727" w:rsidRDefault="00436B89" w:rsidP="00177802">
      <w:pPr>
        <w:pStyle w:val="ListBullet2"/>
        <w:numPr>
          <w:ilvl w:val="1"/>
          <w:numId w:val="1"/>
        </w:numPr>
        <w:rPr>
          <w:i/>
          <w:lang w:eastAsia="ja-JP"/>
        </w:rPr>
      </w:pPr>
      <w:r w:rsidRPr="00845727">
        <w:rPr>
          <w:i/>
          <w:lang w:eastAsia="ja-JP"/>
        </w:rPr>
        <w:t xml:space="preserve">Clarify that the form of </w:t>
      </w:r>
      <w:r w:rsidRPr="00845727">
        <w:rPr>
          <w:i/>
          <w:lang w:eastAsia="en-AU"/>
        </w:rPr>
        <w:t>sodium phenylbutyrate</w:t>
      </w:r>
      <w:r w:rsidRPr="00845727">
        <w:rPr>
          <w:i/>
          <w:lang w:eastAsia="ja-JP"/>
        </w:rPr>
        <w:t xml:space="preserve"> used in all of the pharmacokinetic studies was the same the innovator product (Ammonaps) from the bioequivalence study.</w:t>
      </w:r>
    </w:p>
    <w:p w14:paraId="174E2D31" w14:textId="77777777" w:rsidR="00436B89" w:rsidRPr="00845727" w:rsidRDefault="00436B89" w:rsidP="00177802">
      <w:pPr>
        <w:pStyle w:val="ListBullet2"/>
        <w:numPr>
          <w:ilvl w:val="1"/>
          <w:numId w:val="1"/>
        </w:numPr>
        <w:rPr>
          <w:i/>
          <w:lang w:eastAsia="ja-JP"/>
        </w:rPr>
      </w:pPr>
      <w:r w:rsidRPr="00845727">
        <w:rPr>
          <w:i/>
          <w:lang w:eastAsia="ja-JP"/>
        </w:rPr>
        <w:t>Demonstration that the dosing of Pheburane can be scaled by weight and surface area as in the proposed dosing schedule.</w:t>
      </w:r>
    </w:p>
    <w:p w14:paraId="2D287211" w14:textId="77777777" w:rsidR="00436B89" w:rsidRPr="00845727" w:rsidRDefault="00436B89" w:rsidP="00177802">
      <w:pPr>
        <w:pStyle w:val="ListBullet2"/>
        <w:numPr>
          <w:ilvl w:val="1"/>
          <w:numId w:val="1"/>
        </w:numPr>
        <w:rPr>
          <w:i/>
          <w:lang w:eastAsia="ja-JP"/>
        </w:rPr>
      </w:pPr>
      <w:r w:rsidRPr="00845727">
        <w:rPr>
          <w:i/>
          <w:lang w:eastAsia="ja-JP"/>
        </w:rPr>
        <w:t>Explain the dose-ranging in the proposed dosing schedule.</w:t>
      </w:r>
    </w:p>
    <w:p w14:paraId="03ACB1AC" w14:textId="77777777" w:rsidR="00436B89" w:rsidRPr="00A613A8" w:rsidRDefault="00436B89" w:rsidP="00177802">
      <w:pPr>
        <w:pStyle w:val="Heading2"/>
        <w:numPr>
          <w:ilvl w:val="0"/>
          <w:numId w:val="5"/>
        </w:numPr>
      </w:pPr>
      <w:bookmarkStart w:id="192" w:name="_Toc473013886"/>
      <w:bookmarkStart w:id="193" w:name="_Toc505179683"/>
      <w:r w:rsidRPr="00A613A8">
        <w:t>Pharmacodynamics</w:t>
      </w:r>
      <w:bookmarkEnd w:id="192"/>
      <w:bookmarkEnd w:id="193"/>
    </w:p>
    <w:p w14:paraId="1328CF81" w14:textId="77777777" w:rsidR="00436B89" w:rsidRPr="00A613A8" w:rsidRDefault="00436B89" w:rsidP="00436B89">
      <w:pPr>
        <w:rPr>
          <w:lang w:eastAsia="ja-JP"/>
        </w:rPr>
      </w:pPr>
      <w:r w:rsidRPr="00A613A8">
        <w:rPr>
          <w:lang w:eastAsia="ja-JP"/>
        </w:rPr>
        <w:t>Following oral administration, sodium phenylbutyrate is metabol</w:t>
      </w:r>
      <w:r>
        <w:rPr>
          <w:lang w:eastAsia="ja-JP"/>
        </w:rPr>
        <w:t>ised</w:t>
      </w:r>
      <w:r w:rsidRPr="00A613A8">
        <w:rPr>
          <w:lang w:eastAsia="ja-JP"/>
        </w:rPr>
        <w:t xml:space="preserve"> by </w:t>
      </w:r>
      <w:r>
        <w:rPr>
          <w:lang w:eastAsia="ja-JP"/>
        </w:rPr>
        <w:t>β-</w:t>
      </w:r>
      <w:r w:rsidRPr="00A613A8">
        <w:rPr>
          <w:lang w:eastAsia="ja-JP"/>
        </w:rPr>
        <w:t>oxidation in the liver into phenylacetate which is rapidly converted to its CoA ester, phenylacetyl-CoA. The latter compound is conjugated to glutamine to form phenylacetylglutamine, which is excreted by the kidney. Glutamine (and therefore phenylacetylglutamine) contains 2 waste nitrogen atoms, so 2 moles of nitrogen are removed for each mole of sodium phenylbutyrate administered (Batshaw 2001).</w:t>
      </w:r>
    </w:p>
    <w:p w14:paraId="1FAD4E4C" w14:textId="77777777" w:rsidR="00436B89" w:rsidRPr="00A613A8" w:rsidRDefault="00436B89" w:rsidP="00177802">
      <w:pPr>
        <w:pStyle w:val="Heading3"/>
        <w:numPr>
          <w:ilvl w:val="1"/>
          <w:numId w:val="5"/>
        </w:numPr>
        <w:ind w:left="907" w:hanging="794"/>
      </w:pPr>
      <w:bookmarkStart w:id="194" w:name="_Toc473013887"/>
      <w:bookmarkStart w:id="195" w:name="_Toc505179684"/>
      <w:r w:rsidRPr="00A613A8">
        <w:t>Studies providing pharmacodynamic information</w:t>
      </w:r>
      <w:bookmarkEnd w:id="194"/>
      <w:bookmarkEnd w:id="195"/>
    </w:p>
    <w:p w14:paraId="56A1898F" w14:textId="77777777" w:rsidR="00436B89" w:rsidRPr="00A613A8" w:rsidRDefault="00436B89" w:rsidP="00177802">
      <w:pPr>
        <w:pStyle w:val="Heading4"/>
        <w:numPr>
          <w:ilvl w:val="2"/>
          <w:numId w:val="5"/>
        </w:numPr>
      </w:pPr>
      <w:r w:rsidRPr="00A613A8">
        <w:t>Brusilow 1993</w:t>
      </w:r>
    </w:p>
    <w:p w14:paraId="0E270586" w14:textId="77777777" w:rsidR="00436B89" w:rsidRPr="00B27069" w:rsidRDefault="00436B89" w:rsidP="00436B89">
      <w:pPr>
        <w:rPr>
          <w:i/>
          <w:lang w:eastAsia="ja-JP"/>
        </w:rPr>
      </w:pPr>
      <w:r w:rsidRPr="00B27069">
        <w:rPr>
          <w:i/>
          <w:lang w:eastAsia="ja-JP"/>
        </w:rPr>
        <w:t xml:space="preserve">Brusilow SW, Valle DL, Batshaw M. </w:t>
      </w:r>
      <w:proofErr w:type="gramStart"/>
      <w:r w:rsidRPr="00B27069">
        <w:rPr>
          <w:i/>
          <w:lang w:eastAsia="ja-JP"/>
        </w:rPr>
        <w:t>New pathways of nitrogen excretion in inborn errors of urea synthesis.</w:t>
      </w:r>
      <w:proofErr w:type="gramEnd"/>
      <w:r w:rsidRPr="00B27069">
        <w:rPr>
          <w:i/>
          <w:lang w:eastAsia="ja-JP"/>
        </w:rPr>
        <w:t xml:space="preserve"> Lancet 1979; 2:452-4</w:t>
      </w:r>
    </w:p>
    <w:p w14:paraId="0A0B9F9A" w14:textId="77777777" w:rsidR="00436B89" w:rsidRPr="00A613A8" w:rsidRDefault="00436B89" w:rsidP="00436B89">
      <w:pPr>
        <w:rPr>
          <w:lang w:eastAsia="ja-JP"/>
        </w:rPr>
      </w:pPr>
      <w:r w:rsidRPr="00A613A8">
        <w:rPr>
          <w:lang w:eastAsia="ja-JP"/>
        </w:rPr>
        <w:t xml:space="preserve">Net urea synthesis was evaluated in one 38-year old OTC patient treated with 16.5 g phenylbutyrate over three 3-day periods (Brusilow 1993). In a first control period the patient received a fixed nitrogen intake (low protein diet only 120 g plus citrulline); in period II, 49.5 g sodium phenylbutyrate was added; and in period III, an additional 45 g of dietary protein (7.2 g nitrogen) was added. The results are given in </w:t>
      </w:r>
      <w:r w:rsidR="00CF0199">
        <w:rPr>
          <w:lang w:eastAsia="ja-JP"/>
        </w:rPr>
        <w:t>Table 16</w:t>
      </w:r>
      <w:r>
        <w:rPr>
          <w:lang w:eastAsia="ja-JP"/>
        </w:rPr>
        <w:t xml:space="preserve"> </w:t>
      </w:r>
      <w:r w:rsidRPr="00A613A8">
        <w:rPr>
          <w:lang w:eastAsia="ja-JP"/>
        </w:rPr>
        <w:t xml:space="preserve">and </w:t>
      </w:r>
      <w:r w:rsidR="00320B8C">
        <w:rPr>
          <w:lang w:eastAsia="ja-JP"/>
        </w:rPr>
        <w:t>Figure 12</w:t>
      </w:r>
      <w:r w:rsidRPr="00A613A8">
        <w:rPr>
          <w:lang w:eastAsia="ja-JP"/>
        </w:rPr>
        <w:t>.</w:t>
      </w:r>
    </w:p>
    <w:p w14:paraId="7AF69A14" w14:textId="77777777" w:rsidR="00436B89" w:rsidRPr="00A613A8" w:rsidRDefault="00436B89" w:rsidP="00436B89">
      <w:pPr>
        <w:pStyle w:val="Tabletitle"/>
      </w:pPr>
      <w:bookmarkStart w:id="196" w:name="_Ref457767674"/>
      <w:bookmarkStart w:id="197" w:name="_Toc473013955"/>
      <w:r w:rsidRPr="00A613A8">
        <w:t xml:space="preserve">Table </w:t>
      </w:r>
      <w:r>
        <w:t>16:</w:t>
      </w:r>
      <w:bookmarkEnd w:id="196"/>
      <w:r w:rsidRPr="00A613A8">
        <w:t xml:space="preserve"> </w:t>
      </w:r>
      <w:r w:rsidRPr="00A613A8">
        <w:rPr>
          <w:lang w:eastAsia="en-AU"/>
        </w:rPr>
        <w:t>Net urea synthesis in a 38-year old man with OTC deficiency during three 3-day periods</w:t>
      </w:r>
      <w:r>
        <w:rPr>
          <w:lang w:eastAsia="en-AU"/>
        </w:rPr>
        <w:t xml:space="preserve"> (</w:t>
      </w:r>
      <w:r w:rsidRPr="00A613A8">
        <w:t>Brusilow 1993</w:t>
      </w:r>
      <w:r>
        <w:rPr>
          <w:lang w:eastAsia="en-AU"/>
        </w:rPr>
        <w:t>)</w:t>
      </w:r>
      <w:bookmarkEnd w:id="197"/>
    </w:p>
    <w:p w14:paraId="6181E7E0" w14:textId="77777777" w:rsidR="00436B89" w:rsidRPr="00A613A8" w:rsidRDefault="00436B89" w:rsidP="00436B89">
      <w:pPr>
        <w:rPr>
          <w:rFonts w:ascii="Times New Roman" w:hAnsi="Times New Roman"/>
          <w:b/>
          <w:bCs/>
          <w:color w:val="000058"/>
          <w:sz w:val="20"/>
          <w:szCs w:val="20"/>
          <w:lang w:eastAsia="en-AU"/>
        </w:rPr>
      </w:pPr>
      <w:r>
        <w:rPr>
          <w:rFonts w:ascii="Times New Roman" w:hAnsi="Times New Roman"/>
          <w:b/>
          <w:bCs/>
          <w:noProof/>
          <w:color w:val="000058"/>
          <w:sz w:val="20"/>
          <w:szCs w:val="20"/>
          <w:lang w:eastAsia="en-AU"/>
        </w:rPr>
        <w:drawing>
          <wp:inline distT="0" distB="0" distL="0" distR="0" wp14:anchorId="397CBACD" wp14:editId="01171F12">
            <wp:extent cx="3941135" cy="1054164"/>
            <wp:effectExtent l="0" t="0" r="2540" b="0"/>
            <wp:docPr id="28" name="Picture 28" descr="Table 16: Net urea synthesis in a 38-year old man with OTC deficiency during three 3-day periods (Brusilow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3945306" cy="1055280"/>
                    </a:xfrm>
                    <a:prstGeom prst="rect">
                      <a:avLst/>
                    </a:prstGeom>
                    <a:noFill/>
                    <a:ln>
                      <a:noFill/>
                    </a:ln>
                  </pic:spPr>
                </pic:pic>
              </a:graphicData>
            </a:graphic>
          </wp:inline>
        </w:drawing>
      </w:r>
    </w:p>
    <w:p w14:paraId="4FA96AE5" w14:textId="77777777" w:rsidR="00436B89" w:rsidRPr="00A613A8" w:rsidRDefault="00436B89" w:rsidP="00C64237">
      <w:pPr>
        <w:pStyle w:val="FigureTitle"/>
        <w:rPr>
          <w:lang w:eastAsia="en-AU"/>
        </w:rPr>
      </w:pPr>
      <w:bookmarkStart w:id="198" w:name="_Ref457765221"/>
      <w:bookmarkStart w:id="199" w:name="_Toc473013994"/>
      <w:r w:rsidRPr="00A613A8">
        <w:lastRenderedPageBreak/>
        <w:t xml:space="preserve">Figure </w:t>
      </w:r>
      <w:r>
        <w:t>12</w:t>
      </w:r>
      <w:bookmarkEnd w:id="198"/>
      <w:r>
        <w:t>:</w:t>
      </w:r>
      <w:r w:rsidRPr="00A613A8">
        <w:rPr>
          <w:lang w:eastAsia="ja-JP"/>
        </w:rPr>
        <w:t xml:space="preserve"> </w:t>
      </w:r>
      <w:r w:rsidRPr="00A613A8">
        <w:rPr>
          <w:lang w:eastAsia="en-AU"/>
        </w:rPr>
        <w:t>Pharma</w:t>
      </w:r>
      <w:r>
        <w:rPr>
          <w:lang w:eastAsia="en-AU"/>
        </w:rPr>
        <w:t>co</w:t>
      </w:r>
      <w:r w:rsidRPr="00A613A8">
        <w:rPr>
          <w:lang w:eastAsia="en-AU"/>
        </w:rPr>
        <w:t>dynamics of phenylbutyrate in 1 OTC adult patient</w:t>
      </w:r>
      <w:r>
        <w:rPr>
          <w:lang w:eastAsia="en-AU"/>
        </w:rPr>
        <w:t xml:space="preserve"> (</w:t>
      </w:r>
      <w:r w:rsidRPr="00A613A8">
        <w:t>Brusilow 1993</w:t>
      </w:r>
      <w:r>
        <w:rPr>
          <w:lang w:eastAsia="en-AU"/>
        </w:rPr>
        <w:t>)</w:t>
      </w:r>
      <w:bookmarkEnd w:id="199"/>
    </w:p>
    <w:p w14:paraId="3176A9F6" w14:textId="77777777" w:rsidR="00436B89" w:rsidRPr="00A613A8" w:rsidRDefault="00436B89" w:rsidP="00436B89">
      <w:pPr>
        <w:rPr>
          <w:rFonts w:ascii="Times New Roman" w:hAnsi="Times New Roman"/>
          <w:b/>
          <w:bCs/>
          <w:sz w:val="20"/>
          <w:szCs w:val="20"/>
          <w:lang w:eastAsia="en-AU"/>
        </w:rPr>
      </w:pPr>
      <w:r>
        <w:rPr>
          <w:rFonts w:ascii="Times New Roman" w:hAnsi="Times New Roman"/>
          <w:b/>
          <w:bCs/>
          <w:noProof/>
          <w:sz w:val="20"/>
          <w:szCs w:val="20"/>
          <w:lang w:eastAsia="en-AU"/>
        </w:rPr>
        <w:drawing>
          <wp:inline distT="0" distB="0" distL="0" distR="0" wp14:anchorId="6F0FABC9" wp14:editId="473E2B57">
            <wp:extent cx="4345172" cy="2655704"/>
            <wp:effectExtent l="0" t="0" r="0" b="0"/>
            <wp:docPr id="29" name="Picture 29" descr="Figure 12: Pharmacodynamics of phenylbutyrate in 1 OTC adult patient (Brusilow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6922" cy="2656774"/>
                    </a:xfrm>
                    <a:prstGeom prst="rect">
                      <a:avLst/>
                    </a:prstGeom>
                    <a:noFill/>
                    <a:ln>
                      <a:noFill/>
                    </a:ln>
                  </pic:spPr>
                </pic:pic>
              </a:graphicData>
            </a:graphic>
          </wp:inline>
        </w:drawing>
      </w:r>
    </w:p>
    <w:p w14:paraId="306302E2" w14:textId="77777777" w:rsidR="00436B89" w:rsidRPr="00A613A8" w:rsidRDefault="00436B89" w:rsidP="00C64237">
      <w:pPr>
        <w:pStyle w:val="Tabletitle"/>
      </w:pPr>
      <w:bookmarkStart w:id="200" w:name="_Toc473013956"/>
      <w:r w:rsidRPr="00A613A8">
        <w:t xml:space="preserve">Table </w:t>
      </w:r>
      <w:r>
        <w:t>17:</w:t>
      </w:r>
      <w:r w:rsidRPr="00A613A8">
        <w:t xml:space="preserve"> Submitted pharmacodynamic studies</w:t>
      </w:r>
      <w:bookmarkEnd w:id="200"/>
    </w:p>
    <w:tbl>
      <w:tblPr>
        <w:tblStyle w:val="TableTGAblue"/>
        <w:tblW w:w="8897" w:type="dxa"/>
        <w:tblLayout w:type="fixed"/>
        <w:tblLook w:val="04A0" w:firstRow="1" w:lastRow="0" w:firstColumn="1" w:lastColumn="0" w:noHBand="0" w:noVBand="1"/>
      </w:tblPr>
      <w:tblGrid>
        <w:gridCol w:w="2235"/>
        <w:gridCol w:w="2693"/>
        <w:gridCol w:w="2977"/>
        <w:gridCol w:w="992"/>
      </w:tblGrid>
      <w:tr w:rsidR="00436B89" w:rsidRPr="00A613A8" w14:paraId="7BDB676F" w14:textId="77777777" w:rsidTr="00C64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1725AA3" w14:textId="77777777" w:rsidR="00436B89" w:rsidRPr="00A613A8" w:rsidRDefault="00436B89" w:rsidP="00C64237">
            <w:pPr>
              <w:rPr>
                <w:b w:val="0"/>
              </w:rPr>
            </w:pPr>
            <w:r w:rsidRPr="00A613A8">
              <w:rPr>
                <w:b w:val="0"/>
              </w:rPr>
              <w:t>PD Topic</w:t>
            </w:r>
          </w:p>
        </w:tc>
        <w:tc>
          <w:tcPr>
            <w:tcW w:w="2693" w:type="dxa"/>
          </w:tcPr>
          <w:p w14:paraId="7B0C0471" w14:textId="77777777" w:rsidR="00436B89" w:rsidRPr="00A613A8" w:rsidRDefault="00436B89" w:rsidP="00C64237">
            <w:pPr>
              <w:cnfStyle w:val="100000000000" w:firstRow="1" w:lastRow="0" w:firstColumn="0" w:lastColumn="0" w:oddVBand="0" w:evenVBand="0" w:oddHBand="0" w:evenHBand="0" w:firstRowFirstColumn="0" w:firstRowLastColumn="0" w:lastRowFirstColumn="0" w:lastRowLastColumn="0"/>
              <w:rPr>
                <w:b w:val="0"/>
              </w:rPr>
            </w:pPr>
            <w:r w:rsidRPr="00A613A8">
              <w:rPr>
                <w:b w:val="0"/>
              </w:rPr>
              <w:t>Subtopic</w:t>
            </w:r>
          </w:p>
        </w:tc>
        <w:tc>
          <w:tcPr>
            <w:tcW w:w="2977" w:type="dxa"/>
          </w:tcPr>
          <w:p w14:paraId="17134C1A" w14:textId="77777777" w:rsidR="00436B89" w:rsidRPr="00A613A8" w:rsidRDefault="00436B89" w:rsidP="00C64237">
            <w:pPr>
              <w:cnfStyle w:val="100000000000" w:firstRow="1" w:lastRow="0" w:firstColumn="0" w:lastColumn="0" w:oddVBand="0" w:evenVBand="0" w:oddHBand="0" w:evenHBand="0" w:firstRowFirstColumn="0" w:firstRowLastColumn="0" w:lastRowFirstColumn="0" w:lastRowLastColumn="0"/>
              <w:rPr>
                <w:b w:val="0"/>
              </w:rPr>
            </w:pPr>
            <w:r w:rsidRPr="00A613A8">
              <w:rPr>
                <w:b w:val="0"/>
              </w:rPr>
              <w:t>Study ID</w:t>
            </w:r>
          </w:p>
        </w:tc>
        <w:tc>
          <w:tcPr>
            <w:tcW w:w="992" w:type="dxa"/>
          </w:tcPr>
          <w:p w14:paraId="5A5B4E65" w14:textId="77777777" w:rsidR="00436B89" w:rsidRPr="00A613A8" w:rsidRDefault="00436B89" w:rsidP="00C64237">
            <w:pPr>
              <w:cnfStyle w:val="100000000000" w:firstRow="1" w:lastRow="0" w:firstColumn="0" w:lastColumn="0" w:oddVBand="0" w:evenVBand="0" w:oddHBand="0" w:evenHBand="0" w:firstRowFirstColumn="0" w:firstRowLastColumn="0" w:lastRowFirstColumn="0" w:lastRowLastColumn="0"/>
              <w:rPr>
                <w:b w:val="0"/>
              </w:rPr>
            </w:pPr>
            <w:r w:rsidRPr="00A613A8">
              <w:rPr>
                <w:b w:val="0"/>
              </w:rPr>
              <w:t>*</w:t>
            </w:r>
          </w:p>
        </w:tc>
      </w:tr>
      <w:tr w:rsidR="00436B89" w:rsidRPr="00A613A8" w14:paraId="6232DA23" w14:textId="77777777" w:rsidTr="00C64237">
        <w:trPr>
          <w:trHeight w:val="789"/>
        </w:trPr>
        <w:tc>
          <w:tcPr>
            <w:cnfStyle w:val="001000000000" w:firstRow="0" w:lastRow="0" w:firstColumn="1" w:lastColumn="0" w:oddVBand="0" w:evenVBand="0" w:oddHBand="0" w:evenHBand="0" w:firstRowFirstColumn="0" w:firstRowLastColumn="0" w:lastRowFirstColumn="0" w:lastRowLastColumn="0"/>
            <w:tcW w:w="2235" w:type="dxa"/>
          </w:tcPr>
          <w:p w14:paraId="2B1BF8FF" w14:textId="77777777" w:rsidR="00436B89" w:rsidRPr="00A613A8" w:rsidRDefault="00436B89" w:rsidP="00C64237">
            <w:pPr>
              <w:rPr>
                <w:color w:val="000000"/>
              </w:rPr>
            </w:pPr>
            <w:r w:rsidRPr="00A613A8">
              <w:rPr>
                <w:color w:val="000000"/>
              </w:rPr>
              <w:t>Primary Pharmacology</w:t>
            </w:r>
          </w:p>
        </w:tc>
        <w:tc>
          <w:tcPr>
            <w:tcW w:w="2693" w:type="dxa"/>
          </w:tcPr>
          <w:p w14:paraId="6B2C2939" w14:textId="77777777" w:rsidR="00436B89" w:rsidRPr="00A613A8" w:rsidRDefault="00436B89" w:rsidP="00C64237">
            <w:pPr>
              <w:cnfStyle w:val="000000000000" w:firstRow="0" w:lastRow="0" w:firstColumn="0" w:lastColumn="0" w:oddVBand="0" w:evenVBand="0" w:oddHBand="0" w:evenHBand="0" w:firstRowFirstColumn="0" w:firstRowLastColumn="0" w:lastRowFirstColumn="0" w:lastRowLastColumn="0"/>
              <w:rPr>
                <w:color w:val="000000"/>
              </w:rPr>
            </w:pPr>
            <w:r w:rsidRPr="00A613A8">
              <w:rPr>
                <w:color w:val="000000"/>
              </w:rPr>
              <w:t xml:space="preserve">Effect on PD </w:t>
            </w:r>
            <w:r>
              <w:rPr>
                <w:color w:val="000000"/>
              </w:rPr>
              <w:t>Ammonia</w:t>
            </w:r>
          </w:p>
        </w:tc>
        <w:tc>
          <w:tcPr>
            <w:tcW w:w="2977" w:type="dxa"/>
          </w:tcPr>
          <w:p w14:paraId="79288991" w14:textId="58158E2E" w:rsidR="00436B89" w:rsidRPr="00A918A1" w:rsidRDefault="00436B89" w:rsidP="00C64237">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Lee 2010</w:t>
            </w:r>
            <w:r w:rsidR="00C64237">
              <w:rPr>
                <w:lang w:eastAsia="ja-JP"/>
              </w:rPr>
              <w:t xml:space="preserve"> </w:t>
            </w:r>
            <w:r>
              <w:rPr>
                <w:lang w:eastAsia="ja-JP"/>
              </w:rPr>
              <w:t>Brusilow 1993</w:t>
            </w:r>
          </w:p>
        </w:tc>
        <w:tc>
          <w:tcPr>
            <w:tcW w:w="992" w:type="dxa"/>
          </w:tcPr>
          <w:p w14:paraId="23327803" w14:textId="77777777" w:rsidR="00436B89" w:rsidRPr="00A613A8" w:rsidRDefault="00436B89" w:rsidP="00C64237">
            <w:pPr>
              <w:cnfStyle w:val="000000000000" w:firstRow="0" w:lastRow="0" w:firstColumn="0" w:lastColumn="0" w:oddVBand="0" w:evenVBand="0" w:oddHBand="0" w:evenHBand="0" w:firstRowFirstColumn="0" w:firstRowLastColumn="0" w:lastRowFirstColumn="0" w:lastRowLastColumn="0"/>
              <w:rPr>
                <w:color w:val="000000"/>
              </w:rPr>
            </w:pPr>
          </w:p>
        </w:tc>
      </w:tr>
    </w:tbl>
    <w:p w14:paraId="53E762C1" w14:textId="77777777" w:rsidR="00436B89" w:rsidRPr="00A613A8" w:rsidRDefault="00436B89" w:rsidP="00177802">
      <w:pPr>
        <w:pStyle w:val="Heading3"/>
        <w:numPr>
          <w:ilvl w:val="1"/>
          <w:numId w:val="5"/>
        </w:numPr>
        <w:ind w:left="907" w:hanging="794"/>
      </w:pPr>
      <w:bookmarkStart w:id="201" w:name="_Ref269119989"/>
      <w:bookmarkStart w:id="202" w:name="_Toc272414639"/>
      <w:bookmarkStart w:id="203" w:name="_Toc290888487"/>
      <w:bookmarkStart w:id="204" w:name="_Toc416353684"/>
      <w:bookmarkStart w:id="205" w:name="_Toc421005253"/>
      <w:bookmarkStart w:id="206" w:name="_Toc432079135"/>
      <w:bookmarkStart w:id="207" w:name="_Toc432080708"/>
      <w:bookmarkStart w:id="208" w:name="_Toc473013888"/>
      <w:bookmarkStart w:id="209" w:name="_Toc505179685"/>
      <w:r w:rsidRPr="00A613A8">
        <w:t>Summary of pharmacodynamics</w:t>
      </w:r>
      <w:bookmarkEnd w:id="201"/>
      <w:bookmarkEnd w:id="202"/>
      <w:bookmarkEnd w:id="203"/>
      <w:bookmarkEnd w:id="204"/>
      <w:bookmarkEnd w:id="205"/>
      <w:bookmarkEnd w:id="206"/>
      <w:bookmarkEnd w:id="207"/>
      <w:bookmarkEnd w:id="208"/>
      <w:bookmarkEnd w:id="209"/>
    </w:p>
    <w:p w14:paraId="6EC4717C" w14:textId="77777777" w:rsidR="00436B89" w:rsidRDefault="00436B89" w:rsidP="00177802">
      <w:pPr>
        <w:pStyle w:val="Heading4"/>
        <w:numPr>
          <w:ilvl w:val="2"/>
          <w:numId w:val="5"/>
        </w:numPr>
      </w:pPr>
      <w:bookmarkStart w:id="210" w:name="_Toc241374299"/>
      <w:bookmarkStart w:id="211" w:name="_Toc272414640"/>
      <w:bookmarkStart w:id="212" w:name="_Toc290888488"/>
      <w:bookmarkStart w:id="213" w:name="_Toc416353685"/>
      <w:bookmarkStart w:id="214" w:name="_Toc421005254"/>
      <w:bookmarkStart w:id="215" w:name="_Toc432079136"/>
      <w:bookmarkStart w:id="216" w:name="_Toc432080709"/>
      <w:r w:rsidRPr="00A613A8">
        <w:t>Mechanism of action</w:t>
      </w:r>
      <w:bookmarkEnd w:id="210"/>
      <w:bookmarkEnd w:id="211"/>
      <w:bookmarkEnd w:id="212"/>
      <w:bookmarkEnd w:id="213"/>
      <w:bookmarkEnd w:id="214"/>
      <w:bookmarkEnd w:id="215"/>
      <w:bookmarkEnd w:id="216"/>
    </w:p>
    <w:p w14:paraId="0142870E" w14:textId="77777777" w:rsidR="00436B89" w:rsidRDefault="00436B89" w:rsidP="00436B89">
      <w:pPr>
        <w:rPr>
          <w:lang w:eastAsia="ja-JP"/>
        </w:rPr>
      </w:pPr>
      <w:r>
        <w:rPr>
          <w:lang w:eastAsia="ja-JP"/>
        </w:rPr>
        <w:t>Sodium phenylbutyrate is absorbed from the intestine and converted to the active moiety, phenylacetic acid via β oxidation (Figure 13). Phenylacetate is subsequently conjugated with glutamine in the liver and the kidney by way of N acyl-coenzyme A/L-glutamine N-acyltransferase to form phenylacetylglutamine. Like urea, phenylacetylglutamine incorporates two waste nitrogens and is excreted in the urine.</w:t>
      </w:r>
    </w:p>
    <w:p w14:paraId="7043D1DD" w14:textId="77777777" w:rsidR="00436B89" w:rsidRDefault="00436B89" w:rsidP="00C64237">
      <w:pPr>
        <w:pStyle w:val="FigureTitle"/>
        <w:rPr>
          <w:lang w:eastAsia="ja-JP"/>
        </w:rPr>
      </w:pPr>
      <w:bookmarkStart w:id="217" w:name="_Ref458285071"/>
      <w:bookmarkStart w:id="218" w:name="_Toc473013995"/>
      <w:r>
        <w:t>Figure 13</w:t>
      </w:r>
      <w:bookmarkEnd w:id="217"/>
      <w:r>
        <w:t xml:space="preserve">: </w:t>
      </w:r>
      <w:r>
        <w:rPr>
          <w:lang w:eastAsia="en-AU"/>
        </w:rPr>
        <w:t>Conversion of phenylbutyrate to active phenylacetate by β oxidation (Matoori</w:t>
      </w:r>
      <w:bookmarkEnd w:id="218"/>
      <w:r>
        <w:rPr>
          <w:lang w:eastAsia="en-AU"/>
        </w:rPr>
        <w:t xml:space="preserve"> and Leroux, 2015)</w:t>
      </w:r>
    </w:p>
    <w:p w14:paraId="74D70AD0" w14:textId="77777777" w:rsidR="00436B89" w:rsidRPr="00EB290A" w:rsidRDefault="00436B89" w:rsidP="00436B89">
      <w:pPr>
        <w:rPr>
          <w:lang w:eastAsia="ja-JP"/>
        </w:rPr>
      </w:pPr>
      <w:r>
        <w:rPr>
          <w:noProof/>
          <w:lang w:eastAsia="en-AU"/>
        </w:rPr>
        <w:drawing>
          <wp:inline distT="0" distB="0" distL="0" distR="0" wp14:anchorId="37118E95" wp14:editId="3797CC23">
            <wp:extent cx="3192780" cy="1143000"/>
            <wp:effectExtent l="0" t="0" r="7620" b="0"/>
            <wp:docPr id="30" name="Picture 30" descr="Figure 13: Conversion of phenylbutyrate to active phenylacetate by β oxidation (Matoori and Leroux,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3192780" cy="1143000"/>
                    </a:xfrm>
                    <a:prstGeom prst="rect">
                      <a:avLst/>
                    </a:prstGeom>
                    <a:noFill/>
                    <a:ln>
                      <a:noFill/>
                    </a:ln>
                  </pic:spPr>
                </pic:pic>
              </a:graphicData>
            </a:graphic>
          </wp:inline>
        </w:drawing>
      </w:r>
    </w:p>
    <w:p w14:paraId="78C6B8C8" w14:textId="77777777" w:rsidR="00436B89" w:rsidRPr="00A613A8" w:rsidRDefault="00436B89" w:rsidP="00177802">
      <w:pPr>
        <w:pStyle w:val="Heading4"/>
        <w:numPr>
          <w:ilvl w:val="2"/>
          <w:numId w:val="5"/>
        </w:numPr>
      </w:pPr>
      <w:bookmarkStart w:id="219" w:name="_Toc241374300"/>
      <w:bookmarkStart w:id="220" w:name="_Toc272414641"/>
      <w:bookmarkStart w:id="221" w:name="_Toc290888489"/>
      <w:bookmarkStart w:id="222" w:name="_Toc416353686"/>
      <w:bookmarkStart w:id="223" w:name="_Toc421005255"/>
      <w:bookmarkStart w:id="224" w:name="_Toc432079137"/>
      <w:bookmarkStart w:id="225" w:name="_Toc432080710"/>
      <w:r w:rsidRPr="00A613A8">
        <w:t>Pharmacodynamic effects</w:t>
      </w:r>
      <w:bookmarkEnd w:id="219"/>
      <w:bookmarkEnd w:id="220"/>
      <w:bookmarkEnd w:id="221"/>
      <w:bookmarkEnd w:id="222"/>
      <w:bookmarkEnd w:id="223"/>
      <w:bookmarkEnd w:id="224"/>
      <w:bookmarkEnd w:id="225"/>
      <w:r w:rsidRPr="00A613A8">
        <w:t xml:space="preserve"> </w:t>
      </w:r>
    </w:p>
    <w:p w14:paraId="7AABCE28" w14:textId="77777777" w:rsidR="00436B89" w:rsidRPr="00A613A8" w:rsidRDefault="00436B89" w:rsidP="00177802">
      <w:pPr>
        <w:pStyle w:val="Heading5"/>
        <w:numPr>
          <w:ilvl w:val="3"/>
          <w:numId w:val="5"/>
        </w:numPr>
        <w:tabs>
          <w:tab w:val="clear" w:pos="1418"/>
          <w:tab w:val="num" w:pos="1191"/>
        </w:tabs>
        <w:ind w:left="1191"/>
      </w:pPr>
      <w:bookmarkStart w:id="226" w:name="_Toc272414642"/>
      <w:bookmarkStart w:id="227" w:name="_Toc290888490"/>
      <w:bookmarkStart w:id="228" w:name="_Toc416353687"/>
      <w:r w:rsidRPr="00A613A8">
        <w:t>Primary pharmacodynamic effects</w:t>
      </w:r>
      <w:bookmarkEnd w:id="226"/>
      <w:bookmarkEnd w:id="227"/>
      <w:bookmarkEnd w:id="228"/>
    </w:p>
    <w:p w14:paraId="2C10DE53" w14:textId="77777777" w:rsidR="00436B89" w:rsidRPr="00D179AD" w:rsidRDefault="00436B89" w:rsidP="00436B89">
      <w:bookmarkStart w:id="229" w:name="_Toc272414643"/>
      <w:bookmarkStart w:id="230" w:name="_Toc290888491"/>
      <w:bookmarkStart w:id="231" w:name="_Toc416353688"/>
      <w:r>
        <w:rPr>
          <w:lang w:eastAsia="ja-JP"/>
        </w:rPr>
        <w:t>The effect of sodium phenylbutyrate on ammonia levels was described in Lee 2010 (</w:t>
      </w:r>
      <w:r w:rsidRPr="00A613A8">
        <w:t xml:space="preserve">Table </w:t>
      </w:r>
      <w:r>
        <w:t>18</w:t>
      </w:r>
      <w:r>
        <w:rPr>
          <w:lang w:eastAsia="ja-JP"/>
        </w:rPr>
        <w:t>). Changes were not compared with a control group; however historically patients with UCDs have high serum ammonia and reduced nitrogen excretion.</w:t>
      </w:r>
      <w:bookmarkStart w:id="232" w:name="_Ref457767704"/>
      <w:r>
        <w:rPr>
          <w:lang w:eastAsia="ja-JP"/>
        </w:rPr>
        <w:t xml:space="preserve"> </w:t>
      </w:r>
    </w:p>
    <w:p w14:paraId="1E2DF17E" w14:textId="77777777" w:rsidR="00436B89" w:rsidRPr="00A613A8" w:rsidRDefault="00436B89" w:rsidP="00C64237">
      <w:pPr>
        <w:pStyle w:val="Tabletitle"/>
        <w:rPr>
          <w:lang w:eastAsia="ja-JP"/>
        </w:rPr>
      </w:pPr>
      <w:bookmarkStart w:id="233" w:name="_Toc473013957"/>
      <w:r w:rsidRPr="00A613A8">
        <w:lastRenderedPageBreak/>
        <w:t xml:space="preserve">Table </w:t>
      </w:r>
      <w:r>
        <w:t>18:</w:t>
      </w:r>
      <w:bookmarkEnd w:id="232"/>
      <w:r w:rsidRPr="00A613A8">
        <w:t xml:space="preserve"> </w:t>
      </w:r>
      <w:r w:rsidRPr="00A613A8">
        <w:rPr>
          <w:lang w:eastAsia="en-AU"/>
        </w:rPr>
        <w:t>Pharmacokinetic parameters and ammonia following sodium phenylbutyrate (NaPB) and glycerol phenylbutyrate administration (Lee 2010)</w:t>
      </w:r>
      <w:bookmarkEnd w:id="233"/>
    </w:p>
    <w:p w14:paraId="6396325B" w14:textId="77777777" w:rsidR="00436B89" w:rsidRPr="00A613A8" w:rsidRDefault="00436B89" w:rsidP="00436B89">
      <w:pPr>
        <w:rPr>
          <w:lang w:eastAsia="ja-JP"/>
        </w:rPr>
      </w:pPr>
      <w:r>
        <w:rPr>
          <w:noProof/>
          <w:lang w:eastAsia="en-AU"/>
        </w:rPr>
        <w:drawing>
          <wp:inline distT="0" distB="0" distL="0" distR="0" wp14:anchorId="557F24AB" wp14:editId="09AE98AE">
            <wp:extent cx="4120286" cy="5890438"/>
            <wp:effectExtent l="0" t="0" r="0" b="0"/>
            <wp:docPr id="31" name="Picture 31" descr="Table 18: Pharmacokinetic parameters and ammonia following sodium phenylbutyrate (NaPB) and glycerol phenylbutyrate administration (Le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1129" cy="5891643"/>
                    </a:xfrm>
                    <a:prstGeom prst="rect">
                      <a:avLst/>
                    </a:prstGeom>
                    <a:noFill/>
                    <a:ln>
                      <a:noFill/>
                    </a:ln>
                  </pic:spPr>
                </pic:pic>
              </a:graphicData>
            </a:graphic>
          </wp:inline>
        </w:drawing>
      </w:r>
    </w:p>
    <w:p w14:paraId="1416C71F" w14:textId="77777777" w:rsidR="00436B89" w:rsidRPr="00A613A8" w:rsidRDefault="00436B89" w:rsidP="00177802">
      <w:pPr>
        <w:pStyle w:val="Heading3"/>
        <w:numPr>
          <w:ilvl w:val="1"/>
          <w:numId w:val="5"/>
        </w:numPr>
        <w:ind w:left="907" w:hanging="794"/>
      </w:pPr>
      <w:bookmarkStart w:id="234" w:name="_Ref269983272"/>
      <w:bookmarkStart w:id="235" w:name="_Toc272414648"/>
      <w:bookmarkStart w:id="236" w:name="_Toc290888496"/>
      <w:bookmarkStart w:id="237" w:name="_Toc416353693"/>
      <w:bookmarkStart w:id="238" w:name="_Toc421005260"/>
      <w:bookmarkStart w:id="239" w:name="_Toc432079142"/>
      <w:bookmarkStart w:id="240" w:name="_Toc432080715"/>
      <w:bookmarkStart w:id="241" w:name="_Toc473013889"/>
      <w:bookmarkStart w:id="242" w:name="_Toc505179686"/>
      <w:bookmarkEnd w:id="229"/>
      <w:bookmarkEnd w:id="230"/>
      <w:bookmarkEnd w:id="231"/>
      <w:r w:rsidRPr="00A613A8">
        <w:t>Evaluator’s overall conclusions on pharmacodynamics</w:t>
      </w:r>
      <w:bookmarkEnd w:id="234"/>
      <w:bookmarkEnd w:id="235"/>
      <w:bookmarkEnd w:id="236"/>
      <w:bookmarkEnd w:id="237"/>
      <w:bookmarkEnd w:id="238"/>
      <w:bookmarkEnd w:id="239"/>
      <w:bookmarkEnd w:id="240"/>
      <w:bookmarkEnd w:id="241"/>
      <w:bookmarkEnd w:id="242"/>
    </w:p>
    <w:p w14:paraId="48E19F9E" w14:textId="77777777" w:rsidR="00436B89" w:rsidRDefault="00436B89" w:rsidP="00436B89">
      <w:r>
        <w:rPr>
          <w:lang w:eastAsia="ja-JP"/>
        </w:rPr>
        <w:t xml:space="preserve">There were literature based data to support the proposed mechanism of action of </w:t>
      </w:r>
      <w:r w:rsidRPr="00A613A8">
        <w:rPr>
          <w:lang w:eastAsia="en-AU"/>
        </w:rPr>
        <w:t>sodium phenylbutyrate</w:t>
      </w:r>
      <w:r>
        <w:rPr>
          <w:lang w:eastAsia="en-AU"/>
        </w:rPr>
        <w:t xml:space="preserve">, acting via its active metabolite phenylacetic acid, as an </w:t>
      </w:r>
      <w:r w:rsidRPr="00EB290A">
        <w:rPr>
          <w:lang w:eastAsia="en-AU"/>
        </w:rPr>
        <w:t xml:space="preserve">alternate pathway for the excretion of excess nitrogen. </w:t>
      </w:r>
      <w:r w:rsidRPr="00D179AD">
        <w:rPr>
          <w:lang w:eastAsia="ja-JP"/>
        </w:rPr>
        <w:t>Brusilow 1993</w:t>
      </w:r>
      <w:r>
        <w:rPr>
          <w:lang w:eastAsia="ja-JP"/>
        </w:rPr>
        <w:t xml:space="preserve"> did demonstrate increased nitrogen excretion in a single patient after receiving sodium phenylbutyrate</w:t>
      </w:r>
      <w:r>
        <w:t>.</w:t>
      </w:r>
    </w:p>
    <w:p w14:paraId="12B54273" w14:textId="77777777" w:rsidR="00436B89" w:rsidRPr="009D3F1F" w:rsidRDefault="00436B89" w:rsidP="00177802">
      <w:pPr>
        <w:pStyle w:val="ListBullet"/>
        <w:numPr>
          <w:ilvl w:val="0"/>
          <w:numId w:val="1"/>
        </w:numPr>
        <w:rPr>
          <w:i/>
          <w:lang w:eastAsia="ja-JP"/>
        </w:rPr>
      </w:pPr>
      <w:r w:rsidRPr="009D3F1F">
        <w:rPr>
          <w:i/>
        </w:rPr>
        <w:t xml:space="preserve">The sponsor should reinvestigate the literature for further evidence of a dose response effect on nitrogen excretion with </w:t>
      </w:r>
      <w:r w:rsidRPr="009D3F1F">
        <w:rPr>
          <w:i/>
          <w:lang w:eastAsia="ja-JP"/>
        </w:rPr>
        <w:t>sodium phenylbutyrate</w:t>
      </w:r>
      <w:r w:rsidRPr="009D3F1F">
        <w:rPr>
          <w:i/>
        </w:rPr>
        <w:t>.</w:t>
      </w:r>
    </w:p>
    <w:p w14:paraId="4EC2E548" w14:textId="77777777" w:rsidR="00436B89" w:rsidRPr="00A613A8" w:rsidRDefault="00436B89" w:rsidP="00177802">
      <w:pPr>
        <w:pStyle w:val="Heading2"/>
        <w:numPr>
          <w:ilvl w:val="0"/>
          <w:numId w:val="5"/>
        </w:numPr>
      </w:pPr>
      <w:bookmarkStart w:id="243" w:name="_Toc473013890"/>
      <w:bookmarkStart w:id="244" w:name="_Toc505179687"/>
      <w:r w:rsidRPr="00A613A8">
        <w:lastRenderedPageBreak/>
        <w:t>Dosage selection for the pivotal studies</w:t>
      </w:r>
      <w:bookmarkEnd w:id="243"/>
      <w:bookmarkEnd w:id="244"/>
    </w:p>
    <w:p w14:paraId="25E2DB24" w14:textId="77777777" w:rsidR="00436B89" w:rsidRPr="00A613A8" w:rsidRDefault="00436B89" w:rsidP="00177802">
      <w:pPr>
        <w:pStyle w:val="Heading3"/>
        <w:numPr>
          <w:ilvl w:val="1"/>
          <w:numId w:val="5"/>
        </w:numPr>
        <w:ind w:left="907" w:hanging="794"/>
      </w:pPr>
      <w:bookmarkStart w:id="245" w:name="_Toc416353695"/>
      <w:bookmarkStart w:id="246" w:name="_Toc421005262"/>
      <w:bookmarkStart w:id="247" w:name="_Toc432079144"/>
      <w:bookmarkStart w:id="248" w:name="_Toc432080717"/>
      <w:bookmarkStart w:id="249" w:name="_Toc473013891"/>
      <w:bookmarkStart w:id="250" w:name="_Toc505179688"/>
      <w:r w:rsidRPr="00A613A8">
        <w:t>Pharmacokinetics and pharmacodynamics: dose finding studies</w:t>
      </w:r>
      <w:bookmarkEnd w:id="245"/>
      <w:bookmarkEnd w:id="246"/>
      <w:bookmarkEnd w:id="247"/>
      <w:bookmarkEnd w:id="248"/>
      <w:bookmarkEnd w:id="249"/>
      <w:bookmarkEnd w:id="250"/>
    </w:p>
    <w:p w14:paraId="0AFDC1B5" w14:textId="77777777" w:rsidR="00436B89" w:rsidRPr="00A613A8" w:rsidRDefault="00436B89" w:rsidP="00436B89">
      <w:pPr>
        <w:rPr>
          <w:lang w:eastAsia="ja-JP"/>
        </w:rPr>
      </w:pPr>
      <w:r w:rsidRPr="00A613A8">
        <w:rPr>
          <w:lang w:eastAsia="ja-JP"/>
        </w:rPr>
        <w:t>The dossier states that there is no dose finding information. The submission includes the following justification for the dosing regimen.</w:t>
      </w:r>
    </w:p>
    <w:p w14:paraId="43FCF720" w14:textId="77777777" w:rsidR="00436B89" w:rsidRPr="00A613A8" w:rsidRDefault="00436B89" w:rsidP="00436B89">
      <w:pPr>
        <w:ind w:left="720"/>
        <w:rPr>
          <w:lang w:eastAsia="ja-JP"/>
        </w:rPr>
      </w:pPr>
      <w:r w:rsidRPr="00A613A8">
        <w:rPr>
          <w:lang w:eastAsia="ja-JP"/>
        </w:rPr>
        <w:t>No dose-finding study has been performed in UCD patients. The proposed daily dosage was derived on the basis that one mole of phenylbutyrate will be metabol</w:t>
      </w:r>
      <w:r>
        <w:rPr>
          <w:lang w:eastAsia="ja-JP"/>
        </w:rPr>
        <w:t xml:space="preserve">ised </w:t>
      </w:r>
      <w:r w:rsidRPr="00A613A8">
        <w:rPr>
          <w:lang w:eastAsia="ja-JP"/>
        </w:rPr>
        <w:t>to one mole of phenylacetylglutamine, and from the estimated nitrogen to be excreted on a restricted protein intake. On a molar basis phenylacetylglutamine is comparable to urea (each containing two nitrogen atoms) and provides therefore an alternate vehicle for waste nitrogen disposal. Children (6-24 months of age) receiving a diet of 0.2 g/</w:t>
      </w:r>
      <w:r>
        <w:rPr>
          <w:lang w:eastAsia="ja-JP"/>
        </w:rPr>
        <w:t>kg/day</w:t>
      </w:r>
      <w:r w:rsidRPr="00A613A8">
        <w:rPr>
          <w:lang w:eastAsia="ja-JP"/>
        </w:rPr>
        <w:t xml:space="preserve"> of nitrogen (1.25 g/</w:t>
      </w:r>
      <w:r>
        <w:rPr>
          <w:lang w:eastAsia="ja-JP"/>
        </w:rPr>
        <w:t>kg/day</w:t>
      </w:r>
      <w:r w:rsidRPr="00A613A8">
        <w:rPr>
          <w:lang w:eastAsia="ja-JP"/>
        </w:rPr>
        <w:t xml:space="preserve"> of protein) have been shown to excrete 0.094 g/</w:t>
      </w:r>
      <w:r>
        <w:rPr>
          <w:lang w:eastAsia="ja-JP"/>
        </w:rPr>
        <w:t>kg/day</w:t>
      </w:r>
      <w:r w:rsidRPr="00A613A8">
        <w:rPr>
          <w:lang w:eastAsia="ja-JP"/>
        </w:rPr>
        <w:t xml:space="preserve"> of urea nitrogen, accounting for 47% of dietary nitrogen (Waterlow 1963). Children or adults receiving a low but adequate protein intake excrete 40-45% of their dietary nitrogen as urea nitrogen. Thus, a child receiving 1.25 g/</w:t>
      </w:r>
      <w:r>
        <w:rPr>
          <w:lang w:eastAsia="ja-JP"/>
        </w:rPr>
        <w:t>kg/day</w:t>
      </w:r>
      <w:r w:rsidRPr="00A613A8">
        <w:rPr>
          <w:lang w:eastAsia="ja-JP"/>
        </w:rPr>
        <w:t xml:space="preserve"> of protein has the obligatory requirement to synthesize 93 mg/</w:t>
      </w:r>
      <w:r>
        <w:rPr>
          <w:lang w:eastAsia="ja-JP"/>
        </w:rPr>
        <w:t>kg/day</w:t>
      </w:r>
      <w:r w:rsidRPr="00A613A8">
        <w:rPr>
          <w:lang w:eastAsia="ja-JP"/>
        </w:rPr>
        <w:t xml:space="preserve"> of waste nitrogen as urea. This requirement can be met by patients with the neonatal form of CPS-I and OTC deficiencies if they receive 600 mg/</w:t>
      </w:r>
      <w:r>
        <w:rPr>
          <w:lang w:eastAsia="ja-JP"/>
        </w:rPr>
        <w:t>kg/day</w:t>
      </w:r>
      <w:r w:rsidRPr="00A613A8">
        <w:rPr>
          <w:lang w:eastAsia="ja-JP"/>
        </w:rPr>
        <w:t xml:space="preserve"> of sodium phenylbutyrate which if completely conjugated with glutamine will lead to the excretion of 90 mg/</w:t>
      </w:r>
      <w:r>
        <w:rPr>
          <w:lang w:eastAsia="ja-JP"/>
        </w:rPr>
        <w:t>kg/day</w:t>
      </w:r>
      <w:r w:rsidRPr="00A613A8">
        <w:rPr>
          <w:lang w:eastAsia="ja-JP"/>
        </w:rPr>
        <w:t xml:space="preserve"> of phenylacetylglutamine nitrogen.</w:t>
      </w:r>
    </w:p>
    <w:p w14:paraId="5AA14D35" w14:textId="77777777" w:rsidR="00436B89" w:rsidRPr="00A613A8" w:rsidRDefault="00436B89" w:rsidP="00436B89">
      <w:pPr>
        <w:ind w:left="720"/>
        <w:rPr>
          <w:lang w:eastAsia="ja-JP"/>
        </w:rPr>
      </w:pPr>
      <w:r w:rsidRPr="00A613A8">
        <w:rPr>
          <w:lang w:eastAsia="ja-JP"/>
        </w:rPr>
        <w:t>These theoretical considerations were confirmed in an 8-year-old boy (of 27.2 kg body weight) with neonatal CPS-I (Brusilow 1991). When receiving 12 or 14 g/d of phenylbutyrate, 80-90% of the dose appeared in the urine as phenylacetylglutamine and phenylacetylglutamine nitrogen accounted for 42-44% of dietary nitrogen.</w:t>
      </w:r>
    </w:p>
    <w:p w14:paraId="791BC823" w14:textId="77777777" w:rsidR="00436B89" w:rsidRPr="00A613A8" w:rsidRDefault="00436B89" w:rsidP="00177802">
      <w:pPr>
        <w:pStyle w:val="Heading3"/>
        <w:numPr>
          <w:ilvl w:val="1"/>
          <w:numId w:val="5"/>
        </w:numPr>
        <w:ind w:left="907" w:hanging="794"/>
      </w:pPr>
      <w:bookmarkStart w:id="251" w:name="_Toc416353696"/>
      <w:bookmarkStart w:id="252" w:name="_Toc421005263"/>
      <w:bookmarkStart w:id="253" w:name="_Toc432079145"/>
      <w:bookmarkStart w:id="254" w:name="_Toc432080718"/>
      <w:bookmarkStart w:id="255" w:name="_Toc473013892"/>
      <w:bookmarkStart w:id="256" w:name="_Toc505179689"/>
      <w:r w:rsidRPr="00A613A8">
        <w:t>Phase II dose finding studies</w:t>
      </w:r>
      <w:bookmarkEnd w:id="251"/>
      <w:bookmarkEnd w:id="252"/>
      <w:bookmarkEnd w:id="253"/>
      <w:bookmarkEnd w:id="254"/>
      <w:bookmarkEnd w:id="255"/>
      <w:bookmarkEnd w:id="256"/>
    </w:p>
    <w:p w14:paraId="39D9D768" w14:textId="77777777" w:rsidR="00436B89" w:rsidRPr="00A613A8" w:rsidRDefault="00436B89" w:rsidP="00436B89">
      <w:pPr>
        <w:rPr>
          <w:lang w:eastAsia="ja-JP"/>
        </w:rPr>
      </w:pPr>
      <w:r w:rsidRPr="00A613A8">
        <w:rPr>
          <w:lang w:eastAsia="ja-JP"/>
        </w:rPr>
        <w:t>No studies investigating alternative doses were supplied.</w:t>
      </w:r>
    </w:p>
    <w:p w14:paraId="752991CF" w14:textId="77777777" w:rsidR="00436B89" w:rsidRPr="00A613A8" w:rsidRDefault="00436B89" w:rsidP="00177802">
      <w:pPr>
        <w:pStyle w:val="Heading3"/>
        <w:numPr>
          <w:ilvl w:val="1"/>
          <w:numId w:val="5"/>
        </w:numPr>
        <w:ind w:left="907" w:hanging="794"/>
      </w:pPr>
      <w:bookmarkStart w:id="257" w:name="_Toc416353712"/>
      <w:bookmarkStart w:id="258" w:name="_Toc421005265"/>
      <w:bookmarkStart w:id="259" w:name="_Toc432079147"/>
      <w:bookmarkStart w:id="260" w:name="_Toc432080720"/>
      <w:bookmarkStart w:id="261" w:name="_Toc473013893"/>
      <w:bookmarkStart w:id="262" w:name="_Toc505179690"/>
      <w:r w:rsidRPr="00A613A8">
        <w:t>Phase III pivotal studies investigating more than one dose regimen</w:t>
      </w:r>
      <w:bookmarkEnd w:id="257"/>
      <w:bookmarkEnd w:id="258"/>
      <w:bookmarkEnd w:id="259"/>
      <w:bookmarkEnd w:id="260"/>
      <w:bookmarkEnd w:id="261"/>
      <w:bookmarkEnd w:id="262"/>
    </w:p>
    <w:p w14:paraId="56CBBB04" w14:textId="77777777" w:rsidR="00436B89" w:rsidRPr="00A613A8" w:rsidRDefault="00436B89" w:rsidP="00436B89">
      <w:pPr>
        <w:rPr>
          <w:lang w:eastAsia="ja-JP"/>
        </w:rPr>
      </w:pPr>
      <w:r w:rsidRPr="00A613A8">
        <w:rPr>
          <w:lang w:eastAsia="ja-JP"/>
        </w:rPr>
        <w:t>No studies investigating more than one dosing regimen were supplied.</w:t>
      </w:r>
    </w:p>
    <w:p w14:paraId="60D27C5E" w14:textId="77777777" w:rsidR="00436B89" w:rsidRPr="00A613A8" w:rsidRDefault="00436B89" w:rsidP="00177802">
      <w:pPr>
        <w:pStyle w:val="Heading3"/>
        <w:numPr>
          <w:ilvl w:val="1"/>
          <w:numId w:val="5"/>
        </w:numPr>
        <w:ind w:left="907" w:hanging="794"/>
      </w:pPr>
      <w:bookmarkStart w:id="263" w:name="_Toc416353713"/>
      <w:bookmarkStart w:id="264" w:name="_Toc421005266"/>
      <w:bookmarkStart w:id="265" w:name="_Toc432079148"/>
      <w:bookmarkStart w:id="266" w:name="_Toc432080721"/>
      <w:bookmarkStart w:id="267" w:name="_Toc473013894"/>
      <w:bookmarkStart w:id="268" w:name="_Toc505179691"/>
      <w:r w:rsidRPr="00A613A8">
        <w:t>Evaluator’s conclusions on dose finding for the pivotal studies</w:t>
      </w:r>
      <w:bookmarkEnd w:id="263"/>
      <w:bookmarkEnd w:id="264"/>
      <w:bookmarkEnd w:id="265"/>
      <w:bookmarkEnd w:id="266"/>
      <w:bookmarkEnd w:id="267"/>
      <w:bookmarkEnd w:id="268"/>
    </w:p>
    <w:p w14:paraId="05F9FBEB" w14:textId="77777777" w:rsidR="00436B89" w:rsidRPr="00A613A8" w:rsidRDefault="00436B89" w:rsidP="00436B89">
      <w:pPr>
        <w:rPr>
          <w:lang w:eastAsia="ja-JP"/>
        </w:rPr>
      </w:pPr>
      <w:r w:rsidRPr="00A613A8">
        <w:rPr>
          <w:lang w:eastAsia="ja-JP"/>
        </w:rPr>
        <w:t>There w</w:t>
      </w:r>
      <w:r>
        <w:rPr>
          <w:lang w:eastAsia="ja-JP"/>
        </w:rPr>
        <w:t>as</w:t>
      </w:r>
      <w:r w:rsidRPr="00A613A8">
        <w:rPr>
          <w:lang w:eastAsia="ja-JP"/>
        </w:rPr>
        <w:t xml:space="preserve"> no dose finding studies on which to base the clinical dosing regimen. The recommended dosing regimen is based upon theoretical considerations a</w:t>
      </w:r>
      <w:r>
        <w:rPr>
          <w:lang w:eastAsia="ja-JP"/>
        </w:rPr>
        <w:t>nd reported clinical experience.</w:t>
      </w:r>
    </w:p>
    <w:p w14:paraId="62420AB6" w14:textId="77777777" w:rsidR="00436B89" w:rsidRPr="00A613A8" w:rsidRDefault="00436B89" w:rsidP="00177802">
      <w:pPr>
        <w:pStyle w:val="Heading2"/>
        <w:numPr>
          <w:ilvl w:val="0"/>
          <w:numId w:val="5"/>
        </w:numPr>
      </w:pPr>
      <w:bookmarkStart w:id="269" w:name="_Toc473013895"/>
      <w:bookmarkStart w:id="270" w:name="_Toc505179692"/>
      <w:r w:rsidRPr="00A613A8">
        <w:t>Clinical efficacy</w:t>
      </w:r>
      <w:bookmarkEnd w:id="269"/>
      <w:bookmarkEnd w:id="270"/>
    </w:p>
    <w:p w14:paraId="1AA1C5A1" w14:textId="77777777" w:rsidR="00436B89" w:rsidRPr="00A613A8" w:rsidRDefault="00436B89" w:rsidP="00177802">
      <w:pPr>
        <w:pStyle w:val="Heading3"/>
        <w:numPr>
          <w:ilvl w:val="1"/>
          <w:numId w:val="5"/>
        </w:numPr>
        <w:ind w:left="907" w:hanging="794"/>
      </w:pPr>
      <w:bookmarkStart w:id="271" w:name="_Toc473013896"/>
      <w:bookmarkStart w:id="272" w:name="_Ref271037274"/>
      <w:bookmarkStart w:id="273" w:name="_Toc272414652"/>
      <w:bookmarkStart w:id="274" w:name="_Toc290888500"/>
      <w:bookmarkStart w:id="275" w:name="_Toc416353716"/>
      <w:bookmarkStart w:id="276" w:name="_Toc421005269"/>
      <w:bookmarkStart w:id="277" w:name="_Toc432079151"/>
      <w:bookmarkStart w:id="278" w:name="_Toc432080724"/>
      <w:bookmarkStart w:id="279" w:name="_Toc505179693"/>
      <w:r w:rsidRPr="00A613A8">
        <w:t>Studies providing evaluable efficacy data</w:t>
      </w:r>
      <w:bookmarkEnd w:id="271"/>
      <w:bookmarkEnd w:id="279"/>
    </w:p>
    <w:p w14:paraId="4B277F57" w14:textId="77777777" w:rsidR="00436B89" w:rsidRPr="00A613A8" w:rsidRDefault="00436B89" w:rsidP="00436B89">
      <w:pPr>
        <w:rPr>
          <w:lang w:eastAsia="ja-JP"/>
        </w:rPr>
      </w:pPr>
      <w:r w:rsidRPr="00A613A8">
        <w:rPr>
          <w:lang w:eastAsia="ja-JP"/>
        </w:rPr>
        <w:t xml:space="preserve">All of the evaluable efficacy data is based upon </w:t>
      </w:r>
      <w:r>
        <w:rPr>
          <w:lang w:eastAsia="ja-JP"/>
        </w:rPr>
        <w:t xml:space="preserve">the literature search. </w:t>
      </w:r>
    </w:p>
    <w:p w14:paraId="454CFBE1" w14:textId="77777777" w:rsidR="00436B89" w:rsidRPr="00A613A8" w:rsidRDefault="00436B89" w:rsidP="00177802">
      <w:pPr>
        <w:pStyle w:val="Heading3"/>
        <w:numPr>
          <w:ilvl w:val="1"/>
          <w:numId w:val="5"/>
        </w:numPr>
        <w:ind w:left="907" w:hanging="794"/>
      </w:pPr>
      <w:bookmarkStart w:id="280" w:name="_Toc473013897"/>
      <w:bookmarkStart w:id="281" w:name="_Toc505179694"/>
      <w:r w:rsidRPr="00A613A8">
        <w:lastRenderedPageBreak/>
        <w:t>Pivotal or main efficacy studies</w:t>
      </w:r>
      <w:bookmarkEnd w:id="272"/>
      <w:bookmarkEnd w:id="273"/>
      <w:bookmarkEnd w:id="274"/>
      <w:bookmarkEnd w:id="275"/>
      <w:bookmarkEnd w:id="276"/>
      <w:bookmarkEnd w:id="277"/>
      <w:bookmarkEnd w:id="278"/>
      <w:bookmarkEnd w:id="280"/>
      <w:bookmarkEnd w:id="281"/>
    </w:p>
    <w:p w14:paraId="3567C752" w14:textId="77777777" w:rsidR="00436B89" w:rsidRPr="00A613A8" w:rsidRDefault="00436B89" w:rsidP="00436B89">
      <w:pPr>
        <w:rPr>
          <w:lang w:eastAsia="ja-JP"/>
        </w:rPr>
      </w:pPr>
      <w:r w:rsidRPr="00A613A8">
        <w:rPr>
          <w:lang w:eastAsia="ja-JP"/>
        </w:rPr>
        <w:t>No Pivotal Efficacy Studies were submitted as part of the application.</w:t>
      </w:r>
    </w:p>
    <w:p w14:paraId="695673CC" w14:textId="77777777" w:rsidR="00436B89" w:rsidRPr="00A613A8" w:rsidRDefault="00436B89" w:rsidP="00177802">
      <w:pPr>
        <w:pStyle w:val="Heading3"/>
        <w:numPr>
          <w:ilvl w:val="1"/>
          <w:numId w:val="5"/>
        </w:numPr>
        <w:ind w:left="907" w:hanging="794"/>
      </w:pPr>
      <w:bookmarkStart w:id="282" w:name="_Ref271037188"/>
      <w:bookmarkStart w:id="283" w:name="_Ref271037210"/>
      <w:bookmarkStart w:id="284" w:name="_Toc272414655"/>
      <w:bookmarkStart w:id="285" w:name="_Toc290888503"/>
      <w:bookmarkStart w:id="286" w:name="_Toc416353719"/>
      <w:bookmarkStart w:id="287" w:name="_Toc421005270"/>
      <w:bookmarkStart w:id="288" w:name="_Toc432079152"/>
      <w:bookmarkStart w:id="289" w:name="_Toc432080725"/>
      <w:bookmarkStart w:id="290" w:name="_Toc473013898"/>
      <w:bookmarkStart w:id="291" w:name="_Toc241374311"/>
      <w:bookmarkStart w:id="292" w:name="_Ref243294291"/>
      <w:bookmarkStart w:id="293" w:name="_Toc505179695"/>
      <w:r w:rsidRPr="00A613A8">
        <w:t>Other efficacy studies</w:t>
      </w:r>
      <w:bookmarkEnd w:id="282"/>
      <w:bookmarkEnd w:id="283"/>
      <w:bookmarkEnd w:id="284"/>
      <w:bookmarkEnd w:id="285"/>
      <w:bookmarkEnd w:id="286"/>
      <w:bookmarkEnd w:id="287"/>
      <w:bookmarkEnd w:id="288"/>
      <w:bookmarkEnd w:id="289"/>
      <w:bookmarkEnd w:id="290"/>
      <w:bookmarkEnd w:id="293"/>
    </w:p>
    <w:p w14:paraId="34A53F3D" w14:textId="77777777" w:rsidR="00436B89" w:rsidRPr="00A613A8" w:rsidRDefault="00436B89" w:rsidP="00177802">
      <w:pPr>
        <w:pStyle w:val="Heading4"/>
        <w:numPr>
          <w:ilvl w:val="2"/>
          <w:numId w:val="5"/>
        </w:numPr>
      </w:pPr>
      <w:bookmarkStart w:id="294" w:name="_Toc290888505"/>
      <w:bookmarkStart w:id="295" w:name="_Toc416353721"/>
      <w:bookmarkEnd w:id="291"/>
      <w:bookmarkEnd w:id="292"/>
      <w:r w:rsidRPr="00A613A8">
        <w:t>Lee 2010</w:t>
      </w:r>
    </w:p>
    <w:p w14:paraId="4277D0BD" w14:textId="77777777" w:rsidR="00436B89" w:rsidRPr="005A301C" w:rsidRDefault="00436B89" w:rsidP="00436B89">
      <w:pPr>
        <w:rPr>
          <w:i/>
          <w:lang w:eastAsia="ja-JP"/>
        </w:rPr>
      </w:pPr>
      <w:r w:rsidRPr="005A301C">
        <w:rPr>
          <w:i/>
          <w:lang w:eastAsia="ja-JP"/>
        </w:rPr>
        <w:t xml:space="preserve">Lee B, Rhead W, Diaz GA, </w:t>
      </w:r>
      <w:proofErr w:type="gramStart"/>
      <w:r w:rsidRPr="005A301C">
        <w:rPr>
          <w:i/>
          <w:lang w:eastAsia="ja-JP"/>
        </w:rPr>
        <w:t>Scharschmidt</w:t>
      </w:r>
      <w:proofErr w:type="gramEnd"/>
      <w:r w:rsidRPr="005A301C">
        <w:rPr>
          <w:i/>
          <w:lang w:eastAsia="ja-JP"/>
        </w:rPr>
        <w:t xml:space="preserve"> BF, et al.: </w:t>
      </w:r>
      <w:r>
        <w:rPr>
          <w:i/>
          <w:lang w:eastAsia="ja-JP"/>
        </w:rPr>
        <w:t>Phase II</w:t>
      </w:r>
      <w:r w:rsidRPr="005A301C">
        <w:rPr>
          <w:i/>
          <w:lang w:eastAsia="ja-JP"/>
        </w:rPr>
        <w:t xml:space="preserve"> comparison of a novel ammonia scavenging agent with sodium phenylbutyrate in patients with urea cycle disorders: safety, pharmacokinetics and ammonia control. Mol Genet Metab 2010; 100(3): 221-8</w:t>
      </w:r>
    </w:p>
    <w:p w14:paraId="098FCABD" w14:textId="77777777" w:rsidR="00436B89" w:rsidRPr="00A613A8" w:rsidRDefault="00436B89" w:rsidP="00436B89">
      <w:pPr>
        <w:rPr>
          <w:lang w:eastAsia="en-AU"/>
        </w:rPr>
      </w:pPr>
      <w:r w:rsidRPr="00A613A8">
        <w:rPr>
          <w:lang w:eastAsia="ja-JP"/>
        </w:rPr>
        <w:t xml:space="preserve">This was a prospective </w:t>
      </w:r>
      <w:r w:rsidRPr="00A613A8">
        <w:rPr>
          <w:lang w:eastAsia="en-AU"/>
        </w:rPr>
        <w:t xml:space="preserve">open-label, fixed sequence switch-over study </w:t>
      </w:r>
      <w:r>
        <w:rPr>
          <w:lang w:eastAsia="en-AU"/>
        </w:rPr>
        <w:t xml:space="preserve">that </w:t>
      </w:r>
      <w:r w:rsidRPr="00A613A8">
        <w:rPr>
          <w:lang w:eastAsia="en-AU"/>
        </w:rPr>
        <w:t xml:space="preserve">was conducted in 10 adult UCD patients taking maintenance sodium phenylbutyrate </w:t>
      </w:r>
      <w:r w:rsidRPr="0015231E">
        <w:rPr>
          <w:lang w:eastAsia="en-AU"/>
        </w:rPr>
        <w:t>(</w:t>
      </w:r>
      <w:r w:rsidRPr="00E3057C">
        <w:rPr>
          <w:sz w:val="20"/>
          <w:szCs w:val="20"/>
          <w:lang w:eastAsia="en-AU"/>
        </w:rPr>
        <w:t>NaPBA</w:t>
      </w:r>
      <w:r w:rsidRPr="0015231E">
        <w:rPr>
          <w:lang w:eastAsia="en-AU"/>
        </w:rPr>
        <w:t>).</w:t>
      </w:r>
      <w:r w:rsidRPr="00A613A8">
        <w:rPr>
          <w:lang w:eastAsia="en-AU"/>
        </w:rPr>
        <w:t xml:space="preserve"> It compared glycerol phenylbutyrate (glyceryl tri (4-phenylbutyrate)) (</w:t>
      </w:r>
      <w:r w:rsidRPr="00E3057C">
        <w:rPr>
          <w:sz w:val="20"/>
          <w:szCs w:val="20"/>
          <w:lang w:eastAsia="en-AU"/>
        </w:rPr>
        <w:t>GPB</w:t>
      </w:r>
      <w:r w:rsidRPr="00A613A8">
        <w:rPr>
          <w:lang w:eastAsia="en-AU"/>
        </w:rPr>
        <w:t>) with sodium phenylbutyrate.</w:t>
      </w:r>
      <w:r>
        <w:rPr>
          <w:lang w:eastAsia="en-AU"/>
        </w:rPr>
        <w:t xml:space="preserve"> </w:t>
      </w:r>
      <w:r w:rsidRPr="00A613A8">
        <w:rPr>
          <w:lang w:eastAsia="en-AU"/>
        </w:rPr>
        <w:t>Blood ammonia and blood and urine metabolites were compared after 7 days (steady state) of TID dosing on either drug with both dosed to deliver the same amount of phenylbutyric acid. A total of 13 patients were enrolled but only 10 completed all of the study procedures.</w:t>
      </w:r>
    </w:p>
    <w:p w14:paraId="6C617399" w14:textId="77777777" w:rsidR="00436B89" w:rsidRPr="00A613A8" w:rsidRDefault="00436B89" w:rsidP="00177802">
      <w:pPr>
        <w:pStyle w:val="Heading5"/>
        <w:numPr>
          <w:ilvl w:val="3"/>
          <w:numId w:val="5"/>
        </w:numPr>
        <w:tabs>
          <w:tab w:val="clear" w:pos="1418"/>
          <w:tab w:val="num" w:pos="1191"/>
        </w:tabs>
        <w:ind w:left="1191"/>
        <w:rPr>
          <w:lang w:eastAsia="en-AU"/>
        </w:rPr>
      </w:pPr>
      <w:r w:rsidRPr="00A613A8">
        <w:rPr>
          <w:lang w:eastAsia="en-AU"/>
        </w:rPr>
        <w:t>Results</w:t>
      </w:r>
    </w:p>
    <w:p w14:paraId="719CA499" w14:textId="77777777" w:rsidR="00436B89" w:rsidRPr="00A613A8" w:rsidRDefault="00436B89" w:rsidP="00436B89">
      <w:pPr>
        <w:rPr>
          <w:lang w:eastAsia="en-AU"/>
        </w:rPr>
      </w:pPr>
      <w:r w:rsidRPr="00A613A8">
        <w:rPr>
          <w:lang w:eastAsia="en-AU"/>
        </w:rPr>
        <w:t xml:space="preserve">Ammonia values on GPB were ~30% lower than on NaPBA (time </w:t>
      </w:r>
      <w:r>
        <w:rPr>
          <w:lang w:eastAsia="en-AU"/>
        </w:rPr>
        <w:t>normalised</w:t>
      </w:r>
      <w:r w:rsidRPr="00A613A8">
        <w:rPr>
          <w:lang w:eastAsia="en-AU"/>
        </w:rPr>
        <w:t xml:space="preserve"> AUC = 26.2 </w:t>
      </w:r>
      <w:r>
        <w:rPr>
          <w:lang w:eastAsia="en-AU"/>
        </w:rPr>
        <w:t>versus</w:t>
      </w:r>
      <w:r w:rsidRPr="00A613A8">
        <w:rPr>
          <w:lang w:eastAsia="en-AU"/>
        </w:rPr>
        <w:t xml:space="preserve"> 38.4</w:t>
      </w:r>
      <w:r w:rsidRPr="00A613A8">
        <w:rPr>
          <w:rFonts w:ascii="TimesNewRomanPSMT" w:eastAsia="TimesNewRomanPSMT" w:cs="TimesNewRomanPSMT" w:hint="eastAsia"/>
          <w:lang w:eastAsia="en-AU"/>
        </w:rPr>
        <w:t>μ</w:t>
      </w:r>
      <w:r w:rsidRPr="00A613A8">
        <w:rPr>
          <w:lang w:eastAsia="en-AU"/>
        </w:rPr>
        <w:t xml:space="preserve">mol/L; </w:t>
      </w:r>
      <w:r w:rsidRPr="00A613A8">
        <w:rPr>
          <w:lang w:eastAsia="ja-JP"/>
        </w:rPr>
        <w:t>C</w:t>
      </w:r>
      <w:r w:rsidRPr="005C3B9A">
        <w:rPr>
          <w:vertAlign w:val="subscript"/>
          <w:lang w:eastAsia="ja-JP"/>
        </w:rPr>
        <w:t>max</w:t>
      </w:r>
      <w:r w:rsidRPr="00A613A8">
        <w:rPr>
          <w:lang w:eastAsia="en-AU"/>
        </w:rPr>
        <w:t xml:space="preserve"> = 56.3 </w:t>
      </w:r>
      <w:r>
        <w:rPr>
          <w:lang w:eastAsia="en-AU"/>
        </w:rPr>
        <w:t>versus</w:t>
      </w:r>
      <w:r w:rsidRPr="00A613A8">
        <w:rPr>
          <w:lang w:eastAsia="en-AU"/>
        </w:rPr>
        <w:t xml:space="preserve"> 79.1 </w:t>
      </w:r>
      <w:r w:rsidRPr="00A613A8">
        <w:rPr>
          <w:rFonts w:ascii="TimesNewRomanPSMT" w:eastAsia="TimesNewRomanPSMT" w:cs="TimesNewRomanPSMT" w:hint="eastAsia"/>
          <w:lang w:eastAsia="en-AU"/>
        </w:rPr>
        <w:t>μ</w:t>
      </w:r>
      <w:r w:rsidRPr="00A613A8">
        <w:rPr>
          <w:lang w:eastAsia="en-AU"/>
        </w:rPr>
        <w:t xml:space="preserve">mol/L; not statistically significant), and GPB achieved non-inferiority to NaPBA with respect to ammonia (time </w:t>
      </w:r>
      <w:r>
        <w:rPr>
          <w:lang w:eastAsia="en-AU"/>
        </w:rPr>
        <w:t>normalised</w:t>
      </w:r>
      <w:r w:rsidR="00625EDD">
        <w:rPr>
          <w:lang w:eastAsia="en-AU"/>
        </w:rPr>
        <w:t xml:space="preserve"> </w:t>
      </w:r>
      <w:r w:rsidRPr="00A613A8">
        <w:rPr>
          <w:lang w:eastAsia="en-AU"/>
        </w:rPr>
        <w:t xml:space="preserve">AUC) by </w:t>
      </w:r>
      <w:r w:rsidRPr="00A613A8">
        <w:rPr>
          <w:iCs/>
          <w:lang w:eastAsia="en-AU"/>
        </w:rPr>
        <w:t xml:space="preserve">post hoc </w:t>
      </w:r>
      <w:r>
        <w:rPr>
          <w:lang w:eastAsia="en-AU"/>
        </w:rPr>
        <w:t>analysis</w:t>
      </w:r>
      <w:r w:rsidRPr="00A613A8">
        <w:rPr>
          <w:lang w:eastAsia="en-AU"/>
        </w:rPr>
        <w:t>. Systemic exposure (AUC</w:t>
      </w:r>
      <w:r w:rsidRPr="00A613A8">
        <w:rPr>
          <w:sz w:val="16"/>
          <w:szCs w:val="16"/>
          <w:lang w:eastAsia="en-AU"/>
        </w:rPr>
        <w:t>0-24</w:t>
      </w:r>
      <w:r w:rsidRPr="00A613A8">
        <w:rPr>
          <w:lang w:eastAsia="en-AU"/>
        </w:rPr>
        <w:t xml:space="preserve">) to PBA on GPB was 27% lower than on NaPBA (540 </w:t>
      </w:r>
      <w:r>
        <w:rPr>
          <w:lang w:eastAsia="en-AU"/>
        </w:rPr>
        <w:t>versus</w:t>
      </w:r>
      <w:r w:rsidRPr="00A613A8">
        <w:rPr>
          <w:lang w:eastAsia="en-AU"/>
        </w:rPr>
        <w:t xml:space="preserve"> 739</w:t>
      </w:r>
      <w:r>
        <w:rPr>
          <w:lang w:eastAsia="en-AU"/>
        </w:rPr>
        <w:t> </w:t>
      </w:r>
      <w:r>
        <w:rPr>
          <w:rFonts w:eastAsia="TimesNewRomanPSMT" w:cs="TimesNewRomanPSMT"/>
          <w:lang w:eastAsia="en-AU"/>
        </w:rPr>
        <w:t>µ</w:t>
      </w:r>
      <w:r w:rsidRPr="00A613A8">
        <w:rPr>
          <w:lang w:eastAsia="en-AU"/>
        </w:rPr>
        <w:t xml:space="preserve">g.h/mL), whereas exposure to phenylacetic acid (PAA) (575 </w:t>
      </w:r>
      <w:r>
        <w:rPr>
          <w:lang w:eastAsia="en-AU"/>
        </w:rPr>
        <w:t>versus</w:t>
      </w:r>
      <w:r w:rsidRPr="00A613A8">
        <w:rPr>
          <w:lang w:eastAsia="en-AU"/>
        </w:rPr>
        <w:t xml:space="preserve"> 596 </w:t>
      </w:r>
      <w:r>
        <w:rPr>
          <w:rFonts w:eastAsia="TimesNewRomanPSMT" w:cs="TimesNewRomanPSMT"/>
          <w:lang w:eastAsia="en-AU"/>
        </w:rPr>
        <w:t>µ</w:t>
      </w:r>
      <w:r w:rsidRPr="00A613A8">
        <w:rPr>
          <w:lang w:eastAsia="en-AU"/>
        </w:rPr>
        <w:t xml:space="preserve">g.h/mL) and phenylacetylglutamine (PAGN) (1098 </w:t>
      </w:r>
      <w:r>
        <w:rPr>
          <w:lang w:eastAsia="en-AU"/>
        </w:rPr>
        <w:t>versus</w:t>
      </w:r>
      <w:r w:rsidRPr="00A613A8">
        <w:rPr>
          <w:lang w:eastAsia="en-AU"/>
        </w:rPr>
        <w:t xml:space="preserve"> 1133 </w:t>
      </w:r>
      <w:r>
        <w:rPr>
          <w:rFonts w:eastAsia="TimesNewRomanPSMT" w:cs="TimesNewRomanPSMT"/>
          <w:lang w:eastAsia="en-AU"/>
        </w:rPr>
        <w:t>µ</w:t>
      </w:r>
      <w:r w:rsidRPr="00A613A8">
        <w:rPr>
          <w:lang w:eastAsia="en-AU"/>
        </w:rPr>
        <w:t>g.h/mL) were similar. Urinary PAGN excretion accounted for ~54% of PBA administered for both NaPBA and GPB; other metabolites accounted for &lt; 1%. Intact GPB was generally undetectable in blood and urine. Blood ammonia correlated strongly and inversely with urinary PAGN (r=</w:t>
      </w:r>
      <w:r w:rsidRPr="00A613A8">
        <w:rPr>
          <w:rFonts w:ascii="TimesNewRomanPSMT" w:eastAsia="TimesNewRomanPSMT" w:cs="TimesNewRomanPSMT" w:hint="eastAsia"/>
          <w:lang w:eastAsia="en-AU"/>
        </w:rPr>
        <w:t>−</w:t>
      </w:r>
      <w:r w:rsidRPr="00A613A8">
        <w:rPr>
          <w:lang w:eastAsia="en-AU"/>
        </w:rPr>
        <w:t>0.82; p&lt;0.0001) but weakly or not at all with blood metabolite levels</w:t>
      </w:r>
      <w:r>
        <w:rPr>
          <w:lang w:eastAsia="en-AU"/>
        </w:rPr>
        <w:t>. The mean plasma ammonia concentrations after 1-week treatment are shown in Figures 14-15.</w:t>
      </w:r>
    </w:p>
    <w:p w14:paraId="216370B4" w14:textId="77777777" w:rsidR="00436B89" w:rsidRPr="00A613A8" w:rsidRDefault="00436B89" w:rsidP="00C64237">
      <w:pPr>
        <w:pStyle w:val="FigureTitle"/>
        <w:rPr>
          <w:lang w:eastAsia="en-AU"/>
        </w:rPr>
      </w:pPr>
      <w:bookmarkStart w:id="296" w:name="_Ref457765363"/>
      <w:bookmarkStart w:id="297" w:name="_Toc473013996"/>
      <w:r w:rsidRPr="00A613A8">
        <w:t xml:space="preserve">Figure </w:t>
      </w:r>
      <w:r>
        <w:t>14</w:t>
      </w:r>
      <w:bookmarkEnd w:id="296"/>
      <w:r>
        <w:t>:</w:t>
      </w:r>
      <w:r w:rsidRPr="00A613A8">
        <w:rPr>
          <w:lang w:eastAsia="ja-JP"/>
        </w:rPr>
        <w:t xml:space="preserve"> </w:t>
      </w:r>
      <w:r w:rsidRPr="00A613A8">
        <w:rPr>
          <w:lang w:eastAsia="en-AU"/>
        </w:rPr>
        <w:t>Venous Ammonia Concentration Profiles Following One Week of NaPBA or Glycerol</w:t>
      </w:r>
      <w:r>
        <w:rPr>
          <w:lang w:eastAsia="en-AU"/>
        </w:rPr>
        <w:t xml:space="preserve"> </w:t>
      </w:r>
      <w:r w:rsidRPr="00A613A8">
        <w:rPr>
          <w:lang w:eastAsia="en-AU"/>
        </w:rPr>
        <w:t>Phenylbutyrate Treatment</w:t>
      </w:r>
      <w:r>
        <w:rPr>
          <w:lang w:eastAsia="en-AU"/>
        </w:rPr>
        <w:t xml:space="preserve"> (Lee 2010)</w:t>
      </w:r>
      <w:bookmarkEnd w:id="297"/>
    </w:p>
    <w:p w14:paraId="7EE76B40" w14:textId="77777777" w:rsidR="00436B89" w:rsidRDefault="00436B89" w:rsidP="00436B89">
      <w:r>
        <w:rPr>
          <w:noProof/>
          <w:lang w:eastAsia="en-AU"/>
        </w:rPr>
        <w:drawing>
          <wp:inline distT="0" distB="0" distL="0" distR="0" wp14:anchorId="0A23F58D" wp14:editId="208FC764">
            <wp:extent cx="4808220" cy="2964180"/>
            <wp:effectExtent l="0" t="0" r="0" b="7620"/>
            <wp:docPr id="32" name="Picture 32" descr="Figure 14: Venous Ammonia Concentration Profiles Following One Week of NaPBA or Glycerol Phenylbutyrate Treatment (Le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8220" cy="2964180"/>
                    </a:xfrm>
                    <a:prstGeom prst="rect">
                      <a:avLst/>
                    </a:prstGeom>
                    <a:noFill/>
                    <a:ln>
                      <a:noFill/>
                    </a:ln>
                  </pic:spPr>
                </pic:pic>
              </a:graphicData>
            </a:graphic>
          </wp:inline>
        </w:drawing>
      </w:r>
      <w:bookmarkStart w:id="298" w:name="_Ref457765373"/>
      <w:bookmarkStart w:id="299" w:name="_Toc473013997"/>
    </w:p>
    <w:p w14:paraId="0F0A697E" w14:textId="77777777" w:rsidR="00436B89" w:rsidRPr="00A613A8" w:rsidRDefault="00436B89" w:rsidP="00C64237">
      <w:pPr>
        <w:pStyle w:val="FigureTitle"/>
        <w:rPr>
          <w:lang w:eastAsia="ja-JP"/>
        </w:rPr>
      </w:pPr>
      <w:r w:rsidRPr="00A613A8">
        <w:lastRenderedPageBreak/>
        <w:t xml:space="preserve">Figure </w:t>
      </w:r>
      <w:r>
        <w:t>15</w:t>
      </w:r>
      <w:bookmarkEnd w:id="298"/>
      <w:r>
        <w:t>:</w:t>
      </w:r>
      <w:r w:rsidRPr="00A613A8">
        <w:rPr>
          <w:lang w:eastAsia="ja-JP"/>
        </w:rPr>
        <w:t xml:space="preserve"> </w:t>
      </w:r>
      <w:r w:rsidRPr="00A613A8">
        <w:rPr>
          <w:lang w:eastAsia="en-AU"/>
        </w:rPr>
        <w:t>Venous Ammonia Concentrations in Individual Subjects Following One Week of Sodium Phenylbutyrate or Glycerol Phenylbutyrate Treatment</w:t>
      </w:r>
      <w:r>
        <w:rPr>
          <w:lang w:eastAsia="en-AU"/>
        </w:rPr>
        <w:t xml:space="preserve"> (Lee 2010)</w:t>
      </w:r>
      <w:bookmarkEnd w:id="299"/>
    </w:p>
    <w:p w14:paraId="1D7DC857" w14:textId="77777777" w:rsidR="00436B89" w:rsidRPr="00A613A8" w:rsidRDefault="00436B89" w:rsidP="00436B89">
      <w:pPr>
        <w:kinsoku w:val="0"/>
        <w:overflowPunct w:val="0"/>
        <w:autoSpaceDE w:val="0"/>
        <w:autoSpaceDN w:val="0"/>
        <w:adjustRightInd w:val="0"/>
        <w:spacing w:before="0" w:after="0" w:line="200" w:lineRule="atLeast"/>
        <w:ind w:left="227"/>
        <w:rPr>
          <w:rFonts w:ascii="Times New Roman" w:hAnsi="Times New Roman"/>
          <w:sz w:val="20"/>
          <w:szCs w:val="20"/>
          <w:lang w:eastAsia="en-AU"/>
        </w:rPr>
      </w:pPr>
      <w:r>
        <w:rPr>
          <w:rFonts w:ascii="Times New Roman" w:hAnsi="Times New Roman"/>
          <w:noProof/>
          <w:sz w:val="20"/>
          <w:szCs w:val="20"/>
          <w:lang w:eastAsia="en-AU"/>
        </w:rPr>
        <w:drawing>
          <wp:inline distT="0" distB="0" distL="0" distR="0" wp14:anchorId="46E0FE66" wp14:editId="408C7C4D">
            <wp:extent cx="4101128" cy="2835348"/>
            <wp:effectExtent l="0" t="0" r="0" b="3175"/>
            <wp:docPr id="33" name="Picture 33" descr="Figure 15: Venous Ammonia Concentrations in Individual Subjects Following One Week of Sodium Phenylbutyrate or Glycerol Phenylbutyrate Treatment (Le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8774" cy="2833720"/>
                    </a:xfrm>
                    <a:prstGeom prst="rect">
                      <a:avLst/>
                    </a:prstGeom>
                    <a:noFill/>
                    <a:ln>
                      <a:noFill/>
                    </a:ln>
                  </pic:spPr>
                </pic:pic>
              </a:graphicData>
            </a:graphic>
          </wp:inline>
        </w:drawing>
      </w:r>
    </w:p>
    <w:p w14:paraId="7D7B629B" w14:textId="6743F45D" w:rsidR="00436B89" w:rsidRPr="00A613A8" w:rsidRDefault="00436B89" w:rsidP="00177802">
      <w:pPr>
        <w:pStyle w:val="Heading4"/>
        <w:numPr>
          <w:ilvl w:val="2"/>
          <w:numId w:val="5"/>
        </w:numPr>
      </w:pPr>
      <w:r w:rsidRPr="00A613A8">
        <w:t>Lichter-</w:t>
      </w:r>
      <w:r w:rsidR="00C64237">
        <w:t>k</w:t>
      </w:r>
      <w:r w:rsidRPr="00A613A8">
        <w:t>oneck</w:t>
      </w:r>
      <w:r>
        <w:t>i</w:t>
      </w:r>
      <w:r w:rsidRPr="00A613A8">
        <w:t xml:space="preserve"> 2011</w:t>
      </w:r>
    </w:p>
    <w:p w14:paraId="0182CC93" w14:textId="77777777" w:rsidR="00436B89" w:rsidRPr="005A301C" w:rsidRDefault="00436B89" w:rsidP="00436B89">
      <w:pPr>
        <w:rPr>
          <w:i/>
          <w:lang w:eastAsia="ja-JP"/>
        </w:rPr>
      </w:pPr>
      <w:proofErr w:type="gramStart"/>
      <w:r w:rsidRPr="005A301C">
        <w:rPr>
          <w:i/>
          <w:lang w:eastAsia="ja-JP"/>
        </w:rPr>
        <w:t xml:space="preserve">Lichter-Konecki U, et al Ammonia control in children with urea cycle disorders (UCDs); </w:t>
      </w:r>
      <w:r>
        <w:rPr>
          <w:i/>
          <w:lang w:eastAsia="ja-JP"/>
        </w:rPr>
        <w:t>Phase II</w:t>
      </w:r>
      <w:r w:rsidRPr="005A301C">
        <w:rPr>
          <w:i/>
          <w:lang w:eastAsia="ja-JP"/>
        </w:rPr>
        <w:t xml:space="preserve"> comparison of sodium phenylbutyrate and glycerol phenylbutyrate.</w:t>
      </w:r>
      <w:proofErr w:type="gramEnd"/>
      <w:r w:rsidRPr="005A301C">
        <w:rPr>
          <w:i/>
          <w:lang w:eastAsia="ja-JP"/>
        </w:rPr>
        <w:t xml:space="preserve"> </w:t>
      </w:r>
      <w:proofErr w:type="gramStart"/>
      <w:r w:rsidRPr="005A301C">
        <w:rPr>
          <w:i/>
          <w:lang w:eastAsia="ja-JP"/>
        </w:rPr>
        <w:t>Mol Genet Metab.</w:t>
      </w:r>
      <w:proofErr w:type="gramEnd"/>
      <w:r w:rsidRPr="005A301C">
        <w:rPr>
          <w:i/>
          <w:lang w:eastAsia="ja-JP"/>
        </w:rPr>
        <w:t xml:space="preserve"> 2011; 103</w:t>
      </w:r>
    </w:p>
    <w:p w14:paraId="11EEC50C" w14:textId="77777777" w:rsidR="00436B89" w:rsidRPr="00A613A8" w:rsidRDefault="00436B89" w:rsidP="00436B89">
      <w:pPr>
        <w:rPr>
          <w:lang w:eastAsia="ja-JP"/>
        </w:rPr>
      </w:pPr>
      <w:r w:rsidRPr="00A613A8">
        <w:rPr>
          <w:lang w:eastAsia="ja-JP"/>
        </w:rPr>
        <w:t>This was a prospective open label fixed-sequence switch-over from the prescribed NaPBA dose to a PBA-equimolar GPB dose with controlled diet. After 7 days on NaPBA or GPB, subjects underwent 24-hour blood sampling for ammonia and drug metabolite levels as well as measurement of 24-hour urinary phenylacetylglutamine (PAGN). A total of 11 children were enrolled but only 10 completed all of the study procedures. All 11 subjects (9 OTC, 1 ASS, 1 ASL) completed the switch-over from NaPBA (mean dose=12.4 g/d or 322 mg/</w:t>
      </w:r>
      <w:r>
        <w:rPr>
          <w:lang w:eastAsia="ja-JP"/>
        </w:rPr>
        <w:t>kg/day</w:t>
      </w:r>
      <w:r w:rsidRPr="00A613A8">
        <w:rPr>
          <w:lang w:eastAsia="ja-JP"/>
        </w:rPr>
        <w:t>; range=198–476 mg/</w:t>
      </w:r>
      <w:r>
        <w:rPr>
          <w:lang w:eastAsia="ja-JP"/>
        </w:rPr>
        <w:t>kg/day</w:t>
      </w:r>
      <w:r w:rsidRPr="00A613A8">
        <w:rPr>
          <w:lang w:eastAsia="ja-JP"/>
        </w:rPr>
        <w:t>) to GPB (mean dose=10.8 mL or 0.284 mL/</w:t>
      </w:r>
      <w:r>
        <w:rPr>
          <w:lang w:eastAsia="ja-JP"/>
        </w:rPr>
        <w:t>kg/day</w:t>
      </w:r>
      <w:r w:rsidRPr="00A613A8">
        <w:rPr>
          <w:lang w:eastAsia="ja-JP"/>
        </w:rPr>
        <w:t xml:space="preserve"> or 313 mg/</w:t>
      </w:r>
      <w:r>
        <w:rPr>
          <w:lang w:eastAsia="ja-JP"/>
        </w:rPr>
        <w:t>kg/day</w:t>
      </w:r>
      <w:r w:rsidRPr="00A613A8">
        <w:rPr>
          <w:lang w:eastAsia="ja-JP"/>
        </w:rPr>
        <w:t>; range=192–449 mg/</w:t>
      </w:r>
      <w:r>
        <w:rPr>
          <w:lang w:eastAsia="ja-JP"/>
        </w:rPr>
        <w:t>kg/day</w:t>
      </w:r>
      <w:r w:rsidRPr="00A613A8">
        <w:rPr>
          <w:lang w:eastAsia="ja-JP"/>
        </w:rPr>
        <w:t>).</w:t>
      </w:r>
    </w:p>
    <w:p w14:paraId="100A2632" w14:textId="77777777" w:rsidR="00436B89" w:rsidRPr="00A613A8" w:rsidRDefault="00436B89" w:rsidP="00177802">
      <w:pPr>
        <w:pStyle w:val="Heading5"/>
        <w:numPr>
          <w:ilvl w:val="3"/>
          <w:numId w:val="5"/>
        </w:numPr>
        <w:tabs>
          <w:tab w:val="clear" w:pos="1418"/>
          <w:tab w:val="num" w:pos="1191"/>
        </w:tabs>
        <w:ind w:left="1191"/>
        <w:rPr>
          <w:lang w:eastAsia="en-AU"/>
        </w:rPr>
      </w:pPr>
      <w:r w:rsidRPr="00A613A8">
        <w:rPr>
          <w:lang w:eastAsia="en-AU"/>
        </w:rPr>
        <w:t>Results</w:t>
      </w:r>
    </w:p>
    <w:p w14:paraId="7067FA0E" w14:textId="77777777" w:rsidR="00436B89" w:rsidRPr="00A613A8" w:rsidRDefault="00436B89" w:rsidP="00436B89">
      <w:pPr>
        <w:rPr>
          <w:lang w:eastAsia="en-AU"/>
        </w:rPr>
      </w:pPr>
      <w:r w:rsidRPr="00A613A8">
        <w:rPr>
          <w:lang w:eastAsia="ja-JP"/>
        </w:rPr>
        <w:t>Ammonia values were ~25% lower on GPB compared with NaPBA (p≥0.1 for ITT and p</w:t>
      </w:r>
      <w:r w:rsidRPr="00A613A8">
        <w:rPr>
          <w:lang w:eastAsia="ja-JP"/>
        </w:rPr>
        <w:sym w:font="Symbol" w:char="F03C"/>
      </w:r>
      <w:r w:rsidRPr="00A613A8">
        <w:rPr>
          <w:lang w:eastAsia="ja-JP"/>
        </w:rPr>
        <w:t xml:space="preserve">0.05 for per protocol population). The upper 95% confidence interval for the difference between ammonia on GPB </w:t>
      </w:r>
      <w:r>
        <w:rPr>
          <w:lang w:eastAsia="ja-JP"/>
        </w:rPr>
        <w:t>versus</w:t>
      </w:r>
      <w:r w:rsidRPr="00A613A8">
        <w:rPr>
          <w:lang w:eastAsia="ja-JP"/>
        </w:rPr>
        <w:t xml:space="preserve"> NaPBA in the ITT population (95% CI 0.575, 1.061; p=0.102) was less than the predefined non-inferiority margin of 1.25 and less than 1.0 in the pre-defined per-protocol population (95% CI 0.516, 0.958; pb0.05). No statistically significant differences were observed in plasma phenylacetic acid and PAGN exposure during dosing with GPB </w:t>
      </w:r>
      <w:r>
        <w:rPr>
          <w:lang w:eastAsia="ja-JP"/>
        </w:rPr>
        <w:t>versus</w:t>
      </w:r>
      <w:r w:rsidRPr="00A613A8">
        <w:rPr>
          <w:lang w:eastAsia="ja-JP"/>
        </w:rPr>
        <w:t xml:space="preserve"> NaPBA, and the percentage of orally administered PBA excreted as PAGN (66% for GPB </w:t>
      </w:r>
      <w:r>
        <w:rPr>
          <w:lang w:eastAsia="ja-JP"/>
        </w:rPr>
        <w:t>versus</w:t>
      </w:r>
      <w:r w:rsidRPr="00A613A8">
        <w:rPr>
          <w:lang w:eastAsia="ja-JP"/>
        </w:rPr>
        <w:t xml:space="preserve"> 69% for NaPBA) was very similar. GPB and NaPBA dose correlated best with urinary-PAGN.</w:t>
      </w:r>
      <w:r>
        <w:rPr>
          <w:lang w:eastAsia="en-AU"/>
        </w:rPr>
        <w:t xml:space="preserve"> The mean plasma ammonia concentrations after 1-week treatment are shown in Figures 16-17.</w:t>
      </w:r>
    </w:p>
    <w:p w14:paraId="5FF0E1E2" w14:textId="77777777" w:rsidR="00436B89" w:rsidRDefault="00436B89" w:rsidP="00C64237">
      <w:pPr>
        <w:pStyle w:val="FigureTitle"/>
      </w:pPr>
      <w:bookmarkStart w:id="300" w:name="_Ref457765445"/>
      <w:bookmarkStart w:id="301" w:name="_Toc473013998"/>
      <w:r w:rsidRPr="00A613A8">
        <w:lastRenderedPageBreak/>
        <w:t xml:space="preserve">Figure </w:t>
      </w:r>
      <w:r>
        <w:t>16:</w:t>
      </w:r>
      <w:bookmarkEnd w:id="300"/>
      <w:r w:rsidRPr="00A613A8">
        <w:t xml:space="preserve"> 24 Hour Ammonia Values on Sodium Phenylbutyrate and Glycerol Phenylbutyrate. Venous ammonia was measured for 24 h following one week of dosing with either sodium phenylbutyrate (NaPBA; continuous line) or glycerol phenylbutyrate (GPB; dotted line)</w:t>
      </w:r>
      <w:r>
        <w:t xml:space="preserve"> (</w:t>
      </w:r>
      <w:r w:rsidRPr="00A613A8">
        <w:t>Lichter-Koneck</w:t>
      </w:r>
      <w:r>
        <w:t xml:space="preserve"> </w:t>
      </w:r>
      <w:r w:rsidRPr="00A613A8">
        <w:t>2011</w:t>
      </w:r>
      <w:r>
        <w:t>)</w:t>
      </w:r>
      <w:bookmarkEnd w:id="301"/>
    </w:p>
    <w:p w14:paraId="371687D3" w14:textId="77777777" w:rsidR="00436B89" w:rsidRPr="00A613A8" w:rsidRDefault="00436B89" w:rsidP="00436B89">
      <w:r>
        <w:rPr>
          <w:noProof/>
          <w:lang w:eastAsia="en-AU"/>
        </w:rPr>
        <w:drawing>
          <wp:inline distT="0" distB="0" distL="0" distR="0" wp14:anchorId="6889695E" wp14:editId="7A9C1B5A">
            <wp:extent cx="3953025" cy="2431311"/>
            <wp:effectExtent l="0" t="0" r="0" b="7620"/>
            <wp:docPr id="34" name="Picture 34" descr="Figure 16: 24 Hour Ammonia Values on Sodium Phenylbutyrate and Glycerol Phenylbutyrate. Venous ammonia was measured for 24 h following one week of dosing with either sodium phenylbutyrate (NaPBA; continuous line) or glycerol phenylbutyrate (GPB; dotted line) (Lichter-Koneck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2094" cy="2430739"/>
                    </a:xfrm>
                    <a:prstGeom prst="rect">
                      <a:avLst/>
                    </a:prstGeom>
                    <a:noFill/>
                    <a:ln>
                      <a:noFill/>
                    </a:ln>
                  </pic:spPr>
                </pic:pic>
              </a:graphicData>
            </a:graphic>
          </wp:inline>
        </w:drawing>
      </w:r>
    </w:p>
    <w:p w14:paraId="766572A1" w14:textId="77777777" w:rsidR="00436B89" w:rsidRPr="00A613A8" w:rsidRDefault="00436B89" w:rsidP="00C64237">
      <w:pPr>
        <w:pStyle w:val="FigureTitle"/>
        <w:rPr>
          <w:lang w:eastAsia="ja-JP"/>
        </w:rPr>
      </w:pPr>
      <w:bookmarkStart w:id="302" w:name="_Ref457765472"/>
      <w:bookmarkStart w:id="303" w:name="_Toc473013999"/>
      <w:r w:rsidRPr="00A613A8">
        <w:t xml:space="preserve">Figure </w:t>
      </w:r>
      <w:r>
        <w:t>17:</w:t>
      </w:r>
      <w:bookmarkEnd w:id="302"/>
      <w:r w:rsidRPr="00A613A8">
        <w:rPr>
          <w:lang w:eastAsia="ja-JP"/>
        </w:rPr>
        <w:t xml:space="preserve"> Venous ammonia in individual subjects following one week of dosing with either sodium phenylbutyrate (NaPBA; left) or glycerol phenylbutyrate (GPB; right). The values shown represent time-normal</w:t>
      </w:r>
      <w:r>
        <w:rPr>
          <w:lang w:eastAsia="ja-JP"/>
        </w:rPr>
        <w:t>ised</w:t>
      </w:r>
      <w:r w:rsidRPr="00A613A8">
        <w:rPr>
          <w:lang w:eastAsia="ja-JP"/>
        </w:rPr>
        <w:t xml:space="preserve"> area under the curve and are displayed as mean</w:t>
      </w:r>
      <w:r>
        <w:rPr>
          <w:lang w:eastAsia="ja-JP"/>
        </w:rPr>
        <w:t xml:space="preserve"> </w:t>
      </w:r>
      <w:r w:rsidRPr="00A613A8">
        <w:rPr>
          <w:lang w:eastAsia="ja-JP"/>
        </w:rPr>
        <w:t>±SD. Times 0 and 24 h correspond to just prior to dosing and breakfast</w:t>
      </w:r>
      <w:r>
        <w:rPr>
          <w:lang w:eastAsia="ja-JP"/>
        </w:rPr>
        <w:t xml:space="preserve"> </w:t>
      </w:r>
      <w:r>
        <w:t>(</w:t>
      </w:r>
      <w:r w:rsidRPr="00A613A8">
        <w:t>Lichter-Koneck</w:t>
      </w:r>
      <w:r>
        <w:t xml:space="preserve">i </w:t>
      </w:r>
      <w:r w:rsidRPr="00A613A8">
        <w:t>2011</w:t>
      </w:r>
      <w:r>
        <w:t>)</w:t>
      </w:r>
      <w:bookmarkEnd w:id="303"/>
    </w:p>
    <w:p w14:paraId="2CEB878C" w14:textId="77777777" w:rsidR="00436B89" w:rsidRPr="00A613A8" w:rsidRDefault="00436B89" w:rsidP="00436B89">
      <w:pPr>
        <w:pStyle w:val="ListParagraph"/>
        <w:kinsoku w:val="0"/>
        <w:overflowPunct w:val="0"/>
        <w:spacing w:line="200" w:lineRule="atLeast"/>
        <w:rPr>
          <w:sz w:val="20"/>
          <w:szCs w:val="20"/>
        </w:rPr>
      </w:pPr>
      <w:bookmarkStart w:id="304" w:name="bookmark1"/>
      <w:bookmarkStart w:id="305" w:name="4._Discussion"/>
      <w:bookmarkStart w:id="306" w:name="3.7._Correlates_of_drug_dose_and_ammonia"/>
      <w:bookmarkEnd w:id="304"/>
      <w:bookmarkEnd w:id="305"/>
      <w:bookmarkEnd w:id="306"/>
      <w:r>
        <w:rPr>
          <w:noProof/>
          <w:sz w:val="20"/>
          <w:szCs w:val="20"/>
        </w:rPr>
        <w:drawing>
          <wp:inline distT="0" distB="0" distL="0" distR="0" wp14:anchorId="51D25497" wp14:editId="0D03F94E">
            <wp:extent cx="4600353" cy="2818966"/>
            <wp:effectExtent l="0" t="0" r="0" b="635"/>
            <wp:docPr id="35" name="Picture 35" descr="Figure 17: Venous ammonia in individual subjects following one week of dosing with either sodium phenylbutyrate (NaPBA; left) or glycerol phenylbutyrate (GPB; right). The values shown represent time-normalised area under the curve and are displayed as mean ±SD. Times 0 and 24 h correspond to just prior to dosing and breakfast (Lichter-Konecki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1516" cy="2819679"/>
                    </a:xfrm>
                    <a:prstGeom prst="rect">
                      <a:avLst/>
                    </a:prstGeom>
                    <a:noFill/>
                    <a:ln>
                      <a:noFill/>
                    </a:ln>
                  </pic:spPr>
                </pic:pic>
              </a:graphicData>
            </a:graphic>
          </wp:inline>
        </w:drawing>
      </w:r>
    </w:p>
    <w:p w14:paraId="62BBBF7A" w14:textId="77777777" w:rsidR="00436B89" w:rsidRPr="00A613A8" w:rsidRDefault="00436B89" w:rsidP="00436B89">
      <w:pPr>
        <w:rPr>
          <w:lang w:eastAsia="ja-JP"/>
        </w:rPr>
      </w:pPr>
    </w:p>
    <w:p w14:paraId="57AD9F4F" w14:textId="77777777" w:rsidR="00436B89" w:rsidRPr="00A613A8" w:rsidRDefault="00436B89" w:rsidP="00177802">
      <w:pPr>
        <w:pStyle w:val="Heading4"/>
        <w:numPr>
          <w:ilvl w:val="2"/>
          <w:numId w:val="5"/>
        </w:numPr>
      </w:pPr>
      <w:bookmarkStart w:id="307" w:name="_Ref457992611"/>
      <w:r w:rsidRPr="00A613A8">
        <w:t>Smith 2013</w:t>
      </w:r>
      <w:bookmarkEnd w:id="307"/>
    </w:p>
    <w:p w14:paraId="3AC57A6F" w14:textId="77777777" w:rsidR="00436B89" w:rsidRPr="005A301C" w:rsidRDefault="00436B89" w:rsidP="00436B89">
      <w:pPr>
        <w:rPr>
          <w:i/>
          <w:lang w:eastAsia="ja-JP"/>
        </w:rPr>
      </w:pPr>
      <w:r w:rsidRPr="005A301C">
        <w:rPr>
          <w:i/>
          <w:lang w:eastAsia="ja-JP"/>
        </w:rPr>
        <w:t xml:space="preserve">Smith W et al, Ammonia control in children ages 2 months through 5 years with urea cycle disorders: comparison of sodium phenylbutyrate and glycerol phenylbutyrate. </w:t>
      </w:r>
      <w:proofErr w:type="gramStart"/>
      <w:r w:rsidRPr="005A301C">
        <w:rPr>
          <w:i/>
          <w:lang w:eastAsia="ja-JP"/>
        </w:rPr>
        <w:t>Journal of Pediatrics.</w:t>
      </w:r>
      <w:proofErr w:type="gramEnd"/>
      <w:r w:rsidRPr="005A301C">
        <w:rPr>
          <w:i/>
          <w:lang w:eastAsia="ja-JP"/>
        </w:rPr>
        <w:t xml:space="preserve"> 162(6):1228-34, 1234.e1, 2013.</w:t>
      </w:r>
    </w:p>
    <w:p w14:paraId="44F6BAE8" w14:textId="77777777" w:rsidR="00436B89" w:rsidRPr="00A613A8" w:rsidRDefault="00436B89" w:rsidP="00436B89">
      <w:pPr>
        <w:rPr>
          <w:lang w:eastAsia="ja-JP"/>
        </w:rPr>
      </w:pPr>
      <w:r w:rsidRPr="00A613A8">
        <w:rPr>
          <w:lang w:eastAsia="ja-JP"/>
        </w:rPr>
        <w:t xml:space="preserve">This study was an open label cross-over study, which examined ammonia levels, pharmacokinetics, and safety of glycerol phenylbutyrate and sodium phenylbutyrate in young children with UCDs. Eligible patients included children aged below 6 years with a confirmed or clinically suspected UCD who had been receiving a stable dose of sodium phenylbutyrate </w:t>
      </w:r>
      <w:r w:rsidRPr="00A613A8">
        <w:rPr>
          <w:lang w:eastAsia="ja-JP"/>
        </w:rPr>
        <w:lastRenderedPageBreak/>
        <w:t>powder for at least 5 days. Patients underwent 24- hour blood and urine sampling on sodium phenylbutyrate and again on a phenylbutyric acid-equimolar dose of glycerol phenylbutyrate (</w:t>
      </w:r>
      <w:r>
        <w:rPr>
          <w:lang w:eastAsia="ja-JP"/>
        </w:rPr>
        <w:t xml:space="preserve">Table 19) </w:t>
      </w:r>
      <w:r w:rsidRPr="00A613A8">
        <w:rPr>
          <w:lang w:eastAsia="ja-JP"/>
        </w:rPr>
        <w:t>and completed questionnaires regarding signs and symptoms associated with sodium phenylbutyrate and/or their UCD</w:t>
      </w:r>
      <w:r>
        <w:rPr>
          <w:lang w:eastAsia="ja-JP"/>
        </w:rPr>
        <w:t xml:space="preserve"> (Table 20)</w:t>
      </w:r>
      <w:r w:rsidRPr="00A613A8">
        <w:rPr>
          <w:lang w:eastAsia="ja-JP"/>
        </w:rPr>
        <w:t>. Mean systemic exposure to phenylbutyric acid, phenylacetic acid, and phenylacetylglutamine was similar.</w:t>
      </w:r>
    </w:p>
    <w:p w14:paraId="486D342B" w14:textId="77777777" w:rsidR="00436B89" w:rsidRPr="00A613A8" w:rsidRDefault="00436B89" w:rsidP="00C64237">
      <w:pPr>
        <w:pStyle w:val="Tabletitle"/>
      </w:pPr>
      <w:bookmarkStart w:id="308" w:name="_Ref457767742"/>
      <w:bookmarkStart w:id="309" w:name="_Toc473013958"/>
      <w:r w:rsidRPr="00A613A8">
        <w:t xml:space="preserve">Table </w:t>
      </w:r>
      <w:r>
        <w:t>19:</w:t>
      </w:r>
      <w:bookmarkEnd w:id="308"/>
      <w:r w:rsidRPr="00A613A8">
        <w:t xml:space="preserve"> Blood Ammonia by Treatment</w:t>
      </w:r>
      <w:r>
        <w:t xml:space="preserve"> (Smith 2013)</w:t>
      </w:r>
      <w:bookmarkEnd w:id="309"/>
    </w:p>
    <w:p w14:paraId="20771FF4" w14:textId="77777777" w:rsidR="00436B89" w:rsidRDefault="00436B89" w:rsidP="00436B89">
      <w:pPr>
        <w:rPr>
          <w:lang w:eastAsia="ja-JP"/>
        </w:rPr>
      </w:pPr>
      <w:r>
        <w:rPr>
          <w:noProof/>
          <w:lang w:eastAsia="en-AU"/>
        </w:rPr>
        <w:drawing>
          <wp:inline distT="0" distB="0" distL="0" distR="0" wp14:anchorId="6C7FCDA5" wp14:editId="7E012880">
            <wp:extent cx="4402610" cy="4033284"/>
            <wp:effectExtent l="0" t="0" r="0" b="5715"/>
            <wp:docPr id="36" name="Picture 36" descr="Table 19: Blood Ammonia by Treatment (Smit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lum bright="-20000" contrast="40000"/>
                      <a:extLst>
                        <a:ext uri="{28A0092B-C50C-407E-A947-70E740481C1C}">
                          <a14:useLocalDpi xmlns:a14="http://schemas.microsoft.com/office/drawing/2010/main" val="0"/>
                        </a:ext>
                      </a:extLst>
                    </a:blip>
                    <a:srcRect/>
                    <a:stretch>
                      <a:fillRect/>
                    </a:stretch>
                  </pic:blipFill>
                  <pic:spPr bwMode="auto">
                    <a:xfrm>
                      <a:off x="0" y="0"/>
                      <a:ext cx="4402610" cy="4033284"/>
                    </a:xfrm>
                    <a:prstGeom prst="rect">
                      <a:avLst/>
                    </a:prstGeom>
                    <a:noFill/>
                    <a:ln>
                      <a:noFill/>
                    </a:ln>
                  </pic:spPr>
                </pic:pic>
              </a:graphicData>
            </a:graphic>
          </wp:inline>
        </w:drawing>
      </w:r>
    </w:p>
    <w:p w14:paraId="15118E50" w14:textId="77777777" w:rsidR="00436B89" w:rsidRPr="00A613A8" w:rsidRDefault="00436B89" w:rsidP="00C64237">
      <w:pPr>
        <w:pStyle w:val="Tabletitle"/>
        <w:rPr>
          <w:lang w:eastAsia="ja-JP"/>
        </w:rPr>
      </w:pPr>
      <w:bookmarkStart w:id="310" w:name="_Ref457767807"/>
      <w:bookmarkStart w:id="311" w:name="_Toc473013959"/>
      <w:r w:rsidRPr="00A613A8">
        <w:t xml:space="preserve">Table </w:t>
      </w:r>
      <w:r>
        <w:t>20</w:t>
      </w:r>
      <w:bookmarkEnd w:id="310"/>
      <w:r>
        <w:t>:</w:t>
      </w:r>
      <w:r w:rsidRPr="00A613A8">
        <w:t xml:space="preserve"> </w:t>
      </w:r>
      <w:r w:rsidRPr="00A613A8">
        <w:rPr>
          <w:lang w:eastAsia="en-AU"/>
        </w:rPr>
        <w:t>Signs and Symptoms Associated with UCD or its Treatment</w:t>
      </w:r>
      <w:r>
        <w:rPr>
          <w:lang w:eastAsia="en-AU"/>
        </w:rPr>
        <w:t xml:space="preserve"> </w:t>
      </w:r>
      <w:r>
        <w:t>(Smith 2013)</w:t>
      </w:r>
      <w:bookmarkEnd w:id="311"/>
    </w:p>
    <w:p w14:paraId="5D8D4F27" w14:textId="77777777" w:rsidR="00436B89" w:rsidRPr="00A613A8" w:rsidRDefault="00436B89" w:rsidP="00436B89">
      <w:pPr>
        <w:rPr>
          <w:lang w:eastAsia="ja-JP"/>
        </w:rPr>
      </w:pPr>
      <w:r>
        <w:rPr>
          <w:noProof/>
          <w:lang w:eastAsia="en-AU"/>
        </w:rPr>
        <w:drawing>
          <wp:inline distT="0" distB="0" distL="0" distR="0" wp14:anchorId="0D7BB68E" wp14:editId="5E172965">
            <wp:extent cx="4245290" cy="3069265"/>
            <wp:effectExtent l="0" t="0" r="3175" b="0"/>
            <wp:docPr id="37" name="Picture 37" descr="Table 20: Signs and Symptoms Associated with UCD or its Treatment (Smit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4258568" cy="3078865"/>
                    </a:xfrm>
                    <a:prstGeom prst="rect">
                      <a:avLst/>
                    </a:prstGeom>
                    <a:noFill/>
                    <a:ln>
                      <a:noFill/>
                    </a:ln>
                  </pic:spPr>
                </pic:pic>
              </a:graphicData>
            </a:graphic>
          </wp:inline>
        </w:drawing>
      </w:r>
    </w:p>
    <w:bookmarkEnd w:id="294"/>
    <w:bookmarkEnd w:id="295"/>
    <w:p w14:paraId="11227EEF" w14:textId="77777777" w:rsidR="00436B89" w:rsidRPr="00A613A8" w:rsidRDefault="00436B89" w:rsidP="00177802">
      <w:pPr>
        <w:pStyle w:val="Heading4"/>
        <w:numPr>
          <w:ilvl w:val="2"/>
          <w:numId w:val="5"/>
        </w:numPr>
      </w:pPr>
      <w:r w:rsidRPr="00A613A8">
        <w:lastRenderedPageBreak/>
        <w:t>Kibleur 2014</w:t>
      </w:r>
    </w:p>
    <w:p w14:paraId="736C62A6" w14:textId="77777777" w:rsidR="00436B89" w:rsidRPr="005A301C" w:rsidRDefault="00436B89" w:rsidP="00436B89">
      <w:pPr>
        <w:rPr>
          <w:i/>
          <w:lang w:eastAsia="ja-JP"/>
        </w:rPr>
      </w:pPr>
      <w:r w:rsidRPr="005A301C">
        <w:rPr>
          <w:i/>
          <w:lang w:eastAsia="ja-JP"/>
        </w:rPr>
        <w:t xml:space="preserve">Kibleur Y.A. Dobbelaere D. Barth M. Brassier A. Guffon N. Results from a nationwide cohort temporary utilization authorization (ATU) survey of patients in France treated with </w:t>
      </w:r>
      <w:r>
        <w:rPr>
          <w:i/>
          <w:lang w:eastAsia="ja-JP"/>
        </w:rPr>
        <w:t>Pheburane</w:t>
      </w:r>
      <w:r w:rsidRPr="005A301C">
        <w:rPr>
          <w:i/>
          <w:lang w:eastAsia="ja-JP"/>
        </w:rPr>
        <w:t xml:space="preserve"> (sodium phenylbutyrate) taste-masked granules. Journal of Inherited Metabolic Disease (2014) 37:1 SUPPL. 1 (S81)</w:t>
      </w:r>
    </w:p>
    <w:p w14:paraId="2011739E" w14:textId="77777777" w:rsidR="00436B89" w:rsidRPr="00A613A8" w:rsidRDefault="00436B89" w:rsidP="00436B89">
      <w:pPr>
        <w:rPr>
          <w:lang w:eastAsia="ja-JP"/>
        </w:rPr>
      </w:pPr>
      <w:bookmarkStart w:id="312" w:name="_Toc290888506"/>
      <w:bookmarkStart w:id="313" w:name="_Toc416353722"/>
      <w:r w:rsidRPr="00A613A8">
        <w:rPr>
          <w:lang w:eastAsia="ja-JP"/>
        </w:rPr>
        <w:t xml:space="preserve">This study was a French descriptive nationwide system for pre-marketing follow-up (cohort temporary utilization authorization [ATU]) protocol of </w:t>
      </w:r>
      <w:r>
        <w:rPr>
          <w:lang w:eastAsia="ja-JP"/>
        </w:rPr>
        <w:t>Pheburane</w:t>
      </w:r>
      <w:r w:rsidRPr="00A613A8">
        <w:rPr>
          <w:lang w:eastAsia="ja-JP"/>
        </w:rPr>
        <w:t xml:space="preserve"> and to analyse safety and efficacy in this treated cohort of patients with urea cycle disease (UCD).</w:t>
      </w:r>
    </w:p>
    <w:bookmarkEnd w:id="312"/>
    <w:bookmarkEnd w:id="313"/>
    <w:p w14:paraId="588D2ADF" w14:textId="77777777" w:rsidR="00436B89" w:rsidRPr="00A613A8" w:rsidRDefault="00436B89" w:rsidP="00436B89">
      <w:pPr>
        <w:rPr>
          <w:lang w:eastAsia="ja-JP"/>
        </w:rPr>
      </w:pPr>
      <w:r w:rsidRPr="00A613A8">
        <w:rPr>
          <w:lang w:eastAsia="ja-JP"/>
        </w:rPr>
        <w:t xml:space="preserve">A cohort ATU was established in October 2012 to monitor the use of </w:t>
      </w:r>
      <w:r>
        <w:rPr>
          <w:lang w:eastAsia="ja-JP"/>
        </w:rPr>
        <w:t>Pheburane</w:t>
      </w:r>
      <w:r w:rsidRPr="00A613A8">
        <w:rPr>
          <w:lang w:eastAsia="ja-JP"/>
        </w:rPr>
        <w:t xml:space="preserve"> on a named patient basis. All treated UCD patients were included in a follow-up protocol developed by the Laboratory (Lucane Pharma) and the French Medicines Agency (ANSM), which recorded demographics, dosing characteristics of NaPB, concomitant medications, adverse events, and clinical outcome during the period of treatment. Following the granting of the Marketing Authorization in Europe, the cohort ATU was terminated approximately 1 year after its initiation, as the product was launched on the French market.</w:t>
      </w:r>
    </w:p>
    <w:p w14:paraId="3AB288E0" w14:textId="77777777"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t>Results</w:t>
      </w:r>
    </w:p>
    <w:p w14:paraId="6E39C75F" w14:textId="77777777" w:rsidR="00436B89" w:rsidRPr="00A613A8" w:rsidRDefault="00436B89" w:rsidP="00436B89">
      <w:pPr>
        <w:autoSpaceDE w:val="0"/>
        <w:autoSpaceDN w:val="0"/>
        <w:adjustRightInd w:val="0"/>
        <w:spacing w:before="0" w:after="0" w:line="240" w:lineRule="auto"/>
        <w:rPr>
          <w:lang w:eastAsia="ja-JP"/>
        </w:rPr>
      </w:pPr>
      <w:r w:rsidRPr="00A613A8">
        <w:rPr>
          <w:lang w:eastAsia="ja-JP"/>
        </w:rPr>
        <w:t xml:space="preserve">The ease of administration and acceptability were reported to be better with </w:t>
      </w:r>
      <w:r>
        <w:rPr>
          <w:lang w:eastAsia="ja-JP"/>
        </w:rPr>
        <w:t>Pheburane</w:t>
      </w:r>
      <w:r w:rsidRPr="00A613A8">
        <w:rPr>
          <w:lang w:eastAsia="ja-JP"/>
        </w:rPr>
        <w:t xml:space="preserve"> than with the previous treatment</w:t>
      </w:r>
      <w:r>
        <w:rPr>
          <w:lang w:eastAsia="ja-JP"/>
        </w:rPr>
        <w:t xml:space="preserve"> (Figure 18)</w:t>
      </w:r>
      <w:r w:rsidRPr="00A613A8">
        <w:rPr>
          <w:lang w:eastAsia="ja-JP"/>
        </w:rPr>
        <w:t>. No episodes of metabolic decompensation were observed over a treatment period which ranged from 3 to 11 months</w:t>
      </w:r>
      <w:r>
        <w:rPr>
          <w:lang w:eastAsia="ja-JP"/>
        </w:rPr>
        <w:t xml:space="preserve"> (Table 21)</w:t>
      </w:r>
      <w:r w:rsidRPr="00A613A8">
        <w:rPr>
          <w:lang w:eastAsia="ja-JP"/>
        </w:rPr>
        <w:t xml:space="preserve">. It was also reported that range of ammonia and glutamine plasma levels improved and remained within the normal range with </w:t>
      </w:r>
      <w:r>
        <w:rPr>
          <w:lang w:eastAsia="ja-JP"/>
        </w:rPr>
        <w:t>Pheburane (Figure 19)</w:t>
      </w:r>
      <w:r w:rsidRPr="00A613A8">
        <w:rPr>
          <w:lang w:eastAsia="ja-JP"/>
        </w:rPr>
        <w:t>.</w:t>
      </w:r>
    </w:p>
    <w:p w14:paraId="39A28B16" w14:textId="77777777" w:rsidR="00436B89" w:rsidRPr="00A613A8" w:rsidRDefault="00436B89" w:rsidP="00C64237">
      <w:pPr>
        <w:pStyle w:val="FigureTitle"/>
        <w:rPr>
          <w:lang w:eastAsia="en-AU"/>
        </w:rPr>
      </w:pPr>
      <w:bookmarkStart w:id="314" w:name="_Ref457766820"/>
      <w:bookmarkStart w:id="315" w:name="_Toc473014000"/>
      <w:r w:rsidRPr="00A613A8">
        <w:t xml:space="preserve">Figure </w:t>
      </w:r>
      <w:r>
        <w:t>18:</w:t>
      </w:r>
      <w:bookmarkEnd w:id="314"/>
      <w:r w:rsidRPr="00A613A8">
        <w:rPr>
          <w:lang w:eastAsia="ja-JP"/>
        </w:rPr>
        <w:t xml:space="preserve"> </w:t>
      </w:r>
      <w:r w:rsidRPr="00A613A8">
        <w:rPr>
          <w:lang w:eastAsia="en-AU"/>
        </w:rPr>
        <w:t>Differential (</w:t>
      </w:r>
      <w:r>
        <w:rPr>
          <w:lang w:eastAsia="en-AU"/>
        </w:rPr>
        <w:t>Pheburane</w:t>
      </w:r>
      <w:r>
        <w:rPr>
          <w:rFonts w:ascii="AdvPSSym" w:hAnsi="AdvPSSym" w:cs="AdvPSSym"/>
          <w:sz w:val="11"/>
          <w:szCs w:val="11"/>
          <w:lang w:eastAsia="en-AU"/>
        </w:rPr>
        <w:t xml:space="preserve"> </w:t>
      </w:r>
      <w:r w:rsidRPr="00A613A8">
        <w:rPr>
          <w:lang w:eastAsia="en-AU"/>
        </w:rPr>
        <w:t>–marketed NaPB) individual rating of acceptability just after drug intake in healthy volunteers</w:t>
      </w:r>
      <w:r>
        <w:rPr>
          <w:lang w:eastAsia="en-AU"/>
        </w:rPr>
        <w:t xml:space="preserve"> (</w:t>
      </w:r>
      <w:r w:rsidRPr="00A613A8">
        <w:t>Kibleur 2014</w:t>
      </w:r>
      <w:r>
        <w:rPr>
          <w:lang w:eastAsia="en-AU"/>
        </w:rPr>
        <w:t>)</w:t>
      </w:r>
      <w:bookmarkEnd w:id="315"/>
    </w:p>
    <w:p w14:paraId="2BBEA356" w14:textId="77777777" w:rsidR="00436B89" w:rsidRPr="00A613A8" w:rsidRDefault="00436B89" w:rsidP="00436B89">
      <w:pPr>
        <w:autoSpaceDE w:val="0"/>
        <w:autoSpaceDN w:val="0"/>
        <w:adjustRightInd w:val="0"/>
        <w:spacing w:before="0" w:after="0" w:line="240" w:lineRule="auto"/>
        <w:rPr>
          <w:rFonts w:ascii="AdvPTimes" w:hAnsi="AdvPTimes" w:cs="AdvPTimes"/>
          <w:sz w:val="17"/>
          <w:szCs w:val="17"/>
          <w:lang w:eastAsia="en-AU"/>
        </w:rPr>
      </w:pPr>
      <w:r>
        <w:rPr>
          <w:rFonts w:ascii="AdvPTimes" w:hAnsi="AdvPTimes" w:cs="AdvPTimes"/>
          <w:noProof/>
          <w:sz w:val="17"/>
          <w:szCs w:val="17"/>
          <w:lang w:eastAsia="en-AU"/>
        </w:rPr>
        <w:drawing>
          <wp:inline distT="0" distB="0" distL="0" distR="0" wp14:anchorId="399BF04B" wp14:editId="2E5E369A">
            <wp:extent cx="5722620" cy="3474720"/>
            <wp:effectExtent l="0" t="0" r="0" b="0"/>
            <wp:docPr id="38" name="Picture 38" descr="Figure 18: Differential (Pheburane –marketed NaPB) individual rating of acceptability just after drug intake in healthy volunteers (Kibleu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2620" cy="3474720"/>
                    </a:xfrm>
                    <a:prstGeom prst="rect">
                      <a:avLst/>
                    </a:prstGeom>
                    <a:noFill/>
                    <a:ln>
                      <a:noFill/>
                    </a:ln>
                  </pic:spPr>
                </pic:pic>
              </a:graphicData>
            </a:graphic>
          </wp:inline>
        </w:drawing>
      </w:r>
    </w:p>
    <w:p w14:paraId="4B8CD3A3" w14:textId="77777777" w:rsidR="00436B89" w:rsidRPr="00A613A8" w:rsidRDefault="00436B89" w:rsidP="00436B89">
      <w:pPr>
        <w:autoSpaceDE w:val="0"/>
        <w:autoSpaceDN w:val="0"/>
        <w:adjustRightInd w:val="0"/>
        <w:spacing w:before="0" w:after="0" w:line="240" w:lineRule="auto"/>
        <w:rPr>
          <w:lang w:eastAsia="ja-JP"/>
        </w:rPr>
      </w:pPr>
    </w:p>
    <w:p w14:paraId="749FF34C" w14:textId="77777777" w:rsidR="00436B89" w:rsidRPr="00A613A8" w:rsidRDefault="00436B89" w:rsidP="00C64237">
      <w:pPr>
        <w:pStyle w:val="Tabletitle"/>
        <w:rPr>
          <w:lang w:eastAsia="ja-JP"/>
        </w:rPr>
      </w:pPr>
      <w:bookmarkStart w:id="316" w:name="_Ref457767867"/>
      <w:bookmarkStart w:id="317" w:name="_Toc473013960"/>
      <w:r w:rsidRPr="00A613A8">
        <w:lastRenderedPageBreak/>
        <w:t xml:space="preserve">Table </w:t>
      </w:r>
      <w:r>
        <w:t>21</w:t>
      </w:r>
      <w:bookmarkEnd w:id="316"/>
      <w:r>
        <w:t>:</w:t>
      </w:r>
      <w:r w:rsidRPr="00A613A8">
        <w:t xml:space="preserve"> </w:t>
      </w:r>
      <w:r w:rsidRPr="00A613A8">
        <w:rPr>
          <w:lang w:eastAsia="en-AU"/>
        </w:rPr>
        <w:t xml:space="preserve">Number of hyperammonaemic episodes under marketed NaPB and </w:t>
      </w:r>
      <w:r>
        <w:rPr>
          <w:lang w:eastAsia="en-AU"/>
        </w:rPr>
        <w:t>Pheburane (</w:t>
      </w:r>
      <w:r w:rsidRPr="00A613A8">
        <w:t>Kibleur 2014</w:t>
      </w:r>
      <w:r>
        <w:rPr>
          <w:lang w:eastAsia="en-AU"/>
        </w:rPr>
        <w:t>)</w:t>
      </w:r>
      <w:bookmarkEnd w:id="317"/>
    </w:p>
    <w:p w14:paraId="374597B5" w14:textId="77777777" w:rsidR="00436B89" w:rsidRPr="00A613A8" w:rsidRDefault="00436B89" w:rsidP="00436B89">
      <w:pPr>
        <w:rPr>
          <w:lang w:eastAsia="ja-JP"/>
        </w:rPr>
      </w:pPr>
      <w:r>
        <w:rPr>
          <w:noProof/>
          <w:lang w:eastAsia="en-AU"/>
        </w:rPr>
        <w:drawing>
          <wp:inline distT="0" distB="0" distL="0" distR="0" wp14:anchorId="6F61851D" wp14:editId="0B3C9B34">
            <wp:extent cx="3832860" cy="2628900"/>
            <wp:effectExtent l="0" t="0" r="0" b="0"/>
            <wp:docPr id="39" name="Picture 39" descr="Table 21: Number of hyperammonaemic episodes under marketed NaPB and Pheburane (Kibleu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3832860" cy="2628900"/>
                    </a:xfrm>
                    <a:prstGeom prst="rect">
                      <a:avLst/>
                    </a:prstGeom>
                    <a:noFill/>
                    <a:ln>
                      <a:noFill/>
                    </a:ln>
                  </pic:spPr>
                </pic:pic>
              </a:graphicData>
            </a:graphic>
          </wp:inline>
        </w:drawing>
      </w:r>
    </w:p>
    <w:p w14:paraId="03D9C037" w14:textId="77777777" w:rsidR="00436B89" w:rsidRPr="00A613A8" w:rsidRDefault="00436B89" w:rsidP="00C64237">
      <w:pPr>
        <w:pStyle w:val="FigureTitle"/>
        <w:rPr>
          <w:lang w:eastAsia="en-AU"/>
        </w:rPr>
      </w:pPr>
      <w:bookmarkStart w:id="318" w:name="_Ref457766854"/>
      <w:bookmarkStart w:id="319" w:name="_Toc473014001"/>
      <w:r w:rsidRPr="00A613A8">
        <w:t xml:space="preserve">Figure </w:t>
      </w:r>
      <w:r>
        <w:t>19:</w:t>
      </w:r>
      <w:bookmarkEnd w:id="318"/>
      <w:r w:rsidRPr="00A613A8">
        <w:rPr>
          <w:lang w:eastAsia="ja-JP"/>
        </w:rPr>
        <w:t xml:space="preserve"> </w:t>
      </w:r>
      <w:r w:rsidRPr="00A613A8">
        <w:rPr>
          <w:lang w:eastAsia="en-AU"/>
        </w:rPr>
        <w:t xml:space="preserve">Box–whisker plots of maximal plasma ammonia values in the 6-month period before inclusion in the cohort ATU and then under </w:t>
      </w:r>
      <w:r>
        <w:rPr>
          <w:lang w:eastAsia="en-AU"/>
        </w:rPr>
        <w:t>Pheburane (</w:t>
      </w:r>
      <w:r w:rsidRPr="00A613A8">
        <w:t>Kibleur 2014</w:t>
      </w:r>
      <w:r>
        <w:rPr>
          <w:lang w:eastAsia="en-AU"/>
        </w:rPr>
        <w:t>)</w:t>
      </w:r>
      <w:bookmarkEnd w:id="319"/>
    </w:p>
    <w:p w14:paraId="53AFC011" w14:textId="77777777" w:rsidR="00436B89" w:rsidRPr="00A613A8" w:rsidRDefault="00436B89" w:rsidP="00436B89">
      <w:pPr>
        <w:rPr>
          <w:lang w:eastAsia="en-AU"/>
        </w:rPr>
      </w:pPr>
      <w:r>
        <w:rPr>
          <w:noProof/>
          <w:lang w:eastAsia="en-AU"/>
        </w:rPr>
        <w:drawing>
          <wp:inline distT="0" distB="0" distL="0" distR="0" wp14:anchorId="2F1AE27F" wp14:editId="356FFC5A">
            <wp:extent cx="4153786" cy="2412818"/>
            <wp:effectExtent l="0" t="0" r="0" b="6985"/>
            <wp:docPr id="40" name="Picture 40" descr="Figure 19: Box–whisker plots of maximal plasma ammonia values in the 6-month period before inclusion in the cohort ATU and then under Pheburane (Kibleu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4155553" cy="2413845"/>
                    </a:xfrm>
                    <a:prstGeom prst="rect">
                      <a:avLst/>
                    </a:prstGeom>
                    <a:noFill/>
                    <a:ln>
                      <a:noFill/>
                    </a:ln>
                  </pic:spPr>
                </pic:pic>
              </a:graphicData>
            </a:graphic>
          </wp:inline>
        </w:drawing>
      </w:r>
    </w:p>
    <w:p w14:paraId="18682DF6" w14:textId="77777777" w:rsidR="00436B89" w:rsidRPr="00A613A8" w:rsidRDefault="00436B89" w:rsidP="00177802">
      <w:pPr>
        <w:pStyle w:val="Heading4"/>
        <w:numPr>
          <w:ilvl w:val="2"/>
          <w:numId w:val="5"/>
        </w:numPr>
      </w:pPr>
      <w:r w:rsidRPr="00A613A8">
        <w:t>Evaluator commentary: other efficacy studies</w:t>
      </w:r>
    </w:p>
    <w:p w14:paraId="6FB7EB6A" w14:textId="77777777" w:rsidR="00436B89" w:rsidRPr="00E1485D" w:rsidRDefault="00436B89" w:rsidP="00436B89">
      <w:pPr>
        <w:rPr>
          <w:lang w:eastAsia="ja-JP"/>
        </w:rPr>
      </w:pPr>
      <w:bookmarkStart w:id="320" w:name="_Toc241374312"/>
      <w:bookmarkStart w:id="321" w:name="_Toc272414656"/>
      <w:bookmarkStart w:id="322" w:name="_Toc290888507"/>
      <w:bookmarkStart w:id="323" w:name="_Toc416353723"/>
      <w:bookmarkStart w:id="324" w:name="_Toc421005271"/>
      <w:bookmarkStart w:id="325" w:name="_Toc432079153"/>
      <w:bookmarkStart w:id="326" w:name="_Toc432080726"/>
      <w:r>
        <w:rPr>
          <w:lang w:eastAsia="ja-JP"/>
        </w:rPr>
        <w:t xml:space="preserve">The available studies support </w:t>
      </w:r>
      <w:r w:rsidR="00625EDD">
        <w:rPr>
          <w:lang w:eastAsia="ja-JP"/>
        </w:rPr>
        <w:t xml:space="preserve">the fact </w:t>
      </w:r>
      <w:r>
        <w:rPr>
          <w:lang w:eastAsia="ja-JP"/>
        </w:rPr>
        <w:t xml:space="preserve">that sodium </w:t>
      </w:r>
      <w:r w:rsidRPr="00A613A8">
        <w:t>phenylbutyrate</w:t>
      </w:r>
      <w:r>
        <w:t xml:space="preserve"> result</w:t>
      </w:r>
      <w:r w:rsidR="00625EDD">
        <w:t>s</w:t>
      </w:r>
      <w:r>
        <w:t xml:space="preserve"> in low plasma ammonium, close to the normal range. </w:t>
      </w:r>
      <w:r w:rsidRPr="00A613A8">
        <w:t>Kibleur 2014</w:t>
      </w:r>
      <w:r>
        <w:t xml:space="preserve"> is supportive of </w:t>
      </w:r>
      <w:r>
        <w:rPr>
          <w:lang w:eastAsia="en-AU"/>
        </w:rPr>
        <w:t>Pheburane</w:t>
      </w:r>
      <w:r>
        <w:rPr>
          <w:vertAlign w:val="superscript"/>
          <w:lang w:eastAsia="en-AU"/>
        </w:rPr>
        <w:t xml:space="preserve"> </w:t>
      </w:r>
      <w:r w:rsidRPr="00E1485D">
        <w:rPr>
          <w:lang w:eastAsia="en-AU"/>
        </w:rPr>
        <w:t xml:space="preserve">being at least as effective as the </w:t>
      </w:r>
      <w:r>
        <w:rPr>
          <w:lang w:eastAsia="en-AU"/>
        </w:rPr>
        <w:t>Ammonaps</w:t>
      </w:r>
      <w:r w:rsidRPr="00E1485D">
        <w:rPr>
          <w:lang w:eastAsia="en-AU"/>
        </w:rPr>
        <w:t xml:space="preserve">. This is probably </w:t>
      </w:r>
      <w:r w:rsidRPr="00E1485D">
        <w:rPr>
          <w:lang w:eastAsia="ja-JP"/>
        </w:rPr>
        <w:t xml:space="preserve">explained by improved compliance with treatment rather than </w:t>
      </w:r>
      <w:r>
        <w:rPr>
          <w:lang w:eastAsia="ja-JP"/>
        </w:rPr>
        <w:t>the</w:t>
      </w:r>
      <w:r w:rsidRPr="00E1485D">
        <w:rPr>
          <w:lang w:eastAsia="ja-JP"/>
        </w:rPr>
        <w:t xml:space="preserve"> inhe</w:t>
      </w:r>
      <w:r>
        <w:rPr>
          <w:lang w:eastAsia="ja-JP"/>
        </w:rPr>
        <w:t>re</w:t>
      </w:r>
      <w:r w:rsidRPr="00E1485D">
        <w:rPr>
          <w:lang w:eastAsia="ja-JP"/>
        </w:rPr>
        <w:t>nt efficacy of</w:t>
      </w:r>
      <w:r w:rsidRPr="00E1485D">
        <w:rPr>
          <w:lang w:eastAsia="en-AU"/>
        </w:rPr>
        <w:t xml:space="preserve"> </w:t>
      </w:r>
      <w:r>
        <w:rPr>
          <w:lang w:eastAsia="en-AU"/>
        </w:rPr>
        <w:t>Pheburane</w:t>
      </w:r>
      <w:r>
        <w:rPr>
          <w:lang w:eastAsia="ja-JP"/>
        </w:rPr>
        <w:t>.</w:t>
      </w:r>
    </w:p>
    <w:p w14:paraId="7DCF326C" w14:textId="77777777" w:rsidR="00436B89" w:rsidRPr="00A613A8" w:rsidRDefault="00436B89" w:rsidP="00177802">
      <w:pPr>
        <w:pStyle w:val="Heading3"/>
        <w:numPr>
          <w:ilvl w:val="1"/>
          <w:numId w:val="5"/>
        </w:numPr>
        <w:ind w:left="907" w:hanging="794"/>
      </w:pPr>
      <w:bookmarkStart w:id="327" w:name="_Toc473013899"/>
      <w:bookmarkStart w:id="328" w:name="_Toc505179696"/>
      <w:r w:rsidRPr="00A613A8">
        <w:t>Analyses performed across trials: pooled and meta</w:t>
      </w:r>
      <w:r>
        <w:t>-</w:t>
      </w:r>
      <w:r w:rsidRPr="00A613A8">
        <w:t>analyses</w:t>
      </w:r>
      <w:bookmarkEnd w:id="320"/>
      <w:bookmarkEnd w:id="321"/>
      <w:bookmarkEnd w:id="322"/>
      <w:bookmarkEnd w:id="323"/>
      <w:bookmarkEnd w:id="324"/>
      <w:bookmarkEnd w:id="325"/>
      <w:bookmarkEnd w:id="326"/>
      <w:bookmarkEnd w:id="327"/>
      <w:bookmarkEnd w:id="328"/>
    </w:p>
    <w:p w14:paraId="10CE4F40" w14:textId="77777777" w:rsidR="00436B89" w:rsidRPr="00A613A8" w:rsidRDefault="00436B89" w:rsidP="00177802">
      <w:pPr>
        <w:pStyle w:val="Heading4"/>
        <w:numPr>
          <w:ilvl w:val="2"/>
          <w:numId w:val="5"/>
        </w:numPr>
      </w:pPr>
      <w:bookmarkStart w:id="329" w:name="_Ref271126605"/>
      <w:bookmarkStart w:id="330" w:name="_Toc272414657"/>
      <w:bookmarkStart w:id="331" w:name="_Toc290888508"/>
      <w:bookmarkStart w:id="332" w:name="_Toc416353724"/>
      <w:bookmarkStart w:id="333" w:name="_Toc421005272"/>
      <w:bookmarkStart w:id="334" w:name="_Toc432079154"/>
      <w:bookmarkStart w:id="335" w:name="_Toc432080727"/>
      <w:r w:rsidRPr="00A613A8">
        <w:t>Berry 2014</w:t>
      </w:r>
    </w:p>
    <w:p w14:paraId="55C30106" w14:textId="77777777" w:rsidR="00436B89" w:rsidRPr="005A301C" w:rsidRDefault="00436B89" w:rsidP="00436B89">
      <w:pPr>
        <w:rPr>
          <w:i/>
          <w:lang w:eastAsia="ja-JP"/>
        </w:rPr>
      </w:pPr>
      <w:r w:rsidRPr="005A301C">
        <w:rPr>
          <w:i/>
          <w:lang w:eastAsia="ja-JP"/>
        </w:rPr>
        <w:t xml:space="preserve">Berry SA; Lichter-Konecki U; Diaz GA; McCandless SE; et al. Glycerol phenylbutyrate treatment in children with urea cycle disorders: pooled analysis of short and long-term ammonia control and outcomes. </w:t>
      </w:r>
      <w:proofErr w:type="gramStart"/>
      <w:r w:rsidRPr="005A301C">
        <w:rPr>
          <w:i/>
          <w:lang w:eastAsia="ja-JP"/>
        </w:rPr>
        <w:t>Molecular Genetics &amp; Metabolism.</w:t>
      </w:r>
      <w:proofErr w:type="gramEnd"/>
      <w:r w:rsidRPr="005A301C">
        <w:rPr>
          <w:i/>
          <w:lang w:eastAsia="ja-JP"/>
        </w:rPr>
        <w:t xml:space="preserve"> 112(1):17-24, 2014.</w:t>
      </w:r>
    </w:p>
    <w:p w14:paraId="350B148E" w14:textId="77777777" w:rsidR="00436B89" w:rsidRPr="00A613A8" w:rsidRDefault="00436B89" w:rsidP="00436B89">
      <w:r w:rsidRPr="00A613A8">
        <w:rPr>
          <w:lang w:eastAsia="ja-JP"/>
        </w:rPr>
        <w:t xml:space="preserve">This study aimed to </w:t>
      </w:r>
      <w:r w:rsidRPr="00A613A8">
        <w:t>evaluate glycerol phenylbutyrate (GPB) in the treatment of paediatric patients with urea cycle disorders (UCDs) and enrolled 26 patients aged between 2 months and 17 years</w:t>
      </w:r>
      <w:r>
        <w:t xml:space="preserve"> who</w:t>
      </w:r>
      <w:r w:rsidRPr="00A613A8">
        <w:t xml:space="preserve"> were treated with GPB and sodium phenylbutyrate (NaPBA) in two short-term, </w:t>
      </w:r>
      <w:r w:rsidRPr="00A613A8">
        <w:lastRenderedPageBreak/>
        <w:t xml:space="preserve">open-label crossover studies, which compared 24-hour ammonia exposure </w:t>
      </w:r>
      <w:proofErr w:type="gramStart"/>
      <w:r w:rsidRPr="00A613A8">
        <w:t>(</w:t>
      </w:r>
      <w:r>
        <w:t xml:space="preserve"> </w:t>
      </w:r>
      <w:r w:rsidRPr="00A613A8">
        <w:t>AUC</w:t>
      </w:r>
      <w:r w:rsidRPr="004A13CC">
        <w:rPr>
          <w:vertAlign w:val="subscript"/>
        </w:rPr>
        <w:t>0</w:t>
      </w:r>
      <w:proofErr w:type="gramEnd"/>
      <w:r w:rsidRPr="004A13CC">
        <w:rPr>
          <w:vertAlign w:val="subscript"/>
        </w:rPr>
        <w:t>–24</w:t>
      </w:r>
      <w:r w:rsidRPr="00A613A8">
        <w:t>) and glutamine levels during equivalent steady-state dosing of GPB and sodium phenylbutyrate (NaPBA). These 26 patients plus an additional 23 patients also received GPB in one of three 12-month, open label extension studies, which assessed long-term ammonia control, hyperammonaemic (HA) crises, amino acids levels, and patient growth.</w:t>
      </w:r>
    </w:p>
    <w:p w14:paraId="0520491B" w14:textId="77777777" w:rsidR="00436B89" w:rsidRPr="00A613A8" w:rsidRDefault="00436B89" w:rsidP="00177802">
      <w:pPr>
        <w:pStyle w:val="Heading5"/>
        <w:numPr>
          <w:ilvl w:val="3"/>
          <w:numId w:val="5"/>
        </w:numPr>
        <w:tabs>
          <w:tab w:val="clear" w:pos="1418"/>
          <w:tab w:val="num" w:pos="1191"/>
        </w:tabs>
        <w:ind w:left="1191"/>
      </w:pPr>
      <w:r w:rsidRPr="00A613A8">
        <w:t>Results</w:t>
      </w:r>
    </w:p>
    <w:p w14:paraId="42A14928" w14:textId="77777777" w:rsidR="00436B89" w:rsidRPr="00A613A8" w:rsidRDefault="00436B89" w:rsidP="00436B89">
      <w:r w:rsidRPr="00A613A8">
        <w:t>Mean ammonia exposure on was significantly lower on GPB compared with NaPBA (mean [SD</w:t>
      </w:r>
      <w:proofErr w:type="gramStart"/>
      <w:r w:rsidRPr="00A613A8">
        <w:t xml:space="preserve">] </w:t>
      </w:r>
      <w:r>
        <w:t xml:space="preserve"> </w:t>
      </w:r>
      <w:r w:rsidRPr="00A613A8">
        <w:t>AUC</w:t>
      </w:r>
      <w:r w:rsidRPr="004A13CC">
        <w:rPr>
          <w:vertAlign w:val="subscript"/>
        </w:rPr>
        <w:t>0</w:t>
      </w:r>
      <w:proofErr w:type="gramEnd"/>
      <w:r w:rsidRPr="004A13CC">
        <w:rPr>
          <w:vertAlign w:val="subscript"/>
        </w:rPr>
        <w:t>–24</w:t>
      </w:r>
      <w:r w:rsidRPr="00A613A8">
        <w:t xml:space="preserve">: 627 [302] </w:t>
      </w:r>
      <w:r>
        <w:t>versus</w:t>
      </w:r>
      <w:r w:rsidRPr="00A613A8">
        <w:t xml:space="preserve"> 872 [516] μmol/L; p=0.008) with significantly fewer abnormal values (15% on GPB </w:t>
      </w:r>
      <w:r>
        <w:t>versus</w:t>
      </w:r>
      <w:r w:rsidRPr="00A613A8">
        <w:t xml:space="preserve"> 35% on NaPBA; p = 0.02). Mean ammonia levels remained within the normal range during 12 months of GPB dosing and, when compared with the 12 months preceding enrolment, a smaller percentage of patients (24.5% </w:t>
      </w:r>
      <w:r>
        <w:t>versus</w:t>
      </w:r>
      <w:r w:rsidRPr="00A613A8">
        <w:t xml:space="preserve"> 42.9%) experienced fewer (17 </w:t>
      </w:r>
      <w:r>
        <w:t>versus</w:t>
      </w:r>
      <w:r w:rsidRPr="00A613A8">
        <w:t xml:space="preserve"> 38) HA crises. Glutamine levels tended to be lower with GPB than with NaPBA during short-term dosing (mean [SD]: 660.8 [164.4] </w:t>
      </w:r>
      <w:r>
        <w:t>versus</w:t>
      </w:r>
      <w:r w:rsidRPr="00A613A8">
        <w:t xml:space="preserve"> 710.0 [158.7] μmol/L; p=0.114) and mean glutamine and branched chain amino acids levels, as well as other essential amino acids, remained within the normal range during 12 months of GPB dosing. Mean height and weight Z-scores were within normal range at baseline and did not change significantly during 12 months of GPB treatment</w:t>
      </w:r>
      <w:r>
        <w:t xml:space="preserve"> (Figure 20)</w:t>
      </w:r>
      <w:r w:rsidRPr="00A613A8">
        <w:t>.</w:t>
      </w:r>
    </w:p>
    <w:p w14:paraId="40804DC9" w14:textId="77777777" w:rsidR="00436B89" w:rsidRPr="00A613A8" w:rsidRDefault="00436B89" w:rsidP="00C64237">
      <w:pPr>
        <w:pStyle w:val="FigureTitle"/>
      </w:pPr>
      <w:bookmarkStart w:id="336" w:name="_Ref457766886"/>
      <w:bookmarkStart w:id="337" w:name="_Toc473014002"/>
      <w:r w:rsidRPr="00A613A8">
        <w:t xml:space="preserve">Figure </w:t>
      </w:r>
      <w:r>
        <w:t>20:</w:t>
      </w:r>
      <w:bookmarkEnd w:id="336"/>
      <w:r w:rsidRPr="00A613A8">
        <w:rPr>
          <w:lang w:eastAsia="ja-JP"/>
        </w:rPr>
        <w:t xml:space="preserve"> </w:t>
      </w:r>
      <w:r w:rsidRPr="00A613A8">
        <w:t xml:space="preserve">Mean (SE) 24-hour ammonia levels following the morning dose of GPB (HPN-100) and NaPBA in paediatric UCD patients (n = 26; p=0.008) and long term GPB treatment (N=49). Dashed line indicates upper limit of normal range </w:t>
      </w:r>
      <w:proofErr w:type="gramStart"/>
      <w:r w:rsidRPr="00A613A8">
        <w:t>(35 μmol/L)</w:t>
      </w:r>
      <w:proofErr w:type="gramEnd"/>
      <w:r>
        <w:t xml:space="preserve"> (Berry 2014)</w:t>
      </w:r>
      <w:bookmarkEnd w:id="337"/>
    </w:p>
    <w:p w14:paraId="1534F216" w14:textId="77777777" w:rsidR="00436B89" w:rsidRPr="00A613A8" w:rsidRDefault="00436B89" w:rsidP="00436B89">
      <w:pPr>
        <w:rPr>
          <w:lang w:eastAsia="ja-JP"/>
        </w:rPr>
      </w:pPr>
      <w:r>
        <w:rPr>
          <w:noProof/>
          <w:lang w:eastAsia="en-AU"/>
        </w:rPr>
        <w:drawing>
          <wp:inline distT="0" distB="0" distL="0" distR="0" wp14:anchorId="2430D6D9" wp14:editId="00AF079F">
            <wp:extent cx="4543647" cy="2347250"/>
            <wp:effectExtent l="0" t="0" r="0" b="0"/>
            <wp:docPr id="41" name="Picture 41" descr="Figure 20: Mean (SE) 24-hour ammonia levels following the morning dose of GPB (HPN-100) and NaPBA in paediatric UCD patients (n = 26; p=0.008) and long term GPB treatment (N=49). Dashed line indicates upper limit of normal range (35 μmol/L) (Ber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0" y="0"/>
                      <a:ext cx="4546315" cy="2348628"/>
                    </a:xfrm>
                    <a:prstGeom prst="rect">
                      <a:avLst/>
                    </a:prstGeom>
                    <a:noFill/>
                    <a:ln>
                      <a:noFill/>
                    </a:ln>
                  </pic:spPr>
                </pic:pic>
              </a:graphicData>
            </a:graphic>
          </wp:inline>
        </w:drawing>
      </w:r>
    </w:p>
    <w:p w14:paraId="2B37F635" w14:textId="77777777" w:rsidR="00436B89" w:rsidRPr="00A613A8" w:rsidRDefault="00436B89" w:rsidP="00177802">
      <w:pPr>
        <w:pStyle w:val="Heading4"/>
        <w:numPr>
          <w:ilvl w:val="2"/>
          <w:numId w:val="5"/>
        </w:numPr>
      </w:pPr>
      <w:r w:rsidRPr="00A613A8">
        <w:t>Diaz 2013</w:t>
      </w:r>
    </w:p>
    <w:p w14:paraId="1CED1C48" w14:textId="77777777" w:rsidR="00436B89" w:rsidRPr="005A301C" w:rsidRDefault="00436B89" w:rsidP="00436B89">
      <w:pPr>
        <w:rPr>
          <w:i/>
          <w:lang w:eastAsia="ja-JP"/>
        </w:rPr>
      </w:pPr>
      <w:r w:rsidRPr="005A301C">
        <w:rPr>
          <w:i/>
          <w:lang w:eastAsia="ja-JP"/>
        </w:rPr>
        <w:t xml:space="preserve">Diaz GA; Krivitzky LS; Mokhtarani M; Rhead W; et al. Ammonia control and neurocognitive outcome among urea cycle disorder patients treated with glycerol phenylbutyrate. </w:t>
      </w:r>
      <w:proofErr w:type="gramStart"/>
      <w:r w:rsidRPr="005A301C">
        <w:rPr>
          <w:i/>
          <w:lang w:eastAsia="ja-JP"/>
        </w:rPr>
        <w:t>Hepatology.</w:t>
      </w:r>
      <w:proofErr w:type="gramEnd"/>
      <w:r w:rsidRPr="005A301C">
        <w:rPr>
          <w:i/>
          <w:lang w:eastAsia="ja-JP"/>
        </w:rPr>
        <w:t xml:space="preserve"> 57(6):2171-9, 2013</w:t>
      </w:r>
    </w:p>
    <w:p w14:paraId="4F62C581" w14:textId="77777777" w:rsidR="00436B89" w:rsidRPr="00A613A8" w:rsidRDefault="00436B89" w:rsidP="00436B89">
      <w:pPr>
        <w:rPr>
          <w:lang w:eastAsia="ja-JP"/>
        </w:rPr>
      </w:pPr>
      <w:r w:rsidRPr="00A613A8">
        <w:rPr>
          <w:lang w:eastAsia="ja-JP"/>
        </w:rPr>
        <w:t xml:space="preserve">This was a </w:t>
      </w:r>
      <w:r>
        <w:rPr>
          <w:lang w:eastAsia="ja-JP"/>
        </w:rPr>
        <w:t>Phase III</w:t>
      </w:r>
      <w:r w:rsidRPr="00A613A8">
        <w:rPr>
          <w:lang w:eastAsia="ja-JP"/>
        </w:rPr>
        <w:t xml:space="preserve">, </w:t>
      </w:r>
      <w:r>
        <w:rPr>
          <w:lang w:eastAsia="ja-JP"/>
        </w:rPr>
        <w:t>randomised</w:t>
      </w:r>
      <w:r w:rsidRPr="00A613A8">
        <w:rPr>
          <w:lang w:eastAsia="ja-JP"/>
        </w:rPr>
        <w:t xml:space="preserve"> double-blind, crossover trial comparing ammonia control, assessed as 24-hour area under the curve (NH3-AUC</w:t>
      </w:r>
      <w:r w:rsidRPr="005A301C">
        <w:rPr>
          <w:vertAlign w:val="subscript"/>
          <w:lang w:eastAsia="ja-JP"/>
        </w:rPr>
        <w:t>0-24hr</w:t>
      </w:r>
      <w:r w:rsidRPr="00A613A8">
        <w:rPr>
          <w:lang w:eastAsia="ja-JP"/>
        </w:rPr>
        <w:t>), and pharmacokinetics during treatment with glycerol phenylbutyrate versus sodium phenylbutyrate (NaPBA) in adult UCD patients and the combined results of 4 studies involving short- and long-term glycerol phenylbutyrate treatment of UCD patients ages 6 and above.</w:t>
      </w:r>
    </w:p>
    <w:p w14:paraId="1B3FCD6B" w14:textId="77777777"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t>Results</w:t>
      </w:r>
    </w:p>
    <w:p w14:paraId="79B83665" w14:textId="77777777" w:rsidR="00436B89" w:rsidRPr="00A613A8" w:rsidRDefault="00436B89" w:rsidP="00436B89">
      <w:pPr>
        <w:rPr>
          <w:lang w:eastAsia="ja-JP"/>
        </w:rPr>
      </w:pPr>
      <w:r w:rsidRPr="00A613A8">
        <w:rPr>
          <w:lang w:eastAsia="ja-JP"/>
        </w:rPr>
        <w:t>Glycerol phenylbutyrate was equivalent to NaPBA with respect to ammonia control in the pivotal study, with mean (SD) NH3-AUC</w:t>
      </w:r>
      <w:r w:rsidRPr="004A13CC">
        <w:rPr>
          <w:vertAlign w:val="subscript"/>
          <w:lang w:eastAsia="ja-JP"/>
        </w:rPr>
        <w:t>0-24</w:t>
      </w:r>
      <w:r w:rsidRPr="00A613A8">
        <w:rPr>
          <w:lang w:eastAsia="ja-JP"/>
        </w:rPr>
        <w:t xml:space="preserve"> of 866 (661) versus 977 (865) μmol·h/L for glycerol phenylbutyrate and NaPBA, respectively. Among 65 adult and paediatric patients completing 3 similarly designed short term comparisons of glycerol phenylbutyrate versus NaPBA, NH3-</w:t>
      </w:r>
      <w:r w:rsidRPr="00A613A8">
        <w:rPr>
          <w:lang w:eastAsia="ja-JP"/>
        </w:rPr>
        <w:lastRenderedPageBreak/>
        <w:t>AUC</w:t>
      </w:r>
      <w:r w:rsidRPr="004A13CC">
        <w:rPr>
          <w:vertAlign w:val="subscript"/>
          <w:lang w:eastAsia="ja-JP"/>
        </w:rPr>
        <w:t>0-24</w:t>
      </w:r>
      <w:r w:rsidRPr="00A613A8">
        <w:rPr>
          <w:lang w:eastAsia="ja-JP"/>
        </w:rPr>
        <w:t xml:space="preserve"> was directionally lower on glycerol phenylbutyrate in each study</w:t>
      </w:r>
      <w:r>
        <w:rPr>
          <w:lang w:eastAsia="ja-JP"/>
        </w:rPr>
        <w:t xml:space="preserve"> (Figure 21)</w:t>
      </w:r>
      <w:r w:rsidRPr="00A613A8">
        <w:rPr>
          <w:lang w:eastAsia="ja-JP"/>
        </w:rPr>
        <w:t>, similar among all subgroups, and significantly lower (p&lt;0.05) in the pooled analysis, as was plasma glutamine. The 24-hour ammonia profiles were consistent with slow release behaviour of glycerol phenylbutyrate and better overnight ammonia control. During 12 months of open label glycerol phenylbutyrate treatment, average ammonia was normal in adult and paediatric patients and executive function among paediatric patients, including behavioural regulation, goal setting, planning and self-monitoring, was significantly improved</w:t>
      </w:r>
      <w:r>
        <w:rPr>
          <w:lang w:eastAsia="ja-JP"/>
        </w:rPr>
        <w:t>.</w:t>
      </w:r>
    </w:p>
    <w:p w14:paraId="2B0BA732" w14:textId="77777777" w:rsidR="00436B89" w:rsidRPr="00A613A8" w:rsidRDefault="00436B89" w:rsidP="00C64237">
      <w:pPr>
        <w:pStyle w:val="FigureTitle"/>
        <w:rPr>
          <w:lang w:eastAsia="ja-JP"/>
        </w:rPr>
      </w:pPr>
      <w:bookmarkStart w:id="338" w:name="_Ref457766942"/>
      <w:bookmarkStart w:id="339" w:name="_Toc473014003"/>
      <w:r w:rsidRPr="00A613A8">
        <w:t xml:space="preserve">Figure </w:t>
      </w:r>
      <w:r>
        <w:t>21:</w:t>
      </w:r>
      <w:bookmarkEnd w:id="338"/>
      <w:r w:rsidRPr="00A613A8">
        <w:rPr>
          <w:lang w:eastAsia="ja-JP"/>
        </w:rPr>
        <w:t xml:space="preserve"> Short- and Long-Term Blood Ammonia Levels in UCD Patients (pooled data)</w:t>
      </w:r>
      <w:r>
        <w:rPr>
          <w:lang w:eastAsia="ja-JP"/>
        </w:rPr>
        <w:t xml:space="preserve"> (Diaz 2013)</w:t>
      </w:r>
      <w:bookmarkEnd w:id="339"/>
    </w:p>
    <w:p w14:paraId="7919EF38" w14:textId="77777777" w:rsidR="00436B89" w:rsidRPr="00A613A8" w:rsidRDefault="00436B89" w:rsidP="00436B89">
      <w:pPr>
        <w:rPr>
          <w:lang w:eastAsia="ja-JP"/>
        </w:rPr>
      </w:pPr>
      <w:r>
        <w:rPr>
          <w:noProof/>
          <w:lang w:eastAsia="en-AU"/>
        </w:rPr>
        <w:drawing>
          <wp:inline distT="0" distB="0" distL="0" distR="0" wp14:anchorId="55C4087F" wp14:editId="5C86D0A5">
            <wp:extent cx="4479851" cy="2801400"/>
            <wp:effectExtent l="0" t="0" r="0" b="0"/>
            <wp:docPr id="42" name="Picture 42" descr="Figure 21: Short- and Long-Term Blood Ammonia Levels in UCD Patients (pooled data) (Diaz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lum bright="-20000" contrast="40000"/>
                      <a:extLst>
                        <a:ext uri="{28A0092B-C50C-407E-A947-70E740481C1C}">
                          <a14:useLocalDpi xmlns:a14="http://schemas.microsoft.com/office/drawing/2010/main" val="0"/>
                        </a:ext>
                      </a:extLst>
                    </a:blip>
                    <a:srcRect/>
                    <a:stretch>
                      <a:fillRect/>
                    </a:stretch>
                  </pic:blipFill>
                  <pic:spPr bwMode="auto">
                    <a:xfrm>
                      <a:off x="0" y="0"/>
                      <a:ext cx="4481406" cy="2802373"/>
                    </a:xfrm>
                    <a:prstGeom prst="rect">
                      <a:avLst/>
                    </a:prstGeom>
                    <a:noFill/>
                    <a:ln>
                      <a:noFill/>
                    </a:ln>
                  </pic:spPr>
                </pic:pic>
              </a:graphicData>
            </a:graphic>
          </wp:inline>
        </w:drawing>
      </w:r>
    </w:p>
    <w:p w14:paraId="72FB312D" w14:textId="77777777" w:rsidR="00436B89" w:rsidRPr="00A613A8" w:rsidRDefault="00436B89" w:rsidP="00177802">
      <w:pPr>
        <w:pStyle w:val="Heading5"/>
        <w:numPr>
          <w:ilvl w:val="3"/>
          <w:numId w:val="5"/>
        </w:numPr>
        <w:tabs>
          <w:tab w:val="clear" w:pos="1418"/>
          <w:tab w:val="num" w:pos="1191"/>
        </w:tabs>
        <w:ind w:left="1191"/>
        <w:rPr>
          <w:lang w:eastAsia="ja-JP"/>
        </w:rPr>
      </w:pPr>
      <w:bookmarkStart w:id="340" w:name="_Ref457992653"/>
      <w:r w:rsidRPr="00A613A8">
        <w:rPr>
          <w:lang w:eastAsia="ja-JP"/>
        </w:rPr>
        <w:t>Nagamani 2015</w:t>
      </w:r>
      <w:bookmarkEnd w:id="340"/>
    </w:p>
    <w:p w14:paraId="299A72AD" w14:textId="77777777" w:rsidR="00436B89" w:rsidRPr="005A301C" w:rsidRDefault="00436B89" w:rsidP="00436B89">
      <w:pPr>
        <w:rPr>
          <w:i/>
          <w:lang w:eastAsia="ja-JP"/>
        </w:rPr>
      </w:pPr>
      <w:r w:rsidRPr="005A301C">
        <w:rPr>
          <w:i/>
          <w:lang w:eastAsia="ja-JP"/>
        </w:rPr>
        <w:t>Nagamani S.C.S. Diaz G.A. Rhead W. Berry S.A. et al. Self</w:t>
      </w:r>
      <w:r w:rsidR="00625EDD">
        <w:rPr>
          <w:i/>
          <w:lang w:eastAsia="ja-JP"/>
        </w:rPr>
        <w:t>-</w:t>
      </w:r>
      <w:r w:rsidRPr="005A301C">
        <w:rPr>
          <w:i/>
          <w:lang w:eastAsia="ja-JP"/>
        </w:rPr>
        <w:t>reported treatment-associated symptoms among patients with urea cycle disorders participating in glycerol phenylbutyrate clinical trials. Molecular Genetics and Metabolism (2015) 116:1-2 (29-34).</w:t>
      </w:r>
    </w:p>
    <w:p w14:paraId="252E1CE8" w14:textId="77777777" w:rsidR="00436B89" w:rsidRPr="00A613A8" w:rsidRDefault="00436B89" w:rsidP="00436B89">
      <w:pPr>
        <w:rPr>
          <w:lang w:eastAsia="ja-JP"/>
        </w:rPr>
      </w:pPr>
      <w:r w:rsidRPr="00A613A8">
        <w:rPr>
          <w:lang w:eastAsia="ja-JP"/>
        </w:rPr>
        <w:t>This study involved the evaluation of a non-validated UCD-specific questionnaire in 100 adult and paediatric participants</w:t>
      </w:r>
      <w:r>
        <w:rPr>
          <w:lang w:eastAsia="ja-JP"/>
        </w:rPr>
        <w:t xml:space="preserve"> (Table 22)</w:t>
      </w:r>
      <w:r w:rsidRPr="00A613A8">
        <w:rPr>
          <w:lang w:eastAsia="ja-JP"/>
        </w:rPr>
        <w:t>. Patients or their caregivers responded to a pre-defined list of symptoms known to be associated with the use of these medications. Responses were collected at baseline (while patients were receiving sodium phenylbutyrate [NaPBA]) and during treatment with glycerol phenylbutyrate (GPB).</w:t>
      </w:r>
    </w:p>
    <w:p w14:paraId="7517C3C0" w14:textId="77777777" w:rsidR="00436B89" w:rsidRPr="00A613A8" w:rsidRDefault="00436B89" w:rsidP="00436B89">
      <w:pPr>
        <w:pStyle w:val="Tabletitle"/>
        <w:rPr>
          <w:lang w:eastAsia="ja-JP"/>
        </w:rPr>
      </w:pPr>
      <w:bookmarkStart w:id="341" w:name="_Ref457767885"/>
      <w:bookmarkStart w:id="342" w:name="_Toc473013961"/>
      <w:r w:rsidRPr="00A613A8">
        <w:lastRenderedPageBreak/>
        <w:t xml:space="preserve">Table </w:t>
      </w:r>
      <w:r>
        <w:t>22:</w:t>
      </w:r>
      <w:bookmarkEnd w:id="341"/>
      <w:r w:rsidRPr="00A613A8">
        <w:t xml:space="preserve"> </w:t>
      </w:r>
      <w:r w:rsidRPr="00A613A8">
        <w:rPr>
          <w:lang w:eastAsia="ja-JP"/>
        </w:rPr>
        <w:t>Patient Demographics</w:t>
      </w:r>
      <w:r>
        <w:rPr>
          <w:lang w:eastAsia="ja-JP"/>
        </w:rPr>
        <w:t xml:space="preserve"> (</w:t>
      </w:r>
      <w:r w:rsidRPr="005A301C">
        <w:rPr>
          <w:i/>
          <w:lang w:eastAsia="ja-JP"/>
        </w:rPr>
        <w:t>Nagamani</w:t>
      </w:r>
      <w:r>
        <w:rPr>
          <w:i/>
          <w:lang w:eastAsia="ja-JP"/>
        </w:rPr>
        <w:t xml:space="preserve"> 2015</w:t>
      </w:r>
      <w:r>
        <w:rPr>
          <w:lang w:eastAsia="ja-JP"/>
        </w:rPr>
        <w:t>)</w:t>
      </w:r>
      <w:bookmarkEnd w:id="342"/>
    </w:p>
    <w:p w14:paraId="2BBD83EE" w14:textId="77777777" w:rsidR="00436B89" w:rsidRPr="00A613A8" w:rsidRDefault="00436B89" w:rsidP="00436B89">
      <w:pPr>
        <w:rPr>
          <w:lang w:eastAsia="ja-JP"/>
        </w:rPr>
      </w:pPr>
      <w:r>
        <w:rPr>
          <w:noProof/>
          <w:lang w:eastAsia="en-AU"/>
        </w:rPr>
        <w:drawing>
          <wp:inline distT="0" distB="0" distL="0" distR="0" wp14:anchorId="3AFF2D72" wp14:editId="6A7F50A5">
            <wp:extent cx="3626317" cy="4040372"/>
            <wp:effectExtent l="0" t="0" r="0" b="0"/>
            <wp:docPr id="43" name="Picture 43" descr="Table 22: Patient Demographics (Nagamani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lum bright="-20000" contrast="40000"/>
                      <a:extLst>
                        <a:ext uri="{28A0092B-C50C-407E-A947-70E740481C1C}">
                          <a14:useLocalDpi xmlns:a14="http://schemas.microsoft.com/office/drawing/2010/main" val="0"/>
                        </a:ext>
                      </a:extLst>
                    </a:blip>
                    <a:srcRect/>
                    <a:stretch>
                      <a:fillRect/>
                    </a:stretch>
                  </pic:blipFill>
                  <pic:spPr bwMode="auto">
                    <a:xfrm>
                      <a:off x="0" y="0"/>
                      <a:ext cx="3628409" cy="4042703"/>
                    </a:xfrm>
                    <a:prstGeom prst="rect">
                      <a:avLst/>
                    </a:prstGeom>
                    <a:noFill/>
                    <a:ln>
                      <a:noFill/>
                    </a:ln>
                  </pic:spPr>
                </pic:pic>
              </a:graphicData>
            </a:graphic>
          </wp:inline>
        </w:drawing>
      </w:r>
    </w:p>
    <w:p w14:paraId="207AF996" w14:textId="77777777"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t>Results</w:t>
      </w:r>
    </w:p>
    <w:p w14:paraId="28C5A4D8" w14:textId="77777777" w:rsidR="00436B89" w:rsidRPr="00A613A8" w:rsidRDefault="00436B89" w:rsidP="00436B89">
      <w:pPr>
        <w:rPr>
          <w:lang w:eastAsia="ja-JP"/>
        </w:rPr>
      </w:pPr>
      <w:r w:rsidRPr="00A613A8">
        <w:rPr>
          <w:lang w:eastAsia="ja-JP"/>
        </w:rPr>
        <w:t xml:space="preserve">After 3 months of GPB dosing, there were significant reductions in the proportion of patients with treatment-associated symptoms (69% </w:t>
      </w:r>
      <w:r>
        <w:rPr>
          <w:lang w:eastAsia="ja-JP"/>
        </w:rPr>
        <w:t>versus</w:t>
      </w:r>
      <w:r w:rsidRPr="00A613A8">
        <w:rPr>
          <w:lang w:eastAsia="ja-JP"/>
        </w:rPr>
        <w:t xml:space="preserve"> 46%; p b 0.0001), the number of symptoms per patient (2.5 </w:t>
      </w:r>
      <w:r>
        <w:rPr>
          <w:lang w:eastAsia="ja-JP"/>
        </w:rPr>
        <w:t>versus</w:t>
      </w:r>
      <w:r w:rsidRPr="00A613A8">
        <w:rPr>
          <w:lang w:eastAsia="ja-JP"/>
        </w:rPr>
        <w:t xml:space="preserve"> 1.1; p b 0.0001), and frequency of the more commonly reported individual symptoms such as body odour, abdominal pain, nausea, burning sensation in mouth, vomiting, and heartburn (p b 0.05)</w:t>
      </w:r>
      <w:r>
        <w:rPr>
          <w:lang w:eastAsia="ja-JP"/>
        </w:rPr>
        <w:t xml:space="preserve"> (Figures 22-23)</w:t>
      </w:r>
      <w:r w:rsidRPr="00A613A8">
        <w:rPr>
          <w:lang w:eastAsia="ja-JP"/>
        </w:rPr>
        <w:t>. The reduction in symptoms was observed in both paediatric and adult patients. The presence or absence of symptoms or change in severity did not correlate with plasma ammonia levels or NaPBA dose.</w:t>
      </w:r>
    </w:p>
    <w:p w14:paraId="4151B288" w14:textId="77777777" w:rsidR="00436B89" w:rsidRPr="00A613A8" w:rsidRDefault="00436B89" w:rsidP="00C64237">
      <w:pPr>
        <w:pStyle w:val="FigureTitle"/>
        <w:rPr>
          <w:lang w:eastAsia="ja-JP"/>
        </w:rPr>
      </w:pPr>
      <w:bookmarkStart w:id="343" w:name="_Ref457766975"/>
      <w:bookmarkStart w:id="344" w:name="_Toc473014004"/>
      <w:r w:rsidRPr="00A613A8">
        <w:lastRenderedPageBreak/>
        <w:t xml:space="preserve">Figure </w:t>
      </w:r>
      <w:r>
        <w:t>22:</w:t>
      </w:r>
      <w:bookmarkEnd w:id="343"/>
      <w:r w:rsidRPr="00A613A8">
        <w:rPr>
          <w:lang w:eastAsia="ja-JP"/>
        </w:rPr>
        <w:t xml:space="preserve"> </w:t>
      </w:r>
      <w:r w:rsidRPr="00A613A8">
        <w:rPr>
          <w:lang w:eastAsia="en-AU"/>
        </w:rPr>
        <w:t xml:space="preserve">Comparison of the most frequently reported symptoms reported by patients while on NaPBA therapy (baseline) compared with after 3 months of GPB therapy. A: all patients; B: paediatric patients (*p </w:t>
      </w:r>
      <w:r w:rsidRPr="00A613A8">
        <w:rPr>
          <w:rFonts w:ascii="AdvTT454a7a89" w:hAnsi="AdvTT454a7a89" w:cs="AdvTT454a7a89"/>
          <w:lang w:eastAsia="en-AU"/>
        </w:rPr>
        <w:t xml:space="preserve">b </w:t>
      </w:r>
      <w:r w:rsidRPr="00A613A8">
        <w:rPr>
          <w:lang w:eastAsia="en-AU"/>
        </w:rPr>
        <w:t xml:space="preserve">0.05; **p </w:t>
      </w:r>
      <w:r w:rsidRPr="00A613A8">
        <w:rPr>
          <w:rFonts w:ascii="AdvTT454a7a89" w:hAnsi="AdvTT454a7a89" w:cs="AdvTT454a7a89"/>
          <w:lang w:eastAsia="en-AU"/>
        </w:rPr>
        <w:t xml:space="preserve">b </w:t>
      </w:r>
      <w:r w:rsidRPr="00A613A8">
        <w:rPr>
          <w:lang w:eastAsia="en-AU"/>
        </w:rPr>
        <w:t xml:space="preserve">0.01; ***p </w:t>
      </w:r>
      <w:r w:rsidRPr="00A613A8">
        <w:rPr>
          <w:rFonts w:ascii="AdvTT454a7a89" w:hAnsi="AdvTT454a7a89" w:cs="AdvTT454a7a89"/>
          <w:lang w:eastAsia="en-AU"/>
        </w:rPr>
        <w:t xml:space="preserve">b </w:t>
      </w:r>
      <w:r w:rsidRPr="00A613A8">
        <w:rPr>
          <w:lang w:eastAsia="en-AU"/>
        </w:rPr>
        <w:t xml:space="preserve">0.001; ****p </w:t>
      </w:r>
      <w:r w:rsidRPr="00A613A8">
        <w:rPr>
          <w:rFonts w:ascii="AdvTT454a7a89" w:hAnsi="AdvTT454a7a89" w:cs="AdvTT454a7a89"/>
          <w:lang w:eastAsia="en-AU"/>
        </w:rPr>
        <w:t xml:space="preserve">b </w:t>
      </w:r>
      <w:r w:rsidRPr="00A613A8">
        <w:rPr>
          <w:lang w:eastAsia="en-AU"/>
        </w:rPr>
        <w:t>0.0001)</w:t>
      </w:r>
      <w:r>
        <w:rPr>
          <w:lang w:eastAsia="en-AU"/>
        </w:rPr>
        <w:t xml:space="preserve"> </w:t>
      </w:r>
      <w:r>
        <w:rPr>
          <w:lang w:eastAsia="ja-JP"/>
        </w:rPr>
        <w:t>(</w:t>
      </w:r>
      <w:r w:rsidRPr="005A301C">
        <w:rPr>
          <w:i/>
          <w:lang w:eastAsia="ja-JP"/>
        </w:rPr>
        <w:t>Nagamani</w:t>
      </w:r>
      <w:r>
        <w:rPr>
          <w:i/>
          <w:lang w:eastAsia="ja-JP"/>
        </w:rPr>
        <w:t xml:space="preserve"> 2015</w:t>
      </w:r>
      <w:r>
        <w:rPr>
          <w:lang w:eastAsia="ja-JP"/>
        </w:rPr>
        <w:t>)</w:t>
      </w:r>
      <w:bookmarkEnd w:id="344"/>
    </w:p>
    <w:p w14:paraId="763AF0DB" w14:textId="77777777" w:rsidR="00436B89" w:rsidRPr="00A613A8" w:rsidRDefault="00436B89" w:rsidP="00436B89">
      <w:pPr>
        <w:rPr>
          <w:lang w:eastAsia="ja-JP"/>
        </w:rPr>
      </w:pPr>
      <w:r>
        <w:rPr>
          <w:noProof/>
          <w:lang w:eastAsia="en-AU"/>
        </w:rPr>
        <w:drawing>
          <wp:inline distT="0" distB="0" distL="0" distR="0" wp14:anchorId="3145A8CD" wp14:editId="586998A9">
            <wp:extent cx="3930107" cy="4061637"/>
            <wp:effectExtent l="0" t="0" r="0" b="0"/>
            <wp:docPr id="44" name="Picture 44" descr="Figure 22: Comparison of the most frequently reported symptoms reported by patients while on NaPBA therapy (baseline) compared with after 3 months of GPB therapy. A: all patients; B: paediatric patients (*p b 0.05; **p b 0.01; ***p b 0.001; ****p b 0.0001) (Nagamani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lum bright="-20000" contrast="40000"/>
                      <a:extLst>
                        <a:ext uri="{28A0092B-C50C-407E-A947-70E740481C1C}">
                          <a14:useLocalDpi xmlns:a14="http://schemas.microsoft.com/office/drawing/2010/main" val="0"/>
                        </a:ext>
                      </a:extLst>
                    </a:blip>
                    <a:srcRect/>
                    <a:stretch>
                      <a:fillRect/>
                    </a:stretch>
                  </pic:blipFill>
                  <pic:spPr bwMode="auto">
                    <a:xfrm>
                      <a:off x="0" y="0"/>
                      <a:ext cx="3934374" cy="4066047"/>
                    </a:xfrm>
                    <a:prstGeom prst="rect">
                      <a:avLst/>
                    </a:prstGeom>
                    <a:noFill/>
                    <a:ln>
                      <a:noFill/>
                    </a:ln>
                  </pic:spPr>
                </pic:pic>
              </a:graphicData>
            </a:graphic>
          </wp:inline>
        </w:drawing>
      </w:r>
    </w:p>
    <w:p w14:paraId="4E36FF83" w14:textId="77777777" w:rsidR="00436B89" w:rsidRPr="00A613A8" w:rsidRDefault="00436B89" w:rsidP="00C64237">
      <w:pPr>
        <w:pStyle w:val="FigureTitle"/>
        <w:rPr>
          <w:lang w:eastAsia="ja-JP"/>
        </w:rPr>
      </w:pPr>
      <w:bookmarkStart w:id="345" w:name="_Ref457767009"/>
      <w:bookmarkStart w:id="346" w:name="_Toc473014005"/>
      <w:r w:rsidRPr="00A613A8">
        <w:t>Figure</w:t>
      </w:r>
      <w:r>
        <w:t xml:space="preserve"> 23:</w:t>
      </w:r>
      <w:bookmarkEnd w:id="345"/>
      <w:r w:rsidRPr="00A613A8">
        <w:rPr>
          <w:lang w:eastAsia="ja-JP"/>
        </w:rPr>
        <w:t xml:space="preserve"> Changes in symptoms from baseline to quarterly visits in study HPN-100-012 in paediatric patients under 6 years of age (N=23). Left axis (black line) percentage of patients who reported symptoms at each visit; right axis (red line) corresponding mean number of symptom reported. (*p b 0.05; **p b 0.01 comparing month 3 and baseline)</w:t>
      </w:r>
      <w:r>
        <w:rPr>
          <w:lang w:eastAsia="ja-JP"/>
        </w:rPr>
        <w:t xml:space="preserve"> (</w:t>
      </w:r>
      <w:r w:rsidRPr="005A301C">
        <w:rPr>
          <w:i/>
          <w:lang w:eastAsia="ja-JP"/>
        </w:rPr>
        <w:t>Nagamani</w:t>
      </w:r>
      <w:r>
        <w:rPr>
          <w:i/>
          <w:lang w:eastAsia="ja-JP"/>
        </w:rPr>
        <w:t xml:space="preserve"> 2015</w:t>
      </w:r>
      <w:r>
        <w:rPr>
          <w:lang w:eastAsia="ja-JP"/>
        </w:rPr>
        <w:t>)</w:t>
      </w:r>
      <w:bookmarkEnd w:id="346"/>
    </w:p>
    <w:p w14:paraId="2EF52B78" w14:textId="77777777" w:rsidR="00436B89" w:rsidRPr="00A613A8" w:rsidRDefault="00436B89" w:rsidP="00436B89">
      <w:pPr>
        <w:rPr>
          <w:lang w:eastAsia="ja-JP"/>
        </w:rPr>
      </w:pPr>
      <w:r>
        <w:rPr>
          <w:noProof/>
          <w:lang w:eastAsia="en-AU"/>
        </w:rPr>
        <w:drawing>
          <wp:inline distT="0" distB="0" distL="0" distR="0" wp14:anchorId="66128394" wp14:editId="6F4EAC17">
            <wp:extent cx="3571079" cy="2417135"/>
            <wp:effectExtent l="0" t="0" r="0" b="2540"/>
            <wp:docPr id="45" name="Picture 45" descr="Figure 23: Changes in symptoms from baseline to quarterly visits in study HPN-100-012 in paediatric patients under 6 years of age (N=23). Left axis (black line) percentage of patients who reported symptoms at each visit; right axis (red line) corresponding mean number of symptom reported. (*p b 0.05; **p b 0.01 comparing month 3 and baseline) (Nagamani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lum bright="-20000" contrast="40000"/>
                      <a:extLst>
                        <a:ext uri="{28A0092B-C50C-407E-A947-70E740481C1C}">
                          <a14:useLocalDpi xmlns:a14="http://schemas.microsoft.com/office/drawing/2010/main" val="0"/>
                        </a:ext>
                      </a:extLst>
                    </a:blip>
                    <a:srcRect/>
                    <a:stretch>
                      <a:fillRect/>
                    </a:stretch>
                  </pic:blipFill>
                  <pic:spPr bwMode="auto">
                    <a:xfrm>
                      <a:off x="0" y="0"/>
                      <a:ext cx="3572509" cy="2418103"/>
                    </a:xfrm>
                    <a:prstGeom prst="rect">
                      <a:avLst/>
                    </a:prstGeom>
                    <a:noFill/>
                    <a:ln>
                      <a:noFill/>
                    </a:ln>
                  </pic:spPr>
                </pic:pic>
              </a:graphicData>
            </a:graphic>
          </wp:inline>
        </w:drawing>
      </w:r>
    </w:p>
    <w:p w14:paraId="0E915D22" w14:textId="77777777" w:rsidR="00436B89" w:rsidRPr="00A613A8" w:rsidRDefault="00436B89" w:rsidP="00177802">
      <w:pPr>
        <w:pStyle w:val="Heading4"/>
        <w:numPr>
          <w:ilvl w:val="2"/>
          <w:numId w:val="5"/>
        </w:numPr>
      </w:pPr>
      <w:r w:rsidRPr="00A613A8">
        <w:lastRenderedPageBreak/>
        <w:t>Maestri 1991</w:t>
      </w:r>
    </w:p>
    <w:p w14:paraId="79AEA037" w14:textId="77777777" w:rsidR="00436B89" w:rsidRPr="005A301C" w:rsidRDefault="00436B89" w:rsidP="00436B89">
      <w:pPr>
        <w:rPr>
          <w:i/>
          <w:lang w:eastAsia="ja-JP"/>
        </w:rPr>
      </w:pPr>
      <w:r w:rsidRPr="005A301C">
        <w:rPr>
          <w:i/>
          <w:lang w:eastAsia="ja-JP"/>
        </w:rPr>
        <w:t xml:space="preserve">Maestri NE, Hauser ER, Bartholomew D, Brusilow SW. Prospective treatment of urea cycle disorders. </w:t>
      </w:r>
      <w:proofErr w:type="gramStart"/>
      <w:r w:rsidRPr="005A301C">
        <w:rPr>
          <w:i/>
          <w:lang w:eastAsia="ja-JP"/>
        </w:rPr>
        <w:t>J Pediatr.</w:t>
      </w:r>
      <w:proofErr w:type="gramEnd"/>
      <w:r w:rsidRPr="005A301C">
        <w:rPr>
          <w:i/>
          <w:lang w:eastAsia="ja-JP"/>
        </w:rPr>
        <w:t xml:space="preserve"> 1991 Dec</w:t>
      </w:r>
      <w:proofErr w:type="gramStart"/>
      <w:r w:rsidRPr="005A301C">
        <w:rPr>
          <w:i/>
          <w:lang w:eastAsia="ja-JP"/>
        </w:rPr>
        <w:t>;119</w:t>
      </w:r>
      <w:proofErr w:type="gramEnd"/>
      <w:r w:rsidRPr="005A301C">
        <w:rPr>
          <w:i/>
          <w:lang w:eastAsia="ja-JP"/>
        </w:rPr>
        <w:t>(6):923-8</w:t>
      </w:r>
    </w:p>
    <w:p w14:paraId="3B454708" w14:textId="77777777" w:rsidR="00436B89" w:rsidRPr="00A613A8" w:rsidRDefault="00436B89" w:rsidP="00436B89">
      <w:pPr>
        <w:rPr>
          <w:lang w:eastAsia="ja-JP"/>
        </w:rPr>
      </w:pPr>
      <w:r w:rsidRPr="00A613A8">
        <w:rPr>
          <w:lang w:eastAsia="ja-JP"/>
        </w:rPr>
        <w:t>This paper was a description of a diagnostic and therapeutic protocol designed to prevent clinical expression of inborn errors of urea synthesis in the neonatal period, and discuss the long-term developmental outcome of survivors. The families of 32 infants, among 43 identified prenatally as being at risk for a urea cycle disorder, were treated according to a diagnostic and therapeutic protocol, beginning at birth. This study did not involve the use of sodium phenylbutyrate in the treatment protocol (</w:t>
      </w:r>
      <w:r>
        <w:rPr>
          <w:lang w:eastAsia="ja-JP"/>
        </w:rPr>
        <w:t>Table 23</w:t>
      </w:r>
      <w:r w:rsidRPr="00A613A8">
        <w:rPr>
          <w:lang w:eastAsia="ja-JP"/>
        </w:rPr>
        <w:t>). There are no data presented directly relevant to the current application.</w:t>
      </w:r>
    </w:p>
    <w:p w14:paraId="6BC2CADB" w14:textId="77777777" w:rsidR="00436B89" w:rsidRPr="00A613A8" w:rsidRDefault="00436B89" w:rsidP="00C64237">
      <w:pPr>
        <w:pStyle w:val="Tabletitle"/>
        <w:rPr>
          <w:lang w:eastAsia="ja-JP"/>
        </w:rPr>
      </w:pPr>
      <w:bookmarkStart w:id="347" w:name="_Ref457767912"/>
      <w:bookmarkStart w:id="348" w:name="_Toc473013962"/>
      <w:r w:rsidRPr="00A613A8">
        <w:t xml:space="preserve">Table </w:t>
      </w:r>
      <w:r>
        <w:t>23:</w:t>
      </w:r>
      <w:bookmarkEnd w:id="347"/>
      <w:r w:rsidRPr="00A613A8">
        <w:t xml:space="preserve"> </w:t>
      </w:r>
      <w:r w:rsidRPr="00A613A8">
        <w:rPr>
          <w:lang w:eastAsia="ja-JP"/>
        </w:rPr>
        <w:t>Treatment protocol for treatment of neonatal urea cycle disorders</w:t>
      </w:r>
      <w:r>
        <w:rPr>
          <w:lang w:eastAsia="ja-JP"/>
        </w:rPr>
        <w:t xml:space="preserve"> (</w:t>
      </w:r>
      <w:r w:rsidRPr="005A301C">
        <w:rPr>
          <w:i/>
          <w:lang w:eastAsia="ja-JP"/>
        </w:rPr>
        <w:t>Maestri</w:t>
      </w:r>
      <w:r>
        <w:rPr>
          <w:i/>
          <w:lang w:eastAsia="ja-JP"/>
        </w:rPr>
        <w:t xml:space="preserve"> 1991</w:t>
      </w:r>
      <w:r>
        <w:rPr>
          <w:lang w:eastAsia="ja-JP"/>
        </w:rPr>
        <w:t>)</w:t>
      </w:r>
      <w:bookmarkEnd w:id="348"/>
    </w:p>
    <w:p w14:paraId="2AED224E" w14:textId="77777777" w:rsidR="00436B89" w:rsidRPr="00A613A8" w:rsidRDefault="00436B89" w:rsidP="00436B89">
      <w:pPr>
        <w:rPr>
          <w:lang w:eastAsia="ja-JP"/>
        </w:rPr>
      </w:pPr>
      <w:r>
        <w:rPr>
          <w:noProof/>
          <w:lang w:eastAsia="en-AU"/>
        </w:rPr>
        <w:drawing>
          <wp:inline distT="0" distB="0" distL="0" distR="0" wp14:anchorId="382CDAB4" wp14:editId="2BCEF80B">
            <wp:extent cx="3203944" cy="2140689"/>
            <wp:effectExtent l="0" t="0" r="0" b="0"/>
            <wp:docPr id="46" name="Picture 46" descr="Table 23: Treatment protocol for treatment of neonatal urea cycle disorders (Maestri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7">
                      <a:lum bright="-20000" contrast="40000"/>
                      <a:extLst>
                        <a:ext uri="{28A0092B-C50C-407E-A947-70E740481C1C}">
                          <a14:useLocalDpi xmlns:a14="http://schemas.microsoft.com/office/drawing/2010/main" val="0"/>
                        </a:ext>
                      </a:extLst>
                    </a:blip>
                    <a:srcRect l="2894" t="3670" r="3519" b="3833"/>
                    <a:stretch/>
                  </pic:blipFill>
                  <pic:spPr bwMode="auto">
                    <a:xfrm>
                      <a:off x="0" y="0"/>
                      <a:ext cx="3208495" cy="2143730"/>
                    </a:xfrm>
                    <a:prstGeom prst="rect">
                      <a:avLst/>
                    </a:prstGeom>
                    <a:noFill/>
                    <a:ln>
                      <a:noFill/>
                    </a:ln>
                    <a:extLst>
                      <a:ext uri="{53640926-AAD7-44D8-BBD7-CCE9431645EC}">
                        <a14:shadowObscured xmlns:a14="http://schemas.microsoft.com/office/drawing/2010/main"/>
                      </a:ext>
                    </a:extLst>
                  </pic:spPr>
                </pic:pic>
              </a:graphicData>
            </a:graphic>
          </wp:inline>
        </w:drawing>
      </w:r>
    </w:p>
    <w:p w14:paraId="6649CFCB" w14:textId="77777777" w:rsidR="00436B89" w:rsidRPr="00A613A8" w:rsidRDefault="00436B89" w:rsidP="00177802">
      <w:pPr>
        <w:pStyle w:val="Heading4"/>
        <w:numPr>
          <w:ilvl w:val="2"/>
          <w:numId w:val="12"/>
        </w:numPr>
      </w:pPr>
      <w:r w:rsidRPr="00A613A8">
        <w:t>Maestri 1992</w:t>
      </w:r>
    </w:p>
    <w:p w14:paraId="38B58732" w14:textId="77777777" w:rsidR="00436B89" w:rsidRPr="005A301C" w:rsidRDefault="00436B89" w:rsidP="00436B89">
      <w:pPr>
        <w:rPr>
          <w:i/>
          <w:lang w:eastAsia="ja-JP"/>
        </w:rPr>
      </w:pPr>
      <w:proofErr w:type="gramStart"/>
      <w:r w:rsidRPr="005A301C">
        <w:rPr>
          <w:i/>
          <w:lang w:eastAsia="ja-JP"/>
        </w:rPr>
        <w:t>Maestri NE, McGowan, KD, Brusilow.</w:t>
      </w:r>
      <w:proofErr w:type="gramEnd"/>
      <w:r w:rsidRPr="005A301C">
        <w:rPr>
          <w:i/>
          <w:lang w:eastAsia="ja-JP"/>
        </w:rPr>
        <w:t xml:space="preserve"> Plasma glutamine concentration: A guide in the management of urea cycle disorders. </w:t>
      </w:r>
      <w:proofErr w:type="gramStart"/>
      <w:r w:rsidRPr="005A301C">
        <w:rPr>
          <w:i/>
          <w:lang w:eastAsia="ja-JP"/>
        </w:rPr>
        <w:t>Journal of Pediatrics.</w:t>
      </w:r>
      <w:proofErr w:type="gramEnd"/>
      <w:r w:rsidRPr="005A301C">
        <w:rPr>
          <w:i/>
          <w:lang w:eastAsia="ja-JP"/>
        </w:rPr>
        <w:t xml:space="preserve"> 1992; 121:259-61</w:t>
      </w:r>
    </w:p>
    <w:p w14:paraId="27106AF3" w14:textId="77777777" w:rsidR="00436B89" w:rsidRPr="00A613A8" w:rsidRDefault="00436B89" w:rsidP="00436B89">
      <w:pPr>
        <w:autoSpaceDE w:val="0"/>
        <w:autoSpaceDN w:val="0"/>
        <w:adjustRightInd w:val="0"/>
        <w:spacing w:before="0" w:after="0" w:line="240" w:lineRule="auto"/>
        <w:rPr>
          <w:lang w:eastAsia="ja-JP"/>
        </w:rPr>
      </w:pPr>
      <w:r w:rsidRPr="00A613A8">
        <w:rPr>
          <w:lang w:eastAsia="ja-JP"/>
        </w:rPr>
        <w:t>This was a single case report of a child born with OTC deficiency who was treated from the early neonatal period. The patient was the younger brother of a boy with known OTC deficiency. The patient was treated with a low protein diet (at times supplemented with essential amino acids), e-citrulline, 175 mg/kg per day, and sodium phenylbutyrate, 500 to 600 mg/kg per day. The study documents the relationship between plasma glutamine and ammonium concentrations (</w:t>
      </w:r>
      <w:r>
        <w:rPr>
          <w:lang w:eastAsia="ja-JP"/>
        </w:rPr>
        <w:t>see Figure 24</w:t>
      </w:r>
      <w:r w:rsidRPr="00A613A8">
        <w:rPr>
          <w:lang w:eastAsia="ja-JP"/>
        </w:rPr>
        <w:t>). At 19 months of age, the patient was at the 25th percentile for weight and below the 3rd percentile for height. He had been admitted to the hospital three times because</w:t>
      </w:r>
      <w:r>
        <w:rPr>
          <w:lang w:eastAsia="ja-JP"/>
        </w:rPr>
        <w:t xml:space="preserve"> </w:t>
      </w:r>
      <w:r w:rsidRPr="00A613A8">
        <w:rPr>
          <w:lang w:eastAsia="ja-JP"/>
        </w:rPr>
        <w:t>of symptomatic hyperammonaemia.</w:t>
      </w:r>
    </w:p>
    <w:p w14:paraId="3BE3A154" w14:textId="77777777" w:rsidR="00436B89" w:rsidRPr="00A613A8" w:rsidRDefault="00436B89" w:rsidP="00C64237">
      <w:pPr>
        <w:pStyle w:val="FigureTitle"/>
        <w:rPr>
          <w:lang w:eastAsia="ja-JP"/>
        </w:rPr>
      </w:pPr>
      <w:bookmarkStart w:id="349" w:name="_Ref457767034"/>
      <w:bookmarkStart w:id="350" w:name="_Toc473014006"/>
      <w:r w:rsidRPr="00A613A8">
        <w:lastRenderedPageBreak/>
        <w:t xml:space="preserve">Figure </w:t>
      </w:r>
      <w:r>
        <w:t>24:</w:t>
      </w:r>
      <w:bookmarkEnd w:id="349"/>
      <w:r w:rsidRPr="00A613A8">
        <w:rPr>
          <w:lang w:eastAsia="ja-JP"/>
        </w:rPr>
        <w:t xml:space="preserve"> Relationship between plasma glutamine and ammonium concentrations. For all values the Pearson co coefficient is 0.77 (p &lt;0.0001). For plasma ammonium values less than 30 mol/L </w:t>
      </w:r>
      <w:r w:rsidR="00625EDD" w:rsidRPr="00A613A8">
        <w:rPr>
          <w:lang w:eastAsia="ja-JP"/>
        </w:rPr>
        <w:t>(p</w:t>
      </w:r>
      <w:r w:rsidRPr="00A613A8">
        <w:rPr>
          <w:lang w:eastAsia="ja-JP"/>
        </w:rPr>
        <w:t xml:space="preserve"> = 0.436; p &lt;0.0001)</w:t>
      </w:r>
      <w:r>
        <w:rPr>
          <w:lang w:eastAsia="ja-JP"/>
        </w:rPr>
        <w:t xml:space="preserve"> (</w:t>
      </w:r>
      <w:r w:rsidRPr="005A301C">
        <w:rPr>
          <w:i/>
          <w:lang w:eastAsia="ja-JP"/>
        </w:rPr>
        <w:t>Maestri</w:t>
      </w:r>
      <w:r>
        <w:rPr>
          <w:i/>
          <w:lang w:eastAsia="ja-JP"/>
        </w:rPr>
        <w:t xml:space="preserve"> 1992</w:t>
      </w:r>
      <w:r>
        <w:rPr>
          <w:lang w:eastAsia="ja-JP"/>
        </w:rPr>
        <w:t>)</w:t>
      </w:r>
      <w:bookmarkEnd w:id="350"/>
    </w:p>
    <w:p w14:paraId="26B0DE12" w14:textId="77777777" w:rsidR="00436B89" w:rsidRPr="00A613A8" w:rsidRDefault="00436B89" w:rsidP="00436B89">
      <w:pPr>
        <w:rPr>
          <w:lang w:eastAsia="ja-JP"/>
        </w:rPr>
      </w:pPr>
      <w:r>
        <w:rPr>
          <w:noProof/>
          <w:lang w:eastAsia="en-AU"/>
        </w:rPr>
        <w:drawing>
          <wp:inline distT="0" distB="0" distL="0" distR="0" wp14:anchorId="3E0E90DE" wp14:editId="4FD86A71">
            <wp:extent cx="3565683" cy="2410046"/>
            <wp:effectExtent l="0" t="0" r="0" b="9525"/>
            <wp:docPr id="47" name="Picture 47" descr="Figure 24: Relationship between plasma glutamine and ammonium concentrations. For all values the Pearson co coefficient is 0.77 (p &lt;0.0001). For plasma ammonium values less than 30 mol/L ( p = 0.436; p &lt;0.0001) (Maestri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lum bright="-20000" contrast="40000"/>
                      <a:extLst>
                        <a:ext uri="{28A0092B-C50C-407E-A947-70E740481C1C}">
                          <a14:useLocalDpi xmlns:a14="http://schemas.microsoft.com/office/drawing/2010/main" val="0"/>
                        </a:ext>
                      </a:extLst>
                    </a:blip>
                    <a:srcRect/>
                    <a:stretch>
                      <a:fillRect/>
                    </a:stretch>
                  </pic:blipFill>
                  <pic:spPr bwMode="auto">
                    <a:xfrm>
                      <a:off x="0" y="0"/>
                      <a:ext cx="3569113" cy="2412365"/>
                    </a:xfrm>
                    <a:prstGeom prst="rect">
                      <a:avLst/>
                    </a:prstGeom>
                    <a:noFill/>
                    <a:ln>
                      <a:noFill/>
                    </a:ln>
                  </pic:spPr>
                </pic:pic>
              </a:graphicData>
            </a:graphic>
          </wp:inline>
        </w:drawing>
      </w:r>
    </w:p>
    <w:p w14:paraId="6A44281C" w14:textId="77777777" w:rsidR="00436B89" w:rsidRPr="00A613A8" w:rsidRDefault="00436B89" w:rsidP="00177802">
      <w:pPr>
        <w:pStyle w:val="Heading4"/>
        <w:numPr>
          <w:ilvl w:val="2"/>
          <w:numId w:val="13"/>
        </w:numPr>
      </w:pPr>
      <w:r w:rsidRPr="00A613A8">
        <w:t>Maestri 1995</w:t>
      </w:r>
    </w:p>
    <w:p w14:paraId="53C3B6A0" w14:textId="77777777" w:rsidR="00436B89" w:rsidRPr="005A301C" w:rsidRDefault="00436B89" w:rsidP="00436B89">
      <w:pPr>
        <w:rPr>
          <w:i/>
          <w:lang w:eastAsia="ja-JP"/>
        </w:rPr>
      </w:pPr>
      <w:proofErr w:type="gramStart"/>
      <w:r w:rsidRPr="005A301C">
        <w:rPr>
          <w:i/>
          <w:lang w:eastAsia="ja-JP"/>
        </w:rPr>
        <w:t>Maestri NE; Clissold DB; Brusilow SW. Long-term survival of patients with argininosuccinate synthetase deficiency.</w:t>
      </w:r>
      <w:proofErr w:type="gramEnd"/>
      <w:r w:rsidRPr="005A301C">
        <w:rPr>
          <w:i/>
          <w:lang w:eastAsia="ja-JP"/>
        </w:rPr>
        <w:t xml:space="preserve"> </w:t>
      </w:r>
      <w:proofErr w:type="gramStart"/>
      <w:r w:rsidRPr="005A301C">
        <w:rPr>
          <w:i/>
          <w:lang w:eastAsia="ja-JP"/>
        </w:rPr>
        <w:t>Journal of Pediatrics.</w:t>
      </w:r>
      <w:proofErr w:type="gramEnd"/>
      <w:r w:rsidRPr="005A301C">
        <w:rPr>
          <w:i/>
          <w:lang w:eastAsia="ja-JP"/>
        </w:rPr>
        <w:t xml:space="preserve"> 1995; 127(6):929-35</w:t>
      </w:r>
    </w:p>
    <w:p w14:paraId="16420D04" w14:textId="77777777" w:rsidR="00436B89" w:rsidRPr="00A613A8" w:rsidRDefault="00436B89" w:rsidP="00436B89">
      <w:pPr>
        <w:rPr>
          <w:lang w:eastAsia="ja-JP"/>
        </w:rPr>
      </w:pPr>
      <w:r w:rsidRPr="00A613A8">
        <w:rPr>
          <w:lang w:eastAsia="ja-JP"/>
        </w:rPr>
        <w:t>This study reported on the long-term survival and outcome of patients with neonatal onset argininosuccinate synthetase deficiency (ASD) who were treated with specific therapeutic protocols designed to activate alternative pathways of waste nitrogen excretion</w:t>
      </w:r>
      <w:r>
        <w:rPr>
          <w:lang w:eastAsia="ja-JP"/>
        </w:rPr>
        <w:t xml:space="preserve"> (Table 24)</w:t>
      </w:r>
      <w:r w:rsidRPr="00A613A8">
        <w:rPr>
          <w:lang w:eastAsia="ja-JP"/>
        </w:rPr>
        <w:t>. Patients for this study included 24 infants born before 1990 and rescued from hyperammonaemic coma caused by neonatal-onset ASD; they were referred to a single centre for enrolment in ongoing clinical studies of sodium benzoate, sodium phenylacetate, and sodium phenylbutyrate. Collaborating physicians throughout the United States and Canada provided information on survival, intellectual development, intercurrent hyperammonaemic episodes, and anthropometric and biochemical measurements.</w:t>
      </w:r>
    </w:p>
    <w:p w14:paraId="7EFA13B6" w14:textId="77777777"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t>Results</w:t>
      </w:r>
    </w:p>
    <w:p w14:paraId="5AD33556" w14:textId="77777777" w:rsidR="00436B89" w:rsidRPr="00A613A8" w:rsidRDefault="00436B89" w:rsidP="00436B89">
      <w:pPr>
        <w:rPr>
          <w:lang w:eastAsia="ja-JP"/>
        </w:rPr>
      </w:pPr>
      <w:r w:rsidRPr="00A613A8">
        <w:rPr>
          <w:lang w:eastAsia="ja-JP"/>
        </w:rPr>
        <w:t>The cumulative survival rate w</w:t>
      </w:r>
      <w:r>
        <w:rPr>
          <w:lang w:eastAsia="ja-JP"/>
        </w:rPr>
        <w:t>as 87.5% at 5 years and 72% at 1</w:t>
      </w:r>
      <w:r w:rsidRPr="00A613A8">
        <w:rPr>
          <w:lang w:eastAsia="ja-JP"/>
        </w:rPr>
        <w:t>0 years of age</w:t>
      </w:r>
      <w:r>
        <w:rPr>
          <w:lang w:eastAsia="ja-JP"/>
        </w:rPr>
        <w:t xml:space="preserve"> (Figure 25)</w:t>
      </w:r>
      <w:r w:rsidRPr="00A613A8">
        <w:rPr>
          <w:lang w:eastAsia="ja-JP"/>
        </w:rPr>
        <w:t xml:space="preserve">. Survivors include 15 patients currently treated with high doses of sodium phenylbutyrate; two patients have withdrawn. Among the treated group, 11 are classified as severely to profoundly mentally </w:t>
      </w:r>
      <w:proofErr w:type="gramStart"/>
      <w:r w:rsidRPr="00A613A8">
        <w:rPr>
          <w:lang w:eastAsia="ja-JP"/>
        </w:rPr>
        <w:t>retarded</w:t>
      </w:r>
      <w:proofErr w:type="gramEnd"/>
      <w:r w:rsidRPr="00A613A8">
        <w:rPr>
          <w:lang w:eastAsia="ja-JP"/>
        </w:rPr>
        <w:t>. The remaining four patients have IQ measurements in the borderline to mentally retarded range. All patients have had intercurrent hyperammonaemic episodes; our data indicate that the frequency of the episodes has decreased with implementation of the current protocol</w:t>
      </w:r>
      <w:r>
        <w:rPr>
          <w:lang w:eastAsia="ja-JP"/>
        </w:rPr>
        <w:t xml:space="preserve"> (Tables 25-26)</w:t>
      </w:r>
      <w:r w:rsidRPr="00A613A8">
        <w:rPr>
          <w:lang w:eastAsia="ja-JP"/>
        </w:rPr>
        <w:t>. These patients are</w:t>
      </w:r>
      <w:r>
        <w:rPr>
          <w:lang w:eastAsia="ja-JP"/>
        </w:rPr>
        <w:t xml:space="preserve"> growth retarded</w:t>
      </w:r>
      <w:r w:rsidRPr="00A613A8">
        <w:rPr>
          <w:lang w:eastAsia="ja-JP"/>
        </w:rPr>
        <w:t xml:space="preserve"> but most have height-for-weight z scores within 2 SD of the mean. Laboratory studies of plasma amino acids and of hematopoietic, renal, and hepatic function are within normal limits with the exception of slightly elevated serum aminotransferase values.</w:t>
      </w:r>
    </w:p>
    <w:p w14:paraId="73B206C5" w14:textId="77777777" w:rsidR="00436B89" w:rsidRPr="00A613A8" w:rsidRDefault="00436B89" w:rsidP="00C64237">
      <w:pPr>
        <w:pStyle w:val="Tabletitle"/>
        <w:rPr>
          <w:lang w:eastAsia="ja-JP"/>
        </w:rPr>
      </w:pPr>
      <w:bookmarkStart w:id="351" w:name="_Ref457767942"/>
      <w:bookmarkStart w:id="352" w:name="_Toc473013963"/>
      <w:r w:rsidRPr="00A613A8">
        <w:lastRenderedPageBreak/>
        <w:t xml:space="preserve">Table </w:t>
      </w:r>
      <w:r>
        <w:t>24</w:t>
      </w:r>
      <w:bookmarkEnd w:id="351"/>
      <w:r>
        <w:t>:</w:t>
      </w:r>
      <w:r w:rsidRPr="00A613A8">
        <w:t xml:space="preserve"> </w:t>
      </w:r>
      <w:r w:rsidRPr="00A613A8">
        <w:rPr>
          <w:lang w:eastAsia="ja-JP"/>
        </w:rPr>
        <w:t>Long-term therapeutic protocols for study patients</w:t>
      </w:r>
      <w:r>
        <w:rPr>
          <w:lang w:eastAsia="ja-JP"/>
        </w:rPr>
        <w:t xml:space="preserve"> (</w:t>
      </w:r>
      <w:r w:rsidRPr="005A301C">
        <w:rPr>
          <w:i/>
          <w:lang w:eastAsia="ja-JP"/>
        </w:rPr>
        <w:t>Maestri</w:t>
      </w:r>
      <w:r>
        <w:rPr>
          <w:i/>
          <w:lang w:eastAsia="ja-JP"/>
        </w:rPr>
        <w:t xml:space="preserve"> 1995</w:t>
      </w:r>
      <w:r>
        <w:rPr>
          <w:lang w:eastAsia="ja-JP"/>
        </w:rPr>
        <w:t>)</w:t>
      </w:r>
      <w:bookmarkEnd w:id="352"/>
    </w:p>
    <w:p w14:paraId="0FBAAE4D" w14:textId="77777777" w:rsidR="00436B89" w:rsidRPr="00A613A8" w:rsidRDefault="00436B89" w:rsidP="00436B89">
      <w:pPr>
        <w:rPr>
          <w:lang w:eastAsia="ja-JP"/>
        </w:rPr>
      </w:pPr>
      <w:r>
        <w:rPr>
          <w:noProof/>
          <w:lang w:eastAsia="en-AU"/>
        </w:rPr>
        <w:drawing>
          <wp:inline distT="0" distB="0" distL="0" distR="0" wp14:anchorId="3C784A11" wp14:editId="6DBE3FEC">
            <wp:extent cx="3522351" cy="2098158"/>
            <wp:effectExtent l="0" t="0" r="1905" b="0"/>
            <wp:docPr id="48" name="Picture 48" descr="Table 24: Long-term therapeutic protocols for study patients (Maestri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9">
                      <a:lum bright="-20000" contrast="40000"/>
                      <a:extLst>
                        <a:ext uri="{28A0092B-C50C-407E-A947-70E740481C1C}">
                          <a14:useLocalDpi xmlns:a14="http://schemas.microsoft.com/office/drawing/2010/main" val="0"/>
                        </a:ext>
                      </a:extLst>
                    </a:blip>
                    <a:srcRect l="1818" t="2977" b="9219"/>
                    <a:stretch/>
                  </pic:blipFill>
                  <pic:spPr bwMode="auto">
                    <a:xfrm>
                      <a:off x="0" y="0"/>
                      <a:ext cx="3523662" cy="2098939"/>
                    </a:xfrm>
                    <a:prstGeom prst="rect">
                      <a:avLst/>
                    </a:prstGeom>
                    <a:noFill/>
                    <a:ln>
                      <a:noFill/>
                    </a:ln>
                    <a:extLst>
                      <a:ext uri="{53640926-AAD7-44D8-BBD7-CCE9431645EC}">
                        <a14:shadowObscured xmlns:a14="http://schemas.microsoft.com/office/drawing/2010/main"/>
                      </a:ext>
                    </a:extLst>
                  </pic:spPr>
                </pic:pic>
              </a:graphicData>
            </a:graphic>
          </wp:inline>
        </w:drawing>
      </w:r>
    </w:p>
    <w:p w14:paraId="07BD87D5" w14:textId="77777777" w:rsidR="00436B89" w:rsidRPr="00A613A8" w:rsidRDefault="00436B89" w:rsidP="00C64237">
      <w:pPr>
        <w:pStyle w:val="FigureTitle"/>
        <w:rPr>
          <w:lang w:eastAsia="ja-JP"/>
        </w:rPr>
      </w:pPr>
      <w:bookmarkStart w:id="353" w:name="_Ref457767051"/>
      <w:bookmarkStart w:id="354" w:name="_Toc473014007"/>
      <w:r w:rsidRPr="00A613A8">
        <w:t xml:space="preserve">Figure </w:t>
      </w:r>
      <w:r>
        <w:t>25:</w:t>
      </w:r>
      <w:bookmarkEnd w:id="353"/>
      <w:r w:rsidRPr="00A613A8">
        <w:rPr>
          <w:lang w:eastAsia="ja-JP"/>
        </w:rPr>
        <w:t xml:space="preserve"> Kaplan-Meier survival curve for 24 patients with neonatal onset of ASD. The diamond shapes represent the age at censoring of surviving patients</w:t>
      </w:r>
      <w:r>
        <w:rPr>
          <w:lang w:eastAsia="ja-JP"/>
        </w:rPr>
        <w:t xml:space="preserve"> (</w:t>
      </w:r>
      <w:r w:rsidRPr="005A301C">
        <w:rPr>
          <w:i/>
          <w:lang w:eastAsia="ja-JP"/>
        </w:rPr>
        <w:t>Maestri</w:t>
      </w:r>
      <w:r>
        <w:rPr>
          <w:i/>
          <w:lang w:eastAsia="ja-JP"/>
        </w:rPr>
        <w:t xml:space="preserve"> 1995</w:t>
      </w:r>
      <w:r>
        <w:rPr>
          <w:lang w:eastAsia="ja-JP"/>
        </w:rPr>
        <w:t>)</w:t>
      </w:r>
      <w:bookmarkEnd w:id="354"/>
    </w:p>
    <w:p w14:paraId="0D10B147" w14:textId="77777777" w:rsidR="00436B89" w:rsidRPr="00A613A8" w:rsidRDefault="00436B89" w:rsidP="00436B89">
      <w:pPr>
        <w:rPr>
          <w:lang w:eastAsia="ja-JP"/>
        </w:rPr>
      </w:pPr>
      <w:r>
        <w:rPr>
          <w:noProof/>
          <w:lang w:eastAsia="en-AU"/>
        </w:rPr>
        <w:drawing>
          <wp:inline distT="0" distB="0" distL="0" distR="0" wp14:anchorId="36A72118" wp14:editId="44AD5FF9">
            <wp:extent cx="4591050" cy="2805982"/>
            <wp:effectExtent l="0" t="0" r="0" b="0"/>
            <wp:docPr id="49" name="Picture 49" descr="Figure 25: Kaplan-Meier survival curve for 24 patients with neonatal onset of ASD. The diamond shapes represent the age at censoring of surviving patients (Maestri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lum bright="-20000" contrast="40000"/>
                      <a:extLst>
                        <a:ext uri="{28A0092B-C50C-407E-A947-70E740481C1C}">
                          <a14:useLocalDpi xmlns:a14="http://schemas.microsoft.com/office/drawing/2010/main" val="0"/>
                        </a:ext>
                      </a:extLst>
                    </a:blip>
                    <a:srcRect/>
                    <a:stretch>
                      <a:fillRect/>
                    </a:stretch>
                  </pic:blipFill>
                  <pic:spPr bwMode="auto">
                    <a:xfrm>
                      <a:off x="0" y="0"/>
                      <a:ext cx="4597134" cy="2809701"/>
                    </a:xfrm>
                    <a:prstGeom prst="rect">
                      <a:avLst/>
                    </a:prstGeom>
                    <a:noFill/>
                    <a:ln>
                      <a:noFill/>
                    </a:ln>
                  </pic:spPr>
                </pic:pic>
              </a:graphicData>
            </a:graphic>
          </wp:inline>
        </w:drawing>
      </w:r>
    </w:p>
    <w:p w14:paraId="546D9B6D" w14:textId="77777777" w:rsidR="00436B89" w:rsidRPr="00A613A8" w:rsidRDefault="00436B89" w:rsidP="00C64237">
      <w:pPr>
        <w:pStyle w:val="Tabletitle"/>
        <w:rPr>
          <w:lang w:eastAsia="ja-JP"/>
        </w:rPr>
      </w:pPr>
      <w:bookmarkStart w:id="355" w:name="_Ref457767969"/>
      <w:bookmarkStart w:id="356" w:name="_Toc473013964"/>
      <w:r w:rsidRPr="00A613A8">
        <w:t xml:space="preserve">Table </w:t>
      </w:r>
      <w:r>
        <w:t>25</w:t>
      </w:r>
      <w:bookmarkEnd w:id="355"/>
      <w:r>
        <w:t>:</w:t>
      </w:r>
      <w:r w:rsidRPr="00A613A8">
        <w:t xml:space="preserve"> </w:t>
      </w:r>
      <w:r w:rsidRPr="00A613A8">
        <w:rPr>
          <w:lang w:eastAsia="ja-JP"/>
        </w:rPr>
        <w:t>Hyperammonaemic episodes during treatment protocols</w:t>
      </w:r>
      <w:r>
        <w:rPr>
          <w:lang w:eastAsia="ja-JP"/>
        </w:rPr>
        <w:t xml:space="preserve"> (</w:t>
      </w:r>
      <w:r w:rsidRPr="005A301C">
        <w:rPr>
          <w:i/>
          <w:lang w:eastAsia="ja-JP"/>
        </w:rPr>
        <w:t>Maestri</w:t>
      </w:r>
      <w:r>
        <w:rPr>
          <w:i/>
          <w:lang w:eastAsia="ja-JP"/>
        </w:rPr>
        <w:t xml:space="preserve"> 1995</w:t>
      </w:r>
      <w:r>
        <w:rPr>
          <w:lang w:eastAsia="ja-JP"/>
        </w:rPr>
        <w:t>)</w:t>
      </w:r>
      <w:bookmarkEnd w:id="356"/>
    </w:p>
    <w:p w14:paraId="0BF08C01" w14:textId="77777777" w:rsidR="00436B89" w:rsidRPr="00A613A8" w:rsidRDefault="00436B89" w:rsidP="00436B89">
      <w:pPr>
        <w:rPr>
          <w:lang w:eastAsia="ja-JP"/>
        </w:rPr>
      </w:pPr>
      <w:r>
        <w:rPr>
          <w:noProof/>
          <w:lang w:eastAsia="en-AU"/>
        </w:rPr>
        <w:drawing>
          <wp:inline distT="0" distB="0" distL="0" distR="0" wp14:anchorId="4A47AD85" wp14:editId="3AD8ADE5">
            <wp:extent cx="5864467" cy="1552575"/>
            <wp:effectExtent l="0" t="0" r="3175" b="0"/>
            <wp:docPr id="50" name="Picture 50" descr="Table 25: Hyperammonaemic episodes during treatment protocols (Maestri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1">
                      <a:lum bright="-20000" contrast="40000"/>
                      <a:extLst>
                        <a:ext uri="{28A0092B-C50C-407E-A947-70E740481C1C}">
                          <a14:useLocalDpi xmlns:a14="http://schemas.microsoft.com/office/drawing/2010/main" val="0"/>
                        </a:ext>
                      </a:extLst>
                    </a:blip>
                    <a:srcRect l="870" t="5401" b="6611"/>
                    <a:stretch/>
                  </pic:blipFill>
                  <pic:spPr bwMode="auto">
                    <a:xfrm>
                      <a:off x="0" y="0"/>
                      <a:ext cx="5889908" cy="1559310"/>
                    </a:xfrm>
                    <a:prstGeom prst="rect">
                      <a:avLst/>
                    </a:prstGeom>
                    <a:noFill/>
                    <a:ln>
                      <a:noFill/>
                    </a:ln>
                    <a:extLst>
                      <a:ext uri="{53640926-AAD7-44D8-BBD7-CCE9431645EC}">
                        <a14:shadowObscured xmlns:a14="http://schemas.microsoft.com/office/drawing/2010/main"/>
                      </a:ext>
                    </a:extLst>
                  </pic:spPr>
                </pic:pic>
              </a:graphicData>
            </a:graphic>
          </wp:inline>
        </w:drawing>
      </w:r>
    </w:p>
    <w:p w14:paraId="2637A8F4" w14:textId="77777777" w:rsidR="00436B89" w:rsidRPr="00A613A8" w:rsidRDefault="00436B89" w:rsidP="00436B89">
      <w:pPr>
        <w:pStyle w:val="TableCaption"/>
        <w:rPr>
          <w:lang w:eastAsia="ja-JP"/>
        </w:rPr>
      </w:pPr>
      <w:bookmarkStart w:id="357" w:name="_Ref457767990"/>
      <w:bookmarkStart w:id="358" w:name="_Toc473013965"/>
      <w:r w:rsidRPr="00A613A8">
        <w:lastRenderedPageBreak/>
        <w:t xml:space="preserve">Table </w:t>
      </w:r>
      <w:r>
        <w:t>26:</w:t>
      </w:r>
      <w:bookmarkEnd w:id="357"/>
      <w:r w:rsidRPr="00A613A8">
        <w:t xml:space="preserve"> </w:t>
      </w:r>
      <w:r w:rsidRPr="00A613A8">
        <w:rPr>
          <w:lang w:eastAsia="ja-JP"/>
        </w:rPr>
        <w:t>Current levels of plasma amino acids among surviving patients</w:t>
      </w:r>
      <w:r>
        <w:rPr>
          <w:lang w:eastAsia="ja-JP"/>
        </w:rPr>
        <w:t xml:space="preserve"> (</w:t>
      </w:r>
      <w:r w:rsidRPr="005A301C">
        <w:rPr>
          <w:i/>
          <w:lang w:eastAsia="ja-JP"/>
        </w:rPr>
        <w:t>Maestri</w:t>
      </w:r>
      <w:r>
        <w:rPr>
          <w:i/>
          <w:lang w:eastAsia="ja-JP"/>
        </w:rPr>
        <w:t xml:space="preserve"> 1995</w:t>
      </w:r>
      <w:r>
        <w:rPr>
          <w:lang w:eastAsia="ja-JP"/>
        </w:rPr>
        <w:t>)</w:t>
      </w:r>
      <w:bookmarkEnd w:id="358"/>
    </w:p>
    <w:p w14:paraId="40596106" w14:textId="77777777" w:rsidR="00436B89" w:rsidRPr="00A613A8" w:rsidRDefault="00436B89" w:rsidP="00436B89">
      <w:pPr>
        <w:rPr>
          <w:lang w:eastAsia="ja-JP"/>
        </w:rPr>
      </w:pPr>
      <w:r>
        <w:rPr>
          <w:noProof/>
          <w:lang w:eastAsia="en-AU"/>
        </w:rPr>
        <w:drawing>
          <wp:inline distT="0" distB="0" distL="0" distR="0" wp14:anchorId="2593F738" wp14:editId="387FEEB2">
            <wp:extent cx="3185556" cy="2114550"/>
            <wp:effectExtent l="0" t="0" r="0" b="0"/>
            <wp:docPr id="51" name="Picture 51" descr="Table 26: Current levels of plasma amino acids among surviving patients (Maestri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2">
                      <a:lum bright="-20000" contrast="40000"/>
                      <a:extLst>
                        <a:ext uri="{28A0092B-C50C-407E-A947-70E740481C1C}">
                          <a14:useLocalDpi xmlns:a14="http://schemas.microsoft.com/office/drawing/2010/main" val="0"/>
                        </a:ext>
                      </a:extLst>
                    </a:blip>
                    <a:srcRect l="3481" t="3635" r="4747" b="3084"/>
                    <a:stretch/>
                  </pic:blipFill>
                  <pic:spPr bwMode="auto">
                    <a:xfrm>
                      <a:off x="0" y="0"/>
                      <a:ext cx="3191376" cy="2118413"/>
                    </a:xfrm>
                    <a:prstGeom prst="rect">
                      <a:avLst/>
                    </a:prstGeom>
                    <a:noFill/>
                    <a:ln>
                      <a:noFill/>
                    </a:ln>
                    <a:extLst>
                      <a:ext uri="{53640926-AAD7-44D8-BBD7-CCE9431645EC}">
                        <a14:shadowObscured xmlns:a14="http://schemas.microsoft.com/office/drawing/2010/main"/>
                      </a:ext>
                    </a:extLst>
                  </pic:spPr>
                </pic:pic>
              </a:graphicData>
            </a:graphic>
          </wp:inline>
        </w:drawing>
      </w:r>
    </w:p>
    <w:p w14:paraId="3FEBE87D" w14:textId="77777777" w:rsidR="00436B89" w:rsidRPr="00A613A8" w:rsidRDefault="00436B89" w:rsidP="00177802">
      <w:pPr>
        <w:pStyle w:val="Heading4"/>
        <w:numPr>
          <w:ilvl w:val="2"/>
          <w:numId w:val="14"/>
        </w:numPr>
      </w:pPr>
      <w:r w:rsidRPr="00A613A8">
        <w:t>Maestri 1996</w:t>
      </w:r>
    </w:p>
    <w:p w14:paraId="5842DDEC" w14:textId="77777777" w:rsidR="00436B89" w:rsidRPr="005A301C" w:rsidRDefault="00436B89" w:rsidP="00436B89">
      <w:pPr>
        <w:rPr>
          <w:i/>
          <w:lang w:eastAsia="ja-JP"/>
        </w:rPr>
      </w:pPr>
      <w:r w:rsidRPr="005A301C">
        <w:rPr>
          <w:i/>
          <w:lang w:eastAsia="ja-JP"/>
        </w:rPr>
        <w:t>Maestri NE et al, Long-term treatment of girls with ornithine transcarbamylase deficiency. New England journal of medicine 1996 VL: 335 NO: 12 PG: 855-9</w:t>
      </w:r>
    </w:p>
    <w:p w14:paraId="184890C3" w14:textId="77777777" w:rsidR="00436B89" w:rsidRPr="00A613A8" w:rsidRDefault="00436B89" w:rsidP="00436B89">
      <w:pPr>
        <w:rPr>
          <w:lang w:eastAsia="ja-JP"/>
        </w:rPr>
      </w:pPr>
      <w:r w:rsidRPr="00A613A8">
        <w:rPr>
          <w:lang w:eastAsia="ja-JP"/>
        </w:rPr>
        <w:t>This study reported on 32 girls age</w:t>
      </w:r>
      <w:r>
        <w:rPr>
          <w:lang w:eastAsia="ja-JP"/>
        </w:rPr>
        <w:t>d</w:t>
      </w:r>
      <w:r w:rsidRPr="00A613A8">
        <w:rPr>
          <w:lang w:eastAsia="ja-JP"/>
        </w:rPr>
        <w:t xml:space="preserve"> 1 to 17 years with ornithine transcarbamylase deficiency who had had at least one episode of encephalopathy. The patients were assigned to treatment that consisted of sodium benzoate, alone or in combination with sodium phenylacetate or sodium phenylbutyrate, or sodium phenylbutyrate alone. Collaborating physicians provided clinical, metabolic, and developmental data at specified intervals.</w:t>
      </w:r>
    </w:p>
    <w:p w14:paraId="32E63D24" w14:textId="77777777"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t>Results</w:t>
      </w:r>
    </w:p>
    <w:p w14:paraId="45C45FAD" w14:textId="77777777" w:rsidR="00436B89" w:rsidRDefault="00436B89" w:rsidP="00436B89">
      <w:pPr>
        <w:rPr>
          <w:lang w:eastAsia="ja-JP"/>
        </w:rPr>
      </w:pPr>
      <w:r w:rsidRPr="00A613A8">
        <w:rPr>
          <w:lang w:eastAsia="ja-JP"/>
        </w:rPr>
        <w:t>The study reported that there was 90.6% survival at five years and that the patients maintained appropriate weight for height</w:t>
      </w:r>
      <w:r>
        <w:rPr>
          <w:lang w:eastAsia="ja-JP"/>
        </w:rPr>
        <w:t xml:space="preserve"> (Table 27)</w:t>
      </w:r>
      <w:r w:rsidRPr="00A613A8">
        <w:rPr>
          <w:lang w:eastAsia="ja-JP"/>
        </w:rPr>
        <w:t>. The frequency of hyperammonaemic episodes decreased with increasing age and with sodium phenylacetate or sodium phenylbutyrate treatment</w:t>
      </w:r>
      <w:r>
        <w:rPr>
          <w:lang w:eastAsia="ja-JP"/>
        </w:rPr>
        <w:t xml:space="preserve"> (Table 28)</w:t>
      </w:r>
      <w:r w:rsidRPr="00A613A8">
        <w:rPr>
          <w:lang w:eastAsia="ja-JP"/>
        </w:rPr>
        <w:t>. Although the mean IQ before treatment was in the low average range, 19 of the 23 girls in whom intelligence was tested longitudinally had stable test scores</w:t>
      </w:r>
      <w:r>
        <w:rPr>
          <w:lang w:eastAsia="ja-JP"/>
        </w:rPr>
        <w:t xml:space="preserve"> (Figure 26)</w:t>
      </w:r>
      <w:r w:rsidRPr="00A613A8">
        <w:rPr>
          <w:lang w:eastAsia="ja-JP"/>
        </w:rPr>
        <w:t>.</w:t>
      </w:r>
    </w:p>
    <w:p w14:paraId="19974245" w14:textId="77777777" w:rsidR="00436B89" w:rsidRPr="00A613A8" w:rsidRDefault="00436B89" w:rsidP="00C64237">
      <w:pPr>
        <w:pStyle w:val="Tabletitle"/>
        <w:rPr>
          <w:lang w:eastAsia="ja-JP"/>
        </w:rPr>
      </w:pPr>
      <w:bookmarkStart w:id="359" w:name="_Ref457768021"/>
      <w:bookmarkStart w:id="360" w:name="_Toc473013966"/>
      <w:r w:rsidRPr="00A613A8">
        <w:t xml:space="preserve">Table </w:t>
      </w:r>
      <w:r>
        <w:t>27:</w:t>
      </w:r>
      <w:bookmarkEnd w:id="359"/>
      <w:r w:rsidRPr="00A613A8">
        <w:t xml:space="preserve"> </w:t>
      </w:r>
      <w:r w:rsidRPr="00A613A8">
        <w:rPr>
          <w:rFonts w:cs="Tahoma"/>
          <w:bCs/>
          <w:spacing w:val="-14"/>
          <w:lang w:eastAsia="en-AU"/>
        </w:rPr>
        <w:t>Anthropometric</w:t>
      </w:r>
      <w:r w:rsidRPr="00A613A8">
        <w:rPr>
          <w:spacing w:val="-1"/>
          <w:lang w:eastAsia="en-AU"/>
        </w:rPr>
        <w:t xml:space="preserve"> </w:t>
      </w:r>
      <w:r w:rsidRPr="00A613A8">
        <w:rPr>
          <w:lang w:eastAsia="en-AU"/>
        </w:rPr>
        <w:t>measurements</w:t>
      </w:r>
      <w:r w:rsidRPr="00A613A8">
        <w:rPr>
          <w:spacing w:val="-1"/>
          <w:lang w:eastAsia="en-AU"/>
        </w:rPr>
        <w:t xml:space="preserve"> </w:t>
      </w:r>
      <w:r w:rsidRPr="00A613A8">
        <w:rPr>
          <w:lang w:eastAsia="en-AU"/>
        </w:rPr>
        <w:t xml:space="preserve">in </w:t>
      </w:r>
      <w:r w:rsidRPr="00A613A8">
        <w:rPr>
          <w:spacing w:val="-1"/>
          <w:lang w:eastAsia="en-AU"/>
        </w:rPr>
        <w:t>g</w:t>
      </w:r>
      <w:r w:rsidRPr="00A613A8">
        <w:rPr>
          <w:spacing w:val="-2"/>
          <w:lang w:eastAsia="en-AU"/>
        </w:rPr>
        <w:t>irls</w:t>
      </w:r>
      <w:r w:rsidRPr="00A613A8">
        <w:rPr>
          <w:spacing w:val="37"/>
          <w:w w:val="93"/>
          <w:lang w:eastAsia="en-AU"/>
        </w:rPr>
        <w:t xml:space="preserve"> </w:t>
      </w:r>
      <w:r w:rsidRPr="00A613A8">
        <w:rPr>
          <w:lang w:eastAsia="en-AU"/>
        </w:rPr>
        <w:t>with</w:t>
      </w:r>
      <w:r w:rsidRPr="00A613A8">
        <w:rPr>
          <w:spacing w:val="-8"/>
          <w:lang w:eastAsia="en-AU"/>
        </w:rPr>
        <w:t xml:space="preserve"> </w:t>
      </w:r>
      <w:r w:rsidRPr="00A613A8">
        <w:rPr>
          <w:lang w:eastAsia="en-AU"/>
        </w:rPr>
        <w:t>ornithine</w:t>
      </w:r>
      <w:r w:rsidRPr="00A613A8">
        <w:rPr>
          <w:spacing w:val="-7"/>
          <w:lang w:eastAsia="en-AU"/>
        </w:rPr>
        <w:t xml:space="preserve"> </w:t>
      </w:r>
      <w:r w:rsidRPr="00A613A8">
        <w:rPr>
          <w:spacing w:val="-1"/>
          <w:lang w:eastAsia="en-AU"/>
        </w:rPr>
        <w:t>t</w:t>
      </w:r>
      <w:r w:rsidRPr="00A613A8">
        <w:rPr>
          <w:spacing w:val="-2"/>
          <w:lang w:eastAsia="en-AU"/>
        </w:rPr>
        <w:t>ranscarbamylase</w:t>
      </w:r>
      <w:r w:rsidRPr="00A613A8">
        <w:rPr>
          <w:spacing w:val="-8"/>
          <w:lang w:eastAsia="en-AU"/>
        </w:rPr>
        <w:t xml:space="preserve"> </w:t>
      </w:r>
      <w:r w:rsidRPr="00A613A8">
        <w:rPr>
          <w:spacing w:val="-1"/>
          <w:lang w:eastAsia="en-AU"/>
        </w:rPr>
        <w:t>d</w:t>
      </w:r>
      <w:r w:rsidRPr="00A613A8">
        <w:rPr>
          <w:spacing w:val="-2"/>
          <w:lang w:eastAsia="en-AU"/>
        </w:rPr>
        <w:t>eficiency</w:t>
      </w:r>
      <w:r w:rsidRPr="00A613A8">
        <w:rPr>
          <w:spacing w:val="-1"/>
          <w:lang w:eastAsia="en-AU"/>
        </w:rPr>
        <w:t>,</w:t>
      </w:r>
      <w:r w:rsidRPr="00A613A8">
        <w:rPr>
          <w:spacing w:val="49"/>
          <w:lang w:eastAsia="en-AU"/>
        </w:rPr>
        <w:t xml:space="preserve"> </w:t>
      </w:r>
      <w:r w:rsidRPr="00A613A8">
        <w:rPr>
          <w:lang w:eastAsia="en-AU"/>
        </w:rPr>
        <w:t>according</w:t>
      </w:r>
      <w:r w:rsidRPr="00A613A8">
        <w:rPr>
          <w:spacing w:val="24"/>
          <w:lang w:eastAsia="en-AU"/>
        </w:rPr>
        <w:t xml:space="preserve"> </w:t>
      </w:r>
      <w:r w:rsidRPr="00A613A8">
        <w:rPr>
          <w:lang w:eastAsia="en-AU"/>
        </w:rPr>
        <w:t>to</w:t>
      </w:r>
      <w:r w:rsidRPr="00A613A8">
        <w:rPr>
          <w:spacing w:val="26"/>
          <w:lang w:eastAsia="en-AU"/>
        </w:rPr>
        <w:t xml:space="preserve"> </w:t>
      </w:r>
      <w:r w:rsidRPr="00A613A8">
        <w:rPr>
          <w:spacing w:val="-2"/>
          <w:lang w:eastAsia="en-AU"/>
        </w:rPr>
        <w:t>age</w:t>
      </w:r>
      <w:r w:rsidRPr="00A613A8">
        <w:rPr>
          <w:spacing w:val="-1"/>
          <w:lang w:eastAsia="en-AU"/>
        </w:rPr>
        <w:t>*</w:t>
      </w:r>
      <w:r>
        <w:rPr>
          <w:spacing w:val="-1"/>
          <w:lang w:eastAsia="en-AU"/>
        </w:rPr>
        <w:t xml:space="preserve"> </w:t>
      </w:r>
      <w:r>
        <w:rPr>
          <w:lang w:eastAsia="ja-JP"/>
        </w:rPr>
        <w:t>(</w:t>
      </w:r>
      <w:r w:rsidRPr="005A301C">
        <w:rPr>
          <w:i/>
          <w:lang w:eastAsia="ja-JP"/>
        </w:rPr>
        <w:t>Maestri</w:t>
      </w:r>
      <w:r>
        <w:rPr>
          <w:i/>
          <w:lang w:eastAsia="ja-JP"/>
        </w:rPr>
        <w:t xml:space="preserve"> 1996</w:t>
      </w:r>
      <w:r>
        <w:rPr>
          <w:lang w:eastAsia="ja-JP"/>
        </w:rPr>
        <w:t>)</w:t>
      </w:r>
      <w:bookmarkEnd w:id="360"/>
    </w:p>
    <w:p w14:paraId="5AD62369" w14:textId="77777777" w:rsidR="00436B89" w:rsidRDefault="00436B89" w:rsidP="00436B89">
      <w:r>
        <w:rPr>
          <w:noProof/>
          <w:lang w:eastAsia="en-AU"/>
        </w:rPr>
        <w:drawing>
          <wp:inline distT="0" distB="0" distL="0" distR="0" wp14:anchorId="1EF4E3DB" wp14:editId="33D5FD16">
            <wp:extent cx="3181350" cy="2890581"/>
            <wp:effectExtent l="0" t="0" r="0" b="5080"/>
            <wp:docPr id="52" name="Picture 52" descr="Table 27: Anthropometric measurements in girls with ornithine transcarbamylase deficiency, according to age* (Maestri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3">
                      <a:lum bright="-20000" contrast="40000"/>
                      <a:extLst>
                        <a:ext uri="{28A0092B-C50C-407E-A947-70E740481C1C}">
                          <a14:useLocalDpi xmlns:a14="http://schemas.microsoft.com/office/drawing/2010/main" val="0"/>
                        </a:ext>
                      </a:extLst>
                    </a:blip>
                    <a:srcRect t="3952" b="2206"/>
                    <a:stretch/>
                  </pic:blipFill>
                  <pic:spPr bwMode="auto">
                    <a:xfrm>
                      <a:off x="0" y="0"/>
                      <a:ext cx="3182837" cy="2891932"/>
                    </a:xfrm>
                    <a:prstGeom prst="rect">
                      <a:avLst/>
                    </a:prstGeom>
                    <a:noFill/>
                    <a:ln>
                      <a:noFill/>
                    </a:ln>
                    <a:extLst>
                      <a:ext uri="{53640926-AAD7-44D8-BBD7-CCE9431645EC}">
                        <a14:shadowObscured xmlns:a14="http://schemas.microsoft.com/office/drawing/2010/main"/>
                      </a:ext>
                    </a:extLst>
                  </pic:spPr>
                </pic:pic>
              </a:graphicData>
            </a:graphic>
          </wp:inline>
        </w:drawing>
      </w:r>
    </w:p>
    <w:p w14:paraId="641964E2" w14:textId="77777777" w:rsidR="00436B89" w:rsidRPr="00A613A8" w:rsidRDefault="00436B89" w:rsidP="002F68A8">
      <w:pPr>
        <w:pStyle w:val="Tabletitle"/>
        <w:keepNext w:val="0"/>
        <w:rPr>
          <w:lang w:eastAsia="en-AU"/>
        </w:rPr>
      </w:pPr>
      <w:bookmarkStart w:id="361" w:name="_Ref457768034"/>
      <w:bookmarkStart w:id="362" w:name="_Toc473013967"/>
      <w:r w:rsidRPr="00A613A8">
        <w:lastRenderedPageBreak/>
        <w:t xml:space="preserve">Table </w:t>
      </w:r>
      <w:r>
        <w:t>28:</w:t>
      </w:r>
      <w:bookmarkEnd w:id="361"/>
      <w:r w:rsidRPr="00A613A8">
        <w:t xml:space="preserve"> </w:t>
      </w:r>
      <w:r w:rsidRPr="00A613A8">
        <w:rPr>
          <w:spacing w:val="-1"/>
          <w:lang w:eastAsia="en-AU"/>
        </w:rPr>
        <w:t>H</w:t>
      </w:r>
      <w:r w:rsidRPr="00A613A8">
        <w:rPr>
          <w:lang w:eastAsia="en-AU"/>
        </w:rPr>
        <w:t>yperammonaemic</w:t>
      </w:r>
      <w:r w:rsidRPr="00A613A8">
        <w:rPr>
          <w:spacing w:val="3"/>
          <w:lang w:eastAsia="en-AU"/>
        </w:rPr>
        <w:t xml:space="preserve"> </w:t>
      </w:r>
      <w:r w:rsidRPr="00A613A8">
        <w:rPr>
          <w:lang w:eastAsia="en-AU"/>
        </w:rPr>
        <w:t>episodes</w:t>
      </w:r>
      <w:r w:rsidRPr="00A613A8">
        <w:rPr>
          <w:spacing w:val="3"/>
          <w:lang w:eastAsia="en-AU"/>
        </w:rPr>
        <w:t xml:space="preserve"> </w:t>
      </w:r>
      <w:r w:rsidRPr="00A613A8">
        <w:rPr>
          <w:lang w:eastAsia="en-AU"/>
        </w:rPr>
        <w:t>during</w:t>
      </w:r>
      <w:r w:rsidRPr="00A613A8">
        <w:rPr>
          <w:spacing w:val="4"/>
          <w:lang w:eastAsia="en-AU"/>
        </w:rPr>
        <w:t xml:space="preserve"> </w:t>
      </w:r>
      <w:r w:rsidRPr="00A613A8">
        <w:rPr>
          <w:spacing w:val="-1"/>
          <w:lang w:eastAsia="en-AU"/>
        </w:rPr>
        <w:t>t</w:t>
      </w:r>
      <w:r w:rsidRPr="00A613A8">
        <w:rPr>
          <w:lang w:eastAsia="en-AU"/>
        </w:rPr>
        <w:t>reatment</w:t>
      </w:r>
      <w:r w:rsidRPr="00A613A8">
        <w:rPr>
          <w:spacing w:val="67"/>
          <w:w w:val="97"/>
          <w:lang w:eastAsia="en-AU"/>
        </w:rPr>
        <w:t xml:space="preserve"> </w:t>
      </w:r>
      <w:r w:rsidRPr="00A613A8">
        <w:rPr>
          <w:lang w:eastAsia="en-AU"/>
        </w:rPr>
        <w:t xml:space="preserve">of </w:t>
      </w:r>
      <w:r w:rsidRPr="00A613A8">
        <w:rPr>
          <w:spacing w:val="-1"/>
          <w:lang w:eastAsia="en-AU"/>
        </w:rPr>
        <w:t>g</w:t>
      </w:r>
      <w:r w:rsidRPr="00A613A8">
        <w:rPr>
          <w:lang w:eastAsia="en-AU"/>
        </w:rPr>
        <w:t>irls</w:t>
      </w:r>
      <w:r w:rsidRPr="00A613A8">
        <w:rPr>
          <w:spacing w:val="-1"/>
          <w:lang w:eastAsia="en-AU"/>
        </w:rPr>
        <w:t xml:space="preserve"> </w:t>
      </w:r>
      <w:r w:rsidRPr="00A613A8">
        <w:rPr>
          <w:lang w:eastAsia="en-AU"/>
        </w:rPr>
        <w:t xml:space="preserve">with </w:t>
      </w:r>
      <w:r w:rsidRPr="00A613A8">
        <w:rPr>
          <w:spacing w:val="-1"/>
          <w:lang w:eastAsia="en-AU"/>
        </w:rPr>
        <w:t>ornithine</w:t>
      </w:r>
      <w:r w:rsidRPr="00A613A8">
        <w:rPr>
          <w:lang w:eastAsia="en-AU"/>
        </w:rPr>
        <w:t xml:space="preserve"> </w:t>
      </w:r>
      <w:r w:rsidRPr="00A613A8">
        <w:rPr>
          <w:spacing w:val="-1"/>
          <w:lang w:eastAsia="en-AU"/>
        </w:rPr>
        <w:t>t</w:t>
      </w:r>
      <w:r w:rsidRPr="00A613A8">
        <w:rPr>
          <w:lang w:eastAsia="en-AU"/>
        </w:rPr>
        <w:t>ranscarbamylase</w:t>
      </w:r>
      <w:r w:rsidRPr="00A613A8">
        <w:rPr>
          <w:spacing w:val="-1"/>
          <w:lang w:eastAsia="en-AU"/>
        </w:rPr>
        <w:t xml:space="preserve"> d</w:t>
      </w:r>
      <w:r w:rsidRPr="00A613A8">
        <w:rPr>
          <w:lang w:eastAsia="en-AU"/>
        </w:rPr>
        <w:t>eficiency</w:t>
      </w:r>
      <w:r w:rsidRPr="00A613A8">
        <w:rPr>
          <w:spacing w:val="-1"/>
          <w:lang w:eastAsia="en-AU"/>
        </w:rPr>
        <w:t>,</w:t>
      </w:r>
      <w:r w:rsidRPr="00A613A8">
        <w:rPr>
          <w:spacing w:val="73"/>
          <w:lang w:eastAsia="en-AU"/>
        </w:rPr>
        <w:t xml:space="preserve"> </w:t>
      </w:r>
      <w:r w:rsidRPr="00A613A8">
        <w:rPr>
          <w:lang w:eastAsia="en-AU"/>
        </w:rPr>
        <w:t>according</w:t>
      </w:r>
      <w:r w:rsidRPr="00A613A8">
        <w:rPr>
          <w:spacing w:val="24"/>
          <w:lang w:eastAsia="en-AU"/>
        </w:rPr>
        <w:t xml:space="preserve"> </w:t>
      </w:r>
      <w:r w:rsidRPr="00A613A8">
        <w:rPr>
          <w:lang w:eastAsia="en-AU"/>
        </w:rPr>
        <w:t>to</w:t>
      </w:r>
      <w:r w:rsidRPr="00A613A8">
        <w:rPr>
          <w:spacing w:val="26"/>
          <w:lang w:eastAsia="en-AU"/>
        </w:rPr>
        <w:t xml:space="preserve"> </w:t>
      </w:r>
      <w:r w:rsidRPr="00A613A8">
        <w:rPr>
          <w:lang w:eastAsia="en-AU"/>
        </w:rPr>
        <w:t>age</w:t>
      </w:r>
      <w:r w:rsidRPr="00A613A8">
        <w:rPr>
          <w:spacing w:val="-1"/>
          <w:lang w:eastAsia="en-AU"/>
        </w:rPr>
        <w:t>*</w:t>
      </w:r>
      <w:r>
        <w:rPr>
          <w:spacing w:val="-1"/>
          <w:lang w:eastAsia="en-AU"/>
        </w:rPr>
        <w:t xml:space="preserve"> </w:t>
      </w:r>
      <w:r>
        <w:rPr>
          <w:lang w:eastAsia="ja-JP"/>
        </w:rPr>
        <w:t>(</w:t>
      </w:r>
      <w:r w:rsidRPr="005A301C">
        <w:rPr>
          <w:i/>
          <w:lang w:eastAsia="ja-JP"/>
        </w:rPr>
        <w:t>Maestri</w:t>
      </w:r>
      <w:r>
        <w:rPr>
          <w:i/>
          <w:lang w:eastAsia="ja-JP"/>
        </w:rPr>
        <w:t xml:space="preserve"> 1996</w:t>
      </w:r>
      <w:r>
        <w:rPr>
          <w:lang w:eastAsia="ja-JP"/>
        </w:rPr>
        <w:t>)</w:t>
      </w:r>
      <w:bookmarkEnd w:id="362"/>
    </w:p>
    <w:p w14:paraId="3D4027F7" w14:textId="77777777" w:rsidR="00436B89" w:rsidRPr="00A613A8" w:rsidRDefault="00436B89" w:rsidP="00436B89">
      <w:pPr>
        <w:rPr>
          <w:lang w:eastAsia="ja-JP"/>
        </w:rPr>
      </w:pPr>
      <w:r>
        <w:rPr>
          <w:noProof/>
          <w:lang w:eastAsia="en-AU"/>
        </w:rPr>
        <w:drawing>
          <wp:inline distT="0" distB="0" distL="0" distR="0" wp14:anchorId="335AF522" wp14:editId="437ADF69">
            <wp:extent cx="4019893" cy="2091069"/>
            <wp:effectExtent l="0" t="0" r="0" b="4445"/>
            <wp:docPr id="53" name="Picture 53" descr="Table 28: Hyperammonaemic episodes during treatment of girls with ornithine transcarbamylase deficiency, according to age* (Maestri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4">
                      <a:lum bright="-20000" contrast="40000"/>
                      <a:extLst>
                        <a:ext uri="{28A0092B-C50C-407E-A947-70E740481C1C}">
                          <a14:useLocalDpi xmlns:a14="http://schemas.microsoft.com/office/drawing/2010/main" val="0"/>
                        </a:ext>
                      </a:extLst>
                    </a:blip>
                    <a:srcRect t="7524"/>
                    <a:stretch/>
                  </pic:blipFill>
                  <pic:spPr bwMode="auto">
                    <a:xfrm>
                      <a:off x="0" y="0"/>
                      <a:ext cx="4023360" cy="2092872"/>
                    </a:xfrm>
                    <a:prstGeom prst="rect">
                      <a:avLst/>
                    </a:prstGeom>
                    <a:noFill/>
                    <a:ln>
                      <a:noFill/>
                    </a:ln>
                    <a:extLst>
                      <a:ext uri="{53640926-AAD7-44D8-BBD7-CCE9431645EC}">
                        <a14:shadowObscured xmlns:a14="http://schemas.microsoft.com/office/drawing/2010/main"/>
                      </a:ext>
                    </a:extLst>
                  </pic:spPr>
                </pic:pic>
              </a:graphicData>
            </a:graphic>
          </wp:inline>
        </w:drawing>
      </w:r>
    </w:p>
    <w:p w14:paraId="6149FDDA" w14:textId="77777777" w:rsidR="00436B89" w:rsidRPr="00A613A8" w:rsidRDefault="00436B89" w:rsidP="00C64237">
      <w:pPr>
        <w:pStyle w:val="FigureTitle"/>
        <w:rPr>
          <w:lang w:eastAsia="en-AU"/>
        </w:rPr>
      </w:pPr>
      <w:bookmarkStart w:id="363" w:name="_Ref457767099"/>
      <w:bookmarkStart w:id="364" w:name="_Toc473014008"/>
      <w:r w:rsidRPr="00A613A8">
        <w:t xml:space="preserve">Figure </w:t>
      </w:r>
      <w:r>
        <w:t>26</w:t>
      </w:r>
      <w:bookmarkEnd w:id="363"/>
      <w:r>
        <w:t>:</w:t>
      </w:r>
      <w:r w:rsidRPr="00A613A8">
        <w:rPr>
          <w:lang w:eastAsia="ja-JP"/>
        </w:rPr>
        <w:t xml:space="preserve"> </w:t>
      </w:r>
      <w:r w:rsidRPr="00A613A8">
        <w:rPr>
          <w:lang w:eastAsia="en-AU"/>
        </w:rPr>
        <w:t xml:space="preserve">change in IQ score for 23 girls with ornithine transcarbamylase deficiency </w:t>
      </w:r>
      <w:proofErr w:type="gramStart"/>
      <w:r w:rsidRPr="00A613A8">
        <w:rPr>
          <w:lang w:eastAsia="en-AU"/>
        </w:rPr>
        <w:t>who</w:t>
      </w:r>
      <w:proofErr w:type="gramEnd"/>
      <w:r w:rsidRPr="00A613A8">
        <w:rPr>
          <w:lang w:eastAsia="en-AU"/>
        </w:rPr>
        <w:t xml:space="preserve"> had at least two intelligence tests after enrolment in the treatment protocols</w:t>
      </w:r>
      <w:r>
        <w:rPr>
          <w:lang w:eastAsia="en-AU"/>
        </w:rPr>
        <w:t xml:space="preserve"> </w:t>
      </w:r>
      <w:r>
        <w:rPr>
          <w:lang w:eastAsia="ja-JP"/>
        </w:rPr>
        <w:t>(</w:t>
      </w:r>
      <w:r w:rsidRPr="005A301C">
        <w:rPr>
          <w:i/>
          <w:lang w:eastAsia="ja-JP"/>
        </w:rPr>
        <w:t>Maestri</w:t>
      </w:r>
      <w:r>
        <w:rPr>
          <w:i/>
          <w:lang w:eastAsia="ja-JP"/>
        </w:rPr>
        <w:t xml:space="preserve"> 1996</w:t>
      </w:r>
      <w:r>
        <w:rPr>
          <w:lang w:eastAsia="ja-JP"/>
        </w:rPr>
        <w:t>)</w:t>
      </w:r>
      <w:bookmarkEnd w:id="364"/>
    </w:p>
    <w:p w14:paraId="6E9C8D34" w14:textId="77777777" w:rsidR="00436B89" w:rsidRPr="00A613A8" w:rsidRDefault="00436B89" w:rsidP="00C64237">
      <w:pPr>
        <w:rPr>
          <w:lang w:eastAsia="ja-JP"/>
        </w:rPr>
      </w:pPr>
      <w:r>
        <w:rPr>
          <w:noProof/>
          <w:lang w:eastAsia="en-AU"/>
        </w:rPr>
        <w:drawing>
          <wp:inline distT="0" distB="0" distL="0" distR="0" wp14:anchorId="5BD9929D" wp14:editId="44DA7836">
            <wp:extent cx="3348444" cy="2601433"/>
            <wp:effectExtent l="0" t="0" r="4445" b="8890"/>
            <wp:docPr id="54" name="Picture 54" descr="Figure 26: change in IQ score for 23 girls with ornithine transcarbamylase deficiency who had at least two intelligence tests after enrolment in the treatment protocols (Maestri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lum bright="-20000" contrast="40000"/>
                      <a:extLst>
                        <a:ext uri="{28A0092B-C50C-407E-A947-70E740481C1C}">
                          <a14:useLocalDpi xmlns:a14="http://schemas.microsoft.com/office/drawing/2010/main" val="0"/>
                        </a:ext>
                      </a:extLst>
                    </a:blip>
                    <a:srcRect/>
                    <a:stretch>
                      <a:fillRect/>
                    </a:stretch>
                  </pic:blipFill>
                  <pic:spPr bwMode="auto">
                    <a:xfrm>
                      <a:off x="0" y="0"/>
                      <a:ext cx="3354536" cy="2606166"/>
                    </a:xfrm>
                    <a:prstGeom prst="rect">
                      <a:avLst/>
                    </a:prstGeom>
                    <a:noFill/>
                    <a:ln>
                      <a:noFill/>
                    </a:ln>
                  </pic:spPr>
                </pic:pic>
              </a:graphicData>
            </a:graphic>
          </wp:inline>
        </w:drawing>
      </w:r>
    </w:p>
    <w:p w14:paraId="06E1EB25" w14:textId="77777777" w:rsidR="00436B89" w:rsidRPr="00A613A8" w:rsidRDefault="00436B89" w:rsidP="00177802">
      <w:pPr>
        <w:pStyle w:val="Heading3"/>
        <w:numPr>
          <w:ilvl w:val="1"/>
          <w:numId w:val="5"/>
        </w:numPr>
        <w:ind w:left="907" w:hanging="794"/>
      </w:pPr>
      <w:bookmarkStart w:id="365" w:name="_Toc473013900"/>
      <w:bookmarkStart w:id="366" w:name="_Toc505179697"/>
      <w:r w:rsidRPr="00A613A8">
        <w:t>Evaluator’s conclusions on clinical efficacy</w:t>
      </w:r>
      <w:bookmarkEnd w:id="329"/>
      <w:bookmarkEnd w:id="330"/>
      <w:bookmarkEnd w:id="331"/>
      <w:bookmarkEnd w:id="332"/>
      <w:bookmarkEnd w:id="333"/>
      <w:bookmarkEnd w:id="334"/>
      <w:bookmarkEnd w:id="335"/>
      <w:bookmarkEnd w:id="365"/>
      <w:bookmarkEnd w:id="366"/>
    </w:p>
    <w:p w14:paraId="2406A99C" w14:textId="77777777" w:rsidR="00436B89" w:rsidRDefault="00436B89" w:rsidP="00436B89">
      <w:pPr>
        <w:rPr>
          <w:lang w:eastAsia="ja-JP"/>
        </w:rPr>
      </w:pPr>
      <w:r>
        <w:rPr>
          <w:lang w:eastAsia="ja-JP"/>
        </w:rPr>
        <w:t>The data on the clinical efficacy of Pheburane</w:t>
      </w:r>
      <w:r w:rsidRPr="00A613A8">
        <w:rPr>
          <w:lang w:eastAsia="ja-JP"/>
        </w:rPr>
        <w:t xml:space="preserve"> </w:t>
      </w:r>
      <w:r>
        <w:rPr>
          <w:lang w:eastAsia="ja-JP"/>
        </w:rPr>
        <w:t xml:space="preserve">are limited. Most of the presented studies relate to the use of </w:t>
      </w:r>
      <w:r w:rsidRPr="00A613A8">
        <w:rPr>
          <w:lang w:eastAsia="ja-JP"/>
        </w:rPr>
        <w:t>glycerol phenylbutyrate versus sodium phenylbutyrate</w:t>
      </w:r>
      <w:r>
        <w:rPr>
          <w:lang w:eastAsia="ja-JP"/>
        </w:rPr>
        <w:t xml:space="preserve"> in which </w:t>
      </w:r>
      <w:r w:rsidRPr="00A613A8">
        <w:rPr>
          <w:lang w:eastAsia="ja-JP"/>
        </w:rPr>
        <w:t>glycerol phenylbutyrate</w:t>
      </w:r>
      <w:r>
        <w:rPr>
          <w:lang w:eastAsia="ja-JP"/>
        </w:rPr>
        <w:t xml:space="preserve"> does appear to have some minor advantage in nitrogen excretion.</w:t>
      </w:r>
    </w:p>
    <w:p w14:paraId="2EA57DDF" w14:textId="77777777" w:rsidR="00436B89" w:rsidRDefault="00436B89" w:rsidP="00436B89">
      <w:pPr>
        <w:rPr>
          <w:lang w:eastAsia="ja-JP"/>
        </w:rPr>
      </w:pPr>
      <w:r>
        <w:t xml:space="preserve">There is evidence of good survival and perhaps prevention of </w:t>
      </w:r>
      <w:r>
        <w:rPr>
          <w:spacing w:val="-1"/>
          <w:lang w:eastAsia="en-AU"/>
        </w:rPr>
        <w:t>h</w:t>
      </w:r>
      <w:r w:rsidRPr="00A613A8">
        <w:rPr>
          <w:lang w:eastAsia="en-AU"/>
        </w:rPr>
        <w:t>yperammonaemic</w:t>
      </w:r>
      <w:r w:rsidRPr="00A613A8">
        <w:rPr>
          <w:spacing w:val="3"/>
          <w:lang w:eastAsia="en-AU"/>
        </w:rPr>
        <w:t xml:space="preserve"> </w:t>
      </w:r>
      <w:r w:rsidRPr="00A613A8">
        <w:rPr>
          <w:lang w:eastAsia="en-AU"/>
        </w:rPr>
        <w:t>episodes</w:t>
      </w:r>
      <w:r>
        <w:rPr>
          <w:lang w:eastAsia="en-AU"/>
        </w:rPr>
        <w:t xml:space="preserve"> in patients treated with </w:t>
      </w:r>
      <w:r w:rsidRPr="00A613A8">
        <w:t>sodium phenylbutyrate</w:t>
      </w:r>
      <w:r>
        <w:t xml:space="preserve">. The study by </w:t>
      </w:r>
      <w:r w:rsidRPr="00A613A8">
        <w:t>Kibleur 2014</w:t>
      </w:r>
      <w:r>
        <w:t xml:space="preserve"> does suggest that </w:t>
      </w:r>
      <w:r>
        <w:rPr>
          <w:lang w:eastAsia="ja-JP"/>
        </w:rPr>
        <w:t>Pheburane</w:t>
      </w:r>
      <w:r w:rsidRPr="00A613A8">
        <w:rPr>
          <w:lang w:eastAsia="ja-JP"/>
        </w:rPr>
        <w:t xml:space="preserve"> </w:t>
      </w:r>
      <w:r>
        <w:t xml:space="preserve">may be better tolerated than standard </w:t>
      </w:r>
      <w:r w:rsidRPr="00A613A8">
        <w:rPr>
          <w:lang w:eastAsia="ja-JP"/>
        </w:rPr>
        <w:t>sodium phenylbutyrate</w:t>
      </w:r>
      <w:r>
        <w:rPr>
          <w:lang w:eastAsia="ja-JP"/>
        </w:rPr>
        <w:t xml:space="preserve"> and this may lead to better compliance with treatment.</w:t>
      </w:r>
    </w:p>
    <w:p w14:paraId="1DDA9055" w14:textId="77777777" w:rsidR="00436B89" w:rsidRPr="00A32A06" w:rsidRDefault="00436B89" w:rsidP="00177802">
      <w:pPr>
        <w:pStyle w:val="ListBullet"/>
        <w:numPr>
          <w:ilvl w:val="0"/>
          <w:numId w:val="1"/>
        </w:numPr>
        <w:rPr>
          <w:i/>
          <w:lang w:eastAsia="ja-JP"/>
        </w:rPr>
      </w:pPr>
      <w:r w:rsidRPr="00A32A06">
        <w:rPr>
          <w:i/>
          <w:lang w:eastAsia="ja-JP"/>
        </w:rPr>
        <w:t>The sponsor should better quantify the outcomes of treatment with sodium phenylbutyrate compared to historical controls in terms of:</w:t>
      </w:r>
    </w:p>
    <w:p w14:paraId="64DFC8D2" w14:textId="77777777" w:rsidR="00436B89" w:rsidRPr="00A32A06" w:rsidRDefault="00436B89" w:rsidP="00177802">
      <w:pPr>
        <w:pStyle w:val="ListBullet2"/>
        <w:numPr>
          <w:ilvl w:val="1"/>
          <w:numId w:val="1"/>
        </w:numPr>
        <w:rPr>
          <w:i/>
          <w:lang w:eastAsia="ja-JP"/>
        </w:rPr>
      </w:pPr>
      <w:r w:rsidRPr="00A32A06">
        <w:rPr>
          <w:i/>
          <w:lang w:eastAsia="ja-JP"/>
        </w:rPr>
        <w:t>Ammonia levels</w:t>
      </w:r>
    </w:p>
    <w:p w14:paraId="7828061D" w14:textId="77777777" w:rsidR="00436B89" w:rsidRPr="00A32A06" w:rsidRDefault="00436B89" w:rsidP="00177802">
      <w:pPr>
        <w:pStyle w:val="ListBullet2"/>
        <w:numPr>
          <w:ilvl w:val="1"/>
          <w:numId w:val="1"/>
        </w:numPr>
        <w:rPr>
          <w:i/>
          <w:lang w:eastAsia="ja-JP"/>
        </w:rPr>
      </w:pPr>
      <w:r w:rsidRPr="00A32A06">
        <w:rPr>
          <w:i/>
          <w:lang w:eastAsia="ja-JP"/>
        </w:rPr>
        <w:t>Nitrogen excretion</w:t>
      </w:r>
    </w:p>
    <w:p w14:paraId="327F80F8" w14:textId="77777777" w:rsidR="00436B89" w:rsidRPr="00A32A06" w:rsidRDefault="00436B89" w:rsidP="00177802">
      <w:pPr>
        <w:pStyle w:val="ListBullet2"/>
        <w:numPr>
          <w:ilvl w:val="1"/>
          <w:numId w:val="1"/>
        </w:numPr>
        <w:rPr>
          <w:i/>
          <w:lang w:eastAsia="ja-JP"/>
        </w:rPr>
      </w:pPr>
      <w:r w:rsidRPr="00A32A06">
        <w:rPr>
          <w:i/>
          <w:spacing w:val="-1"/>
          <w:lang w:eastAsia="en-AU"/>
        </w:rPr>
        <w:t>H</w:t>
      </w:r>
      <w:r w:rsidRPr="00A32A06">
        <w:rPr>
          <w:i/>
          <w:lang w:eastAsia="en-AU"/>
        </w:rPr>
        <w:t>yperammonaemic</w:t>
      </w:r>
      <w:r w:rsidRPr="00A32A06">
        <w:rPr>
          <w:i/>
          <w:spacing w:val="3"/>
          <w:lang w:eastAsia="en-AU"/>
        </w:rPr>
        <w:t xml:space="preserve"> </w:t>
      </w:r>
      <w:r w:rsidRPr="00A32A06">
        <w:rPr>
          <w:i/>
          <w:lang w:eastAsia="en-AU"/>
        </w:rPr>
        <w:t>episodes</w:t>
      </w:r>
    </w:p>
    <w:p w14:paraId="60837C70" w14:textId="77777777" w:rsidR="00436B89" w:rsidRPr="00A32A06" w:rsidRDefault="00436B89" w:rsidP="00177802">
      <w:pPr>
        <w:pStyle w:val="ListBullet2"/>
        <w:numPr>
          <w:ilvl w:val="1"/>
          <w:numId w:val="1"/>
        </w:numPr>
        <w:rPr>
          <w:i/>
        </w:rPr>
      </w:pPr>
      <w:r w:rsidRPr="00A32A06">
        <w:rPr>
          <w:i/>
          <w:lang w:eastAsia="ja-JP"/>
        </w:rPr>
        <w:lastRenderedPageBreak/>
        <w:t>Neurodevelopmental outcomes</w:t>
      </w:r>
    </w:p>
    <w:p w14:paraId="2F49C66E" w14:textId="77777777" w:rsidR="00436B89" w:rsidRPr="00A613A8" w:rsidRDefault="00436B89" w:rsidP="00177802">
      <w:pPr>
        <w:pStyle w:val="Heading2"/>
        <w:numPr>
          <w:ilvl w:val="0"/>
          <w:numId w:val="5"/>
        </w:numPr>
      </w:pPr>
      <w:bookmarkStart w:id="367" w:name="_Toc473013901"/>
      <w:bookmarkStart w:id="368" w:name="_Toc505179698"/>
      <w:r w:rsidRPr="00A613A8">
        <w:t>Clinical safety</w:t>
      </w:r>
      <w:bookmarkEnd w:id="367"/>
      <w:bookmarkEnd w:id="368"/>
    </w:p>
    <w:p w14:paraId="3C4E3976" w14:textId="77777777" w:rsidR="00436B89" w:rsidRPr="00A613A8" w:rsidRDefault="00436B89" w:rsidP="00436B89">
      <w:pPr>
        <w:autoSpaceDE w:val="0"/>
        <w:autoSpaceDN w:val="0"/>
        <w:adjustRightInd w:val="0"/>
        <w:spacing w:before="0" w:after="0" w:line="240" w:lineRule="auto"/>
        <w:rPr>
          <w:lang w:eastAsia="ja-JP"/>
        </w:rPr>
      </w:pPr>
      <w:r w:rsidRPr="00A613A8">
        <w:rPr>
          <w:lang w:eastAsia="ja-JP"/>
        </w:rPr>
        <w:t xml:space="preserve">There </w:t>
      </w:r>
      <w:proofErr w:type="gramStart"/>
      <w:r w:rsidRPr="00A613A8">
        <w:rPr>
          <w:lang w:eastAsia="ja-JP"/>
        </w:rPr>
        <w:t>are</w:t>
      </w:r>
      <w:proofErr w:type="gramEnd"/>
      <w:r w:rsidRPr="00A613A8">
        <w:rPr>
          <w:lang w:eastAsia="ja-JP"/>
        </w:rPr>
        <w:t xml:space="preserve"> no safety studies related directly to Pheburane. There is only one submitted study (Bioequivalence Study LUC1001) including safety data on </w:t>
      </w:r>
      <w:r>
        <w:rPr>
          <w:lang w:eastAsia="ja-JP"/>
        </w:rPr>
        <w:t>Pheburane</w:t>
      </w:r>
      <w:r w:rsidRPr="00A613A8">
        <w:rPr>
          <w:lang w:eastAsia="ja-JP"/>
        </w:rPr>
        <w:t xml:space="preserve">. There are safety data related to </w:t>
      </w:r>
      <w:r>
        <w:rPr>
          <w:lang w:eastAsia="ja-JP"/>
        </w:rPr>
        <w:t>Pheburane</w:t>
      </w:r>
      <w:r w:rsidRPr="00A613A8">
        <w:rPr>
          <w:lang w:eastAsia="ja-JP"/>
        </w:rPr>
        <w:t xml:space="preserve"> other formulations of sodium phenylbutyrate included in some of the published reports. In these reports, as they are uncontrolled for the use of sodium phenylbutyrate, it is not always possible to separate the effects of the underlying urea cycle defect from the effect from sodium phenylbutyrate or other therapies that the patients are receiving.</w:t>
      </w:r>
    </w:p>
    <w:p w14:paraId="1FFF32FE" w14:textId="77777777" w:rsidR="00436B89" w:rsidRPr="00A613A8" w:rsidRDefault="00436B89" w:rsidP="00436B89">
      <w:pPr>
        <w:autoSpaceDE w:val="0"/>
        <w:autoSpaceDN w:val="0"/>
        <w:adjustRightInd w:val="0"/>
        <w:spacing w:before="0" w:after="0" w:line="240" w:lineRule="auto"/>
        <w:rPr>
          <w:lang w:eastAsia="ja-JP"/>
        </w:rPr>
      </w:pPr>
      <w:r w:rsidRPr="00A613A8">
        <w:rPr>
          <w:lang w:eastAsia="ja-JP"/>
        </w:rPr>
        <w:t xml:space="preserve">Finally, there is </w:t>
      </w:r>
      <w:bookmarkStart w:id="369" w:name="_Toc272414659"/>
      <w:bookmarkStart w:id="370" w:name="_Toc290888510"/>
      <w:bookmarkStart w:id="371" w:name="_Toc416353726"/>
      <w:bookmarkStart w:id="372" w:name="_Toc421005274"/>
      <w:bookmarkStart w:id="373" w:name="_Toc432079156"/>
      <w:bookmarkStart w:id="374" w:name="_Toc432080729"/>
      <w:r w:rsidRPr="00A613A8">
        <w:rPr>
          <w:lang w:eastAsia="ja-JP"/>
        </w:rPr>
        <w:t>the first EU Periodic benefit-risk evaluation report (PBRER) Studies providing evaluable safety data</w:t>
      </w:r>
      <w:bookmarkEnd w:id="369"/>
      <w:bookmarkEnd w:id="370"/>
      <w:bookmarkEnd w:id="371"/>
      <w:bookmarkEnd w:id="372"/>
      <w:bookmarkEnd w:id="373"/>
      <w:bookmarkEnd w:id="374"/>
      <w:r w:rsidRPr="00A613A8">
        <w:rPr>
          <w:lang w:eastAsia="ja-JP"/>
        </w:rPr>
        <w:t xml:space="preserve"> from 31 Jul</w:t>
      </w:r>
      <w:r>
        <w:rPr>
          <w:lang w:eastAsia="ja-JP"/>
        </w:rPr>
        <w:t>y</w:t>
      </w:r>
      <w:r w:rsidRPr="00A613A8">
        <w:rPr>
          <w:lang w:eastAsia="ja-JP"/>
        </w:rPr>
        <w:t xml:space="preserve"> 2013 to 31 Dec</w:t>
      </w:r>
      <w:r>
        <w:rPr>
          <w:lang w:eastAsia="ja-JP"/>
        </w:rPr>
        <w:t>ember</w:t>
      </w:r>
      <w:r w:rsidRPr="00A613A8">
        <w:rPr>
          <w:lang w:eastAsia="ja-JP"/>
        </w:rPr>
        <w:t xml:space="preserve"> 2015 which includes data from Study LUC1001 and published literature. There is overlap of patients between the reports, and not all overlap is clearly identified in the published reports.</w:t>
      </w:r>
    </w:p>
    <w:p w14:paraId="1C540CEC" w14:textId="77777777" w:rsidR="00436B89" w:rsidRPr="00A613A8" w:rsidRDefault="00436B89" w:rsidP="00177802">
      <w:pPr>
        <w:pStyle w:val="Heading4"/>
        <w:numPr>
          <w:ilvl w:val="2"/>
          <w:numId w:val="5"/>
        </w:numPr>
      </w:pPr>
      <w:bookmarkStart w:id="375" w:name="_Toc421005275"/>
      <w:bookmarkStart w:id="376" w:name="_Toc432079157"/>
      <w:bookmarkStart w:id="377" w:name="_Toc432080730"/>
      <w:r w:rsidRPr="00A613A8">
        <w:t>Pivotal studies that assessed safety as the sole primary outcome</w:t>
      </w:r>
      <w:bookmarkEnd w:id="375"/>
      <w:bookmarkEnd w:id="376"/>
      <w:bookmarkEnd w:id="377"/>
    </w:p>
    <w:p w14:paraId="5F807A9F" w14:textId="77777777" w:rsidR="00436B89" w:rsidRPr="00A613A8" w:rsidRDefault="00436B89" w:rsidP="00436B89">
      <w:pPr>
        <w:rPr>
          <w:lang w:eastAsia="ja-JP"/>
        </w:rPr>
      </w:pPr>
      <w:bookmarkStart w:id="378" w:name="_Ref268776745"/>
      <w:bookmarkStart w:id="379" w:name="_Toc421005276"/>
      <w:bookmarkStart w:id="380" w:name="_Toc432079158"/>
      <w:bookmarkStart w:id="381" w:name="_Toc432080731"/>
      <w:r w:rsidRPr="00A613A8">
        <w:rPr>
          <w:lang w:eastAsia="ja-JP"/>
        </w:rPr>
        <w:t>No Pivotal Studies assessing safety were submitted as part of the application.</w:t>
      </w:r>
    </w:p>
    <w:p w14:paraId="5EED0B23" w14:textId="77777777" w:rsidR="00436B89" w:rsidRPr="00A613A8" w:rsidRDefault="00436B89" w:rsidP="00177802">
      <w:pPr>
        <w:pStyle w:val="Heading4"/>
        <w:numPr>
          <w:ilvl w:val="2"/>
          <w:numId w:val="5"/>
        </w:numPr>
      </w:pPr>
      <w:r w:rsidRPr="00A613A8">
        <w:t>Pivotal and/or main efficacy studies</w:t>
      </w:r>
      <w:bookmarkEnd w:id="378"/>
      <w:bookmarkEnd w:id="379"/>
      <w:bookmarkEnd w:id="380"/>
      <w:bookmarkEnd w:id="381"/>
    </w:p>
    <w:p w14:paraId="46D134B3" w14:textId="77777777" w:rsidR="00436B89" w:rsidRPr="00A613A8" w:rsidRDefault="00436B89" w:rsidP="00436B89">
      <w:pPr>
        <w:rPr>
          <w:lang w:eastAsia="ja-JP"/>
        </w:rPr>
      </w:pPr>
      <w:bookmarkStart w:id="382" w:name="_Toc421005277"/>
      <w:bookmarkStart w:id="383" w:name="_Toc432079159"/>
      <w:bookmarkStart w:id="384" w:name="_Toc432080732"/>
      <w:r w:rsidRPr="00A613A8">
        <w:rPr>
          <w:lang w:eastAsia="ja-JP"/>
        </w:rPr>
        <w:t>No Pivotal Efficacy Studies were submitted as part of the application.</w:t>
      </w:r>
    </w:p>
    <w:p w14:paraId="62DFA1F3" w14:textId="77777777" w:rsidR="00436B89" w:rsidRPr="00A613A8" w:rsidRDefault="00436B89" w:rsidP="00177802">
      <w:pPr>
        <w:pStyle w:val="Heading4"/>
        <w:numPr>
          <w:ilvl w:val="2"/>
          <w:numId w:val="5"/>
        </w:numPr>
      </w:pPr>
      <w:r w:rsidRPr="00A613A8">
        <w:t>Other studies</w:t>
      </w:r>
      <w:bookmarkEnd w:id="382"/>
      <w:bookmarkEnd w:id="383"/>
      <w:bookmarkEnd w:id="384"/>
    </w:p>
    <w:p w14:paraId="3854C8D6" w14:textId="77777777" w:rsidR="00436B89" w:rsidRPr="00A613A8" w:rsidRDefault="00436B89" w:rsidP="00436B89">
      <w:pPr>
        <w:rPr>
          <w:lang w:eastAsia="ja-JP"/>
        </w:rPr>
      </w:pPr>
      <w:r w:rsidRPr="00A613A8">
        <w:rPr>
          <w:lang w:eastAsia="ja-JP"/>
        </w:rPr>
        <w:t xml:space="preserve">The overview of </w:t>
      </w:r>
      <w:r>
        <w:rPr>
          <w:lang w:eastAsia="ja-JP"/>
        </w:rPr>
        <w:t>s</w:t>
      </w:r>
      <w:r w:rsidRPr="00A613A8">
        <w:rPr>
          <w:lang w:eastAsia="ja-JP"/>
        </w:rPr>
        <w:t>afety identifies adverse event reports in in the 3 comparative studies. The exposure of the patients to</w:t>
      </w:r>
      <w:r>
        <w:rPr>
          <w:lang w:eastAsia="ja-JP"/>
        </w:rPr>
        <w:t xml:space="preserve"> </w:t>
      </w:r>
      <w:r w:rsidRPr="00A613A8">
        <w:rPr>
          <w:lang w:eastAsia="ja-JP"/>
        </w:rPr>
        <w:t>sodium phenylbutyrate</w:t>
      </w:r>
      <w:r>
        <w:rPr>
          <w:lang w:eastAsia="ja-JP"/>
        </w:rPr>
        <w:t xml:space="preserve"> </w:t>
      </w:r>
      <w:r w:rsidR="00960971">
        <w:rPr>
          <w:lang w:eastAsia="ja-JP"/>
        </w:rPr>
        <w:t xml:space="preserve">is summarised in the table below </w:t>
      </w:r>
      <w:r>
        <w:rPr>
          <w:lang w:eastAsia="ja-JP"/>
        </w:rPr>
        <w:t>(Table 29).</w:t>
      </w:r>
    </w:p>
    <w:p w14:paraId="27A98040" w14:textId="77777777" w:rsidR="00436B89" w:rsidRPr="00A613A8" w:rsidRDefault="00436B89" w:rsidP="00C64237">
      <w:pPr>
        <w:pStyle w:val="Tabletitle"/>
        <w:rPr>
          <w:lang w:eastAsia="ja-JP"/>
        </w:rPr>
      </w:pPr>
      <w:bookmarkStart w:id="385" w:name="_Ref457768092"/>
      <w:bookmarkStart w:id="386" w:name="_Toc473013968"/>
      <w:r w:rsidRPr="00A613A8">
        <w:t xml:space="preserve">Table </w:t>
      </w:r>
      <w:r>
        <w:t>29:</w:t>
      </w:r>
      <w:bookmarkEnd w:id="385"/>
      <w:r w:rsidRPr="00A613A8">
        <w:t xml:space="preserve"> </w:t>
      </w:r>
      <w:r w:rsidRPr="00A613A8">
        <w:rPr>
          <w:lang w:eastAsia="ja-JP"/>
        </w:rPr>
        <w:t>Adverse event reports for Sodium Phenylbutyrate from</w:t>
      </w:r>
      <w:r>
        <w:rPr>
          <w:lang w:eastAsia="ja-JP"/>
        </w:rPr>
        <w:t xml:space="preserve"> the</w:t>
      </w:r>
      <w:r w:rsidRPr="00A613A8">
        <w:rPr>
          <w:lang w:eastAsia="ja-JP"/>
        </w:rPr>
        <w:t xml:space="preserve"> comparat</w:t>
      </w:r>
      <w:r>
        <w:rPr>
          <w:lang w:eastAsia="ja-JP"/>
        </w:rPr>
        <w:t>or</w:t>
      </w:r>
      <w:r w:rsidRPr="00A613A8">
        <w:rPr>
          <w:lang w:eastAsia="ja-JP"/>
        </w:rPr>
        <w:t xml:space="preserve"> studies (</w:t>
      </w:r>
      <w:r>
        <w:rPr>
          <w:lang w:eastAsia="ja-JP"/>
        </w:rPr>
        <w:t>Safety Report, M</w:t>
      </w:r>
      <w:r w:rsidRPr="00A613A8">
        <w:rPr>
          <w:lang w:eastAsia="ja-JP"/>
        </w:rPr>
        <w:t>2)</w:t>
      </w:r>
      <w:bookmarkEnd w:id="386"/>
    </w:p>
    <w:p w14:paraId="2CA9EE2B" w14:textId="77777777" w:rsidR="00436B89" w:rsidRPr="00A613A8" w:rsidRDefault="00436B89" w:rsidP="00436B89">
      <w:pPr>
        <w:rPr>
          <w:lang w:eastAsia="ja-JP"/>
        </w:rPr>
      </w:pPr>
      <w:r>
        <w:rPr>
          <w:noProof/>
          <w:lang w:eastAsia="en-AU"/>
        </w:rPr>
        <w:drawing>
          <wp:inline distT="0" distB="0" distL="0" distR="0" wp14:anchorId="0C428E08" wp14:editId="704F7749">
            <wp:extent cx="4625871" cy="3225209"/>
            <wp:effectExtent l="0" t="0" r="3810" b="0"/>
            <wp:docPr id="55" name="Picture 55" descr="Table 29: Adverse event reports for Sodium Phenylbutyrate from the comparator studies (Safety Report, 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lum bright="-20000" contrast="40000"/>
                      <a:extLst>
                        <a:ext uri="{28A0092B-C50C-407E-A947-70E740481C1C}">
                          <a14:useLocalDpi xmlns:a14="http://schemas.microsoft.com/office/drawing/2010/main" val="0"/>
                        </a:ext>
                      </a:extLst>
                    </a:blip>
                    <a:srcRect/>
                    <a:stretch>
                      <a:fillRect/>
                    </a:stretch>
                  </pic:blipFill>
                  <pic:spPr bwMode="auto">
                    <a:xfrm>
                      <a:off x="0" y="0"/>
                      <a:ext cx="4628948" cy="3227354"/>
                    </a:xfrm>
                    <a:prstGeom prst="rect">
                      <a:avLst/>
                    </a:prstGeom>
                    <a:noFill/>
                    <a:ln>
                      <a:noFill/>
                    </a:ln>
                  </pic:spPr>
                </pic:pic>
              </a:graphicData>
            </a:graphic>
          </wp:inline>
        </w:drawing>
      </w:r>
    </w:p>
    <w:p w14:paraId="0E22B613" w14:textId="77777777" w:rsidR="00436B89" w:rsidRPr="00A613A8" w:rsidRDefault="00436B89" w:rsidP="00177802">
      <w:pPr>
        <w:pStyle w:val="Heading5"/>
        <w:numPr>
          <w:ilvl w:val="3"/>
          <w:numId w:val="5"/>
        </w:numPr>
        <w:tabs>
          <w:tab w:val="clear" w:pos="1418"/>
          <w:tab w:val="num" w:pos="1191"/>
        </w:tabs>
        <w:ind w:left="1191"/>
        <w:rPr>
          <w:rFonts w:eastAsia="TimesNewRomanPSMT"/>
          <w:lang w:eastAsia="en-AU"/>
        </w:rPr>
      </w:pPr>
      <w:r w:rsidRPr="00A613A8">
        <w:rPr>
          <w:rFonts w:eastAsia="TimesNewRomanPSMT"/>
          <w:lang w:eastAsia="en-AU"/>
        </w:rPr>
        <w:t>Smith 2013</w:t>
      </w:r>
    </w:p>
    <w:p w14:paraId="64AFB132" w14:textId="77777777" w:rsidR="00436B89" w:rsidRPr="00A613A8" w:rsidRDefault="00436B89" w:rsidP="00436B89">
      <w:pPr>
        <w:rPr>
          <w:lang w:eastAsia="ja-JP"/>
        </w:rPr>
      </w:pPr>
      <w:r w:rsidRPr="00A613A8">
        <w:rPr>
          <w:lang w:eastAsia="ja-JP"/>
        </w:rPr>
        <w:t xml:space="preserve">Details of this study are found in </w:t>
      </w:r>
      <w:r>
        <w:rPr>
          <w:lang w:eastAsia="ja-JP"/>
        </w:rPr>
        <w:t>the Efficacy s</w:t>
      </w:r>
      <w:r w:rsidRPr="00A613A8">
        <w:rPr>
          <w:lang w:eastAsia="ja-JP"/>
        </w:rPr>
        <w:t>ection.</w:t>
      </w:r>
    </w:p>
    <w:p w14:paraId="432DB124" w14:textId="77777777" w:rsidR="00436B89" w:rsidRPr="00A613A8" w:rsidRDefault="00436B89" w:rsidP="00436B89">
      <w:pPr>
        <w:rPr>
          <w:lang w:eastAsia="ja-JP"/>
        </w:rPr>
      </w:pPr>
      <w:r w:rsidRPr="00A613A8">
        <w:rPr>
          <w:lang w:eastAsia="ja-JP"/>
        </w:rPr>
        <w:lastRenderedPageBreak/>
        <w:t>On day 1, as part of the collection of data points of interest, 12 of 15 patients reported a total of 38 symptoms (</w:t>
      </w:r>
      <w:r>
        <w:rPr>
          <w:lang w:eastAsia="ja-JP"/>
        </w:rPr>
        <w:t>Table 30</w:t>
      </w:r>
      <w:r w:rsidRPr="00A613A8">
        <w:rPr>
          <w:lang w:eastAsia="ja-JP"/>
        </w:rPr>
        <w:t>) associated with sodium phenylbutyrate or their UCD, the most common of which were body odour (6 patients) followed by recurrent abdominal pain, vomiting after taking drug, and refusal to eat because of the smell or taste of the drug (3 patients each). Six patients experienced mild adverse events on glycerol phenylbutyrate.</w:t>
      </w:r>
    </w:p>
    <w:p w14:paraId="4AF19416" w14:textId="77777777" w:rsidR="00436B89" w:rsidRPr="00A613A8" w:rsidRDefault="00436B89" w:rsidP="00436B89">
      <w:pPr>
        <w:rPr>
          <w:lang w:eastAsia="ja-JP"/>
        </w:rPr>
      </w:pPr>
      <w:r w:rsidRPr="00A613A8">
        <w:rPr>
          <w:lang w:eastAsia="ja-JP"/>
        </w:rPr>
        <w:t>Adverse events were reported by 61% and 51% of patients during glycerol phenylbutyrate and sodium phenylbutyrate treatment, respectively, with most being gastrointestinal and generally mild. Symptoms suggestive of gastrointestinal disorders, irrespective of treatment, included diarrhoea, flatulence, abdominal discomfort, dyspepsia, nausea, vomiting, and oral discomfort. No clinically significant laboratory or ECG changes were observed.</w:t>
      </w:r>
    </w:p>
    <w:p w14:paraId="30CAD9F3" w14:textId="77777777" w:rsidR="00436B89" w:rsidRPr="00A613A8" w:rsidRDefault="00436B89" w:rsidP="00C64237">
      <w:pPr>
        <w:pStyle w:val="Tabletitle"/>
        <w:rPr>
          <w:lang w:eastAsia="ja-JP"/>
        </w:rPr>
      </w:pPr>
      <w:bookmarkStart w:id="387" w:name="_Ref457768107"/>
      <w:bookmarkStart w:id="388" w:name="_Toc473013969"/>
      <w:r w:rsidRPr="00A613A8">
        <w:t>Table</w:t>
      </w:r>
      <w:r>
        <w:t xml:space="preserve"> 30:</w:t>
      </w:r>
      <w:bookmarkEnd w:id="387"/>
      <w:r w:rsidRPr="00A613A8">
        <w:t xml:space="preserve"> </w:t>
      </w:r>
      <w:r w:rsidRPr="00A613A8">
        <w:rPr>
          <w:lang w:eastAsia="ja-JP"/>
        </w:rPr>
        <w:t>Adverse Events reported during the study period related either to symptoms of UCD or its treatment</w:t>
      </w:r>
      <w:r>
        <w:rPr>
          <w:lang w:eastAsia="ja-JP"/>
        </w:rPr>
        <w:t xml:space="preserve"> (Smith 2013)</w:t>
      </w:r>
      <w:bookmarkEnd w:id="388"/>
    </w:p>
    <w:p w14:paraId="7117FD77" w14:textId="77777777" w:rsidR="00436B89" w:rsidRPr="00A613A8" w:rsidRDefault="00436B89" w:rsidP="00436B89">
      <w:pPr>
        <w:rPr>
          <w:lang w:eastAsia="ja-JP"/>
        </w:rPr>
      </w:pPr>
      <w:r>
        <w:rPr>
          <w:noProof/>
          <w:lang w:eastAsia="en-AU"/>
        </w:rPr>
        <w:drawing>
          <wp:inline distT="0" distB="0" distL="0" distR="0" wp14:anchorId="33A01612" wp14:editId="1F7B6F68">
            <wp:extent cx="5722620" cy="2286000"/>
            <wp:effectExtent l="0" t="0" r="0" b="0"/>
            <wp:docPr id="56" name="Picture 56" descr="Table 30: Adverse Events reported during the study period related either to symptoms of UCD or its treatment (Smit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lum bright="-20000" contrast="40000"/>
                      <a:extLst>
                        <a:ext uri="{28A0092B-C50C-407E-A947-70E740481C1C}">
                          <a14:useLocalDpi xmlns:a14="http://schemas.microsoft.com/office/drawing/2010/main" val="0"/>
                        </a:ext>
                      </a:extLst>
                    </a:blip>
                    <a:srcRect/>
                    <a:stretch>
                      <a:fillRect/>
                    </a:stretch>
                  </pic:blipFill>
                  <pic:spPr bwMode="auto">
                    <a:xfrm>
                      <a:off x="0" y="0"/>
                      <a:ext cx="5722620" cy="2286000"/>
                    </a:xfrm>
                    <a:prstGeom prst="rect">
                      <a:avLst/>
                    </a:prstGeom>
                    <a:noFill/>
                    <a:ln>
                      <a:noFill/>
                    </a:ln>
                  </pic:spPr>
                </pic:pic>
              </a:graphicData>
            </a:graphic>
          </wp:inline>
        </w:drawing>
      </w:r>
    </w:p>
    <w:p w14:paraId="4063B54B" w14:textId="77777777" w:rsidR="00436B89" w:rsidRPr="00A613A8" w:rsidRDefault="00436B89" w:rsidP="00177802">
      <w:pPr>
        <w:pStyle w:val="Heading5"/>
        <w:numPr>
          <w:ilvl w:val="3"/>
          <w:numId w:val="5"/>
        </w:numPr>
        <w:tabs>
          <w:tab w:val="clear" w:pos="1418"/>
          <w:tab w:val="num" w:pos="1191"/>
        </w:tabs>
        <w:ind w:left="1191"/>
        <w:rPr>
          <w:lang w:eastAsia="en-AU"/>
        </w:rPr>
      </w:pPr>
      <w:r w:rsidRPr="00A613A8">
        <w:rPr>
          <w:lang w:eastAsia="en-AU"/>
        </w:rPr>
        <w:t>Nagamani 2015</w:t>
      </w:r>
    </w:p>
    <w:p w14:paraId="4C2EC9D9" w14:textId="77777777" w:rsidR="00436B89" w:rsidRPr="00A613A8" w:rsidRDefault="00436B89" w:rsidP="00436B89">
      <w:pPr>
        <w:rPr>
          <w:lang w:eastAsia="ja-JP"/>
        </w:rPr>
      </w:pPr>
      <w:r w:rsidRPr="00A613A8">
        <w:rPr>
          <w:lang w:eastAsia="ja-JP"/>
        </w:rPr>
        <w:t xml:space="preserve">Details of this study are found in </w:t>
      </w:r>
      <w:r>
        <w:rPr>
          <w:lang w:eastAsia="ja-JP"/>
        </w:rPr>
        <w:t>the Efficacy s</w:t>
      </w:r>
      <w:r w:rsidRPr="00A613A8">
        <w:rPr>
          <w:lang w:eastAsia="ja-JP"/>
        </w:rPr>
        <w:t>ection.</w:t>
      </w:r>
    </w:p>
    <w:p w14:paraId="3A026E3D" w14:textId="77777777" w:rsidR="00436B89" w:rsidRPr="00A613A8" w:rsidRDefault="00436B89" w:rsidP="00436B89">
      <w:pPr>
        <w:rPr>
          <w:lang w:eastAsia="ja-JP"/>
        </w:rPr>
      </w:pPr>
      <w:r w:rsidRPr="00A613A8">
        <w:rPr>
          <w:lang w:eastAsia="ja-JP"/>
        </w:rPr>
        <w:t>In this pooled analysis, a total of 100 patients with UCDs (77 aged ≥ 6 years; 23 aged &lt; 6 years) were included from trials comparing sodium phenylbutyrate and glycerol phenylbutyrate (Berry 2014; Lee 2010; Lichter-Konecki 2011; Smith 2013). Treatment-associated symptoms from these studies were documented with baseline symptoms while on sodium phenylbutyrate.</w:t>
      </w:r>
    </w:p>
    <w:p w14:paraId="0A4BDCED" w14:textId="77777777" w:rsidR="00436B89" w:rsidRPr="00A613A8" w:rsidRDefault="00436B89" w:rsidP="00436B89">
      <w:pPr>
        <w:rPr>
          <w:lang w:eastAsia="ja-JP"/>
        </w:rPr>
      </w:pPr>
      <w:r w:rsidRPr="00A613A8">
        <w:rPr>
          <w:lang w:eastAsia="ja-JP"/>
        </w:rPr>
        <w:t>The study reported that at baseline, 69% reported experiencing at least one of the treatment-associated symptoms compared with 46% of patients after 3 months of glycerol phenylbutyrate dosing (</w:t>
      </w:r>
      <w:r>
        <w:rPr>
          <w:lang w:eastAsia="ja-JP"/>
        </w:rPr>
        <w:t>Figure 27</w:t>
      </w:r>
      <w:r w:rsidRPr="00A613A8">
        <w:rPr>
          <w:lang w:eastAsia="ja-JP"/>
        </w:rPr>
        <w:t>).</w:t>
      </w:r>
    </w:p>
    <w:p w14:paraId="1B671D82" w14:textId="77777777" w:rsidR="00436B89" w:rsidRPr="00A613A8" w:rsidRDefault="00436B89" w:rsidP="00C64237">
      <w:pPr>
        <w:pStyle w:val="FigureTitle"/>
        <w:rPr>
          <w:lang w:eastAsia="en-AU"/>
        </w:rPr>
      </w:pPr>
      <w:bookmarkStart w:id="389" w:name="_Ref457767122"/>
      <w:bookmarkStart w:id="390" w:name="_Toc473014009"/>
      <w:r w:rsidRPr="00A613A8">
        <w:lastRenderedPageBreak/>
        <w:t xml:space="preserve">Figure </w:t>
      </w:r>
      <w:r>
        <w:t>27:</w:t>
      </w:r>
      <w:bookmarkEnd w:id="389"/>
      <w:r w:rsidRPr="00A613A8">
        <w:rPr>
          <w:lang w:eastAsia="ja-JP"/>
        </w:rPr>
        <w:t xml:space="preserve"> </w:t>
      </w:r>
      <w:r w:rsidRPr="00A613A8">
        <w:rPr>
          <w:lang w:eastAsia="en-AU"/>
        </w:rPr>
        <w:t>Comparison of the most frequently reported symptoms reported by patients while on sodium phenylbutyrate (NaPB) therapy (baseline) compared with after 3 months of glycerol phenylbutyrate (GPB) therapy. A: all patients; B: paediatric patients (*p &lt; 0.05; **p &lt; 0.01; ***p &lt; 0.001; ****p &lt; 0.0001)</w:t>
      </w:r>
      <w:r>
        <w:rPr>
          <w:lang w:eastAsia="en-AU"/>
        </w:rPr>
        <w:t xml:space="preserve"> (</w:t>
      </w:r>
      <w:r w:rsidRPr="00A613A8">
        <w:rPr>
          <w:lang w:eastAsia="en-AU"/>
        </w:rPr>
        <w:t>Nagamani 2015</w:t>
      </w:r>
      <w:r>
        <w:rPr>
          <w:lang w:eastAsia="en-AU"/>
        </w:rPr>
        <w:t>)</w:t>
      </w:r>
      <w:bookmarkEnd w:id="390"/>
    </w:p>
    <w:p w14:paraId="5DE3BA8C" w14:textId="77777777" w:rsidR="00436B89" w:rsidRPr="00A613A8" w:rsidRDefault="00436B89" w:rsidP="00436B89">
      <w:pPr>
        <w:autoSpaceDE w:val="0"/>
        <w:autoSpaceDN w:val="0"/>
        <w:adjustRightInd w:val="0"/>
        <w:spacing w:before="0" w:after="0" w:line="240" w:lineRule="auto"/>
        <w:rPr>
          <w:lang w:eastAsia="ja-JP"/>
        </w:rPr>
      </w:pPr>
      <w:r>
        <w:rPr>
          <w:noProof/>
          <w:lang w:eastAsia="en-AU"/>
        </w:rPr>
        <w:drawing>
          <wp:inline distT="0" distB="0" distL="0" distR="0" wp14:anchorId="5D6DAB77" wp14:editId="5357E765">
            <wp:extent cx="4410995" cy="4352260"/>
            <wp:effectExtent l="0" t="0" r="8890" b="0"/>
            <wp:docPr id="57" name="Picture 57" descr="Figure 27: Comparison of the most frequently reported symptoms reported by patients while on sodium phenylbutyrate (NaPB) therapy (baseline) compared with after 3 months of glycerol phenylbutyrate (GPB) therapy. A: all patients; B: paediatric patients (*p &lt; 0.05; **p &lt; 0.01; ***p &lt; 0.001; ****p &lt; 0.0001) (Nagamani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lum bright="-20000" contrast="40000"/>
                      <a:extLst>
                        <a:ext uri="{28A0092B-C50C-407E-A947-70E740481C1C}">
                          <a14:useLocalDpi xmlns:a14="http://schemas.microsoft.com/office/drawing/2010/main" val="0"/>
                        </a:ext>
                      </a:extLst>
                    </a:blip>
                    <a:srcRect/>
                    <a:stretch>
                      <a:fillRect/>
                    </a:stretch>
                  </pic:blipFill>
                  <pic:spPr bwMode="auto">
                    <a:xfrm>
                      <a:off x="0" y="0"/>
                      <a:ext cx="4412772" cy="4354013"/>
                    </a:xfrm>
                    <a:prstGeom prst="rect">
                      <a:avLst/>
                    </a:prstGeom>
                    <a:noFill/>
                    <a:ln>
                      <a:noFill/>
                    </a:ln>
                  </pic:spPr>
                </pic:pic>
              </a:graphicData>
            </a:graphic>
          </wp:inline>
        </w:drawing>
      </w:r>
    </w:p>
    <w:p w14:paraId="04788127" w14:textId="77777777" w:rsidR="00436B89" w:rsidRPr="00A613A8" w:rsidRDefault="00436B89" w:rsidP="00177802">
      <w:pPr>
        <w:pStyle w:val="Heading5"/>
        <w:numPr>
          <w:ilvl w:val="3"/>
          <w:numId w:val="5"/>
        </w:numPr>
        <w:tabs>
          <w:tab w:val="clear" w:pos="1418"/>
          <w:tab w:val="num" w:pos="1191"/>
        </w:tabs>
        <w:ind w:left="1191"/>
      </w:pPr>
      <w:bookmarkStart w:id="391" w:name="_Ref458291320"/>
      <w:r w:rsidRPr="00A613A8">
        <w:t>Studies with evaluable safety data: other diseases</w:t>
      </w:r>
      <w:bookmarkEnd w:id="391"/>
      <w:r w:rsidRPr="00A613A8">
        <w:t xml:space="preserve"> </w:t>
      </w:r>
    </w:p>
    <w:p w14:paraId="1DFF650D" w14:textId="77777777" w:rsidR="00436B89" w:rsidRPr="00A613A8" w:rsidRDefault="00436B89" w:rsidP="00436B89">
      <w:pPr>
        <w:rPr>
          <w:lang w:eastAsia="ja-JP"/>
        </w:rPr>
      </w:pPr>
      <w:bookmarkStart w:id="392" w:name="_Ref269204367"/>
      <w:bookmarkStart w:id="393" w:name="_Ref271195835"/>
      <w:bookmarkStart w:id="394" w:name="_Ref271195841"/>
      <w:bookmarkStart w:id="395" w:name="_Toc272414660"/>
      <w:bookmarkStart w:id="396" w:name="_Toc290888511"/>
      <w:bookmarkStart w:id="397" w:name="_Toc416353727"/>
      <w:bookmarkStart w:id="398" w:name="_Toc421005283"/>
      <w:bookmarkStart w:id="399" w:name="_Toc432079160"/>
      <w:bookmarkStart w:id="400" w:name="_Toc432080733"/>
      <w:r w:rsidRPr="00A613A8">
        <w:rPr>
          <w:lang w:eastAsia="ja-JP"/>
        </w:rPr>
        <w:t>The clinical safety overview stated the following</w:t>
      </w:r>
    </w:p>
    <w:p w14:paraId="69D459D2" w14:textId="77777777" w:rsidR="00436B89" w:rsidRPr="00A613A8" w:rsidRDefault="00436B89" w:rsidP="00436B89">
      <w:pPr>
        <w:ind w:left="720"/>
        <w:rPr>
          <w:lang w:eastAsia="en-AU"/>
        </w:rPr>
      </w:pPr>
      <w:r w:rsidRPr="00A613A8">
        <w:rPr>
          <w:lang w:eastAsia="en-AU"/>
        </w:rPr>
        <w:t>During long-term phenylbutyrate therapy, 23% of menstruating females had irregular menses or became amenorrhoe</w:t>
      </w:r>
      <w:r>
        <w:rPr>
          <w:lang w:eastAsia="en-AU"/>
        </w:rPr>
        <w:t>ic</w:t>
      </w:r>
      <w:r w:rsidRPr="00A613A8">
        <w:rPr>
          <w:lang w:eastAsia="en-AU"/>
        </w:rPr>
        <w:t>. Decreased appetite, taste disturbances, or disagreeable body odour occurred in approximately 4%. Abnormal electrolytes, increased serum hepatic enzyme levels, hyp</w:t>
      </w:r>
      <w:r>
        <w:rPr>
          <w:lang w:eastAsia="en-AU"/>
        </w:rPr>
        <w:t>o-</w:t>
      </w:r>
      <w:r w:rsidRPr="00A613A8">
        <w:rPr>
          <w:lang w:eastAsia="en-AU"/>
        </w:rPr>
        <w:t>albuminaemia, and anaemia may occur but are difficult to differentiate from the primary disease itself. A variety of gastrointestinal disorders, aplastic anaemia, ecchymosis, arrhythmias, renal tubular acidosis, depression, and rash have been reported rarely (Anon, 1996).</w:t>
      </w:r>
    </w:p>
    <w:p w14:paraId="1286ACAD" w14:textId="77777777" w:rsidR="00436B89" w:rsidRPr="00A613A8" w:rsidRDefault="00436B89" w:rsidP="00436B89">
      <w:pPr>
        <w:ind w:left="720"/>
        <w:rPr>
          <w:lang w:eastAsia="en-AU"/>
        </w:rPr>
      </w:pPr>
      <w:r w:rsidRPr="00A613A8">
        <w:rPr>
          <w:lang w:eastAsia="en-AU"/>
        </w:rPr>
        <w:t>Renal Fanconi syndrome has been reported in 2 patients, and a few patients were reported to have oral mucositis (Feillet et al., 1998); there has been one report of chronic pancreatitis (Anadiotis et al., 2001). Neurotoxicity as described in adults receiving phenylacetate is unlikely to occur, because phenylacetate levels remain low after phenylbutyrate administration in therapeutic doses for UCDs (Gore 2001; Piscitelli 1995). Neurocortical toxicity attributable to accumulation of the metabolite phenylacetate has been associated with high doses of sodium phenylbutyrate (greater than approximately 400 mg/</w:t>
      </w:r>
      <w:r>
        <w:rPr>
          <w:lang w:eastAsia="en-AU"/>
        </w:rPr>
        <w:t>kg/day</w:t>
      </w:r>
      <w:r w:rsidRPr="00A613A8">
        <w:rPr>
          <w:lang w:eastAsia="en-AU"/>
        </w:rPr>
        <w:t xml:space="preserve"> intravenously), predominantly in studies in adult patients with cancer (Gore 2001; Thibault 1994; Thibault 1995). The dosage of sodium phenylbutyrate in the management of UCDs is much lower (9.9 - 13.0 g/m</w:t>
      </w:r>
      <w:r w:rsidRPr="00773FBD">
        <w:rPr>
          <w:vertAlign w:val="superscript"/>
          <w:lang w:eastAsia="en-AU"/>
        </w:rPr>
        <w:t>2</w:t>
      </w:r>
      <w:r w:rsidRPr="00A613A8">
        <w:rPr>
          <w:lang w:eastAsia="en-AU"/>
        </w:rPr>
        <w:t xml:space="preserve">/day in </w:t>
      </w:r>
      <w:r w:rsidRPr="00A613A8">
        <w:rPr>
          <w:lang w:eastAsia="en-AU"/>
        </w:rPr>
        <w:lastRenderedPageBreak/>
        <w:t>patients weighing more than 20 kg, with a recommended maximum of 20 g/day; European Medicines Agency, 2015; FDA, 2009).</w:t>
      </w:r>
    </w:p>
    <w:p w14:paraId="539B2517" w14:textId="77777777" w:rsidR="00436B89" w:rsidRPr="00A613A8" w:rsidRDefault="00436B89" w:rsidP="00436B89">
      <w:pPr>
        <w:ind w:left="720"/>
        <w:rPr>
          <w:lang w:eastAsia="en-AU"/>
        </w:rPr>
      </w:pPr>
      <w:r w:rsidRPr="00A613A8">
        <w:rPr>
          <w:lang w:eastAsia="en-AU"/>
        </w:rPr>
        <w:t>Sodium phenylbutyrate should be used with great care, if at all, in patients with congestive heart failure or severe renal insufficiency, and in clinical states in which there is sodium retention with oedema (FDA, 2009).</w:t>
      </w:r>
    </w:p>
    <w:p w14:paraId="01EABEB2" w14:textId="77777777" w:rsidR="00436B89" w:rsidRPr="00A613A8" w:rsidRDefault="00436B89" w:rsidP="00436B89">
      <w:pPr>
        <w:rPr>
          <w:rFonts w:eastAsia="TimesNewRomanPSMT"/>
          <w:lang w:eastAsia="en-AU"/>
        </w:rPr>
      </w:pPr>
      <w:r w:rsidRPr="00773FBD">
        <w:rPr>
          <w:i/>
          <w:lang w:eastAsia="en-AU"/>
        </w:rPr>
        <w:t>Burrage 2014</w:t>
      </w:r>
      <w:r w:rsidRPr="00A613A8">
        <w:rPr>
          <w:rFonts w:eastAsia="TimesNewRomanPSMT"/>
          <w:lang w:eastAsia="en-AU"/>
        </w:rPr>
        <w:t xml:space="preserve"> </w:t>
      </w:r>
      <w:r w:rsidRPr="00A613A8">
        <w:rPr>
          <w:lang w:eastAsia="en-AU"/>
        </w:rPr>
        <w:t>analysed plasma levels from 595 patients across the United States, Canada, and Europe. The analysis showed that plasma levels of the BCAAs were significantly lower in patients treated with PB, even when accounting for all covariates (</w:t>
      </w:r>
      <w:r>
        <w:rPr>
          <w:lang w:eastAsia="en-AU"/>
        </w:rPr>
        <w:t>Table 31</w:t>
      </w:r>
      <w:r w:rsidRPr="00A613A8">
        <w:rPr>
          <w:lang w:eastAsia="en-AU"/>
        </w:rPr>
        <w:t>).</w:t>
      </w:r>
      <w:r>
        <w:rPr>
          <w:lang w:eastAsia="en-AU"/>
        </w:rPr>
        <w:t xml:space="preserve"> </w:t>
      </w:r>
      <w:r w:rsidRPr="00A613A8">
        <w:rPr>
          <w:lang w:eastAsia="en-AU"/>
        </w:rPr>
        <w:t>Although the consequences of decreased levels of BCAA in patients with UCDs are unclear, the results suggest that patients treated with sodium phenylbutyrate should be routinely monitored for BCAA deficiency and supplemented as required.</w:t>
      </w:r>
    </w:p>
    <w:p w14:paraId="25A27640" w14:textId="77777777" w:rsidR="00436B89" w:rsidRPr="00A613A8" w:rsidRDefault="00436B89" w:rsidP="00C64237">
      <w:pPr>
        <w:pStyle w:val="Tabletitle"/>
        <w:rPr>
          <w:lang w:eastAsia="en-AU"/>
        </w:rPr>
      </w:pPr>
      <w:bookmarkStart w:id="401" w:name="_Ref457768147"/>
      <w:bookmarkStart w:id="402" w:name="_Toc473013970"/>
      <w:r w:rsidRPr="00A613A8">
        <w:t xml:space="preserve">Table </w:t>
      </w:r>
      <w:r>
        <w:t>31:</w:t>
      </w:r>
      <w:bookmarkEnd w:id="401"/>
      <w:r w:rsidRPr="00A613A8">
        <w:t xml:space="preserve"> </w:t>
      </w:r>
      <w:r w:rsidRPr="00A613A8">
        <w:rPr>
          <w:lang w:eastAsia="en-AU"/>
        </w:rPr>
        <w:t xml:space="preserve">Branched chain amino acid (BCAA) levels in patients taking sodium phenylbutyrate (NaPB; n = 212) </w:t>
      </w:r>
      <w:r>
        <w:rPr>
          <w:lang w:eastAsia="en-AU"/>
        </w:rPr>
        <w:t>versus</w:t>
      </w:r>
      <w:r w:rsidRPr="00A613A8">
        <w:rPr>
          <w:lang w:eastAsia="en-AU"/>
        </w:rPr>
        <w:t xml:space="preserve"> patients not taking NaPB (n = 341) (</w:t>
      </w:r>
      <w:r w:rsidRPr="00A613A8">
        <w:rPr>
          <w:i/>
          <w:lang w:eastAsia="en-AU"/>
        </w:rPr>
        <w:t>Burrage 2014</w:t>
      </w:r>
      <w:r w:rsidRPr="00A613A8">
        <w:rPr>
          <w:lang w:eastAsia="en-AU"/>
        </w:rPr>
        <w:t>)</w:t>
      </w:r>
      <w:bookmarkEnd w:id="402"/>
    </w:p>
    <w:p w14:paraId="649F48F2" w14:textId="77777777" w:rsidR="00436B89" w:rsidRPr="00A613A8" w:rsidRDefault="00436B89" w:rsidP="00436B89">
      <w:pPr>
        <w:rPr>
          <w:lang w:eastAsia="en-AU"/>
        </w:rPr>
      </w:pPr>
      <w:r>
        <w:rPr>
          <w:noProof/>
          <w:lang w:eastAsia="en-AU"/>
        </w:rPr>
        <w:drawing>
          <wp:inline distT="0" distB="0" distL="0" distR="0" wp14:anchorId="6E54EE7F" wp14:editId="4B4E720D">
            <wp:extent cx="4959235" cy="891474"/>
            <wp:effectExtent l="0" t="0" r="0" b="4445"/>
            <wp:docPr id="58" name="Picture 58" descr="Table 31: Branched chain amino acid (BCAA) levels in patients taking sodium phenylbutyrate (NaPB; n = 212) versus patients not taking NaPB (n = 341) (Burrag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lum bright="-20000" contrast="40000"/>
                      <a:extLst>
                        <a:ext uri="{28A0092B-C50C-407E-A947-70E740481C1C}">
                          <a14:useLocalDpi xmlns:a14="http://schemas.microsoft.com/office/drawing/2010/main" val="0"/>
                        </a:ext>
                      </a:extLst>
                    </a:blip>
                    <a:srcRect/>
                    <a:stretch>
                      <a:fillRect/>
                    </a:stretch>
                  </pic:blipFill>
                  <pic:spPr bwMode="auto">
                    <a:xfrm>
                      <a:off x="0" y="0"/>
                      <a:ext cx="4963510" cy="892242"/>
                    </a:xfrm>
                    <a:prstGeom prst="rect">
                      <a:avLst/>
                    </a:prstGeom>
                    <a:noFill/>
                    <a:ln>
                      <a:noFill/>
                    </a:ln>
                  </pic:spPr>
                </pic:pic>
              </a:graphicData>
            </a:graphic>
          </wp:inline>
        </w:drawing>
      </w:r>
    </w:p>
    <w:p w14:paraId="4DBE58A2" w14:textId="77777777" w:rsidR="00436B89" w:rsidRPr="00A613A8" w:rsidRDefault="00436B89" w:rsidP="00436B89">
      <w:pPr>
        <w:rPr>
          <w:lang w:eastAsia="en-AU"/>
        </w:rPr>
      </w:pPr>
      <w:r w:rsidRPr="00A613A8">
        <w:rPr>
          <w:b/>
          <w:i/>
          <w:lang w:eastAsia="en-AU"/>
        </w:rPr>
        <w:t>Walker 2009</w:t>
      </w:r>
      <w:r w:rsidRPr="00A613A8">
        <w:rPr>
          <w:lang w:eastAsia="en-AU"/>
        </w:rPr>
        <w:t xml:space="preserve"> is a review article published which included a table to toxicity associated with phenylbutyrate (</w:t>
      </w:r>
      <w:r>
        <w:rPr>
          <w:lang w:eastAsia="en-AU"/>
        </w:rPr>
        <w:t>Table 32</w:t>
      </w:r>
      <w:r w:rsidRPr="00A613A8">
        <w:rPr>
          <w:lang w:eastAsia="en-AU"/>
        </w:rPr>
        <w:t>)</w:t>
      </w:r>
      <w:r>
        <w:rPr>
          <w:lang w:eastAsia="en-AU"/>
        </w:rPr>
        <w:t>.</w:t>
      </w:r>
    </w:p>
    <w:p w14:paraId="1A5B2E33" w14:textId="77777777" w:rsidR="00436B89" w:rsidRPr="00A613A8" w:rsidRDefault="00436B89" w:rsidP="00C64237">
      <w:pPr>
        <w:pStyle w:val="Tabletitle"/>
      </w:pPr>
      <w:bookmarkStart w:id="403" w:name="_Ref457768160"/>
      <w:bookmarkStart w:id="404" w:name="_Toc473013971"/>
      <w:bookmarkStart w:id="405" w:name="_Toc241374318"/>
      <w:bookmarkStart w:id="406" w:name="_Ref271196630"/>
      <w:bookmarkStart w:id="407" w:name="_Toc272414662"/>
      <w:bookmarkStart w:id="408" w:name="_Toc290888526"/>
      <w:bookmarkStart w:id="409" w:name="_Toc416353742"/>
      <w:bookmarkStart w:id="410" w:name="_Toc421005285"/>
      <w:bookmarkStart w:id="411" w:name="_Toc432079162"/>
      <w:bookmarkStart w:id="412" w:name="_Toc432080735"/>
      <w:bookmarkEnd w:id="392"/>
      <w:bookmarkEnd w:id="393"/>
      <w:bookmarkEnd w:id="394"/>
      <w:bookmarkEnd w:id="395"/>
      <w:bookmarkEnd w:id="396"/>
      <w:bookmarkEnd w:id="397"/>
      <w:bookmarkEnd w:id="398"/>
      <w:bookmarkEnd w:id="399"/>
      <w:bookmarkEnd w:id="400"/>
      <w:r w:rsidRPr="00A613A8">
        <w:t xml:space="preserve">Table </w:t>
      </w:r>
      <w:r>
        <w:t>32:</w:t>
      </w:r>
      <w:bookmarkEnd w:id="403"/>
      <w:r w:rsidRPr="00A613A8">
        <w:t xml:space="preserve"> </w:t>
      </w:r>
      <w:r w:rsidRPr="00A613A8">
        <w:rPr>
          <w:lang w:eastAsia="en-AU"/>
        </w:rPr>
        <w:t>Toxicity of phenylbutyrate, phenylacetate and benzoate (</w:t>
      </w:r>
      <w:r w:rsidRPr="00A613A8">
        <w:rPr>
          <w:i/>
          <w:lang w:eastAsia="en-AU"/>
        </w:rPr>
        <w:t>Walker 2009</w:t>
      </w:r>
      <w:r w:rsidRPr="00A613A8">
        <w:rPr>
          <w:lang w:eastAsia="en-AU"/>
        </w:rPr>
        <w:t>)</w:t>
      </w:r>
      <w:bookmarkEnd w:id="404"/>
    </w:p>
    <w:p w14:paraId="37080ADB" w14:textId="77777777" w:rsidR="00436B89" w:rsidRPr="00A613A8" w:rsidRDefault="00436B89" w:rsidP="00436B89">
      <w:r>
        <w:rPr>
          <w:noProof/>
          <w:lang w:eastAsia="en-AU"/>
        </w:rPr>
        <w:drawing>
          <wp:inline distT="0" distB="0" distL="0" distR="0" wp14:anchorId="1B7A3690" wp14:editId="3A8C03FC">
            <wp:extent cx="4103644" cy="1765005"/>
            <wp:effectExtent l="0" t="0" r="0" b="6985"/>
            <wp:docPr id="59" name="Picture 59" descr="Table 32: Toxicity of phenylbutyrate, phenylacetate and benzoate (Walke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70">
                      <a:lum bright="-20000" contrast="40000"/>
                      <a:extLst>
                        <a:ext uri="{28A0092B-C50C-407E-A947-70E740481C1C}">
                          <a14:useLocalDpi xmlns:a14="http://schemas.microsoft.com/office/drawing/2010/main" val="0"/>
                        </a:ext>
                      </a:extLst>
                    </a:blip>
                    <a:srcRect b="4598"/>
                    <a:stretch/>
                  </pic:blipFill>
                  <pic:spPr bwMode="auto">
                    <a:xfrm>
                      <a:off x="0" y="0"/>
                      <a:ext cx="4107180" cy="1766526"/>
                    </a:xfrm>
                    <a:prstGeom prst="rect">
                      <a:avLst/>
                    </a:prstGeom>
                    <a:noFill/>
                    <a:ln>
                      <a:noFill/>
                    </a:ln>
                    <a:extLst>
                      <a:ext uri="{53640926-AAD7-44D8-BBD7-CCE9431645EC}">
                        <a14:shadowObscured xmlns:a14="http://schemas.microsoft.com/office/drawing/2010/main"/>
                      </a:ext>
                    </a:extLst>
                  </pic:spPr>
                </pic:pic>
              </a:graphicData>
            </a:graphic>
          </wp:inline>
        </w:drawing>
      </w:r>
      <w:r w:rsidRPr="00A613A8">
        <w:rPr>
          <w:lang w:eastAsia="en-AU"/>
        </w:rPr>
        <w:t xml:space="preserve"> </w:t>
      </w:r>
    </w:p>
    <w:p w14:paraId="4A955377" w14:textId="77777777" w:rsidR="00436B89" w:rsidRPr="00A613A8" w:rsidRDefault="00436B89" w:rsidP="00436B89">
      <w:r w:rsidRPr="00773FBD">
        <w:rPr>
          <w:i/>
        </w:rPr>
        <w:t>Carducci 2001</w:t>
      </w:r>
      <w:r w:rsidRPr="00773FBD">
        <w:t xml:space="preserve"> </w:t>
      </w:r>
      <w:r>
        <w:t>was a P</w:t>
      </w:r>
      <w:r w:rsidRPr="00A613A8">
        <w:t>hase I study of 24 patients with hormone refractory prostate cancer being the predominant tumour type. A total of 89 cycles were administered. The dose-limiting toxicity (DLT) was neuro cortical, exemplified by excessive somnolence and confusion and accompanied by clinically significant hypokalaemia, hyponatraemia, and hyperuricaemia. One patient at 515 mg/</w:t>
      </w:r>
      <w:r>
        <w:t>kg/day</w:t>
      </w:r>
      <w:r w:rsidRPr="00A613A8">
        <w:t xml:space="preserve"> and another at 345 mg/</w:t>
      </w:r>
      <w:r>
        <w:t>kg/day</w:t>
      </w:r>
      <w:r w:rsidRPr="00A613A8">
        <w:t xml:space="preserve"> experienced this </w:t>
      </w:r>
      <w:r>
        <w:t>dose limiting toxicity</w:t>
      </w:r>
      <w:r w:rsidRPr="00A613A8">
        <w:t>. The dose limiting neuro-cortical toxicity of excessive somnolence and confusion occurred suddenly and was noticed readily by family and staff. The metabolic changes of hypokalaemia, hyponatraemia, hypocalcaemia, and hyperuricaemia reversed with supportive measures on discontinuation of the drug. The neuro-cortical symptoms resolved promptly (within 12 hours of ceasing drug infusion), and the patients returned to their baseline mental status before discharge. Other toxicities were mild, including fatigue and nausea (</w:t>
      </w:r>
      <w:r>
        <w:t>Table 33</w:t>
      </w:r>
      <w:r w:rsidRPr="00A613A8">
        <w:t>). The maximum tolerated infused dose was 410 mg/</w:t>
      </w:r>
      <w:r>
        <w:t>kg/day</w:t>
      </w:r>
      <w:r w:rsidRPr="00A613A8">
        <w:t xml:space="preserve"> for 5 days.</w:t>
      </w:r>
    </w:p>
    <w:p w14:paraId="5DAFE940" w14:textId="77777777" w:rsidR="00436B89" w:rsidRPr="00384606" w:rsidRDefault="00436B89" w:rsidP="00C64237">
      <w:pPr>
        <w:pStyle w:val="Tabletitle"/>
      </w:pPr>
      <w:bookmarkStart w:id="413" w:name="_Ref457768186"/>
      <w:bookmarkStart w:id="414" w:name="_Toc473013972"/>
      <w:r w:rsidRPr="00384606">
        <w:lastRenderedPageBreak/>
        <w:t xml:space="preserve">Table </w:t>
      </w:r>
      <w:r>
        <w:t>33:</w:t>
      </w:r>
      <w:bookmarkEnd w:id="413"/>
      <w:r w:rsidRPr="00384606">
        <w:t xml:space="preserve"> Side effects with phenylbutyrate (Carducci 2001)</w:t>
      </w:r>
      <w:bookmarkEnd w:id="414"/>
    </w:p>
    <w:p w14:paraId="4094211B" w14:textId="77777777" w:rsidR="00436B89" w:rsidRPr="00A613A8" w:rsidRDefault="00436B89" w:rsidP="00436B89">
      <w:pPr>
        <w:pStyle w:val="ListParagraph"/>
        <w:kinsoku w:val="0"/>
        <w:overflowPunct w:val="0"/>
        <w:spacing w:line="200" w:lineRule="atLeast"/>
        <w:ind w:left="113"/>
        <w:rPr>
          <w:sz w:val="20"/>
          <w:szCs w:val="20"/>
        </w:rPr>
      </w:pPr>
      <w:r>
        <w:rPr>
          <w:noProof/>
          <w:sz w:val="20"/>
          <w:szCs w:val="20"/>
        </w:rPr>
        <w:drawing>
          <wp:inline distT="0" distB="0" distL="0" distR="0" wp14:anchorId="2881B3F0" wp14:editId="12E0CC6A">
            <wp:extent cx="3622158" cy="1482106"/>
            <wp:effectExtent l="0" t="0" r="0" b="3810"/>
            <wp:docPr id="60" name="Picture 60" descr="Table 33: Side effects with phenylbutyrate (Carducci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23608" cy="1482699"/>
                    </a:xfrm>
                    <a:prstGeom prst="rect">
                      <a:avLst/>
                    </a:prstGeom>
                    <a:noFill/>
                    <a:ln>
                      <a:noFill/>
                    </a:ln>
                  </pic:spPr>
                </pic:pic>
              </a:graphicData>
            </a:graphic>
          </wp:inline>
        </w:drawing>
      </w:r>
    </w:p>
    <w:p w14:paraId="0DC6CF05" w14:textId="77777777" w:rsidR="00436B89" w:rsidRPr="00A613A8" w:rsidRDefault="00436B89" w:rsidP="00436B89">
      <w:r w:rsidRPr="00773FBD">
        <w:rPr>
          <w:i/>
        </w:rPr>
        <w:t>Camacho 2007</w:t>
      </w:r>
      <w:r w:rsidRPr="00A613A8">
        <w:t xml:space="preserve"> evaluated twice-daily intravenous sodium phenylbutyrate infusions for two consecutive weeks (Monday through Friday) every month at five dose levels (60, 120, 180, 240, 300, and 360 mg/</w:t>
      </w:r>
      <w:r>
        <w:t>kg/day</w:t>
      </w:r>
      <w:r w:rsidRPr="00A613A8">
        <w:t>). Twenty-one patients with the following malignancies were treated: colon carcinoma 4, non-small cell lung carcinoma 4; anaplastic astrocytoma 3, glioblastoma multiforme 3, bladder carcinoma 2, sarcoma 2, and ovarian carcinoma, rectal haemangiopericytoma, and pancreatic carcinoma 1 each. Common adverse effects included grade 1 nausea/vomiting, fatigue, and light-headedness (</w:t>
      </w:r>
      <w:r>
        <w:t>Table 34</w:t>
      </w:r>
      <w:r w:rsidRPr="00A613A8">
        <w:t>). Fatigue was almost universal, especially at the highest dose levels. Dose-limiting toxicities were short-term memory loss, sedation, confusion, nausea, and vomiting. However, these toxicities resolved after discontinuation of therapy. No significant myelosuppression was seen and no life-threatening or irreversible toxicity was observed. It was concluded that the administration of sodium phenylbutyrate in a twice-daily infusion schedule was safe. The maximum tolerated dose was 300 mg/</w:t>
      </w:r>
      <w:r>
        <w:t>kg/day</w:t>
      </w:r>
      <w:r w:rsidRPr="00A613A8">
        <w:t>.</w:t>
      </w:r>
    </w:p>
    <w:p w14:paraId="1F00ADDD" w14:textId="77777777" w:rsidR="00436B89" w:rsidRPr="00A613A8" w:rsidRDefault="00436B89" w:rsidP="00C64237">
      <w:pPr>
        <w:pStyle w:val="Tabletitle"/>
      </w:pPr>
      <w:bookmarkStart w:id="415" w:name="_Ref457768202"/>
      <w:bookmarkStart w:id="416" w:name="_Toc473013973"/>
      <w:r w:rsidRPr="00A613A8">
        <w:lastRenderedPageBreak/>
        <w:t xml:space="preserve">Table </w:t>
      </w:r>
      <w:r>
        <w:t>34:</w:t>
      </w:r>
      <w:bookmarkEnd w:id="415"/>
      <w:r w:rsidRPr="00A613A8">
        <w:t xml:space="preserve"> </w:t>
      </w:r>
      <w:r w:rsidRPr="00A613A8">
        <w:rPr>
          <w:lang w:eastAsia="en-AU"/>
        </w:rPr>
        <w:t>Toxicity with twice daily intravenous infusions of sodium phenylbutyrate</w:t>
      </w:r>
      <w:r>
        <w:rPr>
          <w:lang w:eastAsia="en-AU"/>
        </w:rPr>
        <w:t xml:space="preserve"> (</w:t>
      </w:r>
      <w:r w:rsidRPr="00384606">
        <w:rPr>
          <w:lang w:eastAsia="en-AU"/>
        </w:rPr>
        <w:t>Camacho 2007</w:t>
      </w:r>
      <w:r>
        <w:rPr>
          <w:lang w:eastAsia="en-AU"/>
        </w:rPr>
        <w:t>)</w:t>
      </w:r>
      <w:bookmarkEnd w:id="416"/>
    </w:p>
    <w:p w14:paraId="781AAFDA" w14:textId="77777777" w:rsidR="00436B89" w:rsidRPr="00A613A8" w:rsidRDefault="00436B89" w:rsidP="00436B89">
      <w:r>
        <w:rPr>
          <w:noProof/>
          <w:lang w:eastAsia="en-AU"/>
        </w:rPr>
        <w:drawing>
          <wp:inline distT="0" distB="0" distL="0" distR="0" wp14:anchorId="550ECA42" wp14:editId="33723851">
            <wp:extent cx="4649972" cy="6092795"/>
            <wp:effectExtent l="0" t="0" r="0" b="3810"/>
            <wp:docPr id="61" name="Picture 61" descr="Table 34: Toxicity with twice daily intravenous infusions of sodium phenylbutyrate (Camacho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3">
                      <a:lum bright="-20000" contrast="40000"/>
                      <a:extLst>
                        <a:ext uri="{28A0092B-C50C-407E-A947-70E740481C1C}">
                          <a14:useLocalDpi xmlns:a14="http://schemas.microsoft.com/office/drawing/2010/main" val="0"/>
                        </a:ext>
                      </a:extLst>
                    </a:blip>
                    <a:srcRect t="906" b="1699"/>
                    <a:stretch/>
                  </pic:blipFill>
                  <pic:spPr bwMode="auto">
                    <a:xfrm>
                      <a:off x="0" y="0"/>
                      <a:ext cx="4655820" cy="6100458"/>
                    </a:xfrm>
                    <a:prstGeom prst="rect">
                      <a:avLst/>
                    </a:prstGeom>
                    <a:noFill/>
                    <a:ln>
                      <a:noFill/>
                    </a:ln>
                    <a:extLst>
                      <a:ext uri="{53640926-AAD7-44D8-BBD7-CCE9431645EC}">
                        <a14:shadowObscured xmlns:a14="http://schemas.microsoft.com/office/drawing/2010/main"/>
                      </a:ext>
                    </a:extLst>
                  </pic:spPr>
                </pic:pic>
              </a:graphicData>
            </a:graphic>
          </wp:inline>
        </w:drawing>
      </w:r>
    </w:p>
    <w:p w14:paraId="32D943B8" w14:textId="77777777" w:rsidR="00436B89" w:rsidRPr="00A613A8" w:rsidRDefault="00436B89" w:rsidP="00436B89">
      <w:pPr>
        <w:rPr>
          <w:rFonts w:ascii="TimesNewRomanPSMT" w:eastAsia="TimesNewRomanPSMT" w:cs="TimesNewRomanPSMT"/>
          <w:sz w:val="24"/>
          <w:szCs w:val="24"/>
          <w:lang w:eastAsia="en-AU"/>
        </w:rPr>
      </w:pPr>
      <w:r w:rsidRPr="00A613A8">
        <w:rPr>
          <w:b/>
          <w:i/>
        </w:rPr>
        <w:t>Gore 2001</w:t>
      </w:r>
      <w:r w:rsidRPr="00A613A8">
        <w:t xml:space="preserve"> assessed phenylbutyrate in a Phase I dose escalation study in myelodysplasia (n=</w:t>
      </w:r>
      <w:r>
        <w:t> </w:t>
      </w:r>
      <w:r w:rsidRPr="00A613A8">
        <w:t>11) and acute myeloid leukaemia (n = 16) by 7-day continuous infusion repeated every 28 days. The maximum tolerated dose was 375 mg/</w:t>
      </w:r>
      <w:r>
        <w:t>kg/day</w:t>
      </w:r>
      <w:r w:rsidRPr="00A613A8">
        <w:t>; higher doses led to dose-limiting reversible neurocortical toxicity</w:t>
      </w:r>
      <w:r>
        <w:t xml:space="preserve"> (Table 35)</w:t>
      </w:r>
      <w:r w:rsidRPr="00A613A8">
        <w:t>. CNS toxicity completely reversed within 48 h of cessation of phenylbutyrate infusion</w:t>
      </w:r>
      <w:r w:rsidRPr="00A613A8">
        <w:rPr>
          <w:rFonts w:ascii="TimesNewRomanPSMT" w:eastAsia="TimesNewRomanPSMT" w:cs="TimesNewRomanPSMT"/>
          <w:sz w:val="24"/>
          <w:szCs w:val="24"/>
          <w:lang w:eastAsia="en-AU"/>
        </w:rPr>
        <w:t>.</w:t>
      </w:r>
    </w:p>
    <w:p w14:paraId="5407B7B1" w14:textId="77777777" w:rsidR="00436B89" w:rsidRPr="00A613A8" w:rsidRDefault="00436B89" w:rsidP="00C64237">
      <w:pPr>
        <w:pStyle w:val="Tabletitle"/>
      </w:pPr>
      <w:bookmarkStart w:id="417" w:name="_Ref457768235"/>
      <w:bookmarkStart w:id="418" w:name="_Toc473013974"/>
      <w:r w:rsidRPr="00A613A8">
        <w:lastRenderedPageBreak/>
        <w:t>Table</w:t>
      </w:r>
      <w:r>
        <w:t>35:</w:t>
      </w:r>
      <w:bookmarkEnd w:id="417"/>
      <w:r w:rsidRPr="00A613A8">
        <w:t xml:space="preserve"> </w:t>
      </w:r>
      <w:r w:rsidRPr="00A613A8">
        <w:rPr>
          <w:lang w:eastAsia="en-AU"/>
        </w:rPr>
        <w:t>Toxicity in a dose-finding study (Gore 2001)</w:t>
      </w:r>
      <w:bookmarkEnd w:id="418"/>
    </w:p>
    <w:p w14:paraId="471EF6F0" w14:textId="77777777" w:rsidR="00436B89" w:rsidRPr="00A613A8" w:rsidRDefault="00436B89" w:rsidP="00436B89">
      <w:r>
        <w:rPr>
          <w:noProof/>
          <w:lang w:eastAsia="en-AU"/>
        </w:rPr>
        <w:drawing>
          <wp:inline distT="0" distB="0" distL="0" distR="0" wp14:anchorId="3FE75C4F" wp14:editId="29CD1738">
            <wp:extent cx="5430026" cy="2762010"/>
            <wp:effectExtent l="0" t="0" r="0" b="635"/>
            <wp:docPr id="62" name="Picture 62" descr="Table35: Toxicity in a dose-finding study (Go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lum bright="-20000" contrast="40000"/>
                      <a:extLst>
                        <a:ext uri="{28A0092B-C50C-407E-A947-70E740481C1C}">
                          <a14:useLocalDpi xmlns:a14="http://schemas.microsoft.com/office/drawing/2010/main" val="0"/>
                        </a:ext>
                      </a:extLst>
                    </a:blip>
                    <a:srcRect/>
                    <a:stretch>
                      <a:fillRect/>
                    </a:stretch>
                  </pic:blipFill>
                  <pic:spPr bwMode="auto">
                    <a:xfrm>
                      <a:off x="0" y="0"/>
                      <a:ext cx="5438636" cy="2766389"/>
                    </a:xfrm>
                    <a:prstGeom prst="rect">
                      <a:avLst/>
                    </a:prstGeom>
                    <a:noFill/>
                    <a:ln>
                      <a:noFill/>
                    </a:ln>
                  </pic:spPr>
                </pic:pic>
              </a:graphicData>
            </a:graphic>
          </wp:inline>
        </w:drawing>
      </w:r>
    </w:p>
    <w:p w14:paraId="09F435C6" w14:textId="77777777" w:rsidR="00436B89" w:rsidRPr="00A613A8" w:rsidRDefault="00436B89" w:rsidP="00436B89">
      <w:r w:rsidRPr="00773FBD">
        <w:rPr>
          <w:i/>
        </w:rPr>
        <w:t>Gore 2002</w:t>
      </w:r>
      <w:r w:rsidRPr="00A613A8">
        <w:t xml:space="preserve"> assessed phenylbutyrate in patients with acute myeloid leukaemia and myelodysplastic syndrome by a continuous intravenous infus</w:t>
      </w:r>
      <w:r>
        <w:t>ion via ambulatory infusion pump</w:t>
      </w:r>
      <w:r w:rsidRPr="00A613A8">
        <w:t>. Sequential cohorts were treated for 7 consecutive days out of 14 or with 21 consecutive days out of 28. In the first schedule (7/14), patients received 7 days of phenylbutyrate, followed by 7 days of drug holiday. This schedule was repeated for a total of 12 weeks (total of 6 weeks of phenylbutyrate infusion alternating with 6 weeks of drug holiday). In the second schedule (21/28), patients received 21 consecutive days of phenylbutyrate infusion followed by a 7- day drug holiday. This schedule was repeated for a total of three cycles (12 weeks). Dose-limiting central nervous system toxicity developed in only 1 of 23 patients treated, and reversed within 48 h of cessation of phenylbutyrate infusion. Mild fatigue was experienced with greater frequency</w:t>
      </w:r>
      <w:r>
        <w:t xml:space="preserve"> (Table 36)</w:t>
      </w:r>
      <w:r w:rsidRPr="00A613A8">
        <w:t>.</w:t>
      </w:r>
    </w:p>
    <w:p w14:paraId="78BFA593" w14:textId="77777777" w:rsidR="00436B89" w:rsidRPr="00A613A8" w:rsidRDefault="00436B89" w:rsidP="00C64237">
      <w:pPr>
        <w:pStyle w:val="Tabletitle"/>
      </w:pPr>
      <w:bookmarkStart w:id="419" w:name="_Ref457768263"/>
      <w:bookmarkStart w:id="420" w:name="_Toc473013975"/>
      <w:r w:rsidRPr="00A613A8">
        <w:t xml:space="preserve">Table </w:t>
      </w:r>
      <w:r>
        <w:t>36</w:t>
      </w:r>
      <w:bookmarkEnd w:id="419"/>
      <w:r>
        <w:t>:</w:t>
      </w:r>
      <w:r w:rsidRPr="00A613A8">
        <w:t xml:space="preserve"> Toxicity in a prolonged infusion study (Gore 2002)</w:t>
      </w:r>
      <w:bookmarkEnd w:id="420"/>
    </w:p>
    <w:p w14:paraId="6B3FDE87" w14:textId="77777777" w:rsidR="00436B89" w:rsidRPr="00A613A8" w:rsidRDefault="00436B89" w:rsidP="00436B89">
      <w:r>
        <w:rPr>
          <w:noProof/>
          <w:lang w:eastAsia="en-AU"/>
        </w:rPr>
        <w:drawing>
          <wp:inline distT="0" distB="0" distL="0" distR="0" wp14:anchorId="3C0094FD" wp14:editId="7D6078FC">
            <wp:extent cx="5075274" cy="2345033"/>
            <wp:effectExtent l="0" t="0" r="0" b="0"/>
            <wp:docPr id="63" name="Picture 63" descr="Table 36: Toxicity in a prolonged infusion study (Go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lum bright="-20000" contrast="40000"/>
                      <a:extLst>
                        <a:ext uri="{28A0092B-C50C-407E-A947-70E740481C1C}">
                          <a14:useLocalDpi xmlns:a14="http://schemas.microsoft.com/office/drawing/2010/main" val="0"/>
                        </a:ext>
                      </a:extLst>
                    </a:blip>
                    <a:srcRect/>
                    <a:stretch>
                      <a:fillRect/>
                    </a:stretch>
                  </pic:blipFill>
                  <pic:spPr bwMode="auto">
                    <a:xfrm>
                      <a:off x="0" y="0"/>
                      <a:ext cx="5077318" cy="2345978"/>
                    </a:xfrm>
                    <a:prstGeom prst="rect">
                      <a:avLst/>
                    </a:prstGeom>
                    <a:noFill/>
                    <a:ln>
                      <a:noFill/>
                    </a:ln>
                  </pic:spPr>
                </pic:pic>
              </a:graphicData>
            </a:graphic>
          </wp:inline>
        </w:drawing>
      </w:r>
    </w:p>
    <w:p w14:paraId="0C48D110" w14:textId="77777777" w:rsidR="00436B89" w:rsidRPr="00A613A8" w:rsidRDefault="00436B89" w:rsidP="00436B89">
      <w:r w:rsidRPr="001049FD">
        <w:rPr>
          <w:i/>
        </w:rPr>
        <w:t>Maslak 2006</w:t>
      </w:r>
      <w:r w:rsidRPr="00A613A8">
        <w:t xml:space="preserve"> studied sodium phenylbutyrate in 10 patients with acute myeloid leukaemia or myelodysplastic syndrome. Patients were treated with seven consecutive daily subcutaneous injections of 5-azacytidine at 75 mg/m</w:t>
      </w:r>
      <w:r w:rsidRPr="00127F5A">
        <w:rPr>
          <w:vertAlign w:val="superscript"/>
        </w:rPr>
        <w:t>2</w:t>
      </w:r>
      <w:r w:rsidRPr="00A613A8">
        <w:t xml:space="preserve"> followed by 5 days of sodium phenylbutyrate given intravenously at a dose of 200 mg/kg. The common toxicities of injection site skin reaction (90% of the patients) from 5-azacytidine, and somnolence/fatigue from the sodium phenylbutyrate infusion (80% of the patients).</w:t>
      </w:r>
    </w:p>
    <w:p w14:paraId="60891B91" w14:textId="77777777" w:rsidR="00436B89" w:rsidRPr="00A613A8" w:rsidRDefault="00436B89" w:rsidP="00436B89">
      <w:r w:rsidRPr="001049FD">
        <w:rPr>
          <w:i/>
        </w:rPr>
        <w:lastRenderedPageBreak/>
        <w:t>Phuphanich 2005</w:t>
      </w:r>
      <w:r w:rsidRPr="00A613A8">
        <w:t xml:space="preserve"> studied oral sodium phenylbutyrate in patients with recurrent malignant gliomas. Twenty-three patients with supratentorial recurrent malignant gliomas were enrolled on this dose escalation trial. Four dose levels of phenylbutyrate were studied: 9, 18, 27, and 36 g/day (in three equally divided daily doses) with a cycle length </w:t>
      </w:r>
      <w:r>
        <w:t>of</w:t>
      </w:r>
      <w:r w:rsidRPr="00A613A8">
        <w:t xml:space="preserve"> 28 days. At 36 g/day, two of four patients developed dose-limiting </w:t>
      </w:r>
      <w:r w:rsidR="00625EDD">
        <w:t>G</w:t>
      </w:r>
      <w:r w:rsidRPr="00A613A8">
        <w:t>rade 3 fatigue and somnolence. At the maximum tolerated dose of 27 g/day, one of seven</w:t>
      </w:r>
      <w:r>
        <w:t xml:space="preserve"> patients developed reversible G</w:t>
      </w:r>
      <w:r w:rsidRPr="00A613A8">
        <w:t>rade 3 somnolence.</w:t>
      </w:r>
    </w:p>
    <w:p w14:paraId="06F371D4" w14:textId="77777777" w:rsidR="00436B89" w:rsidRPr="00A613A8" w:rsidRDefault="00436B89" w:rsidP="00436B89">
      <w:r w:rsidRPr="001049FD">
        <w:rPr>
          <w:i/>
        </w:rPr>
        <w:t>Gilbert 2001</w:t>
      </w:r>
      <w:r w:rsidRPr="00A613A8">
        <w:t xml:space="preserve"> conducted a Phase I trial of oral sodium phenylbutyrate in 28 patients with refractory solid tumour malignancies. Five dose levels of phenylbutyrate were studied: 9 g/day (n = 4), 18 g/day (n = 4), 27 g/day (n = 4), 36 g/day (n = 12), and 45 g/day (n = 4). The most common toxicities were grade 1-2 dyspepsia and fatigue. The maximum tolerated dose (MTD) was 27 g/day. Dose-limiting toxicities were seen at the higher dose levels of 36 and 45 g with two of seven patients and two of four patients experiencing dose-limiting toxicities, respectively. These were non-haematological in nature and consisted of individual episodes of grade 4 hypocalcaemia and </w:t>
      </w:r>
      <w:r>
        <w:t>Grade 3</w:t>
      </w:r>
      <w:r w:rsidRPr="00A613A8">
        <w:t xml:space="preserve"> nausea and vomiting at 36 g. At the 45 g dose level, there was 1 episode of </w:t>
      </w:r>
      <w:r>
        <w:t>Grade 3</w:t>
      </w:r>
      <w:r w:rsidRPr="00A613A8">
        <w:t xml:space="preserve"> fatigue and </w:t>
      </w:r>
      <w:r>
        <w:t>Grade 3</w:t>
      </w:r>
      <w:r w:rsidRPr="00A613A8">
        <w:t xml:space="preserve"> oedema in the same patient and neurocortical toxicity was dose-limiting in one of four patients at the highest dose level. That patient experienced </w:t>
      </w:r>
      <w:r>
        <w:t>Grade 3</w:t>
      </w:r>
      <w:r w:rsidRPr="00A613A8">
        <w:t xml:space="preserve"> decreased concentration, </w:t>
      </w:r>
      <w:r>
        <w:t>Grade 3</w:t>
      </w:r>
      <w:r w:rsidRPr="00A613A8">
        <w:t xml:space="preserve"> decreased coordination, and </w:t>
      </w:r>
      <w:r>
        <w:t>Grade 3</w:t>
      </w:r>
      <w:r w:rsidRPr="00A613A8">
        <w:t xml:space="preserve"> slurred speech. The patient received 2 dose reductions to 27 g/day with resolution of his neurocortical toxicity while remaining on the drug.</w:t>
      </w:r>
    </w:p>
    <w:p w14:paraId="446297EC" w14:textId="77777777" w:rsidR="00436B89" w:rsidRPr="00A613A8" w:rsidRDefault="00436B89" w:rsidP="00436B89">
      <w:r w:rsidRPr="001049FD">
        <w:rPr>
          <w:i/>
        </w:rPr>
        <w:t>Zeitlin 2002</w:t>
      </w:r>
      <w:r w:rsidRPr="00A613A8">
        <w:t xml:space="preserve"> performed a randomised, double-blind, placebo-controlled, dose-escalation and safety study of oral phenylbutyrate in 19 adults with cystic fibrosis. Three dose levels (20, 30, or 40 g/day divided three times daily) of drug or placebo were given for 1 week. There were 12 men and 7 women randomized in the study, and all 19 completed the final study visit. Mean age ± SD was 28.5 years ± 7.1</w:t>
      </w:r>
      <w:r w:rsidR="00625EDD">
        <w:t xml:space="preserve"> and the</w:t>
      </w:r>
      <w:r w:rsidRPr="00A613A8">
        <w:t xml:space="preserve"> average weight was 62.6 kg ± 7.1). Minor adverse events in the 20 g cohort included transient nausea, headache, and sleepiness after the initial dose, and body odour. The first three resolved with a dose of paracetamol, and hydration was encouraged. Body odour was an inconsistent complaint by family or friends of subjects. No dose adjustments were required. These complaints were also observed after the initial dose in the 30 g cohort. Several subjects reported visual disturbances that were transient after the first dose. One subject had severe headache that resolved with a reduction to 20 g daily. All three subjects in the 40 g cohort complained of nausea, headache, and visual disturbances, and one complained of cramps in the hands and fingers. One of these subjects tolerated 40 g of phenylbutyrate when it was divided into six daily doses. One tolerated a reduction to 30 g daily, and one subject found the symptoms to be so unpleasant that the drug had to be discontinued.</w:t>
      </w:r>
    </w:p>
    <w:p w14:paraId="156B24A2" w14:textId="77777777" w:rsidR="00436B89" w:rsidRPr="00A613A8" w:rsidRDefault="00436B89" w:rsidP="00436B89">
      <w:r w:rsidRPr="001049FD">
        <w:rPr>
          <w:i/>
        </w:rPr>
        <w:t>Rubenstein 1998</w:t>
      </w:r>
      <w:r w:rsidRPr="001049FD">
        <w:t xml:space="preserve"> </w:t>
      </w:r>
      <w:r w:rsidRPr="00A613A8">
        <w:t>conducted a randomised, double-blind, placebo-controlled trial in 18 patients with cystic fibrosis with an oral dose of 19 g daily of phenylbutyrate (divided into three doses), and found that side effects due to phenylbutyrate therapy were comparable with placebo</w:t>
      </w:r>
      <w:r>
        <w:t xml:space="preserve"> (Table 37)</w:t>
      </w:r>
      <w:r w:rsidRPr="00A613A8">
        <w:t>.</w:t>
      </w:r>
    </w:p>
    <w:p w14:paraId="4A6923E8" w14:textId="77777777" w:rsidR="00436B89" w:rsidRPr="00A613A8" w:rsidRDefault="00436B89" w:rsidP="00C64237">
      <w:pPr>
        <w:pStyle w:val="Tabletitle"/>
      </w:pPr>
      <w:bookmarkStart w:id="421" w:name="_Ref457768280"/>
      <w:bookmarkStart w:id="422" w:name="_Toc473013976"/>
      <w:r w:rsidRPr="00A613A8">
        <w:t>Table</w:t>
      </w:r>
      <w:r>
        <w:t xml:space="preserve"> 37:</w:t>
      </w:r>
      <w:bookmarkEnd w:id="421"/>
      <w:r w:rsidRPr="00A613A8">
        <w:t xml:space="preserve"> Side effects with phenylbutyrate versus placebo (Rubenstein 1998)</w:t>
      </w:r>
      <w:bookmarkEnd w:id="422"/>
    </w:p>
    <w:p w14:paraId="3E9358F1" w14:textId="77777777" w:rsidR="00436B89" w:rsidRPr="00A613A8" w:rsidRDefault="00436B89" w:rsidP="00436B89">
      <w:r>
        <w:rPr>
          <w:noProof/>
          <w:lang w:eastAsia="en-AU"/>
        </w:rPr>
        <w:drawing>
          <wp:inline distT="0" distB="0" distL="0" distR="0" wp14:anchorId="790E5BE5" wp14:editId="36E8663D">
            <wp:extent cx="4562475" cy="942324"/>
            <wp:effectExtent l="0" t="0" r="0" b="0"/>
            <wp:docPr id="64" name="Picture 64" descr="Table 37: Side effects with phenylbutyrate versus placebo (Rubenstein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lum bright="-20000" contrast="40000"/>
                      <a:extLst>
                        <a:ext uri="{28A0092B-C50C-407E-A947-70E740481C1C}">
                          <a14:useLocalDpi xmlns:a14="http://schemas.microsoft.com/office/drawing/2010/main" val="0"/>
                        </a:ext>
                      </a:extLst>
                    </a:blip>
                    <a:srcRect/>
                    <a:stretch>
                      <a:fillRect/>
                    </a:stretch>
                  </pic:blipFill>
                  <pic:spPr bwMode="auto">
                    <a:xfrm>
                      <a:off x="0" y="0"/>
                      <a:ext cx="4570696" cy="944022"/>
                    </a:xfrm>
                    <a:prstGeom prst="rect">
                      <a:avLst/>
                    </a:prstGeom>
                    <a:noFill/>
                    <a:ln>
                      <a:noFill/>
                    </a:ln>
                  </pic:spPr>
                </pic:pic>
              </a:graphicData>
            </a:graphic>
          </wp:inline>
        </w:drawing>
      </w:r>
    </w:p>
    <w:p w14:paraId="35C7F157" w14:textId="77777777" w:rsidR="00436B89" w:rsidRPr="00A613A8" w:rsidRDefault="00436B89" w:rsidP="00436B89">
      <w:r w:rsidRPr="001049FD">
        <w:rPr>
          <w:i/>
        </w:rPr>
        <w:t>Cudkowicz 2009</w:t>
      </w:r>
      <w:r w:rsidRPr="00A613A8">
        <w:t xml:space="preserve"> conducted an open-label study of escalating dosages of oral sodium phenylbutyrate in 26 patients with amyotrophic lateral sclerosis. Study medication was increased from 9 to 21 g/day. The most common adverse events included falls, dizziness, diarrhoea, oedema, dry mouth, headache, nausea, and rash (</w:t>
      </w:r>
      <w:r>
        <w:t>Table 38</w:t>
      </w:r>
      <w:r w:rsidRPr="00A613A8">
        <w:t xml:space="preserve">). There were no clinically </w:t>
      </w:r>
      <w:r w:rsidRPr="00A613A8">
        <w:lastRenderedPageBreak/>
        <w:t>significant changes in laboratory values, electrocardiogram (ECG) or vital signs. No deaths or unexpected and related serious adverse events occurred.</w:t>
      </w:r>
    </w:p>
    <w:p w14:paraId="52825DA3" w14:textId="77777777" w:rsidR="00436B89" w:rsidRPr="00A613A8" w:rsidRDefault="00436B89" w:rsidP="00C64237">
      <w:pPr>
        <w:pStyle w:val="Tabletitle"/>
      </w:pPr>
      <w:bookmarkStart w:id="423" w:name="_Ref457768289"/>
      <w:bookmarkStart w:id="424" w:name="_Toc473013977"/>
      <w:r w:rsidRPr="00A613A8">
        <w:t xml:space="preserve">Table </w:t>
      </w:r>
      <w:r>
        <w:t>38:</w:t>
      </w:r>
      <w:bookmarkEnd w:id="423"/>
      <w:r w:rsidRPr="00A613A8">
        <w:t xml:space="preserve"> Early study medication terminations due to adverse events (Cudkowicz 2009)</w:t>
      </w:r>
      <w:bookmarkEnd w:id="424"/>
    </w:p>
    <w:p w14:paraId="6E4F178B" w14:textId="77777777" w:rsidR="00436B89" w:rsidRPr="00A613A8" w:rsidRDefault="00436B89" w:rsidP="00436B89">
      <w:r>
        <w:rPr>
          <w:noProof/>
          <w:lang w:eastAsia="en-AU"/>
        </w:rPr>
        <w:drawing>
          <wp:inline distT="0" distB="0" distL="0" distR="0" wp14:anchorId="0CA70A5B" wp14:editId="7F44F083">
            <wp:extent cx="6009467" cy="1885950"/>
            <wp:effectExtent l="0" t="0" r="0" b="0"/>
            <wp:docPr id="65" name="Picture 65" descr="Table 38: Early study medication terminations due to adverse events (Cudkowicz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lum bright="-20000" contrast="40000"/>
                      <a:extLst>
                        <a:ext uri="{28A0092B-C50C-407E-A947-70E740481C1C}">
                          <a14:useLocalDpi xmlns:a14="http://schemas.microsoft.com/office/drawing/2010/main" val="0"/>
                        </a:ext>
                      </a:extLst>
                    </a:blip>
                    <a:srcRect/>
                    <a:stretch>
                      <a:fillRect/>
                    </a:stretch>
                  </pic:blipFill>
                  <pic:spPr bwMode="auto">
                    <a:xfrm>
                      <a:off x="0" y="0"/>
                      <a:ext cx="6005474" cy="1884697"/>
                    </a:xfrm>
                    <a:prstGeom prst="rect">
                      <a:avLst/>
                    </a:prstGeom>
                    <a:noFill/>
                    <a:ln>
                      <a:noFill/>
                    </a:ln>
                  </pic:spPr>
                </pic:pic>
              </a:graphicData>
            </a:graphic>
          </wp:inline>
        </w:drawing>
      </w:r>
    </w:p>
    <w:p w14:paraId="6B472DD3" w14:textId="77777777" w:rsidR="00436B89" w:rsidRPr="00A613A8" w:rsidRDefault="00436B89" w:rsidP="00436B89">
      <w:r w:rsidRPr="001049FD">
        <w:rPr>
          <w:i/>
        </w:rPr>
        <w:t>Hogarth 2007</w:t>
      </w:r>
      <w:r w:rsidRPr="00A613A8">
        <w:t xml:space="preserve"> conducted a dose-finding study in 21 subjects with Huntington’s disease found that phenylbutyrate was safe and well tolerated up to 15 g/day (maximum tolerated dose). At higher doses, dose-limiting toxicity emerged in 5 of 11 subjects; toxicity included vomiting, light-headedness, gait instability and confusion. There w</w:t>
      </w:r>
      <w:r>
        <w:t>as</w:t>
      </w:r>
      <w:r w:rsidRPr="00A613A8">
        <w:t xml:space="preserve"> no significant laboratory or electrocardiographic abnormalities.</w:t>
      </w:r>
    </w:p>
    <w:p w14:paraId="24B5DB16" w14:textId="77777777" w:rsidR="00436B89" w:rsidRPr="00A613A8" w:rsidRDefault="00436B89" w:rsidP="00436B89">
      <w:r w:rsidRPr="001049FD">
        <w:rPr>
          <w:i/>
        </w:rPr>
        <w:t>Collins 1995</w:t>
      </w:r>
      <w:r w:rsidRPr="00A613A8">
        <w:t xml:space="preserve"> treated eleven patients with homozygous beta thalassaemia and one sickle-beta-thalassaemia patient with 20 g/d of oral sodium phenylbutyrate for 41 to 460 days. Compliance with treatment was greater than 90% as measured by pill counts. Side effects of the drug included weight gain and/or oedema caused by increased sodium load in 2/12, transient epigastric discomfort in 7/12, and abnormal body odour in 3/12 subjects.</w:t>
      </w:r>
    </w:p>
    <w:p w14:paraId="6FA28FF7" w14:textId="77777777" w:rsidR="00436B89" w:rsidRPr="00A613A8" w:rsidRDefault="00436B89" w:rsidP="00177802">
      <w:pPr>
        <w:pStyle w:val="Heading3"/>
        <w:numPr>
          <w:ilvl w:val="1"/>
          <w:numId w:val="5"/>
        </w:numPr>
        <w:ind w:left="907" w:hanging="794"/>
      </w:pPr>
      <w:bookmarkStart w:id="425" w:name="_Toc473013902"/>
      <w:bookmarkStart w:id="426" w:name="_Toc505179699"/>
      <w:r w:rsidRPr="00A613A8">
        <w:t>Patient exposure</w:t>
      </w:r>
      <w:bookmarkEnd w:id="405"/>
      <w:bookmarkEnd w:id="406"/>
      <w:bookmarkEnd w:id="407"/>
      <w:bookmarkEnd w:id="408"/>
      <w:bookmarkEnd w:id="409"/>
      <w:bookmarkEnd w:id="410"/>
      <w:bookmarkEnd w:id="411"/>
      <w:bookmarkEnd w:id="412"/>
      <w:bookmarkEnd w:id="425"/>
      <w:bookmarkEnd w:id="426"/>
    </w:p>
    <w:p w14:paraId="02A167EE" w14:textId="11D4A451" w:rsidR="001C4E1A" w:rsidRDefault="001C4E1A" w:rsidP="00C64237">
      <w:pPr>
        <w:pStyle w:val="Tabletitle"/>
      </w:pPr>
      <w:bookmarkStart w:id="427" w:name="_Toc473013978"/>
      <w:r w:rsidRPr="00A613A8">
        <w:t xml:space="preserve">Table </w:t>
      </w:r>
      <w:r>
        <w:t>39:</w:t>
      </w:r>
      <w:r w:rsidRPr="00A613A8">
        <w:t xml:space="preserve"> Exposure </w:t>
      </w:r>
      <w:r>
        <w:t>in</w:t>
      </w:r>
      <w:r w:rsidRPr="00A613A8">
        <w:t xml:space="preserve"> </w:t>
      </w:r>
      <w:r>
        <w:rPr>
          <w:lang w:eastAsia="en-AU"/>
        </w:rPr>
        <w:t>clinical trials studying the use of sodium phenylbutyrate in the treatment of UCDs</w:t>
      </w:r>
    </w:p>
    <w:tbl>
      <w:tblPr>
        <w:tblStyle w:val="TableTGAblue"/>
        <w:tblW w:w="8928" w:type="dxa"/>
        <w:tblLayout w:type="fixed"/>
        <w:tblLook w:val="0020" w:firstRow="1" w:lastRow="0" w:firstColumn="0" w:lastColumn="0" w:noHBand="0" w:noVBand="0"/>
      </w:tblPr>
      <w:tblGrid>
        <w:gridCol w:w="1363"/>
        <w:gridCol w:w="1349"/>
        <w:gridCol w:w="1699"/>
        <w:gridCol w:w="1875"/>
        <w:gridCol w:w="2642"/>
      </w:tblGrid>
      <w:tr w:rsidR="001C4E1A" w:rsidRPr="00C64237" w14:paraId="6225D0A9" w14:textId="77777777" w:rsidTr="00C64237">
        <w:trPr>
          <w:cnfStyle w:val="100000000000" w:firstRow="1" w:lastRow="0" w:firstColumn="0" w:lastColumn="0" w:oddVBand="0" w:evenVBand="0" w:oddHBand="0" w:evenHBand="0" w:firstRowFirstColumn="0" w:firstRowLastColumn="0" w:lastRowFirstColumn="0" w:lastRowLastColumn="0"/>
          <w:trHeight w:hRule="exact" w:val="892"/>
          <w:tblHeader/>
        </w:trPr>
        <w:tc>
          <w:tcPr>
            <w:tcW w:w="1363" w:type="dxa"/>
          </w:tcPr>
          <w:p w14:paraId="051CC678" w14:textId="77777777" w:rsidR="001C4E1A" w:rsidRPr="00C64237" w:rsidRDefault="001C4E1A" w:rsidP="00C64237">
            <w:pPr>
              <w:rPr>
                <w:sz w:val="18"/>
                <w:szCs w:val="18"/>
              </w:rPr>
            </w:pPr>
            <w:r w:rsidRPr="00C64237">
              <w:rPr>
                <w:b w:val="0"/>
                <w:sz w:val="18"/>
                <w:szCs w:val="18"/>
              </w:rPr>
              <w:t>Study</w:t>
            </w:r>
          </w:p>
        </w:tc>
        <w:tc>
          <w:tcPr>
            <w:tcW w:w="1349" w:type="dxa"/>
          </w:tcPr>
          <w:p w14:paraId="3BF69521" w14:textId="77777777" w:rsidR="001C4E1A" w:rsidRPr="00C64237" w:rsidRDefault="001C4E1A" w:rsidP="00C64237">
            <w:pPr>
              <w:rPr>
                <w:sz w:val="18"/>
                <w:szCs w:val="18"/>
              </w:rPr>
            </w:pPr>
            <w:r w:rsidRPr="00C64237">
              <w:rPr>
                <w:b w:val="0"/>
                <w:sz w:val="18"/>
                <w:szCs w:val="18"/>
              </w:rPr>
              <w:t>Condition</w:t>
            </w:r>
          </w:p>
        </w:tc>
        <w:tc>
          <w:tcPr>
            <w:tcW w:w="1699" w:type="dxa"/>
          </w:tcPr>
          <w:p w14:paraId="7DC3F1EA" w14:textId="77777777" w:rsidR="001C4E1A" w:rsidRPr="00C64237" w:rsidRDefault="001C4E1A" w:rsidP="00C64237">
            <w:pPr>
              <w:rPr>
                <w:sz w:val="18"/>
                <w:szCs w:val="18"/>
              </w:rPr>
            </w:pPr>
            <w:r w:rsidRPr="00C64237">
              <w:rPr>
                <w:b w:val="0"/>
                <w:sz w:val="18"/>
                <w:szCs w:val="18"/>
              </w:rPr>
              <w:t>Sodium phenylbutyrate dose</w:t>
            </w:r>
          </w:p>
        </w:tc>
        <w:tc>
          <w:tcPr>
            <w:tcW w:w="1875" w:type="dxa"/>
          </w:tcPr>
          <w:p w14:paraId="61249BE3" w14:textId="77777777" w:rsidR="001C4E1A" w:rsidRPr="00C64237" w:rsidRDefault="001C4E1A" w:rsidP="00C64237">
            <w:pPr>
              <w:rPr>
                <w:sz w:val="18"/>
                <w:szCs w:val="18"/>
              </w:rPr>
            </w:pPr>
            <w:r w:rsidRPr="00C64237">
              <w:rPr>
                <w:b w:val="0"/>
                <w:sz w:val="18"/>
                <w:szCs w:val="18"/>
              </w:rPr>
              <w:t>Number</w:t>
            </w:r>
            <w:r w:rsidRPr="00C64237">
              <w:rPr>
                <w:b w:val="0"/>
                <w:spacing w:val="-13"/>
                <w:sz w:val="18"/>
                <w:szCs w:val="18"/>
              </w:rPr>
              <w:t xml:space="preserve"> </w:t>
            </w:r>
            <w:r w:rsidRPr="00C64237">
              <w:rPr>
                <w:b w:val="0"/>
                <w:sz w:val="18"/>
                <w:szCs w:val="18"/>
              </w:rPr>
              <w:t>of</w:t>
            </w:r>
            <w:r w:rsidRPr="00C64237">
              <w:rPr>
                <w:b w:val="0"/>
                <w:w w:val="99"/>
                <w:sz w:val="18"/>
                <w:szCs w:val="18"/>
              </w:rPr>
              <w:t xml:space="preserve"> </w:t>
            </w:r>
            <w:r w:rsidRPr="00C64237">
              <w:rPr>
                <w:b w:val="0"/>
                <w:sz w:val="18"/>
                <w:szCs w:val="18"/>
              </w:rPr>
              <w:t>patients</w:t>
            </w:r>
          </w:p>
        </w:tc>
        <w:tc>
          <w:tcPr>
            <w:tcW w:w="2642" w:type="dxa"/>
          </w:tcPr>
          <w:p w14:paraId="547D334C" w14:textId="77777777" w:rsidR="001C4E1A" w:rsidRPr="00C64237" w:rsidRDefault="001C4E1A" w:rsidP="00C64237">
            <w:pPr>
              <w:rPr>
                <w:sz w:val="18"/>
                <w:szCs w:val="18"/>
              </w:rPr>
            </w:pPr>
            <w:r w:rsidRPr="00C64237">
              <w:rPr>
                <w:b w:val="0"/>
                <w:sz w:val="18"/>
                <w:szCs w:val="18"/>
              </w:rPr>
              <w:t>Study</w:t>
            </w:r>
            <w:r w:rsidRPr="00C64237">
              <w:rPr>
                <w:b w:val="0"/>
                <w:spacing w:val="-18"/>
                <w:sz w:val="18"/>
                <w:szCs w:val="18"/>
              </w:rPr>
              <w:t xml:space="preserve"> </w:t>
            </w:r>
            <w:r w:rsidRPr="00C64237">
              <w:rPr>
                <w:b w:val="0"/>
                <w:sz w:val="18"/>
                <w:szCs w:val="18"/>
              </w:rPr>
              <w:t>Duration</w:t>
            </w:r>
          </w:p>
        </w:tc>
      </w:tr>
      <w:tr w:rsidR="001C4E1A" w:rsidRPr="00C64237" w14:paraId="031600A8" w14:textId="77777777" w:rsidTr="00C64237">
        <w:trPr>
          <w:trHeight w:hRule="exact" w:val="436"/>
        </w:trPr>
        <w:tc>
          <w:tcPr>
            <w:tcW w:w="1363" w:type="dxa"/>
          </w:tcPr>
          <w:p w14:paraId="5FC2CC5E" w14:textId="77777777" w:rsidR="001C4E1A" w:rsidRPr="00C64237" w:rsidRDefault="001C4E1A" w:rsidP="00C64237">
            <w:pPr>
              <w:rPr>
                <w:sz w:val="18"/>
                <w:szCs w:val="18"/>
              </w:rPr>
            </w:pPr>
            <w:r w:rsidRPr="00C64237">
              <w:rPr>
                <w:sz w:val="18"/>
                <w:szCs w:val="18"/>
              </w:rPr>
              <w:t>Cohort</w:t>
            </w:r>
            <w:r w:rsidRPr="00C64237">
              <w:rPr>
                <w:spacing w:val="-16"/>
                <w:sz w:val="18"/>
                <w:szCs w:val="18"/>
              </w:rPr>
              <w:t xml:space="preserve"> </w:t>
            </w:r>
            <w:r w:rsidRPr="00C64237">
              <w:rPr>
                <w:sz w:val="18"/>
                <w:szCs w:val="18"/>
              </w:rPr>
              <w:t>of</w:t>
            </w:r>
          </w:p>
        </w:tc>
        <w:tc>
          <w:tcPr>
            <w:tcW w:w="1349" w:type="dxa"/>
          </w:tcPr>
          <w:p w14:paraId="4F271E58" w14:textId="77777777" w:rsidR="001C4E1A" w:rsidRPr="00C64237" w:rsidRDefault="001C4E1A" w:rsidP="00C64237">
            <w:pPr>
              <w:rPr>
                <w:sz w:val="18"/>
                <w:szCs w:val="18"/>
              </w:rPr>
            </w:pPr>
            <w:r w:rsidRPr="00C64237">
              <w:rPr>
                <w:sz w:val="18"/>
                <w:szCs w:val="18"/>
              </w:rPr>
              <w:t>15</w:t>
            </w:r>
            <w:r w:rsidRPr="00C64237">
              <w:rPr>
                <w:spacing w:val="-9"/>
                <w:sz w:val="18"/>
                <w:szCs w:val="18"/>
              </w:rPr>
              <w:t xml:space="preserve"> </w:t>
            </w:r>
            <w:r w:rsidRPr="00C64237">
              <w:rPr>
                <w:spacing w:val="-2"/>
                <w:sz w:val="18"/>
                <w:szCs w:val="18"/>
              </w:rPr>
              <w:t>OTC</w:t>
            </w:r>
          </w:p>
        </w:tc>
        <w:tc>
          <w:tcPr>
            <w:tcW w:w="1699" w:type="dxa"/>
            <w:vMerge w:val="restart"/>
          </w:tcPr>
          <w:p w14:paraId="2AC3FAE6" w14:textId="77777777" w:rsidR="001C4E1A" w:rsidRPr="00C64237" w:rsidRDefault="001C4E1A" w:rsidP="00C64237">
            <w:pPr>
              <w:rPr>
                <w:sz w:val="18"/>
                <w:szCs w:val="18"/>
              </w:rPr>
            </w:pPr>
            <w:r w:rsidRPr="00C64237">
              <w:rPr>
                <w:sz w:val="18"/>
                <w:szCs w:val="18"/>
              </w:rPr>
              <w:t>5.2g/d</w:t>
            </w:r>
            <w:r w:rsidRPr="00C64237">
              <w:rPr>
                <w:spacing w:val="-15"/>
                <w:sz w:val="18"/>
                <w:szCs w:val="18"/>
              </w:rPr>
              <w:t xml:space="preserve"> </w:t>
            </w:r>
            <w:r w:rsidRPr="00C64237">
              <w:rPr>
                <w:sz w:val="18"/>
                <w:szCs w:val="18"/>
              </w:rPr>
              <w:t>(SD)</w:t>
            </w:r>
          </w:p>
        </w:tc>
        <w:tc>
          <w:tcPr>
            <w:tcW w:w="1875" w:type="dxa"/>
          </w:tcPr>
          <w:p w14:paraId="3B7D16BB" w14:textId="77777777" w:rsidR="001C4E1A" w:rsidRPr="00C64237" w:rsidRDefault="001C4E1A" w:rsidP="00C64237">
            <w:pPr>
              <w:rPr>
                <w:sz w:val="18"/>
                <w:szCs w:val="18"/>
              </w:rPr>
            </w:pPr>
            <w:r w:rsidRPr="00C64237">
              <w:rPr>
                <w:sz w:val="18"/>
                <w:szCs w:val="18"/>
              </w:rPr>
              <w:t>N=25</w:t>
            </w:r>
          </w:p>
        </w:tc>
        <w:tc>
          <w:tcPr>
            <w:tcW w:w="2642" w:type="dxa"/>
          </w:tcPr>
          <w:p w14:paraId="48DDE138" w14:textId="77777777" w:rsidR="001C4E1A" w:rsidRPr="00C64237" w:rsidRDefault="001C4E1A" w:rsidP="00C64237">
            <w:pPr>
              <w:rPr>
                <w:sz w:val="18"/>
                <w:szCs w:val="18"/>
              </w:rPr>
            </w:pPr>
            <w:r w:rsidRPr="00C64237">
              <w:rPr>
                <w:sz w:val="18"/>
                <w:szCs w:val="18"/>
              </w:rPr>
              <w:t>Mean</w:t>
            </w:r>
            <w:r w:rsidRPr="00C64237">
              <w:rPr>
                <w:spacing w:val="-14"/>
                <w:sz w:val="18"/>
                <w:szCs w:val="18"/>
              </w:rPr>
              <w:t xml:space="preserve"> </w:t>
            </w:r>
            <w:r w:rsidRPr="00C64237">
              <w:rPr>
                <w:sz w:val="18"/>
                <w:szCs w:val="18"/>
              </w:rPr>
              <w:t>exposure</w:t>
            </w:r>
            <w:r w:rsidRPr="00C64237">
              <w:rPr>
                <w:spacing w:val="-16"/>
                <w:sz w:val="18"/>
                <w:szCs w:val="18"/>
              </w:rPr>
              <w:t xml:space="preserve"> </w:t>
            </w:r>
            <w:r w:rsidRPr="00C64237">
              <w:rPr>
                <w:sz w:val="18"/>
                <w:szCs w:val="18"/>
              </w:rPr>
              <w:t>15.0</w:t>
            </w:r>
            <w:r w:rsidRPr="00C64237">
              <w:rPr>
                <w:spacing w:val="-15"/>
                <w:sz w:val="18"/>
                <w:szCs w:val="18"/>
              </w:rPr>
              <w:t xml:space="preserve"> </w:t>
            </w:r>
            <w:r w:rsidRPr="00C64237">
              <w:rPr>
                <w:sz w:val="18"/>
                <w:szCs w:val="18"/>
              </w:rPr>
              <w:t>patient-</w:t>
            </w:r>
          </w:p>
        </w:tc>
      </w:tr>
      <w:tr w:rsidR="001C4E1A" w:rsidRPr="00C64237" w14:paraId="529C6928" w14:textId="77777777" w:rsidTr="00C64237">
        <w:trPr>
          <w:trHeight w:hRule="exact" w:val="414"/>
        </w:trPr>
        <w:tc>
          <w:tcPr>
            <w:tcW w:w="1363" w:type="dxa"/>
          </w:tcPr>
          <w:p w14:paraId="7E23E24D" w14:textId="77777777" w:rsidR="001C4E1A" w:rsidRPr="00C64237" w:rsidRDefault="001C4E1A" w:rsidP="00C64237">
            <w:pPr>
              <w:rPr>
                <w:sz w:val="18"/>
                <w:szCs w:val="18"/>
              </w:rPr>
            </w:pPr>
            <w:r w:rsidRPr="00C64237">
              <w:rPr>
                <w:sz w:val="18"/>
                <w:szCs w:val="18"/>
              </w:rPr>
              <w:t>temporary</w:t>
            </w:r>
          </w:p>
        </w:tc>
        <w:tc>
          <w:tcPr>
            <w:tcW w:w="1349" w:type="dxa"/>
          </w:tcPr>
          <w:p w14:paraId="41ADA9CC" w14:textId="77777777" w:rsidR="001C4E1A" w:rsidRPr="00C64237" w:rsidRDefault="001C4E1A" w:rsidP="00C64237">
            <w:pPr>
              <w:rPr>
                <w:sz w:val="18"/>
                <w:szCs w:val="18"/>
              </w:rPr>
            </w:pPr>
            <w:r w:rsidRPr="00C64237">
              <w:rPr>
                <w:sz w:val="18"/>
                <w:szCs w:val="18"/>
              </w:rPr>
              <w:t>5</w:t>
            </w:r>
            <w:r w:rsidRPr="00C64237">
              <w:rPr>
                <w:spacing w:val="-10"/>
                <w:sz w:val="18"/>
                <w:szCs w:val="18"/>
              </w:rPr>
              <w:t xml:space="preserve"> </w:t>
            </w:r>
            <w:r w:rsidRPr="00C64237">
              <w:rPr>
                <w:spacing w:val="1"/>
                <w:sz w:val="18"/>
                <w:szCs w:val="18"/>
              </w:rPr>
              <w:t>ASS</w:t>
            </w:r>
          </w:p>
        </w:tc>
        <w:tc>
          <w:tcPr>
            <w:tcW w:w="1699" w:type="dxa"/>
            <w:vMerge/>
          </w:tcPr>
          <w:p w14:paraId="3E57D140" w14:textId="77777777" w:rsidR="001C4E1A" w:rsidRPr="00C64237" w:rsidRDefault="001C4E1A" w:rsidP="00C64237">
            <w:pPr>
              <w:rPr>
                <w:sz w:val="18"/>
                <w:szCs w:val="18"/>
              </w:rPr>
            </w:pPr>
          </w:p>
        </w:tc>
        <w:tc>
          <w:tcPr>
            <w:tcW w:w="1875" w:type="dxa"/>
          </w:tcPr>
          <w:p w14:paraId="4A034B6E" w14:textId="77777777" w:rsidR="001C4E1A" w:rsidRPr="00C64237" w:rsidRDefault="001C4E1A" w:rsidP="00C64237">
            <w:pPr>
              <w:rPr>
                <w:sz w:val="18"/>
                <w:szCs w:val="18"/>
              </w:rPr>
            </w:pPr>
            <w:r w:rsidRPr="00C64237">
              <w:rPr>
                <w:sz w:val="18"/>
                <w:szCs w:val="18"/>
              </w:rPr>
              <w:t>(16F;</w:t>
            </w:r>
            <w:r w:rsidRPr="00C64237">
              <w:rPr>
                <w:spacing w:val="-11"/>
                <w:sz w:val="18"/>
                <w:szCs w:val="18"/>
              </w:rPr>
              <w:t xml:space="preserve"> </w:t>
            </w:r>
            <w:r w:rsidRPr="00C64237">
              <w:rPr>
                <w:sz w:val="18"/>
                <w:szCs w:val="18"/>
              </w:rPr>
              <w:t>8M;</w:t>
            </w:r>
            <w:r w:rsidRPr="00C64237">
              <w:rPr>
                <w:spacing w:val="-8"/>
                <w:sz w:val="18"/>
                <w:szCs w:val="18"/>
              </w:rPr>
              <w:t xml:space="preserve"> </w:t>
            </w:r>
            <w:r w:rsidRPr="00C64237">
              <w:rPr>
                <w:sz w:val="18"/>
                <w:szCs w:val="18"/>
              </w:rPr>
              <w:t>1</w:t>
            </w:r>
            <w:r w:rsidRPr="00C64237">
              <w:rPr>
                <w:spacing w:val="-8"/>
                <w:sz w:val="18"/>
                <w:szCs w:val="18"/>
              </w:rPr>
              <w:t xml:space="preserve"> </w:t>
            </w:r>
            <w:r w:rsidRPr="00C64237">
              <w:rPr>
                <w:sz w:val="18"/>
                <w:szCs w:val="18"/>
              </w:rPr>
              <w:t>N/A)</w:t>
            </w:r>
          </w:p>
        </w:tc>
        <w:tc>
          <w:tcPr>
            <w:tcW w:w="2642" w:type="dxa"/>
            <w:vMerge w:val="restart"/>
          </w:tcPr>
          <w:p w14:paraId="7B71AA3A" w14:textId="77777777" w:rsidR="001C4E1A" w:rsidRPr="00C64237" w:rsidRDefault="001C4E1A" w:rsidP="00C64237">
            <w:pPr>
              <w:rPr>
                <w:sz w:val="18"/>
                <w:szCs w:val="18"/>
              </w:rPr>
            </w:pPr>
            <w:r w:rsidRPr="00C64237">
              <w:rPr>
                <w:sz w:val="18"/>
                <w:szCs w:val="18"/>
              </w:rPr>
              <w:t>years</w:t>
            </w:r>
          </w:p>
        </w:tc>
      </w:tr>
      <w:tr w:rsidR="001C4E1A" w:rsidRPr="00C64237" w14:paraId="0C763F20" w14:textId="77777777" w:rsidTr="00C64237">
        <w:trPr>
          <w:trHeight w:hRule="exact" w:val="435"/>
        </w:trPr>
        <w:tc>
          <w:tcPr>
            <w:tcW w:w="1363" w:type="dxa"/>
          </w:tcPr>
          <w:p w14:paraId="557B078F" w14:textId="77777777" w:rsidR="001C4E1A" w:rsidRPr="00C64237" w:rsidRDefault="001C4E1A" w:rsidP="00C64237">
            <w:pPr>
              <w:rPr>
                <w:sz w:val="18"/>
                <w:szCs w:val="18"/>
              </w:rPr>
            </w:pPr>
            <w:r w:rsidRPr="00C64237">
              <w:rPr>
                <w:sz w:val="18"/>
                <w:szCs w:val="18"/>
              </w:rPr>
              <w:t>utilization</w:t>
            </w:r>
          </w:p>
        </w:tc>
        <w:tc>
          <w:tcPr>
            <w:tcW w:w="1349" w:type="dxa"/>
          </w:tcPr>
          <w:p w14:paraId="6BDDE598" w14:textId="77777777" w:rsidR="001C4E1A" w:rsidRPr="00C64237" w:rsidRDefault="001C4E1A" w:rsidP="00C64237">
            <w:pPr>
              <w:rPr>
                <w:sz w:val="18"/>
                <w:szCs w:val="18"/>
              </w:rPr>
            </w:pPr>
            <w:r w:rsidRPr="00C64237">
              <w:rPr>
                <w:sz w:val="18"/>
                <w:szCs w:val="18"/>
              </w:rPr>
              <w:t>2</w:t>
            </w:r>
            <w:r w:rsidRPr="00C64237">
              <w:rPr>
                <w:spacing w:val="-8"/>
                <w:sz w:val="18"/>
                <w:szCs w:val="18"/>
              </w:rPr>
              <w:t xml:space="preserve"> </w:t>
            </w:r>
            <w:r w:rsidRPr="00C64237">
              <w:rPr>
                <w:sz w:val="18"/>
                <w:szCs w:val="18"/>
              </w:rPr>
              <w:t>CPS</w:t>
            </w:r>
          </w:p>
        </w:tc>
        <w:tc>
          <w:tcPr>
            <w:tcW w:w="1699" w:type="dxa"/>
            <w:vMerge/>
          </w:tcPr>
          <w:p w14:paraId="3ABDE098" w14:textId="77777777" w:rsidR="001C4E1A" w:rsidRPr="00C64237" w:rsidRDefault="001C4E1A" w:rsidP="00C64237">
            <w:pPr>
              <w:rPr>
                <w:sz w:val="18"/>
                <w:szCs w:val="18"/>
              </w:rPr>
            </w:pPr>
          </w:p>
        </w:tc>
        <w:tc>
          <w:tcPr>
            <w:tcW w:w="1875" w:type="dxa"/>
          </w:tcPr>
          <w:p w14:paraId="215E021C" w14:textId="77777777" w:rsidR="001C4E1A" w:rsidRPr="00C64237" w:rsidRDefault="001C4E1A" w:rsidP="00C64237">
            <w:pPr>
              <w:rPr>
                <w:sz w:val="18"/>
                <w:szCs w:val="18"/>
              </w:rPr>
            </w:pPr>
            <w:r w:rsidRPr="00C64237">
              <w:rPr>
                <w:sz w:val="18"/>
                <w:szCs w:val="18"/>
              </w:rPr>
              <w:t>Age</w:t>
            </w:r>
            <w:r w:rsidRPr="00C64237">
              <w:rPr>
                <w:spacing w:val="-19"/>
                <w:sz w:val="18"/>
                <w:szCs w:val="18"/>
              </w:rPr>
              <w:t xml:space="preserve"> </w:t>
            </w:r>
            <w:r w:rsidRPr="00C64237">
              <w:rPr>
                <w:sz w:val="18"/>
                <w:szCs w:val="18"/>
              </w:rPr>
              <w:t>ranges:</w:t>
            </w:r>
          </w:p>
        </w:tc>
        <w:tc>
          <w:tcPr>
            <w:tcW w:w="2642" w:type="dxa"/>
            <w:vMerge/>
          </w:tcPr>
          <w:p w14:paraId="2E83AC50" w14:textId="77777777" w:rsidR="001C4E1A" w:rsidRPr="00C64237" w:rsidRDefault="001C4E1A" w:rsidP="00C64237">
            <w:pPr>
              <w:rPr>
                <w:sz w:val="18"/>
                <w:szCs w:val="18"/>
              </w:rPr>
            </w:pPr>
          </w:p>
        </w:tc>
      </w:tr>
      <w:tr w:rsidR="001C4E1A" w:rsidRPr="00C64237" w14:paraId="3F59A807" w14:textId="77777777" w:rsidTr="00C64237">
        <w:trPr>
          <w:trHeight w:hRule="exact" w:val="427"/>
        </w:trPr>
        <w:tc>
          <w:tcPr>
            <w:tcW w:w="1363" w:type="dxa"/>
          </w:tcPr>
          <w:p w14:paraId="2F605BBC" w14:textId="77777777" w:rsidR="001C4E1A" w:rsidRPr="00C64237" w:rsidRDefault="001C4E1A" w:rsidP="00C64237">
            <w:pPr>
              <w:rPr>
                <w:sz w:val="18"/>
                <w:szCs w:val="18"/>
              </w:rPr>
            </w:pPr>
            <w:r w:rsidRPr="00C64237">
              <w:rPr>
                <w:sz w:val="18"/>
                <w:szCs w:val="18"/>
              </w:rPr>
              <w:t>authorization</w:t>
            </w:r>
          </w:p>
        </w:tc>
        <w:tc>
          <w:tcPr>
            <w:tcW w:w="1349" w:type="dxa"/>
          </w:tcPr>
          <w:p w14:paraId="1EABFC1D" w14:textId="77777777" w:rsidR="001C4E1A" w:rsidRPr="00C64237" w:rsidRDefault="001C4E1A" w:rsidP="00C64237">
            <w:pPr>
              <w:rPr>
                <w:sz w:val="18"/>
                <w:szCs w:val="18"/>
              </w:rPr>
            </w:pPr>
            <w:r w:rsidRPr="00C64237">
              <w:rPr>
                <w:sz w:val="18"/>
                <w:szCs w:val="18"/>
              </w:rPr>
              <w:t>1</w:t>
            </w:r>
            <w:r w:rsidRPr="00C64237">
              <w:rPr>
                <w:spacing w:val="-10"/>
                <w:sz w:val="18"/>
                <w:szCs w:val="18"/>
              </w:rPr>
              <w:t xml:space="preserve"> </w:t>
            </w:r>
            <w:r w:rsidRPr="00C64237">
              <w:rPr>
                <w:spacing w:val="1"/>
                <w:sz w:val="18"/>
                <w:szCs w:val="18"/>
              </w:rPr>
              <w:t>ASL</w:t>
            </w:r>
          </w:p>
        </w:tc>
        <w:tc>
          <w:tcPr>
            <w:tcW w:w="1699" w:type="dxa"/>
            <w:vMerge/>
          </w:tcPr>
          <w:p w14:paraId="46F39C95" w14:textId="77777777" w:rsidR="001C4E1A" w:rsidRPr="00C64237" w:rsidRDefault="001C4E1A" w:rsidP="00C64237">
            <w:pPr>
              <w:rPr>
                <w:sz w:val="18"/>
                <w:szCs w:val="18"/>
              </w:rPr>
            </w:pPr>
          </w:p>
        </w:tc>
        <w:tc>
          <w:tcPr>
            <w:tcW w:w="1875" w:type="dxa"/>
          </w:tcPr>
          <w:p w14:paraId="0ACAD4E0" w14:textId="77777777" w:rsidR="001C4E1A" w:rsidRPr="00C64237" w:rsidRDefault="001C4E1A" w:rsidP="00C64237">
            <w:pPr>
              <w:rPr>
                <w:sz w:val="18"/>
                <w:szCs w:val="18"/>
              </w:rPr>
            </w:pPr>
            <w:r w:rsidRPr="00C64237">
              <w:rPr>
                <w:sz w:val="18"/>
                <w:szCs w:val="18"/>
              </w:rPr>
              <w:t>2-6yrs:</w:t>
            </w:r>
            <w:r w:rsidRPr="00C64237">
              <w:rPr>
                <w:spacing w:val="-22"/>
                <w:sz w:val="18"/>
                <w:szCs w:val="18"/>
              </w:rPr>
              <w:t xml:space="preserve"> </w:t>
            </w:r>
            <w:r w:rsidRPr="00C64237">
              <w:rPr>
                <w:sz w:val="18"/>
                <w:szCs w:val="18"/>
              </w:rPr>
              <w:t>N=12</w:t>
            </w:r>
          </w:p>
        </w:tc>
        <w:tc>
          <w:tcPr>
            <w:tcW w:w="2642" w:type="dxa"/>
            <w:vMerge/>
          </w:tcPr>
          <w:p w14:paraId="22555990" w14:textId="77777777" w:rsidR="001C4E1A" w:rsidRPr="00C64237" w:rsidRDefault="001C4E1A" w:rsidP="00C64237">
            <w:pPr>
              <w:rPr>
                <w:sz w:val="18"/>
                <w:szCs w:val="18"/>
              </w:rPr>
            </w:pPr>
          </w:p>
        </w:tc>
      </w:tr>
      <w:tr w:rsidR="001C4E1A" w:rsidRPr="00C64237" w14:paraId="395E5F58" w14:textId="77777777" w:rsidTr="00C64237">
        <w:trPr>
          <w:trHeight w:hRule="exact" w:val="419"/>
        </w:trPr>
        <w:tc>
          <w:tcPr>
            <w:tcW w:w="1363" w:type="dxa"/>
            <w:vMerge w:val="restart"/>
          </w:tcPr>
          <w:p w14:paraId="6D8FEFA7" w14:textId="77777777" w:rsidR="001C4E1A" w:rsidRPr="00C64237" w:rsidRDefault="001C4E1A" w:rsidP="00C64237">
            <w:pPr>
              <w:rPr>
                <w:sz w:val="18"/>
                <w:szCs w:val="18"/>
              </w:rPr>
            </w:pPr>
            <w:r w:rsidRPr="00C64237">
              <w:rPr>
                <w:sz w:val="18"/>
                <w:szCs w:val="18"/>
              </w:rPr>
              <w:t>(ATUc)</w:t>
            </w:r>
          </w:p>
        </w:tc>
        <w:tc>
          <w:tcPr>
            <w:tcW w:w="1349" w:type="dxa"/>
          </w:tcPr>
          <w:p w14:paraId="45E9D513" w14:textId="77777777" w:rsidR="001C4E1A" w:rsidRPr="00C64237" w:rsidRDefault="001C4E1A" w:rsidP="00C64237">
            <w:pPr>
              <w:rPr>
                <w:sz w:val="18"/>
                <w:szCs w:val="18"/>
              </w:rPr>
            </w:pPr>
            <w:r w:rsidRPr="00C64237">
              <w:rPr>
                <w:sz w:val="18"/>
                <w:szCs w:val="18"/>
              </w:rPr>
              <w:t>1</w:t>
            </w:r>
            <w:r w:rsidRPr="00C64237">
              <w:rPr>
                <w:spacing w:val="-4"/>
                <w:sz w:val="18"/>
                <w:szCs w:val="18"/>
              </w:rPr>
              <w:t xml:space="preserve"> </w:t>
            </w:r>
            <w:r w:rsidRPr="00C64237">
              <w:rPr>
                <w:sz w:val="18"/>
                <w:szCs w:val="18"/>
              </w:rPr>
              <w:t>HHH</w:t>
            </w:r>
          </w:p>
        </w:tc>
        <w:tc>
          <w:tcPr>
            <w:tcW w:w="1699" w:type="dxa"/>
            <w:vMerge/>
          </w:tcPr>
          <w:p w14:paraId="36A01A09" w14:textId="77777777" w:rsidR="001C4E1A" w:rsidRPr="00C64237" w:rsidRDefault="001C4E1A" w:rsidP="00C64237">
            <w:pPr>
              <w:rPr>
                <w:sz w:val="18"/>
                <w:szCs w:val="18"/>
              </w:rPr>
            </w:pPr>
          </w:p>
        </w:tc>
        <w:tc>
          <w:tcPr>
            <w:tcW w:w="1875" w:type="dxa"/>
          </w:tcPr>
          <w:p w14:paraId="3713A6D5" w14:textId="77777777" w:rsidR="001C4E1A" w:rsidRPr="00C64237" w:rsidRDefault="001C4E1A" w:rsidP="00C64237">
            <w:pPr>
              <w:rPr>
                <w:sz w:val="18"/>
                <w:szCs w:val="18"/>
              </w:rPr>
            </w:pPr>
            <w:r w:rsidRPr="00C64237">
              <w:rPr>
                <w:sz w:val="18"/>
                <w:szCs w:val="18"/>
              </w:rPr>
              <w:t>7-17yrs:</w:t>
            </w:r>
            <w:r w:rsidRPr="00C64237">
              <w:rPr>
                <w:spacing w:val="-19"/>
                <w:sz w:val="18"/>
                <w:szCs w:val="18"/>
              </w:rPr>
              <w:t xml:space="preserve"> </w:t>
            </w:r>
            <w:r w:rsidRPr="00C64237">
              <w:rPr>
                <w:sz w:val="18"/>
                <w:szCs w:val="18"/>
              </w:rPr>
              <w:t>N=8</w:t>
            </w:r>
          </w:p>
        </w:tc>
        <w:tc>
          <w:tcPr>
            <w:tcW w:w="2642" w:type="dxa"/>
            <w:vMerge/>
          </w:tcPr>
          <w:p w14:paraId="07F411DF" w14:textId="77777777" w:rsidR="001C4E1A" w:rsidRPr="00C64237" w:rsidRDefault="001C4E1A" w:rsidP="00C64237">
            <w:pPr>
              <w:rPr>
                <w:sz w:val="18"/>
                <w:szCs w:val="18"/>
              </w:rPr>
            </w:pPr>
          </w:p>
        </w:tc>
      </w:tr>
      <w:tr w:rsidR="001C4E1A" w:rsidRPr="00C64237" w14:paraId="1FC9E063" w14:textId="77777777" w:rsidTr="00C64237">
        <w:trPr>
          <w:trHeight w:hRule="exact" w:val="438"/>
        </w:trPr>
        <w:tc>
          <w:tcPr>
            <w:tcW w:w="1363" w:type="dxa"/>
            <w:vMerge/>
          </w:tcPr>
          <w:p w14:paraId="747C89CF" w14:textId="77777777" w:rsidR="001C4E1A" w:rsidRPr="00C64237" w:rsidRDefault="001C4E1A" w:rsidP="00C64237">
            <w:pPr>
              <w:rPr>
                <w:sz w:val="18"/>
                <w:szCs w:val="18"/>
              </w:rPr>
            </w:pPr>
          </w:p>
        </w:tc>
        <w:tc>
          <w:tcPr>
            <w:tcW w:w="1349" w:type="dxa"/>
          </w:tcPr>
          <w:p w14:paraId="68BFB80B" w14:textId="77777777" w:rsidR="001C4E1A" w:rsidRPr="00C64237" w:rsidRDefault="001C4E1A" w:rsidP="00C64237">
            <w:pPr>
              <w:rPr>
                <w:sz w:val="18"/>
                <w:szCs w:val="18"/>
              </w:rPr>
            </w:pPr>
            <w:r w:rsidRPr="00C64237">
              <w:rPr>
                <w:sz w:val="18"/>
                <w:szCs w:val="18"/>
              </w:rPr>
              <w:t>1LPI</w:t>
            </w:r>
          </w:p>
        </w:tc>
        <w:tc>
          <w:tcPr>
            <w:tcW w:w="1699" w:type="dxa"/>
            <w:vMerge/>
          </w:tcPr>
          <w:p w14:paraId="1E0462C7" w14:textId="77777777" w:rsidR="001C4E1A" w:rsidRPr="00C64237" w:rsidRDefault="001C4E1A" w:rsidP="00C64237">
            <w:pPr>
              <w:rPr>
                <w:sz w:val="18"/>
                <w:szCs w:val="18"/>
              </w:rPr>
            </w:pPr>
          </w:p>
        </w:tc>
        <w:tc>
          <w:tcPr>
            <w:tcW w:w="1875" w:type="dxa"/>
          </w:tcPr>
          <w:p w14:paraId="294E2B89" w14:textId="77777777" w:rsidR="001C4E1A" w:rsidRPr="00C64237" w:rsidRDefault="001C4E1A" w:rsidP="00C64237">
            <w:pPr>
              <w:rPr>
                <w:sz w:val="18"/>
                <w:szCs w:val="18"/>
              </w:rPr>
            </w:pPr>
            <w:r w:rsidRPr="00C64237">
              <w:rPr>
                <w:sz w:val="18"/>
                <w:szCs w:val="18"/>
              </w:rPr>
              <w:t>18-64yrs:</w:t>
            </w:r>
            <w:r w:rsidRPr="00C64237">
              <w:rPr>
                <w:spacing w:val="-21"/>
                <w:sz w:val="18"/>
                <w:szCs w:val="18"/>
              </w:rPr>
              <w:t xml:space="preserve"> </w:t>
            </w:r>
            <w:r w:rsidRPr="00C64237">
              <w:rPr>
                <w:sz w:val="18"/>
                <w:szCs w:val="18"/>
              </w:rPr>
              <w:t>N=5</w:t>
            </w:r>
          </w:p>
        </w:tc>
        <w:tc>
          <w:tcPr>
            <w:tcW w:w="2642" w:type="dxa"/>
            <w:vMerge/>
          </w:tcPr>
          <w:p w14:paraId="36E8E5EF" w14:textId="77777777" w:rsidR="001C4E1A" w:rsidRPr="00C64237" w:rsidRDefault="001C4E1A" w:rsidP="00C64237">
            <w:pPr>
              <w:rPr>
                <w:sz w:val="18"/>
                <w:szCs w:val="18"/>
              </w:rPr>
            </w:pPr>
          </w:p>
        </w:tc>
      </w:tr>
      <w:tr w:rsidR="001C4E1A" w:rsidRPr="00C64237" w14:paraId="304BE79A" w14:textId="77777777" w:rsidTr="00C64237">
        <w:trPr>
          <w:trHeight w:hRule="exact" w:val="1267"/>
        </w:trPr>
        <w:tc>
          <w:tcPr>
            <w:tcW w:w="1363" w:type="dxa"/>
          </w:tcPr>
          <w:p w14:paraId="1EB1F249" w14:textId="77777777" w:rsidR="001C4E1A" w:rsidRPr="00C64237" w:rsidRDefault="001C4E1A" w:rsidP="00C64237">
            <w:pPr>
              <w:rPr>
                <w:sz w:val="18"/>
                <w:szCs w:val="18"/>
              </w:rPr>
            </w:pPr>
            <w:r w:rsidRPr="00C64237">
              <w:rPr>
                <w:w w:val="95"/>
                <w:sz w:val="18"/>
                <w:szCs w:val="18"/>
              </w:rPr>
              <w:t>Maestri</w:t>
            </w:r>
            <w:r w:rsidRPr="00C64237">
              <w:rPr>
                <w:spacing w:val="22"/>
                <w:w w:val="99"/>
                <w:sz w:val="18"/>
                <w:szCs w:val="18"/>
              </w:rPr>
              <w:t xml:space="preserve"> </w:t>
            </w:r>
            <w:r w:rsidRPr="00C64237">
              <w:rPr>
                <w:sz w:val="18"/>
                <w:szCs w:val="18"/>
              </w:rPr>
              <w:t>(1995)</w:t>
            </w:r>
          </w:p>
          <w:p w14:paraId="2BA89677" w14:textId="77777777" w:rsidR="001C4E1A" w:rsidRPr="00C64237" w:rsidRDefault="001C4E1A" w:rsidP="00C64237">
            <w:pPr>
              <w:rPr>
                <w:sz w:val="18"/>
                <w:szCs w:val="18"/>
              </w:rPr>
            </w:pPr>
            <w:r w:rsidRPr="00C64237">
              <w:rPr>
                <w:sz w:val="18"/>
                <w:szCs w:val="18"/>
              </w:rPr>
              <w:t>Protocol</w:t>
            </w:r>
            <w:r w:rsidRPr="00C64237">
              <w:rPr>
                <w:spacing w:val="-20"/>
                <w:sz w:val="18"/>
                <w:szCs w:val="18"/>
              </w:rPr>
              <w:t xml:space="preserve"> </w:t>
            </w:r>
            <w:r w:rsidRPr="00C64237">
              <w:rPr>
                <w:sz w:val="18"/>
                <w:szCs w:val="18"/>
              </w:rPr>
              <w:t>IIb</w:t>
            </w:r>
          </w:p>
        </w:tc>
        <w:tc>
          <w:tcPr>
            <w:tcW w:w="1349" w:type="dxa"/>
            <w:vMerge w:val="restart"/>
          </w:tcPr>
          <w:p w14:paraId="7DA112B1" w14:textId="77777777" w:rsidR="001C4E1A" w:rsidRPr="00C64237" w:rsidRDefault="001C4E1A" w:rsidP="00C64237">
            <w:pPr>
              <w:rPr>
                <w:sz w:val="18"/>
                <w:szCs w:val="18"/>
              </w:rPr>
            </w:pPr>
            <w:r w:rsidRPr="00C64237">
              <w:rPr>
                <w:sz w:val="18"/>
                <w:szCs w:val="18"/>
              </w:rPr>
              <w:t>24</w:t>
            </w:r>
            <w:r w:rsidRPr="00C64237">
              <w:rPr>
                <w:spacing w:val="-12"/>
                <w:sz w:val="18"/>
                <w:szCs w:val="18"/>
              </w:rPr>
              <w:t xml:space="preserve"> </w:t>
            </w:r>
            <w:r w:rsidRPr="00C64237">
              <w:rPr>
                <w:sz w:val="18"/>
                <w:szCs w:val="18"/>
              </w:rPr>
              <w:t>ASD</w:t>
            </w:r>
          </w:p>
        </w:tc>
        <w:tc>
          <w:tcPr>
            <w:tcW w:w="1699" w:type="dxa"/>
          </w:tcPr>
          <w:p w14:paraId="27570ABC" w14:textId="77777777" w:rsidR="001C4E1A" w:rsidRPr="00C64237" w:rsidRDefault="001C4E1A" w:rsidP="00C64237">
            <w:pPr>
              <w:rPr>
                <w:sz w:val="18"/>
                <w:szCs w:val="18"/>
              </w:rPr>
            </w:pPr>
            <w:r w:rsidRPr="00C64237">
              <w:rPr>
                <w:sz w:val="18"/>
                <w:szCs w:val="18"/>
              </w:rPr>
              <w:t>250mg/kg/day</w:t>
            </w:r>
          </w:p>
        </w:tc>
        <w:tc>
          <w:tcPr>
            <w:tcW w:w="1875" w:type="dxa"/>
          </w:tcPr>
          <w:p w14:paraId="5143A07E" w14:textId="77777777" w:rsidR="001C4E1A" w:rsidRPr="00C64237" w:rsidRDefault="001C4E1A" w:rsidP="00C64237">
            <w:pPr>
              <w:rPr>
                <w:sz w:val="18"/>
                <w:szCs w:val="18"/>
              </w:rPr>
            </w:pPr>
            <w:r w:rsidRPr="00C64237">
              <w:rPr>
                <w:sz w:val="18"/>
                <w:szCs w:val="18"/>
              </w:rPr>
              <w:t>N=9</w:t>
            </w:r>
          </w:p>
          <w:p w14:paraId="2A70E594" w14:textId="77777777" w:rsidR="001C4E1A" w:rsidRPr="00C64237" w:rsidRDefault="001C4E1A" w:rsidP="00C64237">
            <w:pPr>
              <w:rPr>
                <w:sz w:val="18"/>
                <w:szCs w:val="18"/>
              </w:rPr>
            </w:pPr>
            <w:r w:rsidRPr="00C64237">
              <w:rPr>
                <w:w w:val="95"/>
                <w:sz w:val="18"/>
                <w:szCs w:val="18"/>
              </w:rPr>
              <w:t>Neonates-infants</w:t>
            </w:r>
            <w:r w:rsidRPr="00C64237">
              <w:rPr>
                <w:spacing w:val="26"/>
                <w:w w:val="98"/>
                <w:sz w:val="18"/>
                <w:szCs w:val="18"/>
              </w:rPr>
              <w:t xml:space="preserve"> </w:t>
            </w:r>
            <w:r w:rsidRPr="00C64237">
              <w:rPr>
                <w:sz w:val="18"/>
                <w:szCs w:val="18"/>
              </w:rPr>
              <w:t>(NOS)</w:t>
            </w:r>
          </w:p>
        </w:tc>
        <w:tc>
          <w:tcPr>
            <w:tcW w:w="2642" w:type="dxa"/>
          </w:tcPr>
          <w:p w14:paraId="48243682" w14:textId="77777777" w:rsidR="001C4E1A" w:rsidRPr="00C64237" w:rsidRDefault="001C4E1A" w:rsidP="00C64237">
            <w:pPr>
              <w:rPr>
                <w:sz w:val="18"/>
                <w:szCs w:val="18"/>
              </w:rPr>
            </w:pPr>
            <w:r w:rsidRPr="00C64237">
              <w:rPr>
                <w:sz w:val="18"/>
                <w:szCs w:val="18"/>
              </w:rPr>
              <w:t>Average</w:t>
            </w:r>
            <w:r w:rsidRPr="00C64237">
              <w:rPr>
                <w:spacing w:val="-18"/>
                <w:sz w:val="18"/>
                <w:szCs w:val="18"/>
              </w:rPr>
              <w:t xml:space="preserve"> </w:t>
            </w:r>
            <w:r w:rsidRPr="00C64237">
              <w:rPr>
                <w:sz w:val="18"/>
                <w:szCs w:val="18"/>
              </w:rPr>
              <w:t>treatment</w:t>
            </w:r>
            <w:r w:rsidRPr="00C64237">
              <w:rPr>
                <w:spacing w:val="-16"/>
                <w:sz w:val="18"/>
                <w:szCs w:val="18"/>
              </w:rPr>
              <w:t xml:space="preserve"> </w:t>
            </w:r>
            <w:r w:rsidRPr="00C64237">
              <w:rPr>
                <w:sz w:val="18"/>
                <w:szCs w:val="18"/>
              </w:rPr>
              <w:t>duration:</w:t>
            </w:r>
            <w:r w:rsidRPr="00C64237">
              <w:rPr>
                <w:spacing w:val="-19"/>
                <w:sz w:val="18"/>
                <w:szCs w:val="18"/>
              </w:rPr>
              <w:t xml:space="preserve"> </w:t>
            </w:r>
            <w:r w:rsidRPr="00C64237">
              <w:rPr>
                <w:sz w:val="18"/>
                <w:szCs w:val="18"/>
              </w:rPr>
              <w:t>1.2</w:t>
            </w:r>
            <w:r w:rsidRPr="00C64237">
              <w:rPr>
                <w:spacing w:val="25"/>
                <w:w w:val="98"/>
                <w:sz w:val="18"/>
                <w:szCs w:val="18"/>
              </w:rPr>
              <w:t xml:space="preserve"> </w:t>
            </w:r>
            <w:r w:rsidRPr="00C64237">
              <w:rPr>
                <w:sz w:val="18"/>
                <w:szCs w:val="18"/>
              </w:rPr>
              <w:t>years</w:t>
            </w:r>
          </w:p>
        </w:tc>
      </w:tr>
      <w:tr w:rsidR="001C4E1A" w:rsidRPr="00C64237" w14:paraId="74A3E73C" w14:textId="77777777" w:rsidTr="00C64237">
        <w:trPr>
          <w:trHeight w:hRule="exact" w:val="1296"/>
        </w:trPr>
        <w:tc>
          <w:tcPr>
            <w:tcW w:w="1363" w:type="dxa"/>
          </w:tcPr>
          <w:p w14:paraId="6B00D8A2" w14:textId="77777777" w:rsidR="001C4E1A" w:rsidRPr="00C64237" w:rsidRDefault="001C4E1A" w:rsidP="00C64237">
            <w:pPr>
              <w:rPr>
                <w:sz w:val="18"/>
                <w:szCs w:val="18"/>
              </w:rPr>
            </w:pPr>
            <w:r w:rsidRPr="00C64237">
              <w:rPr>
                <w:w w:val="95"/>
                <w:sz w:val="18"/>
                <w:szCs w:val="18"/>
              </w:rPr>
              <w:lastRenderedPageBreak/>
              <w:t>Maestri</w:t>
            </w:r>
            <w:r w:rsidRPr="00C64237">
              <w:rPr>
                <w:spacing w:val="22"/>
                <w:w w:val="99"/>
                <w:sz w:val="18"/>
                <w:szCs w:val="18"/>
              </w:rPr>
              <w:t xml:space="preserve"> </w:t>
            </w:r>
            <w:r w:rsidRPr="00C64237">
              <w:rPr>
                <w:sz w:val="18"/>
                <w:szCs w:val="18"/>
              </w:rPr>
              <w:t>(1995)</w:t>
            </w:r>
          </w:p>
          <w:p w14:paraId="1A83A8F4" w14:textId="77777777" w:rsidR="001C4E1A" w:rsidRPr="00C64237" w:rsidRDefault="001C4E1A" w:rsidP="00C64237">
            <w:pPr>
              <w:rPr>
                <w:sz w:val="18"/>
                <w:szCs w:val="18"/>
              </w:rPr>
            </w:pPr>
            <w:r w:rsidRPr="00C64237">
              <w:rPr>
                <w:sz w:val="18"/>
                <w:szCs w:val="18"/>
              </w:rPr>
              <w:t>Protocol</w:t>
            </w:r>
            <w:r w:rsidRPr="00C64237">
              <w:rPr>
                <w:spacing w:val="33"/>
                <w:sz w:val="18"/>
                <w:szCs w:val="18"/>
              </w:rPr>
              <w:t xml:space="preserve"> </w:t>
            </w:r>
            <w:r w:rsidRPr="00C64237">
              <w:rPr>
                <w:sz w:val="18"/>
                <w:szCs w:val="18"/>
              </w:rPr>
              <w:t>IIIb</w:t>
            </w:r>
          </w:p>
        </w:tc>
        <w:tc>
          <w:tcPr>
            <w:tcW w:w="1349" w:type="dxa"/>
            <w:vMerge/>
          </w:tcPr>
          <w:p w14:paraId="47F553E9" w14:textId="77777777" w:rsidR="001C4E1A" w:rsidRPr="00C64237" w:rsidRDefault="001C4E1A" w:rsidP="00C64237">
            <w:pPr>
              <w:rPr>
                <w:sz w:val="18"/>
                <w:szCs w:val="18"/>
              </w:rPr>
            </w:pPr>
          </w:p>
        </w:tc>
        <w:tc>
          <w:tcPr>
            <w:tcW w:w="1699" w:type="dxa"/>
          </w:tcPr>
          <w:p w14:paraId="29A0DF1F" w14:textId="77777777" w:rsidR="001C4E1A" w:rsidRPr="00C64237" w:rsidRDefault="001C4E1A" w:rsidP="00C64237">
            <w:pPr>
              <w:rPr>
                <w:sz w:val="18"/>
                <w:szCs w:val="18"/>
              </w:rPr>
            </w:pPr>
            <w:r w:rsidRPr="00C64237">
              <w:rPr>
                <w:sz w:val="18"/>
                <w:szCs w:val="18"/>
              </w:rPr>
              <w:t>450-600</w:t>
            </w:r>
          </w:p>
          <w:p w14:paraId="1B9C7B0F" w14:textId="77777777" w:rsidR="001C4E1A" w:rsidRPr="00C64237" w:rsidRDefault="001C4E1A" w:rsidP="00C64237">
            <w:pPr>
              <w:rPr>
                <w:sz w:val="18"/>
                <w:szCs w:val="18"/>
              </w:rPr>
            </w:pPr>
            <w:r w:rsidRPr="00C64237">
              <w:rPr>
                <w:sz w:val="18"/>
                <w:szCs w:val="18"/>
              </w:rPr>
              <w:t>mg/kg/day</w:t>
            </w:r>
          </w:p>
        </w:tc>
        <w:tc>
          <w:tcPr>
            <w:tcW w:w="1875" w:type="dxa"/>
          </w:tcPr>
          <w:p w14:paraId="5D29BD46" w14:textId="77777777" w:rsidR="001C4E1A" w:rsidRPr="00C64237" w:rsidRDefault="001C4E1A" w:rsidP="00C64237">
            <w:pPr>
              <w:rPr>
                <w:sz w:val="18"/>
                <w:szCs w:val="18"/>
              </w:rPr>
            </w:pPr>
            <w:r w:rsidRPr="00C64237">
              <w:rPr>
                <w:sz w:val="18"/>
                <w:szCs w:val="18"/>
              </w:rPr>
              <w:t>N=19</w:t>
            </w:r>
          </w:p>
          <w:p w14:paraId="254F0391" w14:textId="77777777" w:rsidR="001C4E1A" w:rsidRPr="00C64237" w:rsidRDefault="001C4E1A" w:rsidP="00C64237">
            <w:pPr>
              <w:rPr>
                <w:sz w:val="18"/>
                <w:szCs w:val="18"/>
              </w:rPr>
            </w:pPr>
            <w:r w:rsidRPr="00C64237">
              <w:rPr>
                <w:w w:val="95"/>
                <w:sz w:val="18"/>
                <w:szCs w:val="18"/>
              </w:rPr>
              <w:t>Neonates-infants</w:t>
            </w:r>
            <w:r w:rsidRPr="00C64237">
              <w:rPr>
                <w:spacing w:val="26"/>
                <w:w w:val="98"/>
                <w:sz w:val="18"/>
                <w:szCs w:val="18"/>
              </w:rPr>
              <w:t xml:space="preserve"> </w:t>
            </w:r>
            <w:r w:rsidRPr="00C64237">
              <w:rPr>
                <w:sz w:val="18"/>
                <w:szCs w:val="18"/>
              </w:rPr>
              <w:t>(NOS)</w:t>
            </w:r>
          </w:p>
        </w:tc>
        <w:tc>
          <w:tcPr>
            <w:tcW w:w="2642" w:type="dxa"/>
          </w:tcPr>
          <w:p w14:paraId="6348A30C" w14:textId="77777777" w:rsidR="001C4E1A" w:rsidRPr="00C64237" w:rsidRDefault="001C4E1A" w:rsidP="00C64237">
            <w:pPr>
              <w:rPr>
                <w:sz w:val="18"/>
                <w:szCs w:val="18"/>
              </w:rPr>
            </w:pPr>
            <w:r w:rsidRPr="00C64237">
              <w:rPr>
                <w:sz w:val="18"/>
                <w:szCs w:val="18"/>
              </w:rPr>
              <w:t>Average</w:t>
            </w:r>
            <w:r w:rsidRPr="00C64237">
              <w:rPr>
                <w:spacing w:val="-18"/>
                <w:sz w:val="18"/>
                <w:szCs w:val="18"/>
              </w:rPr>
              <w:t xml:space="preserve"> </w:t>
            </w:r>
            <w:r w:rsidRPr="00C64237">
              <w:rPr>
                <w:sz w:val="18"/>
                <w:szCs w:val="18"/>
              </w:rPr>
              <w:t>treatment</w:t>
            </w:r>
            <w:r w:rsidRPr="00C64237">
              <w:rPr>
                <w:spacing w:val="-17"/>
                <w:sz w:val="18"/>
                <w:szCs w:val="18"/>
              </w:rPr>
              <w:t xml:space="preserve"> </w:t>
            </w:r>
            <w:r w:rsidRPr="00C64237">
              <w:rPr>
                <w:sz w:val="18"/>
                <w:szCs w:val="18"/>
              </w:rPr>
              <w:t>duration:</w:t>
            </w:r>
            <w:r w:rsidRPr="00C64237">
              <w:rPr>
                <w:spacing w:val="-19"/>
                <w:sz w:val="18"/>
                <w:szCs w:val="18"/>
              </w:rPr>
              <w:t xml:space="preserve"> </w:t>
            </w:r>
            <w:r w:rsidRPr="00C64237">
              <w:rPr>
                <w:sz w:val="18"/>
                <w:szCs w:val="18"/>
              </w:rPr>
              <w:t>3.9</w:t>
            </w:r>
            <w:r w:rsidRPr="00C64237">
              <w:rPr>
                <w:spacing w:val="31"/>
                <w:w w:val="98"/>
                <w:sz w:val="18"/>
                <w:szCs w:val="18"/>
              </w:rPr>
              <w:t xml:space="preserve"> </w:t>
            </w:r>
            <w:r w:rsidRPr="00C64237">
              <w:rPr>
                <w:sz w:val="18"/>
                <w:szCs w:val="18"/>
              </w:rPr>
              <w:t>yrs</w:t>
            </w:r>
          </w:p>
        </w:tc>
      </w:tr>
      <w:tr w:rsidR="001C4E1A" w:rsidRPr="00C64237" w14:paraId="0EF90495" w14:textId="77777777" w:rsidTr="00C64237">
        <w:trPr>
          <w:trHeight w:hRule="exact" w:val="1413"/>
        </w:trPr>
        <w:tc>
          <w:tcPr>
            <w:tcW w:w="1363" w:type="dxa"/>
          </w:tcPr>
          <w:p w14:paraId="4EEAEDDE" w14:textId="77777777" w:rsidR="001C4E1A" w:rsidRPr="00C64237" w:rsidRDefault="001C4E1A" w:rsidP="00C64237">
            <w:pPr>
              <w:rPr>
                <w:sz w:val="18"/>
                <w:szCs w:val="18"/>
              </w:rPr>
            </w:pPr>
            <w:r w:rsidRPr="00C64237">
              <w:rPr>
                <w:w w:val="95"/>
                <w:sz w:val="18"/>
                <w:szCs w:val="18"/>
              </w:rPr>
              <w:t>Maestri</w:t>
            </w:r>
            <w:r w:rsidRPr="00C64237">
              <w:rPr>
                <w:spacing w:val="22"/>
                <w:w w:val="99"/>
                <w:sz w:val="18"/>
                <w:szCs w:val="18"/>
              </w:rPr>
              <w:t xml:space="preserve"> </w:t>
            </w:r>
            <w:r w:rsidRPr="00C64237">
              <w:rPr>
                <w:sz w:val="18"/>
                <w:szCs w:val="18"/>
              </w:rPr>
              <w:t>(1996)</w:t>
            </w:r>
          </w:p>
          <w:p w14:paraId="25B44E45" w14:textId="77777777" w:rsidR="001C4E1A" w:rsidRPr="00C64237" w:rsidRDefault="001C4E1A" w:rsidP="00C64237">
            <w:pPr>
              <w:rPr>
                <w:sz w:val="18"/>
                <w:szCs w:val="18"/>
              </w:rPr>
            </w:pPr>
            <w:r w:rsidRPr="00C64237">
              <w:rPr>
                <w:sz w:val="18"/>
                <w:szCs w:val="18"/>
              </w:rPr>
              <w:t>Protocol</w:t>
            </w:r>
            <w:r w:rsidRPr="00C64237">
              <w:rPr>
                <w:spacing w:val="-18"/>
                <w:sz w:val="18"/>
                <w:szCs w:val="18"/>
              </w:rPr>
              <w:t xml:space="preserve"> </w:t>
            </w:r>
            <w:r w:rsidRPr="00C64237">
              <w:rPr>
                <w:sz w:val="18"/>
                <w:szCs w:val="18"/>
              </w:rPr>
              <w:t>II</w:t>
            </w:r>
          </w:p>
        </w:tc>
        <w:tc>
          <w:tcPr>
            <w:tcW w:w="1349" w:type="dxa"/>
            <w:vMerge w:val="restart"/>
          </w:tcPr>
          <w:p w14:paraId="112B60C5" w14:textId="77777777" w:rsidR="001C4E1A" w:rsidRPr="00C64237" w:rsidRDefault="001C4E1A" w:rsidP="00C64237">
            <w:pPr>
              <w:rPr>
                <w:sz w:val="18"/>
                <w:szCs w:val="18"/>
              </w:rPr>
            </w:pPr>
            <w:r w:rsidRPr="00C64237">
              <w:rPr>
                <w:sz w:val="18"/>
                <w:szCs w:val="18"/>
              </w:rPr>
              <w:t>32</w:t>
            </w:r>
            <w:r w:rsidRPr="00C64237">
              <w:rPr>
                <w:spacing w:val="-9"/>
                <w:sz w:val="18"/>
                <w:szCs w:val="18"/>
              </w:rPr>
              <w:t xml:space="preserve"> </w:t>
            </w:r>
            <w:r w:rsidRPr="00C64237">
              <w:rPr>
                <w:spacing w:val="-2"/>
                <w:sz w:val="18"/>
                <w:szCs w:val="18"/>
              </w:rPr>
              <w:t>OTC</w:t>
            </w:r>
          </w:p>
        </w:tc>
        <w:tc>
          <w:tcPr>
            <w:tcW w:w="1699" w:type="dxa"/>
          </w:tcPr>
          <w:p w14:paraId="482C25C8" w14:textId="77777777" w:rsidR="001C4E1A" w:rsidRPr="00C64237" w:rsidRDefault="001C4E1A" w:rsidP="00C64237">
            <w:pPr>
              <w:rPr>
                <w:sz w:val="18"/>
                <w:szCs w:val="18"/>
              </w:rPr>
            </w:pPr>
            <w:r w:rsidRPr="00C64237">
              <w:rPr>
                <w:sz w:val="18"/>
                <w:szCs w:val="18"/>
              </w:rPr>
              <w:t>250-300</w:t>
            </w:r>
          </w:p>
          <w:p w14:paraId="60B236AE" w14:textId="77777777" w:rsidR="001C4E1A" w:rsidRPr="00C64237" w:rsidRDefault="001C4E1A" w:rsidP="00C64237">
            <w:pPr>
              <w:rPr>
                <w:sz w:val="18"/>
                <w:szCs w:val="18"/>
              </w:rPr>
            </w:pPr>
            <w:r w:rsidRPr="00C64237">
              <w:rPr>
                <w:sz w:val="18"/>
                <w:szCs w:val="18"/>
              </w:rPr>
              <w:t>mg/kg/day</w:t>
            </w:r>
          </w:p>
        </w:tc>
        <w:tc>
          <w:tcPr>
            <w:tcW w:w="1875" w:type="dxa"/>
          </w:tcPr>
          <w:p w14:paraId="2FE8A6ED" w14:textId="77777777" w:rsidR="001C4E1A" w:rsidRPr="00C64237" w:rsidRDefault="001C4E1A" w:rsidP="00C64237">
            <w:pPr>
              <w:rPr>
                <w:sz w:val="18"/>
                <w:szCs w:val="18"/>
              </w:rPr>
            </w:pPr>
            <w:r w:rsidRPr="00C64237">
              <w:rPr>
                <w:sz w:val="18"/>
                <w:szCs w:val="18"/>
              </w:rPr>
              <w:t>N=</w:t>
            </w:r>
            <w:r w:rsidRPr="00C64237">
              <w:rPr>
                <w:spacing w:val="-10"/>
                <w:sz w:val="18"/>
                <w:szCs w:val="18"/>
              </w:rPr>
              <w:t xml:space="preserve"> </w:t>
            </w:r>
            <w:r w:rsidRPr="00C64237">
              <w:rPr>
                <w:sz w:val="18"/>
                <w:szCs w:val="18"/>
              </w:rPr>
              <w:t>22*</w:t>
            </w:r>
          </w:p>
          <w:p w14:paraId="0B58934A" w14:textId="77777777" w:rsidR="001C4E1A" w:rsidRPr="00C64237" w:rsidRDefault="001C4E1A" w:rsidP="00C64237">
            <w:pPr>
              <w:rPr>
                <w:sz w:val="18"/>
                <w:szCs w:val="18"/>
              </w:rPr>
            </w:pPr>
            <w:r w:rsidRPr="00C64237">
              <w:rPr>
                <w:sz w:val="18"/>
                <w:szCs w:val="18"/>
              </w:rPr>
              <w:t>All</w:t>
            </w:r>
            <w:r w:rsidRPr="00C64237">
              <w:rPr>
                <w:spacing w:val="-5"/>
                <w:sz w:val="18"/>
                <w:szCs w:val="18"/>
              </w:rPr>
              <w:t xml:space="preserve"> </w:t>
            </w:r>
            <w:r w:rsidRPr="00C64237">
              <w:rPr>
                <w:sz w:val="18"/>
                <w:szCs w:val="18"/>
              </w:rPr>
              <w:t>F</w:t>
            </w:r>
          </w:p>
          <w:p w14:paraId="60173268" w14:textId="77777777" w:rsidR="001C4E1A" w:rsidRPr="00C64237" w:rsidRDefault="001C4E1A" w:rsidP="00C64237">
            <w:pPr>
              <w:rPr>
                <w:sz w:val="18"/>
                <w:szCs w:val="18"/>
              </w:rPr>
            </w:pPr>
            <w:r w:rsidRPr="00C64237">
              <w:rPr>
                <w:sz w:val="18"/>
                <w:szCs w:val="18"/>
              </w:rPr>
              <w:t>Age</w:t>
            </w:r>
            <w:r w:rsidRPr="00C64237">
              <w:rPr>
                <w:spacing w:val="-18"/>
                <w:sz w:val="18"/>
                <w:szCs w:val="18"/>
              </w:rPr>
              <w:t xml:space="preserve"> </w:t>
            </w:r>
            <w:r w:rsidRPr="00C64237">
              <w:rPr>
                <w:sz w:val="18"/>
                <w:szCs w:val="18"/>
              </w:rPr>
              <w:t>range:</w:t>
            </w:r>
            <w:r w:rsidRPr="00C64237">
              <w:rPr>
                <w:spacing w:val="25"/>
                <w:w w:val="99"/>
                <w:sz w:val="18"/>
                <w:szCs w:val="18"/>
              </w:rPr>
              <w:t xml:space="preserve"> </w:t>
            </w:r>
            <w:r w:rsidRPr="00C64237">
              <w:rPr>
                <w:sz w:val="18"/>
                <w:szCs w:val="18"/>
              </w:rPr>
              <w:t>1-17</w:t>
            </w:r>
            <w:r w:rsidRPr="00C64237">
              <w:rPr>
                <w:spacing w:val="-14"/>
                <w:sz w:val="18"/>
                <w:szCs w:val="18"/>
              </w:rPr>
              <w:t xml:space="preserve"> </w:t>
            </w:r>
            <w:r w:rsidRPr="00C64237">
              <w:rPr>
                <w:sz w:val="18"/>
                <w:szCs w:val="18"/>
              </w:rPr>
              <w:t>yrs</w:t>
            </w:r>
          </w:p>
        </w:tc>
        <w:tc>
          <w:tcPr>
            <w:tcW w:w="2642" w:type="dxa"/>
          </w:tcPr>
          <w:p w14:paraId="74F5A648" w14:textId="77777777" w:rsidR="001C4E1A" w:rsidRPr="00C64237" w:rsidRDefault="001C4E1A" w:rsidP="00C64237">
            <w:pPr>
              <w:rPr>
                <w:sz w:val="18"/>
                <w:szCs w:val="18"/>
              </w:rPr>
            </w:pPr>
            <w:r w:rsidRPr="00C64237">
              <w:rPr>
                <w:sz w:val="18"/>
                <w:szCs w:val="18"/>
              </w:rPr>
              <w:t>Treatment</w:t>
            </w:r>
            <w:r w:rsidRPr="00C64237">
              <w:rPr>
                <w:spacing w:val="-15"/>
                <w:sz w:val="18"/>
                <w:szCs w:val="18"/>
              </w:rPr>
              <w:t>:</w:t>
            </w:r>
            <w:r w:rsidRPr="00C64237">
              <w:rPr>
                <w:spacing w:val="-16"/>
                <w:sz w:val="18"/>
                <w:szCs w:val="18"/>
              </w:rPr>
              <w:t xml:space="preserve"> </w:t>
            </w:r>
            <w:r w:rsidRPr="00C64237">
              <w:rPr>
                <w:sz w:val="18"/>
                <w:szCs w:val="18"/>
              </w:rPr>
              <w:t>81</w:t>
            </w:r>
            <w:r w:rsidRPr="00C64237">
              <w:rPr>
                <w:spacing w:val="-14"/>
                <w:sz w:val="18"/>
                <w:szCs w:val="18"/>
              </w:rPr>
              <w:t xml:space="preserve"> </w:t>
            </w:r>
            <w:r w:rsidRPr="00C64237">
              <w:rPr>
                <w:sz w:val="18"/>
                <w:szCs w:val="18"/>
              </w:rPr>
              <w:t>patient-years</w:t>
            </w:r>
          </w:p>
        </w:tc>
      </w:tr>
      <w:tr w:rsidR="001C4E1A" w:rsidRPr="00C64237" w14:paraId="01A45F0D" w14:textId="77777777" w:rsidTr="00C64237">
        <w:trPr>
          <w:trHeight w:hRule="exact" w:val="1560"/>
        </w:trPr>
        <w:tc>
          <w:tcPr>
            <w:tcW w:w="1363" w:type="dxa"/>
          </w:tcPr>
          <w:p w14:paraId="02317551" w14:textId="77777777" w:rsidR="001C4E1A" w:rsidRPr="00C64237" w:rsidRDefault="001C4E1A" w:rsidP="00C64237">
            <w:pPr>
              <w:rPr>
                <w:sz w:val="18"/>
                <w:szCs w:val="18"/>
              </w:rPr>
            </w:pPr>
            <w:r w:rsidRPr="00C64237">
              <w:rPr>
                <w:w w:val="95"/>
                <w:sz w:val="18"/>
                <w:szCs w:val="18"/>
              </w:rPr>
              <w:t>Maestri</w:t>
            </w:r>
            <w:r w:rsidRPr="00C64237">
              <w:rPr>
                <w:spacing w:val="22"/>
                <w:w w:val="99"/>
                <w:sz w:val="18"/>
                <w:szCs w:val="18"/>
              </w:rPr>
              <w:t xml:space="preserve"> </w:t>
            </w:r>
            <w:r w:rsidRPr="00C64237">
              <w:rPr>
                <w:sz w:val="18"/>
                <w:szCs w:val="18"/>
              </w:rPr>
              <w:t>(1996)</w:t>
            </w:r>
          </w:p>
          <w:p w14:paraId="3E6E45D8" w14:textId="77777777" w:rsidR="001C4E1A" w:rsidRPr="00C64237" w:rsidRDefault="001C4E1A" w:rsidP="00C64237">
            <w:pPr>
              <w:rPr>
                <w:sz w:val="18"/>
                <w:szCs w:val="18"/>
              </w:rPr>
            </w:pPr>
            <w:r w:rsidRPr="00C64237">
              <w:rPr>
                <w:sz w:val="18"/>
                <w:szCs w:val="18"/>
              </w:rPr>
              <w:t>Protocol</w:t>
            </w:r>
            <w:r w:rsidRPr="00C64237">
              <w:rPr>
                <w:spacing w:val="-19"/>
                <w:sz w:val="18"/>
                <w:szCs w:val="18"/>
              </w:rPr>
              <w:t xml:space="preserve"> </w:t>
            </w:r>
            <w:r w:rsidRPr="00C64237">
              <w:rPr>
                <w:sz w:val="18"/>
                <w:szCs w:val="18"/>
              </w:rPr>
              <w:t>III</w:t>
            </w:r>
          </w:p>
        </w:tc>
        <w:tc>
          <w:tcPr>
            <w:tcW w:w="1349" w:type="dxa"/>
            <w:vMerge/>
          </w:tcPr>
          <w:p w14:paraId="277A49C3" w14:textId="77777777" w:rsidR="001C4E1A" w:rsidRPr="00C64237" w:rsidRDefault="001C4E1A" w:rsidP="00C64237">
            <w:pPr>
              <w:rPr>
                <w:sz w:val="18"/>
                <w:szCs w:val="18"/>
              </w:rPr>
            </w:pPr>
          </w:p>
        </w:tc>
        <w:tc>
          <w:tcPr>
            <w:tcW w:w="1699" w:type="dxa"/>
          </w:tcPr>
          <w:p w14:paraId="196C839A" w14:textId="77777777" w:rsidR="001C4E1A" w:rsidRPr="00C64237" w:rsidRDefault="001C4E1A" w:rsidP="00C64237">
            <w:pPr>
              <w:rPr>
                <w:sz w:val="18"/>
                <w:szCs w:val="18"/>
              </w:rPr>
            </w:pPr>
            <w:r w:rsidRPr="00C64237">
              <w:rPr>
                <w:sz w:val="18"/>
                <w:szCs w:val="18"/>
              </w:rPr>
              <w:t>450-600</w:t>
            </w:r>
          </w:p>
          <w:p w14:paraId="7301628A" w14:textId="77777777" w:rsidR="001C4E1A" w:rsidRPr="00C64237" w:rsidRDefault="001C4E1A" w:rsidP="00C64237">
            <w:pPr>
              <w:rPr>
                <w:sz w:val="18"/>
                <w:szCs w:val="18"/>
              </w:rPr>
            </w:pPr>
            <w:r w:rsidRPr="00C64237">
              <w:rPr>
                <w:sz w:val="18"/>
                <w:szCs w:val="18"/>
              </w:rPr>
              <w:t>mg/kg/day</w:t>
            </w:r>
          </w:p>
        </w:tc>
        <w:tc>
          <w:tcPr>
            <w:tcW w:w="1875" w:type="dxa"/>
          </w:tcPr>
          <w:p w14:paraId="172E3FCC" w14:textId="77777777" w:rsidR="001C4E1A" w:rsidRPr="00C64237" w:rsidRDefault="001C4E1A" w:rsidP="00C64237">
            <w:pPr>
              <w:rPr>
                <w:sz w:val="18"/>
                <w:szCs w:val="18"/>
              </w:rPr>
            </w:pPr>
            <w:r w:rsidRPr="00C64237">
              <w:rPr>
                <w:sz w:val="18"/>
                <w:szCs w:val="18"/>
              </w:rPr>
              <w:t>N=28</w:t>
            </w:r>
          </w:p>
          <w:p w14:paraId="64522BBB" w14:textId="77777777" w:rsidR="001C4E1A" w:rsidRPr="00C64237" w:rsidRDefault="001C4E1A" w:rsidP="00C64237">
            <w:pPr>
              <w:rPr>
                <w:sz w:val="18"/>
                <w:szCs w:val="18"/>
              </w:rPr>
            </w:pPr>
            <w:r w:rsidRPr="00C64237">
              <w:rPr>
                <w:sz w:val="18"/>
                <w:szCs w:val="18"/>
              </w:rPr>
              <w:t>All</w:t>
            </w:r>
            <w:r w:rsidRPr="00C64237">
              <w:rPr>
                <w:spacing w:val="-5"/>
                <w:sz w:val="18"/>
                <w:szCs w:val="18"/>
              </w:rPr>
              <w:t xml:space="preserve"> </w:t>
            </w:r>
            <w:r w:rsidRPr="00C64237">
              <w:rPr>
                <w:sz w:val="18"/>
                <w:szCs w:val="18"/>
              </w:rPr>
              <w:t>F</w:t>
            </w:r>
          </w:p>
          <w:p w14:paraId="3F648EBC" w14:textId="77777777" w:rsidR="001C4E1A" w:rsidRPr="00C64237" w:rsidRDefault="001C4E1A" w:rsidP="00C64237">
            <w:pPr>
              <w:rPr>
                <w:sz w:val="18"/>
                <w:szCs w:val="18"/>
              </w:rPr>
            </w:pPr>
            <w:r w:rsidRPr="00C64237">
              <w:rPr>
                <w:sz w:val="18"/>
                <w:szCs w:val="18"/>
              </w:rPr>
              <w:t>Age</w:t>
            </w:r>
            <w:r w:rsidRPr="00C64237">
              <w:rPr>
                <w:spacing w:val="-18"/>
                <w:sz w:val="18"/>
                <w:szCs w:val="18"/>
              </w:rPr>
              <w:t xml:space="preserve"> </w:t>
            </w:r>
            <w:r w:rsidRPr="00C64237">
              <w:rPr>
                <w:sz w:val="18"/>
                <w:szCs w:val="18"/>
              </w:rPr>
              <w:t>range:</w:t>
            </w:r>
            <w:r w:rsidRPr="00C64237">
              <w:rPr>
                <w:spacing w:val="25"/>
                <w:w w:val="99"/>
                <w:sz w:val="18"/>
                <w:szCs w:val="18"/>
              </w:rPr>
              <w:t xml:space="preserve"> </w:t>
            </w:r>
            <w:r w:rsidRPr="00C64237">
              <w:rPr>
                <w:sz w:val="18"/>
                <w:szCs w:val="18"/>
              </w:rPr>
              <w:t>1-17</w:t>
            </w:r>
            <w:r w:rsidRPr="00C64237">
              <w:rPr>
                <w:spacing w:val="-14"/>
                <w:sz w:val="18"/>
                <w:szCs w:val="18"/>
              </w:rPr>
              <w:t xml:space="preserve"> </w:t>
            </w:r>
            <w:r w:rsidRPr="00C64237">
              <w:rPr>
                <w:sz w:val="18"/>
                <w:szCs w:val="18"/>
              </w:rPr>
              <w:t>yrs</w:t>
            </w:r>
          </w:p>
        </w:tc>
        <w:tc>
          <w:tcPr>
            <w:tcW w:w="2642" w:type="dxa"/>
          </w:tcPr>
          <w:p w14:paraId="0FC4880F" w14:textId="77777777" w:rsidR="001C4E1A" w:rsidRPr="00C64237" w:rsidRDefault="001C4E1A" w:rsidP="00C64237">
            <w:pPr>
              <w:rPr>
                <w:sz w:val="18"/>
                <w:szCs w:val="18"/>
              </w:rPr>
            </w:pPr>
            <w:r w:rsidRPr="00C64237">
              <w:rPr>
                <w:sz w:val="18"/>
                <w:szCs w:val="18"/>
              </w:rPr>
              <w:t>Treatment:</w:t>
            </w:r>
            <w:r w:rsidRPr="00C64237">
              <w:rPr>
                <w:spacing w:val="-23"/>
                <w:sz w:val="18"/>
                <w:szCs w:val="18"/>
              </w:rPr>
              <w:t xml:space="preserve"> </w:t>
            </w:r>
            <w:r w:rsidRPr="00C64237">
              <w:rPr>
                <w:sz w:val="18"/>
                <w:szCs w:val="18"/>
              </w:rPr>
              <w:t>165</w:t>
            </w:r>
            <w:r w:rsidRPr="00C64237">
              <w:rPr>
                <w:spacing w:val="-23"/>
                <w:sz w:val="18"/>
                <w:szCs w:val="18"/>
              </w:rPr>
              <w:t xml:space="preserve"> </w:t>
            </w:r>
            <w:r w:rsidRPr="00C64237">
              <w:rPr>
                <w:sz w:val="18"/>
                <w:szCs w:val="18"/>
              </w:rPr>
              <w:t>patient-years</w:t>
            </w:r>
          </w:p>
        </w:tc>
      </w:tr>
      <w:tr w:rsidR="001C4E1A" w:rsidRPr="00C64237" w14:paraId="5B80E6FB" w14:textId="77777777" w:rsidTr="00C64237">
        <w:trPr>
          <w:trHeight w:hRule="exact" w:val="2122"/>
        </w:trPr>
        <w:tc>
          <w:tcPr>
            <w:tcW w:w="1363" w:type="dxa"/>
          </w:tcPr>
          <w:p w14:paraId="19DF20A9" w14:textId="77777777" w:rsidR="001C4E1A" w:rsidRPr="00C64237" w:rsidRDefault="001C4E1A" w:rsidP="00C64237">
            <w:pPr>
              <w:rPr>
                <w:sz w:val="18"/>
                <w:szCs w:val="18"/>
              </w:rPr>
            </w:pPr>
            <w:r w:rsidRPr="00C64237">
              <w:rPr>
                <w:sz w:val="18"/>
                <w:szCs w:val="18"/>
              </w:rPr>
              <w:t>Lee</w:t>
            </w:r>
            <w:r w:rsidRPr="00C64237">
              <w:rPr>
                <w:spacing w:val="-16"/>
                <w:sz w:val="18"/>
                <w:szCs w:val="18"/>
              </w:rPr>
              <w:t xml:space="preserve"> </w:t>
            </w:r>
            <w:r w:rsidRPr="00C64237">
              <w:rPr>
                <w:sz w:val="18"/>
                <w:szCs w:val="18"/>
              </w:rPr>
              <w:t>(2010)</w:t>
            </w:r>
          </w:p>
        </w:tc>
        <w:tc>
          <w:tcPr>
            <w:tcW w:w="1349" w:type="dxa"/>
          </w:tcPr>
          <w:p w14:paraId="1FF4A9F2" w14:textId="77777777" w:rsidR="001C4E1A" w:rsidRPr="00C64237" w:rsidRDefault="001C4E1A" w:rsidP="00C64237">
            <w:pPr>
              <w:rPr>
                <w:sz w:val="18"/>
                <w:szCs w:val="18"/>
              </w:rPr>
            </w:pPr>
            <w:r w:rsidRPr="00C64237">
              <w:rPr>
                <w:sz w:val="18"/>
                <w:szCs w:val="18"/>
              </w:rPr>
              <w:t>8</w:t>
            </w:r>
            <w:r w:rsidRPr="00C64237">
              <w:rPr>
                <w:spacing w:val="-7"/>
                <w:sz w:val="18"/>
                <w:szCs w:val="18"/>
              </w:rPr>
              <w:t xml:space="preserve"> </w:t>
            </w:r>
            <w:r w:rsidRPr="00C64237">
              <w:rPr>
                <w:sz w:val="18"/>
                <w:szCs w:val="18"/>
              </w:rPr>
              <w:t>OTC</w:t>
            </w:r>
          </w:p>
          <w:p w14:paraId="082870E3" w14:textId="77777777" w:rsidR="001C4E1A" w:rsidRPr="00C64237" w:rsidRDefault="001C4E1A" w:rsidP="00C64237">
            <w:pPr>
              <w:rPr>
                <w:sz w:val="18"/>
                <w:szCs w:val="18"/>
              </w:rPr>
            </w:pPr>
            <w:r w:rsidRPr="00C64237">
              <w:rPr>
                <w:sz w:val="18"/>
                <w:szCs w:val="18"/>
              </w:rPr>
              <w:t>1</w:t>
            </w:r>
            <w:r w:rsidRPr="00C64237">
              <w:rPr>
                <w:spacing w:val="-10"/>
                <w:sz w:val="18"/>
                <w:szCs w:val="18"/>
              </w:rPr>
              <w:t xml:space="preserve"> </w:t>
            </w:r>
            <w:r w:rsidRPr="00C64237">
              <w:rPr>
                <w:spacing w:val="1"/>
                <w:sz w:val="18"/>
                <w:szCs w:val="18"/>
              </w:rPr>
              <w:t>ASS</w:t>
            </w:r>
          </w:p>
          <w:p w14:paraId="127F66A2" w14:textId="77777777" w:rsidR="001C4E1A" w:rsidRPr="00C64237" w:rsidRDefault="001C4E1A" w:rsidP="00C64237">
            <w:pPr>
              <w:rPr>
                <w:sz w:val="18"/>
                <w:szCs w:val="18"/>
              </w:rPr>
            </w:pPr>
            <w:r w:rsidRPr="00C64237">
              <w:rPr>
                <w:sz w:val="18"/>
                <w:szCs w:val="18"/>
              </w:rPr>
              <w:t>1</w:t>
            </w:r>
            <w:r w:rsidRPr="00C64237">
              <w:rPr>
                <w:spacing w:val="-4"/>
                <w:sz w:val="18"/>
                <w:szCs w:val="18"/>
              </w:rPr>
              <w:t xml:space="preserve"> </w:t>
            </w:r>
            <w:r w:rsidRPr="00C64237">
              <w:rPr>
                <w:sz w:val="18"/>
                <w:szCs w:val="18"/>
              </w:rPr>
              <w:t>HHH</w:t>
            </w:r>
          </w:p>
        </w:tc>
        <w:tc>
          <w:tcPr>
            <w:tcW w:w="1699" w:type="dxa"/>
          </w:tcPr>
          <w:p w14:paraId="3C910C7D" w14:textId="77777777" w:rsidR="001C4E1A" w:rsidRPr="00C64237" w:rsidRDefault="001C4E1A" w:rsidP="00C64237">
            <w:pPr>
              <w:rPr>
                <w:sz w:val="18"/>
                <w:szCs w:val="18"/>
              </w:rPr>
            </w:pPr>
            <w:r w:rsidRPr="00C64237">
              <w:rPr>
                <w:sz w:val="18"/>
                <w:szCs w:val="18"/>
              </w:rPr>
              <w:t>191</w:t>
            </w:r>
            <w:r w:rsidRPr="00C64237">
              <w:rPr>
                <w:spacing w:val="-13"/>
                <w:sz w:val="18"/>
                <w:szCs w:val="18"/>
              </w:rPr>
              <w:t xml:space="preserve"> </w:t>
            </w:r>
            <w:r w:rsidRPr="00C64237">
              <w:rPr>
                <w:sz w:val="18"/>
                <w:szCs w:val="18"/>
              </w:rPr>
              <w:t>mg/kg/day</w:t>
            </w:r>
            <w:r w:rsidRPr="00C64237">
              <w:rPr>
                <w:spacing w:val="-13"/>
                <w:sz w:val="18"/>
                <w:szCs w:val="18"/>
              </w:rPr>
              <w:t xml:space="preserve"> </w:t>
            </w:r>
            <w:r w:rsidRPr="00C64237">
              <w:rPr>
                <w:sz w:val="18"/>
                <w:szCs w:val="18"/>
              </w:rPr>
              <w:t>=</w:t>
            </w:r>
          </w:p>
          <w:p w14:paraId="2398D903" w14:textId="77777777" w:rsidR="001C4E1A" w:rsidRPr="00C64237" w:rsidRDefault="001C4E1A" w:rsidP="00C64237">
            <w:pPr>
              <w:rPr>
                <w:sz w:val="18"/>
                <w:szCs w:val="18"/>
              </w:rPr>
            </w:pPr>
            <w:r w:rsidRPr="00C64237">
              <w:rPr>
                <w:sz w:val="18"/>
                <w:szCs w:val="18"/>
              </w:rPr>
              <w:t>7.54</w:t>
            </w:r>
            <w:r w:rsidRPr="00C64237">
              <w:rPr>
                <w:spacing w:val="-11"/>
                <w:sz w:val="18"/>
                <w:szCs w:val="18"/>
              </w:rPr>
              <w:t xml:space="preserve"> </w:t>
            </w:r>
            <w:r w:rsidRPr="00C64237">
              <w:rPr>
                <w:sz w:val="18"/>
                <w:szCs w:val="18"/>
              </w:rPr>
              <w:t>g/m</w:t>
            </w:r>
            <w:r w:rsidRPr="00C64237">
              <w:rPr>
                <w:position w:val="7"/>
                <w:sz w:val="18"/>
                <w:szCs w:val="18"/>
              </w:rPr>
              <w:t>2</w:t>
            </w:r>
          </w:p>
        </w:tc>
        <w:tc>
          <w:tcPr>
            <w:tcW w:w="1875" w:type="dxa"/>
          </w:tcPr>
          <w:p w14:paraId="39CA0FCC" w14:textId="77777777" w:rsidR="001C4E1A" w:rsidRPr="00C64237" w:rsidRDefault="001C4E1A" w:rsidP="00C64237">
            <w:pPr>
              <w:rPr>
                <w:sz w:val="18"/>
                <w:szCs w:val="18"/>
              </w:rPr>
            </w:pPr>
            <w:r w:rsidRPr="00C64237">
              <w:rPr>
                <w:sz w:val="18"/>
                <w:szCs w:val="18"/>
              </w:rPr>
              <w:t>N=10</w:t>
            </w:r>
            <w:r w:rsidRPr="00C64237">
              <w:rPr>
                <w:spacing w:val="20"/>
                <w:w w:val="98"/>
                <w:sz w:val="18"/>
                <w:szCs w:val="18"/>
              </w:rPr>
              <w:t xml:space="preserve"> </w:t>
            </w:r>
            <w:r w:rsidRPr="00C64237">
              <w:rPr>
                <w:sz w:val="18"/>
                <w:szCs w:val="18"/>
              </w:rPr>
              <w:t>(4M;</w:t>
            </w:r>
            <w:r w:rsidRPr="00C64237">
              <w:rPr>
                <w:spacing w:val="-13"/>
                <w:sz w:val="18"/>
                <w:szCs w:val="18"/>
              </w:rPr>
              <w:t xml:space="preserve"> </w:t>
            </w:r>
            <w:r w:rsidRPr="00C64237">
              <w:rPr>
                <w:sz w:val="18"/>
                <w:szCs w:val="18"/>
              </w:rPr>
              <w:t>6F)</w:t>
            </w:r>
          </w:p>
          <w:p w14:paraId="17CCD86F" w14:textId="77777777" w:rsidR="001C4E1A" w:rsidRPr="00C64237" w:rsidRDefault="001C4E1A" w:rsidP="00C64237">
            <w:pPr>
              <w:rPr>
                <w:sz w:val="18"/>
                <w:szCs w:val="18"/>
              </w:rPr>
            </w:pPr>
            <w:r w:rsidRPr="00C64237">
              <w:rPr>
                <w:sz w:val="18"/>
                <w:szCs w:val="18"/>
              </w:rPr>
              <w:t>Age</w:t>
            </w:r>
            <w:r w:rsidRPr="00C64237">
              <w:rPr>
                <w:spacing w:val="-18"/>
                <w:sz w:val="18"/>
                <w:szCs w:val="18"/>
              </w:rPr>
              <w:t xml:space="preserve"> </w:t>
            </w:r>
            <w:r w:rsidRPr="00C64237">
              <w:rPr>
                <w:sz w:val="18"/>
                <w:szCs w:val="18"/>
              </w:rPr>
              <w:t>range:</w:t>
            </w:r>
            <w:r w:rsidRPr="00C64237">
              <w:rPr>
                <w:spacing w:val="25"/>
                <w:w w:val="99"/>
                <w:sz w:val="18"/>
                <w:szCs w:val="18"/>
              </w:rPr>
              <w:t xml:space="preserve"> </w:t>
            </w:r>
            <w:r w:rsidRPr="00C64237">
              <w:rPr>
                <w:sz w:val="18"/>
                <w:szCs w:val="18"/>
              </w:rPr>
              <w:t>21-73</w:t>
            </w:r>
            <w:r w:rsidRPr="00C64237">
              <w:rPr>
                <w:spacing w:val="-16"/>
                <w:sz w:val="18"/>
                <w:szCs w:val="18"/>
              </w:rPr>
              <w:t xml:space="preserve"> </w:t>
            </w:r>
            <w:r w:rsidRPr="00C64237">
              <w:rPr>
                <w:sz w:val="18"/>
                <w:szCs w:val="18"/>
              </w:rPr>
              <w:t>yrs</w:t>
            </w:r>
          </w:p>
          <w:p w14:paraId="2897CD34" w14:textId="77777777" w:rsidR="001C4E1A" w:rsidRPr="00C64237" w:rsidRDefault="001C4E1A" w:rsidP="00C64237">
            <w:pPr>
              <w:rPr>
                <w:sz w:val="18"/>
                <w:szCs w:val="18"/>
              </w:rPr>
            </w:pPr>
            <w:r w:rsidRPr="00C64237">
              <w:rPr>
                <w:sz w:val="18"/>
                <w:szCs w:val="18"/>
              </w:rPr>
              <w:t>38.2</w:t>
            </w:r>
            <w:r w:rsidRPr="00C64237">
              <w:rPr>
                <w:spacing w:val="-13"/>
                <w:sz w:val="18"/>
                <w:szCs w:val="18"/>
              </w:rPr>
              <w:t xml:space="preserve"> </w:t>
            </w:r>
            <w:r w:rsidRPr="00C64237">
              <w:rPr>
                <w:sz w:val="18"/>
                <w:szCs w:val="18"/>
              </w:rPr>
              <w:t>(SD)</w:t>
            </w:r>
          </w:p>
        </w:tc>
        <w:tc>
          <w:tcPr>
            <w:tcW w:w="2642" w:type="dxa"/>
          </w:tcPr>
          <w:p w14:paraId="62A8042D" w14:textId="77777777" w:rsidR="001C4E1A" w:rsidRPr="00C64237" w:rsidRDefault="001C4E1A" w:rsidP="00C64237">
            <w:pPr>
              <w:rPr>
                <w:sz w:val="18"/>
                <w:szCs w:val="18"/>
              </w:rPr>
            </w:pPr>
            <w:r w:rsidRPr="00C64237">
              <w:rPr>
                <w:sz w:val="18"/>
                <w:szCs w:val="18"/>
              </w:rPr>
              <w:t>7</w:t>
            </w:r>
            <w:r w:rsidRPr="00C64237">
              <w:rPr>
                <w:spacing w:val="-9"/>
                <w:sz w:val="18"/>
                <w:szCs w:val="18"/>
              </w:rPr>
              <w:t>-day</w:t>
            </w:r>
            <w:r w:rsidRPr="00C64237">
              <w:rPr>
                <w:spacing w:val="-10"/>
                <w:sz w:val="18"/>
                <w:szCs w:val="18"/>
              </w:rPr>
              <w:t xml:space="preserve"> </w:t>
            </w:r>
            <w:r w:rsidRPr="00C64237">
              <w:rPr>
                <w:sz w:val="18"/>
                <w:szCs w:val="18"/>
              </w:rPr>
              <w:t>open</w:t>
            </w:r>
            <w:r w:rsidRPr="00C64237">
              <w:rPr>
                <w:spacing w:val="-8"/>
                <w:sz w:val="18"/>
                <w:szCs w:val="18"/>
              </w:rPr>
              <w:t xml:space="preserve"> </w:t>
            </w:r>
            <w:r w:rsidRPr="00C64237">
              <w:rPr>
                <w:sz w:val="18"/>
                <w:szCs w:val="18"/>
              </w:rPr>
              <w:t>label,</w:t>
            </w:r>
            <w:r w:rsidRPr="00C64237">
              <w:rPr>
                <w:spacing w:val="-9"/>
                <w:sz w:val="18"/>
                <w:szCs w:val="18"/>
              </w:rPr>
              <w:t xml:space="preserve"> </w:t>
            </w:r>
            <w:r w:rsidRPr="00C64237">
              <w:rPr>
                <w:sz w:val="18"/>
                <w:szCs w:val="18"/>
              </w:rPr>
              <w:t>fixed</w:t>
            </w:r>
            <w:r w:rsidRPr="00C64237">
              <w:rPr>
                <w:spacing w:val="29"/>
                <w:w w:val="99"/>
                <w:sz w:val="18"/>
                <w:szCs w:val="18"/>
              </w:rPr>
              <w:t xml:space="preserve"> </w:t>
            </w:r>
            <w:r w:rsidRPr="00C64237">
              <w:rPr>
                <w:sz w:val="18"/>
                <w:szCs w:val="18"/>
              </w:rPr>
              <w:t>sequence,</w:t>
            </w:r>
            <w:r w:rsidRPr="00C64237">
              <w:rPr>
                <w:spacing w:val="-15"/>
                <w:sz w:val="18"/>
                <w:szCs w:val="18"/>
              </w:rPr>
              <w:t xml:space="preserve"> </w:t>
            </w:r>
            <w:r w:rsidRPr="00C64237">
              <w:rPr>
                <w:sz w:val="18"/>
                <w:szCs w:val="18"/>
              </w:rPr>
              <w:t>sodium phenylbutyrate to</w:t>
            </w:r>
            <w:r w:rsidRPr="00C64237">
              <w:rPr>
                <w:spacing w:val="-14"/>
                <w:sz w:val="18"/>
                <w:szCs w:val="18"/>
              </w:rPr>
              <w:t xml:space="preserve"> </w:t>
            </w:r>
            <w:r w:rsidRPr="00C64237">
              <w:rPr>
                <w:sz w:val="18"/>
                <w:szCs w:val="18"/>
              </w:rPr>
              <w:t>GBP</w:t>
            </w:r>
            <w:r w:rsidRPr="00C64237">
              <w:rPr>
                <w:spacing w:val="29"/>
                <w:w w:val="99"/>
                <w:sz w:val="18"/>
                <w:szCs w:val="18"/>
              </w:rPr>
              <w:t xml:space="preserve"> </w:t>
            </w:r>
            <w:r w:rsidRPr="00C64237">
              <w:rPr>
                <w:sz w:val="18"/>
                <w:szCs w:val="18"/>
              </w:rPr>
              <w:t>switchover.</w:t>
            </w:r>
          </w:p>
          <w:p w14:paraId="62B52CB4" w14:textId="77777777" w:rsidR="001C4E1A" w:rsidRPr="00C64237" w:rsidRDefault="001C4E1A" w:rsidP="00C64237">
            <w:pPr>
              <w:rPr>
                <w:sz w:val="18"/>
                <w:szCs w:val="18"/>
              </w:rPr>
            </w:pPr>
            <w:r w:rsidRPr="00C64237">
              <w:rPr>
                <w:sz w:val="18"/>
                <w:szCs w:val="18"/>
              </w:rPr>
              <w:t>sodium phenylbutyrate average</w:t>
            </w:r>
            <w:r w:rsidRPr="00C64237">
              <w:rPr>
                <w:spacing w:val="-17"/>
                <w:sz w:val="18"/>
                <w:szCs w:val="18"/>
              </w:rPr>
              <w:t xml:space="preserve"> </w:t>
            </w:r>
            <w:r w:rsidRPr="00C64237">
              <w:rPr>
                <w:sz w:val="18"/>
                <w:szCs w:val="18"/>
              </w:rPr>
              <w:t>treatment</w:t>
            </w:r>
            <w:r w:rsidRPr="00C64237">
              <w:rPr>
                <w:spacing w:val="21"/>
                <w:w w:val="99"/>
                <w:sz w:val="18"/>
                <w:szCs w:val="18"/>
              </w:rPr>
              <w:t xml:space="preserve"> </w:t>
            </w:r>
            <w:r w:rsidRPr="00C64237">
              <w:rPr>
                <w:sz w:val="18"/>
                <w:szCs w:val="18"/>
              </w:rPr>
              <w:t>duration</w:t>
            </w:r>
            <w:r w:rsidRPr="00C64237">
              <w:rPr>
                <w:spacing w:val="-13"/>
                <w:sz w:val="18"/>
                <w:szCs w:val="18"/>
              </w:rPr>
              <w:t xml:space="preserve"> </w:t>
            </w:r>
            <w:r w:rsidRPr="00C64237">
              <w:rPr>
                <w:sz w:val="18"/>
                <w:szCs w:val="18"/>
              </w:rPr>
              <w:t>:9.04</w:t>
            </w:r>
            <w:r w:rsidRPr="00C64237">
              <w:rPr>
                <w:spacing w:val="-13"/>
                <w:sz w:val="18"/>
                <w:szCs w:val="18"/>
              </w:rPr>
              <w:t xml:space="preserve"> </w:t>
            </w:r>
            <w:r w:rsidRPr="00C64237">
              <w:rPr>
                <w:sz w:val="18"/>
                <w:szCs w:val="18"/>
              </w:rPr>
              <w:t>yrs</w:t>
            </w:r>
            <w:r w:rsidRPr="00C64237">
              <w:rPr>
                <w:spacing w:val="-12"/>
                <w:sz w:val="18"/>
                <w:szCs w:val="18"/>
              </w:rPr>
              <w:t xml:space="preserve"> </w:t>
            </w:r>
            <w:r w:rsidRPr="00C64237">
              <w:rPr>
                <w:sz w:val="18"/>
                <w:szCs w:val="18"/>
              </w:rPr>
              <w:t>(SD)</w:t>
            </w:r>
          </w:p>
        </w:tc>
      </w:tr>
      <w:tr w:rsidR="001C4E1A" w:rsidRPr="00C64237" w14:paraId="5F7F56F0" w14:textId="77777777" w:rsidTr="00C64237">
        <w:trPr>
          <w:trHeight w:hRule="exact" w:val="2124"/>
        </w:trPr>
        <w:tc>
          <w:tcPr>
            <w:tcW w:w="1363" w:type="dxa"/>
          </w:tcPr>
          <w:p w14:paraId="7B2A131B" w14:textId="77777777" w:rsidR="001C4E1A" w:rsidRPr="00C64237" w:rsidRDefault="001C4E1A" w:rsidP="00C64237">
            <w:pPr>
              <w:rPr>
                <w:sz w:val="18"/>
                <w:szCs w:val="18"/>
              </w:rPr>
            </w:pPr>
            <w:r w:rsidRPr="00C64237">
              <w:rPr>
                <w:sz w:val="18"/>
                <w:szCs w:val="18"/>
              </w:rPr>
              <w:t>Lichter-</w:t>
            </w:r>
            <w:r w:rsidRPr="00C64237">
              <w:rPr>
                <w:spacing w:val="23"/>
                <w:w w:val="99"/>
                <w:sz w:val="18"/>
                <w:szCs w:val="18"/>
              </w:rPr>
              <w:t xml:space="preserve"> </w:t>
            </w:r>
            <w:r w:rsidRPr="00C64237">
              <w:rPr>
                <w:w w:val="95"/>
                <w:sz w:val="18"/>
                <w:szCs w:val="18"/>
              </w:rPr>
              <w:t>Konecki</w:t>
            </w:r>
            <w:r w:rsidRPr="00C64237">
              <w:rPr>
                <w:spacing w:val="23"/>
                <w:w w:val="99"/>
                <w:sz w:val="18"/>
                <w:szCs w:val="18"/>
              </w:rPr>
              <w:t xml:space="preserve"> </w:t>
            </w:r>
            <w:r w:rsidRPr="00C64237">
              <w:rPr>
                <w:sz w:val="18"/>
                <w:szCs w:val="18"/>
              </w:rPr>
              <w:t>(2011)</w:t>
            </w:r>
          </w:p>
        </w:tc>
        <w:tc>
          <w:tcPr>
            <w:tcW w:w="1349" w:type="dxa"/>
          </w:tcPr>
          <w:p w14:paraId="182BF08B" w14:textId="77777777" w:rsidR="001C4E1A" w:rsidRPr="00C64237" w:rsidRDefault="001C4E1A" w:rsidP="00C64237">
            <w:pPr>
              <w:rPr>
                <w:sz w:val="18"/>
                <w:szCs w:val="18"/>
              </w:rPr>
            </w:pPr>
            <w:r w:rsidRPr="00C64237">
              <w:rPr>
                <w:sz w:val="18"/>
                <w:szCs w:val="18"/>
              </w:rPr>
              <w:t>9</w:t>
            </w:r>
            <w:r w:rsidRPr="00C64237">
              <w:rPr>
                <w:spacing w:val="-7"/>
                <w:sz w:val="18"/>
                <w:szCs w:val="18"/>
              </w:rPr>
              <w:t xml:space="preserve"> </w:t>
            </w:r>
            <w:r w:rsidRPr="00C64237">
              <w:rPr>
                <w:sz w:val="18"/>
                <w:szCs w:val="18"/>
              </w:rPr>
              <w:t>OTC</w:t>
            </w:r>
          </w:p>
          <w:p w14:paraId="68B7B007" w14:textId="77777777" w:rsidR="001C4E1A" w:rsidRPr="00C64237" w:rsidRDefault="001C4E1A" w:rsidP="00C64237">
            <w:pPr>
              <w:rPr>
                <w:sz w:val="18"/>
                <w:szCs w:val="18"/>
              </w:rPr>
            </w:pPr>
            <w:r w:rsidRPr="00C64237">
              <w:rPr>
                <w:sz w:val="18"/>
                <w:szCs w:val="18"/>
              </w:rPr>
              <w:t>1</w:t>
            </w:r>
            <w:r w:rsidRPr="00C64237">
              <w:rPr>
                <w:spacing w:val="-10"/>
                <w:sz w:val="18"/>
                <w:szCs w:val="18"/>
              </w:rPr>
              <w:t xml:space="preserve"> </w:t>
            </w:r>
            <w:r w:rsidRPr="00C64237">
              <w:rPr>
                <w:spacing w:val="1"/>
                <w:sz w:val="18"/>
                <w:szCs w:val="18"/>
              </w:rPr>
              <w:t>ASS</w:t>
            </w:r>
          </w:p>
          <w:p w14:paraId="69E8EAD6" w14:textId="77777777" w:rsidR="001C4E1A" w:rsidRPr="00C64237" w:rsidRDefault="001C4E1A" w:rsidP="00C64237">
            <w:pPr>
              <w:rPr>
                <w:sz w:val="18"/>
                <w:szCs w:val="18"/>
              </w:rPr>
            </w:pPr>
            <w:r w:rsidRPr="00C64237">
              <w:rPr>
                <w:w w:val="95"/>
                <w:sz w:val="18"/>
                <w:szCs w:val="18"/>
              </w:rPr>
              <w:t>deficiency</w:t>
            </w:r>
            <w:r w:rsidRPr="00C64237">
              <w:rPr>
                <w:spacing w:val="24"/>
                <w:w w:val="98"/>
                <w:sz w:val="18"/>
                <w:szCs w:val="18"/>
              </w:rPr>
              <w:t xml:space="preserve"> </w:t>
            </w:r>
            <w:r w:rsidRPr="00C64237">
              <w:rPr>
                <w:sz w:val="18"/>
                <w:szCs w:val="18"/>
              </w:rPr>
              <w:t>1</w:t>
            </w:r>
            <w:r w:rsidRPr="00C64237">
              <w:rPr>
                <w:spacing w:val="-10"/>
                <w:sz w:val="18"/>
                <w:szCs w:val="18"/>
              </w:rPr>
              <w:t xml:space="preserve"> </w:t>
            </w:r>
            <w:r w:rsidRPr="00C64237">
              <w:rPr>
                <w:spacing w:val="1"/>
                <w:sz w:val="18"/>
                <w:szCs w:val="18"/>
              </w:rPr>
              <w:t>ASL</w:t>
            </w:r>
          </w:p>
          <w:p w14:paraId="2785FBF8" w14:textId="77777777" w:rsidR="001C4E1A" w:rsidRPr="00C64237" w:rsidRDefault="001C4E1A" w:rsidP="00C64237">
            <w:pPr>
              <w:rPr>
                <w:sz w:val="18"/>
                <w:szCs w:val="18"/>
              </w:rPr>
            </w:pPr>
            <w:r w:rsidRPr="00C64237">
              <w:rPr>
                <w:sz w:val="18"/>
                <w:szCs w:val="18"/>
              </w:rPr>
              <w:t>deficiency</w:t>
            </w:r>
          </w:p>
        </w:tc>
        <w:tc>
          <w:tcPr>
            <w:tcW w:w="1699" w:type="dxa"/>
          </w:tcPr>
          <w:p w14:paraId="5A2025F8" w14:textId="77777777" w:rsidR="001C4E1A" w:rsidRPr="00C64237" w:rsidRDefault="001C4E1A" w:rsidP="00C64237">
            <w:pPr>
              <w:rPr>
                <w:sz w:val="18"/>
                <w:szCs w:val="18"/>
              </w:rPr>
            </w:pPr>
            <w:r w:rsidRPr="00C64237">
              <w:rPr>
                <w:sz w:val="18"/>
                <w:szCs w:val="18"/>
              </w:rPr>
              <w:t>12.4</w:t>
            </w:r>
            <w:r w:rsidRPr="00C64237">
              <w:rPr>
                <w:spacing w:val="-8"/>
                <w:sz w:val="18"/>
                <w:szCs w:val="18"/>
              </w:rPr>
              <w:t xml:space="preserve"> </w:t>
            </w:r>
            <w:r w:rsidRPr="00C64237">
              <w:rPr>
                <w:sz w:val="18"/>
                <w:szCs w:val="18"/>
              </w:rPr>
              <w:t>g/d</w:t>
            </w:r>
            <w:r w:rsidRPr="00C64237">
              <w:rPr>
                <w:spacing w:val="44"/>
                <w:sz w:val="18"/>
                <w:szCs w:val="18"/>
              </w:rPr>
              <w:t xml:space="preserve"> </w:t>
            </w:r>
            <w:r w:rsidRPr="00C64237">
              <w:rPr>
                <w:sz w:val="18"/>
                <w:szCs w:val="18"/>
              </w:rPr>
              <w:t>(SD)</w:t>
            </w:r>
            <w:r w:rsidRPr="00C64237">
              <w:rPr>
                <w:spacing w:val="28"/>
                <w:w w:val="99"/>
                <w:sz w:val="18"/>
                <w:szCs w:val="18"/>
              </w:rPr>
              <w:t xml:space="preserve"> </w:t>
            </w:r>
            <w:r w:rsidRPr="00C64237">
              <w:rPr>
                <w:sz w:val="18"/>
                <w:szCs w:val="18"/>
              </w:rPr>
              <w:t>(=322mg/kg/d</w:t>
            </w:r>
            <w:r w:rsidRPr="00C64237">
              <w:rPr>
                <w:spacing w:val="-23"/>
                <w:sz w:val="18"/>
                <w:szCs w:val="18"/>
              </w:rPr>
              <w:t xml:space="preserve"> </w:t>
            </w:r>
            <w:r w:rsidRPr="00C64237">
              <w:rPr>
                <w:sz w:val="18"/>
                <w:szCs w:val="18"/>
              </w:rPr>
              <w:t>or</w:t>
            </w:r>
            <w:r w:rsidRPr="00C64237">
              <w:rPr>
                <w:spacing w:val="28"/>
                <w:w w:val="98"/>
                <w:sz w:val="18"/>
                <w:szCs w:val="18"/>
              </w:rPr>
              <w:t xml:space="preserve"> </w:t>
            </w:r>
            <w:r w:rsidRPr="00C64237">
              <w:rPr>
                <w:sz w:val="18"/>
                <w:szCs w:val="18"/>
              </w:rPr>
              <w:t>10.2g/m</w:t>
            </w:r>
            <w:r w:rsidRPr="00C64237">
              <w:rPr>
                <w:position w:val="7"/>
                <w:sz w:val="18"/>
                <w:szCs w:val="18"/>
              </w:rPr>
              <w:t>2)</w:t>
            </w:r>
          </w:p>
        </w:tc>
        <w:tc>
          <w:tcPr>
            <w:tcW w:w="1875" w:type="dxa"/>
          </w:tcPr>
          <w:p w14:paraId="1E5D82DF" w14:textId="77777777" w:rsidR="001C4E1A" w:rsidRPr="00C64237" w:rsidRDefault="001C4E1A" w:rsidP="00C64237">
            <w:pPr>
              <w:rPr>
                <w:sz w:val="18"/>
                <w:szCs w:val="18"/>
              </w:rPr>
            </w:pPr>
            <w:r w:rsidRPr="00C64237">
              <w:rPr>
                <w:sz w:val="18"/>
                <w:szCs w:val="18"/>
              </w:rPr>
              <w:t>N=11</w:t>
            </w:r>
            <w:r w:rsidRPr="00C64237">
              <w:rPr>
                <w:spacing w:val="20"/>
                <w:w w:val="98"/>
                <w:sz w:val="18"/>
                <w:szCs w:val="18"/>
              </w:rPr>
              <w:t xml:space="preserve"> </w:t>
            </w:r>
            <w:r w:rsidRPr="00C64237">
              <w:rPr>
                <w:sz w:val="18"/>
                <w:szCs w:val="18"/>
              </w:rPr>
              <w:t>(10F;</w:t>
            </w:r>
            <w:r w:rsidRPr="00C64237">
              <w:rPr>
                <w:spacing w:val="-18"/>
                <w:sz w:val="18"/>
                <w:szCs w:val="18"/>
              </w:rPr>
              <w:t xml:space="preserve"> </w:t>
            </w:r>
            <w:r w:rsidRPr="00C64237">
              <w:rPr>
                <w:sz w:val="18"/>
                <w:szCs w:val="18"/>
              </w:rPr>
              <w:t>1M)</w:t>
            </w:r>
          </w:p>
          <w:p w14:paraId="04726E72" w14:textId="77777777" w:rsidR="001C4E1A" w:rsidRPr="00C64237" w:rsidRDefault="001C4E1A" w:rsidP="00C64237">
            <w:pPr>
              <w:rPr>
                <w:sz w:val="18"/>
                <w:szCs w:val="18"/>
              </w:rPr>
            </w:pPr>
            <w:r w:rsidRPr="00C64237">
              <w:rPr>
                <w:sz w:val="18"/>
                <w:szCs w:val="18"/>
              </w:rPr>
              <w:t>Age:</w:t>
            </w:r>
            <w:r w:rsidRPr="00C64237">
              <w:rPr>
                <w:spacing w:val="-13"/>
                <w:sz w:val="18"/>
                <w:szCs w:val="18"/>
              </w:rPr>
              <w:t xml:space="preserve"> </w:t>
            </w:r>
            <w:r w:rsidRPr="00C64237">
              <w:rPr>
                <w:sz w:val="18"/>
                <w:szCs w:val="18"/>
              </w:rPr>
              <w:t>10.2</w:t>
            </w:r>
            <w:r w:rsidRPr="00C64237">
              <w:rPr>
                <w:spacing w:val="-13"/>
                <w:sz w:val="18"/>
                <w:szCs w:val="18"/>
              </w:rPr>
              <w:t xml:space="preserve"> </w:t>
            </w:r>
            <w:r w:rsidRPr="00C64237">
              <w:rPr>
                <w:sz w:val="18"/>
                <w:szCs w:val="18"/>
              </w:rPr>
              <w:t>(SD)</w:t>
            </w:r>
          </w:p>
          <w:p w14:paraId="3503BF31" w14:textId="77777777" w:rsidR="001C4E1A" w:rsidRPr="00C64237" w:rsidRDefault="001C4E1A" w:rsidP="00C64237">
            <w:pPr>
              <w:rPr>
                <w:sz w:val="18"/>
                <w:szCs w:val="18"/>
              </w:rPr>
            </w:pPr>
            <w:r w:rsidRPr="00C64237">
              <w:rPr>
                <w:sz w:val="18"/>
                <w:szCs w:val="18"/>
              </w:rPr>
              <w:t>Age</w:t>
            </w:r>
            <w:r w:rsidRPr="00C64237">
              <w:rPr>
                <w:spacing w:val="-18"/>
                <w:sz w:val="18"/>
                <w:szCs w:val="18"/>
              </w:rPr>
              <w:t xml:space="preserve"> </w:t>
            </w:r>
            <w:r w:rsidRPr="00C64237">
              <w:rPr>
                <w:sz w:val="18"/>
                <w:szCs w:val="18"/>
              </w:rPr>
              <w:t>range:</w:t>
            </w:r>
            <w:r w:rsidRPr="00C64237">
              <w:rPr>
                <w:spacing w:val="25"/>
                <w:w w:val="99"/>
                <w:sz w:val="18"/>
                <w:szCs w:val="18"/>
              </w:rPr>
              <w:t xml:space="preserve"> </w:t>
            </w:r>
            <w:r w:rsidRPr="00C64237">
              <w:rPr>
                <w:sz w:val="18"/>
                <w:szCs w:val="18"/>
              </w:rPr>
              <w:t>6-17</w:t>
            </w:r>
            <w:r w:rsidRPr="00C64237">
              <w:rPr>
                <w:spacing w:val="-14"/>
                <w:sz w:val="18"/>
                <w:szCs w:val="18"/>
              </w:rPr>
              <w:t xml:space="preserve"> </w:t>
            </w:r>
            <w:r w:rsidRPr="00C64237">
              <w:rPr>
                <w:sz w:val="18"/>
                <w:szCs w:val="18"/>
              </w:rPr>
              <w:t>yrs</w:t>
            </w:r>
          </w:p>
        </w:tc>
        <w:tc>
          <w:tcPr>
            <w:tcW w:w="2642" w:type="dxa"/>
          </w:tcPr>
          <w:p w14:paraId="6BCA81FB" w14:textId="77777777" w:rsidR="001C4E1A" w:rsidRPr="00C64237" w:rsidRDefault="001C4E1A" w:rsidP="00C64237">
            <w:pPr>
              <w:rPr>
                <w:sz w:val="18"/>
                <w:szCs w:val="18"/>
              </w:rPr>
            </w:pPr>
            <w:r w:rsidRPr="00C64237">
              <w:rPr>
                <w:sz w:val="18"/>
                <w:szCs w:val="18"/>
              </w:rPr>
              <w:t>7</w:t>
            </w:r>
            <w:r w:rsidRPr="00C64237">
              <w:rPr>
                <w:spacing w:val="-9"/>
                <w:sz w:val="18"/>
                <w:szCs w:val="18"/>
              </w:rPr>
              <w:t>-day</w:t>
            </w:r>
            <w:r w:rsidRPr="00C64237">
              <w:rPr>
                <w:spacing w:val="-10"/>
                <w:sz w:val="18"/>
                <w:szCs w:val="18"/>
              </w:rPr>
              <w:t xml:space="preserve"> </w:t>
            </w:r>
            <w:r w:rsidRPr="00C64237">
              <w:rPr>
                <w:sz w:val="18"/>
                <w:szCs w:val="18"/>
              </w:rPr>
              <w:t>open</w:t>
            </w:r>
            <w:r w:rsidRPr="00C64237">
              <w:rPr>
                <w:spacing w:val="-8"/>
                <w:sz w:val="18"/>
                <w:szCs w:val="18"/>
              </w:rPr>
              <w:t xml:space="preserve"> </w:t>
            </w:r>
            <w:r w:rsidRPr="00C64237">
              <w:rPr>
                <w:sz w:val="18"/>
                <w:szCs w:val="18"/>
              </w:rPr>
              <w:t>label,</w:t>
            </w:r>
            <w:r w:rsidRPr="00C64237">
              <w:rPr>
                <w:spacing w:val="-9"/>
                <w:sz w:val="18"/>
                <w:szCs w:val="18"/>
              </w:rPr>
              <w:t xml:space="preserve"> </w:t>
            </w:r>
            <w:r w:rsidRPr="00C64237">
              <w:rPr>
                <w:sz w:val="18"/>
                <w:szCs w:val="18"/>
              </w:rPr>
              <w:t>fixed</w:t>
            </w:r>
            <w:r w:rsidRPr="00C64237">
              <w:rPr>
                <w:spacing w:val="29"/>
                <w:w w:val="99"/>
                <w:sz w:val="18"/>
                <w:szCs w:val="18"/>
              </w:rPr>
              <w:t xml:space="preserve"> </w:t>
            </w:r>
            <w:r w:rsidRPr="00C64237">
              <w:rPr>
                <w:sz w:val="18"/>
                <w:szCs w:val="18"/>
              </w:rPr>
              <w:t>sequence,</w:t>
            </w:r>
            <w:r w:rsidRPr="00C64237">
              <w:rPr>
                <w:spacing w:val="-15"/>
                <w:sz w:val="18"/>
                <w:szCs w:val="18"/>
              </w:rPr>
              <w:t xml:space="preserve"> </w:t>
            </w:r>
            <w:r w:rsidRPr="00C64237">
              <w:rPr>
                <w:sz w:val="18"/>
                <w:szCs w:val="18"/>
              </w:rPr>
              <w:t>sodium phenylbutyrate to</w:t>
            </w:r>
            <w:r w:rsidRPr="00C64237">
              <w:rPr>
                <w:spacing w:val="-13"/>
                <w:sz w:val="18"/>
                <w:szCs w:val="18"/>
              </w:rPr>
              <w:t xml:space="preserve"> </w:t>
            </w:r>
            <w:r w:rsidRPr="00C64237">
              <w:rPr>
                <w:sz w:val="18"/>
                <w:szCs w:val="18"/>
              </w:rPr>
              <w:t>GPB</w:t>
            </w:r>
            <w:r w:rsidRPr="00C64237">
              <w:rPr>
                <w:spacing w:val="29"/>
                <w:w w:val="98"/>
                <w:sz w:val="18"/>
                <w:szCs w:val="18"/>
              </w:rPr>
              <w:t xml:space="preserve"> </w:t>
            </w:r>
            <w:r w:rsidRPr="00C64237">
              <w:rPr>
                <w:sz w:val="18"/>
                <w:szCs w:val="18"/>
              </w:rPr>
              <w:t>switchover</w:t>
            </w:r>
          </w:p>
          <w:p w14:paraId="52E96974" w14:textId="77777777" w:rsidR="001C4E1A" w:rsidRPr="00C64237" w:rsidRDefault="001C4E1A" w:rsidP="00C64237">
            <w:pPr>
              <w:rPr>
                <w:sz w:val="18"/>
                <w:szCs w:val="18"/>
              </w:rPr>
            </w:pPr>
            <w:r w:rsidRPr="00C64237">
              <w:rPr>
                <w:sz w:val="18"/>
                <w:szCs w:val="18"/>
              </w:rPr>
              <w:t>(sodium phenylbutyrate average</w:t>
            </w:r>
            <w:r w:rsidRPr="00C64237">
              <w:rPr>
                <w:spacing w:val="-19"/>
                <w:sz w:val="18"/>
                <w:szCs w:val="18"/>
              </w:rPr>
              <w:t xml:space="preserve"> </w:t>
            </w:r>
            <w:r w:rsidRPr="00C64237">
              <w:rPr>
                <w:sz w:val="18"/>
                <w:szCs w:val="18"/>
              </w:rPr>
              <w:t>treatment</w:t>
            </w:r>
            <w:r w:rsidRPr="00C64237">
              <w:rPr>
                <w:spacing w:val="28"/>
                <w:w w:val="99"/>
                <w:sz w:val="18"/>
                <w:szCs w:val="18"/>
              </w:rPr>
              <w:t xml:space="preserve"> </w:t>
            </w:r>
            <w:r w:rsidRPr="00C64237">
              <w:rPr>
                <w:sz w:val="18"/>
                <w:szCs w:val="18"/>
              </w:rPr>
              <w:t>duration:</w:t>
            </w:r>
            <w:r w:rsidRPr="00C64237">
              <w:rPr>
                <w:spacing w:val="-14"/>
                <w:sz w:val="18"/>
                <w:szCs w:val="18"/>
              </w:rPr>
              <w:t xml:space="preserve"> </w:t>
            </w:r>
            <w:r w:rsidRPr="00C64237">
              <w:rPr>
                <w:sz w:val="18"/>
                <w:szCs w:val="18"/>
              </w:rPr>
              <w:t>74.68</w:t>
            </w:r>
            <w:r w:rsidRPr="00C64237">
              <w:rPr>
                <w:spacing w:val="-14"/>
                <w:sz w:val="18"/>
                <w:szCs w:val="18"/>
              </w:rPr>
              <w:t xml:space="preserve"> </w:t>
            </w:r>
            <w:r w:rsidRPr="00C64237">
              <w:rPr>
                <w:sz w:val="18"/>
                <w:szCs w:val="18"/>
              </w:rPr>
              <w:t>mths</w:t>
            </w:r>
            <w:r w:rsidRPr="00C64237">
              <w:rPr>
                <w:spacing w:val="-12"/>
                <w:sz w:val="18"/>
                <w:szCs w:val="18"/>
              </w:rPr>
              <w:t xml:space="preserve"> </w:t>
            </w:r>
            <w:r w:rsidRPr="00C64237">
              <w:rPr>
                <w:sz w:val="18"/>
                <w:szCs w:val="18"/>
              </w:rPr>
              <w:t>(SD)</w:t>
            </w:r>
          </w:p>
        </w:tc>
      </w:tr>
      <w:tr w:rsidR="001C4E1A" w:rsidRPr="00C64237" w14:paraId="75E1AF87" w14:textId="77777777" w:rsidTr="00DC62AD">
        <w:trPr>
          <w:trHeight w:hRule="exact" w:val="1984"/>
        </w:trPr>
        <w:tc>
          <w:tcPr>
            <w:tcW w:w="1363" w:type="dxa"/>
          </w:tcPr>
          <w:p w14:paraId="33372030" w14:textId="77777777" w:rsidR="001C4E1A" w:rsidRPr="00C64237" w:rsidRDefault="001C4E1A" w:rsidP="00C64237">
            <w:pPr>
              <w:rPr>
                <w:sz w:val="18"/>
                <w:szCs w:val="18"/>
              </w:rPr>
            </w:pPr>
            <w:r w:rsidRPr="00C64237">
              <w:rPr>
                <w:sz w:val="18"/>
                <w:szCs w:val="18"/>
              </w:rPr>
              <w:t>Diaz</w:t>
            </w:r>
            <w:r w:rsidRPr="00C64237">
              <w:rPr>
                <w:spacing w:val="-18"/>
                <w:sz w:val="18"/>
                <w:szCs w:val="18"/>
              </w:rPr>
              <w:t xml:space="preserve"> </w:t>
            </w:r>
            <w:r w:rsidRPr="00C64237">
              <w:rPr>
                <w:sz w:val="18"/>
                <w:szCs w:val="18"/>
              </w:rPr>
              <w:t>(2013)</w:t>
            </w:r>
          </w:p>
        </w:tc>
        <w:tc>
          <w:tcPr>
            <w:tcW w:w="1349" w:type="dxa"/>
          </w:tcPr>
          <w:p w14:paraId="64DA9399" w14:textId="77777777" w:rsidR="001C4E1A" w:rsidRPr="00C64237" w:rsidRDefault="001C4E1A" w:rsidP="00C64237">
            <w:pPr>
              <w:rPr>
                <w:sz w:val="18"/>
                <w:szCs w:val="18"/>
              </w:rPr>
            </w:pPr>
            <w:r w:rsidRPr="00C64237">
              <w:rPr>
                <w:sz w:val="18"/>
                <w:szCs w:val="18"/>
              </w:rPr>
              <w:t>40</w:t>
            </w:r>
            <w:r w:rsidRPr="00C64237">
              <w:rPr>
                <w:spacing w:val="-9"/>
                <w:sz w:val="18"/>
                <w:szCs w:val="18"/>
              </w:rPr>
              <w:t xml:space="preserve"> </w:t>
            </w:r>
            <w:r w:rsidRPr="00C64237">
              <w:rPr>
                <w:spacing w:val="-2"/>
                <w:sz w:val="18"/>
                <w:szCs w:val="18"/>
              </w:rPr>
              <w:t>OTC</w:t>
            </w:r>
          </w:p>
          <w:p w14:paraId="305D3D55" w14:textId="77777777" w:rsidR="001C4E1A" w:rsidRPr="00C64237" w:rsidRDefault="001C4E1A" w:rsidP="00C64237">
            <w:pPr>
              <w:rPr>
                <w:sz w:val="18"/>
                <w:szCs w:val="18"/>
              </w:rPr>
            </w:pPr>
            <w:r w:rsidRPr="00C64237">
              <w:rPr>
                <w:sz w:val="18"/>
                <w:szCs w:val="18"/>
              </w:rPr>
              <w:t>CPS1</w:t>
            </w:r>
          </w:p>
          <w:p w14:paraId="0406BD2D" w14:textId="77777777" w:rsidR="001C4E1A" w:rsidRPr="00C64237" w:rsidRDefault="001C4E1A" w:rsidP="00C64237">
            <w:pPr>
              <w:rPr>
                <w:sz w:val="18"/>
                <w:szCs w:val="18"/>
              </w:rPr>
            </w:pPr>
            <w:r w:rsidRPr="00C64237">
              <w:rPr>
                <w:sz w:val="18"/>
                <w:szCs w:val="18"/>
              </w:rPr>
              <w:t>ASS1</w:t>
            </w:r>
          </w:p>
        </w:tc>
        <w:tc>
          <w:tcPr>
            <w:tcW w:w="1699" w:type="dxa"/>
          </w:tcPr>
          <w:p w14:paraId="11940BEA" w14:textId="77777777" w:rsidR="001C4E1A" w:rsidRPr="00C64237" w:rsidRDefault="001C4E1A" w:rsidP="00C64237">
            <w:pPr>
              <w:rPr>
                <w:sz w:val="18"/>
                <w:szCs w:val="18"/>
              </w:rPr>
            </w:pPr>
            <w:r w:rsidRPr="00C64237">
              <w:rPr>
                <w:sz w:val="18"/>
                <w:szCs w:val="18"/>
              </w:rPr>
              <w:t>12.33g/d</w:t>
            </w:r>
            <w:r w:rsidRPr="00C64237">
              <w:rPr>
                <w:spacing w:val="-19"/>
                <w:sz w:val="18"/>
                <w:szCs w:val="18"/>
              </w:rPr>
              <w:t xml:space="preserve"> </w:t>
            </w:r>
            <w:r w:rsidRPr="00C64237">
              <w:rPr>
                <w:sz w:val="18"/>
                <w:szCs w:val="18"/>
              </w:rPr>
              <w:t>(SD)</w:t>
            </w:r>
          </w:p>
        </w:tc>
        <w:tc>
          <w:tcPr>
            <w:tcW w:w="1875" w:type="dxa"/>
          </w:tcPr>
          <w:p w14:paraId="7799DC0F" w14:textId="77777777" w:rsidR="001C4E1A" w:rsidRPr="00C64237" w:rsidRDefault="001C4E1A" w:rsidP="00C64237">
            <w:pPr>
              <w:rPr>
                <w:sz w:val="18"/>
                <w:szCs w:val="18"/>
              </w:rPr>
            </w:pPr>
            <w:r w:rsidRPr="00C64237">
              <w:rPr>
                <w:sz w:val="18"/>
                <w:szCs w:val="18"/>
              </w:rPr>
              <w:t>N=</w:t>
            </w:r>
            <w:r w:rsidRPr="00C64237">
              <w:rPr>
                <w:spacing w:val="-8"/>
                <w:sz w:val="18"/>
                <w:szCs w:val="18"/>
              </w:rPr>
              <w:t xml:space="preserve"> </w:t>
            </w:r>
            <w:r w:rsidRPr="00C64237">
              <w:rPr>
                <w:spacing w:val="1"/>
                <w:sz w:val="18"/>
                <w:szCs w:val="18"/>
              </w:rPr>
              <w:t>45</w:t>
            </w:r>
            <w:r w:rsidRPr="00C64237">
              <w:rPr>
                <w:spacing w:val="1"/>
                <w:w w:val="98"/>
                <w:sz w:val="18"/>
                <w:szCs w:val="18"/>
              </w:rPr>
              <w:t xml:space="preserve"> </w:t>
            </w:r>
            <w:r w:rsidRPr="00C64237">
              <w:rPr>
                <w:sz w:val="18"/>
                <w:szCs w:val="18"/>
              </w:rPr>
              <w:t>(14M;</w:t>
            </w:r>
            <w:r w:rsidRPr="00C64237">
              <w:rPr>
                <w:spacing w:val="-20"/>
                <w:sz w:val="18"/>
                <w:szCs w:val="18"/>
              </w:rPr>
              <w:t xml:space="preserve"> </w:t>
            </w:r>
            <w:r w:rsidRPr="00C64237">
              <w:rPr>
                <w:sz w:val="18"/>
                <w:szCs w:val="18"/>
              </w:rPr>
              <w:t>31F)</w:t>
            </w:r>
          </w:p>
          <w:p w14:paraId="649C134C" w14:textId="77777777" w:rsidR="001C4E1A" w:rsidRPr="00C64237" w:rsidRDefault="001C4E1A" w:rsidP="00C64237">
            <w:pPr>
              <w:rPr>
                <w:sz w:val="18"/>
                <w:szCs w:val="18"/>
              </w:rPr>
            </w:pPr>
            <w:r w:rsidRPr="00C64237">
              <w:rPr>
                <w:sz w:val="18"/>
                <w:szCs w:val="18"/>
              </w:rPr>
              <w:t>Age:</w:t>
            </w:r>
            <w:r w:rsidRPr="00C64237">
              <w:rPr>
                <w:spacing w:val="-12"/>
                <w:sz w:val="18"/>
                <w:szCs w:val="18"/>
              </w:rPr>
              <w:t xml:space="preserve"> </w:t>
            </w:r>
            <w:r w:rsidRPr="00C64237">
              <w:rPr>
                <w:sz w:val="18"/>
                <w:szCs w:val="18"/>
              </w:rPr>
              <w:t>32</w:t>
            </w:r>
            <w:r w:rsidRPr="00C64237">
              <w:rPr>
                <w:spacing w:val="-8"/>
                <w:sz w:val="18"/>
                <w:szCs w:val="18"/>
              </w:rPr>
              <w:t xml:space="preserve"> </w:t>
            </w:r>
            <w:r w:rsidRPr="00C64237">
              <w:rPr>
                <w:sz w:val="18"/>
                <w:szCs w:val="18"/>
              </w:rPr>
              <w:t>(SD)</w:t>
            </w:r>
          </w:p>
        </w:tc>
        <w:tc>
          <w:tcPr>
            <w:tcW w:w="2642" w:type="dxa"/>
          </w:tcPr>
          <w:p w14:paraId="529D415F" w14:textId="77777777" w:rsidR="001C4E1A" w:rsidRPr="00C64237" w:rsidRDefault="001C4E1A" w:rsidP="00C64237">
            <w:pPr>
              <w:rPr>
                <w:sz w:val="18"/>
                <w:szCs w:val="18"/>
              </w:rPr>
            </w:pPr>
            <w:r w:rsidRPr="00C64237">
              <w:rPr>
                <w:sz w:val="18"/>
                <w:szCs w:val="18"/>
              </w:rPr>
              <w:t>14-day</w:t>
            </w:r>
            <w:r w:rsidRPr="00C64237">
              <w:rPr>
                <w:spacing w:val="-7"/>
                <w:sz w:val="18"/>
                <w:szCs w:val="18"/>
              </w:rPr>
              <w:t xml:space="preserve"> </w:t>
            </w:r>
            <w:r w:rsidRPr="00C64237">
              <w:rPr>
                <w:sz w:val="18"/>
                <w:szCs w:val="18"/>
              </w:rPr>
              <w:t>(sodium phenylbutyrate and</w:t>
            </w:r>
            <w:r w:rsidRPr="00C64237">
              <w:rPr>
                <w:spacing w:val="-8"/>
                <w:sz w:val="18"/>
                <w:szCs w:val="18"/>
              </w:rPr>
              <w:t xml:space="preserve"> </w:t>
            </w:r>
            <w:r w:rsidRPr="00C64237">
              <w:rPr>
                <w:sz w:val="18"/>
                <w:szCs w:val="18"/>
              </w:rPr>
              <w:t>GBP)</w:t>
            </w:r>
            <w:r w:rsidRPr="00C64237">
              <w:rPr>
                <w:spacing w:val="29"/>
                <w:w w:val="99"/>
                <w:sz w:val="18"/>
                <w:szCs w:val="18"/>
              </w:rPr>
              <w:t xml:space="preserve"> </w:t>
            </w:r>
            <w:r w:rsidRPr="00C64237">
              <w:rPr>
                <w:sz w:val="18"/>
                <w:szCs w:val="18"/>
              </w:rPr>
              <w:t>randomized,</w:t>
            </w:r>
            <w:r w:rsidRPr="00C64237">
              <w:rPr>
                <w:spacing w:val="-22"/>
                <w:sz w:val="18"/>
                <w:szCs w:val="18"/>
              </w:rPr>
              <w:t xml:space="preserve"> </w:t>
            </w:r>
            <w:r w:rsidRPr="00C64237">
              <w:rPr>
                <w:sz w:val="18"/>
                <w:szCs w:val="18"/>
              </w:rPr>
              <w:t>double</w:t>
            </w:r>
            <w:r w:rsidRPr="00C64237">
              <w:rPr>
                <w:spacing w:val="-20"/>
                <w:sz w:val="18"/>
                <w:szCs w:val="18"/>
              </w:rPr>
              <w:t xml:space="preserve"> </w:t>
            </w:r>
            <w:r w:rsidRPr="00C64237">
              <w:rPr>
                <w:sz w:val="18"/>
                <w:szCs w:val="18"/>
              </w:rPr>
              <w:t>blind,</w:t>
            </w:r>
            <w:r w:rsidRPr="00C64237">
              <w:rPr>
                <w:spacing w:val="27"/>
                <w:w w:val="98"/>
                <w:sz w:val="18"/>
                <w:szCs w:val="18"/>
              </w:rPr>
              <w:t xml:space="preserve"> </w:t>
            </w:r>
            <w:r w:rsidRPr="00C64237">
              <w:rPr>
                <w:sz w:val="18"/>
                <w:szCs w:val="18"/>
              </w:rPr>
              <w:t>double</w:t>
            </w:r>
            <w:r w:rsidRPr="00C64237">
              <w:rPr>
                <w:spacing w:val="-21"/>
                <w:sz w:val="18"/>
                <w:szCs w:val="18"/>
              </w:rPr>
              <w:t xml:space="preserve"> </w:t>
            </w:r>
            <w:r w:rsidRPr="00C64237">
              <w:rPr>
                <w:sz w:val="18"/>
                <w:szCs w:val="18"/>
              </w:rPr>
              <w:t>dummy</w:t>
            </w:r>
            <w:r w:rsidRPr="00C64237">
              <w:rPr>
                <w:spacing w:val="-22"/>
                <w:sz w:val="18"/>
                <w:szCs w:val="18"/>
              </w:rPr>
              <w:t xml:space="preserve"> </w:t>
            </w:r>
            <w:r w:rsidRPr="00C64237">
              <w:rPr>
                <w:sz w:val="18"/>
                <w:szCs w:val="18"/>
              </w:rPr>
              <w:t>crossover.</w:t>
            </w:r>
            <w:r w:rsidRPr="00C64237">
              <w:rPr>
                <w:spacing w:val="26"/>
                <w:w w:val="98"/>
                <w:sz w:val="18"/>
                <w:szCs w:val="18"/>
              </w:rPr>
              <w:t xml:space="preserve"> </w:t>
            </w:r>
            <w:r w:rsidRPr="00C64237">
              <w:rPr>
                <w:sz w:val="18"/>
                <w:szCs w:val="18"/>
              </w:rPr>
              <w:t>sodium phenylbutyrate average</w:t>
            </w:r>
            <w:r w:rsidRPr="00C64237">
              <w:rPr>
                <w:spacing w:val="-17"/>
                <w:sz w:val="18"/>
                <w:szCs w:val="18"/>
              </w:rPr>
              <w:t xml:space="preserve"> </w:t>
            </w:r>
            <w:r w:rsidRPr="00C64237">
              <w:rPr>
                <w:sz w:val="18"/>
                <w:szCs w:val="18"/>
              </w:rPr>
              <w:t>treatment</w:t>
            </w:r>
            <w:r w:rsidRPr="00C64237">
              <w:rPr>
                <w:spacing w:val="21"/>
                <w:w w:val="99"/>
                <w:sz w:val="18"/>
                <w:szCs w:val="18"/>
              </w:rPr>
              <w:t xml:space="preserve"> </w:t>
            </w:r>
            <w:r w:rsidRPr="00C64237">
              <w:rPr>
                <w:w w:val="95"/>
                <w:sz w:val="18"/>
                <w:szCs w:val="18"/>
              </w:rPr>
              <w:t>duration: 128.57mths(SD)</w:t>
            </w:r>
          </w:p>
        </w:tc>
      </w:tr>
      <w:tr w:rsidR="001C4E1A" w:rsidRPr="00C64237" w14:paraId="7E28DCA6" w14:textId="77777777" w:rsidTr="00DC62AD">
        <w:trPr>
          <w:trHeight w:hRule="exact" w:val="1714"/>
        </w:trPr>
        <w:tc>
          <w:tcPr>
            <w:tcW w:w="1363" w:type="dxa"/>
          </w:tcPr>
          <w:p w14:paraId="6E17BBF6" w14:textId="77777777" w:rsidR="001C4E1A" w:rsidRPr="00C64237" w:rsidRDefault="001C4E1A" w:rsidP="00C64237">
            <w:pPr>
              <w:rPr>
                <w:sz w:val="18"/>
                <w:szCs w:val="18"/>
              </w:rPr>
            </w:pPr>
            <w:r w:rsidRPr="00C64237">
              <w:rPr>
                <w:sz w:val="18"/>
                <w:szCs w:val="18"/>
              </w:rPr>
              <w:t>Smith</w:t>
            </w:r>
            <w:r w:rsidRPr="00C64237">
              <w:rPr>
                <w:spacing w:val="-20"/>
                <w:sz w:val="18"/>
                <w:szCs w:val="18"/>
              </w:rPr>
              <w:t xml:space="preserve"> </w:t>
            </w:r>
            <w:r w:rsidRPr="00C64237">
              <w:rPr>
                <w:sz w:val="18"/>
                <w:szCs w:val="18"/>
              </w:rPr>
              <w:t>(2013)</w:t>
            </w:r>
          </w:p>
        </w:tc>
        <w:tc>
          <w:tcPr>
            <w:tcW w:w="1349" w:type="dxa"/>
          </w:tcPr>
          <w:p w14:paraId="1F92B831" w14:textId="77777777" w:rsidR="001C4E1A" w:rsidRPr="00C64237" w:rsidRDefault="001C4E1A" w:rsidP="00C64237">
            <w:pPr>
              <w:rPr>
                <w:sz w:val="18"/>
                <w:szCs w:val="18"/>
              </w:rPr>
            </w:pPr>
            <w:r w:rsidRPr="00C64237">
              <w:rPr>
                <w:sz w:val="18"/>
                <w:szCs w:val="18"/>
              </w:rPr>
              <w:t>6</w:t>
            </w:r>
            <w:r w:rsidRPr="00C64237">
              <w:rPr>
                <w:spacing w:val="-10"/>
                <w:sz w:val="18"/>
                <w:szCs w:val="18"/>
              </w:rPr>
              <w:t xml:space="preserve"> </w:t>
            </w:r>
            <w:r w:rsidRPr="00C64237">
              <w:rPr>
                <w:spacing w:val="1"/>
                <w:sz w:val="18"/>
                <w:szCs w:val="18"/>
              </w:rPr>
              <w:t>ASL</w:t>
            </w:r>
          </w:p>
          <w:p w14:paraId="5AB0F1F6" w14:textId="77777777" w:rsidR="001C4E1A" w:rsidRPr="00C64237" w:rsidRDefault="001C4E1A" w:rsidP="00C64237">
            <w:pPr>
              <w:rPr>
                <w:sz w:val="18"/>
                <w:szCs w:val="18"/>
              </w:rPr>
            </w:pPr>
            <w:r w:rsidRPr="00C64237">
              <w:rPr>
                <w:sz w:val="18"/>
                <w:szCs w:val="18"/>
              </w:rPr>
              <w:t>2</w:t>
            </w:r>
            <w:r w:rsidRPr="00C64237">
              <w:rPr>
                <w:spacing w:val="-10"/>
                <w:sz w:val="18"/>
                <w:szCs w:val="18"/>
              </w:rPr>
              <w:t xml:space="preserve"> </w:t>
            </w:r>
            <w:r w:rsidRPr="00C64237">
              <w:rPr>
                <w:spacing w:val="1"/>
                <w:sz w:val="18"/>
                <w:szCs w:val="18"/>
              </w:rPr>
              <w:t>ASS</w:t>
            </w:r>
          </w:p>
          <w:p w14:paraId="513F531E" w14:textId="77777777" w:rsidR="001C4E1A" w:rsidRPr="00C64237" w:rsidRDefault="001C4E1A" w:rsidP="00C64237">
            <w:pPr>
              <w:rPr>
                <w:sz w:val="18"/>
                <w:szCs w:val="18"/>
              </w:rPr>
            </w:pPr>
            <w:r w:rsidRPr="00C64237">
              <w:rPr>
                <w:sz w:val="18"/>
                <w:szCs w:val="18"/>
              </w:rPr>
              <w:t>2</w:t>
            </w:r>
            <w:r w:rsidRPr="00C64237">
              <w:rPr>
                <w:spacing w:val="-7"/>
                <w:sz w:val="18"/>
                <w:szCs w:val="18"/>
              </w:rPr>
              <w:t xml:space="preserve"> </w:t>
            </w:r>
            <w:r w:rsidRPr="00C64237">
              <w:rPr>
                <w:sz w:val="18"/>
                <w:szCs w:val="18"/>
              </w:rPr>
              <w:t>OTC</w:t>
            </w:r>
          </w:p>
        </w:tc>
        <w:tc>
          <w:tcPr>
            <w:tcW w:w="1699" w:type="dxa"/>
          </w:tcPr>
          <w:p w14:paraId="05647D32" w14:textId="77777777" w:rsidR="001C4E1A" w:rsidRPr="00C64237" w:rsidRDefault="001C4E1A" w:rsidP="00C64237">
            <w:pPr>
              <w:rPr>
                <w:sz w:val="18"/>
                <w:szCs w:val="18"/>
              </w:rPr>
            </w:pPr>
            <w:r w:rsidRPr="00C64237">
              <w:rPr>
                <w:sz w:val="18"/>
                <w:szCs w:val="18"/>
              </w:rPr>
              <w:t>5.27g/d</w:t>
            </w:r>
            <w:r w:rsidRPr="00C64237">
              <w:rPr>
                <w:spacing w:val="-19"/>
                <w:sz w:val="18"/>
                <w:szCs w:val="18"/>
              </w:rPr>
              <w:t xml:space="preserve"> </w:t>
            </w:r>
            <w:r w:rsidRPr="00C64237">
              <w:rPr>
                <w:sz w:val="18"/>
                <w:szCs w:val="18"/>
              </w:rPr>
              <w:t>(SD)</w:t>
            </w:r>
          </w:p>
        </w:tc>
        <w:tc>
          <w:tcPr>
            <w:tcW w:w="1875" w:type="dxa"/>
          </w:tcPr>
          <w:p w14:paraId="7B238BBA" w14:textId="77777777" w:rsidR="001C4E1A" w:rsidRPr="00C64237" w:rsidRDefault="001C4E1A" w:rsidP="00C64237">
            <w:pPr>
              <w:rPr>
                <w:sz w:val="18"/>
                <w:szCs w:val="18"/>
              </w:rPr>
            </w:pPr>
            <w:r w:rsidRPr="00C64237">
              <w:rPr>
                <w:sz w:val="18"/>
                <w:szCs w:val="18"/>
              </w:rPr>
              <w:t>N=15</w:t>
            </w:r>
            <w:r w:rsidRPr="00C64237">
              <w:rPr>
                <w:spacing w:val="20"/>
                <w:w w:val="98"/>
                <w:sz w:val="18"/>
                <w:szCs w:val="18"/>
              </w:rPr>
              <w:t xml:space="preserve"> </w:t>
            </w:r>
            <w:r w:rsidRPr="00C64237">
              <w:rPr>
                <w:w w:val="95"/>
                <w:sz w:val="18"/>
                <w:szCs w:val="18"/>
              </w:rPr>
              <w:t>(8M;7F)</w:t>
            </w:r>
          </w:p>
          <w:p w14:paraId="1DB450FD" w14:textId="77777777" w:rsidR="001C4E1A" w:rsidRPr="00C64237" w:rsidRDefault="001C4E1A" w:rsidP="00C64237">
            <w:pPr>
              <w:rPr>
                <w:sz w:val="18"/>
                <w:szCs w:val="18"/>
              </w:rPr>
            </w:pPr>
            <w:r w:rsidRPr="00C64237">
              <w:rPr>
                <w:sz w:val="18"/>
                <w:szCs w:val="18"/>
              </w:rPr>
              <w:t>Age</w:t>
            </w:r>
            <w:r w:rsidRPr="00C64237">
              <w:rPr>
                <w:spacing w:val="-19"/>
                <w:sz w:val="18"/>
                <w:szCs w:val="18"/>
              </w:rPr>
              <w:t xml:space="preserve"> </w:t>
            </w:r>
            <w:r w:rsidRPr="00C64237">
              <w:rPr>
                <w:sz w:val="18"/>
                <w:szCs w:val="18"/>
              </w:rPr>
              <w:t>ranges:</w:t>
            </w:r>
            <w:r w:rsidRPr="00C64237">
              <w:rPr>
                <w:spacing w:val="25"/>
                <w:w w:val="99"/>
                <w:sz w:val="18"/>
                <w:szCs w:val="18"/>
              </w:rPr>
              <w:t xml:space="preserve"> </w:t>
            </w:r>
            <w:r w:rsidRPr="00C64237">
              <w:rPr>
                <w:w w:val="95"/>
                <w:sz w:val="18"/>
                <w:szCs w:val="18"/>
              </w:rPr>
              <w:t>2mths-5yrs;</w:t>
            </w:r>
          </w:p>
          <w:p w14:paraId="2993BB79" w14:textId="77777777" w:rsidR="001C4E1A" w:rsidRPr="00C64237" w:rsidRDefault="001C4E1A" w:rsidP="00C64237">
            <w:pPr>
              <w:rPr>
                <w:sz w:val="18"/>
                <w:szCs w:val="18"/>
              </w:rPr>
            </w:pPr>
            <w:r w:rsidRPr="00C64237">
              <w:rPr>
                <w:sz w:val="18"/>
                <w:szCs w:val="18"/>
              </w:rPr>
              <w:t>(29d-&lt;</w:t>
            </w:r>
            <w:r w:rsidRPr="00C64237">
              <w:rPr>
                <w:spacing w:val="-12"/>
                <w:sz w:val="18"/>
                <w:szCs w:val="18"/>
              </w:rPr>
              <w:t xml:space="preserve"> </w:t>
            </w:r>
            <w:r w:rsidRPr="00C64237">
              <w:rPr>
                <w:sz w:val="18"/>
                <w:szCs w:val="18"/>
              </w:rPr>
              <w:t>2yrs:</w:t>
            </w:r>
            <w:r w:rsidRPr="00C64237">
              <w:rPr>
                <w:spacing w:val="-14"/>
                <w:sz w:val="18"/>
                <w:szCs w:val="18"/>
              </w:rPr>
              <w:t xml:space="preserve"> </w:t>
            </w:r>
            <w:r w:rsidRPr="00C64237">
              <w:rPr>
                <w:sz w:val="18"/>
                <w:szCs w:val="18"/>
              </w:rPr>
              <w:t>N=4</w:t>
            </w:r>
            <w:r w:rsidRPr="00C64237">
              <w:rPr>
                <w:spacing w:val="24"/>
                <w:w w:val="98"/>
                <w:sz w:val="18"/>
                <w:szCs w:val="18"/>
              </w:rPr>
              <w:t xml:space="preserve"> </w:t>
            </w:r>
            <w:r w:rsidRPr="00C64237">
              <w:rPr>
                <w:sz w:val="18"/>
                <w:szCs w:val="18"/>
              </w:rPr>
              <w:t>2-&lt;6</w:t>
            </w:r>
            <w:r w:rsidRPr="00C64237">
              <w:rPr>
                <w:spacing w:val="-11"/>
                <w:sz w:val="18"/>
                <w:szCs w:val="18"/>
              </w:rPr>
              <w:t xml:space="preserve"> </w:t>
            </w:r>
            <w:r w:rsidRPr="00C64237">
              <w:rPr>
                <w:sz w:val="18"/>
                <w:szCs w:val="18"/>
              </w:rPr>
              <w:t>yrs</w:t>
            </w:r>
            <w:r w:rsidRPr="00C64237">
              <w:rPr>
                <w:spacing w:val="-10"/>
                <w:sz w:val="18"/>
                <w:szCs w:val="18"/>
              </w:rPr>
              <w:t xml:space="preserve"> </w:t>
            </w:r>
            <w:r w:rsidRPr="00C64237">
              <w:rPr>
                <w:sz w:val="18"/>
                <w:szCs w:val="18"/>
              </w:rPr>
              <w:t>N=11)</w:t>
            </w:r>
          </w:p>
        </w:tc>
        <w:tc>
          <w:tcPr>
            <w:tcW w:w="2642" w:type="dxa"/>
          </w:tcPr>
          <w:p w14:paraId="238BE853" w14:textId="77777777" w:rsidR="001C4E1A" w:rsidRPr="00C64237" w:rsidRDefault="001C4E1A" w:rsidP="00C64237">
            <w:pPr>
              <w:rPr>
                <w:sz w:val="18"/>
                <w:szCs w:val="18"/>
              </w:rPr>
            </w:pPr>
            <w:r w:rsidRPr="00C64237">
              <w:rPr>
                <w:sz w:val="18"/>
                <w:szCs w:val="18"/>
              </w:rPr>
              <w:t>Open</w:t>
            </w:r>
            <w:r w:rsidRPr="00C64237">
              <w:rPr>
                <w:spacing w:val="-16"/>
                <w:sz w:val="18"/>
                <w:szCs w:val="18"/>
              </w:rPr>
              <w:t xml:space="preserve"> </w:t>
            </w:r>
            <w:r w:rsidRPr="00C64237">
              <w:rPr>
                <w:sz w:val="18"/>
                <w:szCs w:val="18"/>
              </w:rPr>
              <w:t>label,</w:t>
            </w:r>
            <w:r w:rsidRPr="00C64237">
              <w:rPr>
                <w:spacing w:val="-16"/>
                <w:sz w:val="18"/>
                <w:szCs w:val="18"/>
              </w:rPr>
              <w:t xml:space="preserve"> </w:t>
            </w:r>
            <w:r w:rsidRPr="00C64237">
              <w:rPr>
                <w:sz w:val="18"/>
                <w:szCs w:val="18"/>
              </w:rPr>
              <w:t>fixed</w:t>
            </w:r>
            <w:r w:rsidRPr="00C64237">
              <w:rPr>
                <w:spacing w:val="-13"/>
                <w:sz w:val="18"/>
                <w:szCs w:val="18"/>
              </w:rPr>
              <w:t xml:space="preserve"> </w:t>
            </w:r>
            <w:r w:rsidRPr="00C64237">
              <w:rPr>
                <w:sz w:val="18"/>
                <w:szCs w:val="18"/>
              </w:rPr>
              <w:t>sequence,</w:t>
            </w:r>
            <w:r w:rsidRPr="00C64237">
              <w:rPr>
                <w:spacing w:val="21"/>
                <w:w w:val="98"/>
                <w:sz w:val="18"/>
                <w:szCs w:val="18"/>
              </w:rPr>
              <w:t xml:space="preserve"> </w:t>
            </w:r>
            <w:r w:rsidRPr="00C64237">
              <w:rPr>
                <w:sz w:val="18"/>
                <w:szCs w:val="18"/>
              </w:rPr>
              <w:t>sodium phenylbutyrate to</w:t>
            </w:r>
            <w:r w:rsidRPr="00C64237">
              <w:rPr>
                <w:spacing w:val="-9"/>
                <w:sz w:val="18"/>
                <w:szCs w:val="18"/>
              </w:rPr>
              <w:t xml:space="preserve"> </w:t>
            </w:r>
            <w:r w:rsidRPr="00C64237">
              <w:rPr>
                <w:sz w:val="18"/>
                <w:szCs w:val="18"/>
              </w:rPr>
              <w:t>GPB</w:t>
            </w:r>
            <w:r w:rsidRPr="00C64237">
              <w:rPr>
                <w:spacing w:val="-8"/>
                <w:sz w:val="18"/>
                <w:szCs w:val="18"/>
              </w:rPr>
              <w:t xml:space="preserve"> </w:t>
            </w:r>
            <w:r w:rsidRPr="00C64237">
              <w:rPr>
                <w:sz w:val="18"/>
                <w:szCs w:val="18"/>
              </w:rPr>
              <w:t>switchover</w:t>
            </w:r>
            <w:r w:rsidRPr="00C64237">
              <w:rPr>
                <w:spacing w:val="-8"/>
                <w:sz w:val="18"/>
                <w:szCs w:val="18"/>
              </w:rPr>
              <w:t xml:space="preserve"> </w:t>
            </w:r>
            <w:r w:rsidRPr="00C64237">
              <w:rPr>
                <w:sz w:val="18"/>
                <w:szCs w:val="18"/>
              </w:rPr>
              <w:t>≤</w:t>
            </w:r>
            <w:r w:rsidRPr="00C64237">
              <w:rPr>
                <w:spacing w:val="-7"/>
                <w:sz w:val="18"/>
                <w:szCs w:val="18"/>
              </w:rPr>
              <w:t xml:space="preserve"> </w:t>
            </w:r>
            <w:r w:rsidRPr="00C64237">
              <w:rPr>
                <w:sz w:val="18"/>
                <w:szCs w:val="18"/>
              </w:rPr>
              <w:t>7</w:t>
            </w:r>
            <w:r w:rsidRPr="00C64237">
              <w:rPr>
                <w:spacing w:val="23"/>
                <w:w w:val="98"/>
                <w:sz w:val="18"/>
                <w:szCs w:val="18"/>
              </w:rPr>
              <w:t xml:space="preserve"> </w:t>
            </w:r>
            <w:r w:rsidRPr="00C64237">
              <w:rPr>
                <w:sz w:val="18"/>
                <w:szCs w:val="18"/>
              </w:rPr>
              <w:t>days.</w:t>
            </w:r>
          </w:p>
          <w:p w14:paraId="495C8A0C" w14:textId="77777777" w:rsidR="001C4E1A" w:rsidRPr="00C64237" w:rsidRDefault="001C4E1A" w:rsidP="00C64237">
            <w:pPr>
              <w:rPr>
                <w:sz w:val="18"/>
                <w:szCs w:val="18"/>
              </w:rPr>
            </w:pPr>
            <w:r w:rsidRPr="00C64237">
              <w:rPr>
                <w:sz w:val="18"/>
                <w:szCs w:val="18"/>
              </w:rPr>
              <w:t>sodium phenylbutyrate average</w:t>
            </w:r>
            <w:r w:rsidRPr="00C64237">
              <w:rPr>
                <w:spacing w:val="-17"/>
                <w:sz w:val="18"/>
                <w:szCs w:val="18"/>
              </w:rPr>
              <w:t xml:space="preserve"> </w:t>
            </w:r>
            <w:r w:rsidRPr="00C64237">
              <w:rPr>
                <w:sz w:val="18"/>
                <w:szCs w:val="18"/>
              </w:rPr>
              <w:t>treatment</w:t>
            </w:r>
            <w:r w:rsidRPr="00C64237">
              <w:rPr>
                <w:spacing w:val="21"/>
                <w:w w:val="99"/>
                <w:sz w:val="18"/>
                <w:szCs w:val="18"/>
              </w:rPr>
              <w:t xml:space="preserve"> </w:t>
            </w:r>
            <w:r w:rsidRPr="00C64237">
              <w:rPr>
                <w:sz w:val="18"/>
                <w:szCs w:val="18"/>
              </w:rPr>
              <w:t>duration:</w:t>
            </w:r>
            <w:r w:rsidRPr="00C64237">
              <w:rPr>
                <w:spacing w:val="-19"/>
                <w:sz w:val="18"/>
                <w:szCs w:val="18"/>
              </w:rPr>
              <w:t xml:space="preserve"> </w:t>
            </w:r>
            <w:r w:rsidRPr="00C64237">
              <w:rPr>
                <w:sz w:val="18"/>
                <w:szCs w:val="18"/>
              </w:rPr>
              <w:t>19.3mths</w:t>
            </w:r>
            <w:r w:rsidRPr="00C64237">
              <w:rPr>
                <w:spacing w:val="-17"/>
                <w:sz w:val="18"/>
                <w:szCs w:val="18"/>
              </w:rPr>
              <w:t xml:space="preserve"> </w:t>
            </w:r>
            <w:r w:rsidRPr="00C64237">
              <w:rPr>
                <w:sz w:val="18"/>
                <w:szCs w:val="18"/>
              </w:rPr>
              <w:t>(SD)</w:t>
            </w:r>
          </w:p>
        </w:tc>
      </w:tr>
    </w:tbl>
    <w:p w14:paraId="00A5DAE6" w14:textId="77777777" w:rsidR="001C4E1A" w:rsidRPr="00285240" w:rsidRDefault="001C4E1A" w:rsidP="001C4E1A">
      <w:pPr>
        <w:pStyle w:val="TableDescription"/>
      </w:pPr>
      <w:r w:rsidRPr="00285240">
        <w:t xml:space="preserve">*Use of NaPA or NaPB; unspecified number of each. Switch from phenylacetate to phenylbutyrate occurred when </w:t>
      </w:r>
      <w:r>
        <w:t>sodium phenylbutyrate was introduced in 1985</w:t>
      </w:r>
    </w:p>
    <w:p w14:paraId="6A1C135E" w14:textId="77777777" w:rsidR="00436B89" w:rsidRPr="00A613A8" w:rsidRDefault="00436B89" w:rsidP="00177802">
      <w:pPr>
        <w:pStyle w:val="Heading3"/>
        <w:numPr>
          <w:ilvl w:val="1"/>
          <w:numId w:val="5"/>
        </w:numPr>
        <w:ind w:left="907" w:hanging="794"/>
      </w:pPr>
      <w:bookmarkStart w:id="428" w:name="_Toc241374319"/>
      <w:bookmarkStart w:id="429" w:name="_Ref271044764"/>
      <w:bookmarkStart w:id="430" w:name="_Toc272414663"/>
      <w:bookmarkStart w:id="431" w:name="_Toc290888527"/>
      <w:bookmarkStart w:id="432" w:name="_Toc416353743"/>
      <w:bookmarkStart w:id="433" w:name="_Toc421005286"/>
      <w:bookmarkStart w:id="434" w:name="_Toc432079163"/>
      <w:bookmarkStart w:id="435" w:name="_Toc432080736"/>
      <w:bookmarkStart w:id="436" w:name="_Toc473013903"/>
      <w:bookmarkStart w:id="437" w:name="_Toc505179700"/>
      <w:bookmarkEnd w:id="427"/>
      <w:r w:rsidRPr="00A613A8">
        <w:lastRenderedPageBreak/>
        <w:t>Adverse events</w:t>
      </w:r>
      <w:bookmarkEnd w:id="428"/>
      <w:bookmarkEnd w:id="429"/>
      <w:bookmarkEnd w:id="430"/>
      <w:bookmarkEnd w:id="431"/>
      <w:bookmarkEnd w:id="432"/>
      <w:bookmarkEnd w:id="433"/>
      <w:bookmarkEnd w:id="434"/>
      <w:bookmarkEnd w:id="435"/>
      <w:bookmarkEnd w:id="436"/>
      <w:bookmarkEnd w:id="437"/>
    </w:p>
    <w:p w14:paraId="521FE227" w14:textId="77777777" w:rsidR="00436B89" w:rsidRPr="00A613A8" w:rsidRDefault="00436B89" w:rsidP="00177802">
      <w:pPr>
        <w:pStyle w:val="Heading4"/>
        <w:numPr>
          <w:ilvl w:val="2"/>
          <w:numId w:val="5"/>
        </w:numPr>
      </w:pPr>
      <w:bookmarkStart w:id="438" w:name="_Ref272317284"/>
      <w:bookmarkStart w:id="439" w:name="_Ref272333565"/>
      <w:bookmarkStart w:id="440" w:name="_Toc272414664"/>
      <w:bookmarkStart w:id="441" w:name="_Toc290888528"/>
      <w:bookmarkStart w:id="442" w:name="_Toc416353744"/>
      <w:bookmarkStart w:id="443" w:name="_Toc421005287"/>
      <w:bookmarkStart w:id="444" w:name="_Toc432079164"/>
      <w:bookmarkStart w:id="445" w:name="_Toc432080737"/>
      <w:r w:rsidRPr="00A613A8">
        <w:t>All adverse events (irrespective of relationship to study treatment)</w:t>
      </w:r>
      <w:bookmarkEnd w:id="438"/>
      <w:bookmarkEnd w:id="439"/>
      <w:bookmarkEnd w:id="440"/>
      <w:bookmarkEnd w:id="441"/>
      <w:bookmarkEnd w:id="442"/>
      <w:bookmarkEnd w:id="443"/>
      <w:bookmarkEnd w:id="444"/>
      <w:bookmarkEnd w:id="445"/>
    </w:p>
    <w:p w14:paraId="2C33C650" w14:textId="77777777" w:rsidR="00436B89" w:rsidRDefault="00436B89" w:rsidP="00436B89">
      <w:pPr>
        <w:rPr>
          <w:lang w:eastAsia="ja-JP"/>
        </w:rPr>
      </w:pPr>
      <w:bookmarkStart w:id="446" w:name="_Ref272333567"/>
      <w:bookmarkStart w:id="447" w:name="_Toc272414665"/>
      <w:bookmarkStart w:id="448" w:name="_Toc290888529"/>
      <w:bookmarkStart w:id="449" w:name="_Toc416353745"/>
      <w:bookmarkStart w:id="450" w:name="_Toc421005288"/>
      <w:bookmarkStart w:id="451" w:name="_Toc432079165"/>
      <w:bookmarkStart w:id="452" w:name="_Toc432080738"/>
      <w:r>
        <w:rPr>
          <w:lang w:eastAsia="ja-JP"/>
        </w:rPr>
        <w:t xml:space="preserve">The dossier in its current form does not allow for systematic analysis of all adverse events experienced by patients enrolled in all studies. </w:t>
      </w:r>
    </w:p>
    <w:p w14:paraId="594BC43A" w14:textId="77777777" w:rsidR="00436B89" w:rsidRPr="00625EDD" w:rsidRDefault="00436B89" w:rsidP="00177802">
      <w:pPr>
        <w:pStyle w:val="ListBullet"/>
        <w:numPr>
          <w:ilvl w:val="0"/>
          <w:numId w:val="1"/>
        </w:numPr>
        <w:rPr>
          <w:i/>
          <w:lang w:eastAsia="ja-JP"/>
        </w:rPr>
      </w:pPr>
      <w:r w:rsidRPr="00625EDD">
        <w:rPr>
          <w:i/>
          <w:lang w:eastAsia="ja-JP"/>
        </w:rPr>
        <w:t xml:space="preserve">The sponsor should supply a complete summary of all of the </w:t>
      </w:r>
      <w:proofErr w:type="gramStart"/>
      <w:r w:rsidRPr="00625EDD">
        <w:rPr>
          <w:i/>
          <w:lang w:eastAsia="ja-JP"/>
        </w:rPr>
        <w:t>Adverse</w:t>
      </w:r>
      <w:proofErr w:type="gramEnd"/>
      <w:r w:rsidRPr="00625EDD">
        <w:rPr>
          <w:i/>
          <w:lang w:eastAsia="ja-JP"/>
        </w:rPr>
        <w:t xml:space="preserve"> events reported in all of the trials involving sodium phenylbutyrate in the treatment of UCDs.</w:t>
      </w:r>
    </w:p>
    <w:p w14:paraId="4AB3C4C1" w14:textId="77777777" w:rsidR="00436B89" w:rsidRPr="00A613A8" w:rsidRDefault="00436B89" w:rsidP="00177802">
      <w:pPr>
        <w:pStyle w:val="Heading4"/>
        <w:numPr>
          <w:ilvl w:val="2"/>
          <w:numId w:val="5"/>
        </w:numPr>
      </w:pPr>
      <w:r w:rsidRPr="00A613A8">
        <w:t>Treatment related adverse events (adverse drug reactions)</w:t>
      </w:r>
      <w:bookmarkEnd w:id="446"/>
      <w:bookmarkEnd w:id="447"/>
      <w:bookmarkEnd w:id="448"/>
      <w:bookmarkEnd w:id="449"/>
      <w:bookmarkEnd w:id="450"/>
      <w:bookmarkEnd w:id="451"/>
      <w:bookmarkEnd w:id="452"/>
    </w:p>
    <w:p w14:paraId="6D8FF83A" w14:textId="77777777" w:rsidR="00436B89" w:rsidRDefault="00436B89" w:rsidP="00436B89">
      <w:pPr>
        <w:rPr>
          <w:lang w:eastAsia="ja-JP"/>
        </w:rPr>
      </w:pPr>
      <w:r>
        <w:rPr>
          <w:lang w:eastAsia="ja-JP"/>
        </w:rPr>
        <w:t xml:space="preserve">There is no overall summary of the treatment related adverse events. </w:t>
      </w:r>
    </w:p>
    <w:p w14:paraId="4732BA49" w14:textId="77777777" w:rsidR="00436B89" w:rsidRDefault="00436B89" w:rsidP="00436B89">
      <w:pPr>
        <w:rPr>
          <w:lang w:eastAsia="en-AU"/>
        </w:rPr>
      </w:pPr>
      <w:r>
        <w:rPr>
          <w:lang w:eastAsia="en-AU"/>
        </w:rPr>
        <w:t>The sponsor advises that most safety data of sodium phenylbutyrate in the treatment of UCD have been acquired from the case reports prepared by the investigators participating in the IND protocol covering 183 patients (EMEA 2005). The sponsor acknowledges that, since patients were not monitored under controlled conditions and were not provided a diary for recording AE, the reporting of these AE was not consistently documented.</w:t>
      </w:r>
    </w:p>
    <w:p w14:paraId="00216E0C" w14:textId="77777777" w:rsidR="00436B89" w:rsidRDefault="00436B89" w:rsidP="00436B89">
      <w:r>
        <w:rPr>
          <w:lang w:eastAsia="en-AU"/>
        </w:rPr>
        <w:t>The sponsor stated that Wiech 1997 found that</w:t>
      </w:r>
      <w:r w:rsidRPr="00FA688F">
        <w:rPr>
          <w:lang w:eastAsia="en-AU"/>
        </w:rPr>
        <w:t xml:space="preserve"> </w:t>
      </w:r>
      <w:r>
        <w:rPr>
          <w:lang w:eastAsia="en-AU"/>
        </w:rPr>
        <w:t xml:space="preserve">menstrual disturbance was the most common AE (23%). </w:t>
      </w:r>
      <w:r w:rsidRPr="002620DC">
        <w:t>Other problems included anorexia, biochemical abnormalities (acidosis, alkalosis, hypoalbuminemia, hyperphosphatemia, hypophosphatemia). The evaluator was not supplied with this paper (</w:t>
      </w:r>
      <w:r w:rsidRPr="00265E83">
        <w:rPr>
          <w:i/>
        </w:rPr>
        <w:t>Wiech NL, Clissold DM, MacArthur RB (1997) Safety and efficacy of buphenyl (sodium phenylbutyrate) tablets and powder (Abstract). Advances in Inherited Urea Cycle Disorders, Satellite to the 7th International Congress for Inborn Errors of Metabolism, Vie</w:t>
      </w:r>
      <w:r>
        <w:t>nna</w:t>
      </w:r>
      <w:r w:rsidRPr="002620DC">
        <w:t>)</w:t>
      </w:r>
      <w:r>
        <w:t>.</w:t>
      </w:r>
    </w:p>
    <w:p w14:paraId="1D876893" w14:textId="77777777" w:rsidR="00436B89" w:rsidRDefault="00436B89" w:rsidP="00436B89">
      <w:r>
        <w:t xml:space="preserve">There are data on higher doses of </w:t>
      </w:r>
      <w:r>
        <w:rPr>
          <w:lang w:eastAsia="en-AU"/>
        </w:rPr>
        <w:t xml:space="preserve">sodium phenylbutyrate in oncology patients resulting in dose-limiting neurotoxicity. This is documented above under </w:t>
      </w:r>
      <w:r w:rsidRPr="00265E83">
        <w:rPr>
          <w:i/>
          <w:lang w:eastAsia="en-AU"/>
        </w:rPr>
        <w:t>Safety, Other studies</w:t>
      </w:r>
      <w:r>
        <w:rPr>
          <w:lang w:eastAsia="en-AU"/>
        </w:rPr>
        <w:t>.</w:t>
      </w:r>
    </w:p>
    <w:p w14:paraId="6EC39B4E" w14:textId="77777777" w:rsidR="00436B89" w:rsidRPr="00265E83" w:rsidRDefault="00436B89" w:rsidP="00177802">
      <w:pPr>
        <w:pStyle w:val="ListBullet"/>
        <w:numPr>
          <w:ilvl w:val="0"/>
          <w:numId w:val="1"/>
        </w:numPr>
        <w:rPr>
          <w:i/>
          <w:lang w:eastAsia="en-AU"/>
        </w:rPr>
      </w:pPr>
      <w:r w:rsidRPr="00265E83">
        <w:rPr>
          <w:i/>
          <w:lang w:eastAsia="en-AU"/>
        </w:rPr>
        <w:t>The sponsor should tabulate all adverse events attributable to sodium phenylbutyrate. This should include exposure data including dose, dose by size (weight and/or surface area) and length of treatment.</w:t>
      </w:r>
    </w:p>
    <w:p w14:paraId="6129E7A2" w14:textId="77777777" w:rsidR="00436B89" w:rsidRPr="00A613A8" w:rsidRDefault="00436B89" w:rsidP="00177802">
      <w:pPr>
        <w:pStyle w:val="Heading4"/>
        <w:numPr>
          <w:ilvl w:val="2"/>
          <w:numId w:val="5"/>
        </w:numPr>
      </w:pPr>
      <w:bookmarkStart w:id="453" w:name="_Toc241374320"/>
      <w:bookmarkStart w:id="454" w:name="_Ref272333507"/>
      <w:bookmarkStart w:id="455" w:name="_Toc272414666"/>
      <w:bookmarkStart w:id="456" w:name="_Toc290888530"/>
      <w:bookmarkStart w:id="457" w:name="_Toc416353746"/>
      <w:bookmarkStart w:id="458" w:name="_Toc421005289"/>
      <w:bookmarkStart w:id="459" w:name="_Toc432079166"/>
      <w:bookmarkStart w:id="460" w:name="_Toc432080739"/>
      <w:r w:rsidRPr="00A613A8">
        <w:t>Deaths and other serious adverse events</w:t>
      </w:r>
      <w:bookmarkEnd w:id="453"/>
      <w:bookmarkEnd w:id="454"/>
      <w:bookmarkEnd w:id="455"/>
      <w:bookmarkEnd w:id="456"/>
      <w:bookmarkEnd w:id="457"/>
      <w:bookmarkEnd w:id="458"/>
      <w:bookmarkEnd w:id="459"/>
      <w:bookmarkEnd w:id="460"/>
    </w:p>
    <w:p w14:paraId="1FA82C10" w14:textId="77777777" w:rsidR="00436B89" w:rsidRPr="00A613A8" w:rsidRDefault="00436B89" w:rsidP="00436B89">
      <w:pPr>
        <w:rPr>
          <w:lang w:eastAsia="ja-JP"/>
        </w:rPr>
      </w:pPr>
      <w:bookmarkStart w:id="461" w:name="_Toc241374325"/>
      <w:bookmarkStart w:id="462" w:name="_Ref272333477"/>
      <w:bookmarkStart w:id="463" w:name="_Toc272414667"/>
      <w:bookmarkStart w:id="464" w:name="_Toc290888531"/>
      <w:bookmarkStart w:id="465" w:name="_Toc416353747"/>
      <w:bookmarkStart w:id="466" w:name="_Toc421005290"/>
      <w:bookmarkStart w:id="467" w:name="_Toc432079167"/>
      <w:bookmarkStart w:id="468" w:name="_Toc432080740"/>
      <w:r>
        <w:rPr>
          <w:lang w:eastAsia="ja-JP"/>
        </w:rPr>
        <w:t xml:space="preserve">No deaths due to </w:t>
      </w:r>
      <w:r w:rsidRPr="00A613A8">
        <w:rPr>
          <w:lang w:eastAsia="ja-JP"/>
        </w:rPr>
        <w:t>sodium phenylbutyrate</w:t>
      </w:r>
      <w:r>
        <w:rPr>
          <w:lang w:eastAsia="ja-JP"/>
        </w:rPr>
        <w:t xml:space="preserve"> were identified in the dossier.</w:t>
      </w:r>
    </w:p>
    <w:p w14:paraId="11AF1F1B" w14:textId="77777777" w:rsidR="00436B89" w:rsidRDefault="00436B89" w:rsidP="00177802">
      <w:pPr>
        <w:pStyle w:val="Heading4"/>
        <w:numPr>
          <w:ilvl w:val="2"/>
          <w:numId w:val="5"/>
        </w:numPr>
      </w:pPr>
      <w:r w:rsidRPr="00A613A8">
        <w:t>Discontinuations due to adverse events</w:t>
      </w:r>
      <w:bookmarkEnd w:id="461"/>
      <w:bookmarkEnd w:id="462"/>
      <w:bookmarkEnd w:id="463"/>
      <w:bookmarkEnd w:id="464"/>
      <w:bookmarkEnd w:id="465"/>
      <w:bookmarkEnd w:id="466"/>
      <w:bookmarkEnd w:id="467"/>
      <w:bookmarkEnd w:id="468"/>
    </w:p>
    <w:p w14:paraId="0649189E" w14:textId="77777777" w:rsidR="00436B89" w:rsidRDefault="00436B89" w:rsidP="00436B89">
      <w:pPr>
        <w:rPr>
          <w:lang w:eastAsia="ja-JP"/>
        </w:rPr>
      </w:pPr>
      <w:r>
        <w:rPr>
          <w:lang w:eastAsia="ja-JP"/>
        </w:rPr>
        <w:t>Discontinuations due to adverse events were not clearly documented</w:t>
      </w:r>
    </w:p>
    <w:p w14:paraId="3D4215A7" w14:textId="77777777" w:rsidR="00436B89" w:rsidRPr="00265E83" w:rsidRDefault="00436B89" w:rsidP="00177802">
      <w:pPr>
        <w:pStyle w:val="ListBullet"/>
        <w:numPr>
          <w:ilvl w:val="0"/>
          <w:numId w:val="1"/>
        </w:numPr>
        <w:rPr>
          <w:i/>
          <w:lang w:eastAsia="ja-JP"/>
        </w:rPr>
      </w:pPr>
      <w:r w:rsidRPr="00265E83">
        <w:rPr>
          <w:i/>
          <w:lang w:eastAsia="en-AU"/>
        </w:rPr>
        <w:t xml:space="preserve">The sponsor should tabulate all discontinuations due to adverse events attributable to sodium phenylbutyrate. </w:t>
      </w:r>
    </w:p>
    <w:p w14:paraId="2B45809C" w14:textId="77777777" w:rsidR="00436B89" w:rsidRPr="00A613A8" w:rsidRDefault="00436B89" w:rsidP="00177802">
      <w:pPr>
        <w:pStyle w:val="Heading3"/>
        <w:numPr>
          <w:ilvl w:val="1"/>
          <w:numId w:val="5"/>
        </w:numPr>
        <w:ind w:left="907" w:hanging="794"/>
      </w:pPr>
      <w:bookmarkStart w:id="469" w:name="_Toc241374321"/>
      <w:bookmarkStart w:id="470" w:name="_Ref271044780"/>
      <w:bookmarkStart w:id="471" w:name="_Ref271196640"/>
      <w:bookmarkStart w:id="472" w:name="_Ref272333085"/>
      <w:bookmarkStart w:id="473" w:name="_Toc272414668"/>
      <w:bookmarkStart w:id="474" w:name="_Toc290888532"/>
      <w:bookmarkStart w:id="475" w:name="_Toc416353748"/>
      <w:bookmarkStart w:id="476" w:name="_Toc421005291"/>
      <w:bookmarkStart w:id="477" w:name="_Toc432079168"/>
      <w:bookmarkStart w:id="478" w:name="_Toc432080741"/>
      <w:bookmarkStart w:id="479" w:name="_Toc473013904"/>
      <w:bookmarkStart w:id="480" w:name="_Toc505179701"/>
      <w:r w:rsidRPr="00A613A8">
        <w:t xml:space="preserve">Evaluation of issues </w:t>
      </w:r>
      <w:bookmarkEnd w:id="469"/>
      <w:bookmarkEnd w:id="470"/>
      <w:bookmarkEnd w:id="471"/>
      <w:bookmarkEnd w:id="472"/>
      <w:bookmarkEnd w:id="473"/>
      <w:bookmarkEnd w:id="474"/>
      <w:bookmarkEnd w:id="475"/>
      <w:bookmarkEnd w:id="476"/>
      <w:r w:rsidRPr="00A613A8">
        <w:t>with possible regulatory impact</w:t>
      </w:r>
      <w:bookmarkEnd w:id="477"/>
      <w:bookmarkEnd w:id="478"/>
      <w:bookmarkEnd w:id="479"/>
      <w:bookmarkEnd w:id="480"/>
    </w:p>
    <w:p w14:paraId="2463AB74" w14:textId="77777777" w:rsidR="00436B89" w:rsidRDefault="00436B89" w:rsidP="00177802">
      <w:pPr>
        <w:pStyle w:val="Heading4"/>
        <w:numPr>
          <w:ilvl w:val="2"/>
          <w:numId w:val="5"/>
        </w:numPr>
      </w:pPr>
      <w:bookmarkStart w:id="481" w:name="_Toc272414669"/>
      <w:bookmarkStart w:id="482" w:name="_Toc290888533"/>
      <w:bookmarkStart w:id="483" w:name="_Toc416353749"/>
      <w:bookmarkStart w:id="484" w:name="_Toc421005292"/>
      <w:bookmarkStart w:id="485" w:name="_Toc432079169"/>
      <w:bookmarkStart w:id="486" w:name="_Toc432080742"/>
      <w:r w:rsidRPr="00A613A8">
        <w:t>Liver function</w:t>
      </w:r>
      <w:bookmarkEnd w:id="481"/>
      <w:bookmarkEnd w:id="482"/>
      <w:bookmarkEnd w:id="483"/>
      <w:bookmarkEnd w:id="484"/>
      <w:r w:rsidRPr="00A613A8">
        <w:t xml:space="preserve"> and liver toxicity</w:t>
      </w:r>
      <w:bookmarkEnd w:id="485"/>
      <w:bookmarkEnd w:id="486"/>
    </w:p>
    <w:p w14:paraId="1EB53F42" w14:textId="77777777" w:rsidR="00436B89" w:rsidRPr="00A613A8" w:rsidRDefault="00436B89" w:rsidP="00436B89">
      <w:pPr>
        <w:rPr>
          <w:lang w:eastAsia="ja-JP"/>
        </w:rPr>
      </w:pPr>
      <w:r>
        <w:rPr>
          <w:lang w:eastAsia="ja-JP"/>
        </w:rPr>
        <w:t xml:space="preserve">There are no data on the use of sodium </w:t>
      </w:r>
      <w:r w:rsidRPr="00A613A8">
        <w:rPr>
          <w:lang w:eastAsia="en-AU"/>
        </w:rPr>
        <w:t>phenylbutyrate</w:t>
      </w:r>
      <w:r>
        <w:rPr>
          <w:lang w:eastAsia="ja-JP"/>
        </w:rPr>
        <w:t xml:space="preserve"> in liver dysfunction. However, there are data to suggest that </w:t>
      </w:r>
      <w:r w:rsidRPr="00A613A8">
        <w:rPr>
          <w:lang w:eastAsia="ja-JP"/>
        </w:rPr>
        <w:t xml:space="preserve">patients with cirrhosis </w:t>
      </w:r>
      <w:r>
        <w:rPr>
          <w:lang w:eastAsia="ja-JP"/>
        </w:rPr>
        <w:t xml:space="preserve">have reduced </w:t>
      </w:r>
      <w:r w:rsidRPr="00A613A8">
        <w:rPr>
          <w:lang w:eastAsia="ja-JP"/>
        </w:rPr>
        <w:t>capacity of the metabolic pathway of phenylacetate</w:t>
      </w:r>
      <w:r>
        <w:rPr>
          <w:lang w:eastAsia="ja-JP"/>
        </w:rPr>
        <w:t xml:space="preserve"> (see Pharmacokinetics section above)</w:t>
      </w:r>
      <w:r w:rsidRPr="00A613A8">
        <w:rPr>
          <w:lang w:eastAsia="ja-JP"/>
        </w:rPr>
        <w:t>.</w:t>
      </w:r>
    </w:p>
    <w:p w14:paraId="2A4890B5" w14:textId="77777777" w:rsidR="00436B89" w:rsidRPr="00A613A8" w:rsidRDefault="00436B89" w:rsidP="00177802">
      <w:pPr>
        <w:pStyle w:val="Heading4"/>
        <w:numPr>
          <w:ilvl w:val="2"/>
          <w:numId w:val="5"/>
        </w:numPr>
      </w:pPr>
      <w:bookmarkStart w:id="487" w:name="_Toc272414670"/>
      <w:bookmarkStart w:id="488" w:name="_Toc290888534"/>
      <w:bookmarkStart w:id="489" w:name="_Toc416353750"/>
      <w:bookmarkStart w:id="490" w:name="_Toc421005293"/>
      <w:bookmarkStart w:id="491" w:name="_Toc432079170"/>
      <w:bookmarkStart w:id="492" w:name="_Toc432080743"/>
      <w:r w:rsidRPr="00A613A8">
        <w:t>Renal function</w:t>
      </w:r>
      <w:bookmarkEnd w:id="487"/>
      <w:bookmarkEnd w:id="488"/>
      <w:bookmarkEnd w:id="489"/>
      <w:bookmarkEnd w:id="490"/>
      <w:r w:rsidRPr="00A613A8">
        <w:t xml:space="preserve"> and renal toxicity</w:t>
      </w:r>
      <w:bookmarkEnd w:id="491"/>
      <w:bookmarkEnd w:id="492"/>
    </w:p>
    <w:p w14:paraId="3CE43F67" w14:textId="77777777" w:rsidR="00436B89" w:rsidRPr="00A613A8" w:rsidRDefault="00436B89" w:rsidP="00436B89">
      <w:bookmarkStart w:id="493" w:name="_Toc272414671"/>
      <w:bookmarkStart w:id="494" w:name="_Toc290888535"/>
      <w:bookmarkStart w:id="495" w:name="_Toc416353751"/>
      <w:bookmarkStart w:id="496" w:name="_Toc421005294"/>
      <w:bookmarkStart w:id="497" w:name="_Toc432079171"/>
      <w:bookmarkStart w:id="498" w:name="_Toc432080744"/>
      <w:r>
        <w:t xml:space="preserve">There are no systematic data presented on the risk of renal toxicity. The sponsor identified two cases of </w:t>
      </w:r>
      <w:r w:rsidRPr="00A51F55">
        <w:t>Fanconi syndrome with no further details supplied.</w:t>
      </w:r>
    </w:p>
    <w:p w14:paraId="1B612F7B" w14:textId="77777777" w:rsidR="00436B89" w:rsidRPr="00A613A8" w:rsidRDefault="00436B89" w:rsidP="00177802">
      <w:pPr>
        <w:pStyle w:val="Heading4"/>
        <w:numPr>
          <w:ilvl w:val="2"/>
          <w:numId w:val="5"/>
        </w:numPr>
      </w:pPr>
      <w:r w:rsidRPr="00A613A8">
        <w:t>Other clinical chemistry</w:t>
      </w:r>
      <w:bookmarkEnd w:id="493"/>
      <w:bookmarkEnd w:id="494"/>
      <w:bookmarkEnd w:id="495"/>
      <w:bookmarkEnd w:id="496"/>
      <w:bookmarkEnd w:id="497"/>
      <w:bookmarkEnd w:id="498"/>
    </w:p>
    <w:p w14:paraId="7A674C16" w14:textId="77777777" w:rsidR="00436B89" w:rsidRPr="00A613A8" w:rsidRDefault="00436B89" w:rsidP="00436B89">
      <w:pPr>
        <w:rPr>
          <w:lang w:eastAsia="ja-JP"/>
        </w:rPr>
      </w:pPr>
      <w:bookmarkStart w:id="499" w:name="_Toc272414672"/>
      <w:bookmarkStart w:id="500" w:name="_Toc290888536"/>
      <w:bookmarkStart w:id="501" w:name="_Toc416353752"/>
      <w:bookmarkStart w:id="502" w:name="_Toc421005295"/>
      <w:bookmarkStart w:id="503" w:name="_Toc432079172"/>
      <w:bookmarkStart w:id="504" w:name="_Toc432080745"/>
      <w:r>
        <w:rPr>
          <w:lang w:eastAsia="ja-JP"/>
        </w:rPr>
        <w:t>No clinically significant abnormalities in laboratory tests were identified in the dossier.</w:t>
      </w:r>
    </w:p>
    <w:p w14:paraId="67DECFFE" w14:textId="77777777" w:rsidR="00436B89" w:rsidRPr="00A613A8" w:rsidRDefault="00436B89" w:rsidP="00177802">
      <w:pPr>
        <w:pStyle w:val="Heading4"/>
        <w:numPr>
          <w:ilvl w:val="2"/>
          <w:numId w:val="5"/>
        </w:numPr>
      </w:pPr>
      <w:r w:rsidRPr="00A613A8">
        <w:lastRenderedPageBreak/>
        <w:t>Haematology</w:t>
      </w:r>
      <w:bookmarkEnd w:id="499"/>
      <w:bookmarkEnd w:id="500"/>
      <w:bookmarkEnd w:id="501"/>
      <w:bookmarkEnd w:id="502"/>
      <w:r w:rsidRPr="00A613A8">
        <w:t xml:space="preserve"> and haematological toxicity</w:t>
      </w:r>
      <w:bookmarkEnd w:id="503"/>
      <w:bookmarkEnd w:id="504"/>
    </w:p>
    <w:p w14:paraId="69DE219B" w14:textId="77777777" w:rsidR="00436B89" w:rsidRPr="00A613A8" w:rsidRDefault="00436B89" w:rsidP="00436B89">
      <w:pPr>
        <w:rPr>
          <w:lang w:eastAsia="ja-JP"/>
        </w:rPr>
      </w:pPr>
      <w:bookmarkStart w:id="505" w:name="_Toc272414674"/>
      <w:bookmarkStart w:id="506" w:name="_Toc290888538"/>
      <w:bookmarkStart w:id="507" w:name="_Toc416353753"/>
      <w:bookmarkStart w:id="508" w:name="_Toc421005296"/>
      <w:bookmarkStart w:id="509" w:name="_Toc432079173"/>
      <w:bookmarkStart w:id="510" w:name="_Toc432080746"/>
      <w:r>
        <w:rPr>
          <w:lang w:eastAsia="ja-JP"/>
        </w:rPr>
        <w:t>No significant haematological toxicities were identified in the dossier.</w:t>
      </w:r>
    </w:p>
    <w:p w14:paraId="09BC2B73" w14:textId="77777777" w:rsidR="00436B89" w:rsidRPr="00A613A8" w:rsidRDefault="00436B89" w:rsidP="00177802">
      <w:pPr>
        <w:pStyle w:val="Heading4"/>
        <w:numPr>
          <w:ilvl w:val="2"/>
          <w:numId w:val="5"/>
        </w:numPr>
      </w:pPr>
      <w:r w:rsidRPr="00A613A8">
        <w:t>Other laboratory test</w:t>
      </w:r>
      <w:bookmarkEnd w:id="505"/>
      <w:bookmarkEnd w:id="506"/>
      <w:bookmarkEnd w:id="507"/>
      <w:bookmarkEnd w:id="508"/>
      <w:bookmarkEnd w:id="509"/>
      <w:bookmarkEnd w:id="510"/>
      <w:r w:rsidRPr="00A613A8">
        <w:t>s</w:t>
      </w:r>
    </w:p>
    <w:p w14:paraId="12DBA316" w14:textId="77777777" w:rsidR="00436B89" w:rsidRPr="00A613A8" w:rsidRDefault="00436B89" w:rsidP="00436B89">
      <w:pPr>
        <w:rPr>
          <w:lang w:eastAsia="ja-JP"/>
        </w:rPr>
      </w:pPr>
      <w:bookmarkStart w:id="511" w:name="_Toc272414675"/>
      <w:bookmarkStart w:id="512" w:name="_Toc290888539"/>
      <w:bookmarkStart w:id="513" w:name="_Toc416353754"/>
      <w:bookmarkStart w:id="514" w:name="_Toc421005297"/>
      <w:bookmarkStart w:id="515" w:name="_Toc432079174"/>
      <w:bookmarkStart w:id="516" w:name="_Toc432080747"/>
      <w:r>
        <w:rPr>
          <w:lang w:eastAsia="ja-JP"/>
        </w:rPr>
        <w:t>No clinically significant abnormalities in laboratory tests were identified in the dossier.</w:t>
      </w:r>
    </w:p>
    <w:p w14:paraId="0F0C4156" w14:textId="77777777" w:rsidR="00436B89" w:rsidRPr="00A613A8" w:rsidRDefault="00436B89" w:rsidP="00177802">
      <w:pPr>
        <w:pStyle w:val="Heading4"/>
        <w:numPr>
          <w:ilvl w:val="2"/>
          <w:numId w:val="5"/>
        </w:numPr>
      </w:pPr>
      <w:r w:rsidRPr="00A613A8">
        <w:t>Electrocardiograph</w:t>
      </w:r>
      <w:bookmarkEnd w:id="511"/>
      <w:bookmarkEnd w:id="512"/>
      <w:bookmarkEnd w:id="513"/>
      <w:bookmarkEnd w:id="514"/>
      <w:r w:rsidRPr="00A613A8">
        <w:t xml:space="preserve"> findings and cardiovascular safety</w:t>
      </w:r>
      <w:bookmarkEnd w:id="515"/>
      <w:bookmarkEnd w:id="516"/>
    </w:p>
    <w:p w14:paraId="64333883" w14:textId="77777777" w:rsidR="00436B89" w:rsidRPr="00A613A8" w:rsidRDefault="00436B89" w:rsidP="00436B89">
      <w:pPr>
        <w:rPr>
          <w:lang w:eastAsia="ja-JP"/>
        </w:rPr>
      </w:pPr>
      <w:bookmarkStart w:id="517" w:name="_Toc432079176"/>
      <w:bookmarkStart w:id="518" w:name="_Toc432080749"/>
      <w:r>
        <w:t>No significant ECG abnormalities were identified in the dossier. The only potential cardiovascular risk related to the sodium load and fluid retention in patients with heart failure.</w:t>
      </w:r>
    </w:p>
    <w:p w14:paraId="1C0BE33E" w14:textId="77777777" w:rsidR="00436B89" w:rsidRPr="00A613A8" w:rsidRDefault="00436B89" w:rsidP="00177802">
      <w:pPr>
        <w:pStyle w:val="Heading4"/>
        <w:numPr>
          <w:ilvl w:val="2"/>
          <w:numId w:val="5"/>
        </w:numPr>
      </w:pPr>
      <w:r w:rsidRPr="00A613A8">
        <w:t>Immunogenicity and immunological events</w:t>
      </w:r>
      <w:bookmarkEnd w:id="517"/>
      <w:bookmarkEnd w:id="518"/>
    </w:p>
    <w:p w14:paraId="0F197959" w14:textId="77777777" w:rsidR="00436B89" w:rsidRPr="00A613A8" w:rsidRDefault="00436B89" w:rsidP="00436B89">
      <w:pPr>
        <w:rPr>
          <w:lang w:eastAsia="ja-JP"/>
        </w:rPr>
      </w:pPr>
      <w:bookmarkStart w:id="519" w:name="_Toc432079177"/>
      <w:bookmarkStart w:id="520" w:name="_Toc432080750"/>
      <w:r>
        <w:rPr>
          <w:lang w:eastAsia="ja-JP"/>
        </w:rPr>
        <w:t xml:space="preserve">Serious </w:t>
      </w:r>
      <w:r w:rsidRPr="00A613A8">
        <w:t>immunological events</w:t>
      </w:r>
      <w:r>
        <w:rPr>
          <w:lang w:eastAsia="ja-JP"/>
        </w:rPr>
        <w:t xml:space="preserve"> were not identified in the dossier.</w:t>
      </w:r>
    </w:p>
    <w:p w14:paraId="5F510B2B" w14:textId="77777777" w:rsidR="00436B89" w:rsidRPr="00A613A8" w:rsidRDefault="00436B89" w:rsidP="00177802">
      <w:pPr>
        <w:pStyle w:val="Heading4"/>
        <w:numPr>
          <w:ilvl w:val="2"/>
          <w:numId w:val="5"/>
        </w:numPr>
      </w:pPr>
      <w:r w:rsidRPr="00A613A8">
        <w:t>Serious skin reactions</w:t>
      </w:r>
      <w:bookmarkEnd w:id="519"/>
      <w:bookmarkEnd w:id="520"/>
    </w:p>
    <w:p w14:paraId="43266788" w14:textId="77777777" w:rsidR="00436B89" w:rsidRPr="00A613A8" w:rsidRDefault="00436B89" w:rsidP="00436B89">
      <w:pPr>
        <w:rPr>
          <w:lang w:eastAsia="ja-JP"/>
        </w:rPr>
      </w:pPr>
      <w:bookmarkStart w:id="521" w:name="_Toc272414678"/>
      <w:bookmarkStart w:id="522" w:name="_Toc290888542"/>
      <w:bookmarkStart w:id="523" w:name="_Toc416353757"/>
      <w:bookmarkStart w:id="524" w:name="_Toc421005300"/>
      <w:bookmarkStart w:id="525" w:name="_Toc432079178"/>
      <w:bookmarkStart w:id="526" w:name="_Toc432080751"/>
      <w:r>
        <w:rPr>
          <w:lang w:eastAsia="ja-JP"/>
        </w:rPr>
        <w:t>Serious skin reactions were not identified in the dossier.</w:t>
      </w:r>
    </w:p>
    <w:p w14:paraId="335EB05D" w14:textId="77777777" w:rsidR="00436B89" w:rsidRPr="00A613A8" w:rsidRDefault="00436B89" w:rsidP="00177802">
      <w:pPr>
        <w:pStyle w:val="Heading3"/>
        <w:numPr>
          <w:ilvl w:val="1"/>
          <w:numId w:val="5"/>
        </w:numPr>
        <w:ind w:left="907" w:hanging="794"/>
      </w:pPr>
      <w:bookmarkStart w:id="527" w:name="_Toc272414686"/>
      <w:bookmarkStart w:id="528" w:name="_Ref273005527"/>
      <w:bookmarkStart w:id="529" w:name="_Toc290888550"/>
      <w:bookmarkStart w:id="530" w:name="_Toc416353765"/>
      <w:bookmarkStart w:id="531" w:name="_Toc421005308"/>
      <w:bookmarkStart w:id="532" w:name="_Toc432079179"/>
      <w:bookmarkStart w:id="533" w:name="_Toc432080752"/>
      <w:bookmarkStart w:id="534" w:name="_Toc473013905"/>
      <w:bookmarkStart w:id="535" w:name="_Toc505179702"/>
      <w:bookmarkEnd w:id="521"/>
      <w:bookmarkEnd w:id="522"/>
      <w:bookmarkEnd w:id="523"/>
      <w:bookmarkEnd w:id="524"/>
      <w:bookmarkEnd w:id="525"/>
      <w:bookmarkEnd w:id="526"/>
      <w:r w:rsidRPr="00A613A8">
        <w:t>Other safety issues</w:t>
      </w:r>
      <w:bookmarkEnd w:id="527"/>
      <w:bookmarkEnd w:id="528"/>
      <w:bookmarkEnd w:id="529"/>
      <w:bookmarkEnd w:id="530"/>
      <w:bookmarkEnd w:id="531"/>
      <w:bookmarkEnd w:id="532"/>
      <w:bookmarkEnd w:id="533"/>
      <w:bookmarkEnd w:id="534"/>
      <w:bookmarkEnd w:id="535"/>
    </w:p>
    <w:p w14:paraId="52A09F19" w14:textId="77777777" w:rsidR="00436B89" w:rsidRPr="00A613A8" w:rsidRDefault="00436B89" w:rsidP="00177802">
      <w:pPr>
        <w:pStyle w:val="Heading4"/>
        <w:numPr>
          <w:ilvl w:val="2"/>
          <w:numId w:val="5"/>
        </w:numPr>
      </w:pPr>
      <w:bookmarkStart w:id="536" w:name="_Toc241374322"/>
      <w:bookmarkStart w:id="537" w:name="_Ref272331212"/>
      <w:bookmarkStart w:id="538" w:name="_Toc272414687"/>
      <w:bookmarkStart w:id="539" w:name="_Toc290888551"/>
      <w:bookmarkStart w:id="540" w:name="_Toc416353766"/>
      <w:bookmarkStart w:id="541" w:name="_Toc421005309"/>
      <w:bookmarkStart w:id="542" w:name="_Toc432079180"/>
      <w:bookmarkStart w:id="543" w:name="_Toc432080753"/>
      <w:r w:rsidRPr="00A613A8">
        <w:t>Safety in special populations</w:t>
      </w:r>
      <w:bookmarkEnd w:id="536"/>
      <w:bookmarkEnd w:id="537"/>
      <w:bookmarkEnd w:id="538"/>
      <w:bookmarkEnd w:id="539"/>
      <w:bookmarkEnd w:id="540"/>
      <w:bookmarkEnd w:id="541"/>
      <w:bookmarkEnd w:id="542"/>
      <w:bookmarkEnd w:id="543"/>
    </w:p>
    <w:p w14:paraId="77046E93" w14:textId="77777777" w:rsidR="00436B89" w:rsidRPr="00A613A8" w:rsidRDefault="00436B89" w:rsidP="00436B89">
      <w:pPr>
        <w:rPr>
          <w:lang w:eastAsia="ja-JP"/>
        </w:rPr>
      </w:pPr>
      <w:bookmarkStart w:id="544" w:name="_Toc241374324"/>
      <w:bookmarkStart w:id="545" w:name="_Ref272331214"/>
      <w:bookmarkStart w:id="546" w:name="_Toc272414688"/>
      <w:bookmarkStart w:id="547" w:name="_Toc290888552"/>
      <w:bookmarkStart w:id="548" w:name="_Toc416353767"/>
      <w:bookmarkStart w:id="549" w:name="_Toc421005310"/>
      <w:bookmarkStart w:id="550" w:name="_Toc432079181"/>
      <w:bookmarkStart w:id="551" w:name="_Toc432080754"/>
      <w:r>
        <w:rPr>
          <w:lang w:eastAsia="ja-JP"/>
        </w:rPr>
        <w:t>The dossier does not identify specific safety issues in children or in the elderly.</w:t>
      </w:r>
    </w:p>
    <w:p w14:paraId="0012FE35" w14:textId="77777777" w:rsidR="00436B89" w:rsidRPr="00A613A8" w:rsidRDefault="00436B89" w:rsidP="00177802">
      <w:pPr>
        <w:pStyle w:val="Heading4"/>
        <w:numPr>
          <w:ilvl w:val="2"/>
          <w:numId w:val="5"/>
        </w:numPr>
      </w:pPr>
      <w:r w:rsidRPr="00A613A8">
        <w:t>Safety related to drug-drug interactions and other interactions</w:t>
      </w:r>
      <w:bookmarkEnd w:id="544"/>
      <w:bookmarkEnd w:id="545"/>
      <w:bookmarkEnd w:id="546"/>
      <w:bookmarkEnd w:id="547"/>
      <w:bookmarkEnd w:id="548"/>
      <w:bookmarkEnd w:id="549"/>
      <w:bookmarkEnd w:id="550"/>
      <w:bookmarkEnd w:id="551"/>
    </w:p>
    <w:p w14:paraId="73AEF405" w14:textId="77777777" w:rsidR="00436B89" w:rsidRPr="00A613A8" w:rsidRDefault="00436B89" w:rsidP="00436B89">
      <w:pPr>
        <w:rPr>
          <w:lang w:eastAsia="ja-JP"/>
        </w:rPr>
      </w:pPr>
      <w:bookmarkStart w:id="552" w:name="_Toc241374326"/>
      <w:bookmarkStart w:id="553" w:name="_Ref272333048"/>
      <w:bookmarkStart w:id="554" w:name="_Toc272414679"/>
      <w:bookmarkStart w:id="555" w:name="_Toc290888543"/>
      <w:bookmarkStart w:id="556" w:name="_Toc416353758"/>
      <w:bookmarkStart w:id="557" w:name="_Toc421005301"/>
      <w:bookmarkStart w:id="558" w:name="_Toc432079182"/>
      <w:bookmarkStart w:id="559" w:name="_Toc432080755"/>
      <w:r>
        <w:rPr>
          <w:lang w:eastAsia="ja-JP"/>
        </w:rPr>
        <w:t xml:space="preserve">The dossier does not identify any specific safety issues related to drug-drug interactions. However, drug-drug interactions were not directly investigated. The issue of the use of liver inducing and inhibiting anticonvulsants was raised in </w:t>
      </w:r>
      <w:r w:rsidRPr="002A7A89">
        <w:rPr>
          <w:lang w:eastAsia="ja-JP"/>
        </w:rPr>
        <w:t>Phuphanich 2005</w:t>
      </w:r>
      <w:r>
        <w:rPr>
          <w:lang w:eastAsia="ja-JP"/>
        </w:rPr>
        <w:t xml:space="preserve"> (in the treatment of </w:t>
      </w:r>
      <w:r w:rsidRPr="00DB2BAE">
        <w:rPr>
          <w:lang w:eastAsia="ja-JP"/>
        </w:rPr>
        <w:t>recurrent malignant gliomas)</w:t>
      </w:r>
      <w:r>
        <w:rPr>
          <w:lang w:eastAsia="ja-JP"/>
        </w:rPr>
        <w:t xml:space="preserve"> in terms of pharmacokinetics. The implications of this for safety are unclear.</w:t>
      </w:r>
    </w:p>
    <w:p w14:paraId="19D44993" w14:textId="77777777" w:rsidR="00436B89" w:rsidRPr="00A613A8" w:rsidRDefault="00436B89" w:rsidP="00177802">
      <w:pPr>
        <w:pStyle w:val="Heading3"/>
        <w:numPr>
          <w:ilvl w:val="1"/>
          <w:numId w:val="5"/>
        </w:numPr>
        <w:ind w:left="907" w:hanging="794"/>
      </w:pPr>
      <w:bookmarkStart w:id="560" w:name="_Toc473013906"/>
      <w:bookmarkStart w:id="561" w:name="_Toc505179703"/>
      <w:r w:rsidRPr="00A613A8">
        <w:t>Post marketing experience</w:t>
      </w:r>
      <w:bookmarkStart w:id="562" w:name="_Toc241374328"/>
      <w:bookmarkStart w:id="563" w:name="_Toc272414691"/>
      <w:bookmarkStart w:id="564" w:name="_Toc290888555"/>
      <w:bookmarkStart w:id="565" w:name="_Toc416353770"/>
      <w:bookmarkStart w:id="566" w:name="_Toc421005312"/>
      <w:bookmarkStart w:id="567" w:name="_Toc432079183"/>
      <w:bookmarkStart w:id="568" w:name="_Toc432080756"/>
      <w:bookmarkEnd w:id="552"/>
      <w:bookmarkEnd w:id="553"/>
      <w:bookmarkEnd w:id="554"/>
      <w:bookmarkEnd w:id="555"/>
      <w:bookmarkEnd w:id="556"/>
      <w:bookmarkEnd w:id="557"/>
      <w:bookmarkEnd w:id="558"/>
      <w:bookmarkEnd w:id="559"/>
      <w:bookmarkEnd w:id="560"/>
      <w:bookmarkEnd w:id="561"/>
    </w:p>
    <w:p w14:paraId="001740EE" w14:textId="77777777" w:rsidR="00436B89" w:rsidRPr="00A613A8" w:rsidRDefault="00436B89" w:rsidP="00177802">
      <w:pPr>
        <w:pStyle w:val="Heading4"/>
        <w:numPr>
          <w:ilvl w:val="2"/>
          <w:numId w:val="5"/>
        </w:numPr>
      </w:pPr>
      <w:r w:rsidRPr="00A613A8">
        <w:t>FDA Label</w:t>
      </w:r>
    </w:p>
    <w:p w14:paraId="1722AA9A" w14:textId="77777777" w:rsidR="00436B89" w:rsidRPr="00A613A8" w:rsidRDefault="00436B89" w:rsidP="00436B89">
      <w:pPr>
        <w:rPr>
          <w:lang w:eastAsia="ja-JP"/>
        </w:rPr>
      </w:pPr>
      <w:r w:rsidRPr="00A613A8">
        <w:rPr>
          <w:lang w:eastAsia="ja-JP"/>
        </w:rPr>
        <w:t>The dossier included the following extract from the FDA’s approved drug information</w:t>
      </w:r>
      <w:r>
        <w:rPr>
          <w:lang w:eastAsia="ja-JP"/>
        </w:rPr>
        <w:t xml:space="preserve"> </w:t>
      </w:r>
      <w:r w:rsidRPr="00A613A8">
        <w:rPr>
          <w:lang w:eastAsia="ja-JP"/>
        </w:rPr>
        <w:t>(label) for sodium phenylbutyrate (Buphenyl; FDA, 2009).</w:t>
      </w:r>
    </w:p>
    <w:p w14:paraId="27F79C02" w14:textId="77777777" w:rsidR="00436B89" w:rsidRPr="00A613A8" w:rsidRDefault="00436B89" w:rsidP="00436B89">
      <w:pPr>
        <w:ind w:left="720"/>
        <w:rPr>
          <w:b/>
          <w:lang w:eastAsia="ja-JP"/>
        </w:rPr>
      </w:pPr>
      <w:r w:rsidRPr="00A613A8">
        <w:rPr>
          <w:b/>
          <w:lang w:eastAsia="ja-JP"/>
        </w:rPr>
        <w:t>ADVERSE REACTIONS</w:t>
      </w:r>
    </w:p>
    <w:p w14:paraId="6128B37D" w14:textId="77777777" w:rsidR="00436B89" w:rsidRPr="00A613A8" w:rsidRDefault="00436B89" w:rsidP="00436B89">
      <w:pPr>
        <w:ind w:left="720"/>
        <w:rPr>
          <w:lang w:eastAsia="ja-JP"/>
        </w:rPr>
      </w:pPr>
      <w:r w:rsidRPr="00A613A8">
        <w:rPr>
          <w:lang w:eastAsia="ja-JP"/>
        </w:rPr>
        <w:t xml:space="preserve">The assessment of clinical adverse events came from 206 patients treated with sodium phenylbutyrate. Adverse events (both clinical and laboratory) were not collected systematically in these patients, but were obtained from patient-visit reports by the 65 coinvestigators. Causality of adverse effects is sometimes difficult to determine in this patient population because they may result from </w:t>
      </w:r>
      <w:r w:rsidR="00625EDD" w:rsidRPr="00A613A8">
        <w:rPr>
          <w:lang w:eastAsia="ja-JP"/>
        </w:rPr>
        <w:t>the</w:t>
      </w:r>
      <w:r w:rsidRPr="00A613A8">
        <w:rPr>
          <w:lang w:eastAsia="ja-JP"/>
        </w:rPr>
        <w:t xml:space="preserve"> underlying disease, the patient’s restricted diet, intercurrent illness, or sodium phenylbutyrate. Furthermore, the rates may be underestimated because they were reported primarily by the parent or guardian and not the patient.</w:t>
      </w:r>
    </w:p>
    <w:p w14:paraId="717AA3F7" w14:textId="77777777" w:rsidR="00436B89" w:rsidRPr="00A613A8" w:rsidRDefault="00436B89" w:rsidP="00436B89">
      <w:pPr>
        <w:ind w:left="720"/>
        <w:rPr>
          <w:b/>
          <w:lang w:eastAsia="ja-JP"/>
        </w:rPr>
      </w:pPr>
      <w:r w:rsidRPr="00A613A8">
        <w:rPr>
          <w:b/>
          <w:lang w:eastAsia="ja-JP"/>
        </w:rPr>
        <w:t>CLINICAL ADVERSE EVENTS</w:t>
      </w:r>
    </w:p>
    <w:p w14:paraId="08F1279B" w14:textId="77777777" w:rsidR="00436B89" w:rsidRPr="00A613A8" w:rsidRDefault="00436B89" w:rsidP="00436B89">
      <w:pPr>
        <w:ind w:left="720"/>
        <w:rPr>
          <w:lang w:eastAsia="ja-JP"/>
        </w:rPr>
      </w:pPr>
      <w:r w:rsidRPr="00A613A8">
        <w:rPr>
          <w:lang w:eastAsia="ja-JP"/>
        </w:rPr>
        <w:t>In female patients, the most common clinical adverse event reported was amenorrhea/menstrual dysfunction, which occurred in 23% of the menstruating patients.</w:t>
      </w:r>
    </w:p>
    <w:p w14:paraId="268915F0" w14:textId="77777777" w:rsidR="00436B89" w:rsidRPr="00A613A8" w:rsidRDefault="00436B89" w:rsidP="00436B89">
      <w:pPr>
        <w:ind w:left="720"/>
        <w:rPr>
          <w:lang w:eastAsia="ja-JP"/>
        </w:rPr>
      </w:pPr>
      <w:r w:rsidRPr="00A613A8">
        <w:rPr>
          <w:lang w:eastAsia="ja-JP"/>
        </w:rPr>
        <w:t>Decreased appetite occurred in 4% of all patients. Body odour (probably caused by the metabolite, phenylacetate) and bad taste or taste aversion were each reported in 3% of patients.</w:t>
      </w:r>
    </w:p>
    <w:p w14:paraId="741B6D9A" w14:textId="77777777" w:rsidR="00436B89" w:rsidRPr="00A613A8" w:rsidRDefault="00436B89" w:rsidP="00436B89">
      <w:pPr>
        <w:ind w:left="720"/>
        <w:rPr>
          <w:lang w:eastAsia="ja-JP"/>
        </w:rPr>
      </w:pPr>
      <w:r w:rsidRPr="00A613A8">
        <w:rPr>
          <w:lang w:eastAsia="ja-JP"/>
        </w:rPr>
        <w:lastRenderedPageBreak/>
        <w:t>Other adverse events reported in 2% or fewer patients were:</w:t>
      </w:r>
    </w:p>
    <w:p w14:paraId="5B48AFD8" w14:textId="77777777" w:rsidR="00436B89" w:rsidRPr="00A613A8" w:rsidRDefault="00436B89" w:rsidP="00436B89">
      <w:pPr>
        <w:ind w:left="720"/>
        <w:rPr>
          <w:lang w:eastAsia="ja-JP"/>
        </w:rPr>
      </w:pPr>
      <w:r w:rsidRPr="00A613A8">
        <w:rPr>
          <w:lang w:eastAsia="ja-JP"/>
        </w:rPr>
        <w:t>Gastrointestinal: abdominal pain, gastritis, nausea and vomiting; constipation, rectal</w:t>
      </w:r>
      <w:r>
        <w:rPr>
          <w:lang w:eastAsia="ja-JP"/>
        </w:rPr>
        <w:t xml:space="preserve"> </w:t>
      </w:r>
      <w:r w:rsidRPr="00A613A8">
        <w:rPr>
          <w:lang w:eastAsia="ja-JP"/>
        </w:rPr>
        <w:t>bleeding, peptic ulcer disease, and pancreatitis each occurred in one patient.</w:t>
      </w:r>
    </w:p>
    <w:p w14:paraId="0E8ED7E6" w14:textId="77777777" w:rsidR="00436B89" w:rsidRPr="00A613A8" w:rsidRDefault="00436B89" w:rsidP="00436B89">
      <w:pPr>
        <w:ind w:left="720"/>
        <w:rPr>
          <w:lang w:eastAsia="ja-JP"/>
        </w:rPr>
      </w:pPr>
      <w:r w:rsidRPr="00A613A8">
        <w:rPr>
          <w:lang w:eastAsia="ja-JP"/>
        </w:rPr>
        <w:t>Hematologic: aplastic anaemia and ecchymosis each occurred in one patient.</w:t>
      </w:r>
    </w:p>
    <w:p w14:paraId="18FD51A6" w14:textId="77777777" w:rsidR="00436B89" w:rsidRPr="00A613A8" w:rsidRDefault="00436B89" w:rsidP="00436B89">
      <w:pPr>
        <w:ind w:left="720"/>
        <w:rPr>
          <w:lang w:eastAsia="ja-JP"/>
        </w:rPr>
      </w:pPr>
      <w:r w:rsidRPr="00A613A8">
        <w:rPr>
          <w:lang w:eastAsia="ja-JP"/>
        </w:rPr>
        <w:t>Cardiovascular: arrhythmia and oedema each occurred in one patient.</w:t>
      </w:r>
    </w:p>
    <w:p w14:paraId="4931FE88" w14:textId="77777777" w:rsidR="00436B89" w:rsidRPr="00A613A8" w:rsidRDefault="00436B89" w:rsidP="00436B89">
      <w:pPr>
        <w:ind w:left="720"/>
        <w:rPr>
          <w:lang w:eastAsia="ja-JP"/>
        </w:rPr>
      </w:pPr>
      <w:r w:rsidRPr="00A613A8">
        <w:rPr>
          <w:lang w:eastAsia="ja-JP"/>
        </w:rPr>
        <w:t>Renal: renal tubular acidosis</w:t>
      </w:r>
    </w:p>
    <w:p w14:paraId="1DFE8E36" w14:textId="77777777" w:rsidR="00436B89" w:rsidRPr="00A613A8" w:rsidRDefault="00436B89" w:rsidP="00436B89">
      <w:pPr>
        <w:ind w:left="720"/>
        <w:rPr>
          <w:lang w:eastAsia="ja-JP"/>
        </w:rPr>
      </w:pPr>
      <w:r w:rsidRPr="00A613A8">
        <w:rPr>
          <w:lang w:eastAsia="ja-JP"/>
        </w:rPr>
        <w:t>Psychiatric: depression</w:t>
      </w:r>
    </w:p>
    <w:p w14:paraId="49A2692F" w14:textId="77777777" w:rsidR="00436B89" w:rsidRPr="00A613A8" w:rsidRDefault="00436B89" w:rsidP="00436B89">
      <w:pPr>
        <w:ind w:left="720"/>
        <w:rPr>
          <w:lang w:eastAsia="ja-JP"/>
        </w:rPr>
      </w:pPr>
      <w:r w:rsidRPr="00A613A8">
        <w:rPr>
          <w:lang w:eastAsia="ja-JP"/>
        </w:rPr>
        <w:t>Skin: rash</w:t>
      </w:r>
    </w:p>
    <w:p w14:paraId="76AA196C" w14:textId="77777777" w:rsidR="00436B89" w:rsidRPr="00A613A8" w:rsidRDefault="00436B89" w:rsidP="00436B89">
      <w:pPr>
        <w:ind w:left="720"/>
        <w:rPr>
          <w:lang w:eastAsia="ja-JP"/>
        </w:rPr>
      </w:pPr>
      <w:r w:rsidRPr="00A613A8">
        <w:rPr>
          <w:lang w:eastAsia="ja-JP"/>
        </w:rPr>
        <w:t>Miscellaneous: headache, syncope, and weight gain</w:t>
      </w:r>
    </w:p>
    <w:p w14:paraId="769E2CE8" w14:textId="77777777" w:rsidR="00436B89" w:rsidRPr="00A613A8" w:rsidRDefault="00436B89" w:rsidP="00436B89">
      <w:pPr>
        <w:ind w:left="720"/>
        <w:rPr>
          <w:lang w:eastAsia="ja-JP"/>
        </w:rPr>
      </w:pPr>
      <w:r w:rsidRPr="00A613A8">
        <w:rPr>
          <w:lang w:eastAsia="ja-JP"/>
        </w:rPr>
        <w:t>Neurotoxicity was reported in cancer patients receiving intravenous phenylacetate, 250–300 mg/</w:t>
      </w:r>
      <w:r>
        <w:rPr>
          <w:lang w:eastAsia="ja-JP"/>
        </w:rPr>
        <w:t>kg/day</w:t>
      </w:r>
      <w:r w:rsidRPr="00A613A8">
        <w:rPr>
          <w:lang w:eastAsia="ja-JP"/>
        </w:rPr>
        <w:t xml:space="preserve"> for 14 days, repeated at 4-week intervals. Manifestations were predominately somnolence, fatigue, and light-headedness; with less frequent headache, dysgeusia, hypoacusis, disorientation, impaired memory, and exacerbation of a pre-existing neuropathy. These adverse events were mainly mild in severity. The acute onset and reversibility when the phenylacetate infusion was discontinued suggest a drug effect.</w:t>
      </w:r>
    </w:p>
    <w:p w14:paraId="2D2DB70B" w14:textId="77777777" w:rsidR="00436B89" w:rsidRPr="00A613A8" w:rsidRDefault="00436B89" w:rsidP="00177802">
      <w:pPr>
        <w:pStyle w:val="Heading4"/>
        <w:numPr>
          <w:ilvl w:val="2"/>
          <w:numId w:val="5"/>
        </w:numPr>
      </w:pPr>
      <w:r w:rsidRPr="00A613A8">
        <w:t>First EU Periodic benefit-risk evaluation report (PBRER)</w:t>
      </w:r>
    </w:p>
    <w:p w14:paraId="4DD3F717" w14:textId="77777777" w:rsidR="00436B89" w:rsidRPr="00A613A8" w:rsidRDefault="00436B89" w:rsidP="00436B89">
      <w:pPr>
        <w:rPr>
          <w:lang w:eastAsia="ja-JP"/>
        </w:rPr>
      </w:pPr>
      <w:r w:rsidRPr="00A613A8">
        <w:rPr>
          <w:lang w:eastAsia="ja-JP"/>
        </w:rPr>
        <w:t xml:space="preserve">This report included safety information collected for the medicinal product </w:t>
      </w:r>
      <w:r>
        <w:rPr>
          <w:lang w:eastAsia="ja-JP"/>
        </w:rPr>
        <w:t>Pheburane</w:t>
      </w:r>
      <w:r w:rsidRPr="00A613A8">
        <w:rPr>
          <w:lang w:eastAsia="ja-JP"/>
        </w:rPr>
        <w:t xml:space="preserve"> (</w:t>
      </w:r>
      <w:r>
        <w:rPr>
          <w:lang w:eastAsia="ja-JP"/>
        </w:rPr>
        <w:t>s</w:t>
      </w:r>
      <w:r w:rsidRPr="00A613A8">
        <w:rPr>
          <w:lang w:eastAsia="ja-JP"/>
        </w:rPr>
        <w:t>odium phenylbutyrate) covering the reporting period from date of authorisation 31 Jul</w:t>
      </w:r>
      <w:r>
        <w:rPr>
          <w:lang w:eastAsia="ja-JP"/>
        </w:rPr>
        <w:t>y</w:t>
      </w:r>
      <w:r w:rsidRPr="00A613A8">
        <w:rPr>
          <w:lang w:eastAsia="ja-JP"/>
        </w:rPr>
        <w:t xml:space="preserve"> 2013 to 31 Dec</w:t>
      </w:r>
      <w:r>
        <w:rPr>
          <w:lang w:eastAsia="ja-JP"/>
        </w:rPr>
        <w:t>ember</w:t>
      </w:r>
      <w:r w:rsidRPr="00A613A8">
        <w:rPr>
          <w:lang w:eastAsia="ja-JP"/>
        </w:rPr>
        <w:t xml:space="preserve"> 2015. The report also included the French Compassionate Use Project (CUP) which was approved by the French Regulatory Agency in Sep 2012.</w:t>
      </w:r>
    </w:p>
    <w:p w14:paraId="57BAFBE1" w14:textId="77777777" w:rsidR="00436B89" w:rsidRPr="00A613A8" w:rsidRDefault="00436B89" w:rsidP="00436B89">
      <w:pPr>
        <w:rPr>
          <w:lang w:eastAsia="ja-JP"/>
        </w:rPr>
      </w:pPr>
      <w:r w:rsidRPr="00A613A8">
        <w:rPr>
          <w:lang w:eastAsia="ja-JP"/>
        </w:rPr>
        <w:t>During the period under review, no actions have been taken or proposed by Lucane, or any Competent Authority for safety reasons.</w:t>
      </w:r>
    </w:p>
    <w:p w14:paraId="3B5DCE5D" w14:textId="77777777" w:rsidR="00436B89" w:rsidRPr="00A613A8" w:rsidRDefault="00436B89" w:rsidP="00436B89">
      <w:pPr>
        <w:rPr>
          <w:lang w:eastAsia="ja-JP"/>
        </w:rPr>
      </w:pPr>
      <w:r w:rsidRPr="00A613A8">
        <w:rPr>
          <w:lang w:eastAsia="ja-JP"/>
        </w:rPr>
        <w:t xml:space="preserve">The report stated that </w:t>
      </w:r>
      <w:r>
        <w:rPr>
          <w:lang w:eastAsia="ja-JP"/>
        </w:rPr>
        <w:t>Pheburane</w:t>
      </w:r>
      <w:r w:rsidRPr="00A613A8">
        <w:rPr>
          <w:lang w:eastAsia="ja-JP"/>
        </w:rPr>
        <w:t xml:space="preserve"> is authorised in 34 countries: all the EU countries + Norway + Iceland, Canada, Israel, South Korea, New-Zealand. </w:t>
      </w:r>
      <w:r>
        <w:rPr>
          <w:lang w:eastAsia="ja-JP"/>
        </w:rPr>
        <w:t>Pheburane</w:t>
      </w:r>
      <w:r w:rsidRPr="00A613A8">
        <w:rPr>
          <w:lang w:eastAsia="ja-JP"/>
        </w:rPr>
        <w:t xml:space="preserve"> is marketed in 17 countries: France, United Kingdom, Spain, Germany, Netherlands, Belgium, Italy, Portugal, Greece, Sweden, Finland, Czech Republic, Canada, South Korea, and distributed via compassionate use in Colombia and Turkey.</w:t>
      </w:r>
      <w:r w:rsidRPr="00A613A8">
        <w:t xml:space="preserve"> </w:t>
      </w:r>
    </w:p>
    <w:p w14:paraId="18C2A7A5" w14:textId="77777777"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t>Exposure</w:t>
      </w:r>
    </w:p>
    <w:p w14:paraId="7EA620F5" w14:textId="77777777" w:rsidR="00436B89" w:rsidRPr="00A613A8" w:rsidRDefault="00436B89" w:rsidP="00436B89">
      <w:pPr>
        <w:rPr>
          <w:lang w:eastAsia="ja-JP"/>
        </w:rPr>
      </w:pPr>
      <w:r w:rsidRPr="00A613A8">
        <w:rPr>
          <w:lang w:eastAsia="ja-JP"/>
        </w:rPr>
        <w:t xml:space="preserve">The French Compassionate Use Project </w:t>
      </w:r>
      <w:r w:rsidR="00960971">
        <w:rPr>
          <w:lang w:eastAsia="ja-JP"/>
        </w:rPr>
        <w:t xml:space="preserve">enrolled </w:t>
      </w:r>
      <w:r w:rsidRPr="00A613A8">
        <w:rPr>
          <w:lang w:eastAsia="ja-JP"/>
        </w:rPr>
        <w:t xml:space="preserve">25 patients </w:t>
      </w:r>
      <w:r w:rsidR="00960971">
        <w:rPr>
          <w:lang w:eastAsia="ja-JP"/>
        </w:rPr>
        <w:t xml:space="preserve">as summarised below </w:t>
      </w:r>
      <w:r w:rsidRPr="00A613A8">
        <w:rPr>
          <w:lang w:eastAsia="ja-JP"/>
        </w:rPr>
        <w:t>(</w:t>
      </w:r>
      <w:r>
        <w:rPr>
          <w:lang w:eastAsia="ja-JP"/>
        </w:rPr>
        <w:t>Table 40</w:t>
      </w:r>
      <w:r w:rsidRPr="00A613A8">
        <w:rPr>
          <w:lang w:eastAsia="ja-JP"/>
        </w:rPr>
        <w:t>).</w:t>
      </w:r>
    </w:p>
    <w:p w14:paraId="464B43CD" w14:textId="77777777" w:rsidR="00436B89" w:rsidRPr="00A613A8" w:rsidRDefault="00436B89" w:rsidP="00DC62AD">
      <w:pPr>
        <w:pStyle w:val="Tabletitle"/>
        <w:rPr>
          <w:lang w:eastAsia="ja-JP"/>
        </w:rPr>
      </w:pPr>
      <w:bookmarkStart w:id="569" w:name="_Ref457768309"/>
      <w:bookmarkStart w:id="570" w:name="_Toc473013979"/>
      <w:r w:rsidRPr="00A613A8">
        <w:t xml:space="preserve">Table </w:t>
      </w:r>
      <w:r>
        <w:t>40:</w:t>
      </w:r>
      <w:bookmarkEnd w:id="569"/>
      <w:r w:rsidRPr="00A613A8">
        <w:t xml:space="preserve"> </w:t>
      </w:r>
      <w:r w:rsidRPr="00A613A8">
        <w:rPr>
          <w:lang w:eastAsia="ja-JP"/>
        </w:rPr>
        <w:t>French Compassionate Use Project enrolment</w:t>
      </w:r>
      <w:r>
        <w:rPr>
          <w:lang w:eastAsia="ja-JP"/>
        </w:rPr>
        <w:t xml:space="preserve"> (PBRER)</w:t>
      </w:r>
      <w:bookmarkEnd w:id="570"/>
    </w:p>
    <w:p w14:paraId="5074DF6C" w14:textId="77777777" w:rsidR="00436B89" w:rsidRPr="00A613A8" w:rsidRDefault="00436B89" w:rsidP="00436B89">
      <w:pPr>
        <w:rPr>
          <w:lang w:eastAsia="ja-JP"/>
        </w:rPr>
      </w:pPr>
      <w:r>
        <w:rPr>
          <w:noProof/>
          <w:lang w:eastAsia="en-AU"/>
        </w:rPr>
        <w:drawing>
          <wp:inline distT="0" distB="0" distL="0" distR="0" wp14:anchorId="12CBDF48" wp14:editId="32419337">
            <wp:extent cx="3680460" cy="1485900"/>
            <wp:effectExtent l="0" t="0" r="0" b="0"/>
            <wp:docPr id="66" name="Picture 66" descr="Table 40: French Compassionate Use Project enrolment (PB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lum bright="-20000" contrast="40000"/>
                      <a:extLst>
                        <a:ext uri="{28A0092B-C50C-407E-A947-70E740481C1C}">
                          <a14:useLocalDpi xmlns:a14="http://schemas.microsoft.com/office/drawing/2010/main" val="0"/>
                        </a:ext>
                      </a:extLst>
                    </a:blip>
                    <a:srcRect/>
                    <a:stretch>
                      <a:fillRect/>
                    </a:stretch>
                  </pic:blipFill>
                  <pic:spPr bwMode="auto">
                    <a:xfrm>
                      <a:off x="0" y="0"/>
                      <a:ext cx="3680460" cy="1485900"/>
                    </a:xfrm>
                    <a:prstGeom prst="rect">
                      <a:avLst/>
                    </a:prstGeom>
                    <a:noFill/>
                    <a:ln>
                      <a:noFill/>
                    </a:ln>
                  </pic:spPr>
                </pic:pic>
              </a:graphicData>
            </a:graphic>
          </wp:inline>
        </w:drawing>
      </w:r>
    </w:p>
    <w:p w14:paraId="2EAC04CF" w14:textId="77777777" w:rsidR="00436B89" w:rsidRPr="00A613A8" w:rsidRDefault="00436B89" w:rsidP="00436B89">
      <w:pPr>
        <w:rPr>
          <w:lang w:eastAsia="ja-JP"/>
        </w:rPr>
      </w:pPr>
      <w:r w:rsidRPr="00A613A8">
        <w:rPr>
          <w:lang w:eastAsia="ja-JP"/>
        </w:rPr>
        <w:t xml:space="preserve">In the </w:t>
      </w:r>
      <w:r w:rsidRPr="00A613A8">
        <w:t xml:space="preserve">PBRER, the total exposure estimate is based upon supplied bottles of </w:t>
      </w:r>
      <w:r>
        <w:rPr>
          <w:lang w:eastAsia="ja-JP"/>
        </w:rPr>
        <w:t>Pheburane</w:t>
      </w:r>
      <w:r w:rsidRPr="00A613A8">
        <w:rPr>
          <w:lang w:eastAsia="ja-JP"/>
        </w:rPr>
        <w:t>.</w:t>
      </w:r>
    </w:p>
    <w:p w14:paraId="1841331F" w14:textId="77777777" w:rsidR="00436B89" w:rsidRPr="00A613A8" w:rsidRDefault="00436B89" w:rsidP="00436B89">
      <w:pPr>
        <w:rPr>
          <w:lang w:eastAsia="ja-JP"/>
        </w:rPr>
      </w:pPr>
      <w:r w:rsidRPr="00A613A8">
        <w:rPr>
          <w:lang w:eastAsia="ja-JP"/>
        </w:rPr>
        <w:t>In Europe this calculated at 71,039 daily doses (5.2 g/day) (</w:t>
      </w:r>
      <w:r>
        <w:rPr>
          <w:lang w:eastAsia="ja-JP"/>
        </w:rPr>
        <w:t>Table 41</w:t>
      </w:r>
      <w:r w:rsidRPr="00A613A8">
        <w:rPr>
          <w:lang w:eastAsia="ja-JP"/>
        </w:rPr>
        <w:t>).</w:t>
      </w:r>
    </w:p>
    <w:p w14:paraId="30BD3F03" w14:textId="77777777" w:rsidR="00436B89" w:rsidRPr="00A613A8" w:rsidRDefault="00436B89" w:rsidP="00436B89">
      <w:pPr>
        <w:rPr>
          <w:lang w:eastAsia="ja-JP"/>
        </w:rPr>
      </w:pPr>
      <w:r w:rsidRPr="00A613A8">
        <w:rPr>
          <w:lang w:eastAsia="ja-JP"/>
        </w:rPr>
        <w:t>The Outside of European exposure is a total of 36,640 daily doses (5.2 g/day) and 10,947 daily doses (12 g/day) (</w:t>
      </w:r>
      <w:r>
        <w:rPr>
          <w:lang w:eastAsia="ja-JP"/>
        </w:rPr>
        <w:t>Table 42</w:t>
      </w:r>
      <w:r w:rsidRPr="00A613A8">
        <w:rPr>
          <w:lang w:eastAsia="ja-JP"/>
        </w:rPr>
        <w:t>).</w:t>
      </w:r>
    </w:p>
    <w:p w14:paraId="11449C43" w14:textId="77777777" w:rsidR="00436B89" w:rsidRPr="00A613A8" w:rsidRDefault="00436B89" w:rsidP="00436B89">
      <w:pPr>
        <w:rPr>
          <w:lang w:eastAsia="ja-JP"/>
        </w:rPr>
      </w:pPr>
      <w:r w:rsidRPr="00A613A8">
        <w:rPr>
          <w:lang w:eastAsia="ja-JP"/>
        </w:rPr>
        <w:lastRenderedPageBreak/>
        <w:t xml:space="preserve">There were also 8 cases of off-label use in a range of other metabolic disorders; </w:t>
      </w:r>
      <w:r>
        <w:rPr>
          <w:lang w:eastAsia="ja-JP"/>
        </w:rPr>
        <w:t>h</w:t>
      </w:r>
      <w:r w:rsidRPr="00A613A8">
        <w:rPr>
          <w:lang w:eastAsia="ja-JP"/>
        </w:rPr>
        <w:t xml:space="preserve">owever, the sponsor states that no adverse events or any particular patterns of use have come to their attention which </w:t>
      </w:r>
      <w:r w:rsidR="00625EDD">
        <w:rPr>
          <w:lang w:eastAsia="ja-JP"/>
        </w:rPr>
        <w:t>is</w:t>
      </w:r>
      <w:r w:rsidRPr="00A613A8">
        <w:rPr>
          <w:lang w:eastAsia="ja-JP"/>
        </w:rPr>
        <w:t xml:space="preserve"> considered relevant for the interpretation of safety data. </w:t>
      </w:r>
    </w:p>
    <w:p w14:paraId="102B761B" w14:textId="2095B315"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t xml:space="preserve">Clinical </w:t>
      </w:r>
      <w:r w:rsidR="00F21AE2">
        <w:rPr>
          <w:lang w:eastAsia="ja-JP"/>
        </w:rPr>
        <w:t>t</w:t>
      </w:r>
      <w:r w:rsidRPr="00A613A8">
        <w:rPr>
          <w:lang w:eastAsia="ja-JP"/>
        </w:rPr>
        <w:t>rials</w:t>
      </w:r>
    </w:p>
    <w:p w14:paraId="6E5EB363" w14:textId="77777777" w:rsidR="00436B89" w:rsidRPr="00A613A8" w:rsidRDefault="00436B89" w:rsidP="00436B89">
      <w:pPr>
        <w:rPr>
          <w:lang w:eastAsia="ja-JP"/>
        </w:rPr>
      </w:pPr>
      <w:r w:rsidRPr="00A613A8">
        <w:rPr>
          <w:lang w:eastAsia="ja-JP"/>
        </w:rPr>
        <w:t xml:space="preserve">The </w:t>
      </w:r>
      <w:r w:rsidRPr="00A613A8">
        <w:t>PBRER</w:t>
      </w:r>
      <w:r w:rsidRPr="00A613A8">
        <w:rPr>
          <w:lang w:eastAsia="ja-JP"/>
        </w:rPr>
        <w:t xml:space="preserve"> reported that a single centre (</w:t>
      </w:r>
      <w:r>
        <w:rPr>
          <w:lang w:eastAsia="ja-JP"/>
        </w:rPr>
        <w:t>[information redacted]</w:t>
      </w:r>
      <w:r w:rsidRPr="00A613A8">
        <w:rPr>
          <w:lang w:eastAsia="ja-JP"/>
        </w:rPr>
        <w:t>, France), pilot, open label, comparative, randomised, uncontrolled trial was initiated on Feb 2015 for 30 patients (2 groups of 15 patients) and was completed in Sep</w:t>
      </w:r>
      <w:r>
        <w:rPr>
          <w:lang w:eastAsia="ja-JP"/>
        </w:rPr>
        <w:t>tember</w:t>
      </w:r>
      <w:r w:rsidRPr="00A613A8">
        <w:rPr>
          <w:lang w:eastAsia="ja-JP"/>
        </w:rPr>
        <w:t xml:space="preserve"> 2015.</w:t>
      </w:r>
      <w:r>
        <w:rPr>
          <w:lang w:eastAsia="ja-JP"/>
        </w:rPr>
        <w:t xml:space="preserve"> </w:t>
      </w:r>
      <w:r w:rsidRPr="00A613A8">
        <w:rPr>
          <w:lang w:eastAsia="ja-JP"/>
        </w:rPr>
        <w:t>No SAE were observed during the trial. Two patients out of 13 at dose 15g/day who had to decrease to 7.5g/d for granularity issue with the product. The 13 (and 2 =15) patients at 7.5g/d had no TEAEs reported.</w:t>
      </w:r>
    </w:p>
    <w:p w14:paraId="4214C50A" w14:textId="73122DF5"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t xml:space="preserve">New </w:t>
      </w:r>
      <w:r w:rsidR="00F21AE2">
        <w:rPr>
          <w:lang w:eastAsia="ja-JP"/>
        </w:rPr>
        <w:t>l</w:t>
      </w:r>
      <w:r w:rsidRPr="00A613A8">
        <w:rPr>
          <w:lang w:eastAsia="ja-JP"/>
        </w:rPr>
        <w:t>iterature</w:t>
      </w:r>
    </w:p>
    <w:p w14:paraId="31D7F603" w14:textId="77777777" w:rsidR="00436B89" w:rsidRPr="00A613A8" w:rsidRDefault="00436B89" w:rsidP="00436B89">
      <w:pPr>
        <w:autoSpaceDE w:val="0"/>
        <w:autoSpaceDN w:val="0"/>
        <w:adjustRightInd w:val="0"/>
        <w:spacing w:before="0" w:after="0" w:line="240" w:lineRule="auto"/>
        <w:rPr>
          <w:lang w:eastAsia="ja-JP"/>
        </w:rPr>
      </w:pPr>
      <w:r w:rsidRPr="00A613A8">
        <w:rPr>
          <w:lang w:eastAsia="ja-JP"/>
        </w:rPr>
        <w:t>The following papers were identified in an updated literature search</w:t>
      </w:r>
    </w:p>
    <w:p w14:paraId="4505A1B6" w14:textId="77777777" w:rsidR="00436B89" w:rsidRPr="003D5075" w:rsidRDefault="00436B89" w:rsidP="00177802">
      <w:pPr>
        <w:pStyle w:val="ListBullet"/>
        <w:numPr>
          <w:ilvl w:val="0"/>
          <w:numId w:val="1"/>
        </w:numPr>
        <w:rPr>
          <w:i/>
          <w:lang w:eastAsia="ja-JP"/>
        </w:rPr>
      </w:pPr>
      <w:r w:rsidRPr="003D5075">
        <w:rPr>
          <w:i/>
          <w:lang w:eastAsia="ja-JP"/>
        </w:rPr>
        <w:t>Burrage. L.C, Jain.M, Gandolfo.L, Lee. B.H, Members of the Urea Cycle Disorders Consortium, and Nagamani.S.C.S. Sodium Phenylbutyrate Decreases Plasma Branched-Chain Amino Acids in Patients with Urea Cycle Disorders. Mol Genet Metab. 113(0): 131–135. 2014</w:t>
      </w:r>
    </w:p>
    <w:p w14:paraId="0419AE0B" w14:textId="77777777" w:rsidR="00436B89" w:rsidRPr="003D5075" w:rsidRDefault="00436B89" w:rsidP="00177802">
      <w:pPr>
        <w:pStyle w:val="ListBullet"/>
        <w:numPr>
          <w:ilvl w:val="0"/>
          <w:numId w:val="1"/>
        </w:numPr>
        <w:rPr>
          <w:i/>
          <w:lang w:eastAsia="ja-JP"/>
        </w:rPr>
      </w:pPr>
      <w:proofErr w:type="gramStart"/>
      <w:r w:rsidRPr="003D5075">
        <w:rPr>
          <w:i/>
          <w:lang w:eastAsia="ja-JP"/>
        </w:rPr>
        <w:t>Ucar.S.K ,</w:t>
      </w:r>
      <w:proofErr w:type="gramEnd"/>
      <w:r w:rsidRPr="003D5075">
        <w:rPr>
          <w:i/>
          <w:lang w:eastAsia="ja-JP"/>
        </w:rPr>
        <w:t xml:space="preserve"> Kose.M, Altinok.Y.K, Canda.E, Kagnic.M, Duyu.M et.al. A MSUD Case: Sodium phenylbutyrate treatment during attack period. Springer. Page 239</w:t>
      </w:r>
    </w:p>
    <w:p w14:paraId="68369730" w14:textId="77777777" w:rsidR="00436B89" w:rsidRPr="003D5075" w:rsidRDefault="00436B89" w:rsidP="00177802">
      <w:pPr>
        <w:pStyle w:val="ListBullet"/>
        <w:numPr>
          <w:ilvl w:val="0"/>
          <w:numId w:val="1"/>
        </w:numPr>
        <w:rPr>
          <w:i/>
          <w:lang w:eastAsia="ja-JP"/>
        </w:rPr>
      </w:pPr>
      <w:proofErr w:type="gramStart"/>
      <w:r w:rsidRPr="003D5075">
        <w:rPr>
          <w:i/>
          <w:lang w:eastAsia="ja-JP"/>
        </w:rPr>
        <w:t>Shneider.B.L,</w:t>
      </w:r>
      <w:proofErr w:type="gramEnd"/>
      <w:r w:rsidRPr="003D5075">
        <w:rPr>
          <w:i/>
          <w:lang w:eastAsia="ja-JP"/>
        </w:rPr>
        <w:t xml:space="preserve"> and Vockley.J. Possible Phenylacetate Hepatotoxicity during 4-Phenylbutyrate Therapy of Byler Disease. J Pediatr Gastroenterol Nutr. Page 1-16. 2015.</w:t>
      </w:r>
    </w:p>
    <w:p w14:paraId="1152F950" w14:textId="77777777" w:rsidR="00436B89" w:rsidRPr="00A613A8" w:rsidRDefault="00436B89" w:rsidP="00436B89">
      <w:pPr>
        <w:rPr>
          <w:lang w:eastAsia="ja-JP"/>
        </w:rPr>
      </w:pPr>
      <w:r w:rsidRPr="00A613A8">
        <w:rPr>
          <w:lang w:eastAsia="ja-JP"/>
        </w:rPr>
        <w:t xml:space="preserve">This case was described as a case of hepatotoxicity received for sodium phenylbutyrate in an expanded access programme using a non-Marketing Authorisation Holder (MAH) marketed drug and the summary of the case is reproduced below. </w:t>
      </w:r>
    </w:p>
    <w:p w14:paraId="3733229E" w14:textId="77777777" w:rsidR="00436B89" w:rsidRPr="00A613A8" w:rsidRDefault="00436B89" w:rsidP="00436B89">
      <w:pPr>
        <w:ind w:left="720"/>
        <w:rPr>
          <w:lang w:eastAsia="ja-JP"/>
        </w:rPr>
      </w:pPr>
      <w:r w:rsidRPr="00A613A8">
        <w:rPr>
          <w:lang w:eastAsia="ja-JP"/>
        </w:rPr>
        <w:t>The case involved a 4-year-old boy diagnosed with Byler Disease (progressive familial intrahepatic cholestasis (PFIC)). The patient was started on Rifampin (rifampicin) on an unknown date. Liver biops</w:t>
      </w:r>
      <w:r>
        <w:rPr>
          <w:lang w:eastAsia="ja-JP"/>
        </w:rPr>
        <w:t>y at 44 months of age revealed S</w:t>
      </w:r>
      <w:r w:rsidRPr="00A613A8">
        <w:rPr>
          <w:lang w:eastAsia="ja-JP"/>
        </w:rPr>
        <w:t>tage II/III fibrosis. Due to this (and following rejection of surgical intervention), Buphenyl (sodium phenylbutyrate) was prescribed at approximately 4 years and 6 months of age in a single patient expanded access compassionate (EAC) use. Buphenyl was discontinued after 6 months due to vomiting (due to poor palatability), although the patient was reported to have benefited from treatment. Following this, the patient was switched to an alternative EAC programme and administered glycerol phenylbutyrate. After 7 months on glycerol phenylbutyrate, Rifampin was discontinued to further assess the clinical response to glycerol phenylbutyrate. Thirty-five days after discontinuation of Rifampin, the patient was found to have significant hepatopathy and was admitted for supportive care. 24 hours after his last dose of glycerol phenylbutyrate, serum phenyl acetate was 719 μM, while serum 4-phenylbutyrate was undetectable. Hepatitis screening done was negative (Hep E testing not performed). Over 2 weeks, liver disease returned to baseline. His jaundice worsened (total bilirubin 7.1 mg/dL) and his pruritus returned approximately 40 days after discontinuation of glycerol phenylbutyrate. Rifampin was restarted and his pruritus resolved. Liver biochemistries returned to baseline. At follow up, the child had no pruritus, had no features of advancing liver disease. The authors theorised that discontinuation of Rifampin therapy led to a reduction in CYP3A4 activity and a commensurate reduction in phenylacetate metabolism thereby leading to the toxic accumulation of phenylacetate.</w:t>
      </w:r>
    </w:p>
    <w:p w14:paraId="3FC3D5D9" w14:textId="77777777" w:rsidR="00436B89" w:rsidRPr="00A613A8" w:rsidRDefault="00436B89" w:rsidP="00436B89">
      <w:pPr>
        <w:autoSpaceDE w:val="0"/>
        <w:autoSpaceDN w:val="0"/>
        <w:adjustRightInd w:val="0"/>
        <w:spacing w:before="0" w:after="0" w:line="240" w:lineRule="auto"/>
        <w:ind w:left="720"/>
        <w:rPr>
          <w:lang w:eastAsia="ja-JP"/>
        </w:rPr>
      </w:pPr>
      <w:r w:rsidRPr="00A613A8">
        <w:rPr>
          <w:lang w:eastAsia="ja-JP"/>
        </w:rPr>
        <w:t>There have been no other literature articles reporting the occurrence of hepatic toxicity following the use of sodium/glycerol phenylbutyrate.</w:t>
      </w:r>
    </w:p>
    <w:p w14:paraId="56EFC67D" w14:textId="77777777" w:rsidR="00436B89" w:rsidRPr="00A613A8" w:rsidRDefault="00436B89" w:rsidP="00436B89">
      <w:pPr>
        <w:autoSpaceDE w:val="0"/>
        <w:autoSpaceDN w:val="0"/>
        <w:adjustRightInd w:val="0"/>
        <w:spacing w:before="0" w:after="0" w:line="240" w:lineRule="auto"/>
        <w:rPr>
          <w:lang w:eastAsia="ja-JP"/>
        </w:rPr>
      </w:pPr>
      <w:r w:rsidRPr="00A613A8">
        <w:rPr>
          <w:lang w:eastAsia="ja-JP"/>
        </w:rPr>
        <w:t>The original articles were not supplied by the sponsor.</w:t>
      </w:r>
    </w:p>
    <w:p w14:paraId="479E8F63" w14:textId="77777777" w:rsidR="00436B89" w:rsidRPr="00A613A8" w:rsidRDefault="00436B89" w:rsidP="00177802">
      <w:pPr>
        <w:pStyle w:val="Heading5"/>
        <w:numPr>
          <w:ilvl w:val="3"/>
          <w:numId w:val="5"/>
        </w:numPr>
        <w:tabs>
          <w:tab w:val="clear" w:pos="1418"/>
          <w:tab w:val="num" w:pos="1191"/>
        </w:tabs>
        <w:ind w:left="1191"/>
        <w:rPr>
          <w:lang w:eastAsia="ja-JP"/>
        </w:rPr>
      </w:pPr>
      <w:r w:rsidRPr="00A613A8">
        <w:rPr>
          <w:lang w:eastAsia="ja-JP"/>
        </w:rPr>
        <w:lastRenderedPageBreak/>
        <w:t>Signal and risk evaluation</w:t>
      </w:r>
    </w:p>
    <w:p w14:paraId="28EFAAF9" w14:textId="77777777" w:rsidR="00436B89" w:rsidRPr="00A613A8" w:rsidRDefault="00436B89" w:rsidP="00436B89">
      <w:r w:rsidRPr="00A613A8">
        <w:rPr>
          <w:lang w:eastAsia="ja-JP"/>
        </w:rPr>
        <w:t xml:space="preserve">The </w:t>
      </w:r>
      <w:r w:rsidRPr="00A613A8">
        <w:t>PBRER stated that n</w:t>
      </w:r>
      <w:r w:rsidRPr="00A613A8">
        <w:rPr>
          <w:lang w:eastAsia="ja-JP"/>
        </w:rPr>
        <w:t xml:space="preserve">o signals have been identified in the reporting period for </w:t>
      </w:r>
      <w:r>
        <w:rPr>
          <w:lang w:eastAsia="ja-JP"/>
        </w:rPr>
        <w:t>Pheburane</w:t>
      </w:r>
      <w:r w:rsidRPr="00A613A8">
        <w:rPr>
          <w:lang w:eastAsia="ja-JP"/>
        </w:rPr>
        <w:t xml:space="preserve">. In terms of a Risk Management Plan, The </w:t>
      </w:r>
      <w:r w:rsidRPr="00A613A8">
        <w:t>PBRER stated the following.</w:t>
      </w:r>
    </w:p>
    <w:p w14:paraId="0D7EDC6A" w14:textId="25B076AB" w:rsidR="00436B89" w:rsidRPr="00A613A8" w:rsidRDefault="00436B89" w:rsidP="00436B89">
      <w:pPr>
        <w:ind w:left="720"/>
        <w:rPr>
          <w:lang w:eastAsia="ja-JP"/>
        </w:rPr>
      </w:pPr>
      <w:r w:rsidRPr="00A613A8">
        <w:t>T</w:t>
      </w:r>
      <w:r w:rsidRPr="00A613A8">
        <w:rPr>
          <w:lang w:eastAsia="ja-JP"/>
        </w:rPr>
        <w:t xml:space="preserve">here is no RMP in Europe for </w:t>
      </w:r>
      <w:r>
        <w:rPr>
          <w:lang w:eastAsia="ja-JP"/>
        </w:rPr>
        <w:t>Pheburane</w:t>
      </w:r>
      <w:r w:rsidRPr="00A613A8">
        <w:rPr>
          <w:lang w:eastAsia="ja-JP"/>
        </w:rPr>
        <w:t xml:space="preserve">. A Risk Management Plan (RMP) for </w:t>
      </w:r>
      <w:r>
        <w:rPr>
          <w:lang w:eastAsia="ja-JP"/>
        </w:rPr>
        <w:t>Pheburane</w:t>
      </w:r>
      <w:r w:rsidRPr="00A613A8">
        <w:rPr>
          <w:lang w:eastAsia="ja-JP"/>
        </w:rPr>
        <w:t xml:space="preserve"> was submitted by Médunik to Health Canada. At the time of the MA, a number of minor deficiencies were identified. Overall, the RMP was considered to be acceptable. An updated version of the RMP was resubmitted in January 2016 and the review by Health Canada is on-going. The safety concerns </w:t>
      </w:r>
      <w:r>
        <w:rPr>
          <w:lang w:eastAsia="ja-JP"/>
        </w:rPr>
        <w:t>summarised</w:t>
      </w:r>
      <w:r w:rsidRPr="00A613A8">
        <w:rPr>
          <w:lang w:eastAsia="ja-JP"/>
        </w:rPr>
        <w:t xml:space="preserve"> below are the risks consistent with the first version of the Canadian</w:t>
      </w:r>
      <w:r>
        <w:rPr>
          <w:lang w:eastAsia="ja-JP"/>
        </w:rPr>
        <w:t xml:space="preserve"> </w:t>
      </w:r>
      <w:r w:rsidRPr="00A613A8">
        <w:rPr>
          <w:lang w:eastAsia="ja-JP"/>
        </w:rPr>
        <w:t>RMP which is the only one reviewed by their Authorities (</w:t>
      </w:r>
      <w:r>
        <w:rPr>
          <w:lang w:eastAsia="ja-JP"/>
        </w:rPr>
        <w:t>Table 4</w:t>
      </w:r>
      <w:r w:rsidR="00F934C3">
        <w:rPr>
          <w:lang w:eastAsia="ja-JP"/>
        </w:rPr>
        <w:t>1</w:t>
      </w:r>
      <w:r w:rsidRPr="00A613A8">
        <w:rPr>
          <w:lang w:eastAsia="ja-JP"/>
        </w:rPr>
        <w:t>).</w:t>
      </w:r>
    </w:p>
    <w:p w14:paraId="56DA8CB2" w14:textId="359ED64E" w:rsidR="00436B89" w:rsidRPr="00A613A8" w:rsidRDefault="00436B89" w:rsidP="00F21AE2">
      <w:pPr>
        <w:pStyle w:val="Tabletitle"/>
        <w:rPr>
          <w:sz w:val="4"/>
          <w:szCs w:val="4"/>
        </w:rPr>
      </w:pPr>
      <w:bookmarkStart w:id="571" w:name="_Ref457768348"/>
      <w:bookmarkStart w:id="572" w:name="_Toc473013982"/>
      <w:r w:rsidRPr="00A613A8">
        <w:t xml:space="preserve">Table </w:t>
      </w:r>
      <w:r>
        <w:t>4</w:t>
      </w:r>
      <w:r w:rsidR="00F934C3">
        <w:t>1</w:t>
      </w:r>
      <w:r>
        <w:t>:</w:t>
      </w:r>
      <w:bookmarkEnd w:id="571"/>
      <w:r w:rsidRPr="00A613A8">
        <w:t xml:space="preserve"> </w:t>
      </w:r>
      <w:r w:rsidRPr="00A613A8">
        <w:rPr>
          <w:lang w:eastAsia="ja-JP"/>
        </w:rPr>
        <w:t>Summaries of Safety Concerns</w:t>
      </w:r>
      <w:r>
        <w:rPr>
          <w:lang w:eastAsia="ja-JP"/>
        </w:rPr>
        <w:t xml:space="preserve"> (PBRER)</w:t>
      </w:r>
      <w:bookmarkEnd w:id="572"/>
    </w:p>
    <w:p w14:paraId="19547FBA" w14:textId="77777777" w:rsidR="00436B89" w:rsidRPr="00A613A8" w:rsidRDefault="00436B89" w:rsidP="00436B89">
      <w:pPr>
        <w:autoSpaceDE w:val="0"/>
        <w:autoSpaceDN w:val="0"/>
        <w:adjustRightInd w:val="0"/>
        <w:spacing w:before="0" w:after="0" w:line="240" w:lineRule="auto"/>
        <w:rPr>
          <w:lang w:eastAsia="ja-JP"/>
        </w:rPr>
      </w:pPr>
      <w:r>
        <w:rPr>
          <w:noProof/>
          <w:lang w:eastAsia="en-AU"/>
        </w:rPr>
        <w:drawing>
          <wp:inline distT="0" distB="0" distL="0" distR="0" wp14:anchorId="18B97874" wp14:editId="3FF85929">
            <wp:extent cx="4385732" cy="3090530"/>
            <wp:effectExtent l="0" t="0" r="0" b="0"/>
            <wp:docPr id="67" name="Picture 67" descr="Table 41: Summaries of Safety Concerns (PB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cstate="print">
                      <a:lum bright="-20000" contrast="40000"/>
                      <a:extLst>
                        <a:ext uri="{28A0092B-C50C-407E-A947-70E740481C1C}">
                          <a14:useLocalDpi xmlns:a14="http://schemas.microsoft.com/office/drawing/2010/main" val="0"/>
                        </a:ext>
                      </a:extLst>
                    </a:blip>
                    <a:srcRect/>
                    <a:stretch>
                      <a:fillRect/>
                    </a:stretch>
                  </pic:blipFill>
                  <pic:spPr bwMode="auto">
                    <a:xfrm>
                      <a:off x="0" y="0"/>
                      <a:ext cx="4387523" cy="3091792"/>
                    </a:xfrm>
                    <a:prstGeom prst="rect">
                      <a:avLst/>
                    </a:prstGeom>
                    <a:noFill/>
                    <a:ln>
                      <a:noFill/>
                    </a:ln>
                  </pic:spPr>
                </pic:pic>
              </a:graphicData>
            </a:graphic>
          </wp:inline>
        </w:drawing>
      </w:r>
    </w:p>
    <w:p w14:paraId="59B4CE19" w14:textId="77777777" w:rsidR="00436B89" w:rsidRPr="00A613A8" w:rsidRDefault="00436B89" w:rsidP="00177802">
      <w:pPr>
        <w:pStyle w:val="Heading3"/>
        <w:numPr>
          <w:ilvl w:val="1"/>
          <w:numId w:val="5"/>
        </w:numPr>
        <w:ind w:left="907" w:hanging="794"/>
      </w:pPr>
      <w:bookmarkStart w:id="573" w:name="_Toc473013907"/>
      <w:bookmarkStart w:id="574" w:name="_Toc505179704"/>
      <w:r w:rsidRPr="00A613A8">
        <w:t>Evaluator’s overall conclusions on clinical safety</w:t>
      </w:r>
      <w:bookmarkEnd w:id="562"/>
      <w:bookmarkEnd w:id="563"/>
      <w:bookmarkEnd w:id="564"/>
      <w:bookmarkEnd w:id="565"/>
      <w:bookmarkEnd w:id="566"/>
      <w:bookmarkEnd w:id="567"/>
      <w:bookmarkEnd w:id="568"/>
      <w:bookmarkEnd w:id="573"/>
      <w:bookmarkEnd w:id="574"/>
    </w:p>
    <w:p w14:paraId="08537285" w14:textId="77777777" w:rsidR="00436B89" w:rsidRDefault="00436B89" w:rsidP="00436B89">
      <w:pPr>
        <w:rPr>
          <w:lang w:eastAsia="ja-JP"/>
        </w:rPr>
      </w:pPr>
      <w:r>
        <w:rPr>
          <w:lang w:eastAsia="ja-JP"/>
        </w:rPr>
        <w:t xml:space="preserve">The dossier presents limited data on the safety of Pheburane in the treatment of patients with UCDs. Of the data presented, the </w:t>
      </w:r>
      <w:r w:rsidRPr="00A613A8">
        <w:rPr>
          <w:lang w:eastAsia="ja-JP"/>
        </w:rPr>
        <w:t>first EU Periodic benefit-risk evaluation report</w:t>
      </w:r>
      <w:r>
        <w:rPr>
          <w:lang w:eastAsia="ja-JP"/>
        </w:rPr>
        <w:t xml:space="preserve"> is the most useful and highlights some potentially important signals including hepatotoxicity, blood dyscrasias and neurotoxicity.</w:t>
      </w:r>
    </w:p>
    <w:p w14:paraId="045D1F34" w14:textId="77777777" w:rsidR="00436B89" w:rsidRPr="003D5075" w:rsidRDefault="00436B89" w:rsidP="00177802">
      <w:pPr>
        <w:pStyle w:val="ListBullet"/>
        <w:numPr>
          <w:ilvl w:val="0"/>
          <w:numId w:val="1"/>
        </w:numPr>
        <w:rPr>
          <w:i/>
          <w:lang w:eastAsia="ja-JP"/>
        </w:rPr>
      </w:pPr>
      <w:r w:rsidRPr="003D5075">
        <w:rPr>
          <w:i/>
          <w:lang w:eastAsia="ja-JP"/>
        </w:rPr>
        <w:t>The sponsor should address the following questions:</w:t>
      </w:r>
    </w:p>
    <w:p w14:paraId="0382BAED" w14:textId="77777777" w:rsidR="00436B89" w:rsidRPr="003D5075" w:rsidRDefault="00436B89" w:rsidP="00177802">
      <w:pPr>
        <w:pStyle w:val="ListBullet2"/>
        <w:numPr>
          <w:ilvl w:val="1"/>
          <w:numId w:val="1"/>
        </w:numPr>
        <w:rPr>
          <w:i/>
          <w:lang w:eastAsia="ja-JP"/>
        </w:rPr>
      </w:pPr>
      <w:r w:rsidRPr="003D5075">
        <w:rPr>
          <w:i/>
          <w:lang w:eastAsia="ja-JP"/>
        </w:rPr>
        <w:t xml:space="preserve">The sponsor should supply a complete summary of all of the </w:t>
      </w:r>
      <w:proofErr w:type="gramStart"/>
      <w:r w:rsidRPr="003D5075">
        <w:rPr>
          <w:i/>
          <w:lang w:eastAsia="ja-JP"/>
        </w:rPr>
        <w:t>Adverse</w:t>
      </w:r>
      <w:proofErr w:type="gramEnd"/>
      <w:r w:rsidRPr="003D5075">
        <w:rPr>
          <w:i/>
          <w:lang w:eastAsia="ja-JP"/>
        </w:rPr>
        <w:t xml:space="preserve"> events reported in all of the trials involving sodium phenylbutyrate in the treatment of UCDs.</w:t>
      </w:r>
    </w:p>
    <w:p w14:paraId="4949CFF1" w14:textId="77777777" w:rsidR="00436B89" w:rsidRPr="003D5075" w:rsidRDefault="00436B89" w:rsidP="00177802">
      <w:pPr>
        <w:pStyle w:val="ListBullet2"/>
        <w:numPr>
          <w:ilvl w:val="1"/>
          <w:numId w:val="1"/>
        </w:numPr>
        <w:rPr>
          <w:i/>
          <w:lang w:eastAsia="en-AU"/>
        </w:rPr>
      </w:pPr>
      <w:r w:rsidRPr="003D5075">
        <w:rPr>
          <w:i/>
          <w:lang w:eastAsia="en-AU"/>
        </w:rPr>
        <w:t>The sponsor should tabulate all adverse events attributable to sodium phenylbutyrate. This should include exposure data including dose, dose by size (weight and/or surface area) and length of treatment.</w:t>
      </w:r>
    </w:p>
    <w:p w14:paraId="2FBB3315" w14:textId="77777777" w:rsidR="00436B89" w:rsidRPr="003D5075" w:rsidRDefault="00436B89" w:rsidP="00177802">
      <w:pPr>
        <w:pStyle w:val="ListBullet2"/>
        <w:numPr>
          <w:ilvl w:val="1"/>
          <w:numId w:val="1"/>
        </w:numPr>
        <w:rPr>
          <w:i/>
          <w:lang w:eastAsia="en-AU"/>
        </w:rPr>
      </w:pPr>
      <w:r w:rsidRPr="003D5075">
        <w:rPr>
          <w:i/>
          <w:lang w:eastAsia="en-AU"/>
        </w:rPr>
        <w:t xml:space="preserve">The sponsor should tabulate all discontinuations due to adverse events attributable to sodium phenylbutyrate. </w:t>
      </w:r>
    </w:p>
    <w:p w14:paraId="3BA38100" w14:textId="77777777" w:rsidR="00436B89" w:rsidRPr="00783D42" w:rsidRDefault="00436B89" w:rsidP="00177802">
      <w:pPr>
        <w:pStyle w:val="ListBullet2"/>
        <w:numPr>
          <w:ilvl w:val="1"/>
          <w:numId w:val="1"/>
        </w:numPr>
        <w:rPr>
          <w:lang w:eastAsia="ja-JP"/>
        </w:rPr>
      </w:pPr>
      <w:r w:rsidRPr="003D5075">
        <w:rPr>
          <w:i/>
          <w:lang w:eastAsia="ja-JP"/>
        </w:rPr>
        <w:t>The sponsor should submit a report on the single centre (Necker Hospital, France) pilot study of Pheburane, performed on 30 patients which was completed in Sep 2015</w:t>
      </w:r>
    </w:p>
    <w:p w14:paraId="0A98A4B6" w14:textId="77777777" w:rsidR="00436B89" w:rsidRPr="00A613A8" w:rsidRDefault="00436B89" w:rsidP="00177802">
      <w:pPr>
        <w:pStyle w:val="Heading2"/>
        <w:numPr>
          <w:ilvl w:val="0"/>
          <w:numId w:val="5"/>
        </w:numPr>
      </w:pPr>
      <w:bookmarkStart w:id="575" w:name="_Toc473013908"/>
      <w:bookmarkStart w:id="576" w:name="_Toc505179705"/>
      <w:r w:rsidRPr="00A613A8">
        <w:lastRenderedPageBreak/>
        <w:t>First round benefit-risk assessment</w:t>
      </w:r>
      <w:bookmarkEnd w:id="575"/>
      <w:bookmarkEnd w:id="576"/>
    </w:p>
    <w:p w14:paraId="1CF38714" w14:textId="77777777" w:rsidR="00436B89" w:rsidRPr="00A613A8" w:rsidRDefault="00436B89" w:rsidP="00177802">
      <w:pPr>
        <w:pStyle w:val="Heading3"/>
        <w:numPr>
          <w:ilvl w:val="1"/>
          <w:numId w:val="5"/>
        </w:numPr>
        <w:ind w:left="907" w:hanging="794"/>
      </w:pPr>
      <w:bookmarkStart w:id="577" w:name="_Toc236802592"/>
      <w:bookmarkStart w:id="578" w:name="_Toc241374331"/>
      <w:bookmarkStart w:id="579" w:name="_Ref272160836"/>
      <w:bookmarkStart w:id="580" w:name="_Toc272414693"/>
      <w:bookmarkStart w:id="581" w:name="_Toc290888557"/>
      <w:bookmarkStart w:id="582" w:name="_Toc416353772"/>
      <w:bookmarkStart w:id="583" w:name="_Toc421005314"/>
      <w:bookmarkStart w:id="584" w:name="_Toc432079185"/>
      <w:bookmarkStart w:id="585" w:name="_Toc432080758"/>
      <w:bookmarkStart w:id="586" w:name="_Toc473013909"/>
      <w:bookmarkStart w:id="587" w:name="_Toc505179706"/>
      <w:r w:rsidRPr="00A613A8">
        <w:t>First round assessment of benefits</w:t>
      </w:r>
      <w:bookmarkEnd w:id="577"/>
      <w:bookmarkEnd w:id="578"/>
      <w:bookmarkEnd w:id="579"/>
      <w:bookmarkEnd w:id="580"/>
      <w:bookmarkEnd w:id="581"/>
      <w:bookmarkEnd w:id="582"/>
      <w:bookmarkEnd w:id="583"/>
      <w:bookmarkEnd w:id="584"/>
      <w:bookmarkEnd w:id="585"/>
      <w:bookmarkEnd w:id="586"/>
      <w:bookmarkEnd w:id="587"/>
      <w:r w:rsidRPr="00A613A8">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278"/>
      </w:tblGrid>
      <w:tr w:rsidR="00436B89" w:rsidRPr="00A613A8" w14:paraId="0311F4BC" w14:textId="77777777" w:rsidTr="00436B89">
        <w:trPr>
          <w:tblHeader/>
        </w:trPr>
        <w:tc>
          <w:tcPr>
            <w:tcW w:w="8789" w:type="dxa"/>
            <w:gridSpan w:val="2"/>
            <w:shd w:val="clear" w:color="auto" w:fill="006DA7"/>
          </w:tcPr>
          <w:p w14:paraId="4591BD24" w14:textId="77777777" w:rsidR="00436B89" w:rsidRPr="004F25FE" w:rsidRDefault="00436B89" w:rsidP="00436B89">
            <w:pPr>
              <w:rPr>
                <w:b/>
                <w:color w:val="FFFFFF"/>
                <w:sz w:val="20"/>
                <w:szCs w:val="20"/>
                <w:lang w:eastAsia="en-AU"/>
              </w:rPr>
            </w:pPr>
            <w:r w:rsidRPr="004F25FE">
              <w:rPr>
                <w:b/>
                <w:color w:val="FFFFFF"/>
                <w:sz w:val="20"/>
                <w:szCs w:val="20"/>
                <w:lang w:eastAsia="en-AU"/>
              </w:rPr>
              <w:t>Indication</w:t>
            </w:r>
          </w:p>
        </w:tc>
      </w:tr>
      <w:tr w:rsidR="00436B89" w:rsidRPr="00A613A8" w14:paraId="416104DE" w14:textId="77777777" w:rsidTr="00436B89">
        <w:trPr>
          <w:tblHeader/>
        </w:trPr>
        <w:tc>
          <w:tcPr>
            <w:tcW w:w="4511" w:type="dxa"/>
            <w:shd w:val="clear" w:color="auto" w:fill="00517D"/>
          </w:tcPr>
          <w:p w14:paraId="62E67DED" w14:textId="77777777" w:rsidR="00436B89" w:rsidRPr="004F25FE" w:rsidRDefault="00436B89" w:rsidP="00436B89">
            <w:pPr>
              <w:rPr>
                <w:b/>
                <w:color w:val="FFFFFF"/>
                <w:sz w:val="20"/>
                <w:szCs w:val="20"/>
                <w:lang w:eastAsia="en-AU"/>
              </w:rPr>
            </w:pPr>
            <w:r w:rsidRPr="004F25FE">
              <w:rPr>
                <w:b/>
                <w:color w:val="FFFFFF"/>
                <w:sz w:val="20"/>
                <w:szCs w:val="20"/>
                <w:lang w:eastAsia="en-AU"/>
              </w:rPr>
              <w:t>Benefits</w:t>
            </w:r>
          </w:p>
        </w:tc>
        <w:tc>
          <w:tcPr>
            <w:tcW w:w="4278" w:type="dxa"/>
            <w:shd w:val="clear" w:color="auto" w:fill="00517D"/>
          </w:tcPr>
          <w:p w14:paraId="3F79DEB1" w14:textId="77777777" w:rsidR="00436B89" w:rsidRPr="004F25FE" w:rsidRDefault="00436B89" w:rsidP="00436B89">
            <w:pPr>
              <w:rPr>
                <w:b/>
                <w:color w:val="FFFFFF"/>
                <w:sz w:val="20"/>
                <w:szCs w:val="20"/>
                <w:lang w:eastAsia="en-AU"/>
              </w:rPr>
            </w:pPr>
            <w:r w:rsidRPr="004F25FE">
              <w:rPr>
                <w:b/>
                <w:color w:val="FFFFFF"/>
                <w:sz w:val="20"/>
                <w:szCs w:val="20"/>
                <w:lang w:eastAsia="en-AU"/>
              </w:rPr>
              <w:t>Strengths and Uncertainties</w:t>
            </w:r>
          </w:p>
        </w:tc>
      </w:tr>
      <w:tr w:rsidR="00436B89" w:rsidRPr="00A613A8" w14:paraId="265EA313" w14:textId="77777777" w:rsidTr="00436B89">
        <w:tc>
          <w:tcPr>
            <w:tcW w:w="4511" w:type="dxa"/>
            <w:shd w:val="clear" w:color="auto" w:fill="auto"/>
          </w:tcPr>
          <w:p w14:paraId="420486F3" w14:textId="77777777" w:rsidR="00436B89" w:rsidRPr="004F25FE" w:rsidRDefault="00436B89" w:rsidP="00436B89">
            <w:pPr>
              <w:rPr>
                <w:rFonts w:cs="Cambria"/>
                <w:i/>
                <w:sz w:val="20"/>
                <w:szCs w:val="20"/>
                <w:lang w:eastAsia="en-AU"/>
              </w:rPr>
            </w:pPr>
            <w:r w:rsidRPr="004F25FE">
              <w:rPr>
                <w:rFonts w:cs="Cambria"/>
                <w:i/>
                <w:sz w:val="20"/>
                <w:szCs w:val="20"/>
                <w:lang w:eastAsia="en-AU"/>
              </w:rPr>
              <w:t xml:space="preserve">Urea Cycle Defects (UCDs) are a collection of rare and potentially life-threatening metabolic disorders with </w:t>
            </w:r>
            <w:proofErr w:type="gramStart"/>
            <w:r w:rsidRPr="004F25FE">
              <w:rPr>
                <w:rFonts w:cs="Cambria"/>
                <w:i/>
                <w:sz w:val="20"/>
                <w:szCs w:val="20"/>
                <w:lang w:eastAsia="en-AU"/>
              </w:rPr>
              <w:t>a</w:t>
            </w:r>
            <w:r>
              <w:rPr>
                <w:rFonts w:cs="Cambria"/>
                <w:i/>
                <w:sz w:val="20"/>
                <w:szCs w:val="20"/>
                <w:lang w:eastAsia="en-AU"/>
              </w:rPr>
              <w:t xml:space="preserve"> </w:t>
            </w:r>
            <w:r w:rsidRPr="004F25FE">
              <w:rPr>
                <w:rFonts w:cs="Cambria"/>
                <w:i/>
                <w:sz w:val="20"/>
                <w:szCs w:val="20"/>
                <w:lang w:eastAsia="en-AU"/>
              </w:rPr>
              <w:t>raised</w:t>
            </w:r>
            <w:proofErr w:type="gramEnd"/>
            <w:r w:rsidRPr="004F25FE">
              <w:rPr>
                <w:rFonts w:cs="Cambria"/>
                <w:i/>
                <w:sz w:val="20"/>
                <w:szCs w:val="20"/>
                <w:lang w:eastAsia="en-AU"/>
              </w:rPr>
              <w:t xml:space="preserve"> ammonia as a common pathway in the disease process. </w:t>
            </w:r>
          </w:p>
          <w:p w14:paraId="42B9EB00" w14:textId="77777777" w:rsidR="00436B89" w:rsidRPr="004F25FE" w:rsidRDefault="00436B89" w:rsidP="00436B89">
            <w:pPr>
              <w:rPr>
                <w:rFonts w:cs="Cambria"/>
                <w:i/>
                <w:sz w:val="20"/>
                <w:szCs w:val="20"/>
                <w:lang w:eastAsia="en-AU"/>
              </w:rPr>
            </w:pPr>
            <w:r w:rsidRPr="004F25FE">
              <w:rPr>
                <w:i/>
                <w:sz w:val="20"/>
                <w:szCs w:val="20"/>
                <w:lang w:eastAsia="ja-JP"/>
              </w:rPr>
              <w:t>Pheburane</w:t>
            </w:r>
            <w:r w:rsidRPr="004F25FE">
              <w:rPr>
                <w:rFonts w:cs="Cambria"/>
                <w:i/>
                <w:sz w:val="20"/>
                <w:szCs w:val="20"/>
                <w:lang w:eastAsia="en-AU"/>
              </w:rPr>
              <w:t xml:space="preserve"> offers a palatable form of sodium phenylbutyrate treatment as an alternative nitrogen excretor. It should be noted that phenylbutyrate is a standard component of the current protocols for treating UCDs</w:t>
            </w:r>
          </w:p>
        </w:tc>
        <w:tc>
          <w:tcPr>
            <w:tcW w:w="4278" w:type="dxa"/>
            <w:shd w:val="clear" w:color="auto" w:fill="auto"/>
          </w:tcPr>
          <w:p w14:paraId="717926DB" w14:textId="77777777" w:rsidR="00436B89" w:rsidRPr="004F25FE" w:rsidRDefault="00436B89" w:rsidP="00436B8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i/>
                <w:sz w:val="20"/>
                <w:szCs w:val="20"/>
                <w:lang w:eastAsia="en-AU"/>
              </w:rPr>
            </w:pPr>
            <w:r w:rsidRPr="004F25FE">
              <w:rPr>
                <w:rFonts w:cs="Cambria"/>
                <w:i/>
                <w:sz w:val="20"/>
                <w:szCs w:val="20"/>
                <w:lang w:eastAsia="en-AU"/>
              </w:rPr>
              <w:t>The strength of the application is the fact there is not a formulation of phenylbutyrate registered for use in Australia. Of the available formulations,</w:t>
            </w:r>
            <w:r w:rsidRPr="004F25FE">
              <w:rPr>
                <w:i/>
                <w:sz w:val="20"/>
                <w:szCs w:val="20"/>
                <w:lang w:eastAsia="ja-JP"/>
              </w:rPr>
              <w:t xml:space="preserve"> Pheburane</w:t>
            </w:r>
            <w:r w:rsidRPr="004F25FE">
              <w:rPr>
                <w:rFonts w:cs="Cambria"/>
                <w:i/>
                <w:sz w:val="20"/>
                <w:szCs w:val="20"/>
                <w:lang w:eastAsia="en-AU"/>
              </w:rPr>
              <w:t xml:space="preserve"> appears to offer significant advantages over other formulations of sodium phenylbutyrate but appears to be bioequivalent.</w:t>
            </w:r>
          </w:p>
          <w:p w14:paraId="4FD480D1" w14:textId="77777777" w:rsidR="00436B89" w:rsidRPr="004F25FE" w:rsidRDefault="00436B89" w:rsidP="00436B89">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i/>
                <w:sz w:val="20"/>
                <w:szCs w:val="20"/>
                <w:lang w:eastAsia="en-AU"/>
              </w:rPr>
            </w:pPr>
            <w:r w:rsidRPr="004F25FE">
              <w:rPr>
                <w:rFonts w:cs="Cambria"/>
                <w:i/>
                <w:sz w:val="20"/>
                <w:szCs w:val="20"/>
                <w:lang w:eastAsia="en-AU"/>
              </w:rPr>
              <w:t xml:space="preserve">There is significant uncertainty about both the actual efficacy and safety that </w:t>
            </w:r>
            <w:r w:rsidRPr="004F25FE">
              <w:rPr>
                <w:i/>
                <w:sz w:val="20"/>
                <w:szCs w:val="20"/>
                <w:lang w:eastAsia="ja-JP"/>
              </w:rPr>
              <w:t>Pheburane</w:t>
            </w:r>
            <w:r w:rsidRPr="004F25FE">
              <w:rPr>
                <w:rFonts w:cs="Cambria"/>
                <w:i/>
                <w:sz w:val="20"/>
                <w:szCs w:val="20"/>
                <w:lang w:eastAsia="en-AU"/>
              </w:rPr>
              <w:t xml:space="preserve"> offers. Because the innovator product is not marketed in Australia, the regulatory authority (TGA) does not have access to the full original dossier on which sodium phenylbutyrate was approved in other countries. Because of this, the evaluation is based upon incomplete literature based data on which to assess both the efficacy and safety. </w:t>
            </w:r>
          </w:p>
        </w:tc>
      </w:tr>
    </w:tbl>
    <w:p w14:paraId="17A2DEE1" w14:textId="77777777" w:rsidR="00436B89" w:rsidRPr="00A613A8" w:rsidRDefault="00436B89" w:rsidP="00177802">
      <w:pPr>
        <w:pStyle w:val="Heading3"/>
        <w:numPr>
          <w:ilvl w:val="1"/>
          <w:numId w:val="5"/>
        </w:numPr>
        <w:ind w:left="907" w:hanging="794"/>
      </w:pPr>
      <w:bookmarkStart w:id="588" w:name="_Toc236802596"/>
      <w:bookmarkStart w:id="589" w:name="_Toc241374334"/>
      <w:bookmarkStart w:id="590" w:name="_Ref272160964"/>
      <w:bookmarkStart w:id="591" w:name="_Toc272414694"/>
      <w:bookmarkStart w:id="592" w:name="_Toc290888558"/>
      <w:bookmarkStart w:id="593" w:name="_Toc416353773"/>
      <w:bookmarkStart w:id="594" w:name="_Toc421005315"/>
      <w:bookmarkStart w:id="595" w:name="_Toc432079186"/>
      <w:bookmarkStart w:id="596" w:name="_Toc432080759"/>
      <w:bookmarkStart w:id="597" w:name="_Toc473013910"/>
      <w:bookmarkStart w:id="598" w:name="_Toc505179707"/>
      <w:r w:rsidRPr="00A613A8">
        <w:t>First round assessment of risks</w:t>
      </w:r>
      <w:bookmarkEnd w:id="588"/>
      <w:bookmarkEnd w:id="589"/>
      <w:bookmarkEnd w:id="590"/>
      <w:bookmarkEnd w:id="591"/>
      <w:bookmarkEnd w:id="592"/>
      <w:bookmarkEnd w:id="593"/>
      <w:bookmarkEnd w:id="594"/>
      <w:bookmarkEnd w:id="595"/>
      <w:bookmarkEnd w:id="596"/>
      <w:bookmarkEnd w:id="597"/>
      <w:bookmarkEnd w:id="598"/>
      <w:r w:rsidRPr="00A613A8">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394"/>
      </w:tblGrid>
      <w:tr w:rsidR="00436B89" w:rsidRPr="00A613A8" w14:paraId="4458CEE9" w14:textId="77777777" w:rsidTr="00436B89">
        <w:trPr>
          <w:tblHeader/>
        </w:trPr>
        <w:tc>
          <w:tcPr>
            <w:tcW w:w="4395" w:type="dxa"/>
            <w:shd w:val="clear" w:color="auto" w:fill="006DA7"/>
          </w:tcPr>
          <w:p w14:paraId="5E4D2272" w14:textId="77777777" w:rsidR="00436B89" w:rsidRPr="00A613A8" w:rsidRDefault="00436B89" w:rsidP="00436B89">
            <w:pPr>
              <w:keepNext/>
              <w:rPr>
                <w:b/>
                <w:color w:val="FFFFFF"/>
                <w:lang w:eastAsia="en-AU"/>
              </w:rPr>
            </w:pPr>
            <w:r w:rsidRPr="00A613A8">
              <w:rPr>
                <w:b/>
                <w:color w:val="FFFFFF"/>
                <w:lang w:eastAsia="en-AU"/>
              </w:rPr>
              <w:t>Risks</w:t>
            </w:r>
          </w:p>
        </w:tc>
        <w:tc>
          <w:tcPr>
            <w:tcW w:w="4394" w:type="dxa"/>
            <w:shd w:val="clear" w:color="auto" w:fill="006DA7"/>
          </w:tcPr>
          <w:p w14:paraId="502F5EE8" w14:textId="77777777" w:rsidR="00436B89" w:rsidRPr="00A613A8" w:rsidRDefault="00436B89" w:rsidP="00436B89">
            <w:pPr>
              <w:rPr>
                <w:b/>
                <w:color w:val="FFFFFF"/>
                <w:lang w:eastAsia="en-AU"/>
              </w:rPr>
            </w:pPr>
            <w:r w:rsidRPr="00A613A8">
              <w:rPr>
                <w:b/>
                <w:color w:val="FFFFFF"/>
                <w:lang w:eastAsia="en-AU"/>
              </w:rPr>
              <w:t>Strengths and Uncertainties</w:t>
            </w:r>
          </w:p>
        </w:tc>
      </w:tr>
      <w:tr w:rsidR="00436B89" w:rsidRPr="00A613A8" w14:paraId="598E0A24" w14:textId="77777777" w:rsidTr="00436B89">
        <w:tc>
          <w:tcPr>
            <w:tcW w:w="4395" w:type="dxa"/>
            <w:shd w:val="clear" w:color="auto" w:fill="auto"/>
          </w:tcPr>
          <w:p w14:paraId="1E069850" w14:textId="77777777" w:rsidR="00436B89" w:rsidRPr="004F25FE" w:rsidRDefault="00436B89" w:rsidP="00436B89">
            <w:pPr>
              <w:rPr>
                <w:rFonts w:cs="Cambria"/>
                <w:i/>
                <w:sz w:val="20"/>
                <w:szCs w:val="20"/>
                <w:lang w:eastAsia="en-AU"/>
              </w:rPr>
            </w:pPr>
            <w:r w:rsidRPr="004F25FE">
              <w:rPr>
                <w:rFonts w:cs="Cambria"/>
                <w:i/>
                <w:sz w:val="20"/>
                <w:szCs w:val="20"/>
                <w:lang w:eastAsia="en-AU"/>
              </w:rPr>
              <w:t xml:space="preserve">The main risks are related to the lack of data and the poor quality of the available data as it is presented. Specifically, efficacy cannot be assured and the safety data are incomplete. </w:t>
            </w:r>
            <w:r w:rsidRPr="004F25FE">
              <w:rPr>
                <w:i/>
                <w:sz w:val="20"/>
                <w:szCs w:val="20"/>
                <w:lang w:eastAsia="en-AU"/>
              </w:rPr>
              <w:t>There is also uncertainty around dosing as no dose efficacy data are available in the treatment of UCDs. However, data are available in other disease states (mostly cancer) identifying dose-limiting toxicity.</w:t>
            </w:r>
          </w:p>
        </w:tc>
        <w:tc>
          <w:tcPr>
            <w:tcW w:w="4394" w:type="dxa"/>
            <w:shd w:val="clear" w:color="auto" w:fill="auto"/>
          </w:tcPr>
          <w:p w14:paraId="7E0DFC77" w14:textId="77777777" w:rsidR="00436B89" w:rsidRPr="004F25FE" w:rsidRDefault="00436B89" w:rsidP="00436B89">
            <w:pPr>
              <w:rPr>
                <w:rFonts w:cs="Cambria"/>
                <w:i/>
                <w:sz w:val="20"/>
                <w:szCs w:val="20"/>
                <w:lang w:eastAsia="en-AU"/>
              </w:rPr>
            </w:pPr>
            <w:r w:rsidRPr="004F25FE">
              <w:rPr>
                <w:rFonts w:cs="Cambria"/>
                <w:i/>
                <w:sz w:val="20"/>
                <w:szCs w:val="20"/>
                <w:lang w:eastAsia="en-AU"/>
              </w:rPr>
              <w:t>The available data is presented in a suboptimal format to clarify the risks around efficacy and safety. A re</w:t>
            </w:r>
            <w:r>
              <w:rPr>
                <w:rFonts w:cs="Cambria"/>
                <w:i/>
                <w:sz w:val="20"/>
                <w:szCs w:val="20"/>
                <w:lang w:eastAsia="en-AU"/>
              </w:rPr>
              <w:t>-</w:t>
            </w:r>
            <w:r w:rsidRPr="004F25FE">
              <w:rPr>
                <w:rFonts w:cs="Cambria"/>
                <w:i/>
                <w:sz w:val="20"/>
                <w:szCs w:val="20"/>
                <w:lang w:eastAsia="en-AU"/>
              </w:rPr>
              <w:t>analysis of the available literature in tabular form may clarify the efficacy and safety data. This is important as it is unlikely that any further data from the literature will be forthcoming to change the risk assessment.</w:t>
            </w:r>
          </w:p>
          <w:p w14:paraId="799B6567" w14:textId="77777777" w:rsidR="00436B89" w:rsidRPr="004F25FE" w:rsidRDefault="00436B89" w:rsidP="00436B89">
            <w:pPr>
              <w:rPr>
                <w:rFonts w:cs="Cambria"/>
                <w:i/>
                <w:sz w:val="20"/>
                <w:szCs w:val="20"/>
                <w:lang w:eastAsia="en-AU"/>
              </w:rPr>
            </w:pPr>
            <w:r w:rsidRPr="004F25FE">
              <w:rPr>
                <w:rFonts w:cs="Cambria"/>
                <w:i/>
                <w:sz w:val="20"/>
                <w:szCs w:val="20"/>
                <w:lang w:eastAsia="en-AU"/>
              </w:rPr>
              <w:t xml:space="preserve">Reassuringly, the first European </w:t>
            </w:r>
            <w:r w:rsidRPr="004F25FE">
              <w:rPr>
                <w:i/>
                <w:sz w:val="20"/>
                <w:szCs w:val="20"/>
              </w:rPr>
              <w:t>PBRER stated that n</w:t>
            </w:r>
            <w:r w:rsidRPr="004F25FE">
              <w:rPr>
                <w:i/>
                <w:sz w:val="20"/>
                <w:szCs w:val="20"/>
                <w:lang w:eastAsia="ja-JP"/>
              </w:rPr>
              <w:t>o signals have been identified in the reporting period for Pheburane.</w:t>
            </w:r>
            <w:r w:rsidRPr="004F25FE">
              <w:rPr>
                <w:sz w:val="20"/>
                <w:szCs w:val="20"/>
                <w:lang w:eastAsia="ja-JP"/>
              </w:rPr>
              <w:t xml:space="preserve"> </w:t>
            </w:r>
          </w:p>
        </w:tc>
      </w:tr>
    </w:tbl>
    <w:p w14:paraId="3927EC4F" w14:textId="77777777" w:rsidR="00436B89" w:rsidRPr="00A613A8" w:rsidRDefault="00436B89" w:rsidP="00177802">
      <w:pPr>
        <w:pStyle w:val="Heading3"/>
        <w:numPr>
          <w:ilvl w:val="1"/>
          <w:numId w:val="5"/>
        </w:numPr>
        <w:ind w:left="907" w:hanging="794"/>
      </w:pPr>
      <w:bookmarkStart w:id="599" w:name="_Toc236802597"/>
      <w:bookmarkStart w:id="600" w:name="_Toc241374335"/>
      <w:bookmarkStart w:id="601" w:name="_Toc272414695"/>
      <w:bookmarkStart w:id="602" w:name="_Toc290888559"/>
      <w:bookmarkStart w:id="603" w:name="_Toc416353775"/>
      <w:bookmarkStart w:id="604" w:name="_Toc421005316"/>
      <w:bookmarkStart w:id="605" w:name="_Toc432079187"/>
      <w:bookmarkStart w:id="606" w:name="_Toc432080760"/>
      <w:bookmarkStart w:id="607" w:name="_Toc473013911"/>
      <w:bookmarkStart w:id="608" w:name="_Toc505179708"/>
      <w:r w:rsidRPr="00A613A8">
        <w:t>First round assessment of benefit-risk</w:t>
      </w:r>
      <w:bookmarkEnd w:id="599"/>
      <w:bookmarkEnd w:id="600"/>
      <w:bookmarkEnd w:id="601"/>
      <w:bookmarkEnd w:id="602"/>
      <w:bookmarkEnd w:id="603"/>
      <w:bookmarkEnd w:id="604"/>
      <w:r w:rsidRPr="00A613A8">
        <w:t xml:space="preserve"> balance</w:t>
      </w:r>
      <w:bookmarkEnd w:id="605"/>
      <w:bookmarkEnd w:id="606"/>
      <w:bookmarkEnd w:id="607"/>
      <w:bookmarkEnd w:id="608"/>
    </w:p>
    <w:p w14:paraId="4BA15563" w14:textId="77777777" w:rsidR="00436B89" w:rsidRPr="004F25FE" w:rsidRDefault="00436B89" w:rsidP="00436B89">
      <w:r w:rsidRPr="004F25FE">
        <w:t xml:space="preserve">Pheburane (sodium phenylbutyrate) is a novel treatment for the hyperammonaemia associated with urea cycle defects (UCDs) which are collection of rare and severe inborn errors of metabolism. There are no similar treatments registered for use in patients with UCDs in Australia and the registration of Pheburane would be a significant therapeutic advance for Australian patients. However, the dossier is based upon a single bioequivalence study comparing Pheburane to Ammonaps (the innovator product overseas but not registered in Australia). The sponsor has supplemented their application with literature about sodium phenylbutyrate, but this literature lacks the level of pharmacokinetic, efficacy and safety data which are usual in an application of this type. There are also significant deficiencies in the </w:t>
      </w:r>
      <w:r w:rsidRPr="004F25FE">
        <w:lastRenderedPageBreak/>
        <w:t>analysis and presentation of the available data. If the deficiencies in the submission can be addressed, the benefit-risk balance would favour registration of Pheburane with careful post-approval surveillance for adverse events.</w:t>
      </w:r>
    </w:p>
    <w:p w14:paraId="075583C5" w14:textId="77777777" w:rsidR="00436B89" w:rsidRPr="00A613A8" w:rsidRDefault="00436B89" w:rsidP="00177802">
      <w:pPr>
        <w:pStyle w:val="Heading2"/>
        <w:numPr>
          <w:ilvl w:val="0"/>
          <w:numId w:val="5"/>
        </w:numPr>
      </w:pPr>
      <w:bookmarkStart w:id="609" w:name="_Toc473013912"/>
      <w:bookmarkStart w:id="610" w:name="_Toc505179709"/>
      <w:r w:rsidRPr="00A613A8">
        <w:t>First round recommendation regarding authorisation</w:t>
      </w:r>
      <w:bookmarkEnd w:id="609"/>
      <w:bookmarkEnd w:id="610"/>
    </w:p>
    <w:p w14:paraId="76ACD702" w14:textId="77777777" w:rsidR="00436B89" w:rsidRDefault="00436B89" w:rsidP="00436B89">
      <w:pPr>
        <w:rPr>
          <w:lang w:eastAsia="ja-JP"/>
        </w:rPr>
      </w:pPr>
      <w:r>
        <w:rPr>
          <w:lang w:eastAsia="ja-JP"/>
        </w:rPr>
        <w:t>The evaluator does not currently recommend authorisation of Pheburane until the deficiencies in the data are addressed. However, with clarification of the questions about pharmacokinetics, efficacy and safety adequately addressed authorisation could be recommended.</w:t>
      </w:r>
    </w:p>
    <w:p w14:paraId="5FC15BA4" w14:textId="77777777" w:rsidR="00436B89" w:rsidRPr="00A613A8" w:rsidRDefault="00436B89" w:rsidP="00177802">
      <w:pPr>
        <w:pStyle w:val="Heading2"/>
        <w:numPr>
          <w:ilvl w:val="0"/>
          <w:numId w:val="5"/>
        </w:numPr>
      </w:pPr>
      <w:bookmarkStart w:id="611" w:name="_Toc473013917"/>
      <w:bookmarkStart w:id="612" w:name="_Toc505179710"/>
      <w:r w:rsidRPr="00A613A8">
        <w:t>Clinical questions</w:t>
      </w:r>
      <w:bookmarkEnd w:id="611"/>
      <w:bookmarkEnd w:id="612"/>
    </w:p>
    <w:p w14:paraId="17E57C6B" w14:textId="77777777" w:rsidR="00436B89" w:rsidRPr="00A613A8" w:rsidRDefault="00436B89" w:rsidP="00177802">
      <w:pPr>
        <w:pStyle w:val="Heading3"/>
        <w:numPr>
          <w:ilvl w:val="1"/>
          <w:numId w:val="5"/>
        </w:numPr>
        <w:ind w:left="907" w:hanging="794"/>
      </w:pPr>
      <w:bookmarkStart w:id="613" w:name="_Toc505179711"/>
      <w:r w:rsidRPr="00A613A8">
        <w:t>Pharmacokinetics</w:t>
      </w:r>
      <w:bookmarkEnd w:id="613"/>
    </w:p>
    <w:p w14:paraId="59E2E68B" w14:textId="77777777" w:rsidR="00436B89" w:rsidRPr="00C92342" w:rsidRDefault="00436B89" w:rsidP="00177802">
      <w:pPr>
        <w:pStyle w:val="Numberbullet0"/>
        <w:numPr>
          <w:ilvl w:val="0"/>
          <w:numId w:val="7"/>
        </w:numPr>
      </w:pPr>
      <w:r w:rsidRPr="00C92342">
        <w:t>The sponsor should provide a separate commentary about the use of sodium phenylbutyrate in children.</w:t>
      </w:r>
    </w:p>
    <w:p w14:paraId="70B33BE2" w14:textId="77777777" w:rsidR="00436B89" w:rsidRPr="00D6181F" w:rsidRDefault="00436B89" w:rsidP="00436B89">
      <w:pPr>
        <w:pStyle w:val="Numberbullet0"/>
        <w:rPr>
          <w:lang w:eastAsia="ja-JP"/>
        </w:rPr>
      </w:pPr>
      <w:bookmarkStart w:id="614" w:name="_Toc272414703"/>
      <w:bookmarkStart w:id="615" w:name="_Toc290888569"/>
      <w:bookmarkStart w:id="616" w:name="_Toc416353785"/>
      <w:bookmarkStart w:id="617" w:name="_Toc421005325"/>
      <w:bookmarkStart w:id="618" w:name="_Toc432079196"/>
      <w:bookmarkStart w:id="619" w:name="_Toc432080769"/>
      <w:r w:rsidRPr="00783D42">
        <w:t xml:space="preserve">The sponsor should </w:t>
      </w:r>
      <w:r>
        <w:t>c</w:t>
      </w:r>
      <w:r w:rsidRPr="00D6181F">
        <w:rPr>
          <w:lang w:eastAsia="ja-JP"/>
        </w:rPr>
        <w:t>larify the proposed dosing schedule and linearity of Pheburane.</w:t>
      </w:r>
    </w:p>
    <w:p w14:paraId="270D41B1" w14:textId="77777777" w:rsidR="00436B89" w:rsidRPr="00D6181F" w:rsidRDefault="00436B89" w:rsidP="00436B89">
      <w:pPr>
        <w:pStyle w:val="Numberbullet0"/>
        <w:rPr>
          <w:lang w:eastAsia="ja-JP"/>
        </w:rPr>
      </w:pPr>
      <w:r w:rsidRPr="00783D42">
        <w:t xml:space="preserve">The sponsor should </w:t>
      </w:r>
      <w:r>
        <w:t>c</w:t>
      </w:r>
      <w:r w:rsidRPr="00D6181F">
        <w:rPr>
          <w:lang w:eastAsia="ja-JP"/>
        </w:rPr>
        <w:t xml:space="preserve">larify that the form of </w:t>
      </w:r>
      <w:r w:rsidRPr="00D6181F">
        <w:rPr>
          <w:lang w:eastAsia="en-AU"/>
        </w:rPr>
        <w:t>sodium phenylbutyrate</w:t>
      </w:r>
      <w:r w:rsidRPr="00D6181F">
        <w:rPr>
          <w:lang w:eastAsia="ja-JP"/>
        </w:rPr>
        <w:t xml:space="preserve"> was the innovator product (Ammonaps) from the bioequivalence study.</w:t>
      </w:r>
    </w:p>
    <w:p w14:paraId="429DEF0E" w14:textId="77777777" w:rsidR="00436B89" w:rsidRPr="00D6181F" w:rsidRDefault="00436B89" w:rsidP="00436B89">
      <w:pPr>
        <w:pStyle w:val="Numberbullet0"/>
        <w:rPr>
          <w:lang w:eastAsia="ja-JP"/>
        </w:rPr>
      </w:pPr>
      <w:r w:rsidRPr="00783D42">
        <w:t xml:space="preserve">The sponsor should </w:t>
      </w:r>
      <w:r>
        <w:t>d</w:t>
      </w:r>
      <w:r w:rsidRPr="00D6181F">
        <w:rPr>
          <w:lang w:eastAsia="ja-JP"/>
        </w:rPr>
        <w:t>emonstra</w:t>
      </w:r>
      <w:r>
        <w:rPr>
          <w:lang w:eastAsia="ja-JP"/>
        </w:rPr>
        <w:t>te</w:t>
      </w:r>
      <w:r w:rsidRPr="00D6181F">
        <w:rPr>
          <w:lang w:eastAsia="ja-JP"/>
        </w:rPr>
        <w:t xml:space="preserve"> that the dosing of Pheburane can be scaled by weight and surface area as in the proposed dosing schedule.</w:t>
      </w:r>
    </w:p>
    <w:p w14:paraId="3FE8B810" w14:textId="77777777" w:rsidR="00436B89" w:rsidRPr="00D6181F" w:rsidRDefault="00436B89" w:rsidP="00436B89">
      <w:pPr>
        <w:pStyle w:val="Numberbullet0"/>
        <w:rPr>
          <w:lang w:eastAsia="ja-JP"/>
        </w:rPr>
      </w:pPr>
      <w:r w:rsidRPr="00783D42">
        <w:t xml:space="preserve">The sponsor should </w:t>
      </w:r>
      <w:r>
        <w:t>e</w:t>
      </w:r>
      <w:r w:rsidRPr="00D6181F">
        <w:rPr>
          <w:lang w:eastAsia="ja-JP"/>
        </w:rPr>
        <w:t>xplain the dose-ranging in the proposed dosing schedule.</w:t>
      </w:r>
    </w:p>
    <w:p w14:paraId="5DEA1EB1" w14:textId="77777777" w:rsidR="00436B89" w:rsidRPr="00A613A8" w:rsidRDefault="00436B89" w:rsidP="00177802">
      <w:pPr>
        <w:pStyle w:val="Heading3"/>
        <w:numPr>
          <w:ilvl w:val="1"/>
          <w:numId w:val="5"/>
        </w:numPr>
        <w:ind w:left="907" w:hanging="794"/>
      </w:pPr>
      <w:bookmarkStart w:id="620" w:name="_Toc505179712"/>
      <w:r w:rsidRPr="00A613A8">
        <w:t>Pharmacodynamics</w:t>
      </w:r>
      <w:bookmarkEnd w:id="614"/>
      <w:bookmarkEnd w:id="615"/>
      <w:bookmarkEnd w:id="616"/>
      <w:bookmarkEnd w:id="617"/>
      <w:bookmarkEnd w:id="618"/>
      <w:bookmarkEnd w:id="619"/>
      <w:bookmarkEnd w:id="620"/>
    </w:p>
    <w:p w14:paraId="79A8672E" w14:textId="77777777" w:rsidR="00436B89" w:rsidRPr="001C56A3" w:rsidRDefault="00436B89" w:rsidP="00436B89">
      <w:pPr>
        <w:pStyle w:val="Numberbullet0"/>
      </w:pPr>
      <w:bookmarkStart w:id="621" w:name="_Toc272414704"/>
      <w:bookmarkStart w:id="622" w:name="_Toc290888570"/>
      <w:bookmarkStart w:id="623" w:name="_Toc416353786"/>
      <w:bookmarkStart w:id="624" w:name="_Toc421005326"/>
      <w:bookmarkStart w:id="625" w:name="_Toc432079197"/>
      <w:bookmarkStart w:id="626" w:name="_Toc432080770"/>
      <w:r w:rsidRPr="001C56A3">
        <w:t>The sponsor should reinvestigate the literature for further evidence of a dose response effect on nitrogen excretion with sodium phenylbutyrate.</w:t>
      </w:r>
    </w:p>
    <w:p w14:paraId="4C8B4BB8" w14:textId="77777777" w:rsidR="00436B89" w:rsidRPr="00A613A8" w:rsidRDefault="00436B89" w:rsidP="00177802">
      <w:pPr>
        <w:pStyle w:val="Heading3"/>
        <w:numPr>
          <w:ilvl w:val="1"/>
          <w:numId w:val="5"/>
        </w:numPr>
        <w:ind w:left="907" w:hanging="794"/>
      </w:pPr>
      <w:bookmarkStart w:id="627" w:name="_Toc505179713"/>
      <w:r w:rsidRPr="00A613A8">
        <w:t>Efficacy</w:t>
      </w:r>
      <w:bookmarkEnd w:id="621"/>
      <w:bookmarkEnd w:id="622"/>
      <w:bookmarkEnd w:id="623"/>
      <w:bookmarkEnd w:id="624"/>
      <w:bookmarkEnd w:id="625"/>
      <w:bookmarkEnd w:id="626"/>
      <w:bookmarkEnd w:id="627"/>
    </w:p>
    <w:p w14:paraId="16E49D00" w14:textId="77777777" w:rsidR="00436B89" w:rsidRPr="0052163B" w:rsidRDefault="00436B89" w:rsidP="00436B89">
      <w:pPr>
        <w:pStyle w:val="Numberbullet0"/>
        <w:rPr>
          <w:lang w:eastAsia="ja-JP"/>
        </w:rPr>
      </w:pPr>
      <w:bookmarkStart w:id="628" w:name="_Toc272414705"/>
      <w:bookmarkStart w:id="629" w:name="_Toc290888571"/>
      <w:bookmarkStart w:id="630" w:name="_Toc416353787"/>
      <w:bookmarkStart w:id="631" w:name="_Toc421005327"/>
      <w:bookmarkStart w:id="632" w:name="_Toc432079198"/>
      <w:bookmarkStart w:id="633" w:name="_Toc432080771"/>
      <w:r w:rsidRPr="0052163B">
        <w:rPr>
          <w:lang w:eastAsia="ja-JP"/>
        </w:rPr>
        <w:t>The sponsor should better quantify the outcomes of treatment with sodium phenylbutyrate compared to historical controls in terms of:</w:t>
      </w:r>
    </w:p>
    <w:p w14:paraId="5B67C398" w14:textId="77777777" w:rsidR="00436B89" w:rsidRPr="0052163B" w:rsidRDefault="00436B89" w:rsidP="00177802">
      <w:pPr>
        <w:pStyle w:val="ListBullet2"/>
        <w:numPr>
          <w:ilvl w:val="1"/>
          <w:numId w:val="1"/>
        </w:numPr>
        <w:rPr>
          <w:lang w:eastAsia="ja-JP"/>
        </w:rPr>
      </w:pPr>
      <w:r w:rsidRPr="0052163B">
        <w:rPr>
          <w:lang w:eastAsia="ja-JP"/>
        </w:rPr>
        <w:t>Ammonia levels</w:t>
      </w:r>
    </w:p>
    <w:p w14:paraId="36C779B5" w14:textId="77777777" w:rsidR="00436B89" w:rsidRPr="0052163B" w:rsidRDefault="00436B89" w:rsidP="00177802">
      <w:pPr>
        <w:pStyle w:val="ListBullet2"/>
        <w:numPr>
          <w:ilvl w:val="1"/>
          <w:numId w:val="1"/>
        </w:numPr>
        <w:rPr>
          <w:lang w:eastAsia="ja-JP"/>
        </w:rPr>
      </w:pPr>
      <w:r w:rsidRPr="0052163B">
        <w:rPr>
          <w:lang w:eastAsia="ja-JP"/>
        </w:rPr>
        <w:t>Nitrogen excretion</w:t>
      </w:r>
    </w:p>
    <w:p w14:paraId="1D94E647" w14:textId="77777777" w:rsidR="00436B89" w:rsidRPr="0052163B" w:rsidRDefault="00436B89" w:rsidP="00177802">
      <w:pPr>
        <w:pStyle w:val="ListBullet2"/>
        <w:numPr>
          <w:ilvl w:val="1"/>
          <w:numId w:val="1"/>
        </w:numPr>
        <w:rPr>
          <w:lang w:eastAsia="ja-JP"/>
        </w:rPr>
      </w:pPr>
      <w:r w:rsidRPr="0052163B">
        <w:rPr>
          <w:spacing w:val="-1"/>
          <w:lang w:eastAsia="en-AU"/>
        </w:rPr>
        <w:t>H</w:t>
      </w:r>
      <w:r w:rsidRPr="0052163B">
        <w:rPr>
          <w:lang w:eastAsia="en-AU"/>
        </w:rPr>
        <w:t>yperammonaemic</w:t>
      </w:r>
      <w:r w:rsidRPr="0052163B">
        <w:rPr>
          <w:spacing w:val="3"/>
          <w:lang w:eastAsia="en-AU"/>
        </w:rPr>
        <w:t xml:space="preserve"> </w:t>
      </w:r>
      <w:r w:rsidRPr="0052163B">
        <w:rPr>
          <w:lang w:eastAsia="en-AU"/>
        </w:rPr>
        <w:t>episodes</w:t>
      </w:r>
    </w:p>
    <w:p w14:paraId="7452FD3E" w14:textId="77777777" w:rsidR="00436B89" w:rsidRPr="0052163B" w:rsidRDefault="00436B89" w:rsidP="00177802">
      <w:pPr>
        <w:pStyle w:val="ListBullet2"/>
        <w:numPr>
          <w:ilvl w:val="1"/>
          <w:numId w:val="1"/>
        </w:numPr>
      </w:pPr>
      <w:r w:rsidRPr="0052163B">
        <w:rPr>
          <w:lang w:eastAsia="ja-JP"/>
        </w:rPr>
        <w:t>Neurodevelopmental outcomes</w:t>
      </w:r>
    </w:p>
    <w:p w14:paraId="2ECA305B" w14:textId="77777777" w:rsidR="00436B89" w:rsidRPr="00A613A8" w:rsidRDefault="00436B89" w:rsidP="00177802">
      <w:pPr>
        <w:pStyle w:val="Heading3"/>
        <w:numPr>
          <w:ilvl w:val="1"/>
          <w:numId w:val="5"/>
        </w:numPr>
        <w:ind w:left="907" w:hanging="794"/>
      </w:pPr>
      <w:bookmarkStart w:id="634" w:name="_Toc505179714"/>
      <w:r w:rsidRPr="00A613A8">
        <w:t>Safety</w:t>
      </w:r>
      <w:bookmarkEnd w:id="628"/>
      <w:bookmarkEnd w:id="629"/>
      <w:bookmarkEnd w:id="630"/>
      <w:bookmarkEnd w:id="631"/>
      <w:bookmarkEnd w:id="632"/>
      <w:bookmarkEnd w:id="633"/>
      <w:bookmarkEnd w:id="634"/>
    </w:p>
    <w:p w14:paraId="1DADDE37" w14:textId="77777777" w:rsidR="00436B89" w:rsidRPr="00783D42" w:rsidRDefault="00436B89" w:rsidP="00436B89">
      <w:pPr>
        <w:pStyle w:val="Numberbullet0"/>
      </w:pPr>
      <w:r w:rsidRPr="00783D42">
        <w:t xml:space="preserve">The sponsor should supply a </w:t>
      </w:r>
      <w:r w:rsidR="00625EDD">
        <w:t>complete summary of all of the a</w:t>
      </w:r>
      <w:r w:rsidRPr="00783D42">
        <w:t>dverse events reported in all of the trials involving sodium phenylbutyrate in the treatment of UCDs.</w:t>
      </w:r>
    </w:p>
    <w:p w14:paraId="32329E93" w14:textId="77777777" w:rsidR="00436B89" w:rsidRPr="00783D42" w:rsidRDefault="00436B89" w:rsidP="00436B89">
      <w:pPr>
        <w:pStyle w:val="Numberbullet0"/>
      </w:pPr>
      <w:r w:rsidRPr="00783D42">
        <w:t>The sponsor should tabulate all adverse events attributable to sodium phenylbutyrate. This should include exposure data including dose, dose by size (weight and/or surface area) and length of treatment.</w:t>
      </w:r>
    </w:p>
    <w:p w14:paraId="5AFA48E3" w14:textId="77777777" w:rsidR="00436B89" w:rsidRPr="00783D42" w:rsidRDefault="00436B89" w:rsidP="00436B89">
      <w:pPr>
        <w:pStyle w:val="Numberbullet0"/>
      </w:pPr>
      <w:r w:rsidRPr="00783D42">
        <w:t xml:space="preserve">The sponsor should tabulate all discontinuations due to adverse events attributable to sodium phenylbutyrate. </w:t>
      </w:r>
    </w:p>
    <w:p w14:paraId="4ECB2459" w14:textId="77777777" w:rsidR="00436B89" w:rsidRPr="00783D42" w:rsidRDefault="00436B89" w:rsidP="00436B89">
      <w:pPr>
        <w:pStyle w:val="Numberbullet0"/>
      </w:pPr>
      <w:r w:rsidRPr="00783D42">
        <w:lastRenderedPageBreak/>
        <w:t>The sponsor should submit a report on the single centre (Necker Hospital, France) pilot study of Pheburane, performed on 30 patients which was completed in Sep 2015</w:t>
      </w:r>
    </w:p>
    <w:p w14:paraId="623E5C25" w14:textId="77777777" w:rsidR="00436B89" w:rsidRDefault="00436B89" w:rsidP="00177802">
      <w:pPr>
        <w:pStyle w:val="Heading2"/>
        <w:numPr>
          <w:ilvl w:val="0"/>
          <w:numId w:val="5"/>
        </w:numPr>
      </w:pPr>
      <w:bookmarkStart w:id="635" w:name="_Toc441843547"/>
      <w:bookmarkStart w:id="636" w:name="_Toc473013923"/>
      <w:bookmarkStart w:id="637" w:name="_Toc505179715"/>
      <w:r>
        <w:t>Second round evaluation</w:t>
      </w:r>
      <w:bookmarkEnd w:id="635"/>
      <w:bookmarkEnd w:id="636"/>
      <w:bookmarkEnd w:id="637"/>
    </w:p>
    <w:p w14:paraId="0D61F446" w14:textId="77777777" w:rsidR="00436B89" w:rsidRDefault="00436B89" w:rsidP="00177802">
      <w:pPr>
        <w:pStyle w:val="Heading3"/>
        <w:numPr>
          <w:ilvl w:val="1"/>
          <w:numId w:val="5"/>
        </w:numPr>
        <w:ind w:left="907" w:hanging="794"/>
      </w:pPr>
      <w:bookmarkStart w:id="638" w:name="_Toc473013924"/>
      <w:bookmarkStart w:id="639" w:name="_Toc505179716"/>
      <w:r w:rsidRPr="00A613A8">
        <w:t>Clinical questions</w:t>
      </w:r>
      <w:bookmarkEnd w:id="638"/>
      <w:bookmarkEnd w:id="639"/>
    </w:p>
    <w:p w14:paraId="01E4EC70" w14:textId="77777777" w:rsidR="00436B89" w:rsidRPr="00A613A8" w:rsidRDefault="00436B89" w:rsidP="00177802">
      <w:pPr>
        <w:pStyle w:val="Heading4"/>
        <w:numPr>
          <w:ilvl w:val="2"/>
          <w:numId w:val="5"/>
        </w:numPr>
      </w:pPr>
      <w:r w:rsidRPr="00A613A8">
        <w:t>Pharmacokinetics</w:t>
      </w:r>
    </w:p>
    <w:p w14:paraId="464F3158" w14:textId="77777777" w:rsidR="00436B89" w:rsidRPr="00EA61C9" w:rsidRDefault="00436B89" w:rsidP="00177802">
      <w:pPr>
        <w:pStyle w:val="Numberbullet0"/>
        <w:numPr>
          <w:ilvl w:val="0"/>
          <w:numId w:val="7"/>
        </w:numPr>
        <w:rPr>
          <w:b/>
          <w:i/>
        </w:rPr>
      </w:pPr>
      <w:r w:rsidRPr="00EA61C9">
        <w:rPr>
          <w:b/>
          <w:i/>
        </w:rPr>
        <w:t>The sponsor should provide a separate commentary about the use of sodium phenylbutyrate in children.</w:t>
      </w:r>
    </w:p>
    <w:p w14:paraId="6724E0B3" w14:textId="77777777" w:rsidR="00436B89" w:rsidRDefault="00436B89" w:rsidP="00177802">
      <w:pPr>
        <w:pStyle w:val="Heading5"/>
        <w:numPr>
          <w:ilvl w:val="3"/>
          <w:numId w:val="5"/>
        </w:numPr>
        <w:tabs>
          <w:tab w:val="clear" w:pos="1418"/>
          <w:tab w:val="num" w:pos="1191"/>
        </w:tabs>
        <w:ind w:left="1191"/>
      </w:pPr>
      <w:r>
        <w:t>Sponsor Response</w:t>
      </w:r>
    </w:p>
    <w:p w14:paraId="0CCD1ACE" w14:textId="77777777" w:rsidR="00436B89" w:rsidRDefault="00436B89" w:rsidP="00436B89">
      <w:r>
        <w:t>The sponsor stated the following:</w:t>
      </w:r>
    </w:p>
    <w:p w14:paraId="338A1A44" w14:textId="77777777" w:rsidR="00436B89" w:rsidRDefault="00436B89" w:rsidP="00436B89">
      <w:pPr>
        <w:ind w:left="720"/>
      </w:pPr>
      <w:r>
        <w:t xml:space="preserve">No formal pharmacokinetic studies were conducted in children with urea cycle disorders in order to support the use of sodium phenylbutyrate. However, data are available from bioequivalence studies in healthy volunteers (including Study LUC-1001), as well as pilot Phase I studies in patients with cancer or haemoglobinopathies (Gilbert 2001). </w:t>
      </w:r>
    </w:p>
    <w:p w14:paraId="541E7CD7" w14:textId="77777777" w:rsidR="00436B89" w:rsidRDefault="00436B89" w:rsidP="00436B89">
      <w:pPr>
        <w:ind w:left="720"/>
      </w:pPr>
      <w:r>
        <w:t>A study by Berry was included in this submission for evaluation of pharmacokinetic parameters of sodium phenylbutyrate and of the glycerol conjugated form of the active. The study is a pooled analysis of two papers by Lichter-Konecki 2011 and Smith 2013 on paediatric patients aged between 2 months and 17 years of age. A total of 26 UCD patients aged 2 months to 17 years were treated with GPB and NaPB in the two short-term (7 or 10 day), open-label crossover studies, which compared 24-hour ammonia exposure (AUC</w:t>
      </w:r>
      <w:r w:rsidRPr="004F25FE">
        <w:rPr>
          <w:vertAlign w:val="subscript"/>
        </w:rPr>
        <w:t>0-24</w:t>
      </w:r>
      <w:r>
        <w:t>) and glutamine levels during equivalent steady-state dosing of GPB and NaPB.</w:t>
      </w:r>
    </w:p>
    <w:p w14:paraId="30A831A7" w14:textId="77777777" w:rsidR="00436B89" w:rsidRDefault="00436B89" w:rsidP="00436B89">
      <w:pPr>
        <w:ind w:left="720"/>
      </w:pPr>
      <w:r>
        <w:t>Mean ammonia exposure on GPB was non-inferior to NaPB in each of the individual crossover studies. In the pooled analyses, it was significantly lower on GPB versus NaPB (mean [SD] AUC</w:t>
      </w:r>
      <w:r w:rsidRPr="00AF5CC5">
        <w:rPr>
          <w:vertAlign w:val="subscript"/>
        </w:rPr>
        <w:t>0-24</w:t>
      </w:r>
      <w:r>
        <w:t xml:space="preserve">: 627 [302] versus 872 [516] </w:t>
      </w:r>
      <w:r w:rsidR="00625EDD">
        <w:t>µ</w:t>
      </w:r>
      <w:r>
        <w:t>mol/L; p=0.008). Mean ammonia levels remained within the normal range during 12 months of GPB dosing and, when compared with the</w:t>
      </w:r>
      <w:r w:rsidR="00625EDD">
        <w:t xml:space="preserve"> 12 months preceding enrol</w:t>
      </w:r>
      <w:r>
        <w:t>ment, these lower ammonia levels likely reflect the slower absorption of phenylbutyric acid (PBA) when given orally as GPB compared with NaPB, which may be due to the fact GPB requires digestion by pancreatic lipases.</w:t>
      </w:r>
    </w:p>
    <w:p w14:paraId="3F859C93" w14:textId="77777777" w:rsidR="00436B89" w:rsidRDefault="00436B89" w:rsidP="00436B89">
      <w:pPr>
        <w:ind w:left="720"/>
      </w:pPr>
      <w:r>
        <w:t>The data presented for the NaPB phase of the cross-over studies supports the efficacy data available from earlier published reports including in paediatric patients.</w:t>
      </w:r>
    </w:p>
    <w:p w14:paraId="03D48321" w14:textId="77777777" w:rsidR="00436B89" w:rsidRDefault="00436B89" w:rsidP="00436B89">
      <w:pPr>
        <w:ind w:left="720"/>
      </w:pPr>
      <w:r>
        <w:t>Kibleur (2016) published a follow up study on 11 patients from the compassionate use in France, all patients were paediatric patients. The data supports the continued/persistent/maintained protective effect of Pheburane against metabolic decompensation due to biochemical control. There was a further significant reduction in plasma ammonia levels, in addition to a decrease in plasma glutamine levels and improved neurodegenerative statuses.</w:t>
      </w:r>
    </w:p>
    <w:p w14:paraId="0AB746A8" w14:textId="77777777" w:rsidR="00436B89" w:rsidRPr="00D76DD7" w:rsidRDefault="00436B89" w:rsidP="00436B89">
      <w:pPr>
        <w:ind w:left="720"/>
      </w:pPr>
      <w:r>
        <w:t>The above studies support the use of sodium phenylbutyrate in children. The product has been available for use in paediatric population since its development in the 1990s.</w:t>
      </w:r>
    </w:p>
    <w:p w14:paraId="341E6151" w14:textId="355C4C89" w:rsidR="00436B89" w:rsidRDefault="00436B89" w:rsidP="00177802">
      <w:pPr>
        <w:pStyle w:val="Heading5"/>
        <w:numPr>
          <w:ilvl w:val="3"/>
          <w:numId w:val="5"/>
        </w:numPr>
        <w:tabs>
          <w:tab w:val="clear" w:pos="1418"/>
          <w:tab w:val="num" w:pos="1191"/>
        </w:tabs>
        <w:ind w:left="1191"/>
      </w:pPr>
      <w:r>
        <w:t xml:space="preserve">Evaluator’s </w:t>
      </w:r>
      <w:r w:rsidR="00F21AE2">
        <w:t>a</w:t>
      </w:r>
      <w:r>
        <w:t>ssessment</w:t>
      </w:r>
    </w:p>
    <w:p w14:paraId="0C882271" w14:textId="77777777" w:rsidR="00436B89" w:rsidRDefault="00436B89" w:rsidP="00436B89">
      <w:r>
        <w:t xml:space="preserve">The sponsor’s response is adequate in that it summarises the available paediatric data. There are limited efficacy and safety data in children and no specific pharmacokinetic data in the target population. The sponsor does identify pilot Phase I studies in patients with cancer and </w:t>
      </w:r>
      <w:r w:rsidR="00625EDD">
        <w:lastRenderedPageBreak/>
        <w:t>haemoglobinopathies</w:t>
      </w:r>
      <w:r>
        <w:t xml:space="preserve"> offering some extra but limited support for the use of sodium phenylbutyrate in children. The response is satisfactory.</w:t>
      </w:r>
    </w:p>
    <w:p w14:paraId="5D9DFD80" w14:textId="77777777" w:rsidR="00436B89" w:rsidRPr="00A613A8" w:rsidRDefault="00436B89" w:rsidP="00177802">
      <w:pPr>
        <w:pStyle w:val="Heading4"/>
        <w:numPr>
          <w:ilvl w:val="2"/>
          <w:numId w:val="5"/>
        </w:numPr>
      </w:pPr>
      <w:r w:rsidRPr="00A613A8">
        <w:t>Pharmacokinetics</w:t>
      </w:r>
    </w:p>
    <w:p w14:paraId="1112F709" w14:textId="77777777" w:rsidR="00436B89" w:rsidRPr="00EA61C9" w:rsidRDefault="00436B89" w:rsidP="00436B89">
      <w:pPr>
        <w:pStyle w:val="Numberbullet0"/>
        <w:rPr>
          <w:b/>
          <w:i/>
          <w:lang w:eastAsia="ja-JP"/>
        </w:rPr>
      </w:pPr>
      <w:r w:rsidRPr="00EA61C9">
        <w:rPr>
          <w:b/>
          <w:i/>
        </w:rPr>
        <w:t>The sponsor should c</w:t>
      </w:r>
      <w:r w:rsidRPr="00EA61C9">
        <w:rPr>
          <w:b/>
          <w:i/>
          <w:lang w:eastAsia="ja-JP"/>
        </w:rPr>
        <w:t>larify the proposed dosing schedule and linearity of Pheburane.</w:t>
      </w:r>
    </w:p>
    <w:p w14:paraId="1F9BDE73" w14:textId="271608AB" w:rsidR="00436B89" w:rsidRDefault="00436B89" w:rsidP="00177802">
      <w:pPr>
        <w:pStyle w:val="Heading5"/>
        <w:numPr>
          <w:ilvl w:val="3"/>
          <w:numId w:val="5"/>
        </w:numPr>
        <w:tabs>
          <w:tab w:val="clear" w:pos="1418"/>
          <w:tab w:val="num" w:pos="1191"/>
        </w:tabs>
        <w:ind w:left="1191"/>
      </w:pPr>
      <w:r>
        <w:t xml:space="preserve">Sponsor </w:t>
      </w:r>
      <w:r w:rsidR="00F21AE2">
        <w:t>r</w:t>
      </w:r>
      <w:r>
        <w:t>esponse</w:t>
      </w:r>
    </w:p>
    <w:p w14:paraId="39B1B4E0" w14:textId="77777777" w:rsidR="00436B89" w:rsidRDefault="00436B89" w:rsidP="00436B89">
      <w:pPr>
        <w:ind w:left="720"/>
      </w:pPr>
      <w:r>
        <w:t>The proposed dosing schedule of Pheburane lists the amount of sodium phenylbutyrate required rather than the actual amount of granules. A device is supplied with the medicinal product that enables the measurement of 0.5 g up to 3 g of the active substance. The device is called a ‘spoonbox’; classically used for dispensing paediatric medicines. Hence, the ‘spoonbox’ provided within each pack is calibrated to measure out the volume of active rather than the volume of Pheburane granules.</w:t>
      </w:r>
    </w:p>
    <w:p w14:paraId="7174B9B5" w14:textId="77777777" w:rsidR="00436B89" w:rsidRDefault="00436B89" w:rsidP="00436B89">
      <w:pPr>
        <w:ind w:left="720"/>
      </w:pPr>
      <w:r>
        <w:t>For example, if the dosage calculated for an individual patient is 2500 mg of sodium phenylbutyrate then the granules are poured into the equivalent mark on the calibrated spoon provided to provide 2.5g of the active.</w:t>
      </w:r>
    </w:p>
    <w:p w14:paraId="260547C5" w14:textId="77777777" w:rsidR="00436B89" w:rsidRDefault="00436B89" w:rsidP="00436B89">
      <w:pPr>
        <w:ind w:left="720"/>
      </w:pPr>
      <w:r>
        <w:t xml:space="preserve">In terms of linearity of Pheburane, Mokhtarani (2012) </w:t>
      </w:r>
      <w:r w:rsidR="00625EDD">
        <w:t>analysed</w:t>
      </w:r>
      <w:r>
        <w:t xml:space="preserve"> pharmacokinetic data for glycerol phenylbutyrate (and sodium phenylbutyrate) with respect to possible dosing biomarkers in patients with urea cycle disorders. These analyses are based on over 3000 urine and plasma data points from 54 adult and 11 pediatric UCD patients (ages 6-17) who participated in three clinical studies comparing ammonia control and pharmacokinetics during steady state treatment with glycerol phenylbutyrate or sodium phenylbutyrate. All patients received phenylbutyric acid equivalent doses of glycerol phenylbutyrate or sodium phenylbutyrate in a cross over fashion and underwent 24-hour blood samples and urine sampling for phenylbutyric acid, phenylacetic acid and phenylacetylglutamine. Patients received phenylbutyric acid equivalent doses of glycerol phenylbutyrate ranging from 1.5 to 31.8 g/day and of sodium phenylbutyrate ranging from 1.3 to 31.7 g/day. Plasma metabolite levels varied widely, with average fluctuation indices ranging from 1979% to 5690% for phenylbutyric acid, 843% to 3931% for phenylacetic acid, and 881% to 1434% for phenylacetylglutamine. Mean percent recovery of phenylbutyric acid as urinary phenylacetylglutamine was 66.4 and 69.0 for pediatric patients and 68.7 and 71.4 for adult patients on glycerol phenylbutyrate and sodium phenylbutyrate, respectively. The correlation with dose was strongest for urinary phenylacetylglutamine excretion, either as morning spot urine (r = 0.730, p &lt; 0.001) or as total 24-hour excretion (r = 0.791 p&lt;0.001), followed by plasma phenylacetylglutamine </w:t>
      </w:r>
      <w:proofErr w:type="gramStart"/>
      <w:r>
        <w:t>AUC</w:t>
      </w:r>
      <w:r w:rsidRPr="00AF5CC5">
        <w:rPr>
          <w:vertAlign w:val="subscript"/>
        </w:rPr>
        <w:t>(</w:t>
      </w:r>
      <w:proofErr w:type="gramEnd"/>
      <w:r w:rsidRPr="00AF5CC5">
        <w:rPr>
          <w:vertAlign w:val="subscript"/>
        </w:rPr>
        <w:t>24-hour)</w:t>
      </w:r>
      <w:r>
        <w:t>, plasma phenylacetic acid AUC</w:t>
      </w:r>
      <w:r w:rsidRPr="00AF5CC5">
        <w:rPr>
          <w:vertAlign w:val="subscript"/>
        </w:rPr>
        <w:t>(24-hour)</w:t>
      </w:r>
      <w:r>
        <w:t xml:space="preserve"> and phenylbutyric acid AUC</w:t>
      </w:r>
      <w:r w:rsidRPr="00AF5CC5">
        <w:rPr>
          <w:vertAlign w:val="subscript"/>
        </w:rPr>
        <w:t>(24-hour)</w:t>
      </w:r>
      <w:r>
        <w:t>. Plasma phenylacetic acid levels in adult and pediatric patients did not show a consistent relationship with either urinary phenylacetylglutamine or ammonia control. Figure 28 below shows the linear relationship.</w:t>
      </w:r>
    </w:p>
    <w:p w14:paraId="339F2383" w14:textId="77777777" w:rsidR="00436B89" w:rsidRDefault="00436B89" w:rsidP="00436B89">
      <w:pPr>
        <w:pStyle w:val="FigureTitle"/>
        <w:rPr>
          <w:bCs/>
        </w:rPr>
      </w:pPr>
      <w:r>
        <w:rPr>
          <w:w w:val="105"/>
        </w:rPr>
        <w:lastRenderedPageBreak/>
        <w:t>Figure</w:t>
      </w:r>
      <w:r>
        <w:rPr>
          <w:spacing w:val="-8"/>
          <w:w w:val="105"/>
        </w:rPr>
        <w:t xml:space="preserve"> 28: </w:t>
      </w:r>
      <w:r>
        <w:rPr>
          <w:w w:val="105"/>
        </w:rPr>
        <w:t>Urinary</w:t>
      </w:r>
      <w:r>
        <w:rPr>
          <w:spacing w:val="9"/>
          <w:w w:val="105"/>
        </w:rPr>
        <w:t xml:space="preserve"> </w:t>
      </w:r>
      <w:r>
        <w:rPr>
          <w:w w:val="105"/>
        </w:rPr>
        <w:t>phenylacetylglutamine</w:t>
      </w:r>
      <w:r>
        <w:rPr>
          <w:spacing w:val="9"/>
          <w:w w:val="105"/>
        </w:rPr>
        <w:t xml:space="preserve"> </w:t>
      </w:r>
      <w:r>
        <w:rPr>
          <w:w w:val="105"/>
        </w:rPr>
        <w:t>excretion</w:t>
      </w:r>
      <w:r>
        <w:rPr>
          <w:spacing w:val="8"/>
          <w:w w:val="105"/>
        </w:rPr>
        <w:t xml:space="preserve"> </w:t>
      </w:r>
      <w:r>
        <w:rPr>
          <w:w w:val="105"/>
        </w:rPr>
        <w:t>versus</w:t>
      </w:r>
      <w:r>
        <w:rPr>
          <w:spacing w:val="7"/>
          <w:w w:val="105"/>
        </w:rPr>
        <w:t xml:space="preserve"> </w:t>
      </w:r>
      <w:r>
        <w:rPr>
          <w:w w:val="105"/>
        </w:rPr>
        <w:t>total</w:t>
      </w:r>
      <w:r>
        <w:rPr>
          <w:spacing w:val="7"/>
          <w:w w:val="105"/>
        </w:rPr>
        <w:t xml:space="preserve"> </w:t>
      </w:r>
      <w:r>
        <w:rPr>
          <w:w w:val="105"/>
        </w:rPr>
        <w:t>dose</w:t>
      </w:r>
      <w:r>
        <w:rPr>
          <w:spacing w:val="8"/>
          <w:w w:val="105"/>
        </w:rPr>
        <w:t xml:space="preserve"> </w:t>
      </w:r>
      <w:r>
        <w:rPr>
          <w:w w:val="105"/>
        </w:rPr>
        <w:t>of</w:t>
      </w:r>
      <w:r>
        <w:rPr>
          <w:spacing w:val="7"/>
          <w:w w:val="105"/>
        </w:rPr>
        <w:t xml:space="preserve"> </w:t>
      </w:r>
      <w:r>
        <w:rPr>
          <w:w w:val="105"/>
        </w:rPr>
        <w:t>glycerol</w:t>
      </w:r>
      <w:r>
        <w:rPr>
          <w:spacing w:val="7"/>
          <w:w w:val="105"/>
        </w:rPr>
        <w:t xml:space="preserve"> </w:t>
      </w:r>
      <w:r>
        <w:rPr>
          <w:w w:val="105"/>
        </w:rPr>
        <w:t>phenyl-</w:t>
      </w:r>
      <w:r>
        <w:rPr>
          <w:spacing w:val="31"/>
          <w:w w:val="105"/>
        </w:rPr>
        <w:t xml:space="preserve"> </w:t>
      </w:r>
      <w:r>
        <w:rPr>
          <w:w w:val="105"/>
        </w:rPr>
        <w:t>butyrate</w:t>
      </w:r>
      <w:r>
        <w:rPr>
          <w:spacing w:val="15"/>
          <w:w w:val="105"/>
        </w:rPr>
        <w:t xml:space="preserve"> </w:t>
      </w:r>
      <w:r>
        <w:rPr>
          <w:w w:val="105"/>
        </w:rPr>
        <w:t>or</w:t>
      </w:r>
      <w:r>
        <w:rPr>
          <w:spacing w:val="15"/>
          <w:w w:val="105"/>
        </w:rPr>
        <w:t xml:space="preserve"> </w:t>
      </w:r>
      <w:r>
        <w:rPr>
          <w:w w:val="105"/>
        </w:rPr>
        <w:t>sodium</w:t>
      </w:r>
      <w:r>
        <w:rPr>
          <w:spacing w:val="134"/>
          <w:w w:val="103"/>
        </w:rPr>
        <w:t xml:space="preserve"> </w:t>
      </w:r>
      <w:r>
        <w:rPr>
          <w:w w:val="105"/>
        </w:rPr>
        <w:t>phenylbutyrate</w:t>
      </w:r>
      <w:r>
        <w:rPr>
          <w:spacing w:val="12"/>
          <w:w w:val="105"/>
        </w:rPr>
        <w:t xml:space="preserve"> </w:t>
      </w:r>
      <w:r>
        <w:rPr>
          <w:w w:val="105"/>
        </w:rPr>
        <w:t>administered</w:t>
      </w:r>
      <w:r>
        <w:rPr>
          <w:spacing w:val="11"/>
          <w:w w:val="105"/>
        </w:rPr>
        <w:t xml:space="preserve"> </w:t>
      </w:r>
      <w:r>
        <w:rPr>
          <w:spacing w:val="1"/>
          <w:w w:val="105"/>
        </w:rPr>
        <w:t>(Mokhtarani</w:t>
      </w:r>
      <w:r>
        <w:rPr>
          <w:spacing w:val="9"/>
          <w:w w:val="105"/>
        </w:rPr>
        <w:t xml:space="preserve"> </w:t>
      </w:r>
      <w:r>
        <w:rPr>
          <w:w w:val="105"/>
        </w:rPr>
        <w:t>et</w:t>
      </w:r>
      <w:r>
        <w:rPr>
          <w:spacing w:val="12"/>
          <w:w w:val="105"/>
        </w:rPr>
        <w:t xml:space="preserve"> </w:t>
      </w:r>
      <w:r>
        <w:rPr>
          <w:w w:val="105"/>
        </w:rPr>
        <w:t>al,</w:t>
      </w:r>
      <w:r>
        <w:rPr>
          <w:spacing w:val="9"/>
          <w:w w:val="105"/>
        </w:rPr>
        <w:t xml:space="preserve"> </w:t>
      </w:r>
      <w:r>
        <w:rPr>
          <w:w w:val="105"/>
        </w:rPr>
        <w:t>2012).</w:t>
      </w:r>
    </w:p>
    <w:p w14:paraId="7B223559" w14:textId="77777777" w:rsidR="00436B89" w:rsidRDefault="00436B89" w:rsidP="00436B89">
      <w:pPr>
        <w:pStyle w:val="BodyText"/>
        <w:kinsoku w:val="0"/>
        <w:overflowPunct w:val="0"/>
        <w:spacing w:before="0" w:line="200" w:lineRule="atLeast"/>
        <w:ind w:left="0"/>
        <w:jc w:val="both"/>
        <w:rPr>
          <w:b w:val="0"/>
          <w:bCs w:val="0"/>
        </w:rPr>
      </w:pPr>
      <w:r>
        <w:rPr>
          <w:b w:val="0"/>
          <w:bCs w:val="0"/>
          <w:noProof/>
        </w:rPr>
        <w:drawing>
          <wp:inline distT="0" distB="0" distL="0" distR="0" wp14:anchorId="4D67010D" wp14:editId="03A02478">
            <wp:extent cx="5025656" cy="2279077"/>
            <wp:effectExtent l="0" t="0" r="3810" b="6985"/>
            <wp:docPr id="68" name="Picture 68" descr="Figure 28: Urinary phenylacetylglutamine excretion versus total dose of glycerol phenyl- butyrate or sodium phenylbutyrate administered (Mokhtarani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1656" cy="2281798"/>
                    </a:xfrm>
                    <a:prstGeom prst="rect">
                      <a:avLst/>
                    </a:prstGeom>
                    <a:noFill/>
                    <a:ln>
                      <a:noFill/>
                    </a:ln>
                  </pic:spPr>
                </pic:pic>
              </a:graphicData>
            </a:graphic>
          </wp:inline>
        </w:drawing>
      </w:r>
    </w:p>
    <w:p w14:paraId="6A659296" w14:textId="14E3CAC4" w:rsidR="00436B89" w:rsidRPr="00C92342" w:rsidRDefault="00436B89" w:rsidP="00177802">
      <w:pPr>
        <w:pStyle w:val="Heading5"/>
        <w:numPr>
          <w:ilvl w:val="3"/>
          <w:numId w:val="5"/>
        </w:numPr>
        <w:tabs>
          <w:tab w:val="clear" w:pos="1418"/>
          <w:tab w:val="num" w:pos="1191"/>
        </w:tabs>
        <w:ind w:left="1191"/>
      </w:pPr>
      <w:r>
        <w:t xml:space="preserve">Evaluator’s </w:t>
      </w:r>
      <w:r w:rsidR="00F21AE2">
        <w:t>a</w:t>
      </w:r>
      <w:r>
        <w:t>ssessment</w:t>
      </w:r>
    </w:p>
    <w:p w14:paraId="55B57D0D" w14:textId="77777777" w:rsidR="00436B89" w:rsidRDefault="00436B89" w:rsidP="00436B89">
      <w:pPr>
        <w:rPr>
          <w:lang w:eastAsia="ja-JP"/>
        </w:rPr>
      </w:pPr>
      <w:r>
        <w:rPr>
          <w:lang w:eastAsia="ja-JP"/>
        </w:rPr>
        <w:t>The sponsor did not address the pharmacokinetic basis for the proposed dosing schedule and this is a deficiency in their response. The sponsor should readdress this question. Their answer relates to a separate question about the administration of the dose using their ‘spoonbox’.</w:t>
      </w:r>
    </w:p>
    <w:p w14:paraId="2E8B3F87" w14:textId="77777777" w:rsidR="00436B89" w:rsidRDefault="00436B89" w:rsidP="00436B89">
      <w:r>
        <w:rPr>
          <w:lang w:eastAsia="ja-JP"/>
        </w:rPr>
        <w:t xml:space="preserve">The answer to evidence of dose linearity indicates that there is no blood or serum pharmacokinetic data to support dose linearity. There is urinary excretion data which does demonstrate a relationship between the dose of </w:t>
      </w:r>
      <w:r>
        <w:t>sodium phenylbutyrate</w:t>
      </w:r>
      <w:r>
        <w:rPr>
          <w:lang w:eastAsia="ja-JP"/>
        </w:rPr>
        <w:t xml:space="preserve"> and the urinary excretion of phenylacetylglutamine. However, it is unclear whether this relationship is linear and furthermore, the sponsor identifies that there is not a consistent relationship between serum concentrations of </w:t>
      </w:r>
      <w:r>
        <w:t>phenylacetic acid and its urinary excretion. In summary, the lack of data supporting a linear relationship between Pheburane dosing and serum concentrations of</w:t>
      </w:r>
      <w:r w:rsidRPr="001F5AB4">
        <w:t xml:space="preserve"> </w:t>
      </w:r>
      <w:r>
        <w:t>phenylacetic acid is a deficiency.</w:t>
      </w:r>
    </w:p>
    <w:p w14:paraId="2F10F5C9" w14:textId="77777777" w:rsidR="00436B89" w:rsidRPr="00EA61C9" w:rsidRDefault="00436B89" w:rsidP="00436B89">
      <w:pPr>
        <w:pStyle w:val="Numberbullet0"/>
        <w:rPr>
          <w:b/>
          <w:i/>
          <w:lang w:eastAsia="ja-JP"/>
        </w:rPr>
      </w:pPr>
      <w:r w:rsidRPr="00EA61C9">
        <w:rPr>
          <w:b/>
          <w:i/>
        </w:rPr>
        <w:t>The sponsor should c</w:t>
      </w:r>
      <w:r w:rsidRPr="00EA61C9">
        <w:rPr>
          <w:b/>
          <w:i/>
          <w:lang w:eastAsia="ja-JP"/>
        </w:rPr>
        <w:t xml:space="preserve">larify that the form of </w:t>
      </w:r>
      <w:r w:rsidRPr="00EA61C9">
        <w:rPr>
          <w:b/>
          <w:i/>
          <w:lang w:eastAsia="en-AU"/>
        </w:rPr>
        <w:t>sodium phenylbutyrate</w:t>
      </w:r>
      <w:r w:rsidRPr="00EA61C9">
        <w:rPr>
          <w:b/>
          <w:i/>
          <w:lang w:eastAsia="ja-JP"/>
        </w:rPr>
        <w:t xml:space="preserve"> was the innovator product (Ammonaps) from the bioequivalence study.</w:t>
      </w:r>
    </w:p>
    <w:p w14:paraId="38B1EE65" w14:textId="01986311" w:rsidR="00436B89" w:rsidRDefault="00436B89" w:rsidP="00177802">
      <w:pPr>
        <w:pStyle w:val="Heading5"/>
        <w:numPr>
          <w:ilvl w:val="3"/>
          <w:numId w:val="5"/>
        </w:numPr>
        <w:tabs>
          <w:tab w:val="clear" w:pos="1418"/>
          <w:tab w:val="num" w:pos="1191"/>
        </w:tabs>
        <w:ind w:left="1191"/>
      </w:pPr>
      <w:r>
        <w:t xml:space="preserve">Sponsor </w:t>
      </w:r>
      <w:r w:rsidR="00F21AE2">
        <w:t>r</w:t>
      </w:r>
      <w:r>
        <w:t>esponse</w:t>
      </w:r>
    </w:p>
    <w:p w14:paraId="1D137262" w14:textId="77777777" w:rsidR="00436B89" w:rsidRPr="00E10033" w:rsidRDefault="00436B89" w:rsidP="00436B89">
      <w:pPr>
        <w:ind w:left="720"/>
      </w:pPr>
      <w:r>
        <w:t>The form of sodium phenylbutyrate used in the trials (papers) presented as pharmacokinetic studies including the bioequivalence study used to bridge Pheburane’s application to that of Ammonaps in Europe is Buphenyl. Buphenyl is same product as Ammonaps developed and manufactured by the same company but is marketed under different names in the USA and in the EU. It is clearly stated in the EPAR of Ammonaps that the data from the previous Buphenyl studies were used in support of its marketing approval as Buphenyl were representing the very same product with a different name for administrative considerations.</w:t>
      </w:r>
    </w:p>
    <w:p w14:paraId="0E17DD57" w14:textId="52A9A31F" w:rsidR="00436B89" w:rsidRDefault="00436B89" w:rsidP="00177802">
      <w:pPr>
        <w:pStyle w:val="Heading5"/>
        <w:numPr>
          <w:ilvl w:val="3"/>
          <w:numId w:val="5"/>
        </w:numPr>
        <w:tabs>
          <w:tab w:val="clear" w:pos="1418"/>
          <w:tab w:val="num" w:pos="1191"/>
        </w:tabs>
        <w:ind w:left="1191"/>
      </w:pPr>
      <w:r>
        <w:t xml:space="preserve">Evaluator’s </w:t>
      </w:r>
      <w:r w:rsidR="00F21AE2">
        <w:t>a</w:t>
      </w:r>
      <w:r>
        <w:t>ssessment</w:t>
      </w:r>
    </w:p>
    <w:p w14:paraId="44930DE0" w14:textId="77777777" w:rsidR="00436B89" w:rsidRPr="001F5AB4" w:rsidRDefault="00436B89" w:rsidP="00436B89">
      <w:r>
        <w:t xml:space="preserve">The sponsor has clarified that the innovator product </w:t>
      </w:r>
      <w:r w:rsidRPr="00D6181F">
        <w:rPr>
          <w:lang w:eastAsia="ja-JP"/>
        </w:rPr>
        <w:t>(Ammonaps)</w:t>
      </w:r>
      <w:r>
        <w:rPr>
          <w:lang w:eastAsia="ja-JP"/>
        </w:rPr>
        <w:t xml:space="preserve"> was used in the </w:t>
      </w:r>
      <w:r w:rsidRPr="00D6181F">
        <w:rPr>
          <w:lang w:eastAsia="ja-JP"/>
        </w:rPr>
        <w:t>bioequivalence study</w:t>
      </w:r>
      <w:r>
        <w:rPr>
          <w:lang w:eastAsia="ja-JP"/>
        </w:rPr>
        <w:t>, albeit under a different brand name</w:t>
      </w:r>
      <w:r w:rsidRPr="00D6181F">
        <w:rPr>
          <w:lang w:eastAsia="ja-JP"/>
        </w:rPr>
        <w:t>.</w:t>
      </w:r>
      <w:r>
        <w:rPr>
          <w:lang w:eastAsia="ja-JP"/>
        </w:rPr>
        <w:t xml:space="preserve"> </w:t>
      </w:r>
      <w:r>
        <w:t>The response is satisfactory.</w:t>
      </w:r>
    </w:p>
    <w:p w14:paraId="588817DA" w14:textId="77777777" w:rsidR="00436B89" w:rsidRPr="00EA61C9" w:rsidRDefault="00436B89" w:rsidP="00436B89">
      <w:pPr>
        <w:pStyle w:val="Numberbullet0"/>
        <w:rPr>
          <w:b/>
          <w:i/>
          <w:lang w:eastAsia="ja-JP"/>
        </w:rPr>
      </w:pPr>
      <w:r w:rsidRPr="00EA61C9">
        <w:rPr>
          <w:b/>
          <w:i/>
        </w:rPr>
        <w:t>The sponsor should d</w:t>
      </w:r>
      <w:r w:rsidRPr="00EA61C9">
        <w:rPr>
          <w:b/>
          <w:i/>
          <w:lang w:eastAsia="ja-JP"/>
        </w:rPr>
        <w:t>emonstrate that the dosing of Pheburane can be scaled by weight and surface area as in the proposed dosing schedule.</w:t>
      </w:r>
    </w:p>
    <w:p w14:paraId="7807D8FD" w14:textId="4977C482" w:rsidR="00436B89" w:rsidRDefault="00436B89" w:rsidP="00177802">
      <w:pPr>
        <w:pStyle w:val="Heading5"/>
        <w:numPr>
          <w:ilvl w:val="3"/>
          <w:numId w:val="5"/>
        </w:numPr>
        <w:tabs>
          <w:tab w:val="clear" w:pos="1418"/>
          <w:tab w:val="num" w:pos="1191"/>
        </w:tabs>
        <w:ind w:left="1191"/>
      </w:pPr>
      <w:r>
        <w:t xml:space="preserve">Sponsor </w:t>
      </w:r>
      <w:r w:rsidR="00F21AE2">
        <w:t>r</w:t>
      </w:r>
      <w:r>
        <w:t>esponse</w:t>
      </w:r>
    </w:p>
    <w:p w14:paraId="601C5719" w14:textId="77777777" w:rsidR="00436B89" w:rsidRDefault="00436B89" w:rsidP="00436B89">
      <w:pPr>
        <w:ind w:left="720"/>
      </w:pPr>
      <w:r>
        <w:t xml:space="preserve">Regular monitoring of protein intake, growth and clinical status are essential, because protein requirements and tolerance vary with age, growth velocity, disorder nature and </w:t>
      </w:r>
      <w:r>
        <w:lastRenderedPageBreak/>
        <w:t>severity and frequency of intercurrent illnesses (Häberle 2012). The appropriate dose of NaPB will be a function of dietary nitrogen and nitrogen retention (Brusilow 1991, 2.5 Clinical Overview, page 18).</w:t>
      </w:r>
    </w:p>
    <w:p w14:paraId="3A463738" w14:textId="77777777" w:rsidR="00436B89" w:rsidRDefault="00436B89" w:rsidP="00436B89">
      <w:pPr>
        <w:ind w:left="720"/>
      </w:pPr>
      <w:r>
        <w:t>Therefore, the therapy with Pheburane should be individualized according to the bodyweight and the metabolic state of the patient. The proposed daily dosage was derived on the basis that one mole of phenylbutyrate will be metabolized to one mole of phenylacetylglutamine, and from the estimated nitrogen to be excreted on a restricted protein intake. On a molar basis phenylacetylglutamine is comparable to urea (each containing two nitrogen atoms) and provides therefore an alternate vehicle for waste nitrogen disposal in patients with UCD. Children (6-24 months of age) receiving a diet of 0.2 g/kg/day of nitrogen (1.25 g/kg/day of protein) have been shown to excrete 0.094 g/kg/day of urea nitrogen, accounting for 47% of dietary nitrogen (Waterlow 1963). Children or adults receiving a low but adequate protein intake excrete 40-45 % of their dietary nitrogen as urea nitrogen. Therefore, a child receiving 1.25 g/kg/day of protein has the obligatory requirement to synthesize 93 mg/kg/day of waste nitrogen as urea. This requirement can be met by patients with the neonatal form of CPS-I and OTC deficiencies if they receive 600 mg/kg/day of sodium phenylbutyrate, which if completely conjugated with glutamine will lead to the excretion of 90 mg/kg/day of phenylacetylglutamine nitrogen.</w:t>
      </w:r>
    </w:p>
    <w:p w14:paraId="32C130B8" w14:textId="77777777" w:rsidR="00436B89" w:rsidRPr="00841DC2" w:rsidRDefault="00436B89" w:rsidP="00436B89">
      <w:pPr>
        <w:ind w:left="720"/>
      </w:pPr>
      <w:r>
        <w:t>These theoretical considerations were confirmed in an 8-year-old boy (of 27.2 kg body weight) with neonatal CPS-I (Brusilow 1991). When receiving 12 or 14 g/d of phenylbutyrate, 80-90 % of the dose appeared in the urine as phenylacetylglutamine, and phenylacetylglutamine nitrogen accounted for 42-44 % of dietary nitrogen.</w:t>
      </w:r>
    </w:p>
    <w:p w14:paraId="3876C05C" w14:textId="17D8D1FB" w:rsidR="00436B89" w:rsidRDefault="00436B89" w:rsidP="00177802">
      <w:pPr>
        <w:pStyle w:val="Heading5"/>
        <w:numPr>
          <w:ilvl w:val="3"/>
          <w:numId w:val="5"/>
        </w:numPr>
        <w:tabs>
          <w:tab w:val="clear" w:pos="1418"/>
          <w:tab w:val="num" w:pos="1191"/>
        </w:tabs>
        <w:ind w:left="1191"/>
      </w:pPr>
      <w:r>
        <w:t xml:space="preserve">Evaluator’s </w:t>
      </w:r>
      <w:r w:rsidR="00F21AE2">
        <w:t>a</w:t>
      </w:r>
      <w:r>
        <w:t>ssessment</w:t>
      </w:r>
    </w:p>
    <w:p w14:paraId="3EBE6822" w14:textId="77777777" w:rsidR="00436B89" w:rsidRPr="00661911" w:rsidRDefault="00436B89" w:rsidP="00436B89">
      <w:r>
        <w:t>The sponsor argued that the basis for dosing was mostly based upon theoretical grounds. No data was offered to support dosing on surface area calculations was to be preferred to dosing on a weight basis. The evaluator recognises that current guidelines for the use of sodium phenylbutyrate</w:t>
      </w:r>
      <w:r>
        <w:rPr>
          <w:lang w:eastAsia="ja-JP"/>
        </w:rPr>
        <w:t xml:space="preserve"> </w:t>
      </w:r>
      <w:r>
        <w:t>do include dosing recommendations on both a weight and surface area calculations. The lack of pharmacokinetic data in support of the proposed dosing regimen is a deficiency. The response is not satisfactory and the sponsor should conduct further pharmacokinetic studies justifying the dosing regimen. These could be conducted post-marketing.</w:t>
      </w:r>
    </w:p>
    <w:p w14:paraId="29ADAA9B" w14:textId="77777777" w:rsidR="00436B89" w:rsidRPr="00CC5BD6" w:rsidRDefault="00436B89" w:rsidP="00436B89">
      <w:pPr>
        <w:pStyle w:val="Numberbullet0"/>
        <w:rPr>
          <w:b/>
          <w:i/>
          <w:lang w:eastAsia="ja-JP"/>
        </w:rPr>
      </w:pPr>
      <w:r w:rsidRPr="00CC5BD6">
        <w:rPr>
          <w:b/>
          <w:i/>
        </w:rPr>
        <w:t>The sponsor should e</w:t>
      </w:r>
      <w:r w:rsidRPr="00CC5BD6">
        <w:rPr>
          <w:b/>
          <w:i/>
          <w:lang w:eastAsia="ja-JP"/>
        </w:rPr>
        <w:t>xplain the dose-ranging in the proposed dosing schedule.</w:t>
      </w:r>
    </w:p>
    <w:p w14:paraId="0676D660" w14:textId="32098936" w:rsidR="00436B89" w:rsidRDefault="00436B89" w:rsidP="00177802">
      <w:pPr>
        <w:pStyle w:val="Heading5"/>
        <w:numPr>
          <w:ilvl w:val="3"/>
          <w:numId w:val="5"/>
        </w:numPr>
        <w:tabs>
          <w:tab w:val="clear" w:pos="1418"/>
          <w:tab w:val="num" w:pos="1191"/>
        </w:tabs>
        <w:ind w:left="1191"/>
      </w:pPr>
      <w:r>
        <w:t xml:space="preserve">Sponsor </w:t>
      </w:r>
      <w:r w:rsidR="00F21AE2">
        <w:t>r</w:t>
      </w:r>
      <w:r>
        <w:t>esponse</w:t>
      </w:r>
    </w:p>
    <w:p w14:paraId="180AE117" w14:textId="77777777" w:rsidR="00436B89" w:rsidRPr="008156E0" w:rsidRDefault="00436B89" w:rsidP="00436B89">
      <w:r>
        <w:t xml:space="preserve">The sponsor did not address this question of the dosing range specifically. </w:t>
      </w:r>
    </w:p>
    <w:p w14:paraId="7469FC61" w14:textId="1489A190" w:rsidR="00436B89" w:rsidRDefault="00436B89" w:rsidP="00177802">
      <w:pPr>
        <w:pStyle w:val="Heading5"/>
        <w:numPr>
          <w:ilvl w:val="3"/>
          <w:numId w:val="5"/>
        </w:numPr>
        <w:tabs>
          <w:tab w:val="clear" w:pos="1418"/>
          <w:tab w:val="num" w:pos="1191"/>
        </w:tabs>
        <w:ind w:left="1191"/>
      </w:pPr>
      <w:r>
        <w:t xml:space="preserve">Evaluator’s </w:t>
      </w:r>
      <w:r w:rsidR="00F21AE2">
        <w:t>a</w:t>
      </w:r>
      <w:r>
        <w:t>ssessment</w:t>
      </w:r>
    </w:p>
    <w:p w14:paraId="21040AF4" w14:textId="77777777" w:rsidR="00436B89" w:rsidRPr="00020D1A" w:rsidRDefault="00436B89" w:rsidP="00436B89">
      <w:r>
        <w:t>The sponsor should be asked to address the basis of the dosing range proposed in the product information. The response is not satisfactory.</w:t>
      </w:r>
    </w:p>
    <w:p w14:paraId="3324F3E7" w14:textId="77777777" w:rsidR="00436B89" w:rsidRPr="00A613A8" w:rsidRDefault="00436B89" w:rsidP="00177802">
      <w:pPr>
        <w:pStyle w:val="Heading4"/>
        <w:numPr>
          <w:ilvl w:val="2"/>
          <w:numId w:val="5"/>
        </w:numPr>
      </w:pPr>
      <w:r w:rsidRPr="00A613A8">
        <w:t>Pharmacodynamics</w:t>
      </w:r>
    </w:p>
    <w:p w14:paraId="2BADC6C7" w14:textId="77777777" w:rsidR="00436B89" w:rsidRPr="00CC5BD6" w:rsidRDefault="00436B89" w:rsidP="00436B89">
      <w:pPr>
        <w:pStyle w:val="Numberbullet0"/>
        <w:rPr>
          <w:b/>
          <w:i/>
        </w:rPr>
      </w:pPr>
      <w:r w:rsidRPr="00CC5BD6">
        <w:rPr>
          <w:b/>
          <w:i/>
        </w:rPr>
        <w:t>The sponsor should reinvestigate the literature for further evidence of a dose response effect on nitrogen excretion with sodium phenylbutyrate.</w:t>
      </w:r>
    </w:p>
    <w:p w14:paraId="44AF7C50" w14:textId="6A2BF2FF" w:rsidR="00436B89" w:rsidRDefault="00436B89" w:rsidP="00177802">
      <w:pPr>
        <w:pStyle w:val="Heading5"/>
        <w:numPr>
          <w:ilvl w:val="3"/>
          <w:numId w:val="5"/>
        </w:numPr>
        <w:tabs>
          <w:tab w:val="clear" w:pos="1418"/>
          <w:tab w:val="num" w:pos="1191"/>
        </w:tabs>
        <w:ind w:left="1191"/>
      </w:pPr>
      <w:r>
        <w:t xml:space="preserve">Sponsor </w:t>
      </w:r>
      <w:r w:rsidR="00F21AE2">
        <w:t>r</w:t>
      </w:r>
      <w:r>
        <w:t>esponse</w:t>
      </w:r>
    </w:p>
    <w:p w14:paraId="1B40CF7F" w14:textId="77777777" w:rsidR="00436B89" w:rsidRDefault="00436B89" w:rsidP="00436B89">
      <w:pPr>
        <w:ind w:left="720"/>
      </w:pPr>
      <w:r>
        <w:t>The sponsor identified one further article not supplied in the original dossier (</w:t>
      </w:r>
      <w:r w:rsidRPr="00CC5BD6">
        <w:rPr>
          <w:i/>
        </w:rPr>
        <w:t xml:space="preserve">Marini JC, Lanpher BC, Scaglia F, O'Brien WE, Sun Q, Garlick PJ, Jahoor F, Lee B. Phenylbutyrate improves nitrogen disposal via an alternative pathway without eliciting an increase in protein breakdown and catabolism in control and ornithine transcarbamylase-deficient patients. </w:t>
      </w:r>
      <w:proofErr w:type="gramStart"/>
      <w:r w:rsidRPr="00CC5BD6">
        <w:rPr>
          <w:i/>
        </w:rPr>
        <w:t>Am J Clin Nutr.</w:t>
      </w:r>
      <w:proofErr w:type="gramEnd"/>
      <w:r w:rsidRPr="00CC5BD6">
        <w:rPr>
          <w:i/>
        </w:rPr>
        <w:t xml:space="preserve"> 2011 Jun</w:t>
      </w:r>
      <w:proofErr w:type="gramStart"/>
      <w:r w:rsidRPr="00CC5BD6">
        <w:rPr>
          <w:i/>
        </w:rPr>
        <w:t>;93</w:t>
      </w:r>
      <w:proofErr w:type="gramEnd"/>
      <w:r w:rsidRPr="00CC5BD6">
        <w:rPr>
          <w:i/>
        </w:rPr>
        <w:t>(6):1248-54</w:t>
      </w:r>
      <w:r>
        <w:t xml:space="preserve">.). </w:t>
      </w:r>
    </w:p>
    <w:p w14:paraId="20650B16" w14:textId="77777777" w:rsidR="00436B89" w:rsidRPr="00A9623E" w:rsidRDefault="00436B89" w:rsidP="00436B89">
      <w:pPr>
        <w:ind w:left="720"/>
      </w:pPr>
      <w:r>
        <w:lastRenderedPageBreak/>
        <w:t>This article investigated the effects of sodium phenylbutyrate administration on whole-body protein metabolism, glutamine, leucine, and urea kinetics in healthy and ornithine transcarbamylase–deficient (OTCD) subjects. Seven healthy control and 7 partial-OTCD subjects received either phenylbutyrate or no treatment in a crossover design. In addition, the partial-OTCD and 3 null-OTCD subjects received phenylbutyrate and phenylbutyrate plus BCAA supplementation. A multi-tracer protocol was used to determine the whole-body fluxes of urea and amino acids of interest. The study demonstrated that phenylbutyrate administration reduced ureagenesis and the transfer of 15N from glutamine to urea without parallel reductions in glutamine flux and concentration. There were no changes in total-body protein breakdown and amino acid catabolism.</w:t>
      </w:r>
    </w:p>
    <w:p w14:paraId="5F671D90" w14:textId="73022942" w:rsidR="00436B89" w:rsidRDefault="00436B89" w:rsidP="00177802">
      <w:pPr>
        <w:pStyle w:val="Heading5"/>
        <w:numPr>
          <w:ilvl w:val="3"/>
          <w:numId w:val="5"/>
        </w:numPr>
        <w:tabs>
          <w:tab w:val="clear" w:pos="1418"/>
          <w:tab w:val="num" w:pos="1191"/>
        </w:tabs>
        <w:ind w:left="1191"/>
      </w:pPr>
      <w:r>
        <w:t xml:space="preserve">Evaluator’s </w:t>
      </w:r>
      <w:r w:rsidR="00F21AE2">
        <w:t>a</w:t>
      </w:r>
      <w:r>
        <w:t>ssessment</w:t>
      </w:r>
    </w:p>
    <w:p w14:paraId="11E5FD99" w14:textId="77777777" w:rsidR="00436B89" w:rsidRPr="0008381E" w:rsidRDefault="00436B89" w:rsidP="00436B89">
      <w:pPr>
        <w:autoSpaceDE w:val="0"/>
        <w:autoSpaceDN w:val="0"/>
        <w:adjustRightInd w:val="0"/>
        <w:spacing w:before="0" w:after="0" w:line="240" w:lineRule="auto"/>
      </w:pPr>
      <w:r>
        <w:t xml:space="preserve">The sponsor has identified one additional article in support of sodium phenylbutyrate in the treatment of ornithine transcarbamylase deficiency, demonstrating a reduction in ureagenesis. The dosing used in this study was </w:t>
      </w:r>
      <w:r w:rsidRPr="0008381E">
        <w:t>10 g</w:t>
      </w:r>
      <w:r>
        <w:t xml:space="preserve"> </w:t>
      </w:r>
      <w:r w:rsidRPr="0008381E">
        <w:t xml:space="preserve">phenylbutyrate </w:t>
      </w:r>
      <w:r>
        <w:t>/m</w:t>
      </w:r>
      <w:r w:rsidRPr="0008381E">
        <w:rPr>
          <w:vertAlign w:val="superscript"/>
        </w:rPr>
        <w:t>2</w:t>
      </w:r>
      <w:r>
        <w:t>/day.</w:t>
      </w:r>
    </w:p>
    <w:p w14:paraId="3F3E99B8" w14:textId="77777777" w:rsidR="00436B89" w:rsidRPr="00A613A8" w:rsidRDefault="00436B89" w:rsidP="00177802">
      <w:pPr>
        <w:pStyle w:val="Heading4"/>
        <w:numPr>
          <w:ilvl w:val="2"/>
          <w:numId w:val="5"/>
        </w:numPr>
      </w:pPr>
      <w:r w:rsidRPr="00A613A8">
        <w:t>Efficacy</w:t>
      </w:r>
    </w:p>
    <w:p w14:paraId="5F9BF817" w14:textId="77777777" w:rsidR="00436B89" w:rsidRPr="00CC5BD6" w:rsidRDefault="00436B89" w:rsidP="00436B89">
      <w:pPr>
        <w:pStyle w:val="Numberbullet0"/>
        <w:rPr>
          <w:b/>
          <w:i/>
          <w:lang w:eastAsia="ja-JP"/>
        </w:rPr>
      </w:pPr>
      <w:r w:rsidRPr="00CC5BD6">
        <w:rPr>
          <w:b/>
          <w:i/>
          <w:lang w:eastAsia="ja-JP"/>
        </w:rPr>
        <w:t>The sponsor should better quantify the outcomes of treatment with sodium phenylbutyrate compared to historical controls in terms of:</w:t>
      </w:r>
    </w:p>
    <w:p w14:paraId="7D8978CC" w14:textId="77777777" w:rsidR="00436B89" w:rsidRPr="00CC5BD6" w:rsidRDefault="00436B89" w:rsidP="00177802">
      <w:pPr>
        <w:pStyle w:val="ListBullet2"/>
        <w:numPr>
          <w:ilvl w:val="1"/>
          <w:numId w:val="1"/>
        </w:numPr>
        <w:rPr>
          <w:b/>
          <w:i/>
          <w:lang w:eastAsia="ja-JP"/>
        </w:rPr>
      </w:pPr>
      <w:r w:rsidRPr="00CC5BD6">
        <w:rPr>
          <w:b/>
          <w:i/>
          <w:lang w:eastAsia="ja-JP"/>
        </w:rPr>
        <w:t>Ammonia levels</w:t>
      </w:r>
    </w:p>
    <w:p w14:paraId="1DEC2046" w14:textId="77777777" w:rsidR="00436B89" w:rsidRPr="00CC5BD6" w:rsidRDefault="00436B89" w:rsidP="00177802">
      <w:pPr>
        <w:pStyle w:val="ListBullet2"/>
        <w:numPr>
          <w:ilvl w:val="1"/>
          <w:numId w:val="1"/>
        </w:numPr>
        <w:rPr>
          <w:b/>
          <w:i/>
          <w:lang w:eastAsia="ja-JP"/>
        </w:rPr>
      </w:pPr>
      <w:r w:rsidRPr="00CC5BD6">
        <w:rPr>
          <w:b/>
          <w:i/>
          <w:lang w:eastAsia="ja-JP"/>
        </w:rPr>
        <w:t>Nitrogen excretion</w:t>
      </w:r>
    </w:p>
    <w:p w14:paraId="069EE225" w14:textId="77777777" w:rsidR="00436B89" w:rsidRPr="00CC5BD6" w:rsidRDefault="00436B89" w:rsidP="00177802">
      <w:pPr>
        <w:pStyle w:val="ListBullet2"/>
        <w:numPr>
          <w:ilvl w:val="1"/>
          <w:numId w:val="1"/>
        </w:numPr>
        <w:rPr>
          <w:b/>
          <w:i/>
          <w:lang w:eastAsia="ja-JP"/>
        </w:rPr>
      </w:pPr>
      <w:r w:rsidRPr="00CC5BD6">
        <w:rPr>
          <w:b/>
          <w:i/>
          <w:spacing w:val="-1"/>
          <w:lang w:eastAsia="en-AU"/>
        </w:rPr>
        <w:t>H</w:t>
      </w:r>
      <w:r w:rsidRPr="00CC5BD6">
        <w:rPr>
          <w:b/>
          <w:i/>
          <w:lang w:eastAsia="en-AU"/>
        </w:rPr>
        <w:t>yperammonaemic</w:t>
      </w:r>
      <w:r w:rsidRPr="00CC5BD6">
        <w:rPr>
          <w:b/>
          <w:i/>
          <w:spacing w:val="3"/>
          <w:lang w:eastAsia="en-AU"/>
        </w:rPr>
        <w:t xml:space="preserve"> </w:t>
      </w:r>
      <w:r w:rsidRPr="00CC5BD6">
        <w:rPr>
          <w:b/>
          <w:i/>
          <w:lang w:eastAsia="en-AU"/>
        </w:rPr>
        <w:t>episodes</w:t>
      </w:r>
    </w:p>
    <w:p w14:paraId="18564836" w14:textId="77777777" w:rsidR="00436B89" w:rsidRPr="00CC5BD6" w:rsidRDefault="00436B89" w:rsidP="00177802">
      <w:pPr>
        <w:pStyle w:val="ListBullet2"/>
        <w:numPr>
          <w:ilvl w:val="1"/>
          <w:numId w:val="1"/>
        </w:numPr>
        <w:rPr>
          <w:b/>
          <w:i/>
        </w:rPr>
      </w:pPr>
      <w:r w:rsidRPr="00CC5BD6">
        <w:rPr>
          <w:b/>
          <w:i/>
          <w:lang w:eastAsia="ja-JP"/>
        </w:rPr>
        <w:t>Neurodevelopmental outcomes</w:t>
      </w:r>
    </w:p>
    <w:p w14:paraId="411CFDE2" w14:textId="51AA18AF" w:rsidR="00436B89" w:rsidRDefault="00436B89" w:rsidP="00177802">
      <w:pPr>
        <w:pStyle w:val="Heading5"/>
        <w:numPr>
          <w:ilvl w:val="3"/>
          <w:numId w:val="5"/>
        </w:numPr>
        <w:tabs>
          <w:tab w:val="clear" w:pos="1418"/>
          <w:tab w:val="num" w:pos="1191"/>
        </w:tabs>
        <w:ind w:left="1191"/>
      </w:pPr>
      <w:r>
        <w:t xml:space="preserve">Sponsor </w:t>
      </w:r>
      <w:r w:rsidR="00F21AE2">
        <w:t>r</w:t>
      </w:r>
      <w:r>
        <w:t>esponse</w:t>
      </w:r>
    </w:p>
    <w:p w14:paraId="10449EC5" w14:textId="77777777" w:rsidR="00436B89" w:rsidRDefault="00436B89" w:rsidP="00436B89">
      <w:pPr>
        <w:ind w:left="720"/>
      </w:pPr>
      <w:r>
        <w:t>During the evaluation of Ammonaps (reference product in the EU) it was noted that a coherent overview of efficacy was hindered by the heterogeneity of UCD patients, with different age of onset and the possible effect of prior treatment. The first treatment program (1985-1994) consisted of 162 patients, of which 148 were evaluable (87 with prior therapy and 61 without prior therapy). The following UCD had been diagnosed: OTC 99 patients, ASS 31 patients and CPS 18 patients. Of this population, 55% of patients were less than twelve years old at the time of the last visit to the investigator and 15% had received phenylbutyrate for five years or more. In a subsequent amendment, the overall population included 208 patients, out of which 183 were evaluable (EMEA 2005).</w:t>
      </w:r>
    </w:p>
    <w:p w14:paraId="338BB2F9" w14:textId="77777777" w:rsidR="00436B89" w:rsidRDefault="00436B89" w:rsidP="00436B89">
      <w:pPr>
        <w:ind w:left="720"/>
      </w:pPr>
      <w:r>
        <w:t>The following sections present the efficacy criteria in support of sodium phenylbutyrate:</w:t>
      </w:r>
    </w:p>
    <w:p w14:paraId="115DD845" w14:textId="77777777" w:rsidR="00436B89" w:rsidRDefault="00436B89" w:rsidP="00177802">
      <w:pPr>
        <w:pStyle w:val="ListBullet3"/>
        <w:numPr>
          <w:ilvl w:val="2"/>
          <w:numId w:val="1"/>
        </w:numPr>
      </w:pPr>
      <w:r>
        <w:t>incidence of hyperammonemic episodes,</w:t>
      </w:r>
    </w:p>
    <w:p w14:paraId="583E926D" w14:textId="77777777" w:rsidR="00436B89" w:rsidRDefault="00436B89" w:rsidP="00177802">
      <w:pPr>
        <w:pStyle w:val="ListBullet3"/>
        <w:numPr>
          <w:ilvl w:val="2"/>
          <w:numId w:val="1"/>
        </w:numPr>
      </w:pPr>
      <w:r>
        <w:t>cognitive development,</w:t>
      </w:r>
    </w:p>
    <w:p w14:paraId="738444BF" w14:textId="77777777" w:rsidR="00436B89" w:rsidRDefault="00436B89" w:rsidP="00177802">
      <w:pPr>
        <w:pStyle w:val="ListBullet3"/>
        <w:numPr>
          <w:ilvl w:val="2"/>
          <w:numId w:val="1"/>
        </w:numPr>
      </w:pPr>
      <w:r>
        <w:t>growth (anthropometric measurements),</w:t>
      </w:r>
    </w:p>
    <w:p w14:paraId="344E5BD5" w14:textId="77777777" w:rsidR="00436B89" w:rsidRDefault="00436B89" w:rsidP="00177802">
      <w:pPr>
        <w:pStyle w:val="ListBullet3"/>
        <w:numPr>
          <w:ilvl w:val="2"/>
          <w:numId w:val="1"/>
        </w:numPr>
      </w:pPr>
      <w:r>
        <w:t>plasma ammonia and glutamine levels</w:t>
      </w:r>
    </w:p>
    <w:p w14:paraId="3D25CB60" w14:textId="77777777" w:rsidR="00436B89" w:rsidRPr="004F175B" w:rsidRDefault="00436B89" w:rsidP="00436B89">
      <w:pPr>
        <w:pStyle w:val="Heading6"/>
        <w:ind w:firstLine="436"/>
      </w:pPr>
      <w:r w:rsidRPr="004F175B">
        <w:t>Hyperammonemic episodes</w:t>
      </w:r>
    </w:p>
    <w:p w14:paraId="6DF80946" w14:textId="77777777" w:rsidR="00436B89" w:rsidRDefault="00436B89" w:rsidP="00436B89">
      <w:pPr>
        <w:ind w:left="720"/>
      </w:pPr>
      <w:r>
        <w:t xml:space="preserve">Any condition causing an increased nitrogen load to the urea cycle may trigger hyperammonemia. In 128 patients treated for 5 to 15 years (Maestri 1991, Maestri 1995, Maestri 1996, Feillet 1998), the annual incidence of hyperammonemic episodes ranged from 0.4/patient-year in the female OTC group treated with 250 mg/kg/day sodium benzoate and 250-300 mg/kg/day sodium phenylacetate or sodium </w:t>
      </w:r>
      <w:r>
        <w:lastRenderedPageBreak/>
        <w:t>phenylbutyrate to 1.4/patient-year in the ASS treated in the earliest protocol (1980) with 250 mg/kg/day sodium benzoate alone.</w:t>
      </w:r>
    </w:p>
    <w:p w14:paraId="5F88B5BE" w14:textId="77777777" w:rsidR="00436B89" w:rsidRDefault="00436B89" w:rsidP="00436B89">
      <w:pPr>
        <w:ind w:left="720"/>
      </w:pPr>
      <w:r>
        <w:t xml:space="preserve">In OTC (Maestri 1996), patients receiving sodium phenylacetate or sodium phenylbutyrate had a lower frequency of hyperammonemic episodes than those receiving sodium benzoate alone. The transfer to therapy with sodium phenylbutyrate instead of sodium phenylacetate was also associated with a decreased frequency of hyperammonemic episodes. </w:t>
      </w:r>
    </w:p>
    <w:p w14:paraId="1AB128D8" w14:textId="77777777" w:rsidR="00436B89" w:rsidRDefault="00436B89" w:rsidP="00436B89">
      <w:pPr>
        <w:ind w:left="720"/>
      </w:pPr>
      <w:r>
        <w:t xml:space="preserve">The same finding had been observed in ASS deficient patients (Maestri 1995) where on average the 15 surviving patients had one episode/year (range 2-30). </w:t>
      </w:r>
    </w:p>
    <w:p w14:paraId="1978B2C0" w14:textId="77777777" w:rsidR="00436B89" w:rsidRDefault="00436B89" w:rsidP="00436B89">
      <w:pPr>
        <w:ind w:left="720"/>
      </w:pPr>
      <w:r>
        <w:t xml:space="preserve">A retrospective study performed in 9 OTC patients (age at diagnosis ranging from 6 days to 14 years) to evaluate the efficacy of sodium phenylbutyrate in long-term treatment has been conducted. They had previously been treated with sodium benzoate and low protein diet and were switched to sodium phenylbutyrate at 8.9 and 4.9 years of age (median) in males and females, respectively. Clinical and biochemical data were </w:t>
      </w:r>
      <w:r w:rsidR="00625EDD">
        <w:t>analysed</w:t>
      </w:r>
      <w:r>
        <w:t xml:space="preserve"> and the median follow-up duration was 26 months. During that time, there were no hyperammonemic episodes requiring hospitalization (Burlina 2001).</w:t>
      </w:r>
    </w:p>
    <w:p w14:paraId="466E1FC7" w14:textId="77777777" w:rsidR="00436B89" w:rsidRPr="001B6C4E" w:rsidRDefault="00436B89" w:rsidP="00436B89">
      <w:pPr>
        <w:pStyle w:val="Heading6"/>
        <w:ind w:firstLine="436"/>
      </w:pPr>
      <w:r w:rsidRPr="001B6C4E">
        <w:t>Cognitive development</w:t>
      </w:r>
    </w:p>
    <w:p w14:paraId="09C5FFB2" w14:textId="2990499A" w:rsidR="00436B89" w:rsidRDefault="00436B89" w:rsidP="00436B89">
      <w:pPr>
        <w:ind w:left="720"/>
      </w:pPr>
      <w:r>
        <w:t>Both acute and chronic hyperammonaemia result in alterations of the neurotransmitter system. These changes probably contribute to seizures, deterioration of intellectual function, decreased</w:t>
      </w:r>
      <w:r w:rsidRPr="001B6C4E">
        <w:t xml:space="preserve"> </w:t>
      </w:r>
      <w:r>
        <w:t>consciousness, and coma (Llansola 2007, Monfort 2009). Early identification and treatment of intercurrent hyperammonemic episodes is essential, both because treatment is more effective at lower ammonia levels and because neurologic outcome appears to be a function of duration of severe hyperammonemia and coma. In a study of 26 children with inborn errors of urea synthesis, 19/24 (79%) of the children surviving the first year had one or more developmental disabilities (Table 4</w:t>
      </w:r>
      <w:r w:rsidR="00F934C3">
        <w:t>2</w:t>
      </w:r>
      <w:r>
        <w:t>).</w:t>
      </w:r>
    </w:p>
    <w:p w14:paraId="0BEF0072" w14:textId="1F646C91" w:rsidR="00436B89" w:rsidRPr="008A5594" w:rsidRDefault="00436B89" w:rsidP="00436B89">
      <w:pPr>
        <w:pStyle w:val="Tabletitle"/>
      </w:pPr>
      <w:r>
        <w:rPr>
          <w:w w:val="105"/>
        </w:rPr>
        <w:t>Table</w:t>
      </w:r>
      <w:r>
        <w:rPr>
          <w:spacing w:val="-11"/>
          <w:w w:val="105"/>
        </w:rPr>
        <w:t xml:space="preserve"> 4</w:t>
      </w:r>
      <w:r w:rsidR="00F934C3">
        <w:rPr>
          <w:spacing w:val="-11"/>
          <w:w w:val="105"/>
        </w:rPr>
        <w:t>2</w:t>
      </w:r>
      <w:r>
        <w:rPr>
          <w:w w:val="105"/>
        </w:rPr>
        <w:t>:</w:t>
      </w:r>
      <w:r>
        <w:rPr>
          <w:spacing w:val="-12"/>
          <w:w w:val="105"/>
        </w:rPr>
        <w:t xml:space="preserve"> </w:t>
      </w:r>
      <w:r>
        <w:rPr>
          <w:w w:val="105"/>
        </w:rPr>
        <w:t>Neurological</w:t>
      </w:r>
      <w:r>
        <w:rPr>
          <w:spacing w:val="-12"/>
          <w:w w:val="105"/>
        </w:rPr>
        <w:t xml:space="preserve"> </w:t>
      </w:r>
      <w:r>
        <w:rPr>
          <w:w w:val="105"/>
        </w:rPr>
        <w:t>long-term</w:t>
      </w:r>
      <w:r>
        <w:rPr>
          <w:spacing w:val="-10"/>
          <w:w w:val="105"/>
        </w:rPr>
        <w:t xml:space="preserve"> </w:t>
      </w:r>
      <w:r>
        <w:rPr>
          <w:spacing w:val="1"/>
          <w:w w:val="105"/>
        </w:rPr>
        <w:t>outcome</w:t>
      </w:r>
      <w:r>
        <w:rPr>
          <w:spacing w:val="-11"/>
          <w:w w:val="105"/>
        </w:rPr>
        <w:t xml:space="preserve"> </w:t>
      </w:r>
      <w:r>
        <w:rPr>
          <w:w w:val="105"/>
        </w:rPr>
        <w:t>in</w:t>
      </w:r>
      <w:r>
        <w:rPr>
          <w:spacing w:val="-11"/>
          <w:w w:val="105"/>
        </w:rPr>
        <w:t xml:space="preserve"> </w:t>
      </w:r>
      <w:r>
        <w:rPr>
          <w:spacing w:val="1"/>
          <w:w w:val="105"/>
        </w:rPr>
        <w:t>UCD</w:t>
      </w:r>
    </w:p>
    <w:tbl>
      <w:tblPr>
        <w:tblStyle w:val="TableGrid"/>
        <w:tblW w:w="8789" w:type="dxa"/>
        <w:tblInd w:w="108" w:type="dxa"/>
        <w:tblLayout w:type="fixed"/>
        <w:tblLook w:val="0000" w:firstRow="0" w:lastRow="0" w:firstColumn="0" w:lastColumn="0" w:noHBand="0" w:noVBand="0"/>
      </w:tblPr>
      <w:tblGrid>
        <w:gridCol w:w="1134"/>
        <w:gridCol w:w="993"/>
        <w:gridCol w:w="1134"/>
        <w:gridCol w:w="1701"/>
        <w:gridCol w:w="1417"/>
        <w:gridCol w:w="2410"/>
      </w:tblGrid>
      <w:tr w:rsidR="00436B89" w:rsidRPr="004F7947" w14:paraId="57255A03" w14:textId="77777777" w:rsidTr="00F21AE2">
        <w:trPr>
          <w:trHeight w:hRule="exact" w:val="846"/>
          <w:tblHeader/>
        </w:trPr>
        <w:tc>
          <w:tcPr>
            <w:tcW w:w="1134" w:type="dxa"/>
            <w:shd w:val="clear" w:color="auto" w:fill="0070C0"/>
          </w:tcPr>
          <w:p w14:paraId="6AF0D267" w14:textId="77777777" w:rsidR="00436B89" w:rsidRPr="004F7947" w:rsidRDefault="00436B89" w:rsidP="00436B89">
            <w:pPr>
              <w:jc w:val="center"/>
              <w:rPr>
                <w:b/>
                <w:color w:val="FFFFFF" w:themeColor="background1"/>
                <w:sz w:val="20"/>
                <w:szCs w:val="20"/>
              </w:rPr>
            </w:pPr>
            <w:r w:rsidRPr="004F7947">
              <w:rPr>
                <w:b/>
                <w:color w:val="FFFFFF" w:themeColor="background1"/>
                <w:sz w:val="20"/>
                <w:szCs w:val="20"/>
              </w:rPr>
              <w:t>Deficient</w:t>
            </w:r>
            <w:r w:rsidRPr="004F7947">
              <w:rPr>
                <w:b/>
                <w:color w:val="FFFFFF" w:themeColor="background1"/>
                <w:spacing w:val="26"/>
                <w:w w:val="103"/>
                <w:sz w:val="20"/>
                <w:szCs w:val="20"/>
              </w:rPr>
              <w:t xml:space="preserve"> </w:t>
            </w:r>
            <w:r w:rsidRPr="004F7947">
              <w:rPr>
                <w:b/>
                <w:color w:val="FFFFFF" w:themeColor="background1"/>
                <w:spacing w:val="1"/>
                <w:w w:val="105"/>
                <w:sz w:val="20"/>
                <w:szCs w:val="20"/>
              </w:rPr>
              <w:t>enzy</w:t>
            </w:r>
            <w:r w:rsidRPr="004F7947">
              <w:rPr>
                <w:b/>
                <w:color w:val="FFFFFF" w:themeColor="background1"/>
                <w:spacing w:val="2"/>
                <w:w w:val="105"/>
                <w:sz w:val="20"/>
                <w:szCs w:val="20"/>
              </w:rPr>
              <w:t>m</w:t>
            </w:r>
            <w:r w:rsidRPr="004F7947">
              <w:rPr>
                <w:b/>
                <w:color w:val="FFFFFF" w:themeColor="background1"/>
                <w:w w:val="105"/>
                <w:sz w:val="20"/>
                <w:szCs w:val="20"/>
              </w:rPr>
              <w:t>e</w:t>
            </w:r>
          </w:p>
        </w:tc>
        <w:tc>
          <w:tcPr>
            <w:tcW w:w="993" w:type="dxa"/>
            <w:shd w:val="clear" w:color="auto" w:fill="0070C0"/>
          </w:tcPr>
          <w:p w14:paraId="33C4B414" w14:textId="77777777" w:rsidR="00436B89" w:rsidRPr="004F7947" w:rsidRDefault="00436B89" w:rsidP="00436B89">
            <w:pPr>
              <w:jc w:val="center"/>
              <w:rPr>
                <w:b/>
                <w:color w:val="FFFFFF" w:themeColor="background1"/>
                <w:sz w:val="20"/>
                <w:szCs w:val="20"/>
              </w:rPr>
            </w:pPr>
            <w:r w:rsidRPr="004F7947">
              <w:rPr>
                <w:b/>
                <w:color w:val="FFFFFF" w:themeColor="background1"/>
                <w:w w:val="105"/>
                <w:sz w:val="20"/>
                <w:szCs w:val="20"/>
              </w:rPr>
              <w:t>N</w:t>
            </w:r>
            <w:r w:rsidRPr="004F7947">
              <w:rPr>
                <w:b/>
                <w:color w:val="FFFFFF" w:themeColor="background1"/>
                <w:spacing w:val="-5"/>
                <w:w w:val="105"/>
                <w:sz w:val="20"/>
                <w:szCs w:val="20"/>
              </w:rPr>
              <w:t xml:space="preserve"> </w:t>
            </w:r>
            <w:r w:rsidRPr="004F7947">
              <w:rPr>
                <w:b/>
                <w:color w:val="FFFFFF" w:themeColor="background1"/>
                <w:w w:val="105"/>
                <w:sz w:val="20"/>
                <w:szCs w:val="20"/>
              </w:rPr>
              <w:t>of</w:t>
            </w:r>
            <w:r w:rsidRPr="004F7947">
              <w:rPr>
                <w:b/>
                <w:color w:val="FFFFFF" w:themeColor="background1"/>
                <w:spacing w:val="21"/>
                <w:w w:val="103"/>
                <w:sz w:val="20"/>
                <w:szCs w:val="20"/>
              </w:rPr>
              <w:t xml:space="preserve"> </w:t>
            </w:r>
            <w:r w:rsidRPr="004F7947">
              <w:rPr>
                <w:b/>
                <w:color w:val="FFFFFF" w:themeColor="background1"/>
                <w:sz w:val="20"/>
                <w:szCs w:val="20"/>
              </w:rPr>
              <w:t>patients</w:t>
            </w:r>
          </w:p>
        </w:tc>
        <w:tc>
          <w:tcPr>
            <w:tcW w:w="1134" w:type="dxa"/>
            <w:shd w:val="clear" w:color="auto" w:fill="0070C0"/>
          </w:tcPr>
          <w:p w14:paraId="1C3D2415" w14:textId="77777777" w:rsidR="00436B89" w:rsidRPr="004F7947" w:rsidRDefault="00436B89" w:rsidP="00436B89">
            <w:pPr>
              <w:jc w:val="center"/>
              <w:rPr>
                <w:b/>
                <w:color w:val="FFFFFF" w:themeColor="background1"/>
                <w:sz w:val="20"/>
                <w:szCs w:val="20"/>
              </w:rPr>
            </w:pPr>
            <w:r w:rsidRPr="004F7947">
              <w:rPr>
                <w:b/>
                <w:color w:val="FFFFFF" w:themeColor="background1"/>
                <w:spacing w:val="2"/>
                <w:w w:val="105"/>
                <w:sz w:val="20"/>
                <w:szCs w:val="20"/>
              </w:rPr>
              <w:t>A</w:t>
            </w:r>
            <w:r w:rsidRPr="004F7947">
              <w:rPr>
                <w:b/>
                <w:color w:val="FFFFFF" w:themeColor="background1"/>
                <w:spacing w:val="1"/>
                <w:w w:val="105"/>
                <w:sz w:val="20"/>
                <w:szCs w:val="20"/>
              </w:rPr>
              <w:t>g</w:t>
            </w:r>
            <w:r w:rsidRPr="004F7947">
              <w:rPr>
                <w:b/>
                <w:color w:val="FFFFFF" w:themeColor="background1"/>
                <w:w w:val="105"/>
                <w:sz w:val="20"/>
                <w:szCs w:val="20"/>
              </w:rPr>
              <w:t>e</w:t>
            </w:r>
            <w:r w:rsidRPr="004F7947">
              <w:rPr>
                <w:b/>
                <w:color w:val="FFFFFF" w:themeColor="background1"/>
                <w:w w:val="103"/>
                <w:sz w:val="20"/>
                <w:szCs w:val="20"/>
              </w:rPr>
              <w:t xml:space="preserve"> </w:t>
            </w:r>
            <w:r w:rsidRPr="004F7947">
              <w:rPr>
                <w:b/>
                <w:color w:val="FFFFFF" w:themeColor="background1"/>
                <w:sz w:val="20"/>
                <w:szCs w:val="20"/>
              </w:rPr>
              <w:t>(</w:t>
            </w:r>
            <w:r w:rsidRPr="004F7947">
              <w:rPr>
                <w:b/>
                <w:color w:val="FFFFFF" w:themeColor="background1"/>
                <w:spacing w:val="1"/>
                <w:sz w:val="20"/>
                <w:szCs w:val="20"/>
              </w:rPr>
              <w:t>m</w:t>
            </w:r>
            <w:r w:rsidRPr="004F7947">
              <w:rPr>
                <w:b/>
                <w:color w:val="FFFFFF" w:themeColor="background1"/>
                <w:sz w:val="20"/>
                <w:szCs w:val="20"/>
              </w:rPr>
              <w:t>onths)</w:t>
            </w:r>
          </w:p>
        </w:tc>
        <w:tc>
          <w:tcPr>
            <w:tcW w:w="1701" w:type="dxa"/>
            <w:shd w:val="clear" w:color="auto" w:fill="0070C0"/>
          </w:tcPr>
          <w:p w14:paraId="709DF1AC" w14:textId="77777777" w:rsidR="00436B89" w:rsidRPr="004F7947" w:rsidRDefault="00436B89" w:rsidP="00436B89">
            <w:pPr>
              <w:jc w:val="center"/>
              <w:rPr>
                <w:b/>
                <w:color w:val="FFFFFF" w:themeColor="background1"/>
                <w:sz w:val="20"/>
                <w:szCs w:val="20"/>
              </w:rPr>
            </w:pPr>
            <w:r w:rsidRPr="004F7947">
              <w:rPr>
                <w:b/>
                <w:color w:val="FFFFFF" w:themeColor="background1"/>
                <w:w w:val="105"/>
                <w:sz w:val="20"/>
                <w:szCs w:val="20"/>
              </w:rPr>
              <w:t>Duration</w:t>
            </w:r>
          </w:p>
          <w:p w14:paraId="764D4E97" w14:textId="77777777" w:rsidR="00436B89" w:rsidRPr="004F7947" w:rsidRDefault="00436B89" w:rsidP="00436B89">
            <w:pPr>
              <w:jc w:val="center"/>
              <w:rPr>
                <w:b/>
                <w:color w:val="FFFFFF" w:themeColor="background1"/>
                <w:sz w:val="20"/>
                <w:szCs w:val="20"/>
              </w:rPr>
            </w:pPr>
            <w:r w:rsidRPr="004F7947">
              <w:rPr>
                <w:b/>
                <w:color w:val="FFFFFF" w:themeColor="background1"/>
                <w:w w:val="105"/>
                <w:sz w:val="20"/>
                <w:szCs w:val="20"/>
              </w:rPr>
              <w:t>of</w:t>
            </w:r>
            <w:r w:rsidRPr="004F7947">
              <w:rPr>
                <w:b/>
                <w:color w:val="FFFFFF" w:themeColor="background1"/>
                <w:spacing w:val="-11"/>
                <w:w w:val="105"/>
                <w:sz w:val="20"/>
                <w:szCs w:val="20"/>
              </w:rPr>
              <w:t xml:space="preserve"> </w:t>
            </w:r>
            <w:r w:rsidRPr="004F7947">
              <w:rPr>
                <w:b/>
                <w:color w:val="FFFFFF" w:themeColor="background1"/>
                <w:spacing w:val="1"/>
                <w:w w:val="105"/>
                <w:sz w:val="20"/>
                <w:szCs w:val="20"/>
              </w:rPr>
              <w:t>coma</w:t>
            </w:r>
            <w:r w:rsidRPr="004F7947">
              <w:rPr>
                <w:b/>
                <w:color w:val="FFFFFF" w:themeColor="background1"/>
                <w:spacing w:val="-9"/>
                <w:w w:val="105"/>
                <w:sz w:val="20"/>
                <w:szCs w:val="20"/>
              </w:rPr>
              <w:t xml:space="preserve"> </w:t>
            </w:r>
            <w:r w:rsidRPr="004F7947">
              <w:rPr>
                <w:b/>
                <w:color w:val="FFFFFF" w:themeColor="background1"/>
                <w:w w:val="105"/>
                <w:sz w:val="20"/>
                <w:szCs w:val="20"/>
              </w:rPr>
              <w:t>(days)</w:t>
            </w:r>
          </w:p>
        </w:tc>
        <w:tc>
          <w:tcPr>
            <w:tcW w:w="1417" w:type="dxa"/>
            <w:shd w:val="clear" w:color="auto" w:fill="0070C0"/>
          </w:tcPr>
          <w:p w14:paraId="0ECCE17B" w14:textId="77777777" w:rsidR="00436B89" w:rsidRPr="004F7947" w:rsidRDefault="00436B89" w:rsidP="00436B89">
            <w:pPr>
              <w:jc w:val="center"/>
              <w:rPr>
                <w:b/>
                <w:color w:val="FFFFFF" w:themeColor="background1"/>
                <w:sz w:val="20"/>
                <w:szCs w:val="20"/>
              </w:rPr>
            </w:pPr>
            <w:r w:rsidRPr="004F7947">
              <w:rPr>
                <w:b/>
                <w:color w:val="FFFFFF" w:themeColor="background1"/>
                <w:w w:val="105"/>
                <w:sz w:val="20"/>
                <w:szCs w:val="20"/>
              </w:rPr>
              <w:t>IQ</w:t>
            </w:r>
            <w:r w:rsidRPr="004F7947">
              <w:rPr>
                <w:b/>
                <w:color w:val="FFFFFF" w:themeColor="background1"/>
                <w:spacing w:val="-5"/>
                <w:w w:val="105"/>
                <w:sz w:val="20"/>
                <w:szCs w:val="20"/>
              </w:rPr>
              <w:t xml:space="preserve"> </w:t>
            </w:r>
            <w:r w:rsidRPr="004F7947">
              <w:rPr>
                <w:b/>
                <w:color w:val="FFFFFF" w:themeColor="background1"/>
                <w:w w:val="105"/>
                <w:sz w:val="20"/>
                <w:szCs w:val="20"/>
              </w:rPr>
              <w:t>at</w:t>
            </w:r>
            <w:r w:rsidRPr="004F7947">
              <w:rPr>
                <w:b/>
                <w:color w:val="FFFFFF" w:themeColor="background1"/>
                <w:spacing w:val="22"/>
                <w:w w:val="103"/>
                <w:sz w:val="20"/>
                <w:szCs w:val="20"/>
              </w:rPr>
              <w:t xml:space="preserve"> </w:t>
            </w:r>
            <w:r w:rsidRPr="004F7947">
              <w:rPr>
                <w:b/>
                <w:color w:val="FFFFFF" w:themeColor="background1"/>
                <w:w w:val="105"/>
                <w:sz w:val="20"/>
                <w:szCs w:val="20"/>
              </w:rPr>
              <w:t>12</w:t>
            </w:r>
            <w:r w:rsidRPr="004F7947">
              <w:rPr>
                <w:b/>
                <w:color w:val="FFFFFF" w:themeColor="background1"/>
                <w:spacing w:val="-15"/>
                <w:w w:val="105"/>
                <w:sz w:val="20"/>
                <w:szCs w:val="20"/>
              </w:rPr>
              <w:t xml:space="preserve"> </w:t>
            </w:r>
            <w:r w:rsidRPr="004F7947">
              <w:rPr>
                <w:b/>
                <w:color w:val="FFFFFF" w:themeColor="background1"/>
                <w:spacing w:val="1"/>
                <w:w w:val="105"/>
                <w:sz w:val="20"/>
                <w:szCs w:val="20"/>
              </w:rPr>
              <w:t>months</w:t>
            </w:r>
          </w:p>
        </w:tc>
        <w:tc>
          <w:tcPr>
            <w:tcW w:w="2410" w:type="dxa"/>
            <w:shd w:val="clear" w:color="auto" w:fill="0070C0"/>
          </w:tcPr>
          <w:p w14:paraId="64F2F171" w14:textId="77777777" w:rsidR="00436B89" w:rsidRPr="004F7947" w:rsidRDefault="00436B89" w:rsidP="00436B89">
            <w:pPr>
              <w:jc w:val="center"/>
              <w:rPr>
                <w:b/>
                <w:color w:val="FFFFFF" w:themeColor="background1"/>
                <w:sz w:val="20"/>
                <w:szCs w:val="20"/>
              </w:rPr>
            </w:pPr>
            <w:r w:rsidRPr="004F7947">
              <w:rPr>
                <w:b/>
                <w:color w:val="FFFFFF" w:themeColor="background1"/>
                <w:w w:val="105"/>
                <w:sz w:val="20"/>
                <w:szCs w:val="20"/>
              </w:rPr>
              <w:t>Developmental</w:t>
            </w:r>
            <w:r w:rsidRPr="004F7947">
              <w:rPr>
                <w:b/>
                <w:color w:val="FFFFFF" w:themeColor="background1"/>
                <w:spacing w:val="24"/>
                <w:w w:val="103"/>
                <w:sz w:val="20"/>
                <w:szCs w:val="20"/>
              </w:rPr>
              <w:t xml:space="preserve"> </w:t>
            </w:r>
            <w:r w:rsidRPr="004F7947">
              <w:rPr>
                <w:b/>
                <w:color w:val="FFFFFF" w:themeColor="background1"/>
                <w:w w:val="105"/>
                <w:sz w:val="20"/>
                <w:szCs w:val="20"/>
              </w:rPr>
              <w:t>disabilities</w:t>
            </w:r>
            <w:r w:rsidRPr="004F7947">
              <w:rPr>
                <w:b/>
                <w:color w:val="FFFFFF" w:themeColor="background1"/>
                <w:spacing w:val="-25"/>
                <w:w w:val="105"/>
                <w:sz w:val="20"/>
                <w:szCs w:val="20"/>
              </w:rPr>
              <w:t xml:space="preserve"> </w:t>
            </w:r>
            <w:r w:rsidRPr="004F7947">
              <w:rPr>
                <w:b/>
                <w:color w:val="FFFFFF" w:themeColor="background1"/>
                <w:spacing w:val="1"/>
                <w:w w:val="105"/>
                <w:sz w:val="20"/>
                <w:szCs w:val="20"/>
              </w:rPr>
              <w:t>(%)*</w:t>
            </w:r>
          </w:p>
        </w:tc>
      </w:tr>
      <w:tr w:rsidR="00436B89" w14:paraId="1BDFBBE2" w14:textId="77777777" w:rsidTr="00436B89">
        <w:trPr>
          <w:trHeight w:hRule="exact" w:val="560"/>
        </w:trPr>
        <w:tc>
          <w:tcPr>
            <w:tcW w:w="1134" w:type="dxa"/>
          </w:tcPr>
          <w:p w14:paraId="4EFAF663" w14:textId="77777777" w:rsidR="00436B89" w:rsidRPr="004F7947" w:rsidRDefault="00436B89" w:rsidP="00436B89">
            <w:pPr>
              <w:jc w:val="center"/>
              <w:rPr>
                <w:sz w:val="20"/>
                <w:szCs w:val="20"/>
              </w:rPr>
            </w:pPr>
            <w:r w:rsidRPr="004F7947">
              <w:rPr>
                <w:spacing w:val="2"/>
                <w:w w:val="105"/>
                <w:sz w:val="20"/>
                <w:szCs w:val="20"/>
              </w:rPr>
              <w:t>C</w:t>
            </w:r>
            <w:r w:rsidRPr="004F7947">
              <w:rPr>
                <w:spacing w:val="1"/>
                <w:w w:val="105"/>
                <w:sz w:val="20"/>
                <w:szCs w:val="20"/>
              </w:rPr>
              <w:t>PS-</w:t>
            </w:r>
            <w:r w:rsidRPr="004F7947">
              <w:rPr>
                <w:w w:val="105"/>
                <w:sz w:val="20"/>
                <w:szCs w:val="20"/>
              </w:rPr>
              <w:t>I</w:t>
            </w:r>
          </w:p>
        </w:tc>
        <w:tc>
          <w:tcPr>
            <w:tcW w:w="993" w:type="dxa"/>
          </w:tcPr>
          <w:p w14:paraId="0CCB10E1" w14:textId="77777777" w:rsidR="00436B89" w:rsidRPr="004F7947" w:rsidRDefault="00436B89" w:rsidP="00436B89">
            <w:pPr>
              <w:jc w:val="center"/>
              <w:rPr>
                <w:sz w:val="20"/>
                <w:szCs w:val="20"/>
              </w:rPr>
            </w:pPr>
            <w:r w:rsidRPr="004F7947">
              <w:rPr>
                <w:w w:val="105"/>
                <w:sz w:val="20"/>
                <w:szCs w:val="20"/>
              </w:rPr>
              <w:t>3</w:t>
            </w:r>
          </w:p>
        </w:tc>
        <w:tc>
          <w:tcPr>
            <w:tcW w:w="1134" w:type="dxa"/>
          </w:tcPr>
          <w:p w14:paraId="65534434" w14:textId="77777777" w:rsidR="00436B89" w:rsidRPr="004F7947" w:rsidRDefault="00436B89" w:rsidP="00436B89">
            <w:pPr>
              <w:jc w:val="center"/>
              <w:rPr>
                <w:sz w:val="20"/>
                <w:szCs w:val="20"/>
              </w:rPr>
            </w:pPr>
            <w:r w:rsidRPr="004F7947">
              <w:rPr>
                <w:w w:val="105"/>
                <w:sz w:val="20"/>
                <w:szCs w:val="20"/>
              </w:rPr>
              <w:t>19±5</w:t>
            </w:r>
          </w:p>
        </w:tc>
        <w:tc>
          <w:tcPr>
            <w:tcW w:w="1701" w:type="dxa"/>
          </w:tcPr>
          <w:p w14:paraId="466C6F22" w14:textId="77777777" w:rsidR="00436B89" w:rsidRPr="004F7947" w:rsidRDefault="00436B89" w:rsidP="00436B89">
            <w:pPr>
              <w:jc w:val="center"/>
              <w:rPr>
                <w:sz w:val="20"/>
                <w:szCs w:val="20"/>
              </w:rPr>
            </w:pPr>
            <w:r w:rsidRPr="004F7947">
              <w:rPr>
                <w:w w:val="105"/>
                <w:sz w:val="20"/>
                <w:szCs w:val="20"/>
              </w:rPr>
              <w:t>12±9</w:t>
            </w:r>
          </w:p>
        </w:tc>
        <w:tc>
          <w:tcPr>
            <w:tcW w:w="1417" w:type="dxa"/>
          </w:tcPr>
          <w:p w14:paraId="48F048F0" w14:textId="77777777" w:rsidR="00436B89" w:rsidRPr="004F7947" w:rsidRDefault="00436B89" w:rsidP="00436B89">
            <w:pPr>
              <w:jc w:val="center"/>
              <w:rPr>
                <w:sz w:val="20"/>
                <w:szCs w:val="20"/>
              </w:rPr>
            </w:pPr>
            <w:r w:rsidRPr="004F7947">
              <w:rPr>
                <w:spacing w:val="1"/>
                <w:w w:val="105"/>
                <w:sz w:val="20"/>
                <w:szCs w:val="20"/>
              </w:rPr>
              <w:t>58±24</w:t>
            </w:r>
          </w:p>
        </w:tc>
        <w:tc>
          <w:tcPr>
            <w:tcW w:w="2410" w:type="dxa"/>
          </w:tcPr>
          <w:p w14:paraId="452AF402" w14:textId="77777777" w:rsidR="00436B89" w:rsidRPr="004F7947" w:rsidRDefault="00436B89" w:rsidP="00436B89">
            <w:pPr>
              <w:jc w:val="center"/>
              <w:rPr>
                <w:sz w:val="20"/>
                <w:szCs w:val="20"/>
              </w:rPr>
            </w:pPr>
            <w:r w:rsidRPr="004F7947">
              <w:rPr>
                <w:spacing w:val="1"/>
                <w:w w:val="105"/>
                <w:sz w:val="20"/>
                <w:szCs w:val="20"/>
              </w:rPr>
              <w:t>100</w:t>
            </w:r>
          </w:p>
        </w:tc>
      </w:tr>
      <w:tr w:rsidR="00436B89" w14:paraId="3481B6D6" w14:textId="77777777" w:rsidTr="00436B89">
        <w:trPr>
          <w:trHeight w:hRule="exact" w:val="426"/>
        </w:trPr>
        <w:tc>
          <w:tcPr>
            <w:tcW w:w="1134" w:type="dxa"/>
          </w:tcPr>
          <w:p w14:paraId="713787B1" w14:textId="77777777" w:rsidR="00436B89" w:rsidRPr="004F7947" w:rsidRDefault="00436B89" w:rsidP="00436B89">
            <w:pPr>
              <w:jc w:val="center"/>
              <w:rPr>
                <w:sz w:val="20"/>
                <w:szCs w:val="20"/>
              </w:rPr>
            </w:pPr>
            <w:r w:rsidRPr="004F7947">
              <w:rPr>
                <w:spacing w:val="2"/>
                <w:w w:val="105"/>
                <w:sz w:val="20"/>
                <w:szCs w:val="20"/>
              </w:rPr>
              <w:t>O</w:t>
            </w:r>
            <w:r w:rsidRPr="004F7947">
              <w:rPr>
                <w:spacing w:val="1"/>
                <w:w w:val="105"/>
                <w:sz w:val="20"/>
                <w:szCs w:val="20"/>
              </w:rPr>
              <w:t>T</w:t>
            </w:r>
            <w:r w:rsidRPr="004F7947">
              <w:rPr>
                <w:w w:val="105"/>
                <w:sz w:val="20"/>
                <w:szCs w:val="20"/>
              </w:rPr>
              <w:t>C</w:t>
            </w:r>
          </w:p>
        </w:tc>
        <w:tc>
          <w:tcPr>
            <w:tcW w:w="993" w:type="dxa"/>
          </w:tcPr>
          <w:p w14:paraId="7A5D9326" w14:textId="77777777" w:rsidR="00436B89" w:rsidRPr="004F7947" w:rsidRDefault="00436B89" w:rsidP="00436B89">
            <w:pPr>
              <w:jc w:val="center"/>
              <w:rPr>
                <w:sz w:val="20"/>
                <w:szCs w:val="20"/>
              </w:rPr>
            </w:pPr>
            <w:r w:rsidRPr="004F7947">
              <w:rPr>
                <w:w w:val="105"/>
                <w:sz w:val="20"/>
                <w:szCs w:val="20"/>
              </w:rPr>
              <w:t>5</w:t>
            </w:r>
          </w:p>
        </w:tc>
        <w:tc>
          <w:tcPr>
            <w:tcW w:w="1134" w:type="dxa"/>
          </w:tcPr>
          <w:p w14:paraId="72E310C3" w14:textId="77777777" w:rsidR="00436B89" w:rsidRPr="004F7947" w:rsidRDefault="00436B89" w:rsidP="00436B89">
            <w:pPr>
              <w:jc w:val="center"/>
              <w:rPr>
                <w:sz w:val="20"/>
                <w:szCs w:val="20"/>
              </w:rPr>
            </w:pPr>
            <w:r w:rsidRPr="004F7947">
              <w:rPr>
                <w:w w:val="105"/>
                <w:sz w:val="20"/>
                <w:szCs w:val="20"/>
              </w:rPr>
              <w:t>21±4</w:t>
            </w:r>
          </w:p>
        </w:tc>
        <w:tc>
          <w:tcPr>
            <w:tcW w:w="1701" w:type="dxa"/>
          </w:tcPr>
          <w:p w14:paraId="0C0701B4" w14:textId="77777777" w:rsidR="00436B89" w:rsidRPr="004F7947" w:rsidRDefault="00436B89" w:rsidP="00436B89">
            <w:pPr>
              <w:jc w:val="center"/>
              <w:rPr>
                <w:sz w:val="20"/>
                <w:szCs w:val="20"/>
              </w:rPr>
            </w:pPr>
            <w:r w:rsidRPr="004F7947">
              <w:rPr>
                <w:w w:val="105"/>
                <w:sz w:val="20"/>
                <w:szCs w:val="20"/>
              </w:rPr>
              <w:t>3±1</w:t>
            </w:r>
          </w:p>
        </w:tc>
        <w:tc>
          <w:tcPr>
            <w:tcW w:w="1417" w:type="dxa"/>
          </w:tcPr>
          <w:p w14:paraId="03D9096C" w14:textId="77777777" w:rsidR="00436B89" w:rsidRPr="004F7947" w:rsidRDefault="00436B89" w:rsidP="00436B89">
            <w:pPr>
              <w:jc w:val="center"/>
              <w:rPr>
                <w:sz w:val="20"/>
                <w:szCs w:val="20"/>
              </w:rPr>
            </w:pPr>
            <w:r w:rsidRPr="004F7947">
              <w:rPr>
                <w:spacing w:val="1"/>
                <w:w w:val="105"/>
                <w:sz w:val="20"/>
                <w:szCs w:val="20"/>
              </w:rPr>
              <w:t>70±18</w:t>
            </w:r>
          </w:p>
        </w:tc>
        <w:tc>
          <w:tcPr>
            <w:tcW w:w="2410" w:type="dxa"/>
          </w:tcPr>
          <w:p w14:paraId="384B1C19" w14:textId="77777777" w:rsidR="00436B89" w:rsidRPr="004F7947" w:rsidRDefault="00436B89" w:rsidP="00436B89">
            <w:pPr>
              <w:jc w:val="center"/>
              <w:rPr>
                <w:sz w:val="20"/>
                <w:szCs w:val="20"/>
              </w:rPr>
            </w:pPr>
            <w:r w:rsidRPr="004F7947">
              <w:rPr>
                <w:spacing w:val="1"/>
                <w:w w:val="105"/>
                <w:sz w:val="20"/>
                <w:szCs w:val="20"/>
              </w:rPr>
              <w:t>40</w:t>
            </w:r>
          </w:p>
        </w:tc>
      </w:tr>
      <w:tr w:rsidR="00436B89" w14:paraId="5D780297" w14:textId="77777777" w:rsidTr="00436B89">
        <w:trPr>
          <w:trHeight w:hRule="exact" w:val="574"/>
        </w:trPr>
        <w:tc>
          <w:tcPr>
            <w:tcW w:w="1134" w:type="dxa"/>
          </w:tcPr>
          <w:p w14:paraId="6F4FFBB8" w14:textId="77777777" w:rsidR="00436B89" w:rsidRPr="004F7947" w:rsidRDefault="00436B89" w:rsidP="00436B89">
            <w:pPr>
              <w:jc w:val="center"/>
              <w:rPr>
                <w:sz w:val="20"/>
                <w:szCs w:val="20"/>
              </w:rPr>
            </w:pPr>
            <w:r w:rsidRPr="004F7947">
              <w:rPr>
                <w:spacing w:val="2"/>
                <w:w w:val="105"/>
                <w:sz w:val="20"/>
                <w:szCs w:val="20"/>
              </w:rPr>
              <w:t>A</w:t>
            </w:r>
            <w:r w:rsidRPr="004F7947">
              <w:rPr>
                <w:spacing w:val="1"/>
                <w:w w:val="105"/>
                <w:sz w:val="20"/>
                <w:szCs w:val="20"/>
              </w:rPr>
              <w:t>S</w:t>
            </w:r>
            <w:r w:rsidRPr="004F7947">
              <w:rPr>
                <w:w w:val="105"/>
                <w:sz w:val="20"/>
                <w:szCs w:val="20"/>
              </w:rPr>
              <w:t>S</w:t>
            </w:r>
          </w:p>
        </w:tc>
        <w:tc>
          <w:tcPr>
            <w:tcW w:w="993" w:type="dxa"/>
          </w:tcPr>
          <w:p w14:paraId="6A78A2B9" w14:textId="77777777" w:rsidR="00436B89" w:rsidRPr="004F7947" w:rsidRDefault="00436B89" w:rsidP="00436B89">
            <w:pPr>
              <w:jc w:val="center"/>
              <w:rPr>
                <w:sz w:val="20"/>
                <w:szCs w:val="20"/>
              </w:rPr>
            </w:pPr>
            <w:r w:rsidRPr="004F7947">
              <w:rPr>
                <w:w w:val="105"/>
                <w:sz w:val="20"/>
                <w:szCs w:val="20"/>
              </w:rPr>
              <w:t>8</w:t>
            </w:r>
          </w:p>
        </w:tc>
        <w:tc>
          <w:tcPr>
            <w:tcW w:w="1134" w:type="dxa"/>
          </w:tcPr>
          <w:p w14:paraId="31078E2A" w14:textId="77777777" w:rsidR="00436B89" w:rsidRPr="004F7947" w:rsidRDefault="00436B89" w:rsidP="00436B89">
            <w:pPr>
              <w:jc w:val="center"/>
              <w:rPr>
                <w:sz w:val="20"/>
                <w:szCs w:val="20"/>
              </w:rPr>
            </w:pPr>
            <w:r w:rsidRPr="004F7947">
              <w:rPr>
                <w:w w:val="105"/>
                <w:sz w:val="20"/>
                <w:szCs w:val="20"/>
              </w:rPr>
              <w:t>30±4</w:t>
            </w:r>
          </w:p>
        </w:tc>
        <w:tc>
          <w:tcPr>
            <w:tcW w:w="1701" w:type="dxa"/>
          </w:tcPr>
          <w:p w14:paraId="09E5BDDF" w14:textId="77777777" w:rsidR="00436B89" w:rsidRPr="004F7947" w:rsidRDefault="00436B89" w:rsidP="00436B89">
            <w:pPr>
              <w:jc w:val="center"/>
              <w:rPr>
                <w:sz w:val="20"/>
                <w:szCs w:val="20"/>
              </w:rPr>
            </w:pPr>
            <w:r w:rsidRPr="004F7947">
              <w:rPr>
                <w:w w:val="105"/>
                <w:sz w:val="20"/>
                <w:szCs w:val="20"/>
              </w:rPr>
              <w:t>5±1</w:t>
            </w:r>
          </w:p>
        </w:tc>
        <w:tc>
          <w:tcPr>
            <w:tcW w:w="1417" w:type="dxa"/>
          </w:tcPr>
          <w:p w14:paraId="4DB1DAF8" w14:textId="77777777" w:rsidR="00436B89" w:rsidRPr="004F7947" w:rsidRDefault="00436B89" w:rsidP="00436B89">
            <w:pPr>
              <w:jc w:val="center"/>
              <w:rPr>
                <w:sz w:val="20"/>
                <w:szCs w:val="20"/>
              </w:rPr>
            </w:pPr>
            <w:r w:rsidRPr="004F7947">
              <w:rPr>
                <w:spacing w:val="1"/>
                <w:w w:val="105"/>
                <w:sz w:val="20"/>
                <w:szCs w:val="20"/>
              </w:rPr>
              <w:t>44±10</w:t>
            </w:r>
          </w:p>
        </w:tc>
        <w:tc>
          <w:tcPr>
            <w:tcW w:w="2410" w:type="dxa"/>
          </w:tcPr>
          <w:p w14:paraId="3B2A3675" w14:textId="77777777" w:rsidR="00436B89" w:rsidRPr="004F7947" w:rsidRDefault="00436B89" w:rsidP="00436B89">
            <w:pPr>
              <w:jc w:val="center"/>
              <w:rPr>
                <w:sz w:val="20"/>
                <w:szCs w:val="20"/>
              </w:rPr>
            </w:pPr>
            <w:r w:rsidRPr="004F7947">
              <w:rPr>
                <w:spacing w:val="1"/>
                <w:w w:val="105"/>
                <w:sz w:val="20"/>
                <w:szCs w:val="20"/>
              </w:rPr>
              <w:t>88</w:t>
            </w:r>
          </w:p>
        </w:tc>
      </w:tr>
      <w:tr w:rsidR="00436B89" w14:paraId="1CB9A052" w14:textId="77777777" w:rsidTr="00436B89">
        <w:trPr>
          <w:trHeight w:hRule="exact" w:val="554"/>
        </w:trPr>
        <w:tc>
          <w:tcPr>
            <w:tcW w:w="1134" w:type="dxa"/>
          </w:tcPr>
          <w:p w14:paraId="60083DC2" w14:textId="77777777" w:rsidR="00436B89" w:rsidRPr="004F7947" w:rsidRDefault="00436B89" w:rsidP="00436B89">
            <w:pPr>
              <w:jc w:val="center"/>
              <w:rPr>
                <w:sz w:val="20"/>
                <w:szCs w:val="20"/>
              </w:rPr>
            </w:pPr>
            <w:r w:rsidRPr="004F7947">
              <w:rPr>
                <w:spacing w:val="2"/>
                <w:w w:val="105"/>
                <w:sz w:val="20"/>
                <w:szCs w:val="20"/>
              </w:rPr>
              <w:t>A</w:t>
            </w:r>
            <w:r w:rsidRPr="004F7947">
              <w:rPr>
                <w:spacing w:val="1"/>
                <w:w w:val="105"/>
                <w:sz w:val="20"/>
                <w:szCs w:val="20"/>
              </w:rPr>
              <w:t>S</w:t>
            </w:r>
            <w:r w:rsidRPr="004F7947">
              <w:rPr>
                <w:w w:val="105"/>
                <w:sz w:val="20"/>
                <w:szCs w:val="20"/>
              </w:rPr>
              <w:t>L</w:t>
            </w:r>
          </w:p>
        </w:tc>
        <w:tc>
          <w:tcPr>
            <w:tcW w:w="993" w:type="dxa"/>
          </w:tcPr>
          <w:p w14:paraId="373632B0" w14:textId="77777777" w:rsidR="00436B89" w:rsidRPr="004F7947" w:rsidRDefault="00436B89" w:rsidP="00436B89">
            <w:pPr>
              <w:jc w:val="center"/>
              <w:rPr>
                <w:sz w:val="20"/>
                <w:szCs w:val="20"/>
              </w:rPr>
            </w:pPr>
            <w:r w:rsidRPr="004F7947">
              <w:rPr>
                <w:w w:val="105"/>
                <w:sz w:val="20"/>
                <w:szCs w:val="20"/>
              </w:rPr>
              <w:t>8</w:t>
            </w:r>
          </w:p>
        </w:tc>
        <w:tc>
          <w:tcPr>
            <w:tcW w:w="1134" w:type="dxa"/>
          </w:tcPr>
          <w:p w14:paraId="35436367" w14:textId="77777777" w:rsidR="00436B89" w:rsidRPr="004F7947" w:rsidRDefault="00436B89" w:rsidP="00436B89">
            <w:pPr>
              <w:jc w:val="center"/>
              <w:rPr>
                <w:sz w:val="20"/>
                <w:szCs w:val="20"/>
              </w:rPr>
            </w:pPr>
            <w:r w:rsidRPr="004F7947">
              <w:rPr>
                <w:w w:val="105"/>
                <w:sz w:val="20"/>
                <w:szCs w:val="20"/>
              </w:rPr>
              <w:t>41±7</w:t>
            </w:r>
          </w:p>
        </w:tc>
        <w:tc>
          <w:tcPr>
            <w:tcW w:w="1701" w:type="dxa"/>
          </w:tcPr>
          <w:p w14:paraId="75493B9C" w14:textId="77777777" w:rsidR="00436B89" w:rsidRPr="004F7947" w:rsidRDefault="00436B89" w:rsidP="00436B89">
            <w:pPr>
              <w:jc w:val="center"/>
              <w:rPr>
                <w:sz w:val="20"/>
                <w:szCs w:val="20"/>
              </w:rPr>
            </w:pPr>
            <w:r w:rsidRPr="004F7947">
              <w:rPr>
                <w:w w:val="105"/>
                <w:sz w:val="20"/>
                <w:szCs w:val="20"/>
              </w:rPr>
              <w:t>3±1</w:t>
            </w:r>
          </w:p>
        </w:tc>
        <w:tc>
          <w:tcPr>
            <w:tcW w:w="1417" w:type="dxa"/>
          </w:tcPr>
          <w:p w14:paraId="1580BDAB" w14:textId="77777777" w:rsidR="00436B89" w:rsidRPr="004F7947" w:rsidRDefault="00436B89" w:rsidP="00436B89">
            <w:pPr>
              <w:jc w:val="center"/>
              <w:rPr>
                <w:sz w:val="20"/>
                <w:szCs w:val="20"/>
              </w:rPr>
            </w:pPr>
            <w:r w:rsidRPr="004F7947">
              <w:rPr>
                <w:w w:val="105"/>
                <w:sz w:val="20"/>
                <w:szCs w:val="20"/>
              </w:rPr>
              <w:t>50±7</w:t>
            </w:r>
          </w:p>
        </w:tc>
        <w:tc>
          <w:tcPr>
            <w:tcW w:w="2410" w:type="dxa"/>
          </w:tcPr>
          <w:p w14:paraId="06F9157A" w14:textId="77777777" w:rsidR="00436B89" w:rsidRPr="004F7947" w:rsidRDefault="00436B89" w:rsidP="00436B89">
            <w:pPr>
              <w:jc w:val="center"/>
              <w:rPr>
                <w:sz w:val="20"/>
                <w:szCs w:val="20"/>
              </w:rPr>
            </w:pPr>
            <w:r w:rsidRPr="004F7947">
              <w:rPr>
                <w:spacing w:val="1"/>
                <w:w w:val="105"/>
                <w:sz w:val="20"/>
                <w:szCs w:val="20"/>
              </w:rPr>
              <w:t>88</w:t>
            </w:r>
          </w:p>
        </w:tc>
      </w:tr>
      <w:tr w:rsidR="00436B89" w14:paraId="566DBD86" w14:textId="77777777" w:rsidTr="00436B89">
        <w:trPr>
          <w:trHeight w:hRule="exact" w:val="704"/>
        </w:trPr>
        <w:tc>
          <w:tcPr>
            <w:tcW w:w="1134" w:type="dxa"/>
          </w:tcPr>
          <w:p w14:paraId="184829B5" w14:textId="77777777" w:rsidR="00436B89" w:rsidRPr="004F7947" w:rsidRDefault="00436B89" w:rsidP="00436B89">
            <w:pPr>
              <w:jc w:val="center"/>
              <w:rPr>
                <w:sz w:val="20"/>
                <w:szCs w:val="20"/>
              </w:rPr>
            </w:pPr>
            <w:r w:rsidRPr="004F7947">
              <w:rPr>
                <w:w w:val="105"/>
                <w:sz w:val="20"/>
                <w:szCs w:val="20"/>
              </w:rPr>
              <w:t>Total</w:t>
            </w:r>
          </w:p>
        </w:tc>
        <w:tc>
          <w:tcPr>
            <w:tcW w:w="993" w:type="dxa"/>
          </w:tcPr>
          <w:p w14:paraId="2374B5E9" w14:textId="77777777" w:rsidR="00436B89" w:rsidRPr="004F7947" w:rsidRDefault="00436B89" w:rsidP="00436B89">
            <w:pPr>
              <w:jc w:val="center"/>
              <w:rPr>
                <w:sz w:val="20"/>
                <w:szCs w:val="20"/>
              </w:rPr>
            </w:pPr>
            <w:r w:rsidRPr="004F7947">
              <w:rPr>
                <w:spacing w:val="1"/>
                <w:w w:val="105"/>
                <w:sz w:val="20"/>
                <w:szCs w:val="20"/>
              </w:rPr>
              <w:t>24</w:t>
            </w:r>
          </w:p>
        </w:tc>
        <w:tc>
          <w:tcPr>
            <w:tcW w:w="1134" w:type="dxa"/>
          </w:tcPr>
          <w:p w14:paraId="4F73651D" w14:textId="77777777" w:rsidR="00436B89" w:rsidRPr="004F7947" w:rsidRDefault="00436B89" w:rsidP="00436B89">
            <w:pPr>
              <w:jc w:val="center"/>
              <w:rPr>
                <w:sz w:val="20"/>
                <w:szCs w:val="20"/>
              </w:rPr>
            </w:pPr>
            <w:r w:rsidRPr="004F7947">
              <w:rPr>
                <w:w w:val="105"/>
                <w:sz w:val="20"/>
                <w:szCs w:val="20"/>
              </w:rPr>
              <w:t>31±3</w:t>
            </w:r>
          </w:p>
        </w:tc>
        <w:tc>
          <w:tcPr>
            <w:tcW w:w="1701" w:type="dxa"/>
          </w:tcPr>
          <w:p w14:paraId="18FAEF97" w14:textId="77777777" w:rsidR="00436B89" w:rsidRPr="004F7947" w:rsidRDefault="00436B89" w:rsidP="00436B89">
            <w:pPr>
              <w:jc w:val="center"/>
              <w:rPr>
                <w:sz w:val="20"/>
                <w:szCs w:val="20"/>
              </w:rPr>
            </w:pPr>
            <w:r w:rsidRPr="004F7947">
              <w:rPr>
                <w:w w:val="105"/>
                <w:sz w:val="20"/>
                <w:szCs w:val="20"/>
              </w:rPr>
              <w:t>5±1</w:t>
            </w:r>
          </w:p>
        </w:tc>
        <w:tc>
          <w:tcPr>
            <w:tcW w:w="1417" w:type="dxa"/>
          </w:tcPr>
          <w:p w14:paraId="6DC63677" w14:textId="77777777" w:rsidR="00436B89" w:rsidRPr="004F7947" w:rsidRDefault="00436B89" w:rsidP="00436B89">
            <w:pPr>
              <w:jc w:val="center"/>
              <w:rPr>
                <w:sz w:val="20"/>
                <w:szCs w:val="20"/>
              </w:rPr>
            </w:pPr>
            <w:r w:rsidRPr="004F7947">
              <w:rPr>
                <w:spacing w:val="1"/>
                <w:w w:val="105"/>
                <w:sz w:val="20"/>
                <w:szCs w:val="20"/>
              </w:rPr>
              <w:t>53±6</w:t>
            </w:r>
          </w:p>
        </w:tc>
        <w:tc>
          <w:tcPr>
            <w:tcW w:w="2410" w:type="dxa"/>
          </w:tcPr>
          <w:p w14:paraId="68245F6D" w14:textId="77777777" w:rsidR="00436B89" w:rsidRPr="004F7947" w:rsidRDefault="00436B89" w:rsidP="00436B89">
            <w:pPr>
              <w:jc w:val="center"/>
              <w:rPr>
                <w:sz w:val="20"/>
                <w:szCs w:val="20"/>
              </w:rPr>
            </w:pPr>
            <w:r w:rsidRPr="004F7947">
              <w:rPr>
                <w:spacing w:val="1"/>
                <w:w w:val="105"/>
                <w:sz w:val="20"/>
                <w:szCs w:val="20"/>
              </w:rPr>
              <w:t>79</w:t>
            </w:r>
          </w:p>
        </w:tc>
      </w:tr>
    </w:tbl>
    <w:p w14:paraId="4B0CB138" w14:textId="77777777" w:rsidR="00436B89" w:rsidRDefault="00436B89" w:rsidP="00436B89">
      <w:pPr>
        <w:pStyle w:val="TableDescription"/>
      </w:pPr>
      <w:r>
        <w:rPr>
          <w:spacing w:val="1"/>
          <w:w w:val="105"/>
        </w:rPr>
        <w:t>*Normal</w:t>
      </w:r>
      <w:r>
        <w:rPr>
          <w:spacing w:val="-13"/>
          <w:w w:val="105"/>
        </w:rPr>
        <w:t xml:space="preserve"> </w:t>
      </w:r>
      <w:r>
        <w:rPr>
          <w:w w:val="105"/>
        </w:rPr>
        <w:t>function</w:t>
      </w:r>
      <w:r>
        <w:rPr>
          <w:spacing w:val="-11"/>
          <w:w w:val="105"/>
        </w:rPr>
        <w:t xml:space="preserve"> </w:t>
      </w:r>
      <w:r>
        <w:rPr>
          <w:spacing w:val="1"/>
          <w:w w:val="105"/>
        </w:rPr>
        <w:t>(21%),</w:t>
      </w:r>
      <w:r>
        <w:rPr>
          <w:spacing w:val="-12"/>
          <w:w w:val="105"/>
        </w:rPr>
        <w:t xml:space="preserve"> </w:t>
      </w:r>
      <w:r>
        <w:rPr>
          <w:w w:val="105"/>
        </w:rPr>
        <w:t>cerebral</w:t>
      </w:r>
      <w:r>
        <w:rPr>
          <w:spacing w:val="-12"/>
          <w:w w:val="105"/>
        </w:rPr>
        <w:t xml:space="preserve"> </w:t>
      </w:r>
      <w:r>
        <w:rPr>
          <w:w w:val="105"/>
        </w:rPr>
        <w:t>palsy</w:t>
      </w:r>
      <w:r>
        <w:rPr>
          <w:spacing w:val="-11"/>
          <w:w w:val="105"/>
        </w:rPr>
        <w:t xml:space="preserve"> </w:t>
      </w:r>
      <w:r>
        <w:rPr>
          <w:spacing w:val="1"/>
          <w:w w:val="105"/>
        </w:rPr>
        <w:t>(46%),</w:t>
      </w:r>
      <w:r>
        <w:rPr>
          <w:spacing w:val="-12"/>
          <w:w w:val="105"/>
        </w:rPr>
        <w:t xml:space="preserve"> </w:t>
      </w:r>
      <w:r>
        <w:rPr>
          <w:w w:val="105"/>
        </w:rPr>
        <w:t>mental</w:t>
      </w:r>
      <w:r>
        <w:rPr>
          <w:spacing w:val="-12"/>
          <w:w w:val="105"/>
        </w:rPr>
        <w:t xml:space="preserve"> </w:t>
      </w:r>
      <w:r>
        <w:rPr>
          <w:w w:val="105"/>
        </w:rPr>
        <w:t>retardation</w:t>
      </w:r>
      <w:r>
        <w:rPr>
          <w:spacing w:val="-11"/>
          <w:w w:val="105"/>
        </w:rPr>
        <w:t xml:space="preserve"> </w:t>
      </w:r>
      <w:r>
        <w:rPr>
          <w:spacing w:val="1"/>
          <w:w w:val="105"/>
        </w:rPr>
        <w:t>(79%),</w:t>
      </w:r>
      <w:r>
        <w:rPr>
          <w:spacing w:val="-12"/>
          <w:w w:val="105"/>
        </w:rPr>
        <w:t xml:space="preserve"> </w:t>
      </w:r>
      <w:r>
        <w:rPr>
          <w:w w:val="105"/>
        </w:rPr>
        <w:t>seizure</w:t>
      </w:r>
      <w:r>
        <w:rPr>
          <w:spacing w:val="-13"/>
          <w:w w:val="105"/>
        </w:rPr>
        <w:t xml:space="preserve"> </w:t>
      </w:r>
      <w:r>
        <w:rPr>
          <w:w w:val="105"/>
        </w:rPr>
        <w:t>disorder</w:t>
      </w:r>
      <w:r>
        <w:rPr>
          <w:spacing w:val="-12"/>
          <w:w w:val="105"/>
        </w:rPr>
        <w:t xml:space="preserve"> </w:t>
      </w:r>
      <w:r>
        <w:rPr>
          <w:spacing w:val="1"/>
          <w:w w:val="105"/>
        </w:rPr>
        <w:t>(17%),</w:t>
      </w:r>
      <w:r>
        <w:rPr>
          <w:spacing w:val="-12"/>
          <w:w w:val="105"/>
        </w:rPr>
        <w:t xml:space="preserve"> </w:t>
      </w:r>
      <w:r>
        <w:rPr>
          <w:w w:val="105"/>
        </w:rPr>
        <w:t xml:space="preserve">blindness </w:t>
      </w:r>
      <w:r>
        <w:rPr>
          <w:spacing w:val="1"/>
          <w:w w:val="105"/>
        </w:rPr>
        <w:t>(4%),</w:t>
      </w:r>
      <w:r>
        <w:rPr>
          <w:spacing w:val="-15"/>
          <w:w w:val="105"/>
        </w:rPr>
        <w:t xml:space="preserve"> </w:t>
      </w:r>
      <w:r>
        <w:rPr>
          <w:w w:val="105"/>
        </w:rPr>
        <w:t>microcephaly</w:t>
      </w:r>
      <w:r>
        <w:rPr>
          <w:spacing w:val="-15"/>
          <w:w w:val="105"/>
        </w:rPr>
        <w:t xml:space="preserve"> </w:t>
      </w:r>
      <w:r>
        <w:rPr>
          <w:spacing w:val="1"/>
          <w:w w:val="105"/>
        </w:rPr>
        <w:t>(54%),</w:t>
      </w:r>
      <w:r>
        <w:rPr>
          <w:spacing w:val="-15"/>
          <w:w w:val="105"/>
        </w:rPr>
        <w:t xml:space="preserve"> </w:t>
      </w:r>
      <w:r>
        <w:rPr>
          <w:w w:val="105"/>
        </w:rPr>
        <w:t>multiple</w:t>
      </w:r>
      <w:r>
        <w:rPr>
          <w:spacing w:val="-14"/>
          <w:w w:val="105"/>
        </w:rPr>
        <w:t xml:space="preserve"> </w:t>
      </w:r>
      <w:r>
        <w:rPr>
          <w:w w:val="105"/>
        </w:rPr>
        <w:t>handicaps</w:t>
      </w:r>
      <w:r>
        <w:rPr>
          <w:spacing w:val="-14"/>
          <w:w w:val="105"/>
        </w:rPr>
        <w:t xml:space="preserve"> </w:t>
      </w:r>
      <w:r>
        <w:rPr>
          <w:spacing w:val="1"/>
          <w:w w:val="105"/>
        </w:rPr>
        <w:t>(46%)</w:t>
      </w:r>
    </w:p>
    <w:p w14:paraId="40F78EA1" w14:textId="77777777" w:rsidR="00436B89" w:rsidRDefault="00436B89" w:rsidP="00436B89">
      <w:pPr>
        <w:ind w:left="720"/>
      </w:pPr>
      <w:r>
        <w:t>In prospective treatment (Maestri 1991), children who appeared to be developing normally were evaluated less frequently than children with evident developmental delay. Nine patients out of 12 presented some developmental delay and almost all had problems with language.</w:t>
      </w:r>
    </w:p>
    <w:p w14:paraId="742795CB" w14:textId="77777777" w:rsidR="00436B89" w:rsidRDefault="00436B89" w:rsidP="00436B89">
      <w:pPr>
        <w:ind w:left="720"/>
      </w:pPr>
      <w:r>
        <w:lastRenderedPageBreak/>
        <w:t>Among the 15/24 surviving ASS patients (Maestri 1995), 12 had neonatal ammonium levels ranging from 400 to 2000 μmol/L and were in stage 3-4 coma. Eleven of those had an IQ&lt;55 at age 8 years, 1 had an IQ=80 at 3.5 years and an IQ=55 at age 8 years. Three patients had neonatal ammonium levels ranging from 266 to 396 μmol/L and 2 had an IQ of 75-100 at 1</w:t>
      </w:r>
      <w:r w:rsidRPr="001B6C4E">
        <w:rPr>
          <w:vertAlign w:val="superscript"/>
        </w:rPr>
        <w:t>st</w:t>
      </w:r>
      <w:r>
        <w:t xml:space="preserve"> evaluation which then decreased to 50-70 as seen in the 3rd patient.</w:t>
      </w:r>
    </w:p>
    <w:p w14:paraId="2DAA8EC0" w14:textId="77777777" w:rsidR="00436B89" w:rsidRDefault="00436B89" w:rsidP="00436B89">
      <w:pPr>
        <w:ind w:left="720"/>
      </w:pPr>
      <w:r>
        <w:t>In Maestri 1996, 23 girls with OTC had at least two IQ tests. Results ranged at baseline from 56 to 111 (mean 84) and 10 girls had an IQ test &lt;80. At follow-up, scores ranged from 36 to 116 and were positively correlated to respective baseline IQ (p&lt;0.001). Only 4 children showed a decrease in IQ of more than 15 points (that is, of 1SD). The change in IQ was not affected by the number of years of treatment.</w:t>
      </w:r>
    </w:p>
    <w:p w14:paraId="033314ED" w14:textId="77777777" w:rsidR="00436B89" w:rsidRDefault="00436B89" w:rsidP="00436B89">
      <w:pPr>
        <w:ind w:left="720"/>
      </w:pPr>
      <w:r>
        <w:t>In 28 late-onset OTC (23 females, 5 males) 12 (among whom 5 treated prospectively with waste nitrogen excretion stimulation) were presenting a normal IQ (&gt;85) and 16 were handicapped (Feillet 1998).</w:t>
      </w:r>
    </w:p>
    <w:p w14:paraId="59B66BEA" w14:textId="61F7B590" w:rsidR="00436B89" w:rsidRPr="00390CAE" w:rsidRDefault="00436B89" w:rsidP="00436B89">
      <w:pPr>
        <w:pStyle w:val="Heading6"/>
        <w:ind w:firstLine="436"/>
      </w:pPr>
      <w:r w:rsidRPr="00390CAE">
        <w:t xml:space="preserve">Nitrogen </w:t>
      </w:r>
      <w:r w:rsidR="00F21AE2">
        <w:t>e</w:t>
      </w:r>
      <w:r w:rsidRPr="00390CAE">
        <w:t>xcretion</w:t>
      </w:r>
    </w:p>
    <w:p w14:paraId="4656C31B" w14:textId="77777777" w:rsidR="00436B89" w:rsidRDefault="00436B89" w:rsidP="00436B89">
      <w:pPr>
        <w:ind w:left="720"/>
      </w:pPr>
      <w:r>
        <w:t>The submitted dossier included a number of papers supporting the safety and efficacy of sodium phenylbutyrate. Although some papers were provided for pharmacokinetic or safety evaluation, these papers could be evaluated for pharmacodynamics.</w:t>
      </w:r>
    </w:p>
    <w:p w14:paraId="0987BE26" w14:textId="77777777" w:rsidR="00436B89" w:rsidRDefault="00436B89" w:rsidP="00436B89">
      <w:pPr>
        <w:ind w:left="720"/>
      </w:pPr>
      <w:r>
        <w:t>Marini (2011) investigated the effects of phenylbutyrate administration on whole-body protein metabolism, glutamine, leucine, and urea kinetics in healthy and ornithine transcarbamylase– deficient (OTCD) subjects. Phenylbutyrate administration reduced ureagenesis by ≈15% and the transfer of 15N from glutamine to urea was reduced by 35%.</w:t>
      </w:r>
    </w:p>
    <w:p w14:paraId="37967B64" w14:textId="77777777" w:rsidR="00436B89" w:rsidRDefault="00436B89" w:rsidP="00436B89">
      <w:pPr>
        <w:ind w:left="720"/>
      </w:pPr>
      <w:r>
        <w:t>Mokhtarani</w:t>
      </w:r>
      <w:r w:rsidRPr="00D64B74">
        <w:t xml:space="preserve"> </w:t>
      </w:r>
      <w:r>
        <w:t>(2012)</w:t>
      </w:r>
      <w:r w:rsidRPr="00D64B74">
        <w:t xml:space="preserve"> </w:t>
      </w:r>
      <w:r w:rsidR="00625EDD">
        <w:t>analysed</w:t>
      </w:r>
      <w:r w:rsidRPr="00D64B74">
        <w:t xml:space="preserve"> </w:t>
      </w:r>
      <w:r>
        <w:t>pharmacokinetic</w:t>
      </w:r>
      <w:r w:rsidRPr="00D64B74">
        <w:t xml:space="preserve"> </w:t>
      </w:r>
      <w:r>
        <w:t>data</w:t>
      </w:r>
      <w:r w:rsidRPr="00D64B74">
        <w:t xml:space="preserve"> </w:t>
      </w:r>
      <w:r>
        <w:t>for</w:t>
      </w:r>
      <w:r w:rsidRPr="00D64B74">
        <w:t xml:space="preserve"> </w:t>
      </w:r>
      <w:r>
        <w:t>glycerol</w:t>
      </w:r>
      <w:r w:rsidRPr="00D64B74">
        <w:t xml:space="preserve"> </w:t>
      </w:r>
      <w:r>
        <w:t>phenylbutyrate</w:t>
      </w:r>
      <w:r w:rsidRPr="00D64B74">
        <w:t xml:space="preserve"> </w:t>
      </w:r>
      <w:r>
        <w:t>(and</w:t>
      </w:r>
      <w:r w:rsidRPr="00D64B74">
        <w:t xml:space="preserve"> </w:t>
      </w:r>
      <w:r>
        <w:t>sodium phenylbutyrate</w:t>
      </w:r>
      <w:r w:rsidRPr="00D64B74">
        <w:t xml:space="preserve"> </w:t>
      </w:r>
      <w:r>
        <w:t>with</w:t>
      </w:r>
      <w:r w:rsidRPr="00D64B74">
        <w:t xml:space="preserve"> </w:t>
      </w:r>
      <w:r>
        <w:t>respect</w:t>
      </w:r>
      <w:r w:rsidRPr="00D64B74">
        <w:t xml:space="preserve"> </w:t>
      </w:r>
      <w:r>
        <w:t>to</w:t>
      </w:r>
      <w:r w:rsidRPr="00D64B74">
        <w:t xml:space="preserve"> </w:t>
      </w:r>
      <w:r>
        <w:t>possible</w:t>
      </w:r>
      <w:r w:rsidRPr="00D64B74">
        <w:t xml:space="preserve"> </w:t>
      </w:r>
      <w:r>
        <w:t>dosing</w:t>
      </w:r>
      <w:r w:rsidRPr="00D64B74">
        <w:t xml:space="preserve"> </w:t>
      </w:r>
      <w:r>
        <w:t>biomarkers</w:t>
      </w:r>
      <w:r w:rsidRPr="00D64B74">
        <w:t xml:space="preserve"> </w:t>
      </w:r>
      <w:r>
        <w:t>in</w:t>
      </w:r>
      <w:r w:rsidRPr="00D64B74">
        <w:t xml:space="preserve"> </w:t>
      </w:r>
      <w:r>
        <w:t>patients</w:t>
      </w:r>
      <w:r w:rsidRPr="00D64B74">
        <w:t xml:space="preserve"> </w:t>
      </w:r>
      <w:r>
        <w:t>with</w:t>
      </w:r>
      <w:r w:rsidRPr="00D64B74">
        <w:t xml:space="preserve"> </w:t>
      </w:r>
      <w:r>
        <w:t>urea</w:t>
      </w:r>
      <w:r w:rsidRPr="00D64B74">
        <w:t xml:space="preserve"> </w:t>
      </w:r>
      <w:r>
        <w:t>cycle</w:t>
      </w:r>
      <w:r w:rsidRPr="00D64B74">
        <w:t xml:space="preserve"> </w:t>
      </w:r>
      <w:r>
        <w:t>disorders.</w:t>
      </w:r>
      <w:r w:rsidRPr="00D64B74">
        <w:t xml:space="preserve"> </w:t>
      </w:r>
      <w:r>
        <w:t>Patients received phenylbutyric acid equivalent doses of glycerol phenylbutyrate ranging from 1.5 to 31.8 g/day and of sodium phenylbutyrate ranging from 1.3 to 31.7 g/day. Plasma metabolite levels varied widely, with average fluctuation indices ranging from 1979% to 5690% for phenylbutyric acid, 843% to 3931% for phenylacetic acid, and 881% to 1434% for phenylacetylglutamine. Mean percent recovery of phenylbutyric acid as urinary phenylacetylglutamine was 66.4 and 69.0 for pediatric patients and 68.7 and 71.4 for adult patients</w:t>
      </w:r>
      <w:r w:rsidRPr="00D64B74">
        <w:t xml:space="preserve"> </w:t>
      </w:r>
      <w:r>
        <w:t>on</w:t>
      </w:r>
      <w:r w:rsidRPr="00D64B74">
        <w:t xml:space="preserve"> </w:t>
      </w:r>
      <w:r>
        <w:t>glycerol</w:t>
      </w:r>
      <w:r w:rsidRPr="00D64B74">
        <w:t xml:space="preserve"> </w:t>
      </w:r>
      <w:r>
        <w:t>phenylbutyrate</w:t>
      </w:r>
      <w:r w:rsidRPr="00D64B74">
        <w:t xml:space="preserve"> </w:t>
      </w:r>
      <w:r>
        <w:t>and</w:t>
      </w:r>
      <w:r w:rsidRPr="00D64B74">
        <w:t xml:space="preserve"> </w:t>
      </w:r>
      <w:r>
        <w:t>sodium</w:t>
      </w:r>
      <w:r w:rsidRPr="00D64B74">
        <w:t xml:space="preserve"> </w:t>
      </w:r>
      <w:r>
        <w:t>phenylbutyrate,</w:t>
      </w:r>
      <w:r w:rsidRPr="00D64B74">
        <w:t xml:space="preserve"> </w:t>
      </w:r>
      <w:r>
        <w:t>respectively.</w:t>
      </w:r>
      <w:r w:rsidRPr="00D64B74">
        <w:t xml:space="preserve"> </w:t>
      </w:r>
      <w:r>
        <w:t>The</w:t>
      </w:r>
      <w:r w:rsidRPr="00D64B74">
        <w:t xml:space="preserve"> </w:t>
      </w:r>
      <w:r>
        <w:t>correlation with</w:t>
      </w:r>
      <w:r w:rsidRPr="00D64B74">
        <w:t xml:space="preserve"> </w:t>
      </w:r>
      <w:r>
        <w:t>dose</w:t>
      </w:r>
      <w:r w:rsidRPr="00D64B74">
        <w:t xml:space="preserve"> </w:t>
      </w:r>
      <w:r>
        <w:t>was</w:t>
      </w:r>
      <w:r w:rsidRPr="00D64B74">
        <w:t xml:space="preserve"> </w:t>
      </w:r>
      <w:r>
        <w:t>strongest</w:t>
      </w:r>
      <w:r w:rsidRPr="00D64B74">
        <w:t xml:space="preserve"> </w:t>
      </w:r>
      <w:r>
        <w:t>for</w:t>
      </w:r>
      <w:r w:rsidRPr="00D64B74">
        <w:t xml:space="preserve"> </w:t>
      </w:r>
      <w:r>
        <w:t>urinary</w:t>
      </w:r>
      <w:r w:rsidRPr="00D64B74">
        <w:t xml:space="preserve"> </w:t>
      </w:r>
      <w:r>
        <w:t>phenylacetylglutamine</w:t>
      </w:r>
      <w:r w:rsidRPr="00D64B74">
        <w:t xml:space="preserve"> </w:t>
      </w:r>
      <w:r>
        <w:t>excretion,</w:t>
      </w:r>
      <w:r w:rsidRPr="00D64B74">
        <w:t xml:space="preserve"> </w:t>
      </w:r>
      <w:r>
        <w:t>either</w:t>
      </w:r>
      <w:r w:rsidRPr="00D64B74">
        <w:t xml:space="preserve"> </w:t>
      </w:r>
      <w:r>
        <w:t>as</w:t>
      </w:r>
      <w:r w:rsidRPr="00D64B74">
        <w:t xml:space="preserve"> </w:t>
      </w:r>
      <w:r>
        <w:t>morning</w:t>
      </w:r>
      <w:r w:rsidRPr="00D64B74">
        <w:t xml:space="preserve"> </w:t>
      </w:r>
      <w:r>
        <w:t>spot</w:t>
      </w:r>
      <w:r w:rsidRPr="00D64B74">
        <w:t xml:space="preserve"> </w:t>
      </w:r>
      <w:r>
        <w:t>urine</w:t>
      </w:r>
      <w:r w:rsidRPr="00D64B74">
        <w:t xml:space="preserve"> </w:t>
      </w:r>
      <w:r>
        <w:t>(r</w:t>
      </w:r>
      <w:r w:rsidRPr="00D64B74">
        <w:t xml:space="preserve"> </w:t>
      </w:r>
      <w:r>
        <w:t>=</w:t>
      </w:r>
      <w:r w:rsidRPr="00D64B74">
        <w:t xml:space="preserve"> </w:t>
      </w:r>
      <w:r>
        <w:t>0.730,</w:t>
      </w:r>
      <w:r w:rsidRPr="00D64B74">
        <w:t xml:space="preserve"> </w:t>
      </w:r>
      <w:r>
        <w:t>p</w:t>
      </w:r>
      <w:r w:rsidRPr="00D64B74">
        <w:t xml:space="preserve"> </w:t>
      </w:r>
      <w:r>
        <w:t>&lt;</w:t>
      </w:r>
      <w:r w:rsidRPr="00D64B74">
        <w:t xml:space="preserve"> </w:t>
      </w:r>
      <w:r>
        <w:t>0.001)</w:t>
      </w:r>
      <w:r w:rsidRPr="00D64B74">
        <w:t xml:space="preserve"> </w:t>
      </w:r>
      <w:r>
        <w:t>or</w:t>
      </w:r>
      <w:r w:rsidRPr="00D64B74">
        <w:t xml:space="preserve"> </w:t>
      </w:r>
      <w:r>
        <w:t>as</w:t>
      </w:r>
      <w:r w:rsidRPr="00D64B74">
        <w:t xml:space="preserve"> </w:t>
      </w:r>
      <w:r>
        <w:t>total</w:t>
      </w:r>
      <w:r w:rsidRPr="00D64B74">
        <w:t xml:space="preserve"> </w:t>
      </w:r>
      <w:r>
        <w:t>24-hour</w:t>
      </w:r>
      <w:r w:rsidRPr="00D64B74">
        <w:t xml:space="preserve"> </w:t>
      </w:r>
      <w:r>
        <w:t>excretion</w:t>
      </w:r>
      <w:r w:rsidRPr="00D64B74">
        <w:t xml:space="preserve"> </w:t>
      </w:r>
      <w:r>
        <w:t>(r</w:t>
      </w:r>
      <w:r w:rsidRPr="00D64B74">
        <w:t xml:space="preserve"> </w:t>
      </w:r>
      <w:r>
        <w:t>=</w:t>
      </w:r>
      <w:r w:rsidRPr="00D64B74">
        <w:t xml:space="preserve"> </w:t>
      </w:r>
      <w:r>
        <w:t>0.791</w:t>
      </w:r>
      <w:r w:rsidRPr="00D64B74">
        <w:t xml:space="preserve"> </w:t>
      </w:r>
      <w:r>
        <w:t>p&lt;0.001),</w:t>
      </w:r>
      <w:r w:rsidRPr="00D64B74">
        <w:t xml:space="preserve"> </w:t>
      </w:r>
      <w:r>
        <w:t>followed</w:t>
      </w:r>
      <w:r w:rsidRPr="00D64B74">
        <w:t xml:space="preserve"> </w:t>
      </w:r>
      <w:r>
        <w:t>by plasma</w:t>
      </w:r>
      <w:r w:rsidRPr="00D64B74">
        <w:t xml:space="preserve"> </w:t>
      </w:r>
      <w:r>
        <w:t>phenylacetylglutamine</w:t>
      </w:r>
      <w:r w:rsidRPr="00D64B74">
        <w:t xml:space="preserve"> </w:t>
      </w:r>
      <w:proofErr w:type="gramStart"/>
      <w:r>
        <w:t>AUC</w:t>
      </w:r>
      <w:r w:rsidRPr="008A5594">
        <w:rPr>
          <w:vertAlign w:val="subscript"/>
        </w:rPr>
        <w:t>(</w:t>
      </w:r>
      <w:proofErr w:type="gramEnd"/>
      <w:r w:rsidRPr="008A5594">
        <w:rPr>
          <w:vertAlign w:val="subscript"/>
        </w:rPr>
        <w:t>24-hour)</w:t>
      </w:r>
      <w:r>
        <w:t>,</w:t>
      </w:r>
      <w:r w:rsidRPr="00D64B74">
        <w:t xml:space="preserve"> </w:t>
      </w:r>
      <w:r>
        <w:t>plasma</w:t>
      </w:r>
      <w:r w:rsidRPr="00D64B74">
        <w:t xml:space="preserve"> </w:t>
      </w:r>
      <w:r>
        <w:t>phenylacetic</w:t>
      </w:r>
      <w:r w:rsidRPr="00D64B74">
        <w:t xml:space="preserve"> </w:t>
      </w:r>
      <w:r>
        <w:t>acid</w:t>
      </w:r>
      <w:r w:rsidRPr="00D64B74">
        <w:t xml:space="preserve"> </w:t>
      </w:r>
      <w:r>
        <w:t>AUC</w:t>
      </w:r>
      <w:r w:rsidRPr="008A5594">
        <w:rPr>
          <w:vertAlign w:val="subscript"/>
        </w:rPr>
        <w:t>(24-hour)</w:t>
      </w:r>
      <w:r w:rsidRPr="00D64B74">
        <w:t xml:space="preserve"> </w:t>
      </w:r>
      <w:r>
        <w:t>and phenylbutyric</w:t>
      </w:r>
      <w:r w:rsidRPr="00D64B74">
        <w:t xml:space="preserve"> </w:t>
      </w:r>
      <w:r>
        <w:t>acid</w:t>
      </w:r>
      <w:r w:rsidRPr="00D64B74">
        <w:t xml:space="preserve"> </w:t>
      </w:r>
      <w:r>
        <w:t>AUC</w:t>
      </w:r>
      <w:r w:rsidRPr="008A5594">
        <w:rPr>
          <w:vertAlign w:val="subscript"/>
        </w:rPr>
        <w:t>(24-hour)</w:t>
      </w:r>
      <w:r>
        <w:t>.</w:t>
      </w:r>
    </w:p>
    <w:p w14:paraId="23087F06" w14:textId="77777777" w:rsidR="00436B89" w:rsidRDefault="00436B89" w:rsidP="00436B89">
      <w:pPr>
        <w:ind w:left="720"/>
      </w:pPr>
      <w:r>
        <w:t>McGuire</w:t>
      </w:r>
      <w:r w:rsidRPr="00D64B74">
        <w:t xml:space="preserve"> </w:t>
      </w:r>
      <w:r>
        <w:t>2010</w:t>
      </w:r>
      <w:r w:rsidRPr="00D64B74">
        <w:t xml:space="preserve"> </w:t>
      </w:r>
      <w:r>
        <w:t>reported</w:t>
      </w:r>
      <w:r w:rsidRPr="00D64B74">
        <w:t xml:space="preserve"> </w:t>
      </w:r>
      <w:r>
        <w:t>a</w:t>
      </w:r>
      <w:r w:rsidRPr="00D64B74">
        <w:t xml:space="preserve"> </w:t>
      </w:r>
      <w:r>
        <w:t>higher</w:t>
      </w:r>
      <w:r w:rsidRPr="00D64B74">
        <w:t xml:space="preserve"> </w:t>
      </w:r>
      <w:r>
        <w:t>urinary</w:t>
      </w:r>
      <w:r w:rsidRPr="00D64B74">
        <w:t xml:space="preserve"> </w:t>
      </w:r>
      <w:r>
        <w:t>excretion</w:t>
      </w:r>
      <w:r w:rsidRPr="00D64B74">
        <w:t xml:space="preserve"> </w:t>
      </w:r>
      <w:r>
        <w:t>of</w:t>
      </w:r>
      <w:r w:rsidRPr="00D64B74">
        <w:t xml:space="preserve"> </w:t>
      </w:r>
      <w:r>
        <w:t>PAGN</w:t>
      </w:r>
      <w:r w:rsidRPr="00D64B74">
        <w:t xml:space="preserve"> </w:t>
      </w:r>
      <w:r>
        <w:t>following</w:t>
      </w:r>
      <w:r w:rsidRPr="00D64B74">
        <w:t xml:space="preserve"> </w:t>
      </w:r>
      <w:r>
        <w:t>NaPBA</w:t>
      </w:r>
      <w:r w:rsidRPr="00D64B74">
        <w:t xml:space="preserve"> </w:t>
      </w:r>
      <w:r>
        <w:t>(PAGN</w:t>
      </w:r>
      <w:r w:rsidRPr="00D64B74">
        <w:t xml:space="preserve"> (0-</w:t>
      </w:r>
      <w:r>
        <w:t xml:space="preserve"> 24hours) amount excreted was 7,905) than following GPB (PAGN </w:t>
      </w:r>
      <w:r w:rsidRPr="00D64B74">
        <w:t>(0-24hours)</w:t>
      </w:r>
      <w:r>
        <w:t xml:space="preserve"> amount</w:t>
      </w:r>
      <w:r w:rsidRPr="00D64B74">
        <w:t xml:space="preserve"> </w:t>
      </w:r>
      <w:r>
        <w:t>excreted</w:t>
      </w:r>
      <w:r w:rsidRPr="00D64B74">
        <w:t xml:space="preserve"> </w:t>
      </w:r>
      <w:r>
        <w:t>was</w:t>
      </w:r>
      <w:r w:rsidRPr="00D64B74">
        <w:t xml:space="preserve"> </w:t>
      </w:r>
      <w:r>
        <w:t>4130</w:t>
      </w:r>
      <w:r w:rsidRPr="00D64B74">
        <w:t xml:space="preserve"> </w:t>
      </w:r>
      <w:r>
        <w:t>and</w:t>
      </w:r>
      <w:r w:rsidRPr="00D64B74">
        <w:t xml:space="preserve"> </w:t>
      </w:r>
      <w:r>
        <w:t>4749.9)</w:t>
      </w:r>
      <w:r w:rsidRPr="00D64B74">
        <w:t xml:space="preserve"> </w:t>
      </w:r>
      <w:r>
        <w:t>in</w:t>
      </w:r>
      <w:r w:rsidRPr="00D64B74">
        <w:t xml:space="preserve"> </w:t>
      </w:r>
      <w:r>
        <w:t>patients</w:t>
      </w:r>
      <w:r w:rsidRPr="00D64B74">
        <w:t xml:space="preserve"> </w:t>
      </w:r>
      <w:r>
        <w:t>on</w:t>
      </w:r>
      <w:r w:rsidRPr="00D64B74">
        <w:t xml:space="preserve"> </w:t>
      </w:r>
      <w:r>
        <w:t>a</w:t>
      </w:r>
      <w:r w:rsidRPr="00D64B74">
        <w:t xml:space="preserve"> </w:t>
      </w:r>
      <w:r>
        <w:t>dose</w:t>
      </w:r>
      <w:r w:rsidRPr="00D64B74">
        <w:t xml:space="preserve"> </w:t>
      </w:r>
      <w:r>
        <w:t>of</w:t>
      </w:r>
      <w:r w:rsidRPr="00D64B74">
        <w:t xml:space="preserve"> </w:t>
      </w:r>
      <w:r>
        <w:t>3</w:t>
      </w:r>
      <w:r w:rsidRPr="00D64B74">
        <w:t xml:space="preserve"> </w:t>
      </w:r>
      <w:r>
        <w:t>g/m</w:t>
      </w:r>
      <w:r w:rsidRPr="008A5594">
        <w:rPr>
          <w:vertAlign w:val="superscript"/>
        </w:rPr>
        <w:t>2</w:t>
      </w:r>
      <w:r>
        <w:t xml:space="preserve"> </w:t>
      </w:r>
      <w:r w:rsidRPr="00D64B74">
        <w:t>e</w:t>
      </w:r>
      <w:r>
        <w:t>quivalent</w:t>
      </w:r>
      <w:r w:rsidRPr="00D64B74">
        <w:t xml:space="preserve"> </w:t>
      </w:r>
      <w:r>
        <w:t>in</w:t>
      </w:r>
      <w:r w:rsidRPr="00D64B74">
        <w:t xml:space="preserve"> </w:t>
      </w:r>
      <w:r>
        <w:t>a The</w:t>
      </w:r>
      <w:r w:rsidRPr="00D64B74">
        <w:t xml:space="preserve"> </w:t>
      </w:r>
      <w:r>
        <w:t>author concludes</w:t>
      </w:r>
      <w:r w:rsidRPr="00D64B74">
        <w:t xml:space="preserve"> </w:t>
      </w:r>
      <w:r>
        <w:t>that</w:t>
      </w:r>
      <w:r w:rsidRPr="00D64B74">
        <w:t xml:space="preserve"> </w:t>
      </w:r>
      <w:r>
        <w:t>assuming</w:t>
      </w:r>
      <w:r w:rsidRPr="00D64B74">
        <w:t xml:space="preserve"> </w:t>
      </w:r>
      <w:r>
        <w:t>that</w:t>
      </w:r>
      <w:r w:rsidRPr="00D64B74">
        <w:t xml:space="preserve"> </w:t>
      </w:r>
      <w:r>
        <w:t>dietary</w:t>
      </w:r>
      <w:r w:rsidRPr="00D64B74">
        <w:t xml:space="preserve"> </w:t>
      </w:r>
      <w:r>
        <w:t>protein</w:t>
      </w:r>
      <w:r w:rsidRPr="00D64B74">
        <w:t xml:space="preserve"> </w:t>
      </w:r>
      <w:r>
        <w:t>is</w:t>
      </w:r>
      <w:r w:rsidRPr="00D64B74">
        <w:t xml:space="preserve"> </w:t>
      </w:r>
      <w:r>
        <w:t>≈16%</w:t>
      </w:r>
      <w:r w:rsidRPr="00D64B74">
        <w:t xml:space="preserve"> </w:t>
      </w:r>
      <w:r>
        <w:t>nitrogen</w:t>
      </w:r>
      <w:r w:rsidRPr="00D64B74">
        <w:t xml:space="preserve"> </w:t>
      </w:r>
      <w:r>
        <w:t>by</w:t>
      </w:r>
      <w:r w:rsidRPr="00D64B74">
        <w:t xml:space="preserve"> </w:t>
      </w:r>
      <w:r>
        <w:t>weight,</w:t>
      </w:r>
      <w:r w:rsidRPr="00D64B74">
        <w:t xml:space="preserve"> </w:t>
      </w:r>
      <w:r>
        <w:t>that</w:t>
      </w:r>
      <w:r w:rsidRPr="00D64B74">
        <w:t xml:space="preserve"> </w:t>
      </w:r>
      <w:r>
        <w:t>approximately 47%</w:t>
      </w:r>
      <w:r w:rsidRPr="00D64B74">
        <w:t xml:space="preserve"> </w:t>
      </w:r>
      <w:r>
        <w:t>of</w:t>
      </w:r>
      <w:r w:rsidRPr="00D64B74">
        <w:t xml:space="preserve"> </w:t>
      </w:r>
      <w:r>
        <w:t>dietary</w:t>
      </w:r>
      <w:r w:rsidRPr="00D64B74">
        <w:t xml:space="preserve"> </w:t>
      </w:r>
      <w:r>
        <w:t>nitrogen</w:t>
      </w:r>
      <w:r w:rsidRPr="00D64B74">
        <w:t xml:space="preserve"> </w:t>
      </w:r>
      <w:r>
        <w:t>is</w:t>
      </w:r>
      <w:r w:rsidRPr="00D64B74">
        <w:t xml:space="preserve"> </w:t>
      </w:r>
      <w:r>
        <w:t>excreted</w:t>
      </w:r>
      <w:r w:rsidRPr="00D64B74">
        <w:t xml:space="preserve"> </w:t>
      </w:r>
      <w:r>
        <w:t>as</w:t>
      </w:r>
      <w:r w:rsidRPr="00D64B74">
        <w:t xml:space="preserve"> </w:t>
      </w:r>
      <w:r>
        <w:t>waste</w:t>
      </w:r>
      <w:r w:rsidRPr="00D64B74">
        <w:t xml:space="preserve"> </w:t>
      </w:r>
      <w:r>
        <w:t>nitrogen.</w:t>
      </w:r>
    </w:p>
    <w:p w14:paraId="17FDDEE7" w14:textId="77777777" w:rsidR="00436B89" w:rsidRPr="008E2C17" w:rsidRDefault="00436B89" w:rsidP="00436B89">
      <w:pPr>
        <w:pStyle w:val="Heading6"/>
        <w:ind w:firstLine="436"/>
        <w:rPr>
          <w:rFonts w:ascii="TimesNewRomanPS-ItalicMT" w:eastAsia="TimesNewRomanPS-ItalicMT" w:cs="TimesNewRomanPS-ItalicMT"/>
          <w:iCs/>
          <w:sz w:val="24"/>
          <w:szCs w:val="24"/>
          <w:lang w:eastAsia="en-AU"/>
        </w:rPr>
      </w:pPr>
      <w:r w:rsidRPr="008E2C17">
        <w:t>Plasma ammonia and glutamine levels</w:t>
      </w:r>
    </w:p>
    <w:p w14:paraId="015CEF9B" w14:textId="77777777" w:rsidR="00436B89" w:rsidRPr="008E2C17" w:rsidRDefault="00436B89" w:rsidP="00436B89">
      <w:pPr>
        <w:ind w:left="720"/>
      </w:pPr>
      <w:r w:rsidRPr="008E2C17">
        <w:t xml:space="preserve">Ammonia values, excluding those obtained during hospitalization for a </w:t>
      </w:r>
      <w:r>
        <w:t xml:space="preserve">hyperammonaemic </w:t>
      </w:r>
      <w:r w:rsidRPr="008E2C17">
        <w:t>episode, have been reported in 85 patients (281 measurements). 172/281 values (61 %) were within the normal range for the laboratory. A total of 45 patients (53 %) had at least one measurement exceeding the upper limit of normal and 6 % of the values were two-fold higher than the upper limit of normal.</w:t>
      </w:r>
    </w:p>
    <w:p w14:paraId="6560BCD0" w14:textId="77777777" w:rsidR="00436B89" w:rsidRDefault="00436B89" w:rsidP="00436B89">
      <w:pPr>
        <w:ind w:left="720"/>
      </w:pPr>
      <w:r w:rsidRPr="008E2C17">
        <w:t xml:space="preserve">Glutamine synthesis mediated by the astrocyte enzyme glutamine synthetase is the major pathway for ammonia detoxification in the brain and cerebrospinal fluid. For </w:t>
      </w:r>
      <w:r w:rsidRPr="008E2C17">
        <w:lastRenderedPageBreak/>
        <w:t>therapeutic</w:t>
      </w:r>
      <w:r>
        <w:t xml:space="preserve"> </w:t>
      </w:r>
      <w:r w:rsidRPr="008E2C17">
        <w:t>monitoring, plasma glutamine levels should be maintained under 1000 µmol/L. Higher levels</w:t>
      </w:r>
      <w:r>
        <w:t xml:space="preserve"> will</w:t>
      </w:r>
      <w:r w:rsidRPr="008E2C17">
        <w:t xml:space="preserve"> </w:t>
      </w:r>
      <w:r>
        <w:t>indicate</w:t>
      </w:r>
      <w:r w:rsidRPr="008E2C17">
        <w:t xml:space="preserve"> </w:t>
      </w:r>
      <w:r>
        <w:t>that</w:t>
      </w:r>
      <w:r w:rsidRPr="008E2C17">
        <w:t xml:space="preserve"> </w:t>
      </w:r>
      <w:r>
        <w:t>dietary</w:t>
      </w:r>
      <w:r w:rsidRPr="008E2C17">
        <w:t xml:space="preserve"> </w:t>
      </w:r>
      <w:r>
        <w:t>or</w:t>
      </w:r>
      <w:r w:rsidRPr="008E2C17">
        <w:t xml:space="preserve"> </w:t>
      </w:r>
      <w:r>
        <w:t>drug</w:t>
      </w:r>
      <w:r w:rsidRPr="008E2C17">
        <w:t xml:space="preserve"> </w:t>
      </w:r>
      <w:r>
        <w:t>therapy</w:t>
      </w:r>
      <w:r w:rsidRPr="008E2C17">
        <w:t xml:space="preserve"> </w:t>
      </w:r>
      <w:r>
        <w:t>requires</w:t>
      </w:r>
      <w:r w:rsidRPr="008E2C17">
        <w:t xml:space="preserve"> </w:t>
      </w:r>
      <w:r>
        <w:t>modifications,</w:t>
      </w:r>
      <w:r w:rsidRPr="008E2C17">
        <w:t xml:space="preserve"> </w:t>
      </w:r>
      <w:r>
        <w:t>such</w:t>
      </w:r>
      <w:r w:rsidRPr="008E2C17">
        <w:t xml:space="preserve"> </w:t>
      </w:r>
      <w:r>
        <w:t>as</w:t>
      </w:r>
      <w:r w:rsidRPr="008E2C17">
        <w:t xml:space="preserve"> </w:t>
      </w:r>
      <w:r>
        <w:t>increased</w:t>
      </w:r>
      <w:r w:rsidRPr="008E2C17">
        <w:t xml:space="preserve"> </w:t>
      </w:r>
      <w:r>
        <w:t>dose</w:t>
      </w:r>
      <w:r w:rsidRPr="008E2C17">
        <w:t xml:space="preserve"> </w:t>
      </w:r>
      <w:r>
        <w:t>of phenylbutyrate,</w:t>
      </w:r>
      <w:r w:rsidRPr="008E2C17">
        <w:t xml:space="preserve"> </w:t>
      </w:r>
      <w:r>
        <w:t>increased</w:t>
      </w:r>
      <w:r w:rsidRPr="008E2C17">
        <w:t xml:space="preserve"> </w:t>
      </w:r>
      <w:r>
        <w:t>calorie</w:t>
      </w:r>
      <w:r w:rsidRPr="008E2C17">
        <w:t xml:space="preserve"> </w:t>
      </w:r>
      <w:r>
        <w:t>intake,</w:t>
      </w:r>
      <w:r w:rsidRPr="008E2C17">
        <w:t xml:space="preserve"> </w:t>
      </w:r>
      <w:r>
        <w:t>or</w:t>
      </w:r>
      <w:r w:rsidRPr="008E2C17">
        <w:t xml:space="preserve"> </w:t>
      </w:r>
      <w:r>
        <w:t>reduction</w:t>
      </w:r>
      <w:r w:rsidRPr="008E2C17">
        <w:t xml:space="preserve"> </w:t>
      </w:r>
      <w:r>
        <w:t>of</w:t>
      </w:r>
      <w:r w:rsidRPr="008E2C17">
        <w:t xml:space="preserve"> </w:t>
      </w:r>
      <w:r>
        <w:t>total</w:t>
      </w:r>
      <w:r w:rsidRPr="008E2C17">
        <w:t xml:space="preserve"> </w:t>
      </w:r>
      <w:r>
        <w:t>nitrogen</w:t>
      </w:r>
      <w:r w:rsidRPr="008E2C17">
        <w:t xml:space="preserve"> </w:t>
      </w:r>
      <w:r>
        <w:t>intake.</w:t>
      </w:r>
    </w:p>
    <w:p w14:paraId="4B38578C" w14:textId="77777777" w:rsidR="00436B89" w:rsidRDefault="00436B89" w:rsidP="00436B89">
      <w:pPr>
        <w:ind w:left="720"/>
      </w:pPr>
      <w:r>
        <w:t>Plasma</w:t>
      </w:r>
      <w:r w:rsidRPr="008E2C17">
        <w:t xml:space="preserve"> </w:t>
      </w:r>
      <w:r>
        <w:t>glutamine</w:t>
      </w:r>
      <w:r w:rsidRPr="008E2C17">
        <w:t xml:space="preserve"> </w:t>
      </w:r>
      <w:r>
        <w:t>concentration</w:t>
      </w:r>
      <w:r w:rsidRPr="008E2C17">
        <w:t xml:space="preserve"> </w:t>
      </w:r>
      <w:r>
        <w:t>has</w:t>
      </w:r>
      <w:r w:rsidRPr="008E2C17">
        <w:t xml:space="preserve"> </w:t>
      </w:r>
      <w:r>
        <w:t>been</w:t>
      </w:r>
      <w:r w:rsidRPr="008E2C17">
        <w:t xml:space="preserve"> </w:t>
      </w:r>
      <w:r>
        <w:t>shown</w:t>
      </w:r>
      <w:r w:rsidRPr="008E2C17">
        <w:t xml:space="preserve"> </w:t>
      </w:r>
      <w:r>
        <w:t>to</w:t>
      </w:r>
      <w:r w:rsidRPr="008E2C17">
        <w:t xml:space="preserve"> </w:t>
      </w:r>
      <w:r>
        <w:t>correlate</w:t>
      </w:r>
      <w:r w:rsidRPr="008E2C17">
        <w:t xml:space="preserve"> </w:t>
      </w:r>
      <w:r>
        <w:t>with</w:t>
      </w:r>
      <w:r w:rsidRPr="008E2C17">
        <w:t xml:space="preserve"> </w:t>
      </w:r>
      <w:r>
        <w:t>plasma</w:t>
      </w:r>
      <w:r w:rsidRPr="008E2C17">
        <w:t xml:space="preserve"> </w:t>
      </w:r>
      <w:r>
        <w:t>ammonia</w:t>
      </w:r>
      <w:r w:rsidRPr="008E2C17">
        <w:t xml:space="preserve"> </w:t>
      </w:r>
      <w:r>
        <w:t>concentration</w:t>
      </w:r>
      <w:r w:rsidRPr="008E2C17">
        <w:t xml:space="preserve"> </w:t>
      </w:r>
      <w:r>
        <w:t>and</w:t>
      </w:r>
      <w:r w:rsidRPr="008E2C17">
        <w:t xml:space="preserve"> </w:t>
      </w:r>
      <w:r>
        <w:t>it</w:t>
      </w:r>
      <w:r w:rsidRPr="008E2C17">
        <w:t xml:space="preserve"> </w:t>
      </w:r>
      <w:r>
        <w:t>has</w:t>
      </w:r>
      <w:r w:rsidRPr="008E2C17">
        <w:t xml:space="preserve"> </w:t>
      </w:r>
      <w:r>
        <w:t>been</w:t>
      </w:r>
      <w:r w:rsidRPr="008E2C17">
        <w:t xml:space="preserve"> </w:t>
      </w:r>
      <w:r>
        <w:t>suggested</w:t>
      </w:r>
      <w:r w:rsidRPr="008E2C17">
        <w:t xml:space="preserve"> </w:t>
      </w:r>
      <w:r>
        <w:t>that</w:t>
      </w:r>
      <w:r w:rsidRPr="008E2C17">
        <w:t xml:space="preserve"> </w:t>
      </w:r>
      <w:r>
        <w:t>glutamine</w:t>
      </w:r>
      <w:r w:rsidRPr="008E2C17">
        <w:t xml:space="preserve"> </w:t>
      </w:r>
      <w:r>
        <w:t>may</w:t>
      </w:r>
      <w:r w:rsidRPr="008E2C17">
        <w:t xml:space="preserve"> </w:t>
      </w:r>
      <w:r>
        <w:t>represent</w:t>
      </w:r>
      <w:r w:rsidRPr="008E2C17">
        <w:t xml:space="preserve"> </w:t>
      </w:r>
      <w:r>
        <w:t>a</w:t>
      </w:r>
      <w:r w:rsidRPr="008E2C17">
        <w:t xml:space="preserve"> </w:t>
      </w:r>
      <w:r>
        <w:t>storage</w:t>
      </w:r>
      <w:r w:rsidRPr="008E2C17">
        <w:t xml:space="preserve"> </w:t>
      </w:r>
      <w:r>
        <w:t>site</w:t>
      </w:r>
      <w:r w:rsidRPr="008E2C17">
        <w:t xml:space="preserve"> </w:t>
      </w:r>
      <w:r>
        <w:t>for</w:t>
      </w:r>
      <w:r w:rsidRPr="008E2C17">
        <w:t xml:space="preserve"> </w:t>
      </w:r>
      <w:r>
        <w:t>nitrogen accumulation</w:t>
      </w:r>
      <w:r w:rsidRPr="008E2C17">
        <w:t xml:space="preserve"> </w:t>
      </w:r>
      <w:r>
        <w:t>(Maestri</w:t>
      </w:r>
      <w:r w:rsidRPr="008E2C17">
        <w:t xml:space="preserve"> </w:t>
      </w:r>
      <w:r>
        <w:t>1992).</w:t>
      </w:r>
      <w:r w:rsidRPr="008E2C17">
        <w:t xml:space="preserve"> </w:t>
      </w:r>
      <w:r>
        <w:t>The</w:t>
      </w:r>
      <w:r w:rsidRPr="008E2C17">
        <w:t xml:space="preserve"> </w:t>
      </w:r>
      <w:r>
        <w:t>mean</w:t>
      </w:r>
      <w:r w:rsidRPr="008E2C17">
        <w:t xml:space="preserve"> </w:t>
      </w:r>
      <w:r>
        <w:t>ammonium</w:t>
      </w:r>
      <w:r w:rsidRPr="008E2C17">
        <w:t xml:space="preserve"> </w:t>
      </w:r>
      <w:r>
        <w:t>level</w:t>
      </w:r>
      <w:r w:rsidRPr="008E2C17">
        <w:t xml:space="preserve"> </w:t>
      </w:r>
      <w:r>
        <w:t>was</w:t>
      </w:r>
      <w:r w:rsidRPr="008E2C17">
        <w:t xml:space="preserve"> </w:t>
      </w:r>
      <w:r>
        <w:t>normal</w:t>
      </w:r>
      <w:r w:rsidRPr="008E2C17">
        <w:t xml:space="preserve"> </w:t>
      </w:r>
      <w:r>
        <w:t>for</w:t>
      </w:r>
      <w:r w:rsidRPr="008E2C17">
        <w:t xml:space="preserve"> </w:t>
      </w:r>
      <w:r>
        <w:t>glutamine</w:t>
      </w:r>
      <w:r w:rsidRPr="008E2C17">
        <w:t xml:space="preserve"> </w:t>
      </w:r>
      <w:r>
        <w:t xml:space="preserve">levels </w:t>
      </w:r>
      <w:proofErr w:type="gramStart"/>
      <w:r>
        <w:t>below</w:t>
      </w:r>
      <w:r w:rsidRPr="008E2C17">
        <w:t xml:space="preserve"> </w:t>
      </w:r>
      <w:r>
        <w:t>800</w:t>
      </w:r>
      <w:r w:rsidRPr="008E2C17">
        <w:t xml:space="preserve"> </w:t>
      </w:r>
      <w:r>
        <w:t>µmol/L.</w:t>
      </w:r>
      <w:proofErr w:type="gramEnd"/>
      <w:r w:rsidRPr="008E2C17">
        <w:t xml:space="preserve"> </w:t>
      </w:r>
      <w:r>
        <w:t>The</w:t>
      </w:r>
      <w:r w:rsidRPr="008E2C17">
        <w:t xml:space="preserve"> </w:t>
      </w:r>
      <w:r>
        <w:t>mean</w:t>
      </w:r>
      <w:r w:rsidRPr="008E2C17">
        <w:t xml:space="preserve"> </w:t>
      </w:r>
      <w:r>
        <w:t>(SD)</w:t>
      </w:r>
      <w:r w:rsidRPr="008E2C17">
        <w:t xml:space="preserve"> </w:t>
      </w:r>
      <w:r>
        <w:t>ammonium</w:t>
      </w:r>
      <w:r w:rsidRPr="008E2C17">
        <w:t xml:space="preserve"> </w:t>
      </w:r>
      <w:r>
        <w:t>level</w:t>
      </w:r>
      <w:r w:rsidRPr="008E2C17">
        <w:t xml:space="preserve"> </w:t>
      </w:r>
      <w:r>
        <w:t>was</w:t>
      </w:r>
      <w:r w:rsidRPr="008E2C17">
        <w:t xml:space="preserve"> </w:t>
      </w:r>
      <w:r>
        <w:t>55</w:t>
      </w:r>
      <w:r w:rsidRPr="008E2C17">
        <w:t xml:space="preserve"> </w:t>
      </w:r>
      <w:r>
        <w:t>(36.3)</w:t>
      </w:r>
      <w:r w:rsidRPr="008E2C17">
        <w:t xml:space="preserve"> </w:t>
      </w:r>
      <w:r>
        <w:t>µmol/L</w:t>
      </w:r>
      <w:r w:rsidRPr="008E2C17">
        <w:t xml:space="preserve"> </w:t>
      </w:r>
      <w:r>
        <w:t>for</w:t>
      </w:r>
      <w:r w:rsidRPr="008E2C17">
        <w:t xml:space="preserve"> </w:t>
      </w:r>
      <w:r>
        <w:t>plasma</w:t>
      </w:r>
      <w:r w:rsidRPr="008E2C17">
        <w:t xml:space="preserve"> </w:t>
      </w:r>
      <w:r>
        <w:t>glutamine</w:t>
      </w:r>
      <w:r w:rsidRPr="008E2C17">
        <w:t xml:space="preserve"> </w:t>
      </w:r>
      <w:r>
        <w:t>above</w:t>
      </w:r>
      <w:r w:rsidRPr="008E2C17">
        <w:t xml:space="preserve"> </w:t>
      </w:r>
      <w:r>
        <w:t>1000</w:t>
      </w:r>
      <w:r w:rsidRPr="008E2C17">
        <w:t xml:space="preserve"> </w:t>
      </w:r>
      <w:r>
        <w:t>µmol/L,</w:t>
      </w:r>
      <w:r w:rsidRPr="008E2C17">
        <w:t xml:space="preserve"> </w:t>
      </w:r>
      <w:r>
        <w:t>with</w:t>
      </w:r>
      <w:r w:rsidRPr="008E2C17">
        <w:t xml:space="preserve"> </w:t>
      </w:r>
      <w:r>
        <w:t>86%</w:t>
      </w:r>
      <w:r w:rsidRPr="008E2C17">
        <w:t xml:space="preserve"> </w:t>
      </w:r>
      <w:r>
        <w:t>of</w:t>
      </w:r>
      <w:r w:rsidRPr="008E2C17">
        <w:t xml:space="preserve"> </w:t>
      </w:r>
      <w:r>
        <w:t>high</w:t>
      </w:r>
      <w:r w:rsidRPr="008E2C17">
        <w:t xml:space="preserve"> </w:t>
      </w:r>
      <w:r>
        <w:t>ammonium</w:t>
      </w:r>
      <w:r w:rsidRPr="008E2C17">
        <w:t xml:space="preserve"> </w:t>
      </w:r>
      <w:r>
        <w:t>levels</w:t>
      </w:r>
      <w:r w:rsidRPr="008E2C17">
        <w:t xml:space="preserve"> </w:t>
      </w:r>
      <w:r>
        <w:t>(&gt;30</w:t>
      </w:r>
      <w:r w:rsidRPr="008E2C17">
        <w:t xml:space="preserve"> </w:t>
      </w:r>
      <w:r>
        <w:t>µmol/L),</w:t>
      </w:r>
      <w:r w:rsidRPr="008E2C17">
        <w:t xml:space="preserve"> </w:t>
      </w:r>
      <w:r>
        <w:t>thereby indicating</w:t>
      </w:r>
      <w:r w:rsidRPr="008E2C17">
        <w:t xml:space="preserve"> </w:t>
      </w:r>
      <w:r>
        <w:t>approximately</w:t>
      </w:r>
      <w:r w:rsidRPr="008E2C17">
        <w:t xml:space="preserve"> </w:t>
      </w:r>
      <w:r>
        <w:t>the</w:t>
      </w:r>
      <w:r w:rsidRPr="008E2C17">
        <w:t xml:space="preserve"> </w:t>
      </w:r>
      <w:r>
        <w:t>threshold</w:t>
      </w:r>
      <w:r w:rsidRPr="008E2C17">
        <w:t xml:space="preserve"> </w:t>
      </w:r>
      <w:r>
        <w:t>of</w:t>
      </w:r>
      <w:r w:rsidRPr="008E2C17">
        <w:t xml:space="preserve"> </w:t>
      </w:r>
      <w:r>
        <w:t>glutamine</w:t>
      </w:r>
      <w:r w:rsidRPr="008E2C17">
        <w:t xml:space="preserve"> </w:t>
      </w:r>
      <w:r>
        <w:t>above</w:t>
      </w:r>
      <w:r w:rsidRPr="008E2C17">
        <w:t xml:space="preserve"> </w:t>
      </w:r>
      <w:r>
        <w:t>which</w:t>
      </w:r>
      <w:r w:rsidRPr="008E2C17">
        <w:t xml:space="preserve"> </w:t>
      </w:r>
      <w:r>
        <w:t>ammonium</w:t>
      </w:r>
      <w:r w:rsidRPr="008E2C17">
        <w:t xml:space="preserve"> </w:t>
      </w:r>
      <w:r>
        <w:t>accumulates.</w:t>
      </w:r>
    </w:p>
    <w:p w14:paraId="4B836EF3" w14:textId="77777777" w:rsidR="00436B89" w:rsidRDefault="00436B89" w:rsidP="00436B89">
      <w:pPr>
        <w:ind w:left="720"/>
      </w:pPr>
      <w:r>
        <w:t>In</w:t>
      </w:r>
      <w:r w:rsidRPr="008E2C17">
        <w:t xml:space="preserve"> </w:t>
      </w:r>
      <w:r>
        <w:t>ASS</w:t>
      </w:r>
      <w:r w:rsidRPr="008E2C17">
        <w:t xml:space="preserve"> </w:t>
      </w:r>
      <w:r>
        <w:t>patients</w:t>
      </w:r>
      <w:r w:rsidRPr="008E2C17">
        <w:t xml:space="preserve"> </w:t>
      </w:r>
      <w:r>
        <w:t>(Maestri</w:t>
      </w:r>
      <w:r w:rsidRPr="008E2C17">
        <w:t xml:space="preserve"> </w:t>
      </w:r>
      <w:r>
        <w:t>1995)</w:t>
      </w:r>
      <w:r w:rsidRPr="008E2C17">
        <w:t xml:space="preserve"> </w:t>
      </w:r>
      <w:r>
        <w:t>the</w:t>
      </w:r>
      <w:r w:rsidRPr="008E2C17">
        <w:t xml:space="preserve"> </w:t>
      </w:r>
      <w:r>
        <w:t>current</w:t>
      </w:r>
      <w:r w:rsidRPr="008E2C17">
        <w:t xml:space="preserve"> </w:t>
      </w:r>
      <w:r>
        <w:t>level</w:t>
      </w:r>
      <w:r w:rsidRPr="008E2C17">
        <w:t xml:space="preserve"> </w:t>
      </w:r>
      <w:r>
        <w:t>of</w:t>
      </w:r>
      <w:r w:rsidRPr="008E2C17">
        <w:t xml:space="preserve"> </w:t>
      </w:r>
      <w:r>
        <w:t>glutamine</w:t>
      </w:r>
      <w:r w:rsidRPr="008E2C17">
        <w:t xml:space="preserve"> </w:t>
      </w:r>
      <w:r>
        <w:t>in</w:t>
      </w:r>
      <w:r w:rsidRPr="008E2C17">
        <w:t xml:space="preserve"> </w:t>
      </w:r>
      <w:r>
        <w:t>surviving</w:t>
      </w:r>
      <w:r w:rsidRPr="008E2C17">
        <w:t xml:space="preserve"> </w:t>
      </w:r>
      <w:r>
        <w:t>patients</w:t>
      </w:r>
      <w:r w:rsidRPr="008E2C17">
        <w:t xml:space="preserve"> </w:t>
      </w:r>
      <w:r>
        <w:t>was</w:t>
      </w:r>
      <w:r w:rsidRPr="008E2C17">
        <w:t xml:space="preserve"> </w:t>
      </w:r>
      <w:r>
        <w:t>688 (246)</w:t>
      </w:r>
      <w:r w:rsidRPr="008E2C17">
        <w:t xml:space="preserve"> </w:t>
      </w:r>
      <w:r>
        <w:t>µmol/L</w:t>
      </w:r>
      <w:r w:rsidRPr="008E2C17">
        <w:t xml:space="preserve"> </w:t>
      </w:r>
      <w:r>
        <w:t>and</w:t>
      </w:r>
      <w:r w:rsidRPr="008E2C17">
        <w:t xml:space="preserve"> </w:t>
      </w:r>
      <w:r>
        <w:t>95%</w:t>
      </w:r>
      <w:r w:rsidRPr="008E2C17">
        <w:t xml:space="preserve"> </w:t>
      </w:r>
      <w:r>
        <w:t>of</w:t>
      </w:r>
      <w:r w:rsidRPr="008E2C17">
        <w:t xml:space="preserve"> </w:t>
      </w:r>
      <w:r>
        <w:t>plasma</w:t>
      </w:r>
      <w:r w:rsidRPr="008E2C17">
        <w:t xml:space="preserve"> </w:t>
      </w:r>
      <w:r>
        <w:t>glutamine</w:t>
      </w:r>
      <w:r w:rsidRPr="008E2C17">
        <w:t xml:space="preserve"> </w:t>
      </w:r>
      <w:r>
        <w:t>values</w:t>
      </w:r>
      <w:r w:rsidRPr="008E2C17">
        <w:t xml:space="preserve"> </w:t>
      </w:r>
      <w:r>
        <w:t>were</w:t>
      </w:r>
      <w:r w:rsidRPr="008E2C17">
        <w:t xml:space="preserve"> </w:t>
      </w:r>
      <w:r>
        <w:t>&lt;1080</w:t>
      </w:r>
      <w:r w:rsidRPr="008E2C17">
        <w:t xml:space="preserve"> </w:t>
      </w:r>
      <w:r>
        <w:t>µmol/L,</w:t>
      </w:r>
      <w:r w:rsidRPr="008E2C17">
        <w:t xml:space="preserve"> </w:t>
      </w:r>
      <w:r>
        <w:t>a</w:t>
      </w:r>
      <w:r w:rsidRPr="008E2C17">
        <w:t xml:space="preserve"> </w:t>
      </w:r>
      <w:r>
        <w:t>level</w:t>
      </w:r>
      <w:r w:rsidRPr="008E2C17">
        <w:t xml:space="preserve"> </w:t>
      </w:r>
      <w:r>
        <w:t>unlikely</w:t>
      </w:r>
      <w:r w:rsidRPr="008E2C17">
        <w:t xml:space="preserve"> </w:t>
      </w:r>
      <w:r>
        <w:t>to</w:t>
      </w:r>
      <w:r w:rsidRPr="008E2C17">
        <w:t xml:space="preserve"> </w:t>
      </w:r>
      <w:r>
        <w:t>be accompanied</w:t>
      </w:r>
      <w:r w:rsidRPr="008E2C17">
        <w:t xml:space="preserve"> </w:t>
      </w:r>
      <w:r>
        <w:t>by</w:t>
      </w:r>
      <w:r w:rsidRPr="008E2C17">
        <w:t xml:space="preserve"> </w:t>
      </w:r>
      <w:r>
        <w:t>hyperammonaemia.</w:t>
      </w:r>
    </w:p>
    <w:p w14:paraId="0C4438FF" w14:textId="6C42C31A" w:rsidR="00436B89" w:rsidRPr="00C92342" w:rsidRDefault="00436B89" w:rsidP="00177802">
      <w:pPr>
        <w:pStyle w:val="Heading5"/>
        <w:numPr>
          <w:ilvl w:val="3"/>
          <w:numId w:val="5"/>
        </w:numPr>
        <w:tabs>
          <w:tab w:val="clear" w:pos="1418"/>
          <w:tab w:val="num" w:pos="1191"/>
        </w:tabs>
        <w:ind w:left="1191"/>
      </w:pPr>
      <w:r>
        <w:t xml:space="preserve">Evaluator’s </w:t>
      </w:r>
      <w:r w:rsidR="00F21AE2">
        <w:t>a</w:t>
      </w:r>
      <w:r>
        <w:t>ssessment</w:t>
      </w:r>
    </w:p>
    <w:p w14:paraId="304B4483" w14:textId="77777777" w:rsidR="00436B89" w:rsidRDefault="00436B89" w:rsidP="00436B89">
      <w:r>
        <w:t xml:space="preserve">The presented data for the use of </w:t>
      </w:r>
      <w:r w:rsidRPr="00783D42">
        <w:t>sodium phenylbu</w:t>
      </w:r>
      <w:r>
        <w:t>tyrate in the treatment of UCDs suggests that the outcomes are improved compared to historical controls, especially for neurodevelopmental outcomes. These data support the treatment of UCDs with sodium</w:t>
      </w:r>
      <w:r w:rsidRPr="00783D42">
        <w:t xml:space="preserve"> phenylbu</w:t>
      </w:r>
      <w:r>
        <w:t>tyrate. The response is satisfactory.</w:t>
      </w:r>
    </w:p>
    <w:p w14:paraId="52902011" w14:textId="77777777" w:rsidR="00436B89" w:rsidRPr="00A613A8" w:rsidRDefault="00436B89" w:rsidP="00177802">
      <w:pPr>
        <w:pStyle w:val="Heading4"/>
        <w:numPr>
          <w:ilvl w:val="2"/>
          <w:numId w:val="5"/>
        </w:numPr>
      </w:pPr>
      <w:r w:rsidRPr="00A613A8">
        <w:t>Safety</w:t>
      </w:r>
    </w:p>
    <w:p w14:paraId="7E2B1B24" w14:textId="77777777" w:rsidR="00436B89" w:rsidRPr="008A5594" w:rsidRDefault="00436B89" w:rsidP="00436B89">
      <w:pPr>
        <w:pStyle w:val="Numberbullet0"/>
        <w:rPr>
          <w:b/>
          <w:i/>
        </w:rPr>
      </w:pPr>
      <w:r w:rsidRPr="008A5594">
        <w:rPr>
          <w:b/>
          <w:i/>
        </w:rPr>
        <w:t>The sponsor should supply a comp</w:t>
      </w:r>
      <w:r w:rsidR="00625EDD">
        <w:rPr>
          <w:b/>
          <w:i/>
        </w:rPr>
        <w:t>lete summary of all of the a</w:t>
      </w:r>
      <w:r w:rsidRPr="008A5594">
        <w:rPr>
          <w:b/>
          <w:i/>
        </w:rPr>
        <w:t>dverse events reported in all of the trials involving sodium phenylbutyrate in the treatment of UCDs.</w:t>
      </w:r>
    </w:p>
    <w:p w14:paraId="56BD34A7" w14:textId="376FD7A9" w:rsidR="00436B89" w:rsidRDefault="00436B89" w:rsidP="00177802">
      <w:pPr>
        <w:pStyle w:val="Heading5"/>
        <w:numPr>
          <w:ilvl w:val="3"/>
          <w:numId w:val="5"/>
        </w:numPr>
        <w:tabs>
          <w:tab w:val="clear" w:pos="1418"/>
          <w:tab w:val="num" w:pos="1191"/>
        </w:tabs>
        <w:ind w:left="1191"/>
      </w:pPr>
      <w:r>
        <w:t xml:space="preserve">Sponsor </w:t>
      </w:r>
      <w:r w:rsidR="00F21AE2">
        <w:t>r</w:t>
      </w:r>
      <w:r>
        <w:t>esponse</w:t>
      </w:r>
    </w:p>
    <w:p w14:paraId="3399DF2F" w14:textId="77777777" w:rsidR="00436B89" w:rsidRDefault="00436B89" w:rsidP="00436B89">
      <w:pPr>
        <w:ind w:left="720"/>
      </w:pPr>
      <w:r>
        <w:t>The sponsor provided a summary of the safety data for both the UCD and non-UCD populations.</w:t>
      </w:r>
    </w:p>
    <w:p w14:paraId="3113D2DC" w14:textId="6AA5C56C" w:rsidR="00436B89" w:rsidRDefault="00436B89" w:rsidP="00436B89">
      <w:pPr>
        <w:ind w:left="720"/>
      </w:pPr>
      <w:r>
        <w:t xml:space="preserve">During clinical trials with NaPB, the most frequently reported adverse reactions were those involving the reproductive system (23% of menstruating female patients reported amenorrhoea and/or irregular menstrual cycles) and gastrointestinal system (decreased appetite 4%, body odour 3% and bad taste/taste aversion 3%). An example of adverse events grouped by dosage of </w:t>
      </w:r>
      <w:r>
        <w:rPr>
          <w:w w:val="105"/>
        </w:rPr>
        <w:t>sodium</w:t>
      </w:r>
      <w:r>
        <w:rPr>
          <w:spacing w:val="-9"/>
          <w:w w:val="105"/>
        </w:rPr>
        <w:t xml:space="preserve"> </w:t>
      </w:r>
      <w:r>
        <w:rPr>
          <w:w w:val="105"/>
        </w:rPr>
        <w:t>phenylbutyrate [is shown in Table 4</w:t>
      </w:r>
      <w:r w:rsidR="00F934C3">
        <w:rPr>
          <w:w w:val="105"/>
        </w:rPr>
        <w:t>3</w:t>
      </w:r>
      <w:r>
        <w:rPr>
          <w:w w:val="105"/>
        </w:rPr>
        <w:t>].</w:t>
      </w:r>
    </w:p>
    <w:p w14:paraId="608D1205" w14:textId="7493BCC3" w:rsidR="00436B89" w:rsidRDefault="00436B89" w:rsidP="00436B89">
      <w:pPr>
        <w:pStyle w:val="Tabletitle"/>
        <w:rPr>
          <w:bCs/>
        </w:rPr>
      </w:pPr>
      <w:r>
        <w:rPr>
          <w:w w:val="105"/>
        </w:rPr>
        <w:t>Table</w:t>
      </w:r>
      <w:r>
        <w:rPr>
          <w:spacing w:val="-10"/>
          <w:w w:val="105"/>
        </w:rPr>
        <w:t xml:space="preserve"> </w:t>
      </w:r>
      <w:r>
        <w:rPr>
          <w:w w:val="105"/>
        </w:rPr>
        <w:t>4</w:t>
      </w:r>
      <w:r w:rsidR="00F934C3">
        <w:rPr>
          <w:w w:val="105"/>
        </w:rPr>
        <w:t>3</w:t>
      </w:r>
      <w:r>
        <w:rPr>
          <w:w w:val="105"/>
        </w:rPr>
        <w:t>:</w:t>
      </w:r>
      <w:r>
        <w:rPr>
          <w:spacing w:val="-11"/>
          <w:w w:val="105"/>
        </w:rPr>
        <w:t xml:space="preserve"> </w:t>
      </w:r>
      <w:r>
        <w:rPr>
          <w:spacing w:val="1"/>
          <w:w w:val="105"/>
        </w:rPr>
        <w:t>Adverse</w:t>
      </w:r>
      <w:r>
        <w:rPr>
          <w:spacing w:val="-11"/>
          <w:w w:val="105"/>
        </w:rPr>
        <w:t xml:space="preserve"> </w:t>
      </w:r>
      <w:r>
        <w:rPr>
          <w:w w:val="105"/>
        </w:rPr>
        <w:t>events</w:t>
      </w:r>
      <w:r>
        <w:rPr>
          <w:spacing w:val="-10"/>
          <w:w w:val="105"/>
        </w:rPr>
        <w:t xml:space="preserve"> </w:t>
      </w:r>
      <w:r>
        <w:rPr>
          <w:w w:val="105"/>
        </w:rPr>
        <w:t>according</w:t>
      </w:r>
      <w:r>
        <w:rPr>
          <w:spacing w:val="-10"/>
          <w:w w:val="105"/>
        </w:rPr>
        <w:t xml:space="preserve"> </w:t>
      </w:r>
      <w:r>
        <w:rPr>
          <w:w w:val="105"/>
        </w:rPr>
        <w:t>to</w:t>
      </w:r>
      <w:r>
        <w:rPr>
          <w:spacing w:val="-10"/>
          <w:w w:val="105"/>
        </w:rPr>
        <w:t xml:space="preserve"> </w:t>
      </w:r>
      <w:r>
        <w:rPr>
          <w:w w:val="105"/>
        </w:rPr>
        <w:t>dose</w:t>
      </w:r>
      <w:r>
        <w:rPr>
          <w:spacing w:val="-10"/>
          <w:w w:val="105"/>
        </w:rPr>
        <w:t xml:space="preserve"> </w:t>
      </w:r>
      <w:r>
        <w:rPr>
          <w:w w:val="105"/>
        </w:rPr>
        <w:t>of</w:t>
      </w:r>
      <w:r>
        <w:rPr>
          <w:spacing w:val="-11"/>
          <w:w w:val="105"/>
        </w:rPr>
        <w:t xml:space="preserve"> </w:t>
      </w:r>
      <w:r>
        <w:rPr>
          <w:w w:val="105"/>
        </w:rPr>
        <w:t>sodium</w:t>
      </w:r>
      <w:r>
        <w:rPr>
          <w:spacing w:val="-9"/>
          <w:w w:val="105"/>
        </w:rPr>
        <w:t xml:space="preserve"> </w:t>
      </w:r>
      <w:r>
        <w:rPr>
          <w:w w:val="105"/>
        </w:rPr>
        <w:t>phenylbutyrate</w:t>
      </w:r>
    </w:p>
    <w:tbl>
      <w:tblPr>
        <w:tblW w:w="9333" w:type="dxa"/>
        <w:tblInd w:w="5" w:type="dxa"/>
        <w:tblLayout w:type="fixed"/>
        <w:tblCellMar>
          <w:left w:w="0" w:type="dxa"/>
          <w:right w:w="0" w:type="dxa"/>
        </w:tblCellMar>
        <w:tblLook w:val="0000" w:firstRow="0" w:lastRow="0" w:firstColumn="0" w:lastColumn="0" w:noHBand="0" w:noVBand="0"/>
      </w:tblPr>
      <w:tblGrid>
        <w:gridCol w:w="1276"/>
        <w:gridCol w:w="992"/>
        <w:gridCol w:w="851"/>
        <w:gridCol w:w="850"/>
        <w:gridCol w:w="993"/>
        <w:gridCol w:w="850"/>
        <w:gridCol w:w="971"/>
        <w:gridCol w:w="850"/>
        <w:gridCol w:w="850"/>
        <w:gridCol w:w="850"/>
      </w:tblGrid>
      <w:tr w:rsidR="00177802" w:rsidRPr="004008AC" w14:paraId="7DFDE2B1" w14:textId="77777777" w:rsidTr="00F21AE2">
        <w:trPr>
          <w:gridAfter w:val="7"/>
          <w:wAfter w:w="6214" w:type="dxa"/>
          <w:cantSplit/>
          <w:trHeight w:val="360"/>
          <w:tblHeader/>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0070C0"/>
          </w:tcPr>
          <w:p w14:paraId="1EF92A54" w14:textId="77777777" w:rsidR="00177802" w:rsidRPr="004008AC" w:rsidRDefault="00177802" w:rsidP="00436B89">
            <w:pPr>
              <w:jc w:val="center"/>
              <w:rPr>
                <w:b/>
                <w:color w:val="FFFFFF" w:themeColor="background1"/>
                <w:sz w:val="18"/>
                <w:szCs w:val="18"/>
              </w:rPr>
            </w:pPr>
            <w:r w:rsidRPr="004008AC">
              <w:rPr>
                <w:b/>
                <w:color w:val="FFFFFF" w:themeColor="background1"/>
                <w:w w:val="105"/>
                <w:sz w:val="18"/>
                <w:szCs w:val="18"/>
              </w:rPr>
              <w:t>Ref.</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0070C0"/>
          </w:tcPr>
          <w:p w14:paraId="57D98A31" w14:textId="77777777" w:rsidR="00177802" w:rsidRPr="004008AC" w:rsidRDefault="00177802" w:rsidP="00436B89">
            <w:pPr>
              <w:jc w:val="center"/>
              <w:rPr>
                <w:b/>
                <w:color w:val="FFFFFF" w:themeColor="background1"/>
                <w:sz w:val="18"/>
                <w:szCs w:val="18"/>
              </w:rPr>
            </w:pPr>
            <w:r w:rsidRPr="004008AC">
              <w:rPr>
                <w:b/>
                <w:color w:val="FFFFFF" w:themeColor="background1"/>
                <w:spacing w:val="2"/>
                <w:w w:val="105"/>
                <w:sz w:val="18"/>
                <w:szCs w:val="18"/>
              </w:rPr>
              <w:t>D</w:t>
            </w:r>
            <w:r w:rsidRPr="004008AC">
              <w:rPr>
                <w:b/>
                <w:color w:val="FFFFFF" w:themeColor="background1"/>
                <w:spacing w:val="1"/>
                <w:w w:val="105"/>
                <w:sz w:val="18"/>
                <w:szCs w:val="18"/>
              </w:rPr>
              <w:t>os</w:t>
            </w:r>
            <w:r w:rsidRPr="004008AC">
              <w:rPr>
                <w:b/>
                <w:color w:val="FFFFFF" w:themeColor="background1"/>
                <w:w w:val="105"/>
                <w:sz w:val="18"/>
                <w:szCs w:val="18"/>
              </w:rPr>
              <w:t>e</w:t>
            </w:r>
            <w:r w:rsidRPr="004008AC">
              <w:rPr>
                <w:b/>
                <w:color w:val="FFFFFF" w:themeColor="background1"/>
                <w:w w:val="103"/>
                <w:sz w:val="18"/>
                <w:szCs w:val="18"/>
              </w:rPr>
              <w:t xml:space="preserve"> </w:t>
            </w:r>
            <w:r w:rsidRPr="004008AC">
              <w:rPr>
                <w:b/>
                <w:color w:val="FFFFFF" w:themeColor="background1"/>
                <w:sz w:val="18"/>
                <w:szCs w:val="18"/>
              </w:rPr>
              <w:t>g/kg/day</w:t>
            </w:r>
          </w:p>
        </w:tc>
        <w:tc>
          <w:tcPr>
            <w:tcW w:w="851" w:type="dxa"/>
            <w:vMerge w:val="restart"/>
            <w:tcBorders>
              <w:top w:val="single" w:sz="4" w:space="0" w:color="000000"/>
              <w:left w:val="single" w:sz="4" w:space="0" w:color="000000"/>
              <w:right w:val="single" w:sz="4" w:space="0" w:color="000000"/>
            </w:tcBorders>
            <w:shd w:val="clear" w:color="auto" w:fill="0070C0"/>
          </w:tcPr>
          <w:p w14:paraId="4F97640C" w14:textId="77777777" w:rsidR="00177802" w:rsidRPr="004008AC" w:rsidRDefault="00177802" w:rsidP="00436B89">
            <w:pPr>
              <w:jc w:val="center"/>
              <w:rPr>
                <w:b/>
                <w:color w:val="FFFFFF" w:themeColor="background1"/>
                <w:sz w:val="18"/>
                <w:szCs w:val="18"/>
              </w:rPr>
            </w:pPr>
            <w:r w:rsidRPr="004008AC">
              <w:rPr>
                <w:b/>
                <w:color w:val="FFFFFF" w:themeColor="background1"/>
                <w:spacing w:val="1"/>
                <w:w w:val="105"/>
                <w:sz w:val="18"/>
                <w:szCs w:val="18"/>
              </w:rPr>
              <w:t>Number</w:t>
            </w:r>
            <w:r w:rsidRPr="004008AC">
              <w:rPr>
                <w:b/>
                <w:color w:val="FFFFFF" w:themeColor="background1"/>
                <w:spacing w:val="-15"/>
                <w:w w:val="105"/>
                <w:sz w:val="18"/>
                <w:szCs w:val="18"/>
              </w:rPr>
              <w:t xml:space="preserve"> </w:t>
            </w:r>
            <w:r w:rsidRPr="004008AC">
              <w:rPr>
                <w:b/>
                <w:color w:val="FFFFFF" w:themeColor="background1"/>
                <w:w w:val="105"/>
                <w:sz w:val="18"/>
                <w:szCs w:val="18"/>
              </w:rPr>
              <w:t>of</w:t>
            </w:r>
            <w:r w:rsidRPr="004008AC">
              <w:rPr>
                <w:b/>
                <w:color w:val="FFFFFF" w:themeColor="background1"/>
                <w:spacing w:val="-14"/>
                <w:w w:val="105"/>
                <w:sz w:val="18"/>
                <w:szCs w:val="18"/>
              </w:rPr>
              <w:t xml:space="preserve"> </w:t>
            </w:r>
            <w:r w:rsidRPr="004008AC">
              <w:rPr>
                <w:b/>
                <w:color w:val="FFFFFF" w:themeColor="background1"/>
                <w:w w:val="105"/>
                <w:sz w:val="18"/>
                <w:szCs w:val="18"/>
              </w:rPr>
              <w:t>patients</w:t>
            </w:r>
          </w:p>
          <w:p w14:paraId="7DE60FED" w14:textId="77777777" w:rsidR="00177802" w:rsidRPr="004008AC" w:rsidRDefault="00177802" w:rsidP="00436B89">
            <w:pPr>
              <w:jc w:val="center"/>
              <w:rPr>
                <w:b/>
                <w:color w:val="FFFFFF" w:themeColor="background1"/>
                <w:sz w:val="18"/>
                <w:szCs w:val="18"/>
              </w:rPr>
            </w:pPr>
            <w:r w:rsidRPr="004008AC">
              <w:rPr>
                <w:b/>
                <w:color w:val="FFFFFF" w:themeColor="background1"/>
                <w:w w:val="105"/>
                <w:sz w:val="18"/>
                <w:szCs w:val="18"/>
              </w:rPr>
              <w:t>Per</w:t>
            </w:r>
            <w:r w:rsidRPr="004008AC">
              <w:rPr>
                <w:b/>
                <w:color w:val="FFFFFF" w:themeColor="background1"/>
                <w:spacing w:val="22"/>
                <w:w w:val="103"/>
                <w:sz w:val="18"/>
                <w:szCs w:val="18"/>
              </w:rPr>
              <w:t xml:space="preserve"> </w:t>
            </w:r>
            <w:r w:rsidRPr="004008AC">
              <w:rPr>
                <w:b/>
                <w:color w:val="FFFFFF" w:themeColor="background1"/>
                <w:sz w:val="18"/>
                <w:szCs w:val="18"/>
              </w:rPr>
              <w:t>group</w:t>
            </w:r>
          </w:p>
        </w:tc>
      </w:tr>
      <w:tr w:rsidR="00177802" w:rsidRPr="004008AC" w14:paraId="3910CB1D" w14:textId="77777777" w:rsidTr="00177802">
        <w:trPr>
          <w:cantSplit/>
          <w:trHeight w:hRule="exact" w:val="1383"/>
          <w:tblHeader/>
        </w:trPr>
        <w:tc>
          <w:tcPr>
            <w:tcW w:w="1276" w:type="dxa"/>
            <w:vMerge/>
            <w:tcBorders>
              <w:top w:val="single" w:sz="4" w:space="0" w:color="000000"/>
              <w:left w:val="single" w:sz="4" w:space="0" w:color="000000"/>
              <w:bottom w:val="single" w:sz="4" w:space="0" w:color="000000"/>
              <w:right w:val="single" w:sz="4" w:space="0" w:color="000000"/>
            </w:tcBorders>
            <w:shd w:val="clear" w:color="auto" w:fill="0070C0"/>
          </w:tcPr>
          <w:p w14:paraId="0FEE9A36" w14:textId="77777777" w:rsidR="00177802" w:rsidRPr="004008AC" w:rsidRDefault="00177802" w:rsidP="00436B89">
            <w:pPr>
              <w:jc w:val="center"/>
              <w:rPr>
                <w:b/>
                <w:color w:val="FFFFFF" w:themeColor="background1"/>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0070C0"/>
          </w:tcPr>
          <w:p w14:paraId="4F9ED179" w14:textId="77777777" w:rsidR="00177802" w:rsidRPr="004008AC" w:rsidRDefault="00177802" w:rsidP="00436B89">
            <w:pPr>
              <w:jc w:val="center"/>
              <w:rPr>
                <w:b/>
                <w:color w:val="FFFFFF" w:themeColor="background1"/>
                <w:sz w:val="18"/>
                <w:szCs w:val="18"/>
              </w:rPr>
            </w:pPr>
          </w:p>
        </w:tc>
        <w:tc>
          <w:tcPr>
            <w:tcW w:w="851" w:type="dxa"/>
            <w:vMerge/>
            <w:tcBorders>
              <w:left w:val="single" w:sz="4" w:space="0" w:color="000000"/>
              <w:bottom w:val="single" w:sz="4" w:space="0" w:color="000000"/>
              <w:right w:val="single" w:sz="4" w:space="0" w:color="000000"/>
            </w:tcBorders>
            <w:shd w:val="clear" w:color="auto" w:fill="0070C0"/>
          </w:tcPr>
          <w:p w14:paraId="1AD6F037" w14:textId="77777777" w:rsidR="00177802" w:rsidRPr="004008AC" w:rsidRDefault="00177802" w:rsidP="00436B89">
            <w:pPr>
              <w:jc w:val="center"/>
              <w:rPr>
                <w:b/>
                <w:color w:val="FFFFFF" w:themeColor="background1"/>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Pr>
          <w:p w14:paraId="42CA3EFA" w14:textId="77777777" w:rsidR="00177802" w:rsidRPr="004008AC" w:rsidRDefault="00177802" w:rsidP="00436B89">
            <w:pPr>
              <w:jc w:val="center"/>
              <w:rPr>
                <w:b/>
                <w:color w:val="FFFFFF" w:themeColor="background1"/>
                <w:sz w:val="18"/>
                <w:szCs w:val="18"/>
              </w:rPr>
            </w:pPr>
            <w:r w:rsidRPr="004008AC">
              <w:rPr>
                <w:b/>
                <w:color w:val="FFFFFF" w:themeColor="background1"/>
                <w:spacing w:val="2"/>
                <w:w w:val="105"/>
                <w:sz w:val="18"/>
                <w:szCs w:val="18"/>
              </w:rPr>
              <w:t>N</w:t>
            </w:r>
            <w:r w:rsidRPr="004008AC">
              <w:rPr>
                <w:b/>
                <w:color w:val="FFFFFF" w:themeColor="background1"/>
                <w:spacing w:val="1"/>
                <w:w w:val="105"/>
                <w:sz w:val="18"/>
                <w:szCs w:val="18"/>
              </w:rPr>
              <w:t>ause</w:t>
            </w:r>
            <w:r w:rsidRPr="004008AC">
              <w:rPr>
                <w:b/>
                <w:color w:val="FFFFFF" w:themeColor="background1"/>
                <w:w w:val="105"/>
                <w:sz w:val="18"/>
                <w:szCs w:val="18"/>
              </w:rPr>
              <w:t>a</w:t>
            </w:r>
            <w:r w:rsidRPr="004008AC">
              <w:rPr>
                <w:b/>
                <w:color w:val="FFFFFF" w:themeColor="background1"/>
                <w:w w:val="103"/>
                <w:sz w:val="18"/>
                <w:szCs w:val="18"/>
              </w:rPr>
              <w:t xml:space="preserve"> </w:t>
            </w:r>
            <w:r w:rsidRPr="004008AC">
              <w:rPr>
                <w:b/>
                <w:color w:val="FFFFFF" w:themeColor="background1"/>
                <w:w w:val="105"/>
                <w:sz w:val="18"/>
                <w:szCs w:val="18"/>
              </w:rPr>
              <w:t>and/or</w:t>
            </w:r>
            <w:r w:rsidRPr="004008AC">
              <w:rPr>
                <w:b/>
                <w:color w:val="FFFFFF" w:themeColor="background1"/>
                <w:spacing w:val="26"/>
                <w:w w:val="103"/>
                <w:sz w:val="18"/>
                <w:szCs w:val="18"/>
              </w:rPr>
              <w:t xml:space="preserve"> </w:t>
            </w:r>
            <w:r w:rsidRPr="004008AC">
              <w:rPr>
                <w:b/>
                <w:color w:val="FFFFFF" w:themeColor="background1"/>
                <w:sz w:val="18"/>
                <w:szCs w:val="18"/>
              </w:rPr>
              <w:t>vomiting</w:t>
            </w:r>
          </w:p>
        </w:tc>
        <w:tc>
          <w:tcPr>
            <w:tcW w:w="993" w:type="dxa"/>
            <w:tcBorders>
              <w:top w:val="single" w:sz="4" w:space="0" w:color="000000"/>
              <w:left w:val="single" w:sz="4" w:space="0" w:color="000000"/>
              <w:bottom w:val="single" w:sz="4" w:space="0" w:color="000000"/>
              <w:right w:val="single" w:sz="4" w:space="0" w:color="000000"/>
            </w:tcBorders>
            <w:shd w:val="clear" w:color="auto" w:fill="0070C0"/>
          </w:tcPr>
          <w:p w14:paraId="63DEE438" w14:textId="77777777" w:rsidR="00177802" w:rsidRPr="004008AC" w:rsidRDefault="00177802" w:rsidP="00436B89">
            <w:pPr>
              <w:jc w:val="center"/>
              <w:rPr>
                <w:b/>
                <w:color w:val="FFFFFF" w:themeColor="background1"/>
                <w:sz w:val="18"/>
                <w:szCs w:val="18"/>
              </w:rPr>
            </w:pPr>
            <w:r w:rsidRPr="004008AC">
              <w:rPr>
                <w:b/>
                <w:color w:val="FFFFFF" w:themeColor="background1"/>
                <w:w w:val="105"/>
                <w:sz w:val="18"/>
                <w:szCs w:val="18"/>
              </w:rPr>
              <w:t>Dyspepsia</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Pr>
          <w:p w14:paraId="78E62BA8" w14:textId="77777777" w:rsidR="00177802" w:rsidRPr="004008AC" w:rsidRDefault="00177802" w:rsidP="00436B89">
            <w:pPr>
              <w:jc w:val="center"/>
              <w:rPr>
                <w:b/>
                <w:color w:val="FFFFFF" w:themeColor="background1"/>
                <w:sz w:val="18"/>
                <w:szCs w:val="18"/>
              </w:rPr>
            </w:pPr>
            <w:r w:rsidRPr="004008AC">
              <w:rPr>
                <w:b/>
                <w:color w:val="FFFFFF" w:themeColor="background1"/>
                <w:w w:val="105"/>
                <w:sz w:val="18"/>
                <w:szCs w:val="18"/>
              </w:rPr>
              <w:t>Fatigue</w:t>
            </w:r>
          </w:p>
        </w:tc>
        <w:tc>
          <w:tcPr>
            <w:tcW w:w="971" w:type="dxa"/>
            <w:tcBorders>
              <w:top w:val="single" w:sz="4" w:space="0" w:color="000000"/>
              <w:left w:val="single" w:sz="4" w:space="0" w:color="000000"/>
              <w:bottom w:val="single" w:sz="4" w:space="0" w:color="000000"/>
              <w:right w:val="single" w:sz="4" w:space="0" w:color="000000"/>
            </w:tcBorders>
            <w:shd w:val="clear" w:color="auto" w:fill="0070C0"/>
          </w:tcPr>
          <w:p w14:paraId="3125BAC7" w14:textId="77777777" w:rsidR="00177802" w:rsidRPr="004008AC" w:rsidRDefault="00177802" w:rsidP="00436B89">
            <w:pPr>
              <w:jc w:val="center"/>
              <w:rPr>
                <w:b/>
                <w:color w:val="FFFFFF" w:themeColor="background1"/>
                <w:sz w:val="18"/>
                <w:szCs w:val="18"/>
              </w:rPr>
            </w:pPr>
            <w:r w:rsidRPr="004008AC">
              <w:rPr>
                <w:b/>
                <w:color w:val="FFFFFF" w:themeColor="background1"/>
                <w:sz w:val="18"/>
                <w:szCs w:val="18"/>
              </w:rPr>
              <w:t>Confusion/</w:t>
            </w:r>
            <w:r w:rsidRPr="004008AC">
              <w:rPr>
                <w:b/>
                <w:color w:val="FFFFFF" w:themeColor="background1"/>
                <w:spacing w:val="29"/>
                <w:w w:val="103"/>
                <w:sz w:val="18"/>
                <w:szCs w:val="18"/>
              </w:rPr>
              <w:t xml:space="preserve"> </w:t>
            </w:r>
            <w:r w:rsidRPr="004008AC">
              <w:rPr>
                <w:b/>
                <w:color w:val="FFFFFF" w:themeColor="background1"/>
                <w:sz w:val="18"/>
                <w:szCs w:val="18"/>
              </w:rPr>
              <w:t>drowsiness</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Pr>
          <w:p w14:paraId="0F7B29C1" w14:textId="77777777" w:rsidR="00177802" w:rsidRPr="004008AC" w:rsidRDefault="00177802" w:rsidP="00436B89">
            <w:pPr>
              <w:jc w:val="center"/>
              <w:rPr>
                <w:b/>
                <w:color w:val="FFFFFF" w:themeColor="background1"/>
                <w:sz w:val="18"/>
                <w:szCs w:val="18"/>
              </w:rPr>
            </w:pPr>
            <w:r w:rsidRPr="004008AC">
              <w:rPr>
                <w:b/>
                <w:color w:val="FFFFFF" w:themeColor="background1"/>
                <w:spacing w:val="2"/>
                <w:w w:val="105"/>
                <w:sz w:val="18"/>
                <w:szCs w:val="18"/>
              </w:rPr>
              <w:t>O</w:t>
            </w:r>
            <w:r w:rsidRPr="004008AC">
              <w:rPr>
                <w:b/>
                <w:color w:val="FFFFFF" w:themeColor="background1"/>
                <w:spacing w:val="1"/>
                <w:w w:val="105"/>
                <w:sz w:val="18"/>
                <w:szCs w:val="18"/>
              </w:rPr>
              <w:t>do</w:t>
            </w:r>
            <w:r>
              <w:rPr>
                <w:b/>
                <w:color w:val="FFFFFF" w:themeColor="background1"/>
                <w:spacing w:val="1"/>
                <w:w w:val="105"/>
                <w:sz w:val="18"/>
                <w:szCs w:val="18"/>
              </w:rPr>
              <w:t>u</w:t>
            </w:r>
            <w:r w:rsidRPr="004008AC">
              <w:rPr>
                <w:b/>
                <w:color w:val="FFFFFF" w:themeColor="background1"/>
                <w:w w:val="105"/>
                <w:sz w:val="18"/>
                <w:szCs w:val="18"/>
              </w:rPr>
              <w:t>r</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Pr>
          <w:p w14:paraId="02FD9334" w14:textId="77777777" w:rsidR="00177802" w:rsidRPr="004008AC" w:rsidRDefault="00177802" w:rsidP="00436B89">
            <w:pPr>
              <w:jc w:val="center"/>
              <w:rPr>
                <w:b/>
                <w:color w:val="FFFFFF" w:themeColor="background1"/>
                <w:sz w:val="18"/>
                <w:szCs w:val="18"/>
              </w:rPr>
            </w:pPr>
            <w:r>
              <w:rPr>
                <w:b/>
                <w:color w:val="FFFFFF" w:themeColor="background1"/>
                <w:spacing w:val="1"/>
                <w:w w:val="105"/>
                <w:sz w:val="18"/>
                <w:szCs w:val="18"/>
              </w:rPr>
              <w:t>Oe</w:t>
            </w:r>
            <w:r w:rsidRPr="004008AC">
              <w:rPr>
                <w:b/>
                <w:color w:val="FFFFFF" w:themeColor="background1"/>
                <w:spacing w:val="1"/>
                <w:w w:val="105"/>
                <w:sz w:val="18"/>
                <w:szCs w:val="18"/>
              </w:rPr>
              <w:t>dema</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Pr>
          <w:p w14:paraId="5504ED4F" w14:textId="77777777" w:rsidR="00177802" w:rsidRPr="004008AC" w:rsidRDefault="00625EDD" w:rsidP="00436B89">
            <w:pPr>
              <w:jc w:val="center"/>
              <w:rPr>
                <w:b/>
                <w:color w:val="FFFFFF" w:themeColor="background1"/>
                <w:sz w:val="18"/>
                <w:szCs w:val="18"/>
              </w:rPr>
            </w:pPr>
            <w:r w:rsidRPr="004008AC">
              <w:rPr>
                <w:b/>
                <w:color w:val="FFFFFF" w:themeColor="background1"/>
                <w:w w:val="105"/>
                <w:sz w:val="18"/>
                <w:szCs w:val="18"/>
              </w:rPr>
              <w:t>Hypocalc</w:t>
            </w:r>
            <w:r>
              <w:rPr>
                <w:b/>
                <w:color w:val="FFFFFF" w:themeColor="background1"/>
                <w:w w:val="105"/>
                <w:sz w:val="18"/>
                <w:szCs w:val="18"/>
              </w:rPr>
              <w:t>a</w:t>
            </w:r>
            <w:r w:rsidRPr="004008AC">
              <w:rPr>
                <w:b/>
                <w:color w:val="FFFFFF" w:themeColor="background1"/>
                <w:w w:val="105"/>
                <w:sz w:val="18"/>
                <w:szCs w:val="18"/>
              </w:rPr>
              <w:t>emia</w:t>
            </w:r>
          </w:p>
        </w:tc>
      </w:tr>
      <w:tr w:rsidR="00436B89" w14:paraId="39E6626B" w14:textId="77777777" w:rsidTr="00436B89">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Pr>
          <w:p w14:paraId="544CF917" w14:textId="77777777" w:rsidR="00436B89" w:rsidRPr="004008AC" w:rsidRDefault="00436B89" w:rsidP="00436B89">
            <w:pPr>
              <w:jc w:val="center"/>
              <w:rPr>
                <w:sz w:val="18"/>
                <w:szCs w:val="18"/>
              </w:rPr>
            </w:pPr>
            <w:r w:rsidRPr="004008AC">
              <w:rPr>
                <w:sz w:val="18"/>
                <w:szCs w:val="18"/>
              </w:rPr>
              <w:t>Gilbert</w:t>
            </w:r>
            <w:r w:rsidRPr="004008AC">
              <w:rPr>
                <w:spacing w:val="24"/>
                <w:w w:val="103"/>
                <w:sz w:val="18"/>
                <w:szCs w:val="18"/>
              </w:rPr>
              <w:t xml:space="preserve"> </w:t>
            </w:r>
            <w:r w:rsidRPr="004008AC">
              <w:rPr>
                <w:spacing w:val="1"/>
                <w:w w:val="105"/>
                <w:sz w:val="18"/>
                <w:szCs w:val="18"/>
              </w:rPr>
              <w:t>2001</w:t>
            </w:r>
          </w:p>
        </w:tc>
        <w:tc>
          <w:tcPr>
            <w:tcW w:w="992" w:type="dxa"/>
            <w:tcBorders>
              <w:top w:val="single" w:sz="4" w:space="0" w:color="000000"/>
              <w:left w:val="single" w:sz="4" w:space="0" w:color="000000"/>
              <w:bottom w:val="single" w:sz="4" w:space="0" w:color="000000"/>
              <w:right w:val="single" w:sz="4" w:space="0" w:color="000000"/>
            </w:tcBorders>
          </w:tcPr>
          <w:p w14:paraId="27FCD43A" w14:textId="77777777" w:rsidR="00436B89" w:rsidRPr="004008AC" w:rsidRDefault="00436B89" w:rsidP="00436B89">
            <w:pPr>
              <w:jc w:val="center"/>
              <w:rPr>
                <w:sz w:val="18"/>
                <w:szCs w:val="18"/>
              </w:rPr>
            </w:pPr>
            <w:r w:rsidRPr="004008AC">
              <w:rPr>
                <w:w w:val="105"/>
                <w:sz w:val="18"/>
                <w:szCs w:val="18"/>
              </w:rPr>
              <w:t>9</w:t>
            </w:r>
          </w:p>
        </w:tc>
        <w:tc>
          <w:tcPr>
            <w:tcW w:w="851" w:type="dxa"/>
            <w:tcBorders>
              <w:top w:val="single" w:sz="4" w:space="0" w:color="000000"/>
              <w:left w:val="single" w:sz="4" w:space="0" w:color="000000"/>
              <w:bottom w:val="single" w:sz="4" w:space="0" w:color="000000"/>
              <w:right w:val="single" w:sz="4" w:space="0" w:color="000000"/>
            </w:tcBorders>
          </w:tcPr>
          <w:p w14:paraId="29668BFD" w14:textId="77777777" w:rsidR="00436B89" w:rsidRPr="004008AC" w:rsidRDefault="00436B89" w:rsidP="00436B89">
            <w:pPr>
              <w:jc w:val="center"/>
              <w:rPr>
                <w:sz w:val="18"/>
                <w:szCs w:val="18"/>
              </w:rPr>
            </w:pPr>
            <w:r w:rsidRPr="004008AC">
              <w:rPr>
                <w:w w:val="105"/>
                <w:sz w:val="18"/>
                <w:szCs w:val="18"/>
              </w:rPr>
              <w:t>4</w:t>
            </w:r>
          </w:p>
        </w:tc>
        <w:tc>
          <w:tcPr>
            <w:tcW w:w="850" w:type="dxa"/>
            <w:tcBorders>
              <w:top w:val="single" w:sz="4" w:space="0" w:color="000000"/>
              <w:left w:val="single" w:sz="4" w:space="0" w:color="000000"/>
              <w:bottom w:val="single" w:sz="4" w:space="0" w:color="000000"/>
              <w:right w:val="single" w:sz="4" w:space="0" w:color="000000"/>
            </w:tcBorders>
          </w:tcPr>
          <w:p w14:paraId="5E15375C" w14:textId="77777777" w:rsidR="00436B89" w:rsidRPr="004008AC" w:rsidRDefault="00436B89" w:rsidP="00436B89">
            <w:pPr>
              <w:jc w:val="center"/>
              <w:rPr>
                <w:sz w:val="18"/>
                <w:szCs w:val="18"/>
              </w:rPr>
            </w:pPr>
            <w:r w:rsidRPr="004008AC">
              <w:rPr>
                <w:w w:val="105"/>
                <w:sz w:val="18"/>
                <w:szCs w:val="18"/>
              </w:rPr>
              <w:t>3</w:t>
            </w:r>
          </w:p>
        </w:tc>
        <w:tc>
          <w:tcPr>
            <w:tcW w:w="993" w:type="dxa"/>
            <w:tcBorders>
              <w:top w:val="single" w:sz="4" w:space="0" w:color="000000"/>
              <w:left w:val="single" w:sz="4" w:space="0" w:color="000000"/>
              <w:bottom w:val="single" w:sz="4" w:space="0" w:color="000000"/>
              <w:right w:val="single" w:sz="4" w:space="0" w:color="000000"/>
            </w:tcBorders>
          </w:tcPr>
          <w:p w14:paraId="6EF9A514" w14:textId="77777777" w:rsidR="00436B89" w:rsidRPr="004008AC" w:rsidRDefault="00436B89" w:rsidP="00436B89">
            <w:pPr>
              <w:jc w:val="center"/>
              <w:rPr>
                <w:sz w:val="18"/>
                <w:szCs w:val="18"/>
              </w:rPr>
            </w:pPr>
            <w:r w:rsidRPr="004008AC">
              <w:rPr>
                <w:w w:val="105"/>
                <w:sz w:val="18"/>
                <w:szCs w:val="18"/>
              </w:rPr>
              <w:t>3</w:t>
            </w:r>
          </w:p>
        </w:tc>
        <w:tc>
          <w:tcPr>
            <w:tcW w:w="850" w:type="dxa"/>
            <w:tcBorders>
              <w:top w:val="single" w:sz="4" w:space="0" w:color="000000"/>
              <w:left w:val="single" w:sz="4" w:space="0" w:color="000000"/>
              <w:bottom w:val="single" w:sz="4" w:space="0" w:color="000000"/>
              <w:right w:val="single" w:sz="4" w:space="0" w:color="000000"/>
            </w:tcBorders>
          </w:tcPr>
          <w:p w14:paraId="7A3ED63D" w14:textId="77777777" w:rsidR="00436B89" w:rsidRPr="004008AC" w:rsidRDefault="00436B89" w:rsidP="00436B89">
            <w:pPr>
              <w:jc w:val="center"/>
              <w:rPr>
                <w:sz w:val="18"/>
                <w:szCs w:val="18"/>
              </w:rPr>
            </w:pPr>
            <w:r w:rsidRPr="004008AC">
              <w:rPr>
                <w:w w:val="105"/>
                <w:sz w:val="18"/>
                <w:szCs w:val="18"/>
              </w:rPr>
              <w:t>4</w:t>
            </w:r>
          </w:p>
        </w:tc>
        <w:tc>
          <w:tcPr>
            <w:tcW w:w="971" w:type="dxa"/>
            <w:tcBorders>
              <w:top w:val="single" w:sz="4" w:space="0" w:color="000000"/>
              <w:left w:val="single" w:sz="4" w:space="0" w:color="000000"/>
              <w:bottom w:val="single" w:sz="4" w:space="0" w:color="000000"/>
              <w:right w:val="single" w:sz="4" w:space="0" w:color="000000"/>
            </w:tcBorders>
          </w:tcPr>
          <w:p w14:paraId="57ADEA9A" w14:textId="77777777" w:rsidR="00436B89" w:rsidRPr="004008AC" w:rsidRDefault="00436B89" w:rsidP="00436B89">
            <w:pPr>
              <w:jc w:val="center"/>
              <w:rPr>
                <w:sz w:val="18"/>
                <w:szCs w:val="18"/>
              </w:rPr>
            </w:pPr>
            <w:r w:rsidRPr="004008AC">
              <w:rPr>
                <w:w w:val="105"/>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14:paraId="460E0D4E" w14:textId="77777777" w:rsidR="00436B89" w:rsidRPr="004008AC" w:rsidRDefault="00436B89" w:rsidP="00436B89">
            <w:pPr>
              <w:jc w:val="center"/>
              <w:rPr>
                <w:sz w:val="18"/>
                <w:szCs w:val="18"/>
              </w:rPr>
            </w:pPr>
            <w:r w:rsidRPr="004008AC">
              <w:rPr>
                <w:w w:val="105"/>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14:paraId="242150BD" w14:textId="77777777" w:rsidR="00436B89" w:rsidRPr="004008AC" w:rsidRDefault="00436B89" w:rsidP="00436B89">
            <w:pPr>
              <w:jc w:val="center"/>
              <w:rPr>
                <w:sz w:val="18"/>
                <w:szCs w:val="18"/>
              </w:rPr>
            </w:pPr>
            <w:r w:rsidRPr="004008AC">
              <w:rPr>
                <w:w w:val="105"/>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14:paraId="2D232F9D" w14:textId="77777777" w:rsidR="00436B89" w:rsidRPr="004008AC" w:rsidRDefault="00436B89" w:rsidP="00436B89">
            <w:pPr>
              <w:jc w:val="center"/>
              <w:rPr>
                <w:sz w:val="18"/>
                <w:szCs w:val="18"/>
              </w:rPr>
            </w:pPr>
            <w:r w:rsidRPr="004008AC">
              <w:rPr>
                <w:w w:val="105"/>
                <w:sz w:val="18"/>
                <w:szCs w:val="18"/>
              </w:rPr>
              <w:t>0</w:t>
            </w:r>
          </w:p>
        </w:tc>
      </w:tr>
      <w:tr w:rsidR="00436B89" w14:paraId="56BF0D74" w14:textId="77777777" w:rsidTr="00436B89">
        <w:trPr>
          <w:trHeight w:val="20"/>
        </w:trPr>
        <w:tc>
          <w:tcPr>
            <w:tcW w:w="1276" w:type="dxa"/>
            <w:vMerge/>
            <w:tcBorders>
              <w:top w:val="single" w:sz="4" w:space="0" w:color="000000"/>
              <w:left w:val="single" w:sz="4" w:space="0" w:color="000000"/>
              <w:bottom w:val="single" w:sz="4" w:space="0" w:color="000000"/>
              <w:right w:val="single" w:sz="4" w:space="0" w:color="000000"/>
            </w:tcBorders>
          </w:tcPr>
          <w:p w14:paraId="565A682E" w14:textId="77777777" w:rsidR="00436B89" w:rsidRPr="004008AC" w:rsidRDefault="00436B89" w:rsidP="00436B89">
            <w:pPr>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655B8739" w14:textId="77777777" w:rsidR="00436B89" w:rsidRPr="004008AC" w:rsidRDefault="00436B89" w:rsidP="00436B89">
            <w:pPr>
              <w:jc w:val="center"/>
              <w:rPr>
                <w:sz w:val="18"/>
                <w:szCs w:val="18"/>
              </w:rPr>
            </w:pPr>
            <w:r w:rsidRPr="004008AC">
              <w:rPr>
                <w:spacing w:val="1"/>
                <w:w w:val="105"/>
                <w:sz w:val="18"/>
                <w:szCs w:val="18"/>
              </w:rPr>
              <w:t>18</w:t>
            </w:r>
          </w:p>
        </w:tc>
        <w:tc>
          <w:tcPr>
            <w:tcW w:w="851" w:type="dxa"/>
            <w:tcBorders>
              <w:top w:val="single" w:sz="4" w:space="0" w:color="000000"/>
              <w:left w:val="single" w:sz="4" w:space="0" w:color="000000"/>
              <w:bottom w:val="single" w:sz="4" w:space="0" w:color="000000"/>
              <w:right w:val="single" w:sz="4" w:space="0" w:color="000000"/>
            </w:tcBorders>
          </w:tcPr>
          <w:p w14:paraId="035F7FBC" w14:textId="77777777" w:rsidR="00436B89" w:rsidRPr="004008AC" w:rsidRDefault="00436B89" w:rsidP="00436B89">
            <w:pPr>
              <w:jc w:val="center"/>
              <w:rPr>
                <w:sz w:val="18"/>
                <w:szCs w:val="18"/>
              </w:rPr>
            </w:pPr>
            <w:r w:rsidRPr="004008AC">
              <w:rPr>
                <w:w w:val="105"/>
                <w:sz w:val="18"/>
                <w:szCs w:val="18"/>
              </w:rPr>
              <w:t>4</w:t>
            </w:r>
          </w:p>
        </w:tc>
        <w:tc>
          <w:tcPr>
            <w:tcW w:w="850" w:type="dxa"/>
            <w:tcBorders>
              <w:top w:val="single" w:sz="4" w:space="0" w:color="000000"/>
              <w:left w:val="single" w:sz="4" w:space="0" w:color="000000"/>
              <w:bottom w:val="single" w:sz="4" w:space="0" w:color="000000"/>
              <w:right w:val="single" w:sz="4" w:space="0" w:color="000000"/>
            </w:tcBorders>
          </w:tcPr>
          <w:p w14:paraId="01B4039A" w14:textId="77777777" w:rsidR="00436B89" w:rsidRPr="004008AC" w:rsidRDefault="00436B89" w:rsidP="00436B89">
            <w:pPr>
              <w:jc w:val="center"/>
              <w:rPr>
                <w:sz w:val="18"/>
                <w:szCs w:val="18"/>
              </w:rPr>
            </w:pPr>
            <w:r w:rsidRPr="004008AC">
              <w:rPr>
                <w:w w:val="105"/>
                <w:sz w:val="18"/>
                <w:szCs w:val="18"/>
              </w:rPr>
              <w:t>3</w:t>
            </w:r>
          </w:p>
        </w:tc>
        <w:tc>
          <w:tcPr>
            <w:tcW w:w="993" w:type="dxa"/>
            <w:tcBorders>
              <w:top w:val="single" w:sz="4" w:space="0" w:color="000000"/>
              <w:left w:val="single" w:sz="4" w:space="0" w:color="000000"/>
              <w:bottom w:val="single" w:sz="4" w:space="0" w:color="000000"/>
              <w:right w:val="single" w:sz="4" w:space="0" w:color="000000"/>
            </w:tcBorders>
          </w:tcPr>
          <w:p w14:paraId="71FAD62D" w14:textId="77777777" w:rsidR="00436B89" w:rsidRPr="004008AC" w:rsidRDefault="00436B89" w:rsidP="00436B89">
            <w:pPr>
              <w:jc w:val="center"/>
              <w:rPr>
                <w:sz w:val="18"/>
                <w:szCs w:val="18"/>
              </w:rPr>
            </w:pPr>
            <w:r w:rsidRPr="004008AC">
              <w:rPr>
                <w:w w:val="105"/>
                <w:sz w:val="18"/>
                <w:szCs w:val="18"/>
              </w:rPr>
              <w:t>3</w:t>
            </w:r>
          </w:p>
        </w:tc>
        <w:tc>
          <w:tcPr>
            <w:tcW w:w="850" w:type="dxa"/>
            <w:tcBorders>
              <w:top w:val="single" w:sz="4" w:space="0" w:color="000000"/>
              <w:left w:val="single" w:sz="4" w:space="0" w:color="000000"/>
              <w:bottom w:val="single" w:sz="4" w:space="0" w:color="000000"/>
              <w:right w:val="single" w:sz="4" w:space="0" w:color="000000"/>
            </w:tcBorders>
          </w:tcPr>
          <w:p w14:paraId="3EF77523" w14:textId="77777777" w:rsidR="00436B89" w:rsidRPr="004008AC" w:rsidRDefault="00436B89" w:rsidP="00436B89">
            <w:pPr>
              <w:jc w:val="center"/>
              <w:rPr>
                <w:sz w:val="18"/>
                <w:szCs w:val="18"/>
              </w:rPr>
            </w:pPr>
            <w:r w:rsidRPr="004008AC">
              <w:rPr>
                <w:w w:val="105"/>
                <w:sz w:val="18"/>
                <w:szCs w:val="18"/>
              </w:rPr>
              <w:t>3</w:t>
            </w:r>
          </w:p>
        </w:tc>
        <w:tc>
          <w:tcPr>
            <w:tcW w:w="971" w:type="dxa"/>
            <w:tcBorders>
              <w:top w:val="single" w:sz="4" w:space="0" w:color="000000"/>
              <w:left w:val="single" w:sz="4" w:space="0" w:color="000000"/>
              <w:bottom w:val="single" w:sz="4" w:space="0" w:color="000000"/>
              <w:right w:val="single" w:sz="4" w:space="0" w:color="000000"/>
            </w:tcBorders>
          </w:tcPr>
          <w:p w14:paraId="365582C7" w14:textId="77777777" w:rsidR="00436B89" w:rsidRPr="004008AC" w:rsidRDefault="00436B89" w:rsidP="00436B89">
            <w:pPr>
              <w:jc w:val="center"/>
              <w:rPr>
                <w:sz w:val="18"/>
                <w:szCs w:val="18"/>
              </w:rPr>
            </w:pPr>
            <w:r w:rsidRPr="004008AC">
              <w:rPr>
                <w:w w:val="105"/>
                <w:sz w:val="18"/>
                <w:szCs w:val="18"/>
              </w:rPr>
              <w:t>1</w:t>
            </w:r>
          </w:p>
        </w:tc>
        <w:tc>
          <w:tcPr>
            <w:tcW w:w="850" w:type="dxa"/>
            <w:tcBorders>
              <w:top w:val="single" w:sz="4" w:space="0" w:color="000000"/>
              <w:left w:val="single" w:sz="4" w:space="0" w:color="000000"/>
              <w:bottom w:val="single" w:sz="4" w:space="0" w:color="000000"/>
              <w:right w:val="single" w:sz="4" w:space="0" w:color="000000"/>
            </w:tcBorders>
          </w:tcPr>
          <w:p w14:paraId="0986D594" w14:textId="77777777" w:rsidR="00436B89" w:rsidRPr="004008AC" w:rsidRDefault="00436B89" w:rsidP="00436B89">
            <w:pPr>
              <w:jc w:val="center"/>
              <w:rPr>
                <w:sz w:val="18"/>
                <w:szCs w:val="18"/>
              </w:rPr>
            </w:pPr>
            <w:r w:rsidRPr="004008AC">
              <w:rPr>
                <w:w w:val="105"/>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14:paraId="14BC349B" w14:textId="77777777" w:rsidR="00436B89" w:rsidRPr="004008AC" w:rsidRDefault="00436B89" w:rsidP="00436B89">
            <w:pPr>
              <w:jc w:val="center"/>
              <w:rPr>
                <w:sz w:val="18"/>
                <w:szCs w:val="18"/>
              </w:rPr>
            </w:pPr>
            <w:r w:rsidRPr="004008AC">
              <w:rPr>
                <w:w w:val="105"/>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14:paraId="133AEDBC" w14:textId="77777777" w:rsidR="00436B89" w:rsidRPr="004008AC" w:rsidRDefault="00436B89" w:rsidP="00436B89">
            <w:pPr>
              <w:jc w:val="center"/>
              <w:rPr>
                <w:sz w:val="18"/>
                <w:szCs w:val="18"/>
              </w:rPr>
            </w:pPr>
            <w:r w:rsidRPr="004008AC">
              <w:rPr>
                <w:w w:val="105"/>
                <w:sz w:val="18"/>
                <w:szCs w:val="18"/>
              </w:rPr>
              <w:t>0</w:t>
            </w:r>
          </w:p>
        </w:tc>
      </w:tr>
      <w:tr w:rsidR="00436B89" w14:paraId="11955822" w14:textId="77777777" w:rsidTr="00436B89">
        <w:trPr>
          <w:trHeight w:val="20"/>
        </w:trPr>
        <w:tc>
          <w:tcPr>
            <w:tcW w:w="1276" w:type="dxa"/>
            <w:vMerge/>
            <w:tcBorders>
              <w:top w:val="single" w:sz="4" w:space="0" w:color="000000"/>
              <w:left w:val="single" w:sz="4" w:space="0" w:color="000000"/>
              <w:bottom w:val="single" w:sz="4" w:space="0" w:color="000000"/>
              <w:right w:val="single" w:sz="4" w:space="0" w:color="000000"/>
            </w:tcBorders>
          </w:tcPr>
          <w:p w14:paraId="7A73F1E8" w14:textId="77777777" w:rsidR="00436B89" w:rsidRPr="004008AC" w:rsidRDefault="00436B89" w:rsidP="00436B89">
            <w:pPr>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4D143828" w14:textId="77777777" w:rsidR="00436B89" w:rsidRPr="004008AC" w:rsidRDefault="00436B89" w:rsidP="00436B89">
            <w:pPr>
              <w:jc w:val="center"/>
              <w:rPr>
                <w:sz w:val="18"/>
                <w:szCs w:val="18"/>
              </w:rPr>
            </w:pPr>
            <w:r w:rsidRPr="004008AC">
              <w:rPr>
                <w:spacing w:val="1"/>
                <w:w w:val="105"/>
                <w:sz w:val="18"/>
                <w:szCs w:val="18"/>
              </w:rPr>
              <w:t>27</w:t>
            </w:r>
          </w:p>
        </w:tc>
        <w:tc>
          <w:tcPr>
            <w:tcW w:w="851" w:type="dxa"/>
            <w:tcBorders>
              <w:top w:val="single" w:sz="4" w:space="0" w:color="000000"/>
              <w:left w:val="single" w:sz="4" w:space="0" w:color="000000"/>
              <w:bottom w:val="single" w:sz="4" w:space="0" w:color="000000"/>
              <w:right w:val="single" w:sz="4" w:space="0" w:color="000000"/>
            </w:tcBorders>
          </w:tcPr>
          <w:p w14:paraId="1BBB3F82" w14:textId="77777777" w:rsidR="00436B89" w:rsidRPr="004008AC" w:rsidRDefault="00436B89" w:rsidP="00436B89">
            <w:pPr>
              <w:jc w:val="center"/>
              <w:rPr>
                <w:sz w:val="18"/>
                <w:szCs w:val="18"/>
              </w:rPr>
            </w:pPr>
            <w:r w:rsidRPr="004008AC">
              <w:rPr>
                <w:w w:val="105"/>
                <w:sz w:val="18"/>
                <w:szCs w:val="18"/>
              </w:rPr>
              <w:t>4</w:t>
            </w:r>
          </w:p>
        </w:tc>
        <w:tc>
          <w:tcPr>
            <w:tcW w:w="850" w:type="dxa"/>
            <w:tcBorders>
              <w:top w:val="single" w:sz="4" w:space="0" w:color="000000"/>
              <w:left w:val="single" w:sz="4" w:space="0" w:color="000000"/>
              <w:bottom w:val="single" w:sz="4" w:space="0" w:color="000000"/>
              <w:right w:val="single" w:sz="4" w:space="0" w:color="000000"/>
            </w:tcBorders>
          </w:tcPr>
          <w:p w14:paraId="7980240E" w14:textId="77777777" w:rsidR="00436B89" w:rsidRPr="004008AC" w:rsidRDefault="00436B89" w:rsidP="00436B89">
            <w:pPr>
              <w:jc w:val="center"/>
              <w:rPr>
                <w:sz w:val="18"/>
                <w:szCs w:val="18"/>
              </w:rPr>
            </w:pPr>
            <w:r w:rsidRPr="004008AC">
              <w:rPr>
                <w:w w:val="105"/>
                <w:sz w:val="18"/>
                <w:szCs w:val="18"/>
              </w:rPr>
              <w:t>2</w:t>
            </w:r>
          </w:p>
        </w:tc>
        <w:tc>
          <w:tcPr>
            <w:tcW w:w="993" w:type="dxa"/>
            <w:tcBorders>
              <w:top w:val="single" w:sz="4" w:space="0" w:color="000000"/>
              <w:left w:val="single" w:sz="4" w:space="0" w:color="000000"/>
              <w:bottom w:val="single" w:sz="4" w:space="0" w:color="000000"/>
              <w:right w:val="single" w:sz="4" w:space="0" w:color="000000"/>
            </w:tcBorders>
          </w:tcPr>
          <w:p w14:paraId="43F43861" w14:textId="77777777" w:rsidR="00436B89" w:rsidRPr="004008AC" w:rsidRDefault="00436B89" w:rsidP="00436B89">
            <w:pPr>
              <w:jc w:val="center"/>
              <w:rPr>
                <w:sz w:val="18"/>
                <w:szCs w:val="18"/>
              </w:rPr>
            </w:pPr>
            <w:r w:rsidRPr="004008AC">
              <w:rPr>
                <w:w w:val="105"/>
                <w:sz w:val="18"/>
                <w:szCs w:val="18"/>
              </w:rPr>
              <w:t>3</w:t>
            </w:r>
          </w:p>
        </w:tc>
        <w:tc>
          <w:tcPr>
            <w:tcW w:w="850" w:type="dxa"/>
            <w:tcBorders>
              <w:top w:val="single" w:sz="4" w:space="0" w:color="000000"/>
              <w:left w:val="single" w:sz="4" w:space="0" w:color="000000"/>
              <w:bottom w:val="single" w:sz="4" w:space="0" w:color="000000"/>
              <w:right w:val="single" w:sz="4" w:space="0" w:color="000000"/>
            </w:tcBorders>
          </w:tcPr>
          <w:p w14:paraId="0B23AE7E" w14:textId="77777777" w:rsidR="00436B89" w:rsidRPr="004008AC" w:rsidRDefault="00436B89" w:rsidP="00436B89">
            <w:pPr>
              <w:jc w:val="center"/>
              <w:rPr>
                <w:sz w:val="18"/>
                <w:szCs w:val="18"/>
              </w:rPr>
            </w:pPr>
            <w:r w:rsidRPr="004008AC">
              <w:rPr>
                <w:w w:val="105"/>
                <w:sz w:val="18"/>
                <w:szCs w:val="18"/>
              </w:rPr>
              <w:t>3</w:t>
            </w:r>
          </w:p>
        </w:tc>
        <w:tc>
          <w:tcPr>
            <w:tcW w:w="971" w:type="dxa"/>
            <w:tcBorders>
              <w:top w:val="single" w:sz="4" w:space="0" w:color="000000"/>
              <w:left w:val="single" w:sz="4" w:space="0" w:color="000000"/>
              <w:bottom w:val="single" w:sz="4" w:space="0" w:color="000000"/>
              <w:right w:val="single" w:sz="4" w:space="0" w:color="000000"/>
            </w:tcBorders>
          </w:tcPr>
          <w:p w14:paraId="72E9D5A9" w14:textId="77777777" w:rsidR="00436B89" w:rsidRPr="004008AC" w:rsidRDefault="00436B89" w:rsidP="00436B89">
            <w:pPr>
              <w:jc w:val="center"/>
              <w:rPr>
                <w:sz w:val="18"/>
                <w:szCs w:val="18"/>
              </w:rPr>
            </w:pPr>
            <w:r w:rsidRPr="004008AC">
              <w:rPr>
                <w:w w:val="105"/>
                <w:sz w:val="18"/>
                <w:szCs w:val="18"/>
              </w:rPr>
              <w:t>3</w:t>
            </w:r>
          </w:p>
        </w:tc>
        <w:tc>
          <w:tcPr>
            <w:tcW w:w="850" w:type="dxa"/>
            <w:tcBorders>
              <w:top w:val="single" w:sz="4" w:space="0" w:color="000000"/>
              <w:left w:val="single" w:sz="4" w:space="0" w:color="000000"/>
              <w:bottom w:val="single" w:sz="4" w:space="0" w:color="000000"/>
              <w:right w:val="single" w:sz="4" w:space="0" w:color="000000"/>
            </w:tcBorders>
          </w:tcPr>
          <w:p w14:paraId="0FB6B5F3" w14:textId="77777777" w:rsidR="00436B89" w:rsidRPr="004008AC" w:rsidRDefault="00436B89" w:rsidP="00436B89">
            <w:pPr>
              <w:jc w:val="center"/>
              <w:rPr>
                <w:sz w:val="18"/>
                <w:szCs w:val="18"/>
              </w:rPr>
            </w:pPr>
            <w:r w:rsidRPr="004008AC">
              <w:rPr>
                <w:w w:val="105"/>
                <w:sz w:val="18"/>
                <w:szCs w:val="18"/>
              </w:rPr>
              <w:t>2</w:t>
            </w:r>
          </w:p>
        </w:tc>
        <w:tc>
          <w:tcPr>
            <w:tcW w:w="850" w:type="dxa"/>
            <w:tcBorders>
              <w:top w:val="single" w:sz="4" w:space="0" w:color="000000"/>
              <w:left w:val="single" w:sz="4" w:space="0" w:color="000000"/>
              <w:bottom w:val="single" w:sz="4" w:space="0" w:color="000000"/>
              <w:right w:val="single" w:sz="4" w:space="0" w:color="000000"/>
            </w:tcBorders>
          </w:tcPr>
          <w:p w14:paraId="6F6EE100" w14:textId="77777777" w:rsidR="00436B89" w:rsidRPr="004008AC" w:rsidRDefault="00436B89" w:rsidP="00436B89">
            <w:pPr>
              <w:jc w:val="center"/>
              <w:rPr>
                <w:sz w:val="18"/>
                <w:szCs w:val="18"/>
              </w:rPr>
            </w:pPr>
            <w:r w:rsidRPr="004008AC">
              <w:rPr>
                <w:w w:val="105"/>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14:paraId="0BBA9FE9" w14:textId="77777777" w:rsidR="00436B89" w:rsidRPr="004008AC" w:rsidRDefault="00436B89" w:rsidP="00436B89">
            <w:pPr>
              <w:jc w:val="center"/>
              <w:rPr>
                <w:sz w:val="18"/>
                <w:szCs w:val="18"/>
              </w:rPr>
            </w:pPr>
            <w:r w:rsidRPr="004008AC">
              <w:rPr>
                <w:w w:val="105"/>
                <w:sz w:val="18"/>
                <w:szCs w:val="18"/>
              </w:rPr>
              <w:t>0</w:t>
            </w:r>
          </w:p>
        </w:tc>
      </w:tr>
      <w:tr w:rsidR="00436B89" w14:paraId="23E71BC3" w14:textId="77777777" w:rsidTr="00436B89">
        <w:trPr>
          <w:trHeight w:val="20"/>
        </w:trPr>
        <w:tc>
          <w:tcPr>
            <w:tcW w:w="1276" w:type="dxa"/>
            <w:vMerge/>
            <w:tcBorders>
              <w:top w:val="single" w:sz="4" w:space="0" w:color="000000"/>
              <w:left w:val="single" w:sz="4" w:space="0" w:color="000000"/>
              <w:bottom w:val="single" w:sz="4" w:space="0" w:color="000000"/>
              <w:right w:val="single" w:sz="4" w:space="0" w:color="000000"/>
            </w:tcBorders>
          </w:tcPr>
          <w:p w14:paraId="2962C374" w14:textId="77777777" w:rsidR="00436B89" w:rsidRPr="004008AC" w:rsidRDefault="00436B89" w:rsidP="00436B89">
            <w:pPr>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4CF10E55" w14:textId="77777777" w:rsidR="00436B89" w:rsidRPr="004008AC" w:rsidRDefault="00436B89" w:rsidP="00436B89">
            <w:pPr>
              <w:jc w:val="center"/>
              <w:rPr>
                <w:sz w:val="18"/>
                <w:szCs w:val="18"/>
              </w:rPr>
            </w:pPr>
            <w:r w:rsidRPr="004008AC">
              <w:rPr>
                <w:spacing w:val="1"/>
                <w:w w:val="105"/>
                <w:sz w:val="18"/>
                <w:szCs w:val="18"/>
              </w:rPr>
              <w:t>36</w:t>
            </w:r>
          </w:p>
        </w:tc>
        <w:tc>
          <w:tcPr>
            <w:tcW w:w="851" w:type="dxa"/>
            <w:tcBorders>
              <w:top w:val="single" w:sz="4" w:space="0" w:color="000000"/>
              <w:left w:val="single" w:sz="4" w:space="0" w:color="000000"/>
              <w:bottom w:val="single" w:sz="4" w:space="0" w:color="000000"/>
              <w:right w:val="single" w:sz="4" w:space="0" w:color="000000"/>
            </w:tcBorders>
          </w:tcPr>
          <w:p w14:paraId="56BFC0DF" w14:textId="77777777" w:rsidR="00436B89" w:rsidRPr="004008AC" w:rsidRDefault="00436B89" w:rsidP="00436B89">
            <w:pPr>
              <w:jc w:val="center"/>
              <w:rPr>
                <w:sz w:val="18"/>
                <w:szCs w:val="18"/>
              </w:rPr>
            </w:pPr>
            <w:r w:rsidRPr="004008AC">
              <w:rPr>
                <w:w w:val="105"/>
                <w:sz w:val="18"/>
                <w:szCs w:val="18"/>
              </w:rPr>
              <w:t>7</w:t>
            </w:r>
          </w:p>
        </w:tc>
        <w:tc>
          <w:tcPr>
            <w:tcW w:w="850" w:type="dxa"/>
            <w:tcBorders>
              <w:top w:val="single" w:sz="4" w:space="0" w:color="000000"/>
              <w:left w:val="single" w:sz="4" w:space="0" w:color="000000"/>
              <w:bottom w:val="single" w:sz="4" w:space="0" w:color="000000"/>
              <w:right w:val="single" w:sz="4" w:space="0" w:color="000000"/>
            </w:tcBorders>
          </w:tcPr>
          <w:p w14:paraId="15571DBB" w14:textId="77777777" w:rsidR="00436B89" w:rsidRPr="004008AC" w:rsidRDefault="00436B89" w:rsidP="00436B89">
            <w:pPr>
              <w:jc w:val="center"/>
              <w:rPr>
                <w:sz w:val="18"/>
                <w:szCs w:val="18"/>
              </w:rPr>
            </w:pPr>
            <w:r w:rsidRPr="004008AC">
              <w:rPr>
                <w:w w:val="105"/>
                <w:sz w:val="18"/>
                <w:szCs w:val="18"/>
              </w:rPr>
              <w:t>5</w:t>
            </w:r>
          </w:p>
        </w:tc>
        <w:tc>
          <w:tcPr>
            <w:tcW w:w="993" w:type="dxa"/>
            <w:tcBorders>
              <w:top w:val="single" w:sz="4" w:space="0" w:color="000000"/>
              <w:left w:val="single" w:sz="4" w:space="0" w:color="000000"/>
              <w:bottom w:val="single" w:sz="4" w:space="0" w:color="000000"/>
              <w:right w:val="single" w:sz="4" w:space="0" w:color="000000"/>
            </w:tcBorders>
          </w:tcPr>
          <w:p w14:paraId="4A1C45EE" w14:textId="77777777" w:rsidR="00436B89" w:rsidRPr="004008AC" w:rsidRDefault="00436B89" w:rsidP="00436B89">
            <w:pPr>
              <w:jc w:val="center"/>
              <w:rPr>
                <w:sz w:val="18"/>
                <w:szCs w:val="18"/>
              </w:rPr>
            </w:pPr>
            <w:r w:rsidRPr="004008AC">
              <w:rPr>
                <w:w w:val="105"/>
                <w:sz w:val="18"/>
                <w:szCs w:val="18"/>
              </w:rPr>
              <w:t>4</w:t>
            </w:r>
          </w:p>
        </w:tc>
        <w:tc>
          <w:tcPr>
            <w:tcW w:w="850" w:type="dxa"/>
            <w:tcBorders>
              <w:top w:val="single" w:sz="4" w:space="0" w:color="000000"/>
              <w:left w:val="single" w:sz="4" w:space="0" w:color="000000"/>
              <w:bottom w:val="single" w:sz="4" w:space="0" w:color="000000"/>
              <w:right w:val="single" w:sz="4" w:space="0" w:color="000000"/>
            </w:tcBorders>
          </w:tcPr>
          <w:p w14:paraId="39B3A1BD" w14:textId="77777777" w:rsidR="00436B89" w:rsidRPr="004008AC" w:rsidRDefault="00436B89" w:rsidP="00436B89">
            <w:pPr>
              <w:jc w:val="center"/>
              <w:rPr>
                <w:sz w:val="18"/>
                <w:szCs w:val="18"/>
              </w:rPr>
            </w:pPr>
            <w:r w:rsidRPr="004008AC">
              <w:rPr>
                <w:w w:val="105"/>
                <w:sz w:val="18"/>
                <w:szCs w:val="18"/>
              </w:rPr>
              <w:t>4</w:t>
            </w:r>
          </w:p>
        </w:tc>
        <w:tc>
          <w:tcPr>
            <w:tcW w:w="971" w:type="dxa"/>
            <w:tcBorders>
              <w:top w:val="single" w:sz="4" w:space="0" w:color="000000"/>
              <w:left w:val="single" w:sz="4" w:space="0" w:color="000000"/>
              <w:bottom w:val="single" w:sz="4" w:space="0" w:color="000000"/>
              <w:right w:val="single" w:sz="4" w:space="0" w:color="000000"/>
            </w:tcBorders>
          </w:tcPr>
          <w:p w14:paraId="3B50A72D" w14:textId="77777777" w:rsidR="00436B89" w:rsidRPr="004008AC" w:rsidRDefault="00436B89" w:rsidP="00436B89">
            <w:pPr>
              <w:jc w:val="center"/>
              <w:rPr>
                <w:sz w:val="18"/>
                <w:szCs w:val="18"/>
              </w:rPr>
            </w:pPr>
            <w:r w:rsidRPr="004008AC">
              <w:rPr>
                <w:w w:val="105"/>
                <w:sz w:val="18"/>
                <w:szCs w:val="18"/>
              </w:rPr>
              <w:t>3</w:t>
            </w:r>
          </w:p>
        </w:tc>
        <w:tc>
          <w:tcPr>
            <w:tcW w:w="850" w:type="dxa"/>
            <w:tcBorders>
              <w:top w:val="single" w:sz="4" w:space="0" w:color="000000"/>
              <w:left w:val="single" w:sz="4" w:space="0" w:color="000000"/>
              <w:bottom w:val="single" w:sz="4" w:space="0" w:color="000000"/>
              <w:right w:val="single" w:sz="4" w:space="0" w:color="000000"/>
            </w:tcBorders>
          </w:tcPr>
          <w:p w14:paraId="202A492F" w14:textId="77777777" w:rsidR="00436B89" w:rsidRPr="004008AC" w:rsidRDefault="00436B89" w:rsidP="00436B89">
            <w:pPr>
              <w:jc w:val="center"/>
              <w:rPr>
                <w:sz w:val="18"/>
                <w:szCs w:val="18"/>
              </w:rPr>
            </w:pPr>
            <w:r w:rsidRPr="004008AC">
              <w:rPr>
                <w:w w:val="105"/>
                <w:sz w:val="18"/>
                <w:szCs w:val="18"/>
              </w:rPr>
              <w:t>3</w:t>
            </w:r>
          </w:p>
        </w:tc>
        <w:tc>
          <w:tcPr>
            <w:tcW w:w="850" w:type="dxa"/>
            <w:tcBorders>
              <w:top w:val="single" w:sz="4" w:space="0" w:color="000000"/>
              <w:left w:val="single" w:sz="4" w:space="0" w:color="000000"/>
              <w:bottom w:val="single" w:sz="4" w:space="0" w:color="000000"/>
              <w:right w:val="single" w:sz="4" w:space="0" w:color="000000"/>
            </w:tcBorders>
          </w:tcPr>
          <w:p w14:paraId="11464FC4" w14:textId="77777777" w:rsidR="00436B89" w:rsidRPr="004008AC" w:rsidRDefault="00436B89" w:rsidP="00436B89">
            <w:pPr>
              <w:jc w:val="center"/>
              <w:rPr>
                <w:sz w:val="18"/>
                <w:szCs w:val="18"/>
              </w:rPr>
            </w:pPr>
            <w:r w:rsidRPr="004008AC">
              <w:rPr>
                <w:w w:val="105"/>
                <w:sz w:val="18"/>
                <w:szCs w:val="18"/>
              </w:rPr>
              <w:t>1</w:t>
            </w:r>
          </w:p>
        </w:tc>
        <w:tc>
          <w:tcPr>
            <w:tcW w:w="850" w:type="dxa"/>
            <w:tcBorders>
              <w:top w:val="single" w:sz="4" w:space="0" w:color="000000"/>
              <w:left w:val="single" w:sz="4" w:space="0" w:color="000000"/>
              <w:bottom w:val="single" w:sz="4" w:space="0" w:color="000000"/>
              <w:right w:val="single" w:sz="4" w:space="0" w:color="000000"/>
            </w:tcBorders>
          </w:tcPr>
          <w:p w14:paraId="516ED4D0" w14:textId="77777777" w:rsidR="00436B89" w:rsidRPr="004008AC" w:rsidRDefault="00436B89" w:rsidP="00436B89">
            <w:pPr>
              <w:jc w:val="center"/>
              <w:rPr>
                <w:sz w:val="18"/>
                <w:szCs w:val="18"/>
              </w:rPr>
            </w:pPr>
            <w:r w:rsidRPr="004008AC">
              <w:rPr>
                <w:w w:val="105"/>
                <w:sz w:val="18"/>
                <w:szCs w:val="18"/>
              </w:rPr>
              <w:t>1</w:t>
            </w:r>
          </w:p>
        </w:tc>
      </w:tr>
      <w:tr w:rsidR="00436B89" w14:paraId="095F4291" w14:textId="77777777" w:rsidTr="00436B89">
        <w:trPr>
          <w:trHeight w:val="20"/>
        </w:trPr>
        <w:tc>
          <w:tcPr>
            <w:tcW w:w="1276" w:type="dxa"/>
            <w:vMerge/>
            <w:tcBorders>
              <w:top w:val="single" w:sz="4" w:space="0" w:color="000000"/>
              <w:left w:val="single" w:sz="4" w:space="0" w:color="000000"/>
              <w:bottom w:val="single" w:sz="4" w:space="0" w:color="000000"/>
              <w:right w:val="single" w:sz="4" w:space="0" w:color="000000"/>
            </w:tcBorders>
          </w:tcPr>
          <w:p w14:paraId="7420C667" w14:textId="77777777" w:rsidR="00436B89" w:rsidRPr="004008AC" w:rsidRDefault="00436B89" w:rsidP="00436B89">
            <w:pPr>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286850F6" w14:textId="77777777" w:rsidR="00436B89" w:rsidRPr="004008AC" w:rsidRDefault="00436B89" w:rsidP="00436B89">
            <w:pPr>
              <w:jc w:val="center"/>
              <w:rPr>
                <w:sz w:val="18"/>
                <w:szCs w:val="18"/>
              </w:rPr>
            </w:pPr>
            <w:r w:rsidRPr="004008AC">
              <w:rPr>
                <w:spacing w:val="1"/>
                <w:w w:val="105"/>
                <w:sz w:val="18"/>
                <w:szCs w:val="18"/>
              </w:rPr>
              <w:t>45</w:t>
            </w:r>
          </w:p>
        </w:tc>
        <w:tc>
          <w:tcPr>
            <w:tcW w:w="851" w:type="dxa"/>
            <w:tcBorders>
              <w:top w:val="single" w:sz="4" w:space="0" w:color="000000"/>
              <w:left w:val="single" w:sz="4" w:space="0" w:color="000000"/>
              <w:bottom w:val="single" w:sz="4" w:space="0" w:color="000000"/>
              <w:right w:val="single" w:sz="4" w:space="0" w:color="000000"/>
            </w:tcBorders>
          </w:tcPr>
          <w:p w14:paraId="44F6A471" w14:textId="77777777" w:rsidR="00436B89" w:rsidRPr="004008AC" w:rsidRDefault="00436B89" w:rsidP="00436B89">
            <w:pPr>
              <w:jc w:val="center"/>
              <w:rPr>
                <w:sz w:val="18"/>
                <w:szCs w:val="18"/>
              </w:rPr>
            </w:pPr>
            <w:r w:rsidRPr="004008AC">
              <w:rPr>
                <w:w w:val="105"/>
                <w:sz w:val="18"/>
                <w:szCs w:val="18"/>
              </w:rPr>
              <w:t>4</w:t>
            </w:r>
          </w:p>
        </w:tc>
        <w:tc>
          <w:tcPr>
            <w:tcW w:w="850" w:type="dxa"/>
            <w:tcBorders>
              <w:top w:val="single" w:sz="4" w:space="0" w:color="000000"/>
              <w:left w:val="single" w:sz="4" w:space="0" w:color="000000"/>
              <w:bottom w:val="single" w:sz="4" w:space="0" w:color="000000"/>
              <w:right w:val="single" w:sz="4" w:space="0" w:color="000000"/>
            </w:tcBorders>
          </w:tcPr>
          <w:p w14:paraId="450F49EF" w14:textId="77777777" w:rsidR="00436B89" w:rsidRPr="004008AC" w:rsidRDefault="00436B89" w:rsidP="00436B89">
            <w:pPr>
              <w:jc w:val="center"/>
              <w:rPr>
                <w:sz w:val="18"/>
                <w:szCs w:val="18"/>
              </w:rPr>
            </w:pPr>
            <w:r w:rsidRPr="004008AC">
              <w:rPr>
                <w:w w:val="105"/>
                <w:sz w:val="18"/>
                <w:szCs w:val="18"/>
              </w:rPr>
              <w:t>4</w:t>
            </w:r>
          </w:p>
        </w:tc>
        <w:tc>
          <w:tcPr>
            <w:tcW w:w="993" w:type="dxa"/>
            <w:tcBorders>
              <w:top w:val="single" w:sz="4" w:space="0" w:color="000000"/>
              <w:left w:val="single" w:sz="4" w:space="0" w:color="000000"/>
              <w:bottom w:val="single" w:sz="4" w:space="0" w:color="000000"/>
              <w:right w:val="single" w:sz="4" w:space="0" w:color="000000"/>
            </w:tcBorders>
          </w:tcPr>
          <w:p w14:paraId="76942937" w14:textId="77777777" w:rsidR="00436B89" w:rsidRPr="004008AC" w:rsidRDefault="00436B89" w:rsidP="00436B89">
            <w:pPr>
              <w:jc w:val="center"/>
              <w:rPr>
                <w:sz w:val="18"/>
                <w:szCs w:val="18"/>
              </w:rPr>
            </w:pPr>
            <w:r w:rsidRPr="004008AC">
              <w:rPr>
                <w:w w:val="105"/>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14:paraId="2CFE298E" w14:textId="77777777" w:rsidR="00436B89" w:rsidRPr="004008AC" w:rsidRDefault="00436B89" w:rsidP="00436B89">
            <w:pPr>
              <w:jc w:val="center"/>
              <w:rPr>
                <w:sz w:val="18"/>
                <w:szCs w:val="18"/>
              </w:rPr>
            </w:pPr>
            <w:r w:rsidRPr="004008AC">
              <w:rPr>
                <w:w w:val="105"/>
                <w:sz w:val="18"/>
                <w:szCs w:val="18"/>
              </w:rPr>
              <w:t>4</w:t>
            </w:r>
          </w:p>
        </w:tc>
        <w:tc>
          <w:tcPr>
            <w:tcW w:w="971" w:type="dxa"/>
            <w:tcBorders>
              <w:top w:val="single" w:sz="4" w:space="0" w:color="000000"/>
              <w:left w:val="single" w:sz="4" w:space="0" w:color="000000"/>
              <w:bottom w:val="single" w:sz="4" w:space="0" w:color="000000"/>
              <w:right w:val="single" w:sz="4" w:space="0" w:color="000000"/>
            </w:tcBorders>
          </w:tcPr>
          <w:p w14:paraId="2D8CE8C1" w14:textId="77777777" w:rsidR="00436B89" w:rsidRPr="004008AC" w:rsidRDefault="00436B89" w:rsidP="00436B89">
            <w:pPr>
              <w:jc w:val="center"/>
              <w:rPr>
                <w:sz w:val="18"/>
                <w:szCs w:val="18"/>
              </w:rPr>
            </w:pPr>
            <w:r w:rsidRPr="004008AC">
              <w:rPr>
                <w:w w:val="105"/>
                <w:sz w:val="18"/>
                <w:szCs w:val="18"/>
              </w:rPr>
              <w:t>1</w:t>
            </w:r>
          </w:p>
        </w:tc>
        <w:tc>
          <w:tcPr>
            <w:tcW w:w="850" w:type="dxa"/>
            <w:tcBorders>
              <w:top w:val="single" w:sz="4" w:space="0" w:color="000000"/>
              <w:left w:val="single" w:sz="4" w:space="0" w:color="000000"/>
              <w:bottom w:val="single" w:sz="4" w:space="0" w:color="000000"/>
              <w:right w:val="single" w:sz="4" w:space="0" w:color="000000"/>
            </w:tcBorders>
          </w:tcPr>
          <w:p w14:paraId="11CA087C" w14:textId="77777777" w:rsidR="00436B89" w:rsidRPr="004008AC" w:rsidRDefault="00436B89" w:rsidP="00436B89">
            <w:pPr>
              <w:jc w:val="center"/>
              <w:rPr>
                <w:sz w:val="18"/>
                <w:szCs w:val="18"/>
              </w:rPr>
            </w:pPr>
            <w:r w:rsidRPr="004008AC">
              <w:rPr>
                <w:w w:val="105"/>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14:paraId="0EB444C2" w14:textId="77777777" w:rsidR="00436B89" w:rsidRPr="004008AC" w:rsidRDefault="00436B89" w:rsidP="00436B89">
            <w:pPr>
              <w:jc w:val="center"/>
              <w:rPr>
                <w:sz w:val="18"/>
                <w:szCs w:val="18"/>
              </w:rPr>
            </w:pPr>
            <w:r w:rsidRPr="004008AC">
              <w:rPr>
                <w:w w:val="105"/>
                <w:sz w:val="18"/>
                <w:szCs w:val="18"/>
              </w:rPr>
              <w:t>1</w:t>
            </w:r>
          </w:p>
        </w:tc>
        <w:tc>
          <w:tcPr>
            <w:tcW w:w="850" w:type="dxa"/>
            <w:tcBorders>
              <w:top w:val="single" w:sz="4" w:space="0" w:color="000000"/>
              <w:left w:val="single" w:sz="4" w:space="0" w:color="000000"/>
              <w:bottom w:val="single" w:sz="4" w:space="0" w:color="000000"/>
              <w:right w:val="single" w:sz="4" w:space="0" w:color="000000"/>
            </w:tcBorders>
          </w:tcPr>
          <w:p w14:paraId="34BE736F" w14:textId="77777777" w:rsidR="00436B89" w:rsidRPr="004008AC" w:rsidRDefault="00436B89" w:rsidP="00436B89">
            <w:pPr>
              <w:jc w:val="center"/>
              <w:rPr>
                <w:sz w:val="18"/>
                <w:szCs w:val="18"/>
              </w:rPr>
            </w:pPr>
            <w:r w:rsidRPr="004008AC">
              <w:rPr>
                <w:w w:val="105"/>
                <w:sz w:val="18"/>
                <w:szCs w:val="18"/>
              </w:rPr>
              <w:t>0</w:t>
            </w:r>
          </w:p>
        </w:tc>
      </w:tr>
      <w:tr w:rsidR="00436B89" w14:paraId="2E79C6A2" w14:textId="77777777" w:rsidTr="00436B89">
        <w:trPr>
          <w:trHeight w:val="20"/>
        </w:trPr>
        <w:tc>
          <w:tcPr>
            <w:tcW w:w="1276" w:type="dxa"/>
            <w:vMerge w:val="restart"/>
            <w:tcBorders>
              <w:top w:val="single" w:sz="4" w:space="0" w:color="000000"/>
              <w:left w:val="single" w:sz="4" w:space="0" w:color="000000"/>
              <w:right w:val="single" w:sz="4" w:space="0" w:color="000000"/>
            </w:tcBorders>
          </w:tcPr>
          <w:p w14:paraId="0258FBBB" w14:textId="48ACB304" w:rsidR="00436B89" w:rsidRPr="004008AC" w:rsidRDefault="00436B89" w:rsidP="00F21AE2">
            <w:pPr>
              <w:jc w:val="center"/>
              <w:rPr>
                <w:sz w:val="18"/>
                <w:szCs w:val="18"/>
              </w:rPr>
            </w:pPr>
            <w:r w:rsidRPr="004008AC">
              <w:rPr>
                <w:w w:val="105"/>
                <w:sz w:val="18"/>
                <w:szCs w:val="18"/>
              </w:rPr>
              <w:lastRenderedPageBreak/>
              <w:t>Phuphanich</w:t>
            </w:r>
            <w:r w:rsidR="00F21AE2">
              <w:rPr>
                <w:w w:val="105"/>
                <w:sz w:val="18"/>
                <w:szCs w:val="18"/>
              </w:rPr>
              <w:t xml:space="preserve"> </w:t>
            </w:r>
            <w:r w:rsidRPr="004008AC">
              <w:rPr>
                <w:spacing w:val="1"/>
                <w:w w:val="105"/>
                <w:sz w:val="18"/>
                <w:szCs w:val="18"/>
              </w:rPr>
              <w:t>2005</w:t>
            </w:r>
          </w:p>
        </w:tc>
        <w:tc>
          <w:tcPr>
            <w:tcW w:w="992" w:type="dxa"/>
            <w:tcBorders>
              <w:top w:val="single" w:sz="4" w:space="0" w:color="000000"/>
              <w:left w:val="single" w:sz="4" w:space="0" w:color="000000"/>
              <w:bottom w:val="single" w:sz="4" w:space="0" w:color="000000"/>
              <w:right w:val="single" w:sz="4" w:space="0" w:color="000000"/>
            </w:tcBorders>
          </w:tcPr>
          <w:p w14:paraId="2ABDD9CD" w14:textId="77777777" w:rsidR="00436B89" w:rsidRPr="004008AC" w:rsidRDefault="00436B89" w:rsidP="00436B89">
            <w:pPr>
              <w:jc w:val="center"/>
              <w:rPr>
                <w:sz w:val="18"/>
                <w:szCs w:val="18"/>
              </w:rPr>
            </w:pPr>
            <w:r w:rsidRPr="004008AC">
              <w:rPr>
                <w:w w:val="105"/>
                <w:sz w:val="18"/>
                <w:szCs w:val="18"/>
              </w:rPr>
              <w:t>9</w:t>
            </w:r>
          </w:p>
        </w:tc>
        <w:tc>
          <w:tcPr>
            <w:tcW w:w="851" w:type="dxa"/>
            <w:tcBorders>
              <w:top w:val="single" w:sz="4" w:space="0" w:color="000000"/>
              <w:left w:val="single" w:sz="4" w:space="0" w:color="000000"/>
              <w:bottom w:val="single" w:sz="4" w:space="0" w:color="000000"/>
              <w:right w:val="single" w:sz="4" w:space="0" w:color="000000"/>
            </w:tcBorders>
          </w:tcPr>
          <w:p w14:paraId="50594F09" w14:textId="77777777" w:rsidR="00436B89" w:rsidRPr="004008AC" w:rsidRDefault="00436B89" w:rsidP="00436B89">
            <w:pPr>
              <w:jc w:val="center"/>
              <w:rPr>
                <w:sz w:val="18"/>
                <w:szCs w:val="18"/>
              </w:rPr>
            </w:pPr>
            <w:r w:rsidRPr="004008AC">
              <w:rPr>
                <w:w w:val="105"/>
                <w:sz w:val="18"/>
                <w:szCs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0D39FAA4" w14:textId="77777777" w:rsidR="00436B89" w:rsidRPr="004008AC" w:rsidRDefault="00436B89" w:rsidP="00436B89">
            <w:pPr>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14:paraId="04512E6A"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396E3AE7" w14:textId="77777777" w:rsidR="00436B89" w:rsidRPr="004008AC" w:rsidRDefault="00436B89" w:rsidP="00436B89">
            <w:pPr>
              <w:jc w:val="center"/>
              <w:rPr>
                <w:sz w:val="18"/>
                <w:szCs w:val="18"/>
              </w:rPr>
            </w:pPr>
            <w:r w:rsidRPr="004008AC">
              <w:rPr>
                <w:w w:val="105"/>
                <w:sz w:val="18"/>
                <w:szCs w:val="18"/>
              </w:rPr>
              <w:t>0</w:t>
            </w:r>
          </w:p>
        </w:tc>
        <w:tc>
          <w:tcPr>
            <w:tcW w:w="971" w:type="dxa"/>
            <w:tcBorders>
              <w:top w:val="single" w:sz="4" w:space="0" w:color="000000"/>
              <w:left w:val="single" w:sz="4" w:space="0" w:color="000000"/>
              <w:bottom w:val="single" w:sz="4" w:space="0" w:color="000000"/>
              <w:right w:val="single" w:sz="4" w:space="0" w:color="000000"/>
            </w:tcBorders>
          </w:tcPr>
          <w:p w14:paraId="54D671B4" w14:textId="77777777" w:rsidR="00436B89" w:rsidRPr="004008AC" w:rsidRDefault="00436B89" w:rsidP="00436B89">
            <w:pPr>
              <w:jc w:val="center"/>
              <w:rPr>
                <w:sz w:val="18"/>
                <w:szCs w:val="18"/>
              </w:rPr>
            </w:pPr>
            <w:r w:rsidRPr="004008AC">
              <w:rPr>
                <w:w w:val="105"/>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41D4F2AA"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216E294B"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1A32EB4E" w14:textId="77777777" w:rsidR="00436B89" w:rsidRPr="004008AC" w:rsidRDefault="00436B89" w:rsidP="00436B89">
            <w:pPr>
              <w:jc w:val="center"/>
              <w:rPr>
                <w:sz w:val="18"/>
                <w:szCs w:val="18"/>
              </w:rPr>
            </w:pPr>
          </w:p>
        </w:tc>
      </w:tr>
      <w:tr w:rsidR="00436B89" w14:paraId="79205E97" w14:textId="77777777" w:rsidTr="00436B89">
        <w:trPr>
          <w:trHeight w:val="20"/>
        </w:trPr>
        <w:tc>
          <w:tcPr>
            <w:tcW w:w="1276" w:type="dxa"/>
            <w:vMerge/>
            <w:tcBorders>
              <w:left w:val="single" w:sz="4" w:space="0" w:color="000000"/>
              <w:right w:val="single" w:sz="4" w:space="0" w:color="000000"/>
            </w:tcBorders>
          </w:tcPr>
          <w:p w14:paraId="10C610A4" w14:textId="77777777" w:rsidR="00436B89" w:rsidRPr="004008AC" w:rsidRDefault="00436B89" w:rsidP="00436B89">
            <w:pPr>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19792A9D" w14:textId="77777777" w:rsidR="00436B89" w:rsidRPr="004008AC" w:rsidRDefault="00436B89" w:rsidP="00436B89">
            <w:pPr>
              <w:jc w:val="center"/>
              <w:rPr>
                <w:sz w:val="18"/>
                <w:szCs w:val="18"/>
              </w:rPr>
            </w:pPr>
            <w:r w:rsidRPr="004008AC">
              <w:rPr>
                <w:spacing w:val="1"/>
                <w:w w:val="105"/>
                <w:sz w:val="18"/>
                <w:szCs w:val="18"/>
              </w:rPr>
              <w:t>18</w:t>
            </w:r>
          </w:p>
        </w:tc>
        <w:tc>
          <w:tcPr>
            <w:tcW w:w="851" w:type="dxa"/>
            <w:tcBorders>
              <w:top w:val="single" w:sz="4" w:space="0" w:color="000000"/>
              <w:left w:val="single" w:sz="4" w:space="0" w:color="000000"/>
              <w:bottom w:val="single" w:sz="4" w:space="0" w:color="000000"/>
              <w:right w:val="single" w:sz="4" w:space="0" w:color="000000"/>
            </w:tcBorders>
          </w:tcPr>
          <w:p w14:paraId="58648401" w14:textId="77777777" w:rsidR="00436B89" w:rsidRPr="004008AC" w:rsidRDefault="00436B89" w:rsidP="00436B89">
            <w:pPr>
              <w:jc w:val="center"/>
              <w:rPr>
                <w:sz w:val="18"/>
                <w:szCs w:val="18"/>
              </w:rPr>
            </w:pPr>
            <w:r w:rsidRPr="004008AC">
              <w:rPr>
                <w:w w:val="105"/>
                <w:sz w:val="18"/>
                <w:szCs w:val="18"/>
              </w:rPr>
              <w:t>7</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2328F255" w14:textId="77777777" w:rsidR="00436B89" w:rsidRPr="004008AC" w:rsidRDefault="00436B89" w:rsidP="00436B89">
            <w:pPr>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14:paraId="74E563CB"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1F325670" w14:textId="77777777" w:rsidR="00436B89" w:rsidRPr="004008AC" w:rsidRDefault="00436B89" w:rsidP="00436B89">
            <w:pPr>
              <w:jc w:val="center"/>
              <w:rPr>
                <w:sz w:val="18"/>
                <w:szCs w:val="18"/>
              </w:rPr>
            </w:pPr>
            <w:r w:rsidRPr="004008AC">
              <w:rPr>
                <w:w w:val="105"/>
                <w:sz w:val="18"/>
                <w:szCs w:val="18"/>
              </w:rPr>
              <w:t>0</w:t>
            </w:r>
          </w:p>
        </w:tc>
        <w:tc>
          <w:tcPr>
            <w:tcW w:w="971" w:type="dxa"/>
            <w:tcBorders>
              <w:top w:val="single" w:sz="4" w:space="0" w:color="000000"/>
              <w:left w:val="single" w:sz="4" w:space="0" w:color="000000"/>
              <w:bottom w:val="single" w:sz="4" w:space="0" w:color="000000"/>
              <w:right w:val="single" w:sz="4" w:space="0" w:color="000000"/>
            </w:tcBorders>
          </w:tcPr>
          <w:p w14:paraId="692ACB8B" w14:textId="77777777" w:rsidR="00436B89" w:rsidRPr="004008AC" w:rsidRDefault="00436B89" w:rsidP="00436B89">
            <w:pPr>
              <w:jc w:val="center"/>
              <w:rPr>
                <w:sz w:val="18"/>
                <w:szCs w:val="18"/>
              </w:rPr>
            </w:pPr>
            <w:r w:rsidRPr="004008AC">
              <w:rPr>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29CF90ED"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1AF7B07D"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2B3A5D77" w14:textId="77777777" w:rsidR="00436B89" w:rsidRPr="004008AC" w:rsidRDefault="00436B89" w:rsidP="00436B89">
            <w:pPr>
              <w:jc w:val="center"/>
              <w:rPr>
                <w:sz w:val="18"/>
                <w:szCs w:val="18"/>
              </w:rPr>
            </w:pPr>
          </w:p>
        </w:tc>
      </w:tr>
      <w:tr w:rsidR="00436B89" w14:paraId="779FBD2F" w14:textId="77777777" w:rsidTr="00436B89">
        <w:trPr>
          <w:trHeight w:val="20"/>
        </w:trPr>
        <w:tc>
          <w:tcPr>
            <w:tcW w:w="1276" w:type="dxa"/>
            <w:vMerge/>
            <w:tcBorders>
              <w:left w:val="single" w:sz="4" w:space="0" w:color="000000"/>
              <w:right w:val="single" w:sz="4" w:space="0" w:color="000000"/>
            </w:tcBorders>
          </w:tcPr>
          <w:p w14:paraId="69D9C82E" w14:textId="77777777" w:rsidR="00436B89" w:rsidRPr="004008AC" w:rsidRDefault="00436B89" w:rsidP="00436B89">
            <w:pPr>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62E17A54" w14:textId="77777777" w:rsidR="00436B89" w:rsidRPr="004008AC" w:rsidRDefault="00436B89" w:rsidP="00436B89">
            <w:pPr>
              <w:jc w:val="center"/>
              <w:rPr>
                <w:sz w:val="18"/>
                <w:szCs w:val="18"/>
              </w:rPr>
            </w:pPr>
            <w:r w:rsidRPr="004008AC">
              <w:rPr>
                <w:spacing w:val="1"/>
                <w:w w:val="105"/>
                <w:sz w:val="18"/>
                <w:szCs w:val="18"/>
              </w:rPr>
              <w:t>27</w:t>
            </w:r>
          </w:p>
        </w:tc>
        <w:tc>
          <w:tcPr>
            <w:tcW w:w="851" w:type="dxa"/>
            <w:tcBorders>
              <w:top w:val="single" w:sz="4" w:space="0" w:color="000000"/>
              <w:left w:val="single" w:sz="4" w:space="0" w:color="000000"/>
              <w:bottom w:val="single" w:sz="4" w:space="0" w:color="000000"/>
              <w:right w:val="single" w:sz="4" w:space="0" w:color="000000"/>
            </w:tcBorders>
          </w:tcPr>
          <w:p w14:paraId="7F1EDEC0" w14:textId="77777777" w:rsidR="00436B89" w:rsidRPr="004008AC" w:rsidRDefault="00436B89" w:rsidP="00436B89">
            <w:pPr>
              <w:jc w:val="center"/>
              <w:rPr>
                <w:sz w:val="18"/>
                <w:szCs w:val="18"/>
              </w:rPr>
            </w:pPr>
            <w:r w:rsidRPr="004008AC">
              <w:rPr>
                <w:w w:val="105"/>
                <w:sz w:val="18"/>
                <w:szCs w:val="18"/>
              </w:rPr>
              <w:t>7</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5E545DB7" w14:textId="77777777" w:rsidR="00436B89" w:rsidRPr="004008AC" w:rsidRDefault="00436B89" w:rsidP="00436B89">
            <w:pPr>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14:paraId="659C19F5"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309CBC19" w14:textId="77777777" w:rsidR="00436B89" w:rsidRPr="004008AC" w:rsidRDefault="00436B89" w:rsidP="00436B89">
            <w:pPr>
              <w:jc w:val="center"/>
              <w:rPr>
                <w:sz w:val="18"/>
                <w:szCs w:val="18"/>
              </w:rPr>
            </w:pPr>
            <w:r w:rsidRPr="004008AC">
              <w:rPr>
                <w:w w:val="105"/>
                <w:sz w:val="18"/>
                <w:szCs w:val="18"/>
              </w:rPr>
              <w:t>1</w:t>
            </w:r>
          </w:p>
        </w:tc>
        <w:tc>
          <w:tcPr>
            <w:tcW w:w="971" w:type="dxa"/>
            <w:tcBorders>
              <w:top w:val="single" w:sz="4" w:space="0" w:color="000000"/>
              <w:left w:val="single" w:sz="4" w:space="0" w:color="000000"/>
              <w:bottom w:val="single" w:sz="4" w:space="0" w:color="000000"/>
              <w:right w:val="single" w:sz="4" w:space="0" w:color="000000"/>
            </w:tcBorders>
          </w:tcPr>
          <w:p w14:paraId="07E8DABC" w14:textId="77777777" w:rsidR="00436B89" w:rsidRPr="004008AC" w:rsidRDefault="00436B89" w:rsidP="00436B89">
            <w:pPr>
              <w:jc w:val="center"/>
              <w:rPr>
                <w:sz w:val="18"/>
                <w:szCs w:val="18"/>
              </w:rPr>
            </w:pPr>
            <w:r w:rsidRPr="004008AC">
              <w:rPr>
                <w:w w:val="105"/>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0B1C1500"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4F5E450A"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6E8B78A1" w14:textId="77777777" w:rsidR="00436B89" w:rsidRPr="004008AC" w:rsidRDefault="00436B89" w:rsidP="00436B89">
            <w:pPr>
              <w:jc w:val="center"/>
              <w:rPr>
                <w:sz w:val="18"/>
                <w:szCs w:val="18"/>
              </w:rPr>
            </w:pPr>
          </w:p>
        </w:tc>
      </w:tr>
      <w:tr w:rsidR="00436B89" w14:paraId="2A83089A" w14:textId="77777777" w:rsidTr="00436B89">
        <w:trPr>
          <w:trHeight w:val="20"/>
        </w:trPr>
        <w:tc>
          <w:tcPr>
            <w:tcW w:w="1276" w:type="dxa"/>
            <w:vMerge/>
            <w:tcBorders>
              <w:left w:val="single" w:sz="4" w:space="0" w:color="000000"/>
              <w:bottom w:val="single" w:sz="4" w:space="0" w:color="000000"/>
              <w:right w:val="single" w:sz="4" w:space="0" w:color="000000"/>
            </w:tcBorders>
          </w:tcPr>
          <w:p w14:paraId="4629A84A" w14:textId="77777777" w:rsidR="00436B89" w:rsidRPr="004008AC" w:rsidRDefault="00436B89" w:rsidP="00436B89">
            <w:pPr>
              <w:jc w:val="center"/>
              <w:rPr>
                <w:sz w:val="18"/>
                <w:szCs w:val="18"/>
              </w:rPr>
            </w:pPr>
          </w:p>
        </w:tc>
        <w:tc>
          <w:tcPr>
            <w:tcW w:w="992" w:type="dxa"/>
            <w:tcBorders>
              <w:top w:val="single" w:sz="4" w:space="0" w:color="000000"/>
              <w:left w:val="single" w:sz="4" w:space="0" w:color="000000"/>
              <w:bottom w:val="single" w:sz="4" w:space="0" w:color="000000"/>
              <w:right w:val="single" w:sz="4" w:space="0" w:color="000000"/>
            </w:tcBorders>
          </w:tcPr>
          <w:p w14:paraId="4729EE3B" w14:textId="77777777" w:rsidR="00436B89" w:rsidRPr="004008AC" w:rsidRDefault="00436B89" w:rsidP="00436B89">
            <w:pPr>
              <w:jc w:val="center"/>
              <w:rPr>
                <w:sz w:val="18"/>
                <w:szCs w:val="18"/>
              </w:rPr>
            </w:pPr>
            <w:r w:rsidRPr="004008AC">
              <w:rPr>
                <w:spacing w:val="1"/>
                <w:w w:val="105"/>
                <w:sz w:val="18"/>
                <w:szCs w:val="18"/>
              </w:rPr>
              <w:t>36</w:t>
            </w:r>
          </w:p>
        </w:tc>
        <w:tc>
          <w:tcPr>
            <w:tcW w:w="851" w:type="dxa"/>
            <w:tcBorders>
              <w:top w:val="single" w:sz="4" w:space="0" w:color="000000"/>
              <w:left w:val="single" w:sz="4" w:space="0" w:color="000000"/>
              <w:bottom w:val="single" w:sz="4" w:space="0" w:color="000000"/>
              <w:right w:val="single" w:sz="4" w:space="0" w:color="000000"/>
            </w:tcBorders>
          </w:tcPr>
          <w:p w14:paraId="2EA534FC" w14:textId="77777777" w:rsidR="00436B89" w:rsidRPr="004008AC" w:rsidRDefault="00436B89" w:rsidP="00436B89">
            <w:pPr>
              <w:jc w:val="center"/>
              <w:rPr>
                <w:sz w:val="18"/>
                <w:szCs w:val="18"/>
              </w:rPr>
            </w:pPr>
            <w:r w:rsidRPr="004008AC">
              <w:rPr>
                <w:w w:val="105"/>
                <w:sz w:val="18"/>
                <w:szCs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12EE8270" w14:textId="77777777" w:rsidR="00436B89" w:rsidRPr="004008AC" w:rsidRDefault="00436B89" w:rsidP="00436B89">
            <w:pPr>
              <w:jc w:val="center"/>
              <w:rPr>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14:paraId="630EC2D3"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48550513" w14:textId="77777777" w:rsidR="00436B89" w:rsidRPr="004008AC" w:rsidRDefault="00436B89" w:rsidP="00436B89">
            <w:pPr>
              <w:jc w:val="center"/>
              <w:rPr>
                <w:sz w:val="18"/>
                <w:szCs w:val="18"/>
              </w:rPr>
            </w:pPr>
            <w:r w:rsidRPr="004008AC">
              <w:rPr>
                <w:w w:val="105"/>
                <w:sz w:val="18"/>
                <w:szCs w:val="18"/>
              </w:rPr>
              <w:t>2</w:t>
            </w:r>
          </w:p>
        </w:tc>
        <w:tc>
          <w:tcPr>
            <w:tcW w:w="971" w:type="dxa"/>
            <w:tcBorders>
              <w:top w:val="single" w:sz="4" w:space="0" w:color="000000"/>
              <w:left w:val="single" w:sz="4" w:space="0" w:color="000000"/>
              <w:bottom w:val="single" w:sz="4" w:space="0" w:color="000000"/>
              <w:right w:val="single" w:sz="4" w:space="0" w:color="000000"/>
            </w:tcBorders>
          </w:tcPr>
          <w:p w14:paraId="00B07D60" w14:textId="77777777" w:rsidR="00436B89" w:rsidRPr="004008AC" w:rsidRDefault="00436B89" w:rsidP="00436B89">
            <w:pPr>
              <w:jc w:val="center"/>
              <w:rPr>
                <w:sz w:val="18"/>
                <w:szCs w:val="18"/>
              </w:rPr>
            </w:pPr>
            <w:r w:rsidRPr="004008AC">
              <w:rPr>
                <w:w w:val="105"/>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0DC68CB1"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15101A5A" w14:textId="77777777" w:rsidR="00436B89" w:rsidRPr="004008AC" w:rsidRDefault="00436B89" w:rsidP="00436B89">
            <w:pPr>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25CFA894" w14:textId="77777777" w:rsidR="00436B89" w:rsidRPr="004008AC" w:rsidRDefault="00436B89" w:rsidP="00436B89">
            <w:pPr>
              <w:jc w:val="center"/>
              <w:rPr>
                <w:sz w:val="18"/>
                <w:szCs w:val="18"/>
              </w:rPr>
            </w:pPr>
          </w:p>
        </w:tc>
      </w:tr>
    </w:tbl>
    <w:p w14:paraId="7FEDBB12" w14:textId="77777777" w:rsidR="00436B89" w:rsidRPr="00ED2995" w:rsidRDefault="00436B89" w:rsidP="001A6E73">
      <w:pPr>
        <w:pStyle w:val="TableDescription"/>
      </w:pPr>
      <w:r w:rsidRPr="00ED2995">
        <w:rPr>
          <w:w w:val="105"/>
        </w:rPr>
        <w:t>*lightheadedness/headache</w:t>
      </w:r>
    </w:p>
    <w:p w14:paraId="5E2E8FCB" w14:textId="77777777" w:rsidR="00436B89" w:rsidRPr="00C92342" w:rsidRDefault="00436B89" w:rsidP="00177802">
      <w:pPr>
        <w:pStyle w:val="Heading5"/>
        <w:numPr>
          <w:ilvl w:val="3"/>
          <w:numId w:val="5"/>
        </w:numPr>
        <w:tabs>
          <w:tab w:val="clear" w:pos="1418"/>
          <w:tab w:val="num" w:pos="1191"/>
        </w:tabs>
        <w:ind w:left="1191"/>
      </w:pPr>
      <w:r>
        <w:t>Evaluator’s Assessment</w:t>
      </w:r>
    </w:p>
    <w:p w14:paraId="3B4F56B5" w14:textId="77777777" w:rsidR="00436B89" w:rsidRDefault="00436B89" w:rsidP="00436B89">
      <w:r>
        <w:t xml:space="preserve">The sponsor has summarised the adverse events </w:t>
      </w:r>
      <w:r w:rsidRPr="00783D42">
        <w:t>reported in all of the trials involving sodium phenylbutyrate in the treatment of UCDs</w:t>
      </w:r>
      <w:r>
        <w:t>. No new unexpected adverse events were identified. There was not a clear relationship between dosing and the rate or severity of the adverse events. The response is satisfactory.</w:t>
      </w:r>
    </w:p>
    <w:p w14:paraId="6DBE302C" w14:textId="77777777" w:rsidR="00436B89" w:rsidRPr="004008AC" w:rsidRDefault="00436B89" w:rsidP="00436B89">
      <w:pPr>
        <w:pStyle w:val="Numberbullet0"/>
        <w:rPr>
          <w:b/>
          <w:i/>
        </w:rPr>
      </w:pPr>
      <w:r w:rsidRPr="004008AC">
        <w:rPr>
          <w:b/>
          <w:i/>
        </w:rPr>
        <w:t>The sponsor should tabulate all adverse events attributable to sodium phenylbutyrate. This should include exposure data including dose, dose by size (weight and/or surface area) and length of treatment.</w:t>
      </w:r>
    </w:p>
    <w:p w14:paraId="344B00B2" w14:textId="77777777" w:rsidR="00436B89" w:rsidRDefault="00436B89" w:rsidP="00177802">
      <w:pPr>
        <w:pStyle w:val="Heading5"/>
        <w:numPr>
          <w:ilvl w:val="3"/>
          <w:numId w:val="5"/>
        </w:numPr>
        <w:tabs>
          <w:tab w:val="clear" w:pos="1418"/>
          <w:tab w:val="num" w:pos="1191"/>
        </w:tabs>
        <w:ind w:left="1191"/>
      </w:pPr>
      <w:r>
        <w:t>Sponsor Response</w:t>
      </w:r>
    </w:p>
    <w:p w14:paraId="3C66781E" w14:textId="31920EED" w:rsidR="00436B89" w:rsidRDefault="00436B89" w:rsidP="00436B89">
      <w:pPr>
        <w:ind w:left="720"/>
      </w:pPr>
      <w:r>
        <w:t xml:space="preserve">All reported adverse reactions are listed by system organ class </w:t>
      </w:r>
      <w:r w:rsidR="00CF0199">
        <w:t>in Table 4</w:t>
      </w:r>
      <w:r w:rsidR="00F934C3">
        <w:t>4</w:t>
      </w:r>
      <w:r w:rsidR="00CF0199">
        <w:t xml:space="preserve"> </w:t>
      </w:r>
      <w:r>
        <w:t>and by frequency</w:t>
      </w:r>
      <w:r w:rsidR="00CF0199">
        <w:t xml:space="preserve"> in Table 4</w:t>
      </w:r>
      <w:r w:rsidR="00F934C3">
        <w:t>5</w:t>
      </w:r>
      <w:r w:rsidR="00CF0199">
        <w:t xml:space="preserve"> below</w:t>
      </w:r>
      <w:r>
        <w:t>. Frequency is defined as very common (≥ 1/10), common (≥ 1/100 to &lt; 1/10), uncommon (≥ 1/1000 to &lt; 1/100), rare (≥ 1/10,000 to &lt; 1/1,000), very rare (&lt; 1/10,000), not known (cannot be estimated from the available data). Within each frequency grouping, adverse reactions are presented in order of decreasing seriousness.</w:t>
      </w:r>
    </w:p>
    <w:p w14:paraId="421AED5E" w14:textId="4B5354FE" w:rsidR="00436B89" w:rsidRDefault="00436B89" w:rsidP="00436B89">
      <w:pPr>
        <w:pStyle w:val="Tabletitle"/>
        <w:rPr>
          <w:lang w:eastAsia="en-AU"/>
        </w:rPr>
      </w:pPr>
      <w:r>
        <w:rPr>
          <w:lang w:eastAsia="en-AU"/>
        </w:rPr>
        <w:lastRenderedPageBreak/>
        <w:t>Table 4</w:t>
      </w:r>
      <w:r w:rsidR="00F934C3">
        <w:rPr>
          <w:lang w:eastAsia="en-AU"/>
        </w:rPr>
        <w:t>4</w:t>
      </w:r>
      <w:r>
        <w:rPr>
          <w:lang w:eastAsia="en-AU"/>
        </w:rPr>
        <w:t>: Clinical trial adverse reactions reported with NaPB in UCD patients</w:t>
      </w:r>
    </w:p>
    <w:p w14:paraId="1E10FA27" w14:textId="77777777" w:rsidR="00436B89" w:rsidRDefault="00436B89" w:rsidP="00436B89">
      <w:pPr>
        <w:ind w:left="720"/>
      </w:pPr>
      <w:r>
        <w:rPr>
          <w:noProof/>
          <w:lang w:eastAsia="en-AU"/>
        </w:rPr>
        <w:drawing>
          <wp:inline distT="0" distB="0" distL="0" distR="0" wp14:anchorId="31A3D3C8" wp14:editId="3BF2166E">
            <wp:extent cx="4226545" cy="3168502"/>
            <wp:effectExtent l="0" t="0" r="3175" b="0"/>
            <wp:docPr id="69" name="Picture 69" descr="Table 44: Clinical trial adverse reactions reported with NaPB in UC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lum bright="-20000" contrast="40000"/>
                      <a:extLst>
                        <a:ext uri="{28A0092B-C50C-407E-A947-70E740481C1C}">
                          <a14:useLocalDpi xmlns:a14="http://schemas.microsoft.com/office/drawing/2010/main" val="0"/>
                        </a:ext>
                      </a:extLst>
                    </a:blip>
                    <a:srcRect/>
                    <a:stretch>
                      <a:fillRect/>
                    </a:stretch>
                  </pic:blipFill>
                  <pic:spPr bwMode="auto">
                    <a:xfrm>
                      <a:off x="0" y="0"/>
                      <a:ext cx="4228247" cy="3169778"/>
                    </a:xfrm>
                    <a:prstGeom prst="rect">
                      <a:avLst/>
                    </a:prstGeom>
                    <a:noFill/>
                    <a:ln>
                      <a:noFill/>
                    </a:ln>
                  </pic:spPr>
                </pic:pic>
              </a:graphicData>
            </a:graphic>
          </wp:inline>
        </w:drawing>
      </w:r>
    </w:p>
    <w:p w14:paraId="0C597D31" w14:textId="56F06545" w:rsidR="00436B89" w:rsidRDefault="00436B89" w:rsidP="00F21AE2">
      <w:pPr>
        <w:pStyle w:val="Tabletitle"/>
      </w:pPr>
      <w:r>
        <w:rPr>
          <w:lang w:eastAsia="en-AU"/>
        </w:rPr>
        <w:t>Table 4</w:t>
      </w:r>
      <w:r w:rsidR="00F934C3">
        <w:rPr>
          <w:lang w:eastAsia="en-AU"/>
        </w:rPr>
        <w:t>5</w:t>
      </w:r>
      <w:r>
        <w:rPr>
          <w:lang w:eastAsia="en-AU"/>
        </w:rPr>
        <w:t>: AEs reported with phenylbutyrate in clinical studies for UCDs</w:t>
      </w:r>
      <w:r w:rsidRPr="00E47D4E">
        <w:t xml:space="preserve"> </w:t>
      </w:r>
    </w:p>
    <w:tbl>
      <w:tblPr>
        <w:tblStyle w:val="TableTGAblue"/>
        <w:tblW w:w="8647" w:type="dxa"/>
        <w:tblLayout w:type="fixed"/>
        <w:tblLook w:val="0020" w:firstRow="1" w:lastRow="0" w:firstColumn="0" w:lastColumn="0" w:noHBand="0" w:noVBand="0"/>
      </w:tblPr>
      <w:tblGrid>
        <w:gridCol w:w="2607"/>
        <w:gridCol w:w="1928"/>
        <w:gridCol w:w="1928"/>
        <w:gridCol w:w="2184"/>
      </w:tblGrid>
      <w:tr w:rsidR="00436B89" w:rsidRPr="00F21AE2" w14:paraId="76C2A846" w14:textId="77777777" w:rsidTr="00F21AE2">
        <w:trPr>
          <w:cnfStyle w:val="100000000000" w:firstRow="1" w:lastRow="0" w:firstColumn="0" w:lastColumn="0" w:oddVBand="0" w:evenVBand="0" w:oddHBand="0" w:evenHBand="0" w:firstRowFirstColumn="0" w:firstRowLastColumn="0" w:lastRowFirstColumn="0" w:lastRowLastColumn="0"/>
          <w:trHeight w:val="20"/>
          <w:tblHeader/>
        </w:trPr>
        <w:tc>
          <w:tcPr>
            <w:tcW w:w="2607" w:type="dxa"/>
          </w:tcPr>
          <w:p w14:paraId="73090864" w14:textId="77777777" w:rsidR="00436B89" w:rsidRPr="00F21AE2" w:rsidRDefault="00436B89" w:rsidP="00F21AE2">
            <w:pPr>
              <w:rPr>
                <w:b w:val="0"/>
                <w:sz w:val="20"/>
                <w:szCs w:val="20"/>
              </w:rPr>
            </w:pPr>
            <w:r w:rsidRPr="00F21AE2">
              <w:rPr>
                <w:b w:val="0"/>
                <w:w w:val="105"/>
                <w:sz w:val="20"/>
                <w:szCs w:val="20"/>
              </w:rPr>
              <w:t>Study</w:t>
            </w:r>
          </w:p>
        </w:tc>
        <w:tc>
          <w:tcPr>
            <w:tcW w:w="1928" w:type="dxa"/>
          </w:tcPr>
          <w:p w14:paraId="3C93DD30" w14:textId="77777777" w:rsidR="00436B89" w:rsidRPr="00F21AE2" w:rsidRDefault="00436B89" w:rsidP="00F21AE2">
            <w:pPr>
              <w:rPr>
                <w:b w:val="0"/>
                <w:sz w:val="20"/>
                <w:szCs w:val="20"/>
              </w:rPr>
            </w:pPr>
            <w:r w:rsidRPr="00F21AE2">
              <w:rPr>
                <w:b w:val="0"/>
                <w:w w:val="105"/>
                <w:sz w:val="20"/>
                <w:szCs w:val="20"/>
              </w:rPr>
              <w:t>NaPB</w:t>
            </w:r>
            <w:r w:rsidRPr="00F21AE2">
              <w:rPr>
                <w:b w:val="0"/>
                <w:spacing w:val="-18"/>
                <w:w w:val="105"/>
                <w:sz w:val="20"/>
                <w:szCs w:val="20"/>
              </w:rPr>
              <w:t xml:space="preserve"> </w:t>
            </w:r>
            <w:r w:rsidRPr="00F21AE2">
              <w:rPr>
                <w:b w:val="0"/>
                <w:w w:val="105"/>
                <w:sz w:val="20"/>
                <w:szCs w:val="20"/>
              </w:rPr>
              <w:t>dose</w:t>
            </w:r>
          </w:p>
        </w:tc>
        <w:tc>
          <w:tcPr>
            <w:tcW w:w="1928" w:type="dxa"/>
          </w:tcPr>
          <w:p w14:paraId="0F9953D5" w14:textId="77777777" w:rsidR="00436B89" w:rsidRPr="00F21AE2" w:rsidRDefault="00436B89" w:rsidP="00F21AE2">
            <w:pPr>
              <w:rPr>
                <w:b w:val="0"/>
                <w:sz w:val="20"/>
                <w:szCs w:val="20"/>
              </w:rPr>
            </w:pPr>
            <w:r w:rsidRPr="00F21AE2">
              <w:rPr>
                <w:b w:val="0"/>
                <w:w w:val="105"/>
                <w:sz w:val="20"/>
                <w:szCs w:val="20"/>
              </w:rPr>
              <w:t>Number</w:t>
            </w:r>
            <w:r w:rsidRPr="00F21AE2">
              <w:rPr>
                <w:b w:val="0"/>
                <w:spacing w:val="-17"/>
                <w:w w:val="105"/>
                <w:sz w:val="20"/>
                <w:szCs w:val="20"/>
              </w:rPr>
              <w:t xml:space="preserve"> </w:t>
            </w:r>
            <w:r w:rsidRPr="00F21AE2">
              <w:rPr>
                <w:b w:val="0"/>
                <w:w w:val="105"/>
                <w:sz w:val="20"/>
                <w:szCs w:val="20"/>
              </w:rPr>
              <w:t>of</w:t>
            </w:r>
            <w:r w:rsidRPr="00F21AE2">
              <w:rPr>
                <w:b w:val="0"/>
                <w:spacing w:val="-16"/>
                <w:w w:val="105"/>
                <w:sz w:val="20"/>
                <w:szCs w:val="20"/>
              </w:rPr>
              <w:t xml:space="preserve"> </w:t>
            </w:r>
            <w:r w:rsidRPr="00F21AE2">
              <w:rPr>
                <w:b w:val="0"/>
                <w:spacing w:val="-1"/>
                <w:w w:val="105"/>
                <w:sz w:val="20"/>
                <w:szCs w:val="20"/>
              </w:rPr>
              <w:t>patients</w:t>
            </w:r>
          </w:p>
        </w:tc>
        <w:tc>
          <w:tcPr>
            <w:tcW w:w="2184" w:type="dxa"/>
          </w:tcPr>
          <w:p w14:paraId="0831BA3F" w14:textId="77777777" w:rsidR="00436B89" w:rsidRPr="00F21AE2" w:rsidRDefault="00436B89" w:rsidP="00F21AE2">
            <w:pPr>
              <w:rPr>
                <w:b w:val="0"/>
                <w:sz w:val="20"/>
                <w:szCs w:val="20"/>
              </w:rPr>
            </w:pPr>
            <w:r w:rsidRPr="00F21AE2">
              <w:rPr>
                <w:b w:val="0"/>
                <w:w w:val="105"/>
                <w:sz w:val="20"/>
                <w:szCs w:val="20"/>
              </w:rPr>
              <w:t>AEs</w:t>
            </w:r>
            <w:r w:rsidRPr="00F21AE2">
              <w:rPr>
                <w:b w:val="0"/>
                <w:spacing w:val="-8"/>
                <w:w w:val="105"/>
                <w:sz w:val="20"/>
                <w:szCs w:val="20"/>
              </w:rPr>
              <w:t xml:space="preserve"> </w:t>
            </w:r>
            <w:r w:rsidRPr="00F21AE2">
              <w:rPr>
                <w:b w:val="0"/>
                <w:spacing w:val="-1"/>
                <w:w w:val="105"/>
                <w:sz w:val="20"/>
                <w:szCs w:val="20"/>
              </w:rPr>
              <w:t>reported</w:t>
            </w:r>
            <w:r w:rsidRPr="00F21AE2">
              <w:rPr>
                <w:b w:val="0"/>
                <w:spacing w:val="-7"/>
                <w:w w:val="105"/>
                <w:sz w:val="20"/>
                <w:szCs w:val="20"/>
              </w:rPr>
              <w:t xml:space="preserve"> </w:t>
            </w:r>
            <w:r w:rsidRPr="00F21AE2">
              <w:rPr>
                <w:b w:val="0"/>
                <w:spacing w:val="-1"/>
                <w:w w:val="105"/>
                <w:sz w:val="20"/>
                <w:szCs w:val="20"/>
              </w:rPr>
              <w:t>(n</w:t>
            </w:r>
            <w:r w:rsidRPr="00F21AE2">
              <w:rPr>
                <w:b w:val="0"/>
                <w:spacing w:val="-7"/>
                <w:w w:val="105"/>
                <w:sz w:val="20"/>
                <w:szCs w:val="20"/>
              </w:rPr>
              <w:t xml:space="preserve"> </w:t>
            </w:r>
            <w:r w:rsidRPr="00F21AE2">
              <w:rPr>
                <w:b w:val="0"/>
                <w:w w:val="105"/>
                <w:sz w:val="20"/>
                <w:szCs w:val="20"/>
              </w:rPr>
              <w:t>or</w:t>
            </w:r>
            <w:r w:rsidRPr="00F21AE2">
              <w:rPr>
                <w:b w:val="0"/>
                <w:spacing w:val="-7"/>
                <w:w w:val="105"/>
                <w:sz w:val="20"/>
                <w:szCs w:val="20"/>
              </w:rPr>
              <w:t xml:space="preserve"> </w:t>
            </w:r>
            <w:r w:rsidRPr="00F21AE2">
              <w:rPr>
                <w:b w:val="0"/>
                <w:w w:val="105"/>
                <w:sz w:val="20"/>
                <w:szCs w:val="20"/>
              </w:rPr>
              <w:t>%</w:t>
            </w:r>
            <w:r w:rsidRPr="00F21AE2">
              <w:rPr>
                <w:b w:val="0"/>
                <w:spacing w:val="-6"/>
                <w:w w:val="105"/>
                <w:sz w:val="20"/>
                <w:szCs w:val="20"/>
              </w:rPr>
              <w:t xml:space="preserve"> </w:t>
            </w:r>
            <w:r w:rsidRPr="00F21AE2">
              <w:rPr>
                <w:b w:val="0"/>
                <w:w w:val="105"/>
                <w:sz w:val="20"/>
                <w:szCs w:val="20"/>
              </w:rPr>
              <w:t>of</w:t>
            </w:r>
            <w:r w:rsidRPr="00F21AE2">
              <w:rPr>
                <w:b w:val="0"/>
                <w:spacing w:val="-8"/>
                <w:w w:val="105"/>
                <w:sz w:val="20"/>
                <w:szCs w:val="20"/>
              </w:rPr>
              <w:t xml:space="preserve"> </w:t>
            </w:r>
            <w:r w:rsidRPr="00F21AE2">
              <w:rPr>
                <w:b w:val="0"/>
                <w:w w:val="105"/>
                <w:sz w:val="20"/>
                <w:szCs w:val="20"/>
              </w:rPr>
              <w:t>n)</w:t>
            </w:r>
          </w:p>
        </w:tc>
      </w:tr>
      <w:tr w:rsidR="00436B89" w:rsidRPr="00F21AE2" w14:paraId="32F95E4E" w14:textId="77777777" w:rsidTr="00F21AE2">
        <w:trPr>
          <w:trHeight w:val="20"/>
        </w:trPr>
        <w:tc>
          <w:tcPr>
            <w:tcW w:w="2607" w:type="dxa"/>
          </w:tcPr>
          <w:p w14:paraId="24BE77C6" w14:textId="77777777" w:rsidR="00436B89" w:rsidRPr="00F21AE2" w:rsidRDefault="00436B89" w:rsidP="00F21AE2">
            <w:pPr>
              <w:rPr>
                <w:sz w:val="20"/>
                <w:szCs w:val="20"/>
              </w:rPr>
            </w:pPr>
            <w:r w:rsidRPr="00F21AE2">
              <w:rPr>
                <w:w w:val="105"/>
                <w:sz w:val="20"/>
                <w:szCs w:val="20"/>
              </w:rPr>
              <w:t>Weich</w:t>
            </w:r>
            <w:r w:rsidRPr="00F21AE2">
              <w:rPr>
                <w:spacing w:val="-21"/>
                <w:w w:val="105"/>
                <w:sz w:val="20"/>
                <w:szCs w:val="20"/>
              </w:rPr>
              <w:t xml:space="preserve"> </w:t>
            </w:r>
            <w:r w:rsidRPr="00F21AE2">
              <w:rPr>
                <w:w w:val="105"/>
                <w:sz w:val="20"/>
                <w:szCs w:val="20"/>
              </w:rPr>
              <w:t>(1997)</w:t>
            </w:r>
          </w:p>
        </w:tc>
        <w:tc>
          <w:tcPr>
            <w:tcW w:w="1928" w:type="dxa"/>
          </w:tcPr>
          <w:p w14:paraId="3A05A199" w14:textId="77777777" w:rsidR="00436B89" w:rsidRPr="00F21AE2" w:rsidRDefault="00436B89" w:rsidP="00F21AE2">
            <w:pPr>
              <w:rPr>
                <w:sz w:val="20"/>
                <w:szCs w:val="20"/>
              </w:rPr>
            </w:pPr>
            <w:r w:rsidRPr="00F21AE2">
              <w:rPr>
                <w:spacing w:val="1"/>
                <w:w w:val="105"/>
                <w:sz w:val="20"/>
                <w:szCs w:val="20"/>
              </w:rPr>
              <w:t>NR</w:t>
            </w:r>
          </w:p>
        </w:tc>
        <w:tc>
          <w:tcPr>
            <w:tcW w:w="1928" w:type="dxa"/>
          </w:tcPr>
          <w:p w14:paraId="1D394609" w14:textId="1150232C" w:rsidR="00436B89" w:rsidRPr="00F21AE2" w:rsidRDefault="00436B89" w:rsidP="00F21AE2">
            <w:pPr>
              <w:rPr>
                <w:sz w:val="20"/>
                <w:szCs w:val="20"/>
              </w:rPr>
            </w:pPr>
            <w:r w:rsidRPr="00F21AE2">
              <w:rPr>
                <w:w w:val="105"/>
                <w:sz w:val="20"/>
                <w:szCs w:val="20"/>
              </w:rPr>
              <w:t>12</w:t>
            </w:r>
            <w:r w:rsidR="00F21AE2">
              <w:rPr>
                <w:w w:val="105"/>
                <w:sz w:val="20"/>
                <w:szCs w:val="20"/>
              </w:rPr>
              <w:t xml:space="preserve"> </w:t>
            </w:r>
            <w:r w:rsidRPr="00F21AE2">
              <w:rPr>
                <w:w w:val="105"/>
                <w:sz w:val="20"/>
                <w:szCs w:val="20"/>
              </w:rPr>
              <w:t>(4M;</w:t>
            </w:r>
            <w:r w:rsidRPr="00F21AE2">
              <w:rPr>
                <w:spacing w:val="-15"/>
                <w:w w:val="105"/>
                <w:sz w:val="20"/>
                <w:szCs w:val="20"/>
              </w:rPr>
              <w:t xml:space="preserve"> </w:t>
            </w:r>
            <w:r w:rsidRPr="00F21AE2">
              <w:rPr>
                <w:w w:val="105"/>
                <w:sz w:val="20"/>
                <w:szCs w:val="20"/>
              </w:rPr>
              <w:t>8F)</w:t>
            </w:r>
          </w:p>
        </w:tc>
        <w:tc>
          <w:tcPr>
            <w:tcW w:w="2184" w:type="dxa"/>
          </w:tcPr>
          <w:p w14:paraId="39409319" w14:textId="77777777" w:rsidR="00436B89" w:rsidRPr="00F21AE2" w:rsidRDefault="00436B89" w:rsidP="00F21AE2">
            <w:pPr>
              <w:rPr>
                <w:sz w:val="20"/>
                <w:szCs w:val="20"/>
              </w:rPr>
            </w:pPr>
            <w:r w:rsidRPr="00F21AE2">
              <w:rPr>
                <w:w w:val="105"/>
                <w:sz w:val="20"/>
                <w:szCs w:val="20"/>
              </w:rPr>
              <w:t>Menstrual</w:t>
            </w:r>
            <w:r w:rsidRPr="00F21AE2">
              <w:rPr>
                <w:spacing w:val="-24"/>
                <w:w w:val="105"/>
                <w:sz w:val="20"/>
                <w:szCs w:val="20"/>
              </w:rPr>
              <w:t xml:space="preserve"> </w:t>
            </w:r>
            <w:r w:rsidRPr="00F21AE2">
              <w:rPr>
                <w:spacing w:val="-1"/>
                <w:w w:val="105"/>
                <w:sz w:val="20"/>
                <w:szCs w:val="20"/>
              </w:rPr>
              <w:t>Disturbances</w:t>
            </w:r>
            <w:r w:rsidRPr="00F21AE2">
              <w:rPr>
                <w:spacing w:val="-24"/>
                <w:w w:val="105"/>
                <w:sz w:val="20"/>
                <w:szCs w:val="20"/>
              </w:rPr>
              <w:t xml:space="preserve"> </w:t>
            </w:r>
            <w:r w:rsidRPr="00F21AE2">
              <w:rPr>
                <w:w w:val="105"/>
                <w:sz w:val="20"/>
                <w:szCs w:val="20"/>
              </w:rPr>
              <w:t>(23%)</w:t>
            </w:r>
            <w:r w:rsidRPr="00F21AE2">
              <w:rPr>
                <w:spacing w:val="24"/>
                <w:w w:val="103"/>
                <w:sz w:val="20"/>
                <w:szCs w:val="20"/>
              </w:rPr>
              <w:t xml:space="preserve"> </w:t>
            </w:r>
            <w:r w:rsidRPr="00F21AE2">
              <w:rPr>
                <w:spacing w:val="-1"/>
                <w:w w:val="105"/>
                <w:sz w:val="20"/>
                <w:szCs w:val="20"/>
              </w:rPr>
              <w:t>Anorexia</w:t>
            </w:r>
          </w:p>
          <w:p w14:paraId="7D57F906" w14:textId="77777777" w:rsidR="00436B89" w:rsidRPr="00F21AE2" w:rsidRDefault="00436B89" w:rsidP="00F21AE2">
            <w:pPr>
              <w:rPr>
                <w:sz w:val="20"/>
                <w:szCs w:val="20"/>
              </w:rPr>
            </w:pPr>
            <w:r w:rsidRPr="00F21AE2">
              <w:rPr>
                <w:sz w:val="20"/>
                <w:szCs w:val="20"/>
              </w:rPr>
              <w:t xml:space="preserve">Biochemical </w:t>
            </w:r>
            <w:r w:rsidRPr="00F21AE2">
              <w:rPr>
                <w:spacing w:val="-1"/>
                <w:sz w:val="20"/>
                <w:szCs w:val="20"/>
              </w:rPr>
              <w:t>abnormalities</w:t>
            </w:r>
          </w:p>
        </w:tc>
      </w:tr>
      <w:tr w:rsidR="00436B89" w:rsidRPr="00F21AE2" w14:paraId="234C60A8" w14:textId="77777777" w:rsidTr="00F21AE2">
        <w:trPr>
          <w:trHeight w:val="20"/>
        </w:trPr>
        <w:tc>
          <w:tcPr>
            <w:tcW w:w="2607" w:type="dxa"/>
          </w:tcPr>
          <w:p w14:paraId="23A3AB62" w14:textId="77777777" w:rsidR="00436B89" w:rsidRPr="00F21AE2" w:rsidRDefault="00436B89" w:rsidP="00F21AE2">
            <w:pPr>
              <w:rPr>
                <w:sz w:val="20"/>
                <w:szCs w:val="20"/>
              </w:rPr>
            </w:pPr>
            <w:r w:rsidRPr="00F21AE2">
              <w:rPr>
                <w:spacing w:val="-1"/>
                <w:w w:val="105"/>
                <w:sz w:val="20"/>
                <w:szCs w:val="20"/>
              </w:rPr>
              <w:t>Feillet</w:t>
            </w:r>
            <w:r w:rsidRPr="00F21AE2">
              <w:rPr>
                <w:spacing w:val="-22"/>
                <w:w w:val="105"/>
                <w:sz w:val="20"/>
                <w:szCs w:val="20"/>
              </w:rPr>
              <w:t xml:space="preserve"> </w:t>
            </w:r>
            <w:r w:rsidRPr="00F21AE2">
              <w:rPr>
                <w:w w:val="105"/>
                <w:sz w:val="20"/>
                <w:szCs w:val="20"/>
              </w:rPr>
              <w:t>(1998)</w:t>
            </w:r>
          </w:p>
        </w:tc>
        <w:tc>
          <w:tcPr>
            <w:tcW w:w="1928" w:type="dxa"/>
          </w:tcPr>
          <w:p w14:paraId="58F2884C" w14:textId="77777777" w:rsidR="00436B89" w:rsidRPr="00F21AE2" w:rsidRDefault="00436B89" w:rsidP="00F21AE2">
            <w:pPr>
              <w:rPr>
                <w:sz w:val="20"/>
                <w:szCs w:val="20"/>
              </w:rPr>
            </w:pPr>
            <w:r w:rsidRPr="00F21AE2">
              <w:rPr>
                <w:spacing w:val="1"/>
                <w:w w:val="105"/>
                <w:sz w:val="20"/>
                <w:szCs w:val="20"/>
              </w:rPr>
              <w:t>NR</w:t>
            </w:r>
          </w:p>
        </w:tc>
        <w:tc>
          <w:tcPr>
            <w:tcW w:w="1928" w:type="dxa"/>
          </w:tcPr>
          <w:p w14:paraId="6805C780" w14:textId="2FDF59B1" w:rsidR="00436B89" w:rsidRPr="00F21AE2" w:rsidRDefault="00436B89" w:rsidP="00F21AE2">
            <w:pPr>
              <w:rPr>
                <w:sz w:val="20"/>
                <w:szCs w:val="20"/>
              </w:rPr>
            </w:pPr>
            <w:r w:rsidRPr="00F21AE2">
              <w:rPr>
                <w:w w:val="105"/>
                <w:sz w:val="20"/>
                <w:szCs w:val="20"/>
              </w:rPr>
              <w:t>6</w:t>
            </w:r>
            <w:r w:rsidR="00F21AE2">
              <w:rPr>
                <w:w w:val="105"/>
                <w:sz w:val="20"/>
                <w:szCs w:val="20"/>
              </w:rPr>
              <w:t xml:space="preserve"> </w:t>
            </w:r>
            <w:r w:rsidRPr="00F21AE2">
              <w:rPr>
                <w:w w:val="105"/>
                <w:sz w:val="20"/>
                <w:szCs w:val="20"/>
              </w:rPr>
              <w:t>(5M;</w:t>
            </w:r>
            <w:r w:rsidRPr="00F21AE2">
              <w:rPr>
                <w:spacing w:val="-15"/>
                <w:w w:val="105"/>
                <w:sz w:val="20"/>
                <w:szCs w:val="20"/>
              </w:rPr>
              <w:t xml:space="preserve"> </w:t>
            </w:r>
            <w:r w:rsidRPr="00F21AE2">
              <w:rPr>
                <w:w w:val="105"/>
                <w:sz w:val="20"/>
                <w:szCs w:val="20"/>
              </w:rPr>
              <w:t>1F)</w:t>
            </w:r>
          </w:p>
        </w:tc>
        <w:tc>
          <w:tcPr>
            <w:tcW w:w="2184" w:type="dxa"/>
          </w:tcPr>
          <w:p w14:paraId="40C366D2" w14:textId="77777777" w:rsidR="00436B89" w:rsidRPr="00F21AE2" w:rsidRDefault="00436B89" w:rsidP="00F21AE2">
            <w:pPr>
              <w:rPr>
                <w:sz w:val="20"/>
                <w:szCs w:val="20"/>
              </w:rPr>
            </w:pPr>
            <w:r w:rsidRPr="00F21AE2">
              <w:rPr>
                <w:w w:val="105"/>
                <w:sz w:val="20"/>
                <w:szCs w:val="20"/>
              </w:rPr>
              <w:t>Oral</w:t>
            </w:r>
            <w:r w:rsidRPr="00F21AE2">
              <w:rPr>
                <w:spacing w:val="-23"/>
                <w:w w:val="105"/>
                <w:sz w:val="20"/>
                <w:szCs w:val="20"/>
              </w:rPr>
              <w:t xml:space="preserve"> </w:t>
            </w:r>
            <w:r w:rsidRPr="00F21AE2">
              <w:rPr>
                <w:spacing w:val="-1"/>
                <w:w w:val="105"/>
                <w:sz w:val="20"/>
                <w:szCs w:val="20"/>
              </w:rPr>
              <w:t>mucositis</w:t>
            </w:r>
            <w:r w:rsidRPr="00F21AE2">
              <w:rPr>
                <w:spacing w:val="27"/>
                <w:w w:val="103"/>
                <w:sz w:val="20"/>
                <w:szCs w:val="20"/>
              </w:rPr>
              <w:t xml:space="preserve"> </w:t>
            </w:r>
            <w:r w:rsidRPr="00F21AE2">
              <w:rPr>
                <w:w w:val="105"/>
                <w:sz w:val="20"/>
                <w:szCs w:val="20"/>
              </w:rPr>
              <w:t>Fanconi</w:t>
            </w:r>
            <w:r w:rsidRPr="00F21AE2">
              <w:rPr>
                <w:spacing w:val="-18"/>
                <w:w w:val="105"/>
                <w:sz w:val="20"/>
                <w:szCs w:val="20"/>
              </w:rPr>
              <w:t xml:space="preserve"> </w:t>
            </w:r>
            <w:r w:rsidRPr="00F21AE2">
              <w:rPr>
                <w:w w:val="105"/>
                <w:sz w:val="20"/>
                <w:szCs w:val="20"/>
              </w:rPr>
              <w:t>syndrome</w:t>
            </w:r>
            <w:r w:rsidRPr="00F21AE2">
              <w:rPr>
                <w:spacing w:val="-16"/>
                <w:w w:val="105"/>
                <w:sz w:val="20"/>
                <w:szCs w:val="20"/>
              </w:rPr>
              <w:t xml:space="preserve"> </w:t>
            </w:r>
            <w:r w:rsidRPr="00F21AE2">
              <w:rPr>
                <w:w w:val="105"/>
                <w:sz w:val="20"/>
                <w:szCs w:val="20"/>
              </w:rPr>
              <w:t>(2)</w:t>
            </w:r>
          </w:p>
        </w:tc>
      </w:tr>
      <w:tr w:rsidR="00436B89" w:rsidRPr="00F21AE2" w14:paraId="13357A6B" w14:textId="77777777" w:rsidTr="00F21AE2">
        <w:trPr>
          <w:trHeight w:val="20"/>
        </w:trPr>
        <w:tc>
          <w:tcPr>
            <w:tcW w:w="2607" w:type="dxa"/>
          </w:tcPr>
          <w:p w14:paraId="4424C2C1" w14:textId="77777777" w:rsidR="00436B89" w:rsidRPr="00F21AE2" w:rsidRDefault="00436B89" w:rsidP="00F21AE2">
            <w:pPr>
              <w:rPr>
                <w:sz w:val="20"/>
                <w:szCs w:val="20"/>
              </w:rPr>
            </w:pPr>
            <w:r w:rsidRPr="00F21AE2">
              <w:rPr>
                <w:w w:val="105"/>
                <w:sz w:val="20"/>
                <w:szCs w:val="20"/>
              </w:rPr>
              <w:t>Lee</w:t>
            </w:r>
            <w:r w:rsidRPr="00F21AE2">
              <w:rPr>
                <w:spacing w:val="-18"/>
                <w:w w:val="105"/>
                <w:sz w:val="20"/>
                <w:szCs w:val="20"/>
              </w:rPr>
              <w:t xml:space="preserve"> </w:t>
            </w:r>
            <w:r w:rsidRPr="00F21AE2">
              <w:rPr>
                <w:w w:val="105"/>
                <w:sz w:val="20"/>
                <w:szCs w:val="20"/>
              </w:rPr>
              <w:t>(2010)</w:t>
            </w:r>
          </w:p>
        </w:tc>
        <w:tc>
          <w:tcPr>
            <w:tcW w:w="1928" w:type="dxa"/>
          </w:tcPr>
          <w:p w14:paraId="51504905" w14:textId="77777777" w:rsidR="00436B89" w:rsidRPr="00F21AE2" w:rsidRDefault="00436B89" w:rsidP="00F21AE2">
            <w:pPr>
              <w:rPr>
                <w:sz w:val="20"/>
                <w:szCs w:val="20"/>
              </w:rPr>
            </w:pPr>
            <w:r w:rsidRPr="00F21AE2">
              <w:rPr>
                <w:w w:val="105"/>
                <w:sz w:val="20"/>
                <w:szCs w:val="20"/>
              </w:rPr>
              <w:t>191</w:t>
            </w:r>
            <w:r w:rsidRPr="00F21AE2">
              <w:rPr>
                <w:spacing w:val="-18"/>
                <w:w w:val="105"/>
                <w:sz w:val="20"/>
                <w:szCs w:val="20"/>
              </w:rPr>
              <w:t xml:space="preserve"> </w:t>
            </w:r>
            <w:r w:rsidRPr="00F21AE2">
              <w:rPr>
                <w:w w:val="105"/>
                <w:sz w:val="20"/>
                <w:szCs w:val="20"/>
              </w:rPr>
              <w:t>mg/Kg/day</w:t>
            </w:r>
            <w:r w:rsidRPr="00F21AE2">
              <w:rPr>
                <w:spacing w:val="-18"/>
                <w:w w:val="105"/>
                <w:sz w:val="20"/>
                <w:szCs w:val="20"/>
              </w:rPr>
              <w:t xml:space="preserve"> </w:t>
            </w:r>
            <w:r w:rsidRPr="00F21AE2">
              <w:rPr>
                <w:spacing w:val="-1"/>
                <w:w w:val="105"/>
                <w:sz w:val="20"/>
                <w:szCs w:val="20"/>
              </w:rPr>
              <w:t>equivalent</w:t>
            </w:r>
            <w:r w:rsidRPr="00F21AE2">
              <w:rPr>
                <w:spacing w:val="28"/>
                <w:w w:val="103"/>
                <w:sz w:val="20"/>
                <w:szCs w:val="20"/>
              </w:rPr>
              <w:t xml:space="preserve"> </w:t>
            </w:r>
            <w:r w:rsidRPr="00F21AE2">
              <w:rPr>
                <w:spacing w:val="-1"/>
                <w:w w:val="105"/>
                <w:sz w:val="20"/>
                <w:szCs w:val="20"/>
              </w:rPr>
              <w:t>to</w:t>
            </w:r>
            <w:r w:rsidRPr="00F21AE2">
              <w:rPr>
                <w:spacing w:val="-7"/>
                <w:w w:val="105"/>
                <w:sz w:val="20"/>
                <w:szCs w:val="20"/>
              </w:rPr>
              <w:t xml:space="preserve"> </w:t>
            </w:r>
            <w:r w:rsidRPr="00F21AE2">
              <w:rPr>
                <w:spacing w:val="-1"/>
                <w:w w:val="105"/>
                <w:sz w:val="20"/>
                <w:szCs w:val="20"/>
              </w:rPr>
              <w:t>7.54</w:t>
            </w:r>
            <w:r w:rsidRPr="00F21AE2">
              <w:rPr>
                <w:spacing w:val="-7"/>
                <w:w w:val="105"/>
                <w:sz w:val="20"/>
                <w:szCs w:val="20"/>
              </w:rPr>
              <w:t xml:space="preserve"> </w:t>
            </w:r>
            <w:r w:rsidRPr="00F21AE2">
              <w:rPr>
                <w:w w:val="105"/>
                <w:sz w:val="20"/>
                <w:szCs w:val="20"/>
              </w:rPr>
              <w:t>g/m2</w:t>
            </w:r>
            <w:r w:rsidRPr="00F21AE2">
              <w:rPr>
                <w:spacing w:val="-7"/>
                <w:w w:val="105"/>
                <w:sz w:val="20"/>
                <w:szCs w:val="20"/>
              </w:rPr>
              <w:t xml:space="preserve"> </w:t>
            </w:r>
            <w:r w:rsidRPr="00F21AE2">
              <w:rPr>
                <w:w w:val="105"/>
                <w:sz w:val="20"/>
                <w:szCs w:val="20"/>
              </w:rPr>
              <w:t>for</w:t>
            </w:r>
            <w:r w:rsidRPr="00F21AE2">
              <w:rPr>
                <w:spacing w:val="-7"/>
                <w:w w:val="105"/>
                <w:sz w:val="20"/>
                <w:szCs w:val="20"/>
              </w:rPr>
              <w:t xml:space="preserve"> </w:t>
            </w:r>
            <w:r w:rsidRPr="00F21AE2">
              <w:rPr>
                <w:w w:val="105"/>
                <w:sz w:val="20"/>
                <w:szCs w:val="20"/>
              </w:rPr>
              <w:t>an</w:t>
            </w:r>
            <w:r w:rsidRPr="00F21AE2">
              <w:rPr>
                <w:spacing w:val="24"/>
                <w:w w:val="103"/>
                <w:sz w:val="20"/>
                <w:szCs w:val="20"/>
              </w:rPr>
              <w:t xml:space="preserve"> </w:t>
            </w:r>
            <w:r w:rsidRPr="00F21AE2">
              <w:rPr>
                <w:w w:val="105"/>
                <w:sz w:val="20"/>
                <w:szCs w:val="20"/>
              </w:rPr>
              <w:t>average</w:t>
            </w:r>
            <w:r w:rsidRPr="00F21AE2">
              <w:rPr>
                <w:spacing w:val="-12"/>
                <w:w w:val="105"/>
                <w:sz w:val="20"/>
                <w:szCs w:val="20"/>
              </w:rPr>
              <w:t xml:space="preserve"> </w:t>
            </w:r>
            <w:r w:rsidRPr="00F21AE2">
              <w:rPr>
                <w:w w:val="105"/>
                <w:sz w:val="20"/>
                <w:szCs w:val="20"/>
              </w:rPr>
              <w:t>of</w:t>
            </w:r>
            <w:r w:rsidRPr="00F21AE2">
              <w:rPr>
                <w:spacing w:val="-11"/>
                <w:w w:val="105"/>
                <w:sz w:val="20"/>
                <w:szCs w:val="20"/>
              </w:rPr>
              <w:t xml:space="preserve"> </w:t>
            </w:r>
            <w:r w:rsidRPr="00F21AE2">
              <w:rPr>
                <w:spacing w:val="-1"/>
                <w:w w:val="105"/>
                <w:sz w:val="20"/>
                <w:szCs w:val="20"/>
              </w:rPr>
              <w:t>9.04</w:t>
            </w:r>
            <w:r w:rsidRPr="00F21AE2">
              <w:rPr>
                <w:spacing w:val="-10"/>
                <w:w w:val="105"/>
                <w:sz w:val="20"/>
                <w:szCs w:val="20"/>
              </w:rPr>
              <w:t xml:space="preserve"> </w:t>
            </w:r>
            <w:r w:rsidRPr="00F21AE2">
              <w:rPr>
                <w:w w:val="105"/>
                <w:sz w:val="20"/>
                <w:szCs w:val="20"/>
              </w:rPr>
              <w:t>years</w:t>
            </w:r>
          </w:p>
        </w:tc>
        <w:tc>
          <w:tcPr>
            <w:tcW w:w="1928" w:type="dxa"/>
          </w:tcPr>
          <w:p w14:paraId="100E15AB" w14:textId="77777777" w:rsidR="00436B89" w:rsidRPr="00F21AE2" w:rsidRDefault="00436B89" w:rsidP="00F21AE2">
            <w:pPr>
              <w:rPr>
                <w:sz w:val="20"/>
                <w:szCs w:val="20"/>
              </w:rPr>
            </w:pPr>
            <w:r w:rsidRPr="00F21AE2">
              <w:rPr>
                <w:w w:val="105"/>
                <w:sz w:val="20"/>
                <w:szCs w:val="20"/>
              </w:rPr>
              <w:t>6</w:t>
            </w:r>
          </w:p>
        </w:tc>
        <w:tc>
          <w:tcPr>
            <w:tcW w:w="2184" w:type="dxa"/>
          </w:tcPr>
          <w:p w14:paraId="0761F43A" w14:textId="77777777" w:rsidR="00436B89" w:rsidRPr="00F21AE2" w:rsidRDefault="00436B89" w:rsidP="00F21AE2">
            <w:pPr>
              <w:rPr>
                <w:sz w:val="20"/>
                <w:szCs w:val="20"/>
              </w:rPr>
            </w:pPr>
            <w:r w:rsidRPr="00F21AE2">
              <w:rPr>
                <w:w w:val="105"/>
                <w:sz w:val="20"/>
                <w:szCs w:val="20"/>
              </w:rPr>
              <w:t>Dyspepsia</w:t>
            </w:r>
            <w:r w:rsidRPr="00F21AE2">
              <w:rPr>
                <w:spacing w:val="-22"/>
                <w:w w:val="105"/>
                <w:sz w:val="20"/>
                <w:szCs w:val="20"/>
              </w:rPr>
              <w:t xml:space="preserve"> </w:t>
            </w:r>
            <w:r w:rsidRPr="00F21AE2">
              <w:rPr>
                <w:spacing w:val="-1"/>
                <w:w w:val="105"/>
                <w:sz w:val="20"/>
                <w:szCs w:val="20"/>
              </w:rPr>
              <w:t>(1)</w:t>
            </w:r>
          </w:p>
          <w:p w14:paraId="53E303E6" w14:textId="77777777" w:rsidR="00436B89" w:rsidRPr="00F21AE2" w:rsidRDefault="00436B89" w:rsidP="00F21AE2">
            <w:pPr>
              <w:rPr>
                <w:sz w:val="20"/>
                <w:szCs w:val="20"/>
              </w:rPr>
            </w:pPr>
            <w:r w:rsidRPr="00F21AE2">
              <w:rPr>
                <w:spacing w:val="-1"/>
                <w:w w:val="105"/>
                <w:sz w:val="20"/>
                <w:szCs w:val="20"/>
              </w:rPr>
              <w:t>gastro-esophageal</w:t>
            </w:r>
            <w:r w:rsidRPr="00F21AE2">
              <w:rPr>
                <w:spacing w:val="-22"/>
                <w:w w:val="105"/>
                <w:sz w:val="20"/>
                <w:szCs w:val="20"/>
              </w:rPr>
              <w:t xml:space="preserve"> </w:t>
            </w:r>
            <w:r w:rsidRPr="00F21AE2">
              <w:rPr>
                <w:spacing w:val="-1"/>
                <w:w w:val="105"/>
                <w:sz w:val="20"/>
                <w:szCs w:val="20"/>
              </w:rPr>
              <w:t>reflux</w:t>
            </w:r>
            <w:r w:rsidRPr="00F21AE2">
              <w:rPr>
                <w:spacing w:val="-21"/>
                <w:w w:val="105"/>
                <w:sz w:val="20"/>
                <w:szCs w:val="20"/>
              </w:rPr>
              <w:t xml:space="preserve"> </w:t>
            </w:r>
            <w:r w:rsidRPr="00F21AE2">
              <w:rPr>
                <w:w w:val="105"/>
                <w:sz w:val="20"/>
                <w:szCs w:val="20"/>
              </w:rPr>
              <w:t>(1)</w:t>
            </w:r>
          </w:p>
          <w:p w14:paraId="47197C8D" w14:textId="77777777" w:rsidR="00436B89" w:rsidRPr="00F21AE2" w:rsidRDefault="00436B89" w:rsidP="00F21AE2">
            <w:pPr>
              <w:rPr>
                <w:sz w:val="20"/>
                <w:szCs w:val="20"/>
              </w:rPr>
            </w:pPr>
            <w:r w:rsidRPr="00F21AE2">
              <w:rPr>
                <w:spacing w:val="-1"/>
                <w:w w:val="105"/>
                <w:sz w:val="20"/>
                <w:szCs w:val="20"/>
              </w:rPr>
              <w:t>increased</w:t>
            </w:r>
            <w:r w:rsidRPr="00F21AE2">
              <w:rPr>
                <w:spacing w:val="-16"/>
                <w:w w:val="105"/>
                <w:sz w:val="20"/>
                <w:szCs w:val="20"/>
              </w:rPr>
              <w:t xml:space="preserve"> </w:t>
            </w:r>
            <w:r w:rsidRPr="00F21AE2">
              <w:rPr>
                <w:spacing w:val="-1"/>
                <w:w w:val="105"/>
                <w:sz w:val="20"/>
                <w:szCs w:val="20"/>
              </w:rPr>
              <w:t>appetite</w:t>
            </w:r>
            <w:r w:rsidRPr="00F21AE2">
              <w:rPr>
                <w:spacing w:val="-16"/>
                <w:w w:val="105"/>
                <w:sz w:val="20"/>
                <w:szCs w:val="20"/>
              </w:rPr>
              <w:t xml:space="preserve"> </w:t>
            </w:r>
            <w:r w:rsidRPr="00F21AE2">
              <w:rPr>
                <w:w w:val="105"/>
                <w:sz w:val="20"/>
                <w:szCs w:val="20"/>
              </w:rPr>
              <w:t>(1)</w:t>
            </w:r>
          </w:p>
          <w:p w14:paraId="37CBF993" w14:textId="77777777" w:rsidR="00436B89" w:rsidRPr="00F21AE2" w:rsidRDefault="00436B89" w:rsidP="00F21AE2">
            <w:pPr>
              <w:rPr>
                <w:sz w:val="20"/>
                <w:szCs w:val="20"/>
              </w:rPr>
            </w:pPr>
            <w:r w:rsidRPr="00F21AE2">
              <w:rPr>
                <w:spacing w:val="-1"/>
                <w:w w:val="105"/>
                <w:sz w:val="20"/>
                <w:szCs w:val="20"/>
              </w:rPr>
              <w:t>dizziness</w:t>
            </w:r>
            <w:r w:rsidRPr="00F21AE2">
              <w:rPr>
                <w:spacing w:val="-20"/>
                <w:w w:val="105"/>
                <w:sz w:val="20"/>
                <w:szCs w:val="20"/>
              </w:rPr>
              <w:t xml:space="preserve"> </w:t>
            </w:r>
            <w:r w:rsidRPr="00F21AE2">
              <w:rPr>
                <w:w w:val="105"/>
                <w:sz w:val="20"/>
                <w:szCs w:val="20"/>
              </w:rPr>
              <w:t>(1)</w:t>
            </w:r>
          </w:p>
          <w:p w14:paraId="273259C4" w14:textId="77777777" w:rsidR="00436B89" w:rsidRPr="00F21AE2" w:rsidRDefault="00436B89" w:rsidP="00F21AE2">
            <w:pPr>
              <w:rPr>
                <w:sz w:val="20"/>
                <w:szCs w:val="20"/>
              </w:rPr>
            </w:pPr>
            <w:r w:rsidRPr="00F21AE2">
              <w:rPr>
                <w:spacing w:val="-1"/>
                <w:w w:val="105"/>
                <w:sz w:val="20"/>
                <w:szCs w:val="20"/>
              </w:rPr>
              <w:t>dysgeusia</w:t>
            </w:r>
            <w:r w:rsidRPr="00F21AE2">
              <w:rPr>
                <w:spacing w:val="-21"/>
                <w:w w:val="105"/>
                <w:sz w:val="20"/>
                <w:szCs w:val="20"/>
              </w:rPr>
              <w:t xml:space="preserve"> </w:t>
            </w:r>
            <w:r w:rsidRPr="00F21AE2">
              <w:rPr>
                <w:w w:val="105"/>
                <w:sz w:val="20"/>
                <w:szCs w:val="20"/>
              </w:rPr>
              <w:t>(1)</w:t>
            </w:r>
          </w:p>
          <w:p w14:paraId="51AA741E" w14:textId="77777777" w:rsidR="00436B89" w:rsidRPr="00F21AE2" w:rsidRDefault="00436B89" w:rsidP="00F21AE2">
            <w:pPr>
              <w:rPr>
                <w:sz w:val="20"/>
                <w:szCs w:val="20"/>
              </w:rPr>
            </w:pPr>
            <w:proofErr w:type="gramStart"/>
            <w:r w:rsidRPr="00F21AE2">
              <w:rPr>
                <w:spacing w:val="-1"/>
                <w:w w:val="105"/>
                <w:sz w:val="20"/>
                <w:szCs w:val="20"/>
              </w:rPr>
              <w:t>chills</w:t>
            </w:r>
            <w:proofErr w:type="gramEnd"/>
            <w:r w:rsidRPr="00F21AE2">
              <w:rPr>
                <w:spacing w:val="-15"/>
                <w:w w:val="105"/>
                <w:sz w:val="20"/>
                <w:szCs w:val="20"/>
              </w:rPr>
              <w:t xml:space="preserve"> </w:t>
            </w:r>
            <w:r w:rsidRPr="00F21AE2">
              <w:rPr>
                <w:w w:val="105"/>
                <w:sz w:val="20"/>
                <w:szCs w:val="20"/>
              </w:rPr>
              <w:t>(1).</w:t>
            </w:r>
          </w:p>
        </w:tc>
      </w:tr>
      <w:tr w:rsidR="00436B89" w:rsidRPr="00F21AE2" w14:paraId="7B6BCB71" w14:textId="77777777" w:rsidTr="00F21AE2">
        <w:trPr>
          <w:trHeight w:val="20"/>
        </w:trPr>
        <w:tc>
          <w:tcPr>
            <w:tcW w:w="2607" w:type="dxa"/>
          </w:tcPr>
          <w:p w14:paraId="05A61458" w14:textId="77777777" w:rsidR="00436B89" w:rsidRPr="00F21AE2" w:rsidRDefault="00436B89" w:rsidP="00F21AE2">
            <w:pPr>
              <w:rPr>
                <w:sz w:val="20"/>
                <w:szCs w:val="20"/>
              </w:rPr>
            </w:pPr>
            <w:r w:rsidRPr="00F21AE2">
              <w:rPr>
                <w:w w:val="105"/>
                <w:sz w:val="20"/>
                <w:szCs w:val="20"/>
              </w:rPr>
              <w:t>McGuire</w:t>
            </w:r>
            <w:r w:rsidRPr="00F21AE2">
              <w:rPr>
                <w:spacing w:val="-26"/>
                <w:w w:val="105"/>
                <w:sz w:val="20"/>
                <w:szCs w:val="20"/>
              </w:rPr>
              <w:t xml:space="preserve"> </w:t>
            </w:r>
            <w:r w:rsidRPr="00F21AE2">
              <w:rPr>
                <w:w w:val="105"/>
                <w:sz w:val="20"/>
                <w:szCs w:val="20"/>
              </w:rPr>
              <w:t>(2010)</w:t>
            </w:r>
          </w:p>
        </w:tc>
        <w:tc>
          <w:tcPr>
            <w:tcW w:w="1928" w:type="dxa"/>
          </w:tcPr>
          <w:p w14:paraId="4F6733A8" w14:textId="77777777" w:rsidR="00436B89" w:rsidRPr="00F21AE2" w:rsidRDefault="00436B89" w:rsidP="00F21AE2">
            <w:pPr>
              <w:rPr>
                <w:sz w:val="20"/>
                <w:szCs w:val="20"/>
              </w:rPr>
            </w:pPr>
          </w:p>
        </w:tc>
        <w:tc>
          <w:tcPr>
            <w:tcW w:w="1928" w:type="dxa"/>
          </w:tcPr>
          <w:p w14:paraId="45359D01" w14:textId="77777777" w:rsidR="00436B89" w:rsidRPr="00F21AE2" w:rsidRDefault="00436B89" w:rsidP="00F21AE2">
            <w:pPr>
              <w:rPr>
                <w:sz w:val="20"/>
                <w:szCs w:val="20"/>
              </w:rPr>
            </w:pPr>
            <w:r w:rsidRPr="00F21AE2">
              <w:rPr>
                <w:w w:val="105"/>
                <w:sz w:val="20"/>
                <w:szCs w:val="20"/>
              </w:rPr>
              <w:t>10</w:t>
            </w:r>
          </w:p>
        </w:tc>
        <w:tc>
          <w:tcPr>
            <w:tcW w:w="2184" w:type="dxa"/>
          </w:tcPr>
          <w:p w14:paraId="34D51B90" w14:textId="77777777" w:rsidR="00436B89" w:rsidRPr="00F21AE2" w:rsidRDefault="00436B89" w:rsidP="00F21AE2">
            <w:pPr>
              <w:rPr>
                <w:sz w:val="20"/>
                <w:szCs w:val="20"/>
              </w:rPr>
            </w:pPr>
            <w:r w:rsidRPr="00F21AE2">
              <w:rPr>
                <w:spacing w:val="-1"/>
                <w:w w:val="105"/>
                <w:sz w:val="20"/>
                <w:szCs w:val="20"/>
              </w:rPr>
              <w:t>dizziness</w:t>
            </w:r>
            <w:r w:rsidRPr="00F21AE2">
              <w:rPr>
                <w:spacing w:val="-20"/>
                <w:w w:val="105"/>
                <w:sz w:val="20"/>
                <w:szCs w:val="20"/>
              </w:rPr>
              <w:t xml:space="preserve"> </w:t>
            </w:r>
            <w:r w:rsidRPr="00F21AE2">
              <w:rPr>
                <w:w w:val="105"/>
                <w:sz w:val="20"/>
                <w:szCs w:val="20"/>
              </w:rPr>
              <w:t>(5)</w:t>
            </w:r>
          </w:p>
          <w:p w14:paraId="6E8F21E0" w14:textId="77777777" w:rsidR="00436B89" w:rsidRPr="00F21AE2" w:rsidRDefault="00436B89" w:rsidP="00F21AE2">
            <w:pPr>
              <w:rPr>
                <w:sz w:val="20"/>
                <w:szCs w:val="20"/>
              </w:rPr>
            </w:pPr>
            <w:r w:rsidRPr="00F21AE2">
              <w:rPr>
                <w:w w:val="105"/>
                <w:sz w:val="20"/>
                <w:szCs w:val="20"/>
              </w:rPr>
              <w:t>headache</w:t>
            </w:r>
            <w:r w:rsidRPr="00F21AE2">
              <w:rPr>
                <w:spacing w:val="-20"/>
                <w:w w:val="105"/>
                <w:sz w:val="20"/>
                <w:szCs w:val="20"/>
              </w:rPr>
              <w:t xml:space="preserve"> </w:t>
            </w:r>
            <w:r w:rsidRPr="00F21AE2">
              <w:rPr>
                <w:w w:val="105"/>
                <w:sz w:val="20"/>
                <w:szCs w:val="20"/>
              </w:rPr>
              <w:t>(4)</w:t>
            </w:r>
          </w:p>
          <w:p w14:paraId="041381EB" w14:textId="77777777" w:rsidR="00436B89" w:rsidRPr="00F21AE2" w:rsidRDefault="00436B89" w:rsidP="00F21AE2">
            <w:pPr>
              <w:rPr>
                <w:sz w:val="20"/>
                <w:szCs w:val="20"/>
              </w:rPr>
            </w:pPr>
            <w:r w:rsidRPr="00F21AE2">
              <w:rPr>
                <w:w w:val="105"/>
                <w:sz w:val="20"/>
                <w:szCs w:val="20"/>
              </w:rPr>
              <w:t>nausea</w:t>
            </w:r>
            <w:r w:rsidRPr="00F21AE2">
              <w:rPr>
                <w:spacing w:val="-17"/>
                <w:w w:val="105"/>
                <w:sz w:val="20"/>
                <w:szCs w:val="20"/>
              </w:rPr>
              <w:t xml:space="preserve"> </w:t>
            </w:r>
            <w:r w:rsidRPr="00F21AE2">
              <w:rPr>
                <w:w w:val="105"/>
                <w:sz w:val="20"/>
                <w:szCs w:val="20"/>
              </w:rPr>
              <w:t>(3)</w:t>
            </w:r>
          </w:p>
        </w:tc>
      </w:tr>
      <w:tr w:rsidR="00436B89" w:rsidRPr="00F21AE2" w14:paraId="157705D1" w14:textId="77777777" w:rsidTr="00F21AE2">
        <w:trPr>
          <w:trHeight w:val="20"/>
        </w:trPr>
        <w:tc>
          <w:tcPr>
            <w:tcW w:w="2607" w:type="dxa"/>
          </w:tcPr>
          <w:p w14:paraId="71689B4B" w14:textId="77777777" w:rsidR="00436B89" w:rsidRPr="00F21AE2" w:rsidRDefault="00436B89" w:rsidP="00F21AE2">
            <w:pPr>
              <w:rPr>
                <w:sz w:val="20"/>
                <w:szCs w:val="20"/>
              </w:rPr>
            </w:pPr>
            <w:r w:rsidRPr="00F21AE2">
              <w:rPr>
                <w:spacing w:val="-1"/>
                <w:sz w:val="20"/>
                <w:szCs w:val="20"/>
              </w:rPr>
              <w:t>Lichter-Konecki</w:t>
            </w:r>
            <w:r w:rsidRPr="00F21AE2">
              <w:rPr>
                <w:spacing w:val="28"/>
                <w:w w:val="103"/>
                <w:sz w:val="20"/>
                <w:szCs w:val="20"/>
              </w:rPr>
              <w:t xml:space="preserve"> </w:t>
            </w:r>
            <w:r w:rsidRPr="00F21AE2">
              <w:rPr>
                <w:w w:val="105"/>
                <w:sz w:val="20"/>
                <w:szCs w:val="20"/>
              </w:rPr>
              <w:t>(2011)</w:t>
            </w:r>
          </w:p>
        </w:tc>
        <w:tc>
          <w:tcPr>
            <w:tcW w:w="1928" w:type="dxa"/>
          </w:tcPr>
          <w:p w14:paraId="551A8627" w14:textId="77777777" w:rsidR="00436B89" w:rsidRPr="00F21AE2" w:rsidRDefault="00436B89" w:rsidP="00F21AE2">
            <w:pPr>
              <w:rPr>
                <w:sz w:val="20"/>
                <w:szCs w:val="20"/>
              </w:rPr>
            </w:pPr>
            <w:r w:rsidRPr="00F21AE2">
              <w:rPr>
                <w:w w:val="105"/>
                <w:sz w:val="20"/>
                <w:szCs w:val="20"/>
              </w:rPr>
              <w:t>mean</w:t>
            </w:r>
            <w:r w:rsidRPr="00F21AE2">
              <w:rPr>
                <w:spacing w:val="-7"/>
                <w:w w:val="105"/>
                <w:sz w:val="20"/>
                <w:szCs w:val="20"/>
              </w:rPr>
              <w:t xml:space="preserve"> </w:t>
            </w:r>
            <w:r w:rsidRPr="00F21AE2">
              <w:rPr>
                <w:w w:val="105"/>
                <w:sz w:val="20"/>
                <w:szCs w:val="20"/>
              </w:rPr>
              <w:t>dose</w:t>
            </w:r>
            <w:r w:rsidRPr="00F21AE2">
              <w:rPr>
                <w:spacing w:val="-7"/>
                <w:w w:val="105"/>
                <w:sz w:val="20"/>
                <w:szCs w:val="20"/>
              </w:rPr>
              <w:t xml:space="preserve"> </w:t>
            </w:r>
            <w:r w:rsidRPr="00F21AE2">
              <w:rPr>
                <w:w w:val="105"/>
                <w:sz w:val="20"/>
                <w:szCs w:val="20"/>
              </w:rPr>
              <w:t>=</w:t>
            </w:r>
            <w:r w:rsidRPr="00F21AE2">
              <w:rPr>
                <w:spacing w:val="-7"/>
                <w:w w:val="105"/>
                <w:sz w:val="20"/>
                <w:szCs w:val="20"/>
              </w:rPr>
              <w:t xml:space="preserve"> </w:t>
            </w:r>
            <w:r w:rsidRPr="00F21AE2">
              <w:rPr>
                <w:spacing w:val="-1"/>
                <w:w w:val="105"/>
                <w:sz w:val="20"/>
                <w:szCs w:val="20"/>
              </w:rPr>
              <w:lastRenderedPageBreak/>
              <w:t>12.4</w:t>
            </w:r>
            <w:r w:rsidRPr="00F21AE2">
              <w:rPr>
                <w:spacing w:val="-7"/>
                <w:w w:val="105"/>
                <w:sz w:val="20"/>
                <w:szCs w:val="20"/>
              </w:rPr>
              <w:t xml:space="preserve"> </w:t>
            </w:r>
            <w:r w:rsidRPr="00F21AE2">
              <w:rPr>
                <w:spacing w:val="-1"/>
                <w:w w:val="105"/>
                <w:sz w:val="20"/>
                <w:szCs w:val="20"/>
              </w:rPr>
              <w:t>g/d</w:t>
            </w:r>
            <w:r w:rsidRPr="00F21AE2">
              <w:rPr>
                <w:spacing w:val="-6"/>
                <w:w w:val="105"/>
                <w:sz w:val="20"/>
                <w:szCs w:val="20"/>
              </w:rPr>
              <w:t xml:space="preserve"> </w:t>
            </w:r>
            <w:r w:rsidRPr="00F21AE2">
              <w:rPr>
                <w:w w:val="105"/>
                <w:sz w:val="20"/>
                <w:szCs w:val="20"/>
              </w:rPr>
              <w:t>or</w:t>
            </w:r>
            <w:r w:rsidRPr="00F21AE2">
              <w:rPr>
                <w:spacing w:val="26"/>
                <w:w w:val="103"/>
                <w:sz w:val="20"/>
                <w:szCs w:val="20"/>
              </w:rPr>
              <w:t xml:space="preserve"> </w:t>
            </w:r>
            <w:r w:rsidRPr="00F21AE2">
              <w:rPr>
                <w:w w:val="105"/>
                <w:sz w:val="20"/>
                <w:szCs w:val="20"/>
              </w:rPr>
              <w:t>322</w:t>
            </w:r>
            <w:r w:rsidRPr="00F21AE2">
              <w:rPr>
                <w:spacing w:val="-15"/>
                <w:w w:val="105"/>
                <w:sz w:val="20"/>
                <w:szCs w:val="20"/>
              </w:rPr>
              <w:t xml:space="preserve"> </w:t>
            </w:r>
            <w:r w:rsidRPr="00F21AE2">
              <w:rPr>
                <w:w w:val="105"/>
                <w:sz w:val="20"/>
                <w:szCs w:val="20"/>
              </w:rPr>
              <w:t>mg/Kg/day;</w:t>
            </w:r>
            <w:r w:rsidRPr="00F21AE2">
              <w:rPr>
                <w:spacing w:val="-16"/>
                <w:w w:val="105"/>
                <w:sz w:val="20"/>
                <w:szCs w:val="20"/>
              </w:rPr>
              <w:t xml:space="preserve"> </w:t>
            </w:r>
            <w:r w:rsidRPr="00F21AE2">
              <w:rPr>
                <w:w w:val="105"/>
                <w:sz w:val="20"/>
                <w:szCs w:val="20"/>
              </w:rPr>
              <w:t>range =198</w:t>
            </w:r>
            <w:r w:rsidRPr="00F21AE2">
              <w:rPr>
                <w:spacing w:val="-11"/>
                <w:w w:val="105"/>
                <w:sz w:val="20"/>
                <w:szCs w:val="20"/>
              </w:rPr>
              <w:t xml:space="preserve"> </w:t>
            </w:r>
            <w:r w:rsidRPr="00F21AE2">
              <w:rPr>
                <w:w w:val="105"/>
                <w:sz w:val="20"/>
                <w:szCs w:val="20"/>
              </w:rPr>
              <w:t>–</w:t>
            </w:r>
            <w:r w:rsidRPr="00F21AE2">
              <w:rPr>
                <w:spacing w:val="-10"/>
                <w:w w:val="105"/>
                <w:sz w:val="20"/>
                <w:szCs w:val="20"/>
              </w:rPr>
              <w:t xml:space="preserve"> </w:t>
            </w:r>
            <w:r w:rsidRPr="00F21AE2">
              <w:rPr>
                <w:w w:val="105"/>
                <w:sz w:val="20"/>
                <w:szCs w:val="20"/>
              </w:rPr>
              <w:t>476</w:t>
            </w:r>
            <w:r w:rsidRPr="00F21AE2">
              <w:rPr>
                <w:spacing w:val="-11"/>
                <w:w w:val="105"/>
                <w:sz w:val="20"/>
                <w:szCs w:val="20"/>
              </w:rPr>
              <w:t xml:space="preserve"> </w:t>
            </w:r>
            <w:r w:rsidRPr="00F21AE2">
              <w:rPr>
                <w:w w:val="105"/>
                <w:sz w:val="20"/>
                <w:szCs w:val="20"/>
              </w:rPr>
              <w:t>mg/Kg/day)</w:t>
            </w:r>
          </w:p>
        </w:tc>
        <w:tc>
          <w:tcPr>
            <w:tcW w:w="1928" w:type="dxa"/>
          </w:tcPr>
          <w:p w14:paraId="1B12DB39" w14:textId="30FD0B69" w:rsidR="00436B89" w:rsidRPr="00F21AE2" w:rsidRDefault="00436B89" w:rsidP="00F21AE2">
            <w:pPr>
              <w:rPr>
                <w:sz w:val="20"/>
                <w:szCs w:val="20"/>
              </w:rPr>
            </w:pPr>
            <w:r w:rsidRPr="00F21AE2">
              <w:rPr>
                <w:w w:val="105"/>
                <w:sz w:val="20"/>
                <w:szCs w:val="20"/>
              </w:rPr>
              <w:lastRenderedPageBreak/>
              <w:t>28</w:t>
            </w:r>
            <w:r w:rsidR="00F21AE2">
              <w:rPr>
                <w:w w:val="105"/>
                <w:sz w:val="20"/>
                <w:szCs w:val="20"/>
              </w:rPr>
              <w:t xml:space="preserve"> </w:t>
            </w:r>
            <w:r w:rsidRPr="00F21AE2">
              <w:rPr>
                <w:w w:val="105"/>
                <w:sz w:val="20"/>
                <w:szCs w:val="20"/>
              </w:rPr>
              <w:t>(22M;</w:t>
            </w:r>
            <w:r w:rsidRPr="00F21AE2">
              <w:rPr>
                <w:spacing w:val="-17"/>
                <w:w w:val="105"/>
                <w:sz w:val="20"/>
                <w:szCs w:val="20"/>
              </w:rPr>
              <w:t xml:space="preserve"> </w:t>
            </w:r>
            <w:r w:rsidRPr="00F21AE2">
              <w:rPr>
                <w:w w:val="105"/>
                <w:sz w:val="20"/>
                <w:szCs w:val="20"/>
              </w:rPr>
              <w:t>6F)</w:t>
            </w:r>
          </w:p>
        </w:tc>
        <w:tc>
          <w:tcPr>
            <w:tcW w:w="2184" w:type="dxa"/>
          </w:tcPr>
          <w:p w14:paraId="3D70EADB" w14:textId="77777777" w:rsidR="00436B89" w:rsidRPr="00F21AE2" w:rsidRDefault="00436B89" w:rsidP="00F21AE2">
            <w:pPr>
              <w:rPr>
                <w:sz w:val="20"/>
                <w:szCs w:val="20"/>
              </w:rPr>
            </w:pPr>
            <w:r w:rsidRPr="00F21AE2">
              <w:rPr>
                <w:spacing w:val="-1"/>
                <w:w w:val="105"/>
                <w:sz w:val="20"/>
                <w:szCs w:val="20"/>
              </w:rPr>
              <w:t>lymphadenopathy</w:t>
            </w:r>
            <w:r w:rsidRPr="00F21AE2">
              <w:rPr>
                <w:spacing w:val="-33"/>
                <w:w w:val="105"/>
                <w:sz w:val="20"/>
                <w:szCs w:val="20"/>
              </w:rPr>
              <w:t xml:space="preserve"> </w:t>
            </w:r>
            <w:r w:rsidRPr="00F21AE2">
              <w:rPr>
                <w:w w:val="105"/>
                <w:sz w:val="20"/>
                <w:szCs w:val="20"/>
              </w:rPr>
              <w:lastRenderedPageBreak/>
              <w:t>(1)</w:t>
            </w:r>
          </w:p>
          <w:p w14:paraId="2FEEA289" w14:textId="77777777" w:rsidR="00436B89" w:rsidRPr="00F21AE2" w:rsidRDefault="00436B89" w:rsidP="00F21AE2">
            <w:pPr>
              <w:rPr>
                <w:sz w:val="20"/>
                <w:szCs w:val="20"/>
              </w:rPr>
            </w:pPr>
            <w:r w:rsidRPr="00F21AE2">
              <w:rPr>
                <w:w w:val="105"/>
                <w:sz w:val="20"/>
                <w:szCs w:val="20"/>
              </w:rPr>
              <w:t>decreased</w:t>
            </w:r>
            <w:r w:rsidRPr="00F21AE2">
              <w:rPr>
                <w:spacing w:val="-17"/>
                <w:w w:val="105"/>
                <w:sz w:val="20"/>
                <w:szCs w:val="20"/>
              </w:rPr>
              <w:t xml:space="preserve"> </w:t>
            </w:r>
            <w:r w:rsidRPr="00F21AE2">
              <w:rPr>
                <w:spacing w:val="-1"/>
                <w:w w:val="105"/>
                <w:sz w:val="20"/>
                <w:szCs w:val="20"/>
              </w:rPr>
              <w:t>appetite</w:t>
            </w:r>
            <w:r w:rsidRPr="00F21AE2">
              <w:rPr>
                <w:spacing w:val="-17"/>
                <w:w w:val="105"/>
                <w:sz w:val="20"/>
                <w:szCs w:val="20"/>
              </w:rPr>
              <w:t xml:space="preserve"> </w:t>
            </w:r>
            <w:r w:rsidRPr="00F21AE2">
              <w:rPr>
                <w:w w:val="105"/>
                <w:sz w:val="20"/>
                <w:szCs w:val="20"/>
              </w:rPr>
              <w:t>(1)</w:t>
            </w:r>
          </w:p>
          <w:p w14:paraId="70DE267A" w14:textId="77777777" w:rsidR="00436B89" w:rsidRPr="00F21AE2" w:rsidRDefault="00436B89" w:rsidP="00F21AE2">
            <w:pPr>
              <w:rPr>
                <w:sz w:val="20"/>
                <w:szCs w:val="20"/>
              </w:rPr>
            </w:pPr>
            <w:r w:rsidRPr="00F21AE2">
              <w:rPr>
                <w:spacing w:val="-1"/>
                <w:w w:val="105"/>
                <w:sz w:val="20"/>
                <w:szCs w:val="20"/>
              </w:rPr>
              <w:t>cardiac</w:t>
            </w:r>
            <w:r w:rsidRPr="00F21AE2">
              <w:rPr>
                <w:spacing w:val="-16"/>
                <w:w w:val="105"/>
                <w:sz w:val="20"/>
                <w:szCs w:val="20"/>
              </w:rPr>
              <w:t xml:space="preserve"> </w:t>
            </w:r>
            <w:r w:rsidRPr="00F21AE2">
              <w:rPr>
                <w:w w:val="105"/>
                <w:sz w:val="20"/>
                <w:szCs w:val="20"/>
              </w:rPr>
              <w:t>murmur</w:t>
            </w:r>
            <w:r w:rsidRPr="00F21AE2">
              <w:rPr>
                <w:spacing w:val="-15"/>
                <w:w w:val="105"/>
                <w:sz w:val="20"/>
                <w:szCs w:val="20"/>
              </w:rPr>
              <w:t xml:space="preserve"> </w:t>
            </w:r>
            <w:r w:rsidRPr="00F21AE2">
              <w:rPr>
                <w:w w:val="105"/>
                <w:sz w:val="20"/>
                <w:szCs w:val="20"/>
              </w:rPr>
              <w:t>(1)</w:t>
            </w:r>
          </w:p>
        </w:tc>
      </w:tr>
      <w:tr w:rsidR="00436B89" w:rsidRPr="00F21AE2" w14:paraId="0B1B72E4" w14:textId="77777777" w:rsidTr="00F21AE2">
        <w:trPr>
          <w:trHeight w:val="20"/>
        </w:trPr>
        <w:tc>
          <w:tcPr>
            <w:tcW w:w="2607" w:type="dxa"/>
          </w:tcPr>
          <w:p w14:paraId="1226E132" w14:textId="77777777" w:rsidR="00436B89" w:rsidRPr="00F21AE2" w:rsidRDefault="00436B89" w:rsidP="00F21AE2">
            <w:pPr>
              <w:rPr>
                <w:sz w:val="20"/>
                <w:szCs w:val="20"/>
              </w:rPr>
            </w:pPr>
            <w:r w:rsidRPr="00F21AE2">
              <w:rPr>
                <w:w w:val="105"/>
                <w:sz w:val="20"/>
                <w:szCs w:val="20"/>
              </w:rPr>
              <w:lastRenderedPageBreak/>
              <w:t>Diaz</w:t>
            </w:r>
            <w:r w:rsidRPr="00F21AE2">
              <w:rPr>
                <w:spacing w:val="-19"/>
                <w:w w:val="105"/>
                <w:sz w:val="20"/>
                <w:szCs w:val="20"/>
              </w:rPr>
              <w:t xml:space="preserve"> </w:t>
            </w:r>
            <w:r w:rsidRPr="00F21AE2">
              <w:rPr>
                <w:spacing w:val="-1"/>
                <w:w w:val="105"/>
                <w:sz w:val="20"/>
                <w:szCs w:val="20"/>
              </w:rPr>
              <w:t>(2013)</w:t>
            </w:r>
          </w:p>
        </w:tc>
        <w:tc>
          <w:tcPr>
            <w:tcW w:w="1928" w:type="dxa"/>
          </w:tcPr>
          <w:p w14:paraId="7899EC77" w14:textId="77777777" w:rsidR="00436B89" w:rsidRPr="00F21AE2" w:rsidRDefault="00436B89" w:rsidP="00F21AE2">
            <w:pPr>
              <w:rPr>
                <w:sz w:val="20"/>
                <w:szCs w:val="20"/>
              </w:rPr>
            </w:pPr>
            <w:r w:rsidRPr="00F21AE2">
              <w:rPr>
                <w:spacing w:val="-1"/>
                <w:w w:val="105"/>
                <w:sz w:val="20"/>
                <w:szCs w:val="20"/>
              </w:rPr>
              <w:t>(12.33</w:t>
            </w:r>
            <w:r w:rsidRPr="00F21AE2">
              <w:rPr>
                <w:spacing w:val="-7"/>
                <w:w w:val="105"/>
                <w:sz w:val="20"/>
                <w:szCs w:val="20"/>
              </w:rPr>
              <w:t xml:space="preserve"> </w:t>
            </w:r>
            <w:r w:rsidRPr="00F21AE2">
              <w:rPr>
                <w:spacing w:val="-1"/>
                <w:w w:val="105"/>
                <w:sz w:val="20"/>
                <w:szCs w:val="20"/>
              </w:rPr>
              <w:t>g/d)</w:t>
            </w:r>
            <w:r w:rsidRPr="00F21AE2">
              <w:rPr>
                <w:spacing w:val="-7"/>
                <w:w w:val="105"/>
                <w:sz w:val="20"/>
                <w:szCs w:val="20"/>
              </w:rPr>
              <w:t xml:space="preserve"> </w:t>
            </w:r>
            <w:r w:rsidRPr="00F21AE2">
              <w:rPr>
                <w:w w:val="105"/>
                <w:sz w:val="20"/>
                <w:szCs w:val="20"/>
              </w:rPr>
              <w:t>for</w:t>
            </w:r>
            <w:r w:rsidRPr="00F21AE2">
              <w:rPr>
                <w:spacing w:val="-7"/>
                <w:w w:val="105"/>
                <w:sz w:val="20"/>
                <w:szCs w:val="20"/>
              </w:rPr>
              <w:t xml:space="preserve"> </w:t>
            </w:r>
            <w:r w:rsidRPr="00F21AE2">
              <w:rPr>
                <w:w w:val="105"/>
                <w:sz w:val="20"/>
                <w:szCs w:val="20"/>
              </w:rPr>
              <w:t>an</w:t>
            </w:r>
            <w:r w:rsidRPr="00F21AE2">
              <w:rPr>
                <w:spacing w:val="28"/>
                <w:w w:val="103"/>
                <w:sz w:val="20"/>
                <w:szCs w:val="20"/>
              </w:rPr>
              <w:t xml:space="preserve"> </w:t>
            </w:r>
            <w:r w:rsidRPr="00F21AE2">
              <w:rPr>
                <w:w w:val="105"/>
                <w:sz w:val="20"/>
                <w:szCs w:val="20"/>
              </w:rPr>
              <w:t>average</w:t>
            </w:r>
            <w:r w:rsidRPr="00F21AE2">
              <w:rPr>
                <w:spacing w:val="-12"/>
                <w:w w:val="105"/>
                <w:sz w:val="20"/>
                <w:szCs w:val="20"/>
              </w:rPr>
              <w:t xml:space="preserve"> </w:t>
            </w:r>
            <w:r w:rsidRPr="00F21AE2">
              <w:rPr>
                <w:w w:val="105"/>
                <w:sz w:val="20"/>
                <w:szCs w:val="20"/>
              </w:rPr>
              <w:t>of</w:t>
            </w:r>
            <w:r w:rsidRPr="00F21AE2">
              <w:rPr>
                <w:spacing w:val="-12"/>
                <w:w w:val="105"/>
                <w:sz w:val="20"/>
                <w:szCs w:val="20"/>
              </w:rPr>
              <w:t xml:space="preserve"> </w:t>
            </w:r>
            <w:r w:rsidRPr="00F21AE2">
              <w:rPr>
                <w:spacing w:val="-1"/>
                <w:w w:val="105"/>
                <w:sz w:val="20"/>
                <w:szCs w:val="20"/>
              </w:rPr>
              <w:t>128.57</w:t>
            </w:r>
            <w:r w:rsidRPr="00F21AE2">
              <w:rPr>
                <w:spacing w:val="25"/>
                <w:w w:val="103"/>
                <w:sz w:val="20"/>
                <w:szCs w:val="20"/>
              </w:rPr>
              <w:t xml:space="preserve"> </w:t>
            </w:r>
            <w:r w:rsidRPr="00F21AE2">
              <w:rPr>
                <w:w w:val="105"/>
                <w:sz w:val="20"/>
                <w:szCs w:val="20"/>
              </w:rPr>
              <w:t>months</w:t>
            </w:r>
          </w:p>
        </w:tc>
        <w:tc>
          <w:tcPr>
            <w:tcW w:w="1928" w:type="dxa"/>
          </w:tcPr>
          <w:p w14:paraId="44117F00" w14:textId="77777777" w:rsidR="00436B89" w:rsidRPr="00F21AE2" w:rsidRDefault="00436B89" w:rsidP="00F21AE2">
            <w:pPr>
              <w:rPr>
                <w:sz w:val="20"/>
                <w:szCs w:val="20"/>
              </w:rPr>
            </w:pPr>
            <w:r w:rsidRPr="00F21AE2">
              <w:rPr>
                <w:w w:val="105"/>
                <w:sz w:val="20"/>
                <w:szCs w:val="20"/>
              </w:rPr>
              <w:t>45</w:t>
            </w:r>
            <w:r w:rsidRPr="00F21AE2">
              <w:rPr>
                <w:spacing w:val="-7"/>
                <w:w w:val="105"/>
                <w:sz w:val="20"/>
                <w:szCs w:val="20"/>
              </w:rPr>
              <w:t xml:space="preserve"> </w:t>
            </w:r>
            <w:r w:rsidRPr="00F21AE2">
              <w:rPr>
                <w:w w:val="105"/>
                <w:sz w:val="20"/>
                <w:szCs w:val="20"/>
              </w:rPr>
              <w:t>UCD</w:t>
            </w:r>
            <w:r w:rsidRPr="00F21AE2">
              <w:rPr>
                <w:spacing w:val="-7"/>
                <w:w w:val="105"/>
                <w:sz w:val="20"/>
                <w:szCs w:val="20"/>
              </w:rPr>
              <w:t xml:space="preserve"> </w:t>
            </w:r>
            <w:r w:rsidRPr="00F21AE2">
              <w:rPr>
                <w:w w:val="105"/>
                <w:sz w:val="20"/>
                <w:szCs w:val="20"/>
              </w:rPr>
              <w:t>(40</w:t>
            </w:r>
            <w:r w:rsidRPr="00F21AE2">
              <w:rPr>
                <w:spacing w:val="-7"/>
                <w:w w:val="105"/>
                <w:sz w:val="20"/>
                <w:szCs w:val="20"/>
              </w:rPr>
              <w:t xml:space="preserve"> </w:t>
            </w:r>
            <w:r w:rsidRPr="00F21AE2">
              <w:rPr>
                <w:w w:val="105"/>
                <w:sz w:val="20"/>
                <w:szCs w:val="20"/>
              </w:rPr>
              <w:t>OTC,</w:t>
            </w:r>
            <w:r w:rsidRPr="00F21AE2">
              <w:rPr>
                <w:spacing w:val="-8"/>
                <w:w w:val="105"/>
                <w:sz w:val="20"/>
                <w:szCs w:val="20"/>
              </w:rPr>
              <w:t xml:space="preserve"> </w:t>
            </w:r>
            <w:r w:rsidRPr="00F21AE2">
              <w:rPr>
                <w:w w:val="105"/>
                <w:sz w:val="20"/>
                <w:szCs w:val="20"/>
              </w:rPr>
              <w:t>2</w:t>
            </w:r>
            <w:r w:rsidRPr="00F21AE2">
              <w:rPr>
                <w:spacing w:val="-7"/>
                <w:w w:val="105"/>
                <w:sz w:val="20"/>
                <w:szCs w:val="20"/>
              </w:rPr>
              <w:t xml:space="preserve"> </w:t>
            </w:r>
            <w:r w:rsidRPr="00F21AE2">
              <w:rPr>
                <w:w w:val="105"/>
                <w:sz w:val="20"/>
                <w:szCs w:val="20"/>
              </w:rPr>
              <w:t>CPS-I,</w:t>
            </w:r>
            <w:r w:rsidRPr="00F21AE2">
              <w:rPr>
                <w:spacing w:val="-8"/>
                <w:w w:val="105"/>
                <w:sz w:val="20"/>
                <w:szCs w:val="20"/>
              </w:rPr>
              <w:t xml:space="preserve"> </w:t>
            </w:r>
            <w:r w:rsidRPr="00F21AE2">
              <w:rPr>
                <w:w w:val="105"/>
                <w:sz w:val="20"/>
                <w:szCs w:val="20"/>
              </w:rPr>
              <w:t>3</w:t>
            </w:r>
          </w:p>
          <w:p w14:paraId="6E4200E2" w14:textId="77777777" w:rsidR="00436B89" w:rsidRPr="00F21AE2" w:rsidRDefault="00436B89" w:rsidP="00F21AE2">
            <w:pPr>
              <w:rPr>
                <w:sz w:val="20"/>
                <w:szCs w:val="20"/>
              </w:rPr>
            </w:pPr>
            <w:r w:rsidRPr="00F21AE2">
              <w:rPr>
                <w:w w:val="105"/>
                <w:sz w:val="20"/>
                <w:szCs w:val="20"/>
              </w:rPr>
              <w:t>ASS)</w:t>
            </w:r>
            <w:r w:rsidRPr="00F21AE2">
              <w:rPr>
                <w:spacing w:val="-15"/>
                <w:w w:val="105"/>
                <w:sz w:val="20"/>
                <w:szCs w:val="20"/>
              </w:rPr>
              <w:t xml:space="preserve"> </w:t>
            </w:r>
            <w:r w:rsidRPr="00F21AE2">
              <w:rPr>
                <w:spacing w:val="-1"/>
                <w:w w:val="105"/>
                <w:sz w:val="20"/>
                <w:szCs w:val="20"/>
              </w:rPr>
              <w:t>patients;</w:t>
            </w:r>
            <w:r w:rsidRPr="00F21AE2">
              <w:rPr>
                <w:spacing w:val="-15"/>
                <w:w w:val="105"/>
                <w:sz w:val="20"/>
                <w:szCs w:val="20"/>
              </w:rPr>
              <w:t xml:space="preserve"> </w:t>
            </w:r>
            <w:r w:rsidRPr="00F21AE2">
              <w:rPr>
                <w:w w:val="105"/>
                <w:sz w:val="20"/>
                <w:szCs w:val="20"/>
              </w:rPr>
              <w:t>51%</w:t>
            </w:r>
            <w:r w:rsidRPr="00F21AE2">
              <w:rPr>
                <w:spacing w:val="-13"/>
                <w:w w:val="105"/>
                <w:sz w:val="20"/>
                <w:szCs w:val="20"/>
              </w:rPr>
              <w:t xml:space="preserve"> </w:t>
            </w:r>
            <w:r w:rsidRPr="00F21AE2">
              <w:rPr>
                <w:spacing w:val="-1"/>
                <w:w w:val="105"/>
                <w:sz w:val="20"/>
                <w:szCs w:val="20"/>
              </w:rPr>
              <w:t>reported</w:t>
            </w:r>
            <w:r w:rsidRPr="00F21AE2">
              <w:rPr>
                <w:spacing w:val="25"/>
                <w:w w:val="103"/>
                <w:sz w:val="20"/>
                <w:szCs w:val="20"/>
              </w:rPr>
              <w:t xml:space="preserve"> </w:t>
            </w:r>
            <w:r w:rsidRPr="00F21AE2">
              <w:rPr>
                <w:spacing w:val="1"/>
                <w:w w:val="105"/>
                <w:sz w:val="20"/>
                <w:szCs w:val="20"/>
              </w:rPr>
              <w:t>AE</w:t>
            </w:r>
          </w:p>
        </w:tc>
        <w:tc>
          <w:tcPr>
            <w:tcW w:w="2184" w:type="dxa"/>
          </w:tcPr>
          <w:p w14:paraId="7528CECA" w14:textId="77777777" w:rsidR="00436B89" w:rsidRPr="00F21AE2" w:rsidRDefault="00436B89" w:rsidP="00F21AE2">
            <w:pPr>
              <w:rPr>
                <w:sz w:val="20"/>
                <w:szCs w:val="20"/>
              </w:rPr>
            </w:pPr>
            <w:r w:rsidRPr="00F21AE2">
              <w:rPr>
                <w:spacing w:val="-1"/>
                <w:w w:val="105"/>
                <w:sz w:val="20"/>
                <w:szCs w:val="20"/>
              </w:rPr>
              <w:t>Diarrhea</w:t>
            </w:r>
            <w:r w:rsidRPr="00F21AE2">
              <w:rPr>
                <w:spacing w:val="26"/>
                <w:w w:val="103"/>
                <w:sz w:val="20"/>
                <w:szCs w:val="20"/>
              </w:rPr>
              <w:t xml:space="preserve"> </w:t>
            </w:r>
            <w:r w:rsidRPr="00F21AE2">
              <w:rPr>
                <w:spacing w:val="-1"/>
                <w:sz w:val="20"/>
                <w:szCs w:val="20"/>
              </w:rPr>
              <w:t>Flatulence</w:t>
            </w:r>
          </w:p>
          <w:p w14:paraId="399222C7" w14:textId="77777777" w:rsidR="00436B89" w:rsidRPr="00F21AE2" w:rsidRDefault="00436B89" w:rsidP="00F21AE2">
            <w:pPr>
              <w:rPr>
                <w:sz w:val="20"/>
                <w:szCs w:val="20"/>
              </w:rPr>
            </w:pPr>
            <w:r w:rsidRPr="00F21AE2">
              <w:rPr>
                <w:sz w:val="20"/>
                <w:szCs w:val="20"/>
              </w:rPr>
              <w:t>abdominal discomfort</w:t>
            </w:r>
            <w:r w:rsidRPr="00F21AE2">
              <w:rPr>
                <w:w w:val="103"/>
                <w:sz w:val="20"/>
                <w:szCs w:val="20"/>
              </w:rPr>
              <w:t xml:space="preserve"> </w:t>
            </w:r>
            <w:r w:rsidRPr="00F21AE2">
              <w:rPr>
                <w:spacing w:val="-1"/>
                <w:w w:val="105"/>
                <w:sz w:val="20"/>
                <w:szCs w:val="20"/>
              </w:rPr>
              <w:t>dyspepsia</w:t>
            </w:r>
          </w:p>
          <w:p w14:paraId="364D0ED3" w14:textId="77777777" w:rsidR="00436B89" w:rsidRPr="00F21AE2" w:rsidRDefault="00436B89" w:rsidP="00F21AE2">
            <w:pPr>
              <w:rPr>
                <w:sz w:val="20"/>
                <w:szCs w:val="20"/>
              </w:rPr>
            </w:pPr>
            <w:r w:rsidRPr="00F21AE2">
              <w:rPr>
                <w:w w:val="105"/>
                <w:sz w:val="20"/>
                <w:szCs w:val="20"/>
              </w:rPr>
              <w:t>nausea</w:t>
            </w:r>
            <w:r w:rsidRPr="00F21AE2">
              <w:rPr>
                <w:w w:val="103"/>
                <w:sz w:val="20"/>
                <w:szCs w:val="20"/>
              </w:rPr>
              <w:t xml:space="preserve"> </w:t>
            </w:r>
            <w:r w:rsidRPr="00F21AE2">
              <w:rPr>
                <w:spacing w:val="-1"/>
                <w:sz w:val="20"/>
                <w:szCs w:val="20"/>
              </w:rPr>
              <w:t>vomiting</w:t>
            </w:r>
          </w:p>
          <w:p w14:paraId="453E8906" w14:textId="77777777" w:rsidR="00436B89" w:rsidRPr="00F21AE2" w:rsidRDefault="00436B89" w:rsidP="00F21AE2">
            <w:pPr>
              <w:rPr>
                <w:sz w:val="20"/>
                <w:szCs w:val="20"/>
              </w:rPr>
            </w:pPr>
            <w:proofErr w:type="gramStart"/>
            <w:r w:rsidRPr="00F21AE2">
              <w:rPr>
                <w:w w:val="105"/>
                <w:sz w:val="20"/>
                <w:szCs w:val="20"/>
              </w:rPr>
              <w:t>oral</w:t>
            </w:r>
            <w:proofErr w:type="gramEnd"/>
            <w:r w:rsidRPr="00F21AE2">
              <w:rPr>
                <w:spacing w:val="-25"/>
                <w:w w:val="105"/>
                <w:sz w:val="20"/>
                <w:szCs w:val="20"/>
              </w:rPr>
              <w:t xml:space="preserve"> </w:t>
            </w:r>
            <w:r w:rsidRPr="00F21AE2">
              <w:rPr>
                <w:spacing w:val="-1"/>
                <w:w w:val="105"/>
                <w:sz w:val="20"/>
                <w:szCs w:val="20"/>
              </w:rPr>
              <w:t>discomfort.</w:t>
            </w:r>
          </w:p>
        </w:tc>
      </w:tr>
      <w:tr w:rsidR="00436B89" w:rsidRPr="00F21AE2" w14:paraId="01C3183D" w14:textId="77777777" w:rsidTr="00F21AE2">
        <w:trPr>
          <w:trHeight w:val="20"/>
        </w:trPr>
        <w:tc>
          <w:tcPr>
            <w:tcW w:w="2607" w:type="dxa"/>
          </w:tcPr>
          <w:p w14:paraId="371341C9" w14:textId="77777777" w:rsidR="00436B89" w:rsidRPr="00F21AE2" w:rsidRDefault="00436B89" w:rsidP="00F21AE2">
            <w:pPr>
              <w:rPr>
                <w:sz w:val="20"/>
                <w:szCs w:val="20"/>
              </w:rPr>
            </w:pPr>
            <w:r w:rsidRPr="00F21AE2">
              <w:rPr>
                <w:w w:val="105"/>
                <w:sz w:val="20"/>
                <w:szCs w:val="20"/>
              </w:rPr>
              <w:t>Pheburane</w:t>
            </w:r>
            <w:r w:rsidRPr="00F21AE2">
              <w:rPr>
                <w:spacing w:val="-21"/>
                <w:w w:val="105"/>
                <w:sz w:val="20"/>
                <w:szCs w:val="20"/>
              </w:rPr>
              <w:t xml:space="preserve"> </w:t>
            </w:r>
            <w:r w:rsidRPr="00F21AE2">
              <w:rPr>
                <w:w w:val="105"/>
                <w:sz w:val="20"/>
                <w:szCs w:val="20"/>
              </w:rPr>
              <w:t>vs</w:t>
            </w:r>
            <w:r w:rsidRPr="00F21AE2">
              <w:rPr>
                <w:w w:val="103"/>
                <w:sz w:val="20"/>
                <w:szCs w:val="20"/>
              </w:rPr>
              <w:t xml:space="preserve"> </w:t>
            </w:r>
            <w:r w:rsidRPr="00F21AE2">
              <w:rPr>
                <w:w w:val="105"/>
                <w:sz w:val="20"/>
                <w:szCs w:val="20"/>
              </w:rPr>
              <w:t>Ammonaps</w:t>
            </w:r>
            <w:r w:rsidRPr="00F21AE2">
              <w:rPr>
                <w:spacing w:val="23"/>
                <w:w w:val="103"/>
                <w:sz w:val="20"/>
                <w:szCs w:val="20"/>
              </w:rPr>
              <w:t xml:space="preserve"> </w:t>
            </w:r>
            <w:r w:rsidRPr="00F21AE2">
              <w:rPr>
                <w:spacing w:val="-1"/>
                <w:w w:val="105"/>
                <w:sz w:val="20"/>
                <w:szCs w:val="20"/>
              </w:rPr>
              <w:t>Bioequivalence</w:t>
            </w:r>
            <w:r w:rsidRPr="00F21AE2">
              <w:rPr>
                <w:spacing w:val="-34"/>
                <w:w w:val="105"/>
                <w:sz w:val="20"/>
                <w:szCs w:val="20"/>
              </w:rPr>
              <w:t xml:space="preserve"> </w:t>
            </w:r>
            <w:r w:rsidRPr="00F21AE2">
              <w:rPr>
                <w:spacing w:val="-1"/>
                <w:w w:val="105"/>
                <w:sz w:val="20"/>
                <w:szCs w:val="20"/>
              </w:rPr>
              <w:t>study</w:t>
            </w:r>
          </w:p>
        </w:tc>
        <w:tc>
          <w:tcPr>
            <w:tcW w:w="1928" w:type="dxa"/>
          </w:tcPr>
          <w:p w14:paraId="78CF9542" w14:textId="77777777" w:rsidR="00436B89" w:rsidRPr="00F21AE2" w:rsidRDefault="00436B89" w:rsidP="00F21AE2">
            <w:pPr>
              <w:rPr>
                <w:sz w:val="20"/>
                <w:szCs w:val="20"/>
              </w:rPr>
            </w:pPr>
          </w:p>
        </w:tc>
        <w:tc>
          <w:tcPr>
            <w:tcW w:w="1928" w:type="dxa"/>
          </w:tcPr>
          <w:p w14:paraId="4E9DEBA1" w14:textId="77777777" w:rsidR="00436B89" w:rsidRPr="00F21AE2" w:rsidRDefault="00436B89" w:rsidP="00F21AE2">
            <w:pPr>
              <w:rPr>
                <w:sz w:val="20"/>
                <w:szCs w:val="20"/>
              </w:rPr>
            </w:pPr>
            <w:r w:rsidRPr="00F21AE2">
              <w:rPr>
                <w:w w:val="105"/>
                <w:sz w:val="20"/>
                <w:szCs w:val="20"/>
              </w:rPr>
              <w:t>12</w:t>
            </w:r>
          </w:p>
        </w:tc>
        <w:tc>
          <w:tcPr>
            <w:tcW w:w="2184" w:type="dxa"/>
          </w:tcPr>
          <w:p w14:paraId="1B6553A3" w14:textId="77777777" w:rsidR="00436B89" w:rsidRPr="00F21AE2" w:rsidRDefault="00436B89" w:rsidP="00F21AE2">
            <w:pPr>
              <w:rPr>
                <w:sz w:val="20"/>
                <w:szCs w:val="20"/>
              </w:rPr>
            </w:pPr>
            <w:r w:rsidRPr="00F21AE2">
              <w:rPr>
                <w:w w:val="105"/>
                <w:sz w:val="20"/>
                <w:szCs w:val="20"/>
              </w:rPr>
              <w:t>headache</w:t>
            </w:r>
            <w:r w:rsidRPr="00F21AE2">
              <w:rPr>
                <w:spacing w:val="-22"/>
                <w:w w:val="105"/>
                <w:sz w:val="20"/>
                <w:szCs w:val="20"/>
              </w:rPr>
              <w:t xml:space="preserve"> </w:t>
            </w:r>
            <w:r w:rsidRPr="00F21AE2">
              <w:rPr>
                <w:w w:val="105"/>
                <w:sz w:val="20"/>
                <w:szCs w:val="20"/>
              </w:rPr>
              <w:t>(15)</w:t>
            </w:r>
          </w:p>
          <w:p w14:paraId="19464705" w14:textId="77777777" w:rsidR="00436B89" w:rsidRPr="00F21AE2" w:rsidRDefault="00436B89" w:rsidP="00F21AE2">
            <w:pPr>
              <w:rPr>
                <w:sz w:val="20"/>
                <w:szCs w:val="20"/>
              </w:rPr>
            </w:pPr>
            <w:r w:rsidRPr="00F21AE2">
              <w:rPr>
                <w:spacing w:val="-1"/>
                <w:w w:val="105"/>
                <w:sz w:val="20"/>
                <w:szCs w:val="20"/>
              </w:rPr>
              <w:t>ageusia</w:t>
            </w:r>
            <w:r w:rsidRPr="00F21AE2">
              <w:rPr>
                <w:spacing w:val="-18"/>
                <w:w w:val="105"/>
                <w:sz w:val="20"/>
                <w:szCs w:val="20"/>
              </w:rPr>
              <w:t xml:space="preserve"> </w:t>
            </w:r>
            <w:r w:rsidRPr="00F21AE2">
              <w:rPr>
                <w:w w:val="105"/>
                <w:sz w:val="20"/>
                <w:szCs w:val="20"/>
              </w:rPr>
              <w:t>(5)</w:t>
            </w:r>
          </w:p>
          <w:p w14:paraId="381F4423" w14:textId="77777777" w:rsidR="00436B89" w:rsidRPr="00F21AE2" w:rsidRDefault="00436B89" w:rsidP="00F21AE2">
            <w:pPr>
              <w:rPr>
                <w:sz w:val="20"/>
                <w:szCs w:val="20"/>
              </w:rPr>
            </w:pPr>
            <w:r w:rsidRPr="00F21AE2">
              <w:rPr>
                <w:w w:val="105"/>
                <w:sz w:val="20"/>
                <w:szCs w:val="20"/>
              </w:rPr>
              <w:t>weakness</w:t>
            </w:r>
            <w:r w:rsidRPr="00F21AE2">
              <w:rPr>
                <w:spacing w:val="-21"/>
                <w:w w:val="105"/>
                <w:sz w:val="20"/>
                <w:szCs w:val="20"/>
              </w:rPr>
              <w:t xml:space="preserve"> </w:t>
            </w:r>
            <w:r w:rsidRPr="00F21AE2">
              <w:rPr>
                <w:spacing w:val="-1"/>
                <w:w w:val="105"/>
                <w:sz w:val="20"/>
                <w:szCs w:val="20"/>
              </w:rPr>
              <w:t>(1)</w:t>
            </w:r>
          </w:p>
          <w:p w14:paraId="2285CAD5" w14:textId="77777777" w:rsidR="00436B89" w:rsidRPr="00F21AE2" w:rsidRDefault="00436B89" w:rsidP="00F21AE2">
            <w:pPr>
              <w:rPr>
                <w:sz w:val="20"/>
                <w:szCs w:val="20"/>
              </w:rPr>
            </w:pPr>
            <w:r w:rsidRPr="00F21AE2">
              <w:rPr>
                <w:spacing w:val="-1"/>
                <w:w w:val="105"/>
                <w:sz w:val="20"/>
                <w:szCs w:val="20"/>
              </w:rPr>
              <w:t>Vomiting</w:t>
            </w:r>
            <w:r w:rsidRPr="00F21AE2">
              <w:rPr>
                <w:spacing w:val="-20"/>
                <w:w w:val="105"/>
                <w:sz w:val="20"/>
                <w:szCs w:val="20"/>
              </w:rPr>
              <w:t xml:space="preserve"> </w:t>
            </w:r>
            <w:r w:rsidRPr="00F21AE2">
              <w:rPr>
                <w:w w:val="105"/>
                <w:sz w:val="20"/>
                <w:szCs w:val="20"/>
              </w:rPr>
              <w:t>(1)</w:t>
            </w:r>
          </w:p>
        </w:tc>
      </w:tr>
      <w:tr w:rsidR="00436B89" w:rsidRPr="00F21AE2" w14:paraId="5E73FADD" w14:textId="77777777" w:rsidTr="00F21AE2">
        <w:trPr>
          <w:trHeight w:val="20"/>
        </w:trPr>
        <w:tc>
          <w:tcPr>
            <w:tcW w:w="2607" w:type="dxa"/>
          </w:tcPr>
          <w:p w14:paraId="34857AE2" w14:textId="77777777" w:rsidR="00436B89" w:rsidRPr="00F21AE2" w:rsidRDefault="00436B89" w:rsidP="00F21AE2">
            <w:pPr>
              <w:rPr>
                <w:sz w:val="20"/>
                <w:szCs w:val="20"/>
              </w:rPr>
            </w:pPr>
            <w:r w:rsidRPr="00F21AE2">
              <w:rPr>
                <w:w w:val="105"/>
                <w:sz w:val="20"/>
                <w:szCs w:val="20"/>
              </w:rPr>
              <w:t>ATUc</w:t>
            </w:r>
            <w:r w:rsidRPr="00F21AE2">
              <w:rPr>
                <w:spacing w:val="-32"/>
                <w:w w:val="105"/>
                <w:sz w:val="20"/>
                <w:szCs w:val="20"/>
              </w:rPr>
              <w:t xml:space="preserve"> </w:t>
            </w:r>
            <w:r w:rsidRPr="00F21AE2">
              <w:rPr>
                <w:spacing w:val="-1"/>
                <w:w w:val="105"/>
                <w:sz w:val="20"/>
                <w:szCs w:val="20"/>
              </w:rPr>
              <w:t>(Autorisation</w:t>
            </w:r>
            <w:r w:rsidRPr="00F21AE2">
              <w:rPr>
                <w:spacing w:val="21"/>
                <w:w w:val="103"/>
                <w:sz w:val="20"/>
                <w:szCs w:val="20"/>
              </w:rPr>
              <w:t xml:space="preserve"> </w:t>
            </w:r>
            <w:r w:rsidRPr="00F21AE2">
              <w:rPr>
                <w:w w:val="105"/>
                <w:sz w:val="20"/>
                <w:szCs w:val="20"/>
              </w:rPr>
              <w:t>Temporaire</w:t>
            </w:r>
            <w:r w:rsidRPr="00F21AE2">
              <w:rPr>
                <w:w w:val="103"/>
                <w:sz w:val="20"/>
                <w:szCs w:val="20"/>
              </w:rPr>
              <w:t xml:space="preserve"> </w:t>
            </w:r>
            <w:r w:rsidRPr="00F21AE2">
              <w:rPr>
                <w:spacing w:val="-1"/>
                <w:w w:val="105"/>
                <w:sz w:val="20"/>
                <w:szCs w:val="20"/>
              </w:rPr>
              <w:t>d’utilisation</w:t>
            </w:r>
            <w:r w:rsidRPr="00F21AE2">
              <w:rPr>
                <w:spacing w:val="-32"/>
                <w:w w:val="105"/>
                <w:sz w:val="20"/>
                <w:szCs w:val="20"/>
              </w:rPr>
              <w:t xml:space="preserve"> </w:t>
            </w:r>
            <w:r w:rsidRPr="00F21AE2">
              <w:rPr>
                <w:spacing w:val="-1"/>
                <w:w w:val="105"/>
                <w:sz w:val="20"/>
                <w:szCs w:val="20"/>
              </w:rPr>
              <w:t>cohorte)</w:t>
            </w:r>
          </w:p>
        </w:tc>
        <w:tc>
          <w:tcPr>
            <w:tcW w:w="1928" w:type="dxa"/>
          </w:tcPr>
          <w:p w14:paraId="7FC7F5B5" w14:textId="77777777" w:rsidR="00436B89" w:rsidRPr="00F21AE2" w:rsidRDefault="00436B89" w:rsidP="00F21AE2">
            <w:pPr>
              <w:rPr>
                <w:sz w:val="20"/>
                <w:szCs w:val="20"/>
              </w:rPr>
            </w:pPr>
          </w:p>
        </w:tc>
        <w:tc>
          <w:tcPr>
            <w:tcW w:w="1928" w:type="dxa"/>
          </w:tcPr>
          <w:p w14:paraId="352A2E25" w14:textId="77777777" w:rsidR="00436B89" w:rsidRPr="00F21AE2" w:rsidRDefault="00436B89" w:rsidP="00F21AE2">
            <w:pPr>
              <w:rPr>
                <w:sz w:val="20"/>
                <w:szCs w:val="20"/>
              </w:rPr>
            </w:pPr>
          </w:p>
        </w:tc>
        <w:tc>
          <w:tcPr>
            <w:tcW w:w="2184" w:type="dxa"/>
          </w:tcPr>
          <w:p w14:paraId="2E3911FE" w14:textId="77777777" w:rsidR="00436B89" w:rsidRPr="00F21AE2" w:rsidRDefault="00436B89" w:rsidP="00F21AE2">
            <w:pPr>
              <w:rPr>
                <w:sz w:val="20"/>
                <w:szCs w:val="20"/>
              </w:rPr>
            </w:pPr>
            <w:r w:rsidRPr="00F21AE2">
              <w:rPr>
                <w:w w:val="105"/>
                <w:sz w:val="20"/>
                <w:szCs w:val="20"/>
              </w:rPr>
              <w:t>No</w:t>
            </w:r>
            <w:r w:rsidRPr="00F21AE2">
              <w:rPr>
                <w:spacing w:val="-13"/>
                <w:w w:val="105"/>
                <w:sz w:val="20"/>
                <w:szCs w:val="20"/>
              </w:rPr>
              <w:t xml:space="preserve"> </w:t>
            </w:r>
            <w:r w:rsidRPr="00F21AE2">
              <w:rPr>
                <w:w w:val="105"/>
                <w:sz w:val="20"/>
                <w:szCs w:val="20"/>
              </w:rPr>
              <w:t>AEs</w:t>
            </w:r>
            <w:r w:rsidRPr="00F21AE2">
              <w:rPr>
                <w:spacing w:val="-13"/>
                <w:w w:val="105"/>
                <w:sz w:val="20"/>
                <w:szCs w:val="20"/>
              </w:rPr>
              <w:t xml:space="preserve"> </w:t>
            </w:r>
            <w:r w:rsidRPr="00F21AE2">
              <w:rPr>
                <w:spacing w:val="-1"/>
                <w:w w:val="105"/>
                <w:sz w:val="20"/>
                <w:szCs w:val="20"/>
              </w:rPr>
              <w:t>reported</w:t>
            </w:r>
          </w:p>
        </w:tc>
      </w:tr>
    </w:tbl>
    <w:p w14:paraId="226BD5F7" w14:textId="4877AFE5" w:rsidR="00436B89" w:rsidRPr="00C92342" w:rsidRDefault="00436B89" w:rsidP="00177802">
      <w:pPr>
        <w:pStyle w:val="Heading5"/>
        <w:numPr>
          <w:ilvl w:val="3"/>
          <w:numId w:val="5"/>
        </w:numPr>
        <w:tabs>
          <w:tab w:val="clear" w:pos="1418"/>
          <w:tab w:val="num" w:pos="1191"/>
        </w:tabs>
        <w:ind w:left="1191"/>
      </w:pPr>
      <w:r>
        <w:t xml:space="preserve">Evaluator’s </w:t>
      </w:r>
      <w:r w:rsidR="002E66C8">
        <w:t>a</w:t>
      </w:r>
      <w:r>
        <w:t>ssessment</w:t>
      </w:r>
    </w:p>
    <w:p w14:paraId="1DFC2ADE" w14:textId="77777777" w:rsidR="00436B89" w:rsidRDefault="00436B89" w:rsidP="00436B89">
      <w:r>
        <w:t xml:space="preserve">The sponsor has tabulated the adverse events </w:t>
      </w:r>
      <w:r w:rsidRPr="00783D42">
        <w:t>attributable to sodium phenylbutyrate</w:t>
      </w:r>
      <w:r>
        <w:t>. The dosing information was not available for all studies. The response is satisfactory.</w:t>
      </w:r>
    </w:p>
    <w:p w14:paraId="6E053AB9" w14:textId="77777777" w:rsidR="00436B89" w:rsidRPr="00C47274" w:rsidRDefault="00436B89" w:rsidP="00436B89">
      <w:pPr>
        <w:pStyle w:val="Numberbullet0"/>
        <w:rPr>
          <w:b/>
          <w:i/>
        </w:rPr>
      </w:pPr>
      <w:r w:rsidRPr="00C47274">
        <w:rPr>
          <w:b/>
          <w:i/>
        </w:rPr>
        <w:t xml:space="preserve">The sponsor should tabulate all discontinuations due to adverse events attributable to sodium phenylbutyrate. </w:t>
      </w:r>
    </w:p>
    <w:p w14:paraId="59AAAE43" w14:textId="4D84B8AD" w:rsidR="00436B89" w:rsidRDefault="00436B89" w:rsidP="00177802">
      <w:pPr>
        <w:pStyle w:val="Heading5"/>
        <w:numPr>
          <w:ilvl w:val="3"/>
          <w:numId w:val="5"/>
        </w:numPr>
        <w:tabs>
          <w:tab w:val="clear" w:pos="1418"/>
          <w:tab w:val="num" w:pos="1191"/>
        </w:tabs>
        <w:ind w:left="1191"/>
      </w:pPr>
      <w:r>
        <w:t xml:space="preserve">Sponsor </w:t>
      </w:r>
      <w:r w:rsidR="002E66C8">
        <w:t>r</w:t>
      </w:r>
      <w:r>
        <w:t>esponse</w:t>
      </w:r>
    </w:p>
    <w:p w14:paraId="03EC1F47" w14:textId="77777777" w:rsidR="00436B89" w:rsidRDefault="00436B89" w:rsidP="00436B89">
      <w:pPr>
        <w:ind w:left="720"/>
      </w:pPr>
      <w:r>
        <w:t>All discontinuation due to use of sodium phenylbutyrate and reported in the literature are summarized in the table below.</w:t>
      </w:r>
    </w:p>
    <w:p w14:paraId="14789F97" w14:textId="5F69EF77" w:rsidR="00436B89" w:rsidRDefault="00436B89" w:rsidP="00436B89">
      <w:pPr>
        <w:pStyle w:val="Tabletitle"/>
        <w:rPr>
          <w:lang w:eastAsia="en-AU"/>
        </w:rPr>
      </w:pPr>
      <w:r w:rsidRPr="004D3DB1">
        <w:rPr>
          <w:lang w:eastAsia="en-AU"/>
        </w:rPr>
        <w:t xml:space="preserve">Table </w:t>
      </w:r>
      <w:r>
        <w:rPr>
          <w:lang w:eastAsia="en-AU"/>
        </w:rPr>
        <w:t>4</w:t>
      </w:r>
      <w:r w:rsidR="00F934C3">
        <w:rPr>
          <w:lang w:eastAsia="en-AU"/>
        </w:rPr>
        <w:t>6</w:t>
      </w:r>
      <w:r>
        <w:rPr>
          <w:lang w:eastAsia="en-AU"/>
        </w:rPr>
        <w:t>:</w:t>
      </w:r>
      <w:r w:rsidRPr="004D3DB1">
        <w:rPr>
          <w:lang w:eastAsia="en-AU"/>
        </w:rPr>
        <w:t xml:space="preserve"> Discontinuation reported with phenylbutyrate in clinical studies</w:t>
      </w:r>
    </w:p>
    <w:tbl>
      <w:tblPr>
        <w:tblStyle w:val="TableGrid"/>
        <w:tblW w:w="9010" w:type="dxa"/>
        <w:tblLayout w:type="fixed"/>
        <w:tblLook w:val="0000" w:firstRow="0" w:lastRow="0" w:firstColumn="0" w:lastColumn="0" w:noHBand="0" w:noVBand="0"/>
      </w:tblPr>
      <w:tblGrid>
        <w:gridCol w:w="1951"/>
        <w:gridCol w:w="1592"/>
        <w:gridCol w:w="1952"/>
        <w:gridCol w:w="3515"/>
      </w:tblGrid>
      <w:tr w:rsidR="00436B89" w:rsidRPr="00C47274" w14:paraId="5692E11C" w14:textId="77777777" w:rsidTr="00436B89">
        <w:trPr>
          <w:cantSplit/>
          <w:trHeight w:val="20"/>
          <w:tblHeader/>
        </w:trPr>
        <w:tc>
          <w:tcPr>
            <w:tcW w:w="1951" w:type="dxa"/>
            <w:shd w:val="clear" w:color="auto" w:fill="0070C0"/>
          </w:tcPr>
          <w:p w14:paraId="728F318E" w14:textId="77777777" w:rsidR="00436B89" w:rsidRPr="00C47274" w:rsidRDefault="00436B89" w:rsidP="00436B89">
            <w:pPr>
              <w:kinsoku w:val="0"/>
              <w:overflowPunct w:val="0"/>
              <w:autoSpaceDE w:val="0"/>
              <w:autoSpaceDN w:val="0"/>
              <w:adjustRightInd w:val="0"/>
              <w:spacing w:before="138" w:after="0" w:line="240" w:lineRule="auto"/>
              <w:ind w:left="104"/>
              <w:rPr>
                <w:color w:val="FFFFFF" w:themeColor="background1"/>
                <w:sz w:val="20"/>
                <w:szCs w:val="20"/>
              </w:rPr>
            </w:pPr>
            <w:r w:rsidRPr="00C47274">
              <w:rPr>
                <w:b/>
                <w:bCs/>
                <w:color w:val="FFFFFF" w:themeColor="background1"/>
                <w:w w:val="105"/>
                <w:sz w:val="20"/>
                <w:szCs w:val="20"/>
              </w:rPr>
              <w:t>Study</w:t>
            </w:r>
          </w:p>
        </w:tc>
        <w:tc>
          <w:tcPr>
            <w:tcW w:w="1592" w:type="dxa"/>
            <w:shd w:val="clear" w:color="auto" w:fill="0070C0"/>
          </w:tcPr>
          <w:p w14:paraId="7A6CFC49" w14:textId="77777777" w:rsidR="00436B89" w:rsidRPr="00C47274" w:rsidRDefault="00436B89" w:rsidP="00436B89">
            <w:pPr>
              <w:kinsoku w:val="0"/>
              <w:overflowPunct w:val="0"/>
              <w:autoSpaceDE w:val="0"/>
              <w:autoSpaceDN w:val="0"/>
              <w:adjustRightInd w:val="0"/>
              <w:spacing w:before="138" w:after="0" w:line="240" w:lineRule="auto"/>
              <w:ind w:left="104"/>
              <w:rPr>
                <w:color w:val="FFFFFF" w:themeColor="background1"/>
                <w:sz w:val="20"/>
                <w:szCs w:val="20"/>
              </w:rPr>
            </w:pPr>
            <w:r w:rsidRPr="00C47274">
              <w:rPr>
                <w:b/>
                <w:bCs/>
                <w:color w:val="FFFFFF" w:themeColor="background1"/>
                <w:spacing w:val="-1"/>
                <w:w w:val="105"/>
                <w:sz w:val="20"/>
                <w:szCs w:val="20"/>
              </w:rPr>
              <w:t>Condition</w:t>
            </w:r>
          </w:p>
        </w:tc>
        <w:tc>
          <w:tcPr>
            <w:tcW w:w="1952" w:type="dxa"/>
            <w:shd w:val="clear" w:color="auto" w:fill="0070C0"/>
          </w:tcPr>
          <w:p w14:paraId="42176558" w14:textId="77777777" w:rsidR="00436B89" w:rsidRPr="00C47274" w:rsidRDefault="00436B89" w:rsidP="00436B89">
            <w:pPr>
              <w:kinsoku w:val="0"/>
              <w:overflowPunct w:val="0"/>
              <w:autoSpaceDE w:val="0"/>
              <w:autoSpaceDN w:val="0"/>
              <w:adjustRightInd w:val="0"/>
              <w:spacing w:before="138" w:after="0" w:line="253" w:lineRule="auto"/>
              <w:ind w:left="104" w:right="981"/>
              <w:rPr>
                <w:color w:val="FFFFFF" w:themeColor="background1"/>
                <w:sz w:val="20"/>
                <w:szCs w:val="20"/>
              </w:rPr>
            </w:pPr>
            <w:r w:rsidRPr="00C47274">
              <w:rPr>
                <w:b/>
                <w:bCs/>
                <w:color w:val="FFFFFF" w:themeColor="background1"/>
                <w:sz w:val="20"/>
                <w:szCs w:val="20"/>
              </w:rPr>
              <w:t>Study</w:t>
            </w:r>
            <w:r w:rsidRPr="00C47274">
              <w:rPr>
                <w:b/>
                <w:bCs/>
                <w:color w:val="FFFFFF" w:themeColor="background1"/>
                <w:w w:val="103"/>
                <w:sz w:val="20"/>
                <w:szCs w:val="20"/>
              </w:rPr>
              <w:t xml:space="preserve"> </w:t>
            </w:r>
            <w:r w:rsidRPr="00C47274">
              <w:rPr>
                <w:b/>
                <w:bCs/>
                <w:color w:val="FFFFFF" w:themeColor="background1"/>
                <w:w w:val="105"/>
                <w:sz w:val="20"/>
                <w:szCs w:val="20"/>
              </w:rPr>
              <w:t>dose</w:t>
            </w:r>
          </w:p>
        </w:tc>
        <w:tc>
          <w:tcPr>
            <w:tcW w:w="3515" w:type="dxa"/>
            <w:shd w:val="clear" w:color="auto" w:fill="0070C0"/>
          </w:tcPr>
          <w:p w14:paraId="1697BF4E" w14:textId="77777777" w:rsidR="00436B89" w:rsidRPr="00C47274" w:rsidRDefault="00436B89" w:rsidP="00436B89">
            <w:pPr>
              <w:kinsoku w:val="0"/>
              <w:overflowPunct w:val="0"/>
              <w:autoSpaceDE w:val="0"/>
              <w:autoSpaceDN w:val="0"/>
              <w:adjustRightInd w:val="0"/>
              <w:spacing w:before="138" w:after="0" w:line="240" w:lineRule="auto"/>
              <w:ind w:left="104"/>
              <w:rPr>
                <w:color w:val="FFFFFF" w:themeColor="background1"/>
                <w:sz w:val="20"/>
                <w:szCs w:val="20"/>
              </w:rPr>
            </w:pPr>
            <w:r w:rsidRPr="00C47274">
              <w:rPr>
                <w:b/>
                <w:bCs/>
                <w:color w:val="FFFFFF" w:themeColor="background1"/>
                <w:w w:val="105"/>
                <w:sz w:val="20"/>
                <w:szCs w:val="20"/>
              </w:rPr>
              <w:t>Adverse</w:t>
            </w:r>
            <w:r w:rsidRPr="00C47274">
              <w:rPr>
                <w:b/>
                <w:bCs/>
                <w:color w:val="FFFFFF" w:themeColor="background1"/>
                <w:spacing w:val="-24"/>
                <w:w w:val="105"/>
                <w:sz w:val="20"/>
                <w:szCs w:val="20"/>
              </w:rPr>
              <w:t xml:space="preserve"> </w:t>
            </w:r>
            <w:r w:rsidRPr="00C47274">
              <w:rPr>
                <w:b/>
                <w:bCs/>
                <w:color w:val="FFFFFF" w:themeColor="background1"/>
                <w:w w:val="105"/>
                <w:sz w:val="20"/>
                <w:szCs w:val="20"/>
              </w:rPr>
              <w:t>event</w:t>
            </w:r>
          </w:p>
        </w:tc>
      </w:tr>
      <w:tr w:rsidR="00436B89" w:rsidRPr="004D3DB1" w14:paraId="02D47FBB" w14:textId="77777777" w:rsidTr="00436B89">
        <w:trPr>
          <w:trHeight w:val="20"/>
        </w:trPr>
        <w:tc>
          <w:tcPr>
            <w:tcW w:w="1951" w:type="dxa"/>
          </w:tcPr>
          <w:p w14:paraId="5BD2DDD7" w14:textId="77777777" w:rsidR="00436B89" w:rsidRPr="00C47274" w:rsidRDefault="00436B89" w:rsidP="00436B89">
            <w:pPr>
              <w:kinsoku w:val="0"/>
              <w:overflowPunct w:val="0"/>
              <w:autoSpaceDE w:val="0"/>
              <w:autoSpaceDN w:val="0"/>
              <w:adjustRightInd w:val="0"/>
              <w:spacing w:before="138" w:after="0" w:line="247" w:lineRule="auto"/>
              <w:ind w:left="104" w:right="980"/>
              <w:rPr>
                <w:sz w:val="20"/>
                <w:szCs w:val="20"/>
              </w:rPr>
            </w:pPr>
            <w:r w:rsidRPr="00C47274">
              <w:rPr>
                <w:sz w:val="20"/>
                <w:szCs w:val="20"/>
              </w:rPr>
              <w:t>Do</w:t>
            </w:r>
            <w:r w:rsidR="00625EDD">
              <w:rPr>
                <w:sz w:val="20"/>
                <w:szCs w:val="20"/>
              </w:rPr>
              <w:t>v</w:t>
            </w:r>
            <w:r w:rsidRPr="00C47274">
              <w:rPr>
                <w:sz w:val="20"/>
                <w:szCs w:val="20"/>
              </w:rPr>
              <w:t>er</w:t>
            </w:r>
            <w:r w:rsidRPr="00C47274">
              <w:rPr>
                <w:spacing w:val="21"/>
                <w:w w:val="103"/>
                <w:sz w:val="20"/>
                <w:szCs w:val="20"/>
              </w:rPr>
              <w:t xml:space="preserve"> </w:t>
            </w:r>
            <w:r w:rsidRPr="00C47274">
              <w:rPr>
                <w:w w:val="105"/>
                <w:sz w:val="20"/>
                <w:szCs w:val="20"/>
              </w:rPr>
              <w:t>1994</w:t>
            </w:r>
          </w:p>
        </w:tc>
        <w:tc>
          <w:tcPr>
            <w:tcW w:w="1592" w:type="dxa"/>
          </w:tcPr>
          <w:p w14:paraId="439565CF" w14:textId="77777777" w:rsidR="00436B89" w:rsidRPr="00C47274" w:rsidRDefault="00436B89" w:rsidP="00436B89">
            <w:pPr>
              <w:kinsoku w:val="0"/>
              <w:overflowPunct w:val="0"/>
              <w:autoSpaceDE w:val="0"/>
              <w:autoSpaceDN w:val="0"/>
              <w:adjustRightInd w:val="0"/>
              <w:spacing w:before="4" w:after="0" w:line="240" w:lineRule="auto"/>
              <w:ind w:left="104"/>
              <w:rPr>
                <w:sz w:val="20"/>
                <w:szCs w:val="20"/>
              </w:rPr>
            </w:pPr>
            <w:r w:rsidRPr="00C47274">
              <w:rPr>
                <w:w w:val="105"/>
                <w:sz w:val="20"/>
                <w:szCs w:val="20"/>
              </w:rPr>
              <w:t>sickle</w:t>
            </w:r>
            <w:r w:rsidRPr="00C47274">
              <w:rPr>
                <w:spacing w:val="-12"/>
                <w:w w:val="105"/>
                <w:sz w:val="20"/>
                <w:szCs w:val="20"/>
              </w:rPr>
              <w:t xml:space="preserve"> </w:t>
            </w:r>
            <w:r w:rsidRPr="00C47274">
              <w:rPr>
                <w:w w:val="105"/>
                <w:sz w:val="20"/>
                <w:szCs w:val="20"/>
              </w:rPr>
              <w:t>cell</w:t>
            </w:r>
            <w:r w:rsidRPr="00C47274">
              <w:rPr>
                <w:spacing w:val="-12"/>
                <w:w w:val="105"/>
                <w:sz w:val="20"/>
                <w:szCs w:val="20"/>
              </w:rPr>
              <w:t xml:space="preserve"> </w:t>
            </w:r>
            <w:r w:rsidRPr="00C47274">
              <w:rPr>
                <w:w w:val="105"/>
                <w:sz w:val="20"/>
                <w:szCs w:val="20"/>
              </w:rPr>
              <w:t>disease</w:t>
            </w:r>
          </w:p>
        </w:tc>
        <w:tc>
          <w:tcPr>
            <w:tcW w:w="1952" w:type="dxa"/>
          </w:tcPr>
          <w:p w14:paraId="556F94D5" w14:textId="77777777" w:rsidR="00436B89" w:rsidRPr="00C47274" w:rsidRDefault="00436B89" w:rsidP="00436B89">
            <w:pPr>
              <w:kinsoku w:val="0"/>
              <w:overflowPunct w:val="0"/>
              <w:autoSpaceDE w:val="0"/>
              <w:autoSpaceDN w:val="0"/>
              <w:adjustRightInd w:val="0"/>
              <w:spacing w:before="4" w:after="0" w:line="251" w:lineRule="auto"/>
              <w:ind w:left="104" w:right="116"/>
              <w:rPr>
                <w:sz w:val="20"/>
                <w:szCs w:val="20"/>
              </w:rPr>
            </w:pPr>
            <w:proofErr w:type="gramStart"/>
            <w:r w:rsidRPr="00C47274">
              <w:rPr>
                <w:w w:val="105"/>
                <w:sz w:val="20"/>
                <w:szCs w:val="20"/>
              </w:rPr>
              <w:t>initial</w:t>
            </w:r>
            <w:proofErr w:type="gramEnd"/>
            <w:r w:rsidRPr="00C47274">
              <w:rPr>
                <w:spacing w:val="-11"/>
                <w:w w:val="105"/>
                <w:sz w:val="20"/>
                <w:szCs w:val="20"/>
              </w:rPr>
              <w:t xml:space="preserve"> </w:t>
            </w:r>
            <w:r w:rsidRPr="00C47274">
              <w:rPr>
                <w:w w:val="105"/>
                <w:sz w:val="20"/>
                <w:szCs w:val="20"/>
              </w:rPr>
              <w:t>therapy</w:t>
            </w:r>
            <w:r w:rsidRPr="00C47274">
              <w:rPr>
                <w:spacing w:val="-11"/>
                <w:w w:val="105"/>
                <w:sz w:val="20"/>
                <w:szCs w:val="20"/>
              </w:rPr>
              <w:t xml:space="preserve"> </w:t>
            </w:r>
            <w:r w:rsidRPr="00C47274">
              <w:rPr>
                <w:w w:val="105"/>
                <w:sz w:val="20"/>
                <w:szCs w:val="20"/>
              </w:rPr>
              <w:t>of</w:t>
            </w:r>
            <w:r w:rsidRPr="00C47274">
              <w:rPr>
                <w:spacing w:val="28"/>
                <w:w w:val="103"/>
                <w:sz w:val="20"/>
                <w:szCs w:val="20"/>
              </w:rPr>
              <w:t xml:space="preserve"> </w:t>
            </w:r>
            <w:r w:rsidRPr="00C47274">
              <w:rPr>
                <w:w w:val="105"/>
                <w:sz w:val="20"/>
                <w:szCs w:val="20"/>
              </w:rPr>
              <w:t>9</w:t>
            </w:r>
            <w:r w:rsidRPr="00C47274">
              <w:rPr>
                <w:spacing w:val="-7"/>
                <w:w w:val="105"/>
                <w:sz w:val="20"/>
                <w:szCs w:val="20"/>
              </w:rPr>
              <w:t xml:space="preserve"> </w:t>
            </w:r>
            <w:r w:rsidRPr="00C47274">
              <w:rPr>
                <w:w w:val="105"/>
                <w:sz w:val="20"/>
                <w:szCs w:val="20"/>
              </w:rPr>
              <w:t>to</w:t>
            </w:r>
            <w:r w:rsidRPr="00C47274">
              <w:rPr>
                <w:spacing w:val="-6"/>
                <w:w w:val="105"/>
                <w:sz w:val="20"/>
                <w:szCs w:val="20"/>
              </w:rPr>
              <w:t xml:space="preserve"> </w:t>
            </w:r>
            <w:r w:rsidRPr="00C47274">
              <w:rPr>
                <w:w w:val="105"/>
                <w:sz w:val="20"/>
                <w:szCs w:val="20"/>
              </w:rPr>
              <w:t>13</w:t>
            </w:r>
            <w:r w:rsidRPr="00C47274">
              <w:rPr>
                <w:spacing w:val="-6"/>
                <w:w w:val="105"/>
                <w:sz w:val="20"/>
                <w:szCs w:val="20"/>
              </w:rPr>
              <w:t xml:space="preserve"> </w:t>
            </w:r>
            <w:r w:rsidRPr="00C47274">
              <w:rPr>
                <w:w w:val="105"/>
                <w:sz w:val="20"/>
                <w:szCs w:val="20"/>
              </w:rPr>
              <w:t>g/m2/day</w:t>
            </w:r>
            <w:r w:rsidRPr="00C47274">
              <w:rPr>
                <w:spacing w:val="27"/>
                <w:w w:val="103"/>
                <w:sz w:val="20"/>
                <w:szCs w:val="20"/>
              </w:rPr>
              <w:t xml:space="preserve"> </w:t>
            </w:r>
            <w:r w:rsidRPr="00C47274">
              <w:rPr>
                <w:w w:val="105"/>
                <w:sz w:val="20"/>
                <w:szCs w:val="20"/>
              </w:rPr>
              <w:t>as</w:t>
            </w:r>
            <w:r w:rsidRPr="00C47274">
              <w:rPr>
                <w:spacing w:val="-10"/>
                <w:w w:val="105"/>
                <w:sz w:val="20"/>
                <w:szCs w:val="20"/>
              </w:rPr>
              <w:t xml:space="preserve"> </w:t>
            </w:r>
            <w:r w:rsidRPr="00C47274">
              <w:rPr>
                <w:w w:val="105"/>
                <w:sz w:val="20"/>
                <w:szCs w:val="20"/>
              </w:rPr>
              <w:t>0.5-g</w:t>
            </w:r>
            <w:r w:rsidRPr="00C47274">
              <w:rPr>
                <w:spacing w:val="-9"/>
                <w:w w:val="105"/>
                <w:sz w:val="20"/>
                <w:szCs w:val="20"/>
              </w:rPr>
              <w:t xml:space="preserve"> </w:t>
            </w:r>
            <w:r w:rsidRPr="00C47274">
              <w:rPr>
                <w:w w:val="105"/>
                <w:sz w:val="20"/>
                <w:szCs w:val="20"/>
              </w:rPr>
              <w:t>tablets</w:t>
            </w:r>
            <w:r w:rsidRPr="00C47274">
              <w:rPr>
                <w:spacing w:val="27"/>
                <w:w w:val="103"/>
                <w:sz w:val="20"/>
                <w:szCs w:val="20"/>
              </w:rPr>
              <w:t xml:space="preserve"> </w:t>
            </w:r>
            <w:r w:rsidRPr="00C47274">
              <w:rPr>
                <w:w w:val="105"/>
                <w:sz w:val="20"/>
                <w:szCs w:val="20"/>
              </w:rPr>
              <w:t>of</w:t>
            </w:r>
            <w:r w:rsidRPr="00C47274">
              <w:rPr>
                <w:spacing w:val="-9"/>
                <w:w w:val="105"/>
                <w:sz w:val="20"/>
                <w:szCs w:val="20"/>
              </w:rPr>
              <w:t xml:space="preserve"> </w:t>
            </w:r>
            <w:r w:rsidRPr="00C47274">
              <w:rPr>
                <w:spacing w:val="1"/>
                <w:w w:val="105"/>
                <w:sz w:val="20"/>
                <w:szCs w:val="20"/>
              </w:rPr>
              <w:t>PB.</w:t>
            </w:r>
          </w:p>
        </w:tc>
        <w:tc>
          <w:tcPr>
            <w:tcW w:w="3515" w:type="dxa"/>
          </w:tcPr>
          <w:p w14:paraId="34AD9907" w14:textId="77777777" w:rsidR="00436B89" w:rsidRPr="00C47274" w:rsidRDefault="00436B89" w:rsidP="00436B89">
            <w:pPr>
              <w:kinsoku w:val="0"/>
              <w:overflowPunct w:val="0"/>
              <w:autoSpaceDE w:val="0"/>
              <w:autoSpaceDN w:val="0"/>
              <w:adjustRightInd w:val="0"/>
              <w:spacing w:before="4" w:after="0" w:line="251" w:lineRule="auto"/>
              <w:ind w:left="104" w:right="698"/>
              <w:rPr>
                <w:sz w:val="20"/>
                <w:szCs w:val="20"/>
              </w:rPr>
            </w:pPr>
            <w:r w:rsidRPr="00C47274">
              <w:rPr>
                <w:spacing w:val="1"/>
                <w:w w:val="105"/>
                <w:sz w:val="20"/>
                <w:szCs w:val="20"/>
              </w:rPr>
              <w:t>One</w:t>
            </w:r>
            <w:r w:rsidRPr="00C47274">
              <w:rPr>
                <w:spacing w:val="-10"/>
                <w:w w:val="105"/>
                <w:sz w:val="20"/>
                <w:szCs w:val="20"/>
              </w:rPr>
              <w:t xml:space="preserve"> </w:t>
            </w:r>
            <w:r w:rsidRPr="00C47274">
              <w:rPr>
                <w:w w:val="105"/>
                <w:sz w:val="20"/>
                <w:szCs w:val="20"/>
              </w:rPr>
              <w:t>subject</w:t>
            </w:r>
            <w:r w:rsidRPr="00C47274">
              <w:rPr>
                <w:spacing w:val="-11"/>
                <w:w w:val="105"/>
                <w:sz w:val="20"/>
                <w:szCs w:val="20"/>
              </w:rPr>
              <w:t xml:space="preserve"> </w:t>
            </w:r>
            <w:r w:rsidRPr="00C47274">
              <w:rPr>
                <w:w w:val="105"/>
                <w:sz w:val="20"/>
                <w:szCs w:val="20"/>
              </w:rPr>
              <w:t>(C)</w:t>
            </w:r>
            <w:r w:rsidRPr="00C47274">
              <w:rPr>
                <w:spacing w:val="-10"/>
                <w:w w:val="105"/>
                <w:sz w:val="20"/>
                <w:szCs w:val="20"/>
              </w:rPr>
              <w:t xml:space="preserve"> </w:t>
            </w:r>
            <w:r w:rsidRPr="00C47274">
              <w:rPr>
                <w:w w:val="105"/>
                <w:sz w:val="20"/>
                <w:szCs w:val="20"/>
              </w:rPr>
              <w:t>developed</w:t>
            </w:r>
            <w:r w:rsidRPr="00C47274">
              <w:rPr>
                <w:spacing w:val="-9"/>
                <w:w w:val="105"/>
                <w:sz w:val="20"/>
                <w:szCs w:val="20"/>
              </w:rPr>
              <w:t xml:space="preserve"> </w:t>
            </w:r>
            <w:r w:rsidRPr="00C47274">
              <w:rPr>
                <w:w w:val="105"/>
                <w:sz w:val="20"/>
                <w:szCs w:val="20"/>
              </w:rPr>
              <w:t>a</w:t>
            </w:r>
            <w:r w:rsidRPr="00C47274">
              <w:rPr>
                <w:spacing w:val="-10"/>
                <w:w w:val="105"/>
                <w:sz w:val="20"/>
                <w:szCs w:val="20"/>
              </w:rPr>
              <w:t xml:space="preserve"> </w:t>
            </w:r>
            <w:r w:rsidRPr="00C47274">
              <w:rPr>
                <w:w w:val="105"/>
                <w:sz w:val="20"/>
                <w:szCs w:val="20"/>
              </w:rPr>
              <w:t>follicular</w:t>
            </w:r>
            <w:r w:rsidRPr="00C47274">
              <w:rPr>
                <w:spacing w:val="36"/>
                <w:w w:val="103"/>
                <w:sz w:val="20"/>
                <w:szCs w:val="20"/>
              </w:rPr>
              <w:t xml:space="preserve"> </w:t>
            </w:r>
            <w:r w:rsidRPr="00C47274">
              <w:rPr>
                <w:w w:val="105"/>
                <w:sz w:val="20"/>
                <w:szCs w:val="20"/>
              </w:rPr>
              <w:t>pruritic</w:t>
            </w:r>
            <w:r w:rsidRPr="00C47274">
              <w:rPr>
                <w:spacing w:val="-8"/>
                <w:w w:val="105"/>
                <w:sz w:val="20"/>
                <w:szCs w:val="20"/>
              </w:rPr>
              <w:t xml:space="preserve"> </w:t>
            </w:r>
            <w:r w:rsidRPr="00C47274">
              <w:rPr>
                <w:w w:val="105"/>
                <w:sz w:val="20"/>
                <w:szCs w:val="20"/>
              </w:rPr>
              <w:t>rash</w:t>
            </w:r>
            <w:r w:rsidRPr="00C47274">
              <w:rPr>
                <w:spacing w:val="-6"/>
                <w:w w:val="105"/>
                <w:sz w:val="20"/>
                <w:szCs w:val="20"/>
              </w:rPr>
              <w:t xml:space="preserve"> </w:t>
            </w:r>
            <w:r w:rsidRPr="00C47274">
              <w:rPr>
                <w:w w:val="105"/>
                <w:sz w:val="20"/>
                <w:szCs w:val="20"/>
              </w:rPr>
              <w:t>over</w:t>
            </w:r>
            <w:r w:rsidRPr="00C47274">
              <w:rPr>
                <w:spacing w:val="-8"/>
                <w:w w:val="105"/>
                <w:sz w:val="20"/>
                <w:szCs w:val="20"/>
              </w:rPr>
              <w:t xml:space="preserve"> </w:t>
            </w:r>
            <w:r w:rsidRPr="00C47274">
              <w:rPr>
                <w:w w:val="105"/>
                <w:sz w:val="20"/>
                <w:szCs w:val="20"/>
              </w:rPr>
              <w:t>the</w:t>
            </w:r>
            <w:r w:rsidRPr="00C47274">
              <w:rPr>
                <w:spacing w:val="-7"/>
                <w:w w:val="105"/>
                <w:sz w:val="20"/>
                <w:szCs w:val="20"/>
              </w:rPr>
              <w:t xml:space="preserve"> </w:t>
            </w:r>
            <w:r w:rsidRPr="00C47274">
              <w:rPr>
                <w:spacing w:val="1"/>
                <w:w w:val="105"/>
                <w:sz w:val="20"/>
                <w:szCs w:val="20"/>
              </w:rPr>
              <w:t>arms</w:t>
            </w:r>
            <w:r w:rsidRPr="00C47274">
              <w:rPr>
                <w:spacing w:val="-7"/>
                <w:w w:val="105"/>
                <w:sz w:val="20"/>
                <w:szCs w:val="20"/>
              </w:rPr>
              <w:t xml:space="preserve"> </w:t>
            </w:r>
            <w:r w:rsidRPr="00C47274">
              <w:rPr>
                <w:w w:val="105"/>
                <w:sz w:val="20"/>
                <w:szCs w:val="20"/>
              </w:rPr>
              <w:t>and</w:t>
            </w:r>
            <w:r w:rsidRPr="00C47274">
              <w:rPr>
                <w:spacing w:val="-7"/>
                <w:w w:val="105"/>
                <w:sz w:val="20"/>
                <w:szCs w:val="20"/>
              </w:rPr>
              <w:t xml:space="preserve"> </w:t>
            </w:r>
            <w:r w:rsidRPr="00C47274">
              <w:rPr>
                <w:w w:val="105"/>
                <w:sz w:val="20"/>
                <w:szCs w:val="20"/>
              </w:rPr>
              <w:t>legs</w:t>
            </w:r>
            <w:r w:rsidRPr="00C47274">
              <w:rPr>
                <w:spacing w:val="33"/>
                <w:w w:val="103"/>
                <w:sz w:val="20"/>
                <w:szCs w:val="20"/>
              </w:rPr>
              <w:t xml:space="preserve"> </w:t>
            </w:r>
            <w:r w:rsidRPr="00C47274">
              <w:rPr>
                <w:w w:val="105"/>
                <w:sz w:val="20"/>
                <w:szCs w:val="20"/>
              </w:rPr>
              <w:t>extending</w:t>
            </w:r>
            <w:r w:rsidRPr="00C47274">
              <w:rPr>
                <w:spacing w:val="-6"/>
                <w:w w:val="105"/>
                <w:sz w:val="20"/>
                <w:szCs w:val="20"/>
              </w:rPr>
              <w:t xml:space="preserve"> </w:t>
            </w:r>
            <w:r w:rsidRPr="00C47274">
              <w:rPr>
                <w:w w:val="105"/>
                <w:sz w:val="20"/>
                <w:szCs w:val="20"/>
              </w:rPr>
              <w:t>to</w:t>
            </w:r>
            <w:r w:rsidRPr="00C47274">
              <w:rPr>
                <w:spacing w:val="-5"/>
                <w:w w:val="105"/>
                <w:sz w:val="20"/>
                <w:szCs w:val="20"/>
              </w:rPr>
              <w:t xml:space="preserve"> </w:t>
            </w:r>
            <w:r w:rsidRPr="00C47274">
              <w:rPr>
                <w:w w:val="105"/>
                <w:sz w:val="20"/>
                <w:szCs w:val="20"/>
              </w:rPr>
              <w:t>the</w:t>
            </w:r>
            <w:r w:rsidRPr="00C47274">
              <w:rPr>
                <w:spacing w:val="-6"/>
                <w:w w:val="105"/>
                <w:sz w:val="20"/>
                <w:szCs w:val="20"/>
              </w:rPr>
              <w:t xml:space="preserve"> </w:t>
            </w:r>
            <w:r w:rsidRPr="00C47274">
              <w:rPr>
                <w:w w:val="105"/>
                <w:sz w:val="20"/>
                <w:szCs w:val="20"/>
              </w:rPr>
              <w:t>trunk</w:t>
            </w:r>
            <w:r w:rsidRPr="00C47274">
              <w:rPr>
                <w:spacing w:val="-6"/>
                <w:w w:val="105"/>
                <w:sz w:val="20"/>
                <w:szCs w:val="20"/>
              </w:rPr>
              <w:t xml:space="preserve"> </w:t>
            </w:r>
            <w:r w:rsidRPr="00C47274">
              <w:rPr>
                <w:w w:val="105"/>
                <w:sz w:val="20"/>
                <w:szCs w:val="20"/>
              </w:rPr>
              <w:t>at</w:t>
            </w:r>
            <w:r w:rsidRPr="00C47274">
              <w:rPr>
                <w:spacing w:val="-6"/>
                <w:w w:val="105"/>
                <w:sz w:val="20"/>
                <w:szCs w:val="20"/>
              </w:rPr>
              <w:t xml:space="preserve"> </w:t>
            </w:r>
            <w:r w:rsidRPr="00C47274">
              <w:rPr>
                <w:w w:val="105"/>
                <w:sz w:val="20"/>
                <w:szCs w:val="20"/>
              </w:rPr>
              <w:t>day</w:t>
            </w:r>
            <w:r w:rsidRPr="00C47274">
              <w:rPr>
                <w:spacing w:val="-5"/>
                <w:w w:val="105"/>
                <w:sz w:val="20"/>
                <w:szCs w:val="20"/>
              </w:rPr>
              <w:t xml:space="preserve"> </w:t>
            </w:r>
            <w:r w:rsidRPr="00C47274">
              <w:rPr>
                <w:w w:val="105"/>
                <w:sz w:val="20"/>
                <w:szCs w:val="20"/>
              </w:rPr>
              <w:t>10</w:t>
            </w:r>
            <w:r w:rsidRPr="00C47274">
              <w:rPr>
                <w:spacing w:val="-5"/>
                <w:w w:val="105"/>
                <w:sz w:val="20"/>
                <w:szCs w:val="20"/>
              </w:rPr>
              <w:t xml:space="preserve"> </w:t>
            </w:r>
            <w:r w:rsidRPr="00C47274">
              <w:rPr>
                <w:w w:val="105"/>
                <w:sz w:val="20"/>
                <w:szCs w:val="20"/>
              </w:rPr>
              <w:t>and</w:t>
            </w:r>
            <w:r w:rsidRPr="00C47274">
              <w:rPr>
                <w:spacing w:val="32"/>
                <w:w w:val="103"/>
                <w:sz w:val="20"/>
                <w:szCs w:val="20"/>
              </w:rPr>
              <w:t xml:space="preserve"> </w:t>
            </w:r>
            <w:r w:rsidRPr="00C47274">
              <w:rPr>
                <w:w w:val="105"/>
                <w:sz w:val="20"/>
                <w:szCs w:val="20"/>
              </w:rPr>
              <w:t>discontinued</w:t>
            </w:r>
            <w:r w:rsidRPr="00C47274">
              <w:rPr>
                <w:spacing w:val="-11"/>
                <w:w w:val="105"/>
                <w:sz w:val="20"/>
                <w:szCs w:val="20"/>
              </w:rPr>
              <w:t xml:space="preserve"> </w:t>
            </w:r>
            <w:r w:rsidRPr="00C47274">
              <w:rPr>
                <w:w w:val="105"/>
                <w:sz w:val="20"/>
                <w:szCs w:val="20"/>
              </w:rPr>
              <w:t>treatment</w:t>
            </w:r>
            <w:r w:rsidRPr="00C47274">
              <w:rPr>
                <w:spacing w:val="-11"/>
                <w:w w:val="105"/>
                <w:sz w:val="20"/>
                <w:szCs w:val="20"/>
              </w:rPr>
              <w:t xml:space="preserve"> </w:t>
            </w:r>
            <w:r w:rsidRPr="00C47274">
              <w:rPr>
                <w:w w:val="105"/>
                <w:sz w:val="20"/>
                <w:szCs w:val="20"/>
              </w:rPr>
              <w:t>at</w:t>
            </w:r>
            <w:r w:rsidRPr="00C47274">
              <w:rPr>
                <w:spacing w:val="-11"/>
                <w:w w:val="105"/>
                <w:sz w:val="20"/>
                <w:szCs w:val="20"/>
              </w:rPr>
              <w:t xml:space="preserve"> </w:t>
            </w:r>
            <w:r w:rsidRPr="00C47274">
              <w:rPr>
                <w:w w:val="105"/>
                <w:sz w:val="20"/>
                <w:szCs w:val="20"/>
              </w:rPr>
              <w:t>day</w:t>
            </w:r>
            <w:r w:rsidRPr="00C47274">
              <w:rPr>
                <w:spacing w:val="-10"/>
                <w:w w:val="105"/>
                <w:sz w:val="20"/>
                <w:szCs w:val="20"/>
              </w:rPr>
              <w:t xml:space="preserve"> </w:t>
            </w:r>
            <w:r w:rsidRPr="00C47274">
              <w:rPr>
                <w:spacing w:val="1"/>
                <w:w w:val="105"/>
                <w:sz w:val="20"/>
                <w:szCs w:val="20"/>
              </w:rPr>
              <w:t>14.</w:t>
            </w:r>
          </w:p>
        </w:tc>
      </w:tr>
      <w:tr w:rsidR="00436B89" w:rsidRPr="004D3DB1" w14:paraId="6AE64BBC" w14:textId="77777777" w:rsidTr="00436B89">
        <w:trPr>
          <w:trHeight w:val="20"/>
        </w:trPr>
        <w:tc>
          <w:tcPr>
            <w:tcW w:w="1951" w:type="dxa"/>
          </w:tcPr>
          <w:p w14:paraId="2D34E8C6" w14:textId="77777777" w:rsidR="00436B89" w:rsidRPr="00C47274" w:rsidRDefault="00436B89" w:rsidP="00436B89">
            <w:pPr>
              <w:kinsoku w:val="0"/>
              <w:overflowPunct w:val="0"/>
              <w:autoSpaceDE w:val="0"/>
              <w:autoSpaceDN w:val="0"/>
              <w:adjustRightInd w:val="0"/>
              <w:spacing w:before="4" w:after="0" w:line="240" w:lineRule="auto"/>
              <w:ind w:left="104"/>
              <w:rPr>
                <w:sz w:val="20"/>
                <w:szCs w:val="20"/>
              </w:rPr>
            </w:pPr>
            <w:r w:rsidRPr="00C47274">
              <w:rPr>
                <w:spacing w:val="2"/>
                <w:w w:val="105"/>
                <w:sz w:val="20"/>
                <w:szCs w:val="20"/>
              </w:rPr>
              <w:t>C</w:t>
            </w:r>
            <w:r w:rsidRPr="00C47274">
              <w:rPr>
                <w:spacing w:val="1"/>
                <w:w w:val="105"/>
                <w:sz w:val="20"/>
                <w:szCs w:val="20"/>
              </w:rPr>
              <w:t>arducc</w:t>
            </w:r>
            <w:r w:rsidRPr="00C47274">
              <w:rPr>
                <w:w w:val="105"/>
                <w:sz w:val="20"/>
                <w:szCs w:val="20"/>
              </w:rPr>
              <w:t>i</w:t>
            </w:r>
            <w:r w:rsidRPr="00C47274">
              <w:rPr>
                <w:spacing w:val="-21"/>
                <w:w w:val="105"/>
                <w:sz w:val="20"/>
                <w:szCs w:val="20"/>
              </w:rPr>
              <w:t xml:space="preserve"> </w:t>
            </w:r>
            <w:r w:rsidRPr="00C47274">
              <w:rPr>
                <w:spacing w:val="1"/>
                <w:w w:val="105"/>
                <w:sz w:val="20"/>
                <w:szCs w:val="20"/>
              </w:rPr>
              <w:t>2001</w:t>
            </w:r>
          </w:p>
        </w:tc>
        <w:tc>
          <w:tcPr>
            <w:tcW w:w="1592" w:type="dxa"/>
          </w:tcPr>
          <w:p w14:paraId="61D2C47A" w14:textId="77777777" w:rsidR="00436B89" w:rsidRPr="00C47274" w:rsidRDefault="00436B89" w:rsidP="00436B89">
            <w:pPr>
              <w:kinsoku w:val="0"/>
              <w:overflowPunct w:val="0"/>
              <w:autoSpaceDE w:val="0"/>
              <w:autoSpaceDN w:val="0"/>
              <w:adjustRightInd w:val="0"/>
              <w:spacing w:before="4" w:after="0" w:line="251" w:lineRule="auto"/>
              <w:ind w:left="104" w:right="238"/>
              <w:rPr>
                <w:sz w:val="20"/>
                <w:szCs w:val="20"/>
              </w:rPr>
            </w:pPr>
            <w:r w:rsidRPr="00C47274">
              <w:rPr>
                <w:spacing w:val="1"/>
                <w:w w:val="105"/>
                <w:sz w:val="20"/>
                <w:szCs w:val="20"/>
              </w:rPr>
              <w:t>Hormone</w:t>
            </w:r>
            <w:r w:rsidRPr="00C47274">
              <w:rPr>
                <w:spacing w:val="-29"/>
                <w:w w:val="105"/>
                <w:sz w:val="20"/>
                <w:szCs w:val="20"/>
              </w:rPr>
              <w:t xml:space="preserve"> </w:t>
            </w:r>
            <w:r w:rsidRPr="00C47274">
              <w:rPr>
                <w:w w:val="105"/>
                <w:sz w:val="20"/>
                <w:szCs w:val="20"/>
              </w:rPr>
              <w:t>refractory</w:t>
            </w:r>
            <w:r w:rsidRPr="00C47274">
              <w:rPr>
                <w:spacing w:val="29"/>
                <w:w w:val="103"/>
                <w:sz w:val="20"/>
                <w:szCs w:val="20"/>
              </w:rPr>
              <w:t xml:space="preserve"> </w:t>
            </w:r>
            <w:r w:rsidRPr="00C47274">
              <w:rPr>
                <w:w w:val="105"/>
                <w:sz w:val="20"/>
                <w:szCs w:val="20"/>
              </w:rPr>
              <w:t>prostate</w:t>
            </w:r>
            <w:r w:rsidRPr="00C47274">
              <w:rPr>
                <w:spacing w:val="-21"/>
                <w:w w:val="105"/>
                <w:sz w:val="20"/>
                <w:szCs w:val="20"/>
              </w:rPr>
              <w:t xml:space="preserve"> </w:t>
            </w:r>
            <w:r w:rsidRPr="00C47274">
              <w:rPr>
                <w:spacing w:val="1"/>
                <w:w w:val="105"/>
                <w:sz w:val="20"/>
                <w:szCs w:val="20"/>
              </w:rPr>
              <w:t>cancer</w:t>
            </w:r>
            <w:r w:rsidRPr="00C47274">
              <w:rPr>
                <w:spacing w:val="26"/>
                <w:w w:val="103"/>
                <w:sz w:val="20"/>
                <w:szCs w:val="20"/>
              </w:rPr>
              <w:t xml:space="preserve"> </w:t>
            </w:r>
            <w:r w:rsidRPr="00C47274">
              <w:rPr>
                <w:w w:val="105"/>
                <w:sz w:val="20"/>
                <w:szCs w:val="20"/>
              </w:rPr>
              <w:t>predomina</w:t>
            </w:r>
            <w:r w:rsidRPr="00C47274">
              <w:rPr>
                <w:w w:val="105"/>
                <w:sz w:val="20"/>
                <w:szCs w:val="20"/>
              </w:rPr>
              <w:lastRenderedPageBreak/>
              <w:t>nt</w:t>
            </w:r>
            <w:r w:rsidRPr="00C47274">
              <w:rPr>
                <w:spacing w:val="-28"/>
                <w:w w:val="105"/>
                <w:sz w:val="20"/>
                <w:szCs w:val="20"/>
              </w:rPr>
              <w:t xml:space="preserve"> </w:t>
            </w:r>
            <w:r w:rsidRPr="00C47274">
              <w:rPr>
                <w:spacing w:val="1"/>
                <w:w w:val="105"/>
                <w:sz w:val="20"/>
                <w:szCs w:val="20"/>
              </w:rPr>
              <w:t>tumor</w:t>
            </w:r>
            <w:r w:rsidRPr="00C47274">
              <w:rPr>
                <w:spacing w:val="31"/>
                <w:w w:val="103"/>
                <w:sz w:val="20"/>
                <w:szCs w:val="20"/>
              </w:rPr>
              <w:t xml:space="preserve"> </w:t>
            </w:r>
            <w:r w:rsidRPr="00C47274">
              <w:rPr>
                <w:w w:val="105"/>
                <w:sz w:val="20"/>
                <w:szCs w:val="20"/>
              </w:rPr>
              <w:t>type)</w:t>
            </w:r>
          </w:p>
        </w:tc>
        <w:tc>
          <w:tcPr>
            <w:tcW w:w="1952" w:type="dxa"/>
          </w:tcPr>
          <w:p w14:paraId="6DC87746" w14:textId="77777777" w:rsidR="00436B89" w:rsidRPr="00C47274" w:rsidRDefault="00436B89" w:rsidP="00436B89">
            <w:pPr>
              <w:autoSpaceDE w:val="0"/>
              <w:autoSpaceDN w:val="0"/>
              <w:adjustRightInd w:val="0"/>
              <w:spacing w:before="0" w:after="0" w:line="240" w:lineRule="auto"/>
              <w:rPr>
                <w:sz w:val="20"/>
                <w:szCs w:val="20"/>
              </w:rPr>
            </w:pPr>
          </w:p>
        </w:tc>
        <w:tc>
          <w:tcPr>
            <w:tcW w:w="3515" w:type="dxa"/>
          </w:tcPr>
          <w:p w14:paraId="3E94BB68" w14:textId="77777777" w:rsidR="00436B89" w:rsidRPr="00C47274" w:rsidRDefault="00436B89" w:rsidP="00625EDD">
            <w:pPr>
              <w:kinsoku w:val="0"/>
              <w:overflowPunct w:val="0"/>
              <w:autoSpaceDE w:val="0"/>
              <w:autoSpaceDN w:val="0"/>
              <w:adjustRightInd w:val="0"/>
              <w:spacing w:before="4" w:after="0" w:line="252" w:lineRule="auto"/>
              <w:ind w:left="104" w:right="157"/>
              <w:rPr>
                <w:sz w:val="20"/>
                <w:szCs w:val="20"/>
              </w:rPr>
            </w:pPr>
            <w:r w:rsidRPr="00C47274">
              <w:rPr>
                <w:w w:val="105"/>
                <w:sz w:val="20"/>
                <w:szCs w:val="20"/>
              </w:rPr>
              <w:t>The</w:t>
            </w:r>
            <w:r w:rsidRPr="00C47274">
              <w:rPr>
                <w:spacing w:val="-14"/>
                <w:w w:val="105"/>
                <w:sz w:val="20"/>
                <w:szCs w:val="20"/>
              </w:rPr>
              <w:t xml:space="preserve"> </w:t>
            </w:r>
            <w:r w:rsidRPr="00C47274">
              <w:rPr>
                <w:spacing w:val="1"/>
                <w:w w:val="105"/>
                <w:sz w:val="20"/>
                <w:szCs w:val="20"/>
              </w:rPr>
              <w:t>DLT</w:t>
            </w:r>
            <w:r w:rsidRPr="00C47274">
              <w:rPr>
                <w:spacing w:val="-13"/>
                <w:w w:val="105"/>
                <w:sz w:val="20"/>
                <w:szCs w:val="20"/>
              </w:rPr>
              <w:t xml:space="preserve"> </w:t>
            </w:r>
            <w:r w:rsidRPr="00C47274">
              <w:rPr>
                <w:spacing w:val="1"/>
                <w:w w:val="105"/>
                <w:sz w:val="20"/>
                <w:szCs w:val="20"/>
              </w:rPr>
              <w:t>was</w:t>
            </w:r>
            <w:r w:rsidRPr="00C47274">
              <w:rPr>
                <w:spacing w:val="-13"/>
                <w:w w:val="105"/>
                <w:sz w:val="20"/>
                <w:szCs w:val="20"/>
              </w:rPr>
              <w:t xml:space="preserve"> </w:t>
            </w:r>
            <w:r w:rsidRPr="00C47274">
              <w:rPr>
                <w:w w:val="105"/>
                <w:sz w:val="20"/>
                <w:szCs w:val="20"/>
              </w:rPr>
              <w:t>neuro-cortical</w:t>
            </w:r>
            <w:r w:rsidRPr="00C47274">
              <w:rPr>
                <w:spacing w:val="-13"/>
                <w:w w:val="105"/>
                <w:sz w:val="20"/>
                <w:szCs w:val="20"/>
              </w:rPr>
              <w:t xml:space="preserve"> </w:t>
            </w:r>
            <w:r w:rsidRPr="00C47274">
              <w:rPr>
                <w:w w:val="105"/>
                <w:sz w:val="20"/>
                <w:szCs w:val="20"/>
              </w:rPr>
              <w:t>(excessive</w:t>
            </w:r>
            <w:r w:rsidRPr="00C47274">
              <w:rPr>
                <w:spacing w:val="46"/>
                <w:w w:val="103"/>
                <w:sz w:val="20"/>
                <w:szCs w:val="20"/>
              </w:rPr>
              <w:t xml:space="preserve"> </w:t>
            </w:r>
            <w:r w:rsidRPr="00C47274">
              <w:rPr>
                <w:w w:val="105"/>
                <w:sz w:val="20"/>
                <w:szCs w:val="20"/>
              </w:rPr>
              <w:t>somnolence</w:t>
            </w:r>
            <w:r w:rsidRPr="00C47274">
              <w:rPr>
                <w:spacing w:val="-15"/>
                <w:w w:val="105"/>
                <w:sz w:val="20"/>
                <w:szCs w:val="20"/>
              </w:rPr>
              <w:t xml:space="preserve"> </w:t>
            </w:r>
            <w:r w:rsidRPr="00C47274">
              <w:rPr>
                <w:w w:val="105"/>
                <w:sz w:val="20"/>
                <w:szCs w:val="20"/>
              </w:rPr>
              <w:t>and</w:t>
            </w:r>
            <w:r w:rsidRPr="00C47274">
              <w:rPr>
                <w:spacing w:val="-14"/>
                <w:w w:val="105"/>
                <w:sz w:val="20"/>
                <w:szCs w:val="20"/>
              </w:rPr>
              <w:t xml:space="preserve"> </w:t>
            </w:r>
            <w:r w:rsidRPr="00C47274">
              <w:rPr>
                <w:w w:val="105"/>
                <w:sz w:val="20"/>
                <w:szCs w:val="20"/>
              </w:rPr>
              <w:t>confusion</w:t>
            </w:r>
            <w:r w:rsidRPr="00C47274">
              <w:rPr>
                <w:spacing w:val="-15"/>
                <w:w w:val="105"/>
                <w:sz w:val="20"/>
                <w:szCs w:val="20"/>
              </w:rPr>
              <w:t xml:space="preserve"> </w:t>
            </w:r>
            <w:r w:rsidRPr="00C47274">
              <w:rPr>
                <w:w w:val="105"/>
                <w:sz w:val="20"/>
                <w:szCs w:val="20"/>
              </w:rPr>
              <w:t>and</w:t>
            </w:r>
            <w:r w:rsidRPr="00C47274">
              <w:rPr>
                <w:spacing w:val="-14"/>
                <w:w w:val="105"/>
                <w:sz w:val="20"/>
                <w:szCs w:val="20"/>
              </w:rPr>
              <w:t xml:space="preserve"> </w:t>
            </w:r>
            <w:r w:rsidRPr="00C47274">
              <w:rPr>
                <w:w w:val="105"/>
                <w:sz w:val="20"/>
                <w:szCs w:val="20"/>
              </w:rPr>
              <w:t>accompanied</w:t>
            </w:r>
            <w:r w:rsidRPr="00C47274">
              <w:rPr>
                <w:spacing w:val="60"/>
                <w:w w:val="103"/>
                <w:sz w:val="20"/>
                <w:szCs w:val="20"/>
              </w:rPr>
              <w:t xml:space="preserve"> </w:t>
            </w:r>
            <w:r w:rsidRPr="00C47274">
              <w:rPr>
                <w:w w:val="105"/>
                <w:sz w:val="20"/>
                <w:szCs w:val="20"/>
              </w:rPr>
              <w:t>by</w:t>
            </w:r>
            <w:r w:rsidRPr="00C47274">
              <w:rPr>
                <w:spacing w:val="-17"/>
                <w:w w:val="105"/>
                <w:sz w:val="20"/>
                <w:szCs w:val="20"/>
              </w:rPr>
              <w:t xml:space="preserve"> </w:t>
            </w:r>
            <w:r w:rsidRPr="00C47274">
              <w:rPr>
                <w:w w:val="105"/>
                <w:sz w:val="20"/>
                <w:szCs w:val="20"/>
              </w:rPr>
              <w:t>clinically</w:t>
            </w:r>
            <w:r w:rsidRPr="00C47274">
              <w:rPr>
                <w:spacing w:val="-17"/>
                <w:w w:val="105"/>
                <w:sz w:val="20"/>
                <w:szCs w:val="20"/>
              </w:rPr>
              <w:t xml:space="preserve"> </w:t>
            </w:r>
            <w:r w:rsidRPr="00C47274">
              <w:rPr>
                <w:w w:val="105"/>
                <w:sz w:val="20"/>
                <w:szCs w:val="20"/>
              </w:rPr>
              <w:t>significant</w:t>
            </w:r>
            <w:r w:rsidRPr="00C47274">
              <w:rPr>
                <w:spacing w:val="-17"/>
                <w:w w:val="105"/>
                <w:sz w:val="20"/>
                <w:szCs w:val="20"/>
              </w:rPr>
              <w:t xml:space="preserve"> </w:t>
            </w:r>
            <w:r w:rsidR="00625EDD" w:rsidRPr="00C47274">
              <w:rPr>
                <w:w w:val="105"/>
                <w:sz w:val="20"/>
                <w:szCs w:val="20"/>
              </w:rPr>
              <w:t>hypokalaemia</w:t>
            </w:r>
            <w:r w:rsidRPr="00C47274">
              <w:rPr>
                <w:w w:val="105"/>
                <w:sz w:val="20"/>
                <w:szCs w:val="20"/>
              </w:rPr>
              <w:t>,</w:t>
            </w:r>
            <w:r w:rsidRPr="00C47274">
              <w:rPr>
                <w:spacing w:val="44"/>
                <w:w w:val="103"/>
                <w:sz w:val="20"/>
                <w:szCs w:val="20"/>
              </w:rPr>
              <w:t xml:space="preserve"> </w:t>
            </w:r>
            <w:r w:rsidRPr="00C47274">
              <w:rPr>
                <w:w w:val="105"/>
                <w:sz w:val="20"/>
                <w:szCs w:val="20"/>
              </w:rPr>
              <w:t>hyponatremia,</w:t>
            </w:r>
            <w:r w:rsidRPr="00C47274">
              <w:rPr>
                <w:spacing w:val="-15"/>
                <w:w w:val="105"/>
                <w:sz w:val="20"/>
                <w:szCs w:val="20"/>
              </w:rPr>
              <w:t xml:space="preserve"> </w:t>
            </w:r>
            <w:r w:rsidRPr="00C47274">
              <w:rPr>
                <w:w w:val="105"/>
                <w:sz w:val="20"/>
                <w:szCs w:val="20"/>
              </w:rPr>
              <w:lastRenderedPageBreak/>
              <w:t>and</w:t>
            </w:r>
            <w:r w:rsidRPr="00C47274">
              <w:rPr>
                <w:spacing w:val="-14"/>
                <w:w w:val="105"/>
                <w:sz w:val="20"/>
                <w:szCs w:val="20"/>
              </w:rPr>
              <w:t xml:space="preserve"> </w:t>
            </w:r>
            <w:r w:rsidRPr="00C47274">
              <w:rPr>
                <w:w w:val="105"/>
                <w:sz w:val="20"/>
                <w:szCs w:val="20"/>
              </w:rPr>
              <w:t>hyperuricemia)</w:t>
            </w:r>
            <w:r w:rsidRPr="00C47274">
              <w:rPr>
                <w:spacing w:val="-15"/>
                <w:w w:val="105"/>
                <w:sz w:val="20"/>
                <w:szCs w:val="20"/>
              </w:rPr>
              <w:t xml:space="preserve"> </w:t>
            </w:r>
            <w:r w:rsidRPr="00C47274">
              <w:rPr>
                <w:w w:val="105"/>
                <w:sz w:val="20"/>
                <w:szCs w:val="20"/>
              </w:rPr>
              <w:t>and</w:t>
            </w:r>
            <w:r w:rsidRPr="00C47274">
              <w:rPr>
                <w:spacing w:val="-14"/>
                <w:w w:val="105"/>
                <w:sz w:val="20"/>
                <w:szCs w:val="20"/>
              </w:rPr>
              <w:t xml:space="preserve"> </w:t>
            </w:r>
            <w:r w:rsidRPr="00C47274">
              <w:rPr>
                <w:spacing w:val="1"/>
                <w:w w:val="105"/>
                <w:sz w:val="20"/>
                <w:szCs w:val="20"/>
              </w:rPr>
              <w:t>was</w:t>
            </w:r>
            <w:r w:rsidRPr="00C47274">
              <w:rPr>
                <w:spacing w:val="54"/>
                <w:w w:val="103"/>
                <w:sz w:val="20"/>
                <w:szCs w:val="20"/>
              </w:rPr>
              <w:t xml:space="preserve"> </w:t>
            </w:r>
            <w:r w:rsidRPr="00C47274">
              <w:rPr>
                <w:w w:val="105"/>
                <w:sz w:val="20"/>
                <w:szCs w:val="20"/>
              </w:rPr>
              <w:t>experienced</w:t>
            </w:r>
            <w:r w:rsidRPr="00C47274">
              <w:rPr>
                <w:spacing w:val="-9"/>
                <w:w w:val="105"/>
                <w:sz w:val="20"/>
                <w:szCs w:val="20"/>
              </w:rPr>
              <w:t xml:space="preserve"> </w:t>
            </w:r>
            <w:r w:rsidRPr="00C47274">
              <w:rPr>
                <w:w w:val="105"/>
                <w:sz w:val="20"/>
                <w:szCs w:val="20"/>
              </w:rPr>
              <w:t>by</w:t>
            </w:r>
            <w:r w:rsidRPr="00C47274">
              <w:rPr>
                <w:spacing w:val="-9"/>
                <w:w w:val="105"/>
                <w:sz w:val="20"/>
                <w:szCs w:val="20"/>
              </w:rPr>
              <w:t xml:space="preserve"> </w:t>
            </w:r>
            <w:r w:rsidRPr="00C47274">
              <w:rPr>
                <w:w w:val="105"/>
                <w:sz w:val="20"/>
                <w:szCs w:val="20"/>
              </w:rPr>
              <w:t>one</w:t>
            </w:r>
            <w:r w:rsidRPr="00C47274">
              <w:rPr>
                <w:spacing w:val="-10"/>
                <w:w w:val="105"/>
                <w:sz w:val="20"/>
                <w:szCs w:val="20"/>
              </w:rPr>
              <w:t xml:space="preserve"> </w:t>
            </w:r>
            <w:r w:rsidRPr="00C47274">
              <w:rPr>
                <w:w w:val="105"/>
                <w:sz w:val="20"/>
                <w:szCs w:val="20"/>
              </w:rPr>
              <w:t>patient</w:t>
            </w:r>
            <w:r w:rsidRPr="00C47274">
              <w:rPr>
                <w:spacing w:val="-10"/>
                <w:w w:val="105"/>
                <w:sz w:val="20"/>
                <w:szCs w:val="20"/>
              </w:rPr>
              <w:t xml:space="preserve"> </w:t>
            </w:r>
            <w:r w:rsidRPr="00C47274">
              <w:rPr>
                <w:w w:val="105"/>
                <w:sz w:val="20"/>
                <w:szCs w:val="20"/>
              </w:rPr>
              <w:t>at</w:t>
            </w:r>
            <w:r w:rsidRPr="00C47274">
              <w:rPr>
                <w:spacing w:val="-9"/>
                <w:w w:val="105"/>
                <w:sz w:val="20"/>
                <w:szCs w:val="20"/>
              </w:rPr>
              <w:t xml:space="preserve"> </w:t>
            </w:r>
            <w:r w:rsidRPr="00C47274">
              <w:rPr>
                <w:w w:val="105"/>
                <w:sz w:val="20"/>
                <w:szCs w:val="20"/>
              </w:rPr>
              <w:t>515</w:t>
            </w:r>
            <w:r w:rsidRPr="00C47274">
              <w:rPr>
                <w:spacing w:val="-9"/>
                <w:w w:val="105"/>
                <w:sz w:val="20"/>
                <w:szCs w:val="20"/>
              </w:rPr>
              <w:t xml:space="preserve"> </w:t>
            </w:r>
            <w:r w:rsidRPr="00C47274">
              <w:rPr>
                <w:w w:val="105"/>
                <w:sz w:val="20"/>
                <w:szCs w:val="20"/>
              </w:rPr>
              <w:t>mg/kg/day</w:t>
            </w:r>
            <w:r w:rsidRPr="00C47274">
              <w:rPr>
                <w:spacing w:val="55"/>
                <w:w w:val="103"/>
                <w:sz w:val="20"/>
                <w:szCs w:val="20"/>
              </w:rPr>
              <w:t xml:space="preserve"> </w:t>
            </w:r>
            <w:r w:rsidRPr="00C47274">
              <w:rPr>
                <w:w w:val="105"/>
                <w:sz w:val="20"/>
                <w:szCs w:val="20"/>
              </w:rPr>
              <w:t>(grade</w:t>
            </w:r>
            <w:r w:rsidRPr="00C47274">
              <w:rPr>
                <w:spacing w:val="-8"/>
                <w:w w:val="105"/>
                <w:sz w:val="20"/>
                <w:szCs w:val="20"/>
              </w:rPr>
              <w:t xml:space="preserve"> </w:t>
            </w:r>
            <w:r w:rsidRPr="00C47274">
              <w:rPr>
                <w:w w:val="105"/>
                <w:sz w:val="20"/>
                <w:szCs w:val="20"/>
              </w:rPr>
              <w:t>3)</w:t>
            </w:r>
            <w:r w:rsidRPr="00C47274">
              <w:rPr>
                <w:spacing w:val="-8"/>
                <w:w w:val="105"/>
                <w:sz w:val="20"/>
                <w:szCs w:val="20"/>
              </w:rPr>
              <w:t xml:space="preserve"> </w:t>
            </w:r>
            <w:r w:rsidRPr="00C47274">
              <w:rPr>
                <w:w w:val="105"/>
                <w:sz w:val="20"/>
                <w:szCs w:val="20"/>
              </w:rPr>
              <w:t>and</w:t>
            </w:r>
            <w:r w:rsidRPr="00C47274">
              <w:rPr>
                <w:spacing w:val="-8"/>
                <w:w w:val="105"/>
                <w:sz w:val="20"/>
                <w:szCs w:val="20"/>
              </w:rPr>
              <w:t xml:space="preserve"> </w:t>
            </w:r>
            <w:r w:rsidRPr="00C47274">
              <w:rPr>
                <w:w w:val="105"/>
                <w:sz w:val="20"/>
                <w:szCs w:val="20"/>
              </w:rPr>
              <w:t>another</w:t>
            </w:r>
            <w:r w:rsidRPr="00C47274">
              <w:rPr>
                <w:spacing w:val="-8"/>
                <w:w w:val="105"/>
                <w:sz w:val="20"/>
                <w:szCs w:val="20"/>
              </w:rPr>
              <w:t xml:space="preserve"> </w:t>
            </w:r>
            <w:r w:rsidRPr="00C47274">
              <w:rPr>
                <w:w w:val="105"/>
                <w:sz w:val="20"/>
                <w:szCs w:val="20"/>
              </w:rPr>
              <w:t>at</w:t>
            </w:r>
            <w:r w:rsidRPr="00C47274">
              <w:rPr>
                <w:spacing w:val="-9"/>
                <w:w w:val="105"/>
                <w:sz w:val="20"/>
                <w:szCs w:val="20"/>
              </w:rPr>
              <w:t xml:space="preserve"> </w:t>
            </w:r>
            <w:r w:rsidRPr="00C47274">
              <w:rPr>
                <w:w w:val="105"/>
                <w:sz w:val="20"/>
                <w:szCs w:val="20"/>
              </w:rPr>
              <w:t>345</w:t>
            </w:r>
            <w:r w:rsidRPr="00C47274">
              <w:rPr>
                <w:spacing w:val="-7"/>
                <w:w w:val="105"/>
                <w:sz w:val="20"/>
                <w:szCs w:val="20"/>
              </w:rPr>
              <w:t xml:space="preserve"> </w:t>
            </w:r>
            <w:r w:rsidRPr="00C47274">
              <w:rPr>
                <w:w w:val="105"/>
                <w:sz w:val="20"/>
                <w:szCs w:val="20"/>
              </w:rPr>
              <w:t>mg/kg/day</w:t>
            </w:r>
            <w:r w:rsidRPr="00C47274">
              <w:rPr>
                <w:spacing w:val="46"/>
                <w:w w:val="103"/>
                <w:sz w:val="20"/>
                <w:szCs w:val="20"/>
              </w:rPr>
              <w:t xml:space="preserve"> </w:t>
            </w:r>
            <w:r w:rsidRPr="00C47274">
              <w:rPr>
                <w:w w:val="105"/>
                <w:sz w:val="20"/>
                <w:szCs w:val="20"/>
              </w:rPr>
              <w:t>(grade</w:t>
            </w:r>
            <w:r w:rsidRPr="00C47274">
              <w:rPr>
                <w:spacing w:val="-7"/>
                <w:w w:val="105"/>
                <w:sz w:val="20"/>
                <w:szCs w:val="20"/>
              </w:rPr>
              <w:t xml:space="preserve"> </w:t>
            </w:r>
            <w:r w:rsidRPr="00C47274">
              <w:rPr>
                <w:w w:val="105"/>
                <w:sz w:val="20"/>
                <w:szCs w:val="20"/>
              </w:rPr>
              <w:t>3)</w:t>
            </w:r>
            <w:r w:rsidRPr="00C47274">
              <w:rPr>
                <w:spacing w:val="-6"/>
                <w:w w:val="105"/>
                <w:sz w:val="20"/>
                <w:szCs w:val="20"/>
              </w:rPr>
              <w:t xml:space="preserve"> </w:t>
            </w:r>
            <w:r w:rsidRPr="00C47274">
              <w:rPr>
                <w:w w:val="105"/>
                <w:sz w:val="20"/>
                <w:szCs w:val="20"/>
              </w:rPr>
              <w:t>and</w:t>
            </w:r>
            <w:r w:rsidRPr="00C47274">
              <w:rPr>
                <w:spacing w:val="-7"/>
                <w:w w:val="105"/>
                <w:sz w:val="20"/>
                <w:szCs w:val="20"/>
              </w:rPr>
              <w:t xml:space="preserve"> </w:t>
            </w:r>
            <w:r w:rsidRPr="00C47274">
              <w:rPr>
                <w:w w:val="105"/>
                <w:sz w:val="20"/>
                <w:szCs w:val="20"/>
              </w:rPr>
              <w:t>resolved</w:t>
            </w:r>
            <w:r w:rsidRPr="00C47274">
              <w:rPr>
                <w:spacing w:val="-6"/>
                <w:w w:val="105"/>
                <w:sz w:val="20"/>
                <w:szCs w:val="20"/>
              </w:rPr>
              <w:t xml:space="preserve"> </w:t>
            </w:r>
            <w:r w:rsidRPr="00C47274">
              <w:rPr>
                <w:w w:val="105"/>
                <w:sz w:val="20"/>
                <w:szCs w:val="20"/>
              </w:rPr>
              <w:t>&lt;12</w:t>
            </w:r>
            <w:r w:rsidRPr="00C47274">
              <w:rPr>
                <w:spacing w:val="-6"/>
                <w:w w:val="105"/>
                <w:sz w:val="20"/>
                <w:szCs w:val="20"/>
              </w:rPr>
              <w:t xml:space="preserve"> </w:t>
            </w:r>
            <w:r w:rsidRPr="00C47274">
              <w:rPr>
                <w:w w:val="105"/>
                <w:sz w:val="20"/>
                <w:szCs w:val="20"/>
              </w:rPr>
              <w:t>h</w:t>
            </w:r>
            <w:r w:rsidRPr="00C47274">
              <w:rPr>
                <w:spacing w:val="-6"/>
                <w:w w:val="105"/>
                <w:sz w:val="20"/>
                <w:szCs w:val="20"/>
              </w:rPr>
              <w:t xml:space="preserve"> </w:t>
            </w:r>
            <w:r w:rsidRPr="00C47274">
              <w:rPr>
                <w:w w:val="105"/>
                <w:sz w:val="20"/>
                <w:szCs w:val="20"/>
              </w:rPr>
              <w:t>after</w:t>
            </w:r>
            <w:r w:rsidRPr="00C47274">
              <w:rPr>
                <w:spacing w:val="38"/>
                <w:w w:val="103"/>
                <w:sz w:val="20"/>
                <w:szCs w:val="20"/>
              </w:rPr>
              <w:t xml:space="preserve"> </w:t>
            </w:r>
            <w:r w:rsidRPr="00C47274">
              <w:rPr>
                <w:w w:val="105"/>
                <w:sz w:val="20"/>
                <w:szCs w:val="20"/>
              </w:rPr>
              <w:t>discontinuing</w:t>
            </w:r>
            <w:r w:rsidRPr="00C47274">
              <w:rPr>
                <w:spacing w:val="-12"/>
                <w:w w:val="105"/>
                <w:sz w:val="20"/>
                <w:szCs w:val="20"/>
              </w:rPr>
              <w:t xml:space="preserve"> </w:t>
            </w:r>
            <w:r w:rsidRPr="00C47274">
              <w:rPr>
                <w:w w:val="105"/>
                <w:sz w:val="20"/>
                <w:szCs w:val="20"/>
              </w:rPr>
              <w:t>the</w:t>
            </w:r>
            <w:r w:rsidRPr="00C47274">
              <w:rPr>
                <w:spacing w:val="-13"/>
                <w:w w:val="105"/>
                <w:sz w:val="20"/>
                <w:szCs w:val="20"/>
              </w:rPr>
              <w:t xml:space="preserve"> </w:t>
            </w:r>
            <w:r w:rsidRPr="00C47274">
              <w:rPr>
                <w:w w:val="105"/>
                <w:sz w:val="20"/>
                <w:szCs w:val="20"/>
              </w:rPr>
              <w:t>infusion.</w:t>
            </w:r>
            <w:r w:rsidRPr="00C47274">
              <w:rPr>
                <w:spacing w:val="-13"/>
                <w:w w:val="105"/>
                <w:sz w:val="20"/>
                <w:szCs w:val="20"/>
              </w:rPr>
              <w:t xml:space="preserve"> </w:t>
            </w:r>
            <w:r w:rsidRPr="00C47274">
              <w:rPr>
                <w:w w:val="105"/>
                <w:sz w:val="20"/>
                <w:szCs w:val="20"/>
              </w:rPr>
              <w:t>Both</w:t>
            </w:r>
            <w:r w:rsidRPr="00C47274">
              <w:rPr>
                <w:spacing w:val="-12"/>
                <w:w w:val="105"/>
                <w:sz w:val="20"/>
                <w:szCs w:val="20"/>
              </w:rPr>
              <w:t xml:space="preserve"> </w:t>
            </w:r>
            <w:r w:rsidRPr="00C47274">
              <w:rPr>
                <w:w w:val="105"/>
                <w:sz w:val="20"/>
                <w:szCs w:val="20"/>
              </w:rPr>
              <w:t>these</w:t>
            </w:r>
            <w:r w:rsidRPr="00C47274">
              <w:rPr>
                <w:spacing w:val="42"/>
                <w:w w:val="103"/>
                <w:sz w:val="20"/>
                <w:szCs w:val="20"/>
              </w:rPr>
              <w:t xml:space="preserve"> </w:t>
            </w:r>
            <w:r w:rsidRPr="00C47274">
              <w:rPr>
                <w:w w:val="105"/>
                <w:sz w:val="20"/>
                <w:szCs w:val="20"/>
              </w:rPr>
              <w:t>patients</w:t>
            </w:r>
            <w:r w:rsidRPr="00C47274">
              <w:rPr>
                <w:spacing w:val="-12"/>
                <w:w w:val="105"/>
                <w:sz w:val="20"/>
                <w:szCs w:val="20"/>
              </w:rPr>
              <w:t xml:space="preserve"> </w:t>
            </w:r>
            <w:r w:rsidRPr="00C47274">
              <w:rPr>
                <w:w w:val="105"/>
                <w:sz w:val="20"/>
                <w:szCs w:val="20"/>
              </w:rPr>
              <w:t>developed</w:t>
            </w:r>
            <w:r w:rsidRPr="00C47274">
              <w:rPr>
                <w:spacing w:val="-11"/>
                <w:w w:val="105"/>
                <w:sz w:val="20"/>
                <w:szCs w:val="20"/>
              </w:rPr>
              <w:t xml:space="preserve"> </w:t>
            </w:r>
            <w:r w:rsidRPr="00C47274">
              <w:rPr>
                <w:w w:val="105"/>
                <w:sz w:val="20"/>
                <w:szCs w:val="20"/>
              </w:rPr>
              <w:t>the</w:t>
            </w:r>
            <w:r w:rsidRPr="00C47274">
              <w:rPr>
                <w:spacing w:val="-12"/>
                <w:w w:val="105"/>
                <w:sz w:val="20"/>
                <w:szCs w:val="20"/>
              </w:rPr>
              <w:t xml:space="preserve"> </w:t>
            </w:r>
            <w:r w:rsidRPr="00C47274">
              <w:rPr>
                <w:w w:val="105"/>
                <w:sz w:val="20"/>
                <w:szCs w:val="20"/>
              </w:rPr>
              <w:t>characteristic</w:t>
            </w:r>
            <w:r w:rsidRPr="00C47274">
              <w:rPr>
                <w:spacing w:val="-12"/>
                <w:w w:val="105"/>
                <w:sz w:val="20"/>
                <w:szCs w:val="20"/>
              </w:rPr>
              <w:t xml:space="preserve"> </w:t>
            </w:r>
            <w:r w:rsidR="00625EDD" w:rsidRPr="00C47274">
              <w:rPr>
                <w:w w:val="105"/>
                <w:sz w:val="20"/>
                <w:szCs w:val="20"/>
              </w:rPr>
              <w:t>odour</w:t>
            </w:r>
            <w:r w:rsidRPr="00C47274">
              <w:rPr>
                <w:spacing w:val="-12"/>
                <w:w w:val="105"/>
                <w:sz w:val="20"/>
                <w:szCs w:val="20"/>
              </w:rPr>
              <w:t xml:space="preserve"> </w:t>
            </w:r>
            <w:r w:rsidRPr="00C47274">
              <w:rPr>
                <w:spacing w:val="1"/>
                <w:w w:val="105"/>
                <w:sz w:val="20"/>
                <w:szCs w:val="20"/>
              </w:rPr>
              <w:t>of</w:t>
            </w:r>
            <w:r w:rsidRPr="00C47274">
              <w:rPr>
                <w:spacing w:val="49"/>
                <w:w w:val="103"/>
                <w:sz w:val="20"/>
                <w:szCs w:val="20"/>
              </w:rPr>
              <w:t xml:space="preserve"> </w:t>
            </w:r>
            <w:r w:rsidRPr="00C47274">
              <w:rPr>
                <w:w w:val="105"/>
                <w:sz w:val="20"/>
                <w:szCs w:val="20"/>
              </w:rPr>
              <w:t>PA</w:t>
            </w:r>
            <w:r w:rsidRPr="00C47274">
              <w:rPr>
                <w:spacing w:val="-11"/>
                <w:w w:val="105"/>
                <w:sz w:val="20"/>
                <w:szCs w:val="20"/>
              </w:rPr>
              <w:t xml:space="preserve"> </w:t>
            </w:r>
            <w:r w:rsidRPr="00C47274">
              <w:rPr>
                <w:w w:val="105"/>
                <w:sz w:val="20"/>
                <w:szCs w:val="20"/>
              </w:rPr>
              <w:t>which</w:t>
            </w:r>
            <w:r w:rsidRPr="00C47274">
              <w:rPr>
                <w:spacing w:val="-10"/>
                <w:w w:val="105"/>
                <w:sz w:val="20"/>
                <w:szCs w:val="20"/>
              </w:rPr>
              <w:t xml:space="preserve"> </w:t>
            </w:r>
            <w:r w:rsidRPr="00C47274">
              <w:rPr>
                <w:w w:val="105"/>
                <w:sz w:val="20"/>
                <w:szCs w:val="20"/>
              </w:rPr>
              <w:t>resolved</w:t>
            </w:r>
            <w:r w:rsidRPr="00C47274">
              <w:rPr>
                <w:spacing w:val="-10"/>
                <w:w w:val="105"/>
                <w:sz w:val="20"/>
                <w:szCs w:val="20"/>
              </w:rPr>
              <w:t xml:space="preserve"> </w:t>
            </w:r>
            <w:r w:rsidRPr="00C47274">
              <w:rPr>
                <w:w w:val="105"/>
                <w:sz w:val="20"/>
                <w:szCs w:val="20"/>
              </w:rPr>
              <w:t>promptly</w:t>
            </w:r>
            <w:r w:rsidRPr="00C47274">
              <w:rPr>
                <w:spacing w:val="-11"/>
                <w:w w:val="105"/>
                <w:sz w:val="20"/>
                <w:szCs w:val="20"/>
              </w:rPr>
              <w:t xml:space="preserve"> </w:t>
            </w:r>
            <w:r w:rsidRPr="00C47274">
              <w:rPr>
                <w:w w:val="105"/>
                <w:sz w:val="20"/>
                <w:szCs w:val="20"/>
              </w:rPr>
              <w:t>with</w:t>
            </w:r>
            <w:r w:rsidR="00625EDD">
              <w:rPr>
                <w:w w:val="105"/>
                <w:sz w:val="20"/>
                <w:szCs w:val="20"/>
              </w:rPr>
              <w:t xml:space="preserve"> </w:t>
            </w:r>
            <w:r w:rsidRPr="00C47274">
              <w:rPr>
                <w:w w:val="105"/>
                <w:sz w:val="20"/>
                <w:szCs w:val="20"/>
              </w:rPr>
              <w:t>discontinuation</w:t>
            </w:r>
            <w:r w:rsidRPr="00C47274">
              <w:rPr>
                <w:spacing w:val="-11"/>
                <w:w w:val="105"/>
                <w:sz w:val="20"/>
                <w:szCs w:val="20"/>
              </w:rPr>
              <w:t xml:space="preserve"> </w:t>
            </w:r>
            <w:r w:rsidRPr="00C47274">
              <w:rPr>
                <w:w w:val="105"/>
                <w:sz w:val="20"/>
                <w:szCs w:val="20"/>
              </w:rPr>
              <w:t>of</w:t>
            </w:r>
            <w:r w:rsidRPr="00C47274">
              <w:rPr>
                <w:spacing w:val="-11"/>
                <w:w w:val="105"/>
                <w:sz w:val="20"/>
                <w:szCs w:val="20"/>
              </w:rPr>
              <w:t xml:space="preserve"> </w:t>
            </w:r>
            <w:r w:rsidRPr="00C47274">
              <w:rPr>
                <w:w w:val="105"/>
                <w:sz w:val="20"/>
                <w:szCs w:val="20"/>
              </w:rPr>
              <w:t>the</w:t>
            </w:r>
            <w:r w:rsidRPr="00C47274">
              <w:rPr>
                <w:spacing w:val="-11"/>
                <w:w w:val="105"/>
                <w:sz w:val="20"/>
                <w:szCs w:val="20"/>
              </w:rPr>
              <w:t xml:space="preserve"> </w:t>
            </w:r>
            <w:r w:rsidRPr="00C47274">
              <w:rPr>
                <w:w w:val="105"/>
                <w:sz w:val="20"/>
                <w:szCs w:val="20"/>
              </w:rPr>
              <w:t>study</w:t>
            </w:r>
            <w:r w:rsidRPr="00C47274">
              <w:rPr>
                <w:spacing w:val="-10"/>
                <w:w w:val="105"/>
                <w:sz w:val="20"/>
                <w:szCs w:val="20"/>
              </w:rPr>
              <w:t xml:space="preserve"> </w:t>
            </w:r>
            <w:r w:rsidRPr="00C47274">
              <w:rPr>
                <w:spacing w:val="1"/>
                <w:w w:val="105"/>
                <w:sz w:val="20"/>
                <w:szCs w:val="20"/>
              </w:rPr>
              <w:t>drug.</w:t>
            </w:r>
          </w:p>
        </w:tc>
      </w:tr>
      <w:tr w:rsidR="00436B89" w:rsidRPr="004D3DB1" w14:paraId="672FD184" w14:textId="77777777" w:rsidTr="00436B89">
        <w:trPr>
          <w:trHeight w:val="20"/>
        </w:trPr>
        <w:tc>
          <w:tcPr>
            <w:tcW w:w="1951" w:type="dxa"/>
          </w:tcPr>
          <w:p w14:paraId="1FF46C07" w14:textId="77777777" w:rsidR="00436B89" w:rsidRPr="00C47274" w:rsidRDefault="00436B89" w:rsidP="00436B89">
            <w:pPr>
              <w:kinsoku w:val="0"/>
              <w:overflowPunct w:val="0"/>
              <w:autoSpaceDE w:val="0"/>
              <w:autoSpaceDN w:val="0"/>
              <w:adjustRightInd w:val="0"/>
              <w:spacing w:before="9" w:after="0" w:line="247" w:lineRule="auto"/>
              <w:ind w:left="104" w:right="225"/>
              <w:rPr>
                <w:sz w:val="20"/>
                <w:szCs w:val="20"/>
              </w:rPr>
            </w:pPr>
            <w:r w:rsidRPr="00C47274">
              <w:rPr>
                <w:w w:val="105"/>
                <w:sz w:val="20"/>
                <w:szCs w:val="20"/>
              </w:rPr>
              <w:lastRenderedPageBreak/>
              <w:t>Extracted</w:t>
            </w:r>
            <w:r w:rsidRPr="00C47274">
              <w:rPr>
                <w:spacing w:val="-21"/>
                <w:w w:val="105"/>
                <w:sz w:val="20"/>
                <w:szCs w:val="20"/>
              </w:rPr>
              <w:t xml:space="preserve"> </w:t>
            </w:r>
            <w:r w:rsidRPr="00C47274">
              <w:rPr>
                <w:w w:val="105"/>
                <w:sz w:val="20"/>
                <w:szCs w:val="20"/>
              </w:rPr>
              <w:t>from</w:t>
            </w:r>
            <w:r w:rsidRPr="00C47274">
              <w:rPr>
                <w:spacing w:val="29"/>
                <w:w w:val="103"/>
                <w:sz w:val="20"/>
                <w:szCs w:val="20"/>
              </w:rPr>
              <w:t xml:space="preserve"> </w:t>
            </w:r>
            <w:r w:rsidRPr="00C47274">
              <w:rPr>
                <w:w w:val="105"/>
                <w:sz w:val="20"/>
                <w:szCs w:val="20"/>
              </w:rPr>
              <w:t>Pheburane</w:t>
            </w:r>
            <w:r w:rsidRPr="00C47274">
              <w:rPr>
                <w:spacing w:val="-23"/>
                <w:w w:val="105"/>
                <w:sz w:val="20"/>
                <w:szCs w:val="20"/>
              </w:rPr>
              <w:t xml:space="preserve"> </w:t>
            </w:r>
            <w:r w:rsidRPr="00C47274">
              <w:rPr>
                <w:spacing w:val="1"/>
                <w:w w:val="105"/>
                <w:sz w:val="20"/>
                <w:szCs w:val="20"/>
              </w:rPr>
              <w:t>SPC</w:t>
            </w:r>
          </w:p>
        </w:tc>
        <w:tc>
          <w:tcPr>
            <w:tcW w:w="1592" w:type="dxa"/>
          </w:tcPr>
          <w:p w14:paraId="7EE0FE6A" w14:textId="77777777" w:rsidR="00436B89" w:rsidRPr="00C47274" w:rsidRDefault="00436B89" w:rsidP="00436B89">
            <w:pPr>
              <w:kinsoku w:val="0"/>
              <w:overflowPunct w:val="0"/>
              <w:autoSpaceDE w:val="0"/>
              <w:autoSpaceDN w:val="0"/>
              <w:adjustRightInd w:val="0"/>
              <w:spacing w:before="9" w:after="0" w:line="240" w:lineRule="auto"/>
              <w:ind w:left="104"/>
              <w:rPr>
                <w:sz w:val="20"/>
                <w:szCs w:val="20"/>
              </w:rPr>
            </w:pPr>
            <w:r w:rsidRPr="00C47274">
              <w:rPr>
                <w:spacing w:val="1"/>
                <w:w w:val="105"/>
                <w:sz w:val="20"/>
                <w:szCs w:val="20"/>
              </w:rPr>
              <w:t>UCDs</w:t>
            </w:r>
          </w:p>
        </w:tc>
        <w:tc>
          <w:tcPr>
            <w:tcW w:w="1952" w:type="dxa"/>
          </w:tcPr>
          <w:p w14:paraId="188D195A" w14:textId="77777777" w:rsidR="00436B89" w:rsidRPr="00C47274" w:rsidRDefault="00436B89" w:rsidP="00436B89">
            <w:pPr>
              <w:autoSpaceDE w:val="0"/>
              <w:autoSpaceDN w:val="0"/>
              <w:adjustRightInd w:val="0"/>
              <w:spacing w:before="0" w:after="0" w:line="240" w:lineRule="auto"/>
              <w:rPr>
                <w:sz w:val="20"/>
                <w:szCs w:val="20"/>
              </w:rPr>
            </w:pPr>
          </w:p>
        </w:tc>
        <w:tc>
          <w:tcPr>
            <w:tcW w:w="3515" w:type="dxa"/>
          </w:tcPr>
          <w:p w14:paraId="78125A73" w14:textId="77777777" w:rsidR="00436B89" w:rsidRPr="00C47274" w:rsidRDefault="00436B89" w:rsidP="00436B89">
            <w:pPr>
              <w:kinsoku w:val="0"/>
              <w:overflowPunct w:val="0"/>
              <w:autoSpaceDE w:val="0"/>
              <w:autoSpaceDN w:val="0"/>
              <w:adjustRightInd w:val="0"/>
              <w:spacing w:before="9" w:after="0" w:line="252" w:lineRule="auto"/>
              <w:ind w:left="104" w:right="153"/>
              <w:rPr>
                <w:sz w:val="20"/>
                <w:szCs w:val="20"/>
              </w:rPr>
            </w:pPr>
            <w:r w:rsidRPr="00C47274">
              <w:rPr>
                <w:w w:val="105"/>
                <w:sz w:val="20"/>
                <w:szCs w:val="20"/>
              </w:rPr>
              <w:t>The</w:t>
            </w:r>
            <w:r w:rsidRPr="00C47274">
              <w:rPr>
                <w:spacing w:val="-10"/>
                <w:w w:val="105"/>
                <w:sz w:val="20"/>
                <w:szCs w:val="20"/>
              </w:rPr>
              <w:t xml:space="preserve"> </w:t>
            </w:r>
            <w:r w:rsidRPr="00C47274">
              <w:rPr>
                <w:w w:val="105"/>
                <w:sz w:val="20"/>
                <w:szCs w:val="20"/>
              </w:rPr>
              <w:t>major</w:t>
            </w:r>
            <w:r w:rsidRPr="00C47274">
              <w:rPr>
                <w:spacing w:val="-11"/>
                <w:w w:val="105"/>
                <w:sz w:val="20"/>
                <w:szCs w:val="20"/>
              </w:rPr>
              <w:t xml:space="preserve"> </w:t>
            </w:r>
            <w:r w:rsidRPr="00C47274">
              <w:rPr>
                <w:w w:val="105"/>
                <w:sz w:val="20"/>
                <w:szCs w:val="20"/>
              </w:rPr>
              <w:t>metabolite</w:t>
            </w:r>
            <w:r w:rsidRPr="00C47274">
              <w:rPr>
                <w:spacing w:val="-10"/>
                <w:w w:val="105"/>
                <w:sz w:val="20"/>
                <w:szCs w:val="20"/>
              </w:rPr>
              <w:t xml:space="preserve"> </w:t>
            </w:r>
            <w:r w:rsidRPr="00C47274">
              <w:rPr>
                <w:w w:val="105"/>
                <w:sz w:val="20"/>
                <w:szCs w:val="20"/>
              </w:rPr>
              <w:t>of</w:t>
            </w:r>
            <w:r w:rsidRPr="00C47274">
              <w:rPr>
                <w:spacing w:val="-10"/>
                <w:w w:val="105"/>
                <w:sz w:val="20"/>
                <w:szCs w:val="20"/>
              </w:rPr>
              <w:t xml:space="preserve"> </w:t>
            </w:r>
            <w:r w:rsidRPr="00C47274">
              <w:rPr>
                <w:w w:val="105"/>
                <w:sz w:val="20"/>
                <w:szCs w:val="20"/>
              </w:rPr>
              <w:t>sodium</w:t>
            </w:r>
            <w:r w:rsidRPr="00C47274">
              <w:rPr>
                <w:spacing w:val="34"/>
                <w:w w:val="103"/>
                <w:sz w:val="20"/>
                <w:szCs w:val="20"/>
              </w:rPr>
              <w:t xml:space="preserve"> </w:t>
            </w:r>
            <w:r w:rsidRPr="00C47274">
              <w:rPr>
                <w:w w:val="105"/>
                <w:sz w:val="20"/>
                <w:szCs w:val="20"/>
              </w:rPr>
              <w:t>phenylbutyrate,</w:t>
            </w:r>
            <w:r w:rsidRPr="00C47274">
              <w:rPr>
                <w:spacing w:val="-21"/>
                <w:w w:val="105"/>
                <w:sz w:val="20"/>
                <w:szCs w:val="20"/>
              </w:rPr>
              <w:t xml:space="preserve"> </w:t>
            </w:r>
            <w:r w:rsidRPr="00C47274">
              <w:rPr>
                <w:w w:val="105"/>
                <w:sz w:val="20"/>
                <w:szCs w:val="20"/>
              </w:rPr>
              <w:t>phenylacetate,</w:t>
            </w:r>
            <w:r w:rsidRPr="00C47274">
              <w:rPr>
                <w:spacing w:val="-21"/>
                <w:w w:val="105"/>
                <w:sz w:val="20"/>
                <w:szCs w:val="20"/>
              </w:rPr>
              <w:t xml:space="preserve"> </w:t>
            </w:r>
            <w:r w:rsidRPr="00C47274">
              <w:rPr>
                <w:w w:val="105"/>
                <w:sz w:val="20"/>
                <w:szCs w:val="20"/>
              </w:rPr>
              <w:t>is</w:t>
            </w:r>
            <w:r w:rsidRPr="00C47274">
              <w:rPr>
                <w:spacing w:val="-20"/>
                <w:w w:val="105"/>
                <w:sz w:val="20"/>
                <w:szCs w:val="20"/>
              </w:rPr>
              <w:t xml:space="preserve"> </w:t>
            </w:r>
            <w:r w:rsidRPr="00C47274">
              <w:rPr>
                <w:w w:val="105"/>
                <w:sz w:val="20"/>
                <w:szCs w:val="20"/>
              </w:rPr>
              <w:t>associated</w:t>
            </w:r>
            <w:r w:rsidRPr="00C47274">
              <w:rPr>
                <w:spacing w:val="56"/>
                <w:w w:val="103"/>
                <w:sz w:val="20"/>
                <w:szCs w:val="20"/>
              </w:rPr>
              <w:t xml:space="preserve"> </w:t>
            </w:r>
            <w:r w:rsidRPr="00C47274">
              <w:rPr>
                <w:w w:val="105"/>
                <w:sz w:val="20"/>
                <w:szCs w:val="20"/>
              </w:rPr>
              <w:t>with</w:t>
            </w:r>
            <w:r w:rsidRPr="00C47274">
              <w:rPr>
                <w:spacing w:val="-8"/>
                <w:w w:val="105"/>
                <w:sz w:val="20"/>
                <w:szCs w:val="20"/>
              </w:rPr>
              <w:t xml:space="preserve"> </w:t>
            </w:r>
            <w:r w:rsidRPr="00C47274">
              <w:rPr>
                <w:w w:val="105"/>
                <w:sz w:val="20"/>
                <w:szCs w:val="20"/>
              </w:rPr>
              <w:t>neurotoxicity.</w:t>
            </w:r>
            <w:r w:rsidRPr="00C47274">
              <w:rPr>
                <w:spacing w:val="-8"/>
                <w:w w:val="105"/>
                <w:sz w:val="20"/>
                <w:szCs w:val="20"/>
              </w:rPr>
              <w:t xml:space="preserve"> </w:t>
            </w:r>
            <w:r w:rsidRPr="00C47274">
              <w:rPr>
                <w:w w:val="105"/>
                <w:sz w:val="20"/>
                <w:szCs w:val="20"/>
              </w:rPr>
              <w:t>In</w:t>
            </w:r>
            <w:r w:rsidRPr="00C47274">
              <w:rPr>
                <w:spacing w:val="-8"/>
                <w:w w:val="105"/>
                <w:sz w:val="20"/>
                <w:szCs w:val="20"/>
              </w:rPr>
              <w:t xml:space="preserve"> </w:t>
            </w:r>
            <w:r w:rsidRPr="00C47274">
              <w:rPr>
                <w:w w:val="105"/>
                <w:sz w:val="20"/>
                <w:szCs w:val="20"/>
              </w:rPr>
              <w:t>a</w:t>
            </w:r>
            <w:r w:rsidRPr="00C47274">
              <w:rPr>
                <w:spacing w:val="-8"/>
                <w:w w:val="105"/>
                <w:sz w:val="20"/>
                <w:szCs w:val="20"/>
              </w:rPr>
              <w:t xml:space="preserve"> </w:t>
            </w:r>
            <w:r w:rsidRPr="00C47274">
              <w:rPr>
                <w:w w:val="105"/>
                <w:sz w:val="20"/>
                <w:szCs w:val="20"/>
              </w:rPr>
              <w:t>study</w:t>
            </w:r>
            <w:r w:rsidRPr="00C47274">
              <w:rPr>
                <w:spacing w:val="-8"/>
                <w:w w:val="105"/>
                <w:sz w:val="20"/>
                <w:szCs w:val="20"/>
              </w:rPr>
              <w:t xml:space="preserve"> </w:t>
            </w:r>
            <w:r w:rsidRPr="00C47274">
              <w:rPr>
                <w:w w:val="105"/>
                <w:sz w:val="20"/>
                <w:szCs w:val="20"/>
              </w:rPr>
              <w:t>of</w:t>
            </w:r>
            <w:r w:rsidRPr="00C47274">
              <w:rPr>
                <w:spacing w:val="-8"/>
                <w:w w:val="105"/>
                <w:sz w:val="20"/>
                <w:szCs w:val="20"/>
              </w:rPr>
              <w:t xml:space="preserve"> </w:t>
            </w:r>
            <w:r w:rsidRPr="00C47274">
              <w:rPr>
                <w:w w:val="105"/>
                <w:sz w:val="20"/>
                <w:szCs w:val="20"/>
              </w:rPr>
              <w:t>cancer</w:t>
            </w:r>
            <w:r w:rsidRPr="00C47274">
              <w:rPr>
                <w:spacing w:val="42"/>
                <w:w w:val="103"/>
                <w:sz w:val="20"/>
                <w:szCs w:val="20"/>
              </w:rPr>
              <w:t xml:space="preserve"> </w:t>
            </w:r>
            <w:r w:rsidRPr="00C47274">
              <w:rPr>
                <w:w w:val="105"/>
                <w:sz w:val="20"/>
                <w:szCs w:val="20"/>
              </w:rPr>
              <w:t>patients</w:t>
            </w:r>
            <w:r w:rsidRPr="00C47274">
              <w:rPr>
                <w:spacing w:val="-26"/>
                <w:w w:val="105"/>
                <w:sz w:val="20"/>
                <w:szCs w:val="20"/>
              </w:rPr>
              <w:t xml:space="preserve"> </w:t>
            </w:r>
            <w:r w:rsidRPr="00C47274">
              <w:rPr>
                <w:w w:val="105"/>
                <w:sz w:val="20"/>
                <w:szCs w:val="20"/>
              </w:rPr>
              <w:t>administered</w:t>
            </w:r>
            <w:r w:rsidRPr="00C47274">
              <w:rPr>
                <w:spacing w:val="-25"/>
                <w:w w:val="105"/>
                <w:sz w:val="20"/>
                <w:szCs w:val="20"/>
              </w:rPr>
              <w:t xml:space="preserve"> </w:t>
            </w:r>
            <w:r w:rsidRPr="00C47274">
              <w:rPr>
                <w:w w:val="105"/>
                <w:sz w:val="20"/>
                <w:szCs w:val="20"/>
              </w:rPr>
              <w:t>phenylacetate</w:t>
            </w:r>
            <w:r w:rsidRPr="00C47274">
              <w:rPr>
                <w:spacing w:val="44"/>
                <w:w w:val="103"/>
                <w:sz w:val="20"/>
                <w:szCs w:val="20"/>
              </w:rPr>
              <w:t xml:space="preserve"> </w:t>
            </w:r>
            <w:r w:rsidRPr="00C47274">
              <w:rPr>
                <w:w w:val="105"/>
                <w:sz w:val="20"/>
                <w:szCs w:val="20"/>
              </w:rPr>
              <w:t>intravenously,</w:t>
            </w:r>
            <w:r w:rsidRPr="00C47274">
              <w:rPr>
                <w:spacing w:val="-13"/>
                <w:w w:val="105"/>
                <w:sz w:val="20"/>
                <w:szCs w:val="20"/>
              </w:rPr>
              <w:t xml:space="preserve"> </w:t>
            </w:r>
            <w:r w:rsidRPr="00C47274">
              <w:rPr>
                <w:w w:val="105"/>
                <w:sz w:val="20"/>
                <w:szCs w:val="20"/>
              </w:rPr>
              <w:t>signs</w:t>
            </w:r>
            <w:r w:rsidRPr="00C47274">
              <w:rPr>
                <w:spacing w:val="-13"/>
                <w:w w:val="105"/>
                <w:sz w:val="20"/>
                <w:szCs w:val="20"/>
              </w:rPr>
              <w:t xml:space="preserve"> </w:t>
            </w:r>
            <w:r w:rsidRPr="00C47274">
              <w:rPr>
                <w:w w:val="105"/>
                <w:sz w:val="20"/>
                <w:szCs w:val="20"/>
              </w:rPr>
              <w:t>and</w:t>
            </w:r>
            <w:r w:rsidRPr="00C47274">
              <w:rPr>
                <w:spacing w:val="-12"/>
                <w:w w:val="105"/>
                <w:sz w:val="20"/>
                <w:szCs w:val="20"/>
              </w:rPr>
              <w:t xml:space="preserve"> </w:t>
            </w:r>
            <w:r w:rsidRPr="00C47274">
              <w:rPr>
                <w:spacing w:val="1"/>
                <w:w w:val="105"/>
                <w:sz w:val="20"/>
                <w:szCs w:val="20"/>
              </w:rPr>
              <w:t>symptoms</w:t>
            </w:r>
            <w:r w:rsidRPr="00C47274">
              <w:rPr>
                <w:spacing w:val="-13"/>
                <w:w w:val="105"/>
                <w:sz w:val="20"/>
                <w:szCs w:val="20"/>
              </w:rPr>
              <w:t xml:space="preserve"> </w:t>
            </w:r>
            <w:r w:rsidRPr="00C47274">
              <w:rPr>
                <w:w w:val="105"/>
                <w:sz w:val="20"/>
                <w:szCs w:val="20"/>
              </w:rPr>
              <w:t>of</w:t>
            </w:r>
            <w:r w:rsidRPr="00C47274">
              <w:rPr>
                <w:spacing w:val="32"/>
                <w:w w:val="103"/>
                <w:sz w:val="20"/>
                <w:szCs w:val="20"/>
              </w:rPr>
              <w:t xml:space="preserve"> </w:t>
            </w:r>
            <w:r w:rsidRPr="00C47274">
              <w:rPr>
                <w:w w:val="105"/>
                <w:sz w:val="20"/>
                <w:szCs w:val="20"/>
              </w:rPr>
              <w:t>neurotoxicity</w:t>
            </w:r>
            <w:r w:rsidRPr="00C47274">
              <w:rPr>
                <w:spacing w:val="-11"/>
                <w:w w:val="105"/>
                <w:sz w:val="20"/>
                <w:szCs w:val="20"/>
              </w:rPr>
              <w:t xml:space="preserve"> </w:t>
            </w:r>
            <w:r w:rsidRPr="00C47274">
              <w:rPr>
                <w:spacing w:val="1"/>
                <w:w w:val="105"/>
                <w:sz w:val="20"/>
                <w:szCs w:val="20"/>
              </w:rPr>
              <w:t>were</w:t>
            </w:r>
            <w:r w:rsidRPr="00C47274">
              <w:rPr>
                <w:spacing w:val="-11"/>
                <w:w w:val="105"/>
                <w:sz w:val="20"/>
                <w:szCs w:val="20"/>
              </w:rPr>
              <w:t xml:space="preserve"> </w:t>
            </w:r>
            <w:r w:rsidRPr="00C47274">
              <w:rPr>
                <w:w w:val="105"/>
                <w:sz w:val="20"/>
                <w:szCs w:val="20"/>
              </w:rPr>
              <w:t>seen</w:t>
            </w:r>
            <w:r w:rsidRPr="00C47274">
              <w:rPr>
                <w:spacing w:val="-11"/>
                <w:w w:val="105"/>
                <w:sz w:val="20"/>
                <w:szCs w:val="20"/>
              </w:rPr>
              <w:t xml:space="preserve"> </w:t>
            </w:r>
            <w:r w:rsidRPr="00C47274">
              <w:rPr>
                <w:w w:val="105"/>
                <w:sz w:val="20"/>
                <w:szCs w:val="20"/>
              </w:rPr>
              <w:t>at</w:t>
            </w:r>
            <w:r w:rsidRPr="00C47274">
              <w:rPr>
                <w:spacing w:val="-11"/>
                <w:w w:val="105"/>
                <w:sz w:val="20"/>
                <w:szCs w:val="20"/>
              </w:rPr>
              <w:t xml:space="preserve"> </w:t>
            </w:r>
            <w:r w:rsidRPr="00C47274">
              <w:rPr>
                <w:w w:val="105"/>
                <w:sz w:val="20"/>
                <w:szCs w:val="20"/>
              </w:rPr>
              <w:t>plasma</w:t>
            </w:r>
            <w:r w:rsidRPr="00C47274">
              <w:rPr>
                <w:spacing w:val="34"/>
                <w:w w:val="103"/>
                <w:sz w:val="20"/>
                <w:szCs w:val="20"/>
              </w:rPr>
              <w:t xml:space="preserve"> </w:t>
            </w:r>
            <w:r w:rsidRPr="00C47274">
              <w:rPr>
                <w:w w:val="105"/>
                <w:sz w:val="20"/>
                <w:szCs w:val="20"/>
              </w:rPr>
              <w:t>concentrations</w:t>
            </w:r>
            <w:r w:rsidRPr="00C47274">
              <w:rPr>
                <w:spacing w:val="-14"/>
                <w:w w:val="105"/>
                <w:sz w:val="20"/>
                <w:szCs w:val="20"/>
              </w:rPr>
              <w:t xml:space="preserve"> </w:t>
            </w:r>
            <w:r w:rsidRPr="00C47274">
              <w:rPr>
                <w:w w:val="105"/>
                <w:sz w:val="20"/>
                <w:szCs w:val="20"/>
              </w:rPr>
              <w:t>≥</w:t>
            </w:r>
            <w:r w:rsidRPr="00C47274">
              <w:rPr>
                <w:spacing w:val="-12"/>
                <w:w w:val="105"/>
                <w:sz w:val="20"/>
                <w:szCs w:val="20"/>
              </w:rPr>
              <w:t xml:space="preserve"> </w:t>
            </w:r>
            <w:r w:rsidRPr="00C47274">
              <w:rPr>
                <w:w w:val="105"/>
                <w:sz w:val="20"/>
                <w:szCs w:val="20"/>
              </w:rPr>
              <w:t>3.5</w:t>
            </w:r>
            <w:r w:rsidRPr="00C47274">
              <w:rPr>
                <w:spacing w:val="-12"/>
                <w:w w:val="105"/>
                <w:sz w:val="20"/>
                <w:szCs w:val="20"/>
              </w:rPr>
              <w:t xml:space="preserve"> </w:t>
            </w:r>
            <w:r w:rsidRPr="00C47274">
              <w:rPr>
                <w:w w:val="105"/>
                <w:sz w:val="20"/>
                <w:szCs w:val="20"/>
              </w:rPr>
              <w:t>mmol/l,</w:t>
            </w:r>
            <w:r w:rsidRPr="00C47274">
              <w:rPr>
                <w:spacing w:val="-13"/>
                <w:w w:val="105"/>
                <w:sz w:val="20"/>
                <w:szCs w:val="20"/>
              </w:rPr>
              <w:t xml:space="preserve"> </w:t>
            </w:r>
            <w:r w:rsidRPr="00C47274">
              <w:rPr>
                <w:w w:val="105"/>
                <w:sz w:val="20"/>
                <w:szCs w:val="20"/>
              </w:rPr>
              <w:t>including</w:t>
            </w:r>
            <w:r w:rsidRPr="00C47274">
              <w:rPr>
                <w:spacing w:val="42"/>
                <w:w w:val="103"/>
                <w:sz w:val="20"/>
                <w:szCs w:val="20"/>
              </w:rPr>
              <w:t xml:space="preserve"> </w:t>
            </w:r>
            <w:r w:rsidRPr="00C47274">
              <w:rPr>
                <w:w w:val="105"/>
                <w:sz w:val="20"/>
                <w:szCs w:val="20"/>
              </w:rPr>
              <w:t>somnolence,</w:t>
            </w:r>
            <w:r w:rsidRPr="00C47274">
              <w:rPr>
                <w:spacing w:val="-18"/>
                <w:w w:val="105"/>
                <w:sz w:val="20"/>
                <w:szCs w:val="20"/>
              </w:rPr>
              <w:t xml:space="preserve"> </w:t>
            </w:r>
            <w:r w:rsidRPr="00C47274">
              <w:rPr>
                <w:w w:val="105"/>
                <w:sz w:val="20"/>
                <w:szCs w:val="20"/>
              </w:rPr>
              <w:t>fatigue,</w:t>
            </w:r>
            <w:r w:rsidRPr="00C47274">
              <w:rPr>
                <w:spacing w:val="-18"/>
                <w:w w:val="105"/>
                <w:sz w:val="20"/>
                <w:szCs w:val="20"/>
              </w:rPr>
              <w:t xml:space="preserve"> </w:t>
            </w:r>
            <w:r w:rsidRPr="00C47274">
              <w:rPr>
                <w:w w:val="105"/>
                <w:sz w:val="20"/>
                <w:szCs w:val="20"/>
              </w:rPr>
              <w:t>light</w:t>
            </w:r>
            <w:r w:rsidRPr="00C47274">
              <w:rPr>
                <w:spacing w:val="-18"/>
                <w:w w:val="105"/>
                <w:sz w:val="20"/>
                <w:szCs w:val="20"/>
              </w:rPr>
              <w:t xml:space="preserve"> </w:t>
            </w:r>
            <w:r w:rsidRPr="00C47274">
              <w:rPr>
                <w:spacing w:val="1"/>
                <w:w w:val="105"/>
                <w:sz w:val="20"/>
                <w:szCs w:val="20"/>
              </w:rPr>
              <w:t>headedness,</w:t>
            </w:r>
            <w:r w:rsidRPr="00C47274">
              <w:rPr>
                <w:spacing w:val="35"/>
                <w:w w:val="103"/>
                <w:sz w:val="20"/>
                <w:szCs w:val="20"/>
              </w:rPr>
              <w:t xml:space="preserve"> </w:t>
            </w:r>
            <w:r w:rsidRPr="00C47274">
              <w:rPr>
                <w:w w:val="105"/>
                <w:sz w:val="20"/>
                <w:szCs w:val="20"/>
              </w:rPr>
              <w:t>headache,</w:t>
            </w:r>
            <w:r w:rsidRPr="00C47274">
              <w:rPr>
                <w:spacing w:val="-24"/>
                <w:w w:val="105"/>
                <w:sz w:val="20"/>
                <w:szCs w:val="20"/>
              </w:rPr>
              <w:t xml:space="preserve"> </w:t>
            </w:r>
            <w:r w:rsidRPr="00C47274">
              <w:rPr>
                <w:w w:val="105"/>
                <w:sz w:val="20"/>
                <w:szCs w:val="20"/>
              </w:rPr>
              <w:t>dysgeusia,</w:t>
            </w:r>
            <w:r w:rsidRPr="00C47274">
              <w:rPr>
                <w:spacing w:val="-24"/>
                <w:w w:val="105"/>
                <w:sz w:val="20"/>
                <w:szCs w:val="20"/>
              </w:rPr>
              <w:t xml:space="preserve"> </w:t>
            </w:r>
            <w:r w:rsidRPr="00C47274">
              <w:rPr>
                <w:w w:val="105"/>
                <w:sz w:val="20"/>
                <w:szCs w:val="20"/>
              </w:rPr>
              <w:t>hypoacusis,</w:t>
            </w:r>
            <w:r w:rsidRPr="00C47274">
              <w:rPr>
                <w:spacing w:val="50"/>
                <w:w w:val="103"/>
                <w:sz w:val="20"/>
                <w:szCs w:val="20"/>
              </w:rPr>
              <w:t xml:space="preserve"> </w:t>
            </w:r>
            <w:r w:rsidRPr="00C47274">
              <w:rPr>
                <w:w w:val="105"/>
                <w:sz w:val="20"/>
                <w:szCs w:val="20"/>
              </w:rPr>
              <w:t>disorientation,</w:t>
            </w:r>
            <w:r w:rsidRPr="00C47274">
              <w:rPr>
                <w:spacing w:val="-18"/>
                <w:w w:val="105"/>
                <w:sz w:val="20"/>
                <w:szCs w:val="20"/>
              </w:rPr>
              <w:t xml:space="preserve"> </w:t>
            </w:r>
            <w:r w:rsidRPr="00C47274">
              <w:rPr>
                <w:w w:val="105"/>
                <w:sz w:val="20"/>
                <w:szCs w:val="20"/>
              </w:rPr>
              <w:t>impaired</w:t>
            </w:r>
            <w:r w:rsidRPr="00C47274">
              <w:rPr>
                <w:spacing w:val="-17"/>
                <w:w w:val="105"/>
                <w:sz w:val="20"/>
                <w:szCs w:val="20"/>
              </w:rPr>
              <w:t xml:space="preserve"> </w:t>
            </w:r>
            <w:r w:rsidRPr="00C47274">
              <w:rPr>
                <w:spacing w:val="1"/>
                <w:w w:val="105"/>
                <w:sz w:val="20"/>
                <w:szCs w:val="20"/>
              </w:rPr>
              <w:t>memory,</w:t>
            </w:r>
            <w:r w:rsidRPr="00C47274">
              <w:rPr>
                <w:spacing w:val="-17"/>
                <w:w w:val="105"/>
                <w:sz w:val="20"/>
                <w:szCs w:val="20"/>
              </w:rPr>
              <w:t xml:space="preserve"> </w:t>
            </w:r>
            <w:r w:rsidRPr="00C47274">
              <w:rPr>
                <w:w w:val="105"/>
                <w:sz w:val="20"/>
                <w:szCs w:val="20"/>
              </w:rPr>
              <w:t>and</w:t>
            </w:r>
            <w:r w:rsidRPr="00C47274">
              <w:rPr>
                <w:spacing w:val="36"/>
                <w:w w:val="103"/>
                <w:sz w:val="20"/>
                <w:szCs w:val="20"/>
              </w:rPr>
              <w:t xml:space="preserve"> </w:t>
            </w:r>
            <w:r w:rsidRPr="00C47274">
              <w:rPr>
                <w:w w:val="105"/>
                <w:sz w:val="20"/>
                <w:szCs w:val="20"/>
              </w:rPr>
              <w:t>exacerbation</w:t>
            </w:r>
            <w:r w:rsidRPr="00C47274">
              <w:rPr>
                <w:spacing w:val="-15"/>
                <w:w w:val="105"/>
                <w:sz w:val="20"/>
                <w:szCs w:val="20"/>
              </w:rPr>
              <w:t xml:space="preserve"> </w:t>
            </w:r>
            <w:r w:rsidRPr="00C47274">
              <w:rPr>
                <w:w w:val="105"/>
                <w:sz w:val="20"/>
                <w:szCs w:val="20"/>
              </w:rPr>
              <w:t>of</w:t>
            </w:r>
            <w:r w:rsidRPr="00C47274">
              <w:rPr>
                <w:spacing w:val="-16"/>
                <w:w w:val="105"/>
                <w:sz w:val="20"/>
                <w:szCs w:val="20"/>
              </w:rPr>
              <w:t xml:space="preserve"> </w:t>
            </w:r>
            <w:r w:rsidRPr="00C47274">
              <w:rPr>
                <w:w w:val="105"/>
                <w:sz w:val="20"/>
                <w:szCs w:val="20"/>
              </w:rPr>
              <w:t>pre-existing</w:t>
            </w:r>
            <w:r w:rsidRPr="00C47274">
              <w:rPr>
                <w:spacing w:val="-14"/>
                <w:w w:val="105"/>
                <w:sz w:val="20"/>
                <w:szCs w:val="20"/>
              </w:rPr>
              <w:t xml:space="preserve"> </w:t>
            </w:r>
            <w:r w:rsidRPr="00C47274">
              <w:rPr>
                <w:w w:val="105"/>
                <w:sz w:val="20"/>
                <w:szCs w:val="20"/>
              </w:rPr>
              <w:t>neuropathy.</w:t>
            </w:r>
            <w:r w:rsidRPr="00C47274">
              <w:rPr>
                <w:spacing w:val="-16"/>
                <w:w w:val="105"/>
                <w:sz w:val="20"/>
                <w:szCs w:val="20"/>
              </w:rPr>
              <w:t xml:space="preserve"> </w:t>
            </w:r>
            <w:r w:rsidRPr="00C47274">
              <w:rPr>
                <w:spacing w:val="1"/>
                <w:w w:val="105"/>
                <w:sz w:val="20"/>
                <w:szCs w:val="20"/>
              </w:rPr>
              <w:t>The</w:t>
            </w:r>
            <w:r w:rsidRPr="00C47274">
              <w:rPr>
                <w:spacing w:val="54"/>
                <w:w w:val="103"/>
                <w:sz w:val="20"/>
                <w:szCs w:val="20"/>
              </w:rPr>
              <w:t xml:space="preserve"> </w:t>
            </w:r>
            <w:r w:rsidRPr="00C47274">
              <w:rPr>
                <w:w w:val="105"/>
                <w:sz w:val="20"/>
                <w:szCs w:val="20"/>
              </w:rPr>
              <w:t>adverse</w:t>
            </w:r>
            <w:r w:rsidRPr="00C47274">
              <w:rPr>
                <w:spacing w:val="-14"/>
                <w:w w:val="105"/>
                <w:sz w:val="20"/>
                <w:szCs w:val="20"/>
              </w:rPr>
              <w:t xml:space="preserve"> </w:t>
            </w:r>
            <w:r w:rsidRPr="00C47274">
              <w:rPr>
                <w:w w:val="105"/>
                <w:sz w:val="20"/>
                <w:szCs w:val="20"/>
              </w:rPr>
              <w:t>events</w:t>
            </w:r>
            <w:r w:rsidRPr="00C47274">
              <w:rPr>
                <w:spacing w:val="-14"/>
                <w:w w:val="105"/>
                <w:sz w:val="20"/>
                <w:szCs w:val="20"/>
              </w:rPr>
              <w:t xml:space="preserve"> </w:t>
            </w:r>
            <w:r w:rsidRPr="00C47274">
              <w:rPr>
                <w:spacing w:val="1"/>
                <w:w w:val="105"/>
                <w:sz w:val="20"/>
                <w:szCs w:val="20"/>
              </w:rPr>
              <w:t>were</w:t>
            </w:r>
          </w:p>
          <w:p w14:paraId="7324D5ED" w14:textId="77777777" w:rsidR="00436B89" w:rsidRPr="00C47274" w:rsidRDefault="00436B89" w:rsidP="00436B89">
            <w:pPr>
              <w:kinsoku w:val="0"/>
              <w:overflowPunct w:val="0"/>
              <w:autoSpaceDE w:val="0"/>
              <w:autoSpaceDN w:val="0"/>
              <w:adjustRightInd w:val="0"/>
              <w:spacing w:before="0" w:after="0" w:line="240" w:lineRule="auto"/>
              <w:ind w:left="104"/>
              <w:rPr>
                <w:sz w:val="20"/>
                <w:szCs w:val="20"/>
              </w:rPr>
            </w:pPr>
            <w:r w:rsidRPr="00C47274">
              <w:rPr>
                <w:w w:val="105"/>
                <w:sz w:val="20"/>
                <w:szCs w:val="20"/>
              </w:rPr>
              <w:t>reversible</w:t>
            </w:r>
            <w:r w:rsidRPr="00C47274">
              <w:rPr>
                <w:spacing w:val="-22"/>
                <w:w w:val="105"/>
                <w:sz w:val="20"/>
                <w:szCs w:val="20"/>
              </w:rPr>
              <w:t xml:space="preserve"> </w:t>
            </w:r>
            <w:r w:rsidRPr="00C47274">
              <w:rPr>
                <w:w w:val="105"/>
                <w:sz w:val="20"/>
                <w:szCs w:val="20"/>
              </w:rPr>
              <w:t>upon</w:t>
            </w:r>
            <w:r w:rsidRPr="00C47274">
              <w:rPr>
                <w:spacing w:val="-21"/>
                <w:w w:val="105"/>
                <w:sz w:val="20"/>
                <w:szCs w:val="20"/>
              </w:rPr>
              <w:t xml:space="preserve"> </w:t>
            </w:r>
            <w:r w:rsidRPr="00C47274">
              <w:rPr>
                <w:w w:val="105"/>
                <w:sz w:val="20"/>
                <w:szCs w:val="20"/>
              </w:rPr>
              <w:t>discontinuation</w:t>
            </w:r>
          </w:p>
        </w:tc>
      </w:tr>
      <w:tr w:rsidR="00436B89" w:rsidRPr="004D3DB1" w14:paraId="5599A15C" w14:textId="77777777" w:rsidTr="00436B89">
        <w:trPr>
          <w:trHeight w:val="20"/>
        </w:trPr>
        <w:tc>
          <w:tcPr>
            <w:tcW w:w="1951" w:type="dxa"/>
          </w:tcPr>
          <w:p w14:paraId="3085AEDD" w14:textId="77777777" w:rsidR="00436B89" w:rsidRPr="00C47274" w:rsidRDefault="00436B89" w:rsidP="00436B89">
            <w:pPr>
              <w:kinsoku w:val="0"/>
              <w:overflowPunct w:val="0"/>
              <w:autoSpaceDE w:val="0"/>
              <w:autoSpaceDN w:val="0"/>
              <w:adjustRightInd w:val="0"/>
              <w:spacing w:before="4" w:after="0" w:line="253" w:lineRule="auto"/>
              <w:ind w:left="104" w:right="149"/>
              <w:rPr>
                <w:sz w:val="20"/>
                <w:szCs w:val="20"/>
              </w:rPr>
            </w:pPr>
            <w:r w:rsidRPr="00C47274">
              <w:rPr>
                <w:w w:val="105"/>
                <w:sz w:val="20"/>
                <w:szCs w:val="20"/>
              </w:rPr>
              <w:t>Extracted</w:t>
            </w:r>
            <w:r w:rsidRPr="00C47274">
              <w:rPr>
                <w:spacing w:val="-21"/>
                <w:w w:val="105"/>
                <w:sz w:val="20"/>
                <w:szCs w:val="20"/>
              </w:rPr>
              <w:t xml:space="preserve"> </w:t>
            </w:r>
            <w:r w:rsidRPr="00C47274">
              <w:rPr>
                <w:w w:val="105"/>
                <w:sz w:val="20"/>
                <w:szCs w:val="20"/>
              </w:rPr>
              <w:t>from</w:t>
            </w:r>
            <w:r w:rsidRPr="00C47274">
              <w:rPr>
                <w:spacing w:val="29"/>
                <w:w w:val="103"/>
                <w:sz w:val="20"/>
                <w:szCs w:val="20"/>
              </w:rPr>
              <w:t xml:space="preserve"> </w:t>
            </w:r>
            <w:r w:rsidRPr="00C47274">
              <w:rPr>
                <w:spacing w:val="1"/>
                <w:w w:val="105"/>
                <w:sz w:val="20"/>
                <w:szCs w:val="20"/>
              </w:rPr>
              <w:t>Ammonaps</w:t>
            </w:r>
            <w:r w:rsidRPr="00C47274">
              <w:rPr>
                <w:spacing w:val="-24"/>
                <w:w w:val="105"/>
                <w:sz w:val="20"/>
                <w:szCs w:val="20"/>
              </w:rPr>
              <w:t xml:space="preserve"> </w:t>
            </w:r>
            <w:r w:rsidRPr="00C47274">
              <w:rPr>
                <w:w w:val="105"/>
                <w:sz w:val="20"/>
                <w:szCs w:val="20"/>
              </w:rPr>
              <w:t>SPC</w:t>
            </w:r>
          </w:p>
        </w:tc>
        <w:tc>
          <w:tcPr>
            <w:tcW w:w="1592" w:type="dxa"/>
          </w:tcPr>
          <w:p w14:paraId="13921C12" w14:textId="77777777" w:rsidR="00436B89" w:rsidRPr="00C47274" w:rsidRDefault="00436B89" w:rsidP="00436B89">
            <w:pPr>
              <w:kinsoku w:val="0"/>
              <w:overflowPunct w:val="0"/>
              <w:autoSpaceDE w:val="0"/>
              <w:autoSpaceDN w:val="0"/>
              <w:adjustRightInd w:val="0"/>
              <w:spacing w:before="4" w:after="0" w:line="240" w:lineRule="auto"/>
              <w:ind w:left="104"/>
              <w:rPr>
                <w:sz w:val="20"/>
                <w:szCs w:val="20"/>
              </w:rPr>
            </w:pPr>
            <w:r w:rsidRPr="00C47274">
              <w:rPr>
                <w:spacing w:val="1"/>
                <w:w w:val="105"/>
                <w:sz w:val="20"/>
                <w:szCs w:val="20"/>
              </w:rPr>
              <w:t>UCDs</w:t>
            </w:r>
          </w:p>
        </w:tc>
        <w:tc>
          <w:tcPr>
            <w:tcW w:w="1952" w:type="dxa"/>
          </w:tcPr>
          <w:p w14:paraId="674B9276" w14:textId="77777777" w:rsidR="00436B89" w:rsidRPr="00C47274" w:rsidRDefault="00436B89" w:rsidP="00436B89">
            <w:pPr>
              <w:autoSpaceDE w:val="0"/>
              <w:autoSpaceDN w:val="0"/>
              <w:adjustRightInd w:val="0"/>
              <w:spacing w:before="0" w:after="0" w:line="240" w:lineRule="auto"/>
              <w:rPr>
                <w:sz w:val="20"/>
                <w:szCs w:val="20"/>
              </w:rPr>
            </w:pPr>
          </w:p>
        </w:tc>
        <w:tc>
          <w:tcPr>
            <w:tcW w:w="3515" w:type="dxa"/>
          </w:tcPr>
          <w:p w14:paraId="593EB459" w14:textId="77777777" w:rsidR="00436B89" w:rsidRPr="00C47274" w:rsidRDefault="00436B89" w:rsidP="00436B89">
            <w:pPr>
              <w:kinsoku w:val="0"/>
              <w:overflowPunct w:val="0"/>
              <w:autoSpaceDE w:val="0"/>
              <w:autoSpaceDN w:val="0"/>
              <w:adjustRightInd w:val="0"/>
              <w:spacing w:before="4" w:after="0" w:line="253" w:lineRule="auto"/>
              <w:ind w:left="104" w:right="119"/>
              <w:rPr>
                <w:sz w:val="20"/>
                <w:szCs w:val="20"/>
              </w:rPr>
            </w:pPr>
            <w:r w:rsidRPr="00C47274">
              <w:rPr>
                <w:w w:val="105"/>
                <w:sz w:val="20"/>
                <w:szCs w:val="20"/>
              </w:rPr>
              <w:t>A</w:t>
            </w:r>
            <w:r w:rsidRPr="00C47274">
              <w:rPr>
                <w:spacing w:val="-7"/>
                <w:w w:val="105"/>
                <w:sz w:val="20"/>
                <w:szCs w:val="20"/>
              </w:rPr>
              <w:t xml:space="preserve"> </w:t>
            </w:r>
            <w:r w:rsidRPr="00C47274">
              <w:rPr>
                <w:w w:val="105"/>
                <w:sz w:val="20"/>
                <w:szCs w:val="20"/>
              </w:rPr>
              <w:t>probable</w:t>
            </w:r>
            <w:r w:rsidRPr="00C47274">
              <w:rPr>
                <w:spacing w:val="-7"/>
                <w:w w:val="105"/>
                <w:sz w:val="20"/>
                <w:szCs w:val="20"/>
              </w:rPr>
              <w:t xml:space="preserve"> </w:t>
            </w:r>
            <w:r w:rsidRPr="00C47274">
              <w:rPr>
                <w:w w:val="105"/>
                <w:sz w:val="20"/>
                <w:szCs w:val="20"/>
              </w:rPr>
              <w:t>case</w:t>
            </w:r>
            <w:r w:rsidRPr="00C47274">
              <w:rPr>
                <w:spacing w:val="-8"/>
                <w:w w:val="105"/>
                <w:sz w:val="20"/>
                <w:szCs w:val="20"/>
              </w:rPr>
              <w:t xml:space="preserve"> </w:t>
            </w:r>
            <w:r w:rsidRPr="00C47274">
              <w:rPr>
                <w:w w:val="105"/>
                <w:sz w:val="20"/>
                <w:szCs w:val="20"/>
              </w:rPr>
              <w:t>of</w:t>
            </w:r>
            <w:r w:rsidRPr="00C47274">
              <w:rPr>
                <w:spacing w:val="-7"/>
                <w:w w:val="105"/>
                <w:sz w:val="20"/>
                <w:szCs w:val="20"/>
              </w:rPr>
              <w:t xml:space="preserve"> </w:t>
            </w:r>
            <w:r w:rsidRPr="00C47274">
              <w:rPr>
                <w:w w:val="105"/>
                <w:sz w:val="20"/>
                <w:szCs w:val="20"/>
              </w:rPr>
              <w:t>toxic</w:t>
            </w:r>
            <w:r w:rsidRPr="00C47274">
              <w:rPr>
                <w:spacing w:val="-8"/>
                <w:w w:val="105"/>
                <w:sz w:val="20"/>
                <w:szCs w:val="20"/>
              </w:rPr>
              <w:t xml:space="preserve"> </w:t>
            </w:r>
            <w:r w:rsidRPr="00C47274">
              <w:rPr>
                <w:w w:val="105"/>
                <w:sz w:val="20"/>
                <w:szCs w:val="20"/>
              </w:rPr>
              <w:t>reaction</w:t>
            </w:r>
            <w:r w:rsidRPr="00C47274">
              <w:rPr>
                <w:spacing w:val="-6"/>
                <w:w w:val="105"/>
                <w:sz w:val="20"/>
                <w:szCs w:val="20"/>
              </w:rPr>
              <w:t xml:space="preserve"> </w:t>
            </w:r>
            <w:r w:rsidRPr="00C47274">
              <w:rPr>
                <w:w w:val="105"/>
                <w:sz w:val="20"/>
                <w:szCs w:val="20"/>
              </w:rPr>
              <w:t>to</w:t>
            </w:r>
            <w:r w:rsidRPr="00C47274">
              <w:rPr>
                <w:spacing w:val="30"/>
                <w:w w:val="103"/>
                <w:sz w:val="20"/>
                <w:szCs w:val="20"/>
              </w:rPr>
              <w:t xml:space="preserve"> </w:t>
            </w:r>
            <w:r w:rsidRPr="00C47274">
              <w:rPr>
                <w:spacing w:val="1"/>
                <w:w w:val="105"/>
                <w:sz w:val="20"/>
                <w:szCs w:val="20"/>
              </w:rPr>
              <w:t>AMMONAPS</w:t>
            </w:r>
            <w:r w:rsidRPr="00C47274">
              <w:rPr>
                <w:spacing w:val="-12"/>
                <w:w w:val="105"/>
                <w:sz w:val="20"/>
                <w:szCs w:val="20"/>
              </w:rPr>
              <w:t xml:space="preserve"> </w:t>
            </w:r>
            <w:r w:rsidRPr="00C47274">
              <w:rPr>
                <w:w w:val="105"/>
                <w:sz w:val="20"/>
                <w:szCs w:val="20"/>
              </w:rPr>
              <w:t>(450</w:t>
            </w:r>
            <w:r w:rsidRPr="00C47274">
              <w:rPr>
                <w:spacing w:val="-11"/>
                <w:w w:val="105"/>
                <w:sz w:val="20"/>
                <w:szCs w:val="20"/>
              </w:rPr>
              <w:t xml:space="preserve"> </w:t>
            </w:r>
            <w:r w:rsidRPr="00C47274">
              <w:rPr>
                <w:w w:val="105"/>
                <w:sz w:val="20"/>
                <w:szCs w:val="20"/>
              </w:rPr>
              <w:t>mg/kg/day)</w:t>
            </w:r>
            <w:r w:rsidRPr="00C47274">
              <w:rPr>
                <w:spacing w:val="-12"/>
                <w:w w:val="105"/>
                <w:sz w:val="20"/>
                <w:szCs w:val="20"/>
              </w:rPr>
              <w:t xml:space="preserve"> </w:t>
            </w:r>
            <w:r w:rsidRPr="00C47274">
              <w:rPr>
                <w:spacing w:val="1"/>
                <w:w w:val="105"/>
                <w:sz w:val="20"/>
                <w:szCs w:val="20"/>
              </w:rPr>
              <w:t>was</w:t>
            </w:r>
            <w:r w:rsidRPr="00C47274">
              <w:rPr>
                <w:spacing w:val="-12"/>
                <w:w w:val="105"/>
                <w:sz w:val="20"/>
                <w:szCs w:val="20"/>
              </w:rPr>
              <w:t xml:space="preserve"> </w:t>
            </w:r>
            <w:r w:rsidRPr="00C47274">
              <w:rPr>
                <w:w w:val="105"/>
                <w:sz w:val="20"/>
                <w:szCs w:val="20"/>
              </w:rPr>
              <w:t>reported</w:t>
            </w:r>
            <w:r w:rsidRPr="00C47274">
              <w:rPr>
                <w:spacing w:val="-12"/>
                <w:w w:val="105"/>
                <w:sz w:val="20"/>
                <w:szCs w:val="20"/>
              </w:rPr>
              <w:t xml:space="preserve"> </w:t>
            </w:r>
            <w:r w:rsidRPr="00C47274">
              <w:rPr>
                <w:w w:val="105"/>
                <w:sz w:val="20"/>
                <w:szCs w:val="20"/>
              </w:rPr>
              <w:t>in</w:t>
            </w:r>
            <w:r w:rsidRPr="00C47274">
              <w:rPr>
                <w:spacing w:val="34"/>
                <w:w w:val="103"/>
                <w:sz w:val="20"/>
                <w:szCs w:val="20"/>
              </w:rPr>
              <w:t xml:space="preserve"> </w:t>
            </w:r>
            <w:r w:rsidRPr="00C47274">
              <w:rPr>
                <w:w w:val="105"/>
                <w:sz w:val="20"/>
                <w:szCs w:val="20"/>
              </w:rPr>
              <w:t>an</w:t>
            </w:r>
            <w:r w:rsidRPr="00C47274">
              <w:rPr>
                <w:spacing w:val="-9"/>
                <w:w w:val="105"/>
                <w:sz w:val="20"/>
                <w:szCs w:val="20"/>
              </w:rPr>
              <w:t xml:space="preserve"> </w:t>
            </w:r>
            <w:r w:rsidRPr="00C47274">
              <w:rPr>
                <w:w w:val="105"/>
                <w:sz w:val="20"/>
                <w:szCs w:val="20"/>
              </w:rPr>
              <w:t>18-year</w:t>
            </w:r>
            <w:r w:rsidRPr="00C47274">
              <w:rPr>
                <w:spacing w:val="-10"/>
                <w:w w:val="105"/>
                <w:sz w:val="20"/>
                <w:szCs w:val="20"/>
              </w:rPr>
              <w:t xml:space="preserve"> </w:t>
            </w:r>
            <w:r w:rsidRPr="00C47274">
              <w:rPr>
                <w:w w:val="105"/>
                <w:sz w:val="20"/>
                <w:szCs w:val="20"/>
              </w:rPr>
              <w:t>old</w:t>
            </w:r>
            <w:r w:rsidRPr="00C47274">
              <w:rPr>
                <w:spacing w:val="-8"/>
                <w:w w:val="105"/>
                <w:sz w:val="20"/>
                <w:szCs w:val="20"/>
              </w:rPr>
              <w:t xml:space="preserve"> </w:t>
            </w:r>
            <w:r w:rsidRPr="00C47274">
              <w:rPr>
                <w:w w:val="105"/>
                <w:sz w:val="20"/>
                <w:szCs w:val="20"/>
              </w:rPr>
              <w:t>anorectic</w:t>
            </w:r>
            <w:r w:rsidRPr="00C47274">
              <w:rPr>
                <w:spacing w:val="-10"/>
                <w:w w:val="105"/>
                <w:sz w:val="20"/>
                <w:szCs w:val="20"/>
              </w:rPr>
              <w:t xml:space="preserve"> </w:t>
            </w:r>
            <w:r w:rsidRPr="00C47274">
              <w:rPr>
                <w:w w:val="105"/>
                <w:sz w:val="20"/>
                <w:szCs w:val="20"/>
              </w:rPr>
              <w:t>female</w:t>
            </w:r>
            <w:r w:rsidRPr="00C47274">
              <w:rPr>
                <w:spacing w:val="-9"/>
                <w:w w:val="105"/>
                <w:sz w:val="20"/>
                <w:szCs w:val="20"/>
              </w:rPr>
              <w:t xml:space="preserve"> </w:t>
            </w:r>
            <w:r w:rsidRPr="00C47274">
              <w:rPr>
                <w:w w:val="105"/>
                <w:sz w:val="20"/>
                <w:szCs w:val="20"/>
              </w:rPr>
              <w:t>patient</w:t>
            </w:r>
            <w:r w:rsidRPr="00C47274">
              <w:rPr>
                <w:spacing w:val="-10"/>
                <w:w w:val="105"/>
                <w:sz w:val="20"/>
                <w:szCs w:val="20"/>
              </w:rPr>
              <w:t xml:space="preserve"> </w:t>
            </w:r>
            <w:r w:rsidRPr="00C47274">
              <w:rPr>
                <w:spacing w:val="1"/>
                <w:w w:val="105"/>
                <w:sz w:val="20"/>
                <w:szCs w:val="20"/>
              </w:rPr>
              <w:t>who</w:t>
            </w:r>
            <w:r w:rsidRPr="00C47274">
              <w:rPr>
                <w:spacing w:val="49"/>
                <w:w w:val="103"/>
                <w:sz w:val="20"/>
                <w:szCs w:val="20"/>
              </w:rPr>
              <w:t xml:space="preserve"> </w:t>
            </w:r>
            <w:r w:rsidRPr="00C47274">
              <w:rPr>
                <w:w w:val="105"/>
                <w:sz w:val="20"/>
                <w:szCs w:val="20"/>
              </w:rPr>
              <w:t>developed</w:t>
            </w:r>
            <w:r w:rsidRPr="00C47274">
              <w:rPr>
                <w:spacing w:val="-18"/>
                <w:w w:val="105"/>
                <w:sz w:val="20"/>
                <w:szCs w:val="20"/>
              </w:rPr>
              <w:t xml:space="preserve"> </w:t>
            </w:r>
            <w:r w:rsidRPr="00C47274">
              <w:rPr>
                <w:w w:val="105"/>
                <w:sz w:val="20"/>
                <w:szCs w:val="20"/>
              </w:rPr>
              <w:t>a</w:t>
            </w:r>
            <w:r w:rsidRPr="00C47274">
              <w:rPr>
                <w:spacing w:val="-18"/>
                <w:w w:val="105"/>
                <w:sz w:val="20"/>
                <w:szCs w:val="20"/>
              </w:rPr>
              <w:t xml:space="preserve"> </w:t>
            </w:r>
            <w:r w:rsidRPr="00C47274">
              <w:rPr>
                <w:w w:val="105"/>
                <w:sz w:val="20"/>
                <w:szCs w:val="20"/>
              </w:rPr>
              <w:t>metabolic</w:t>
            </w:r>
            <w:r w:rsidRPr="00C47274">
              <w:rPr>
                <w:spacing w:val="-18"/>
                <w:w w:val="105"/>
                <w:sz w:val="20"/>
                <w:szCs w:val="20"/>
              </w:rPr>
              <w:t xml:space="preserve"> </w:t>
            </w:r>
            <w:r w:rsidRPr="00C47274">
              <w:rPr>
                <w:w w:val="105"/>
                <w:sz w:val="20"/>
                <w:szCs w:val="20"/>
              </w:rPr>
              <w:t>encephalopathy</w:t>
            </w:r>
            <w:r w:rsidRPr="00C47274">
              <w:rPr>
                <w:spacing w:val="51"/>
                <w:w w:val="103"/>
                <w:sz w:val="20"/>
                <w:szCs w:val="20"/>
              </w:rPr>
              <w:t xml:space="preserve"> </w:t>
            </w:r>
            <w:r w:rsidRPr="00C47274">
              <w:rPr>
                <w:w w:val="105"/>
                <w:sz w:val="20"/>
                <w:szCs w:val="20"/>
              </w:rPr>
              <w:t>associated</w:t>
            </w:r>
            <w:r w:rsidRPr="00C47274">
              <w:rPr>
                <w:spacing w:val="-12"/>
                <w:w w:val="105"/>
                <w:sz w:val="20"/>
                <w:szCs w:val="20"/>
              </w:rPr>
              <w:t xml:space="preserve"> </w:t>
            </w:r>
            <w:r w:rsidRPr="00C47274">
              <w:rPr>
                <w:w w:val="105"/>
                <w:sz w:val="20"/>
                <w:szCs w:val="20"/>
              </w:rPr>
              <w:t>with</w:t>
            </w:r>
            <w:r w:rsidRPr="00C47274">
              <w:rPr>
                <w:spacing w:val="-12"/>
                <w:w w:val="105"/>
                <w:sz w:val="20"/>
                <w:szCs w:val="20"/>
              </w:rPr>
              <w:t xml:space="preserve"> </w:t>
            </w:r>
            <w:r w:rsidRPr="00C47274">
              <w:rPr>
                <w:w w:val="105"/>
                <w:sz w:val="20"/>
                <w:szCs w:val="20"/>
              </w:rPr>
              <w:t>lactic</w:t>
            </w:r>
            <w:r w:rsidRPr="00C47274">
              <w:rPr>
                <w:spacing w:val="-13"/>
                <w:w w:val="105"/>
                <w:sz w:val="20"/>
                <w:szCs w:val="20"/>
              </w:rPr>
              <w:t xml:space="preserve"> </w:t>
            </w:r>
            <w:r w:rsidRPr="00C47274">
              <w:rPr>
                <w:w w:val="105"/>
                <w:sz w:val="20"/>
                <w:szCs w:val="20"/>
              </w:rPr>
              <w:t>acidosis,</w:t>
            </w:r>
            <w:r w:rsidRPr="00C47274">
              <w:rPr>
                <w:spacing w:val="-12"/>
                <w:w w:val="105"/>
                <w:sz w:val="20"/>
                <w:szCs w:val="20"/>
              </w:rPr>
              <w:t xml:space="preserve"> </w:t>
            </w:r>
            <w:r w:rsidRPr="00C47274">
              <w:rPr>
                <w:w w:val="105"/>
                <w:sz w:val="20"/>
                <w:szCs w:val="20"/>
              </w:rPr>
              <w:t>severe</w:t>
            </w:r>
            <w:r w:rsidRPr="00C47274">
              <w:rPr>
                <w:spacing w:val="44"/>
                <w:w w:val="103"/>
                <w:sz w:val="20"/>
                <w:szCs w:val="20"/>
              </w:rPr>
              <w:t xml:space="preserve"> </w:t>
            </w:r>
            <w:r w:rsidRPr="00C47274">
              <w:rPr>
                <w:w w:val="105"/>
                <w:sz w:val="20"/>
                <w:szCs w:val="20"/>
              </w:rPr>
              <w:t>hypokalaemia,</w:t>
            </w:r>
            <w:r w:rsidRPr="00C47274">
              <w:rPr>
                <w:spacing w:val="-30"/>
                <w:w w:val="105"/>
                <w:sz w:val="20"/>
                <w:szCs w:val="20"/>
              </w:rPr>
              <w:t xml:space="preserve"> </w:t>
            </w:r>
            <w:r w:rsidRPr="00C47274">
              <w:rPr>
                <w:w w:val="105"/>
                <w:sz w:val="20"/>
                <w:szCs w:val="20"/>
              </w:rPr>
              <w:t>pancytopaenia,</w:t>
            </w:r>
            <w:r w:rsidRPr="00C47274">
              <w:rPr>
                <w:spacing w:val="-30"/>
                <w:w w:val="105"/>
                <w:sz w:val="20"/>
                <w:szCs w:val="20"/>
              </w:rPr>
              <w:t xml:space="preserve"> </w:t>
            </w:r>
            <w:r w:rsidRPr="00C47274">
              <w:rPr>
                <w:w w:val="105"/>
                <w:sz w:val="20"/>
                <w:szCs w:val="20"/>
              </w:rPr>
              <w:t>peripheral</w:t>
            </w:r>
            <w:r w:rsidRPr="00C47274">
              <w:rPr>
                <w:spacing w:val="63"/>
                <w:w w:val="103"/>
                <w:sz w:val="20"/>
                <w:szCs w:val="20"/>
              </w:rPr>
              <w:t xml:space="preserve"> </w:t>
            </w:r>
            <w:r w:rsidRPr="00C47274">
              <w:rPr>
                <w:w w:val="105"/>
                <w:sz w:val="20"/>
                <w:szCs w:val="20"/>
              </w:rPr>
              <w:t>neuropathy,</w:t>
            </w:r>
            <w:r w:rsidRPr="00C47274">
              <w:rPr>
                <w:spacing w:val="-15"/>
                <w:w w:val="105"/>
                <w:sz w:val="20"/>
                <w:szCs w:val="20"/>
              </w:rPr>
              <w:t xml:space="preserve"> </w:t>
            </w:r>
            <w:r w:rsidRPr="00C47274">
              <w:rPr>
                <w:w w:val="105"/>
                <w:sz w:val="20"/>
                <w:szCs w:val="20"/>
              </w:rPr>
              <w:t>and</w:t>
            </w:r>
            <w:r w:rsidRPr="00C47274">
              <w:rPr>
                <w:spacing w:val="-15"/>
                <w:w w:val="105"/>
                <w:sz w:val="20"/>
                <w:szCs w:val="20"/>
              </w:rPr>
              <w:t xml:space="preserve"> </w:t>
            </w:r>
            <w:r w:rsidRPr="00C47274">
              <w:rPr>
                <w:w w:val="105"/>
                <w:sz w:val="20"/>
                <w:szCs w:val="20"/>
              </w:rPr>
              <w:t>pancreatitis.</w:t>
            </w:r>
            <w:r w:rsidRPr="00C47274">
              <w:rPr>
                <w:spacing w:val="-15"/>
                <w:w w:val="105"/>
                <w:sz w:val="20"/>
                <w:szCs w:val="20"/>
              </w:rPr>
              <w:t xml:space="preserve"> </w:t>
            </w:r>
            <w:r w:rsidRPr="00C47274">
              <w:rPr>
                <w:w w:val="105"/>
                <w:sz w:val="20"/>
                <w:szCs w:val="20"/>
              </w:rPr>
              <w:t>She</w:t>
            </w:r>
            <w:r w:rsidRPr="00C47274">
              <w:rPr>
                <w:spacing w:val="-15"/>
                <w:w w:val="105"/>
                <w:sz w:val="20"/>
                <w:szCs w:val="20"/>
              </w:rPr>
              <w:t xml:space="preserve"> </w:t>
            </w:r>
            <w:r w:rsidRPr="00C47274">
              <w:rPr>
                <w:w w:val="105"/>
                <w:sz w:val="20"/>
                <w:szCs w:val="20"/>
              </w:rPr>
              <w:t>recovered</w:t>
            </w:r>
            <w:r w:rsidRPr="00C47274">
              <w:rPr>
                <w:spacing w:val="58"/>
                <w:w w:val="103"/>
                <w:sz w:val="20"/>
                <w:szCs w:val="20"/>
              </w:rPr>
              <w:t xml:space="preserve"> </w:t>
            </w:r>
            <w:r w:rsidRPr="00C47274">
              <w:rPr>
                <w:w w:val="105"/>
                <w:sz w:val="20"/>
                <w:szCs w:val="20"/>
              </w:rPr>
              <w:t>following</w:t>
            </w:r>
            <w:r w:rsidRPr="00C47274">
              <w:rPr>
                <w:spacing w:val="-12"/>
                <w:w w:val="105"/>
                <w:sz w:val="20"/>
                <w:szCs w:val="20"/>
              </w:rPr>
              <w:t xml:space="preserve"> </w:t>
            </w:r>
            <w:r w:rsidRPr="00C47274">
              <w:rPr>
                <w:w w:val="105"/>
                <w:sz w:val="20"/>
                <w:szCs w:val="20"/>
              </w:rPr>
              <w:t>dose</w:t>
            </w:r>
            <w:r w:rsidRPr="00C47274">
              <w:rPr>
                <w:spacing w:val="-11"/>
                <w:w w:val="105"/>
                <w:sz w:val="20"/>
                <w:szCs w:val="20"/>
              </w:rPr>
              <w:t xml:space="preserve"> </w:t>
            </w:r>
            <w:r w:rsidRPr="00C47274">
              <w:rPr>
                <w:w w:val="105"/>
                <w:sz w:val="20"/>
                <w:szCs w:val="20"/>
              </w:rPr>
              <w:t>reduction</w:t>
            </w:r>
            <w:r w:rsidRPr="00C47274">
              <w:rPr>
                <w:spacing w:val="-11"/>
                <w:w w:val="105"/>
                <w:sz w:val="20"/>
                <w:szCs w:val="20"/>
              </w:rPr>
              <w:t xml:space="preserve"> </w:t>
            </w:r>
            <w:r w:rsidRPr="00C47274">
              <w:rPr>
                <w:w w:val="105"/>
                <w:sz w:val="20"/>
                <w:szCs w:val="20"/>
              </w:rPr>
              <w:t>except</w:t>
            </w:r>
            <w:r w:rsidRPr="00C47274">
              <w:rPr>
                <w:spacing w:val="-12"/>
                <w:w w:val="105"/>
                <w:sz w:val="20"/>
                <w:szCs w:val="20"/>
              </w:rPr>
              <w:t xml:space="preserve"> </w:t>
            </w:r>
            <w:r w:rsidRPr="00C47274">
              <w:rPr>
                <w:w w:val="105"/>
                <w:sz w:val="20"/>
                <w:szCs w:val="20"/>
              </w:rPr>
              <w:t>for</w:t>
            </w:r>
            <w:r w:rsidRPr="00C47274">
              <w:rPr>
                <w:spacing w:val="-13"/>
                <w:w w:val="105"/>
                <w:sz w:val="20"/>
                <w:szCs w:val="20"/>
              </w:rPr>
              <w:t xml:space="preserve"> </w:t>
            </w:r>
            <w:r w:rsidRPr="00C47274">
              <w:rPr>
                <w:w w:val="105"/>
                <w:sz w:val="20"/>
                <w:szCs w:val="20"/>
              </w:rPr>
              <w:t>recurrent</w:t>
            </w:r>
            <w:r w:rsidRPr="00C47274">
              <w:rPr>
                <w:spacing w:val="60"/>
                <w:w w:val="103"/>
                <w:sz w:val="20"/>
                <w:szCs w:val="20"/>
              </w:rPr>
              <w:t xml:space="preserve"> </w:t>
            </w:r>
            <w:r w:rsidRPr="00C47274">
              <w:rPr>
                <w:w w:val="105"/>
                <w:sz w:val="20"/>
                <w:szCs w:val="20"/>
              </w:rPr>
              <w:t>pancreatitis</w:t>
            </w:r>
            <w:r w:rsidRPr="00C47274">
              <w:rPr>
                <w:spacing w:val="-17"/>
                <w:w w:val="105"/>
                <w:sz w:val="20"/>
                <w:szCs w:val="20"/>
              </w:rPr>
              <w:t xml:space="preserve"> </w:t>
            </w:r>
            <w:r w:rsidRPr="00C47274">
              <w:rPr>
                <w:w w:val="105"/>
                <w:sz w:val="20"/>
                <w:szCs w:val="20"/>
              </w:rPr>
              <w:t>episodes</w:t>
            </w:r>
            <w:r w:rsidRPr="00C47274">
              <w:rPr>
                <w:spacing w:val="-17"/>
                <w:w w:val="105"/>
                <w:sz w:val="20"/>
                <w:szCs w:val="20"/>
              </w:rPr>
              <w:t xml:space="preserve"> </w:t>
            </w:r>
            <w:r w:rsidRPr="00C47274">
              <w:rPr>
                <w:w w:val="105"/>
                <w:sz w:val="20"/>
                <w:szCs w:val="20"/>
              </w:rPr>
              <w:t>that</w:t>
            </w:r>
            <w:r w:rsidRPr="00C47274">
              <w:rPr>
                <w:spacing w:val="-17"/>
                <w:w w:val="105"/>
                <w:sz w:val="20"/>
                <w:szCs w:val="20"/>
              </w:rPr>
              <w:t xml:space="preserve"> </w:t>
            </w:r>
            <w:r w:rsidRPr="00C47274">
              <w:rPr>
                <w:w w:val="105"/>
                <w:sz w:val="20"/>
                <w:szCs w:val="20"/>
              </w:rPr>
              <w:t>eventually</w:t>
            </w:r>
            <w:r w:rsidRPr="00C47274">
              <w:rPr>
                <w:spacing w:val="42"/>
                <w:w w:val="103"/>
                <w:sz w:val="20"/>
                <w:szCs w:val="20"/>
              </w:rPr>
              <w:t xml:space="preserve"> </w:t>
            </w:r>
            <w:r w:rsidRPr="00C47274">
              <w:rPr>
                <w:w w:val="105"/>
                <w:sz w:val="20"/>
                <w:szCs w:val="20"/>
              </w:rPr>
              <w:t>prompted</w:t>
            </w:r>
            <w:r w:rsidRPr="00C47274">
              <w:rPr>
                <w:spacing w:val="-26"/>
                <w:w w:val="105"/>
                <w:sz w:val="20"/>
                <w:szCs w:val="20"/>
              </w:rPr>
              <w:t xml:space="preserve"> </w:t>
            </w:r>
            <w:r w:rsidRPr="00C47274">
              <w:rPr>
                <w:w w:val="105"/>
                <w:sz w:val="20"/>
                <w:szCs w:val="20"/>
              </w:rPr>
              <w:t>treatment</w:t>
            </w:r>
            <w:r w:rsidRPr="00C47274">
              <w:rPr>
                <w:spacing w:val="-26"/>
                <w:w w:val="105"/>
                <w:sz w:val="20"/>
                <w:szCs w:val="20"/>
              </w:rPr>
              <w:t xml:space="preserve"> </w:t>
            </w:r>
            <w:r w:rsidRPr="00C47274">
              <w:rPr>
                <w:w w:val="105"/>
                <w:sz w:val="20"/>
                <w:szCs w:val="20"/>
              </w:rPr>
              <w:t>discontinuation.</w:t>
            </w:r>
          </w:p>
        </w:tc>
      </w:tr>
    </w:tbl>
    <w:p w14:paraId="01D016E6" w14:textId="58F00BA7" w:rsidR="00436B89" w:rsidRPr="00C92342" w:rsidRDefault="00436B89" w:rsidP="00177802">
      <w:pPr>
        <w:pStyle w:val="Heading5"/>
        <w:numPr>
          <w:ilvl w:val="3"/>
          <w:numId w:val="5"/>
        </w:numPr>
        <w:tabs>
          <w:tab w:val="clear" w:pos="1418"/>
          <w:tab w:val="num" w:pos="1191"/>
        </w:tabs>
        <w:ind w:left="1191"/>
      </w:pPr>
      <w:r>
        <w:t xml:space="preserve">Evaluator’s </w:t>
      </w:r>
      <w:r w:rsidR="002E66C8">
        <w:t>a</w:t>
      </w:r>
      <w:r>
        <w:t>ssessment</w:t>
      </w:r>
    </w:p>
    <w:p w14:paraId="270B2C2E" w14:textId="77777777" w:rsidR="00436B89" w:rsidRPr="00783D42" w:rsidRDefault="00436B89" w:rsidP="00436B89">
      <w:r>
        <w:t>The sponsor has tabulated 4 discontinuations from the clinical studies. The response is satisfactory.</w:t>
      </w:r>
    </w:p>
    <w:p w14:paraId="72AAA425" w14:textId="77777777" w:rsidR="00436B89" w:rsidRPr="00C47274" w:rsidRDefault="00436B89" w:rsidP="00436B89">
      <w:pPr>
        <w:pStyle w:val="Numberbullet0"/>
        <w:rPr>
          <w:b/>
          <w:i/>
        </w:rPr>
      </w:pPr>
      <w:r w:rsidRPr="00C47274">
        <w:rPr>
          <w:b/>
          <w:i/>
        </w:rPr>
        <w:t>The sponsor should submit a report on the single centre (Necker Hospital, France) pilot study of Pheburane, performed on 30 patients which was completed in Sep 2015</w:t>
      </w:r>
    </w:p>
    <w:p w14:paraId="17682292" w14:textId="5C69257A" w:rsidR="00436B89" w:rsidRDefault="00436B89" w:rsidP="00177802">
      <w:pPr>
        <w:pStyle w:val="Heading5"/>
        <w:numPr>
          <w:ilvl w:val="3"/>
          <w:numId w:val="5"/>
        </w:numPr>
        <w:tabs>
          <w:tab w:val="clear" w:pos="1418"/>
          <w:tab w:val="num" w:pos="1191"/>
        </w:tabs>
        <w:ind w:left="1191"/>
      </w:pPr>
      <w:r>
        <w:t xml:space="preserve">Sponsor </w:t>
      </w:r>
      <w:r w:rsidR="002E66C8">
        <w:t>r</w:t>
      </w:r>
      <w:r>
        <w:t>esponse</w:t>
      </w:r>
    </w:p>
    <w:p w14:paraId="1102E9B9" w14:textId="77777777" w:rsidR="00436B89" w:rsidRPr="007753BA" w:rsidRDefault="00436B89" w:rsidP="00436B89">
      <w:pPr>
        <w:ind w:left="720"/>
      </w:pPr>
      <w:r>
        <w:t>The report is not available to Lucane or Orpharma as we did not sponsor the study which was done on a non-UCD population.</w:t>
      </w:r>
    </w:p>
    <w:p w14:paraId="37CD17E7" w14:textId="62A2EBA5" w:rsidR="00436B89" w:rsidRPr="00C92342" w:rsidRDefault="00436B89" w:rsidP="00177802">
      <w:pPr>
        <w:pStyle w:val="Heading5"/>
        <w:numPr>
          <w:ilvl w:val="3"/>
          <w:numId w:val="5"/>
        </w:numPr>
        <w:tabs>
          <w:tab w:val="clear" w:pos="1418"/>
          <w:tab w:val="num" w:pos="1191"/>
        </w:tabs>
        <w:ind w:left="1191"/>
      </w:pPr>
      <w:r>
        <w:lastRenderedPageBreak/>
        <w:t xml:space="preserve">Evaluator’s </w:t>
      </w:r>
      <w:r w:rsidR="002E66C8">
        <w:t>a</w:t>
      </w:r>
      <w:r>
        <w:t>ssessment</w:t>
      </w:r>
    </w:p>
    <w:p w14:paraId="521ACD83" w14:textId="77777777" w:rsidR="00436B89" w:rsidRDefault="00436B89" w:rsidP="00436B89">
      <w:r>
        <w:t>Given that the report is not available, the response is satisfactory.</w:t>
      </w:r>
    </w:p>
    <w:p w14:paraId="694AF733" w14:textId="77777777" w:rsidR="00436B89" w:rsidRDefault="00436B89" w:rsidP="00177802">
      <w:pPr>
        <w:pStyle w:val="Heading2"/>
        <w:numPr>
          <w:ilvl w:val="0"/>
          <w:numId w:val="5"/>
        </w:numPr>
      </w:pPr>
      <w:bookmarkStart w:id="640" w:name="_Toc441843548"/>
      <w:bookmarkStart w:id="641" w:name="_Toc473013925"/>
      <w:bookmarkStart w:id="642" w:name="_Toc505179717"/>
      <w:r>
        <w:t>Second round benefit-risk assessment</w:t>
      </w:r>
      <w:bookmarkEnd w:id="640"/>
      <w:bookmarkEnd w:id="641"/>
      <w:bookmarkEnd w:id="642"/>
    </w:p>
    <w:p w14:paraId="7BFA4CD8" w14:textId="77777777" w:rsidR="00436B89" w:rsidRPr="00500C5C" w:rsidRDefault="00436B89" w:rsidP="00177802">
      <w:pPr>
        <w:pStyle w:val="Heading3"/>
        <w:numPr>
          <w:ilvl w:val="1"/>
          <w:numId w:val="5"/>
        </w:numPr>
        <w:ind w:left="907" w:hanging="794"/>
      </w:pPr>
      <w:bookmarkStart w:id="643" w:name="_Toc272414709"/>
      <w:bookmarkStart w:id="644" w:name="_Toc290888575"/>
      <w:bookmarkStart w:id="645" w:name="_Toc416353792"/>
      <w:bookmarkStart w:id="646" w:name="_Toc421005334"/>
      <w:bookmarkStart w:id="647" w:name="_Toc432079207"/>
      <w:bookmarkStart w:id="648" w:name="_Toc432080780"/>
      <w:bookmarkStart w:id="649" w:name="_Toc441843549"/>
      <w:bookmarkStart w:id="650" w:name="_Toc473013926"/>
      <w:bookmarkStart w:id="651" w:name="_Toc505179718"/>
      <w:r w:rsidRPr="00500C5C">
        <w:t>Second round assessment of benefits</w:t>
      </w:r>
      <w:bookmarkEnd w:id="643"/>
      <w:bookmarkEnd w:id="644"/>
      <w:bookmarkEnd w:id="645"/>
      <w:bookmarkEnd w:id="646"/>
      <w:bookmarkEnd w:id="647"/>
      <w:bookmarkEnd w:id="648"/>
      <w:bookmarkEnd w:id="649"/>
      <w:bookmarkEnd w:id="650"/>
      <w:bookmarkEnd w:id="651"/>
    </w:p>
    <w:p w14:paraId="4C62FB32" w14:textId="77777777" w:rsidR="00436B89" w:rsidRDefault="00436B89" w:rsidP="00436B89">
      <w:pPr>
        <w:pStyle w:val="ListBullet"/>
        <w:numPr>
          <w:ilvl w:val="0"/>
          <w:numId w:val="0"/>
        </w:numPr>
        <w:ind w:left="113"/>
      </w:pPr>
      <w:r>
        <w:t xml:space="preserve">After consideration of the responses to clinical questions, the benefits of </w:t>
      </w:r>
      <w:r w:rsidRPr="00783D42">
        <w:t xml:space="preserve">Pheburane, </w:t>
      </w:r>
      <w:r>
        <w:t>in the proposed usage are unchanged from those identified in the first round evaluation.</w:t>
      </w:r>
    </w:p>
    <w:p w14:paraId="0C4B8967" w14:textId="77777777" w:rsidR="00436B89" w:rsidRPr="00500C5C" w:rsidRDefault="00436B89" w:rsidP="00177802">
      <w:pPr>
        <w:pStyle w:val="Heading3"/>
        <w:numPr>
          <w:ilvl w:val="1"/>
          <w:numId w:val="5"/>
        </w:numPr>
        <w:ind w:left="907" w:hanging="794"/>
      </w:pPr>
      <w:bookmarkStart w:id="652" w:name="_Toc272414710"/>
      <w:bookmarkStart w:id="653" w:name="_Toc290888576"/>
      <w:bookmarkStart w:id="654" w:name="_Toc416353793"/>
      <w:bookmarkStart w:id="655" w:name="_Toc421005335"/>
      <w:bookmarkStart w:id="656" w:name="_Toc432079208"/>
      <w:bookmarkStart w:id="657" w:name="_Toc432080781"/>
      <w:bookmarkStart w:id="658" w:name="_Toc441843550"/>
      <w:bookmarkStart w:id="659" w:name="_Toc473013927"/>
      <w:bookmarkStart w:id="660" w:name="_Toc505179719"/>
      <w:r w:rsidRPr="00500C5C">
        <w:t>Second round assessment of risks</w:t>
      </w:r>
      <w:bookmarkEnd w:id="652"/>
      <w:bookmarkEnd w:id="653"/>
      <w:bookmarkEnd w:id="654"/>
      <w:bookmarkEnd w:id="655"/>
      <w:bookmarkEnd w:id="656"/>
      <w:bookmarkEnd w:id="657"/>
      <w:bookmarkEnd w:id="658"/>
      <w:bookmarkEnd w:id="659"/>
      <w:bookmarkEnd w:id="660"/>
    </w:p>
    <w:p w14:paraId="48E2FEE5" w14:textId="77777777" w:rsidR="00436B89" w:rsidRDefault="00436B89" w:rsidP="00436B89">
      <w:pPr>
        <w:rPr>
          <w:lang w:eastAsia="ja-JP"/>
        </w:rPr>
      </w:pPr>
      <w:r w:rsidRPr="007E483D">
        <w:rPr>
          <w:lang w:eastAsia="ja-JP"/>
        </w:rPr>
        <w:t xml:space="preserve">No new clinical information was submitted in response to questions. Accordingly, the risks of </w:t>
      </w:r>
      <w:r w:rsidR="00625EDD" w:rsidRPr="00783D42">
        <w:t>Pheburane</w:t>
      </w:r>
      <w:r w:rsidRPr="00783D42">
        <w:t xml:space="preserve"> </w:t>
      </w:r>
      <w:r w:rsidRPr="007E483D">
        <w:rPr>
          <w:lang w:eastAsia="ja-JP"/>
        </w:rPr>
        <w:t xml:space="preserve">are unchanged from those identified in </w:t>
      </w:r>
      <w:r>
        <w:t>the first round evaluation</w:t>
      </w:r>
      <w:r w:rsidRPr="007E483D">
        <w:rPr>
          <w:lang w:eastAsia="ja-JP"/>
        </w:rPr>
        <w:t>.</w:t>
      </w:r>
    </w:p>
    <w:p w14:paraId="47598629" w14:textId="77777777" w:rsidR="00436B89" w:rsidRDefault="00436B89" w:rsidP="00177802">
      <w:pPr>
        <w:pStyle w:val="Heading3"/>
        <w:numPr>
          <w:ilvl w:val="1"/>
          <w:numId w:val="5"/>
        </w:numPr>
        <w:ind w:left="907" w:hanging="794"/>
      </w:pPr>
      <w:bookmarkStart w:id="661" w:name="_Toc272414711"/>
      <w:bookmarkStart w:id="662" w:name="_Toc290888577"/>
      <w:bookmarkStart w:id="663" w:name="_Toc416353794"/>
      <w:bookmarkStart w:id="664" w:name="_Toc421005336"/>
      <w:bookmarkStart w:id="665" w:name="_Toc432079209"/>
      <w:bookmarkStart w:id="666" w:name="_Toc432080782"/>
      <w:bookmarkStart w:id="667" w:name="_Toc441843551"/>
      <w:bookmarkStart w:id="668" w:name="_Toc473013928"/>
      <w:bookmarkStart w:id="669" w:name="_Toc505179720"/>
      <w:r w:rsidRPr="00545B14">
        <w:t xml:space="preserve">Second round assessment of benefit-risk </w:t>
      </w:r>
      <w:bookmarkEnd w:id="661"/>
      <w:bookmarkEnd w:id="662"/>
      <w:bookmarkEnd w:id="663"/>
      <w:bookmarkEnd w:id="664"/>
      <w:r>
        <w:t>balance</w:t>
      </w:r>
      <w:bookmarkEnd w:id="665"/>
      <w:bookmarkEnd w:id="666"/>
      <w:bookmarkEnd w:id="667"/>
      <w:bookmarkEnd w:id="668"/>
      <w:bookmarkEnd w:id="669"/>
    </w:p>
    <w:p w14:paraId="507CAD1C" w14:textId="77777777" w:rsidR="00436B89" w:rsidRDefault="00436B89" w:rsidP="00436B89">
      <w:pPr>
        <w:pStyle w:val="ListBullet"/>
        <w:numPr>
          <w:ilvl w:val="0"/>
          <w:numId w:val="0"/>
        </w:numPr>
      </w:pPr>
      <w:r>
        <w:t xml:space="preserve">The benefit-risk balance of </w:t>
      </w:r>
      <w:r w:rsidRPr="00783D42">
        <w:t xml:space="preserve">Pheburane, </w:t>
      </w:r>
      <w:r>
        <w:t>given the proposed usage, is favourable.</w:t>
      </w:r>
    </w:p>
    <w:p w14:paraId="5A09D952" w14:textId="77777777" w:rsidR="00436B89" w:rsidRDefault="00436B89" w:rsidP="00436B89">
      <w:pPr>
        <w:pStyle w:val="ListBullet"/>
        <w:numPr>
          <w:ilvl w:val="0"/>
          <w:numId w:val="0"/>
        </w:numPr>
      </w:pPr>
      <w:r>
        <w:rPr>
          <w:lang w:eastAsia="ja-JP"/>
        </w:rPr>
        <w:t xml:space="preserve">Given the nature of the </w:t>
      </w:r>
      <w:r w:rsidRPr="00A613A8">
        <w:rPr>
          <w:lang w:eastAsia="en-AU"/>
        </w:rPr>
        <w:t>urea cycle disorders</w:t>
      </w:r>
      <w:r>
        <w:rPr>
          <w:lang w:eastAsia="ja-JP"/>
        </w:rPr>
        <w:t xml:space="preserve">, the potential adverse neurological outcomes from untreated disease, and the limited available treatment. The available efficacy and safety data, albeit limited, supports the relative safety of </w:t>
      </w:r>
      <w:r w:rsidRPr="00783D42">
        <w:t xml:space="preserve">Pheburane </w:t>
      </w:r>
      <w:r>
        <w:t xml:space="preserve">when compared to the poor neurological outcomes described for untreated </w:t>
      </w:r>
      <w:r w:rsidRPr="00A613A8">
        <w:rPr>
          <w:lang w:eastAsia="en-AU"/>
        </w:rPr>
        <w:t>urea cycle disorders</w:t>
      </w:r>
      <w:r>
        <w:rPr>
          <w:lang w:eastAsia="en-AU"/>
        </w:rPr>
        <w:t>.</w:t>
      </w:r>
      <w:r>
        <w:rPr>
          <w:lang w:eastAsia="ja-JP"/>
        </w:rPr>
        <w:t xml:space="preserve"> Pharmacokinetic data supporting the proposed dosing regimen is inadequate but could be improved through post-marketing pharmacokinetic studies. </w:t>
      </w:r>
    </w:p>
    <w:p w14:paraId="46E309F0" w14:textId="77777777" w:rsidR="00436B89" w:rsidRDefault="00436B89" w:rsidP="00177802">
      <w:pPr>
        <w:pStyle w:val="Heading2"/>
        <w:numPr>
          <w:ilvl w:val="0"/>
          <w:numId w:val="5"/>
        </w:numPr>
      </w:pPr>
      <w:bookmarkStart w:id="670" w:name="_Toc441843552"/>
      <w:bookmarkStart w:id="671" w:name="_Toc473013929"/>
      <w:bookmarkStart w:id="672" w:name="_Toc505179721"/>
      <w:r>
        <w:t>Second round recommendation regarding authorisation</w:t>
      </w:r>
      <w:bookmarkEnd w:id="670"/>
      <w:bookmarkEnd w:id="671"/>
      <w:bookmarkEnd w:id="672"/>
    </w:p>
    <w:p w14:paraId="0F010C4A" w14:textId="77777777" w:rsidR="00436B89" w:rsidRDefault="00436B89" w:rsidP="00330DFB">
      <w:r>
        <w:t xml:space="preserve">Approval of </w:t>
      </w:r>
      <w:r w:rsidRPr="00B71CE5">
        <w:rPr>
          <w:lang w:eastAsia="ja-JP"/>
        </w:rPr>
        <w:t xml:space="preserve">Pheburane </w:t>
      </w:r>
      <w:r>
        <w:t xml:space="preserve">is recommended </w:t>
      </w:r>
      <w:r w:rsidRPr="00A613A8">
        <w:rPr>
          <w:lang w:eastAsia="en-AU"/>
        </w:rPr>
        <w:t>as adjunctive therapy in the chronic management of urea cycle disorders, involving deficiencies of carbamylphosphate synthetase, ornithine transcarbamylase or argininosuccinate synthetase.</w:t>
      </w:r>
    </w:p>
    <w:p w14:paraId="36412D07" w14:textId="77777777" w:rsidR="00436B89" w:rsidRDefault="00436B89" w:rsidP="00330DFB">
      <w:pPr>
        <w:rPr>
          <w:lang w:eastAsia="ja-JP"/>
        </w:rPr>
      </w:pPr>
      <w:r w:rsidRPr="00B71CE5">
        <w:rPr>
          <w:lang w:eastAsia="ja-JP"/>
        </w:rPr>
        <w:t xml:space="preserve">The evaluator </w:t>
      </w:r>
      <w:r>
        <w:rPr>
          <w:lang w:eastAsia="ja-JP"/>
        </w:rPr>
        <w:t>did</w:t>
      </w:r>
      <w:r w:rsidRPr="00B71CE5">
        <w:rPr>
          <w:lang w:eastAsia="ja-JP"/>
        </w:rPr>
        <w:t xml:space="preserve"> not recommend authorisation of Pheburane </w:t>
      </w:r>
      <w:r>
        <w:rPr>
          <w:lang w:eastAsia="ja-JP"/>
        </w:rPr>
        <w:t xml:space="preserve">in the first-round assessment </w:t>
      </w:r>
      <w:r w:rsidRPr="00B71CE5">
        <w:rPr>
          <w:lang w:eastAsia="ja-JP"/>
        </w:rPr>
        <w:t xml:space="preserve">until the deficiencies in the data are addressed. </w:t>
      </w:r>
      <w:r>
        <w:rPr>
          <w:lang w:eastAsia="ja-JP"/>
        </w:rPr>
        <w:t xml:space="preserve">It is clear from the responses of the sponsor, that they have a limited ability to address these concerns (other than a single bioequivalence study) as the application is based upon the available literature. Given the nature of the UCDs, the potential adverse neurological outcomes from untreated disease, and the limited available treatments, the evaluator concludes that the </w:t>
      </w:r>
      <w:r w:rsidRPr="00B71CE5">
        <w:rPr>
          <w:lang w:eastAsia="ja-JP"/>
        </w:rPr>
        <w:t>authorisation could be recommended.</w:t>
      </w:r>
    </w:p>
    <w:p w14:paraId="7D693D95" w14:textId="77777777" w:rsidR="00436B89" w:rsidRDefault="00436B89" w:rsidP="00330DFB">
      <w:pPr>
        <w:rPr>
          <w:lang w:eastAsia="ja-JP"/>
        </w:rPr>
      </w:pPr>
      <w:r>
        <w:rPr>
          <w:lang w:eastAsia="ja-JP"/>
        </w:rPr>
        <w:t>The sponsor should be encouraged to collect detailed ongoing safety and efficacy data as part of therapy. Furthermore, the sponsor should conduct a post-marketing pharmacokinetic study using a sparse-sampling technique to better characterise the dose-concentration relationship over the proposed dosing range in order to better justify the current dosing regimen.</w:t>
      </w:r>
    </w:p>
    <w:p w14:paraId="496C6761" w14:textId="77777777" w:rsidR="003D1E62" w:rsidRDefault="00436B89" w:rsidP="00436B89">
      <w:pPr>
        <w:pStyle w:val="Heading2"/>
      </w:pPr>
      <w:bookmarkStart w:id="673" w:name="_Toc473013934"/>
      <w:bookmarkStart w:id="674" w:name="_Toc505179722"/>
      <w:r>
        <w:t>R</w:t>
      </w:r>
      <w:r w:rsidRPr="00A613A8">
        <w:t>eferences</w:t>
      </w:r>
      <w:bookmarkEnd w:id="673"/>
      <w:bookmarkEnd w:id="674"/>
    </w:p>
    <w:p w14:paraId="5EC6BD97" w14:textId="77777777" w:rsidR="00C02F33" w:rsidRPr="00C02F33" w:rsidRDefault="00C02F33" w:rsidP="00C02F33">
      <w:pPr>
        <w:ind w:left="142" w:hanging="142"/>
      </w:pPr>
      <w:r w:rsidRPr="00C02F33">
        <w:t>Anadiotis G, Ierardi-Curto L, Kaplan PB, Berry GT. Ornithine transcarbamylase deficiency and pancreatitis. J Pediatr 2001</w:t>
      </w:r>
      <w:proofErr w:type="gramStart"/>
      <w:r w:rsidRPr="00C02F33">
        <w:t>;138</w:t>
      </w:r>
      <w:proofErr w:type="gramEnd"/>
      <w:r w:rsidRPr="00C02F33">
        <w:t>(1):123-4.</w:t>
      </w:r>
    </w:p>
    <w:p w14:paraId="09644365" w14:textId="77777777" w:rsidR="00344252" w:rsidRDefault="00344252" w:rsidP="00344252">
      <w:pPr>
        <w:ind w:left="142" w:hanging="142"/>
        <w:rPr>
          <w:lang w:eastAsia="ja-JP"/>
        </w:rPr>
      </w:pPr>
      <w:proofErr w:type="gramStart"/>
      <w:r>
        <w:rPr>
          <w:lang w:eastAsia="ja-JP"/>
        </w:rPr>
        <w:lastRenderedPageBreak/>
        <w:t>Anon. Sodium phenylbutyrate for urea cycle enzyme deficiencies.</w:t>
      </w:r>
      <w:proofErr w:type="gramEnd"/>
      <w:r>
        <w:rPr>
          <w:lang w:eastAsia="ja-JP"/>
        </w:rPr>
        <w:t xml:space="preserve"> Med Lett Drugs Ther 1996</w:t>
      </w:r>
      <w:proofErr w:type="gramStart"/>
      <w:r>
        <w:rPr>
          <w:lang w:eastAsia="ja-JP"/>
        </w:rPr>
        <w:t>;38</w:t>
      </w:r>
      <w:proofErr w:type="gramEnd"/>
      <w:r>
        <w:rPr>
          <w:lang w:eastAsia="ja-JP"/>
        </w:rPr>
        <w:t>(988):105-6.</w:t>
      </w:r>
    </w:p>
    <w:p w14:paraId="667A1EA1" w14:textId="77777777" w:rsidR="00344252" w:rsidRDefault="00344252" w:rsidP="00344252">
      <w:pPr>
        <w:ind w:left="142" w:hanging="142"/>
        <w:rPr>
          <w:lang w:eastAsia="ja-JP"/>
        </w:rPr>
      </w:pPr>
      <w:proofErr w:type="gramStart"/>
      <w:r>
        <w:rPr>
          <w:lang w:eastAsia="ja-JP"/>
        </w:rPr>
        <w:t>Australasian Society for Inborn Errors of Metabolism (ASIEM).</w:t>
      </w:r>
      <w:proofErr w:type="gramEnd"/>
      <w:r>
        <w:rPr>
          <w:lang w:eastAsia="ja-JP"/>
        </w:rPr>
        <w:t xml:space="preserve"> </w:t>
      </w:r>
      <w:proofErr w:type="gramStart"/>
      <w:r>
        <w:rPr>
          <w:lang w:eastAsia="ja-JP"/>
        </w:rPr>
        <w:t>The ASIEM Low Protein Handbook for Urea Cycle Disorders.</w:t>
      </w:r>
      <w:proofErr w:type="gramEnd"/>
      <w:r>
        <w:rPr>
          <w:lang w:eastAsia="ja-JP"/>
        </w:rPr>
        <w:t xml:space="preserve"> </w:t>
      </w:r>
      <w:proofErr w:type="gramStart"/>
      <w:r>
        <w:rPr>
          <w:lang w:eastAsia="ja-JP"/>
        </w:rPr>
        <w:t>Human Genetics Society of Australasia (HGSA),</w:t>
      </w:r>
      <w:r w:rsidR="00C02F33">
        <w:rPr>
          <w:lang w:eastAsia="ja-JP"/>
        </w:rPr>
        <w:t xml:space="preserve"> </w:t>
      </w:r>
      <w:r>
        <w:rPr>
          <w:lang w:eastAsia="ja-JP"/>
        </w:rPr>
        <w:t>2007.</w:t>
      </w:r>
      <w:proofErr w:type="gramEnd"/>
    </w:p>
    <w:p w14:paraId="75F5F561" w14:textId="77777777" w:rsidR="00FC3453" w:rsidRDefault="00FC3453" w:rsidP="00330DFB">
      <w:pPr>
        <w:ind w:left="142" w:hanging="142"/>
        <w:rPr>
          <w:lang w:eastAsia="ja-JP"/>
        </w:rPr>
      </w:pPr>
      <w:r w:rsidRPr="00FC3453">
        <w:rPr>
          <w:lang w:eastAsia="ja-JP"/>
        </w:rPr>
        <w:t>Bachmann C: Outcome and survival of 88 patients with urea cycle disorders: a retrospective evaluation. Eur J Pediatr 2003; 162 (6): 410-6</w:t>
      </w:r>
    </w:p>
    <w:p w14:paraId="77D383D8" w14:textId="77777777" w:rsidR="00FC3453" w:rsidRDefault="00FC3453" w:rsidP="00330DFB">
      <w:pPr>
        <w:ind w:left="142" w:hanging="142"/>
        <w:rPr>
          <w:lang w:eastAsia="ja-JP"/>
        </w:rPr>
      </w:pPr>
      <w:r w:rsidRPr="00FC3453">
        <w:rPr>
          <w:lang w:eastAsia="ja-JP"/>
        </w:rPr>
        <w:t>Batshaw ML, Macarthur RB, Tuchman M: Alternative pathway therapy for urea cycle disorders: Twenty years later; J Pediatr 2001 (138); 1 Pt 2: S46-S55</w:t>
      </w:r>
    </w:p>
    <w:p w14:paraId="0875EE2F" w14:textId="77777777" w:rsidR="001A6E73" w:rsidRDefault="001A6E73" w:rsidP="00330DFB">
      <w:pPr>
        <w:ind w:left="142" w:hanging="142"/>
        <w:rPr>
          <w:lang w:eastAsia="ja-JP"/>
        </w:rPr>
      </w:pPr>
      <w:r>
        <w:rPr>
          <w:lang w:eastAsia="ja-JP"/>
        </w:rPr>
        <w:t xml:space="preserve">Berry SA; Lichter-Konecki U; Diaz GA; McCandless SE; et al. Glycerol phenylbutyrate treatment in children with urea cycle disorders: pooled analysis of short and long-term ammonia control and outcomes. </w:t>
      </w:r>
      <w:proofErr w:type="gramStart"/>
      <w:r>
        <w:rPr>
          <w:lang w:eastAsia="ja-JP"/>
        </w:rPr>
        <w:t>Molecular Genetics &amp; Metabolism.</w:t>
      </w:r>
      <w:proofErr w:type="gramEnd"/>
      <w:r>
        <w:rPr>
          <w:lang w:eastAsia="ja-JP"/>
        </w:rPr>
        <w:t xml:space="preserve"> 112(1):17-24, 2014.</w:t>
      </w:r>
    </w:p>
    <w:p w14:paraId="2F3F262A" w14:textId="77777777" w:rsidR="00C40299" w:rsidRDefault="00C40299" w:rsidP="00330DFB">
      <w:pPr>
        <w:ind w:left="142" w:hanging="142"/>
        <w:rPr>
          <w:lang w:eastAsia="ja-JP"/>
        </w:rPr>
      </w:pPr>
      <w:r w:rsidRPr="00C40299">
        <w:rPr>
          <w:lang w:eastAsia="ja-JP"/>
        </w:rPr>
        <w:t>Burlina AB, Ogier H, Korall H, et al.; Long-term treatment with sodium phenylbutyrate in ornithine transcarbamylase- deficient patients; Mol Genet Metab 2001; 72 (4): 351-5</w:t>
      </w:r>
    </w:p>
    <w:p w14:paraId="24A7EFBA" w14:textId="77777777" w:rsidR="00EF0088" w:rsidRDefault="00EF0088" w:rsidP="00330DFB">
      <w:pPr>
        <w:ind w:left="142" w:hanging="142"/>
        <w:rPr>
          <w:lang w:eastAsia="ja-JP"/>
        </w:rPr>
      </w:pPr>
      <w:r w:rsidRPr="00EF0088">
        <w:rPr>
          <w:lang w:eastAsia="ja-JP"/>
        </w:rPr>
        <w:t>Brusilow SW, Maestri NE: Urea cycle disorders: diagnosis, pathophysiology, and therapy. Adv Pediatr 1996; 43: 127-70</w:t>
      </w:r>
    </w:p>
    <w:p w14:paraId="59A47D93" w14:textId="77777777" w:rsidR="001A6E73" w:rsidRDefault="001A6E73" w:rsidP="00330DFB">
      <w:pPr>
        <w:ind w:left="142" w:hanging="142"/>
      </w:pPr>
      <w:r w:rsidRPr="001A6E73">
        <w:t xml:space="preserve">Brusilow SW, Valle DL, Batshaw M. </w:t>
      </w:r>
      <w:proofErr w:type="gramStart"/>
      <w:r w:rsidRPr="001A6E73">
        <w:t>New pathways of nitrogen excretion in inborn errors of urea synthesis.</w:t>
      </w:r>
      <w:proofErr w:type="gramEnd"/>
      <w:r w:rsidRPr="001A6E73">
        <w:t xml:space="preserve"> Lancet 1979; 2:452-4 </w:t>
      </w:r>
    </w:p>
    <w:p w14:paraId="1672436D" w14:textId="77777777" w:rsidR="000E4E4A" w:rsidRDefault="000E4E4A" w:rsidP="00330DFB">
      <w:pPr>
        <w:ind w:left="142" w:hanging="142"/>
      </w:pPr>
      <w:r w:rsidRPr="000E4E4A">
        <w:t>Brusilow, S., et al., "Amino Acid Acylation: a Mechanism of Nitrogen Excretion in Inborn Errors of Urea Synthesis," Science 207:659-661 (1980).</w:t>
      </w:r>
    </w:p>
    <w:p w14:paraId="389169F7" w14:textId="77777777" w:rsidR="00EF0088" w:rsidRDefault="00EF0088" w:rsidP="00330DFB">
      <w:pPr>
        <w:ind w:left="142" w:hanging="142"/>
      </w:pPr>
      <w:r w:rsidRPr="00EF0088">
        <w:t>Brusilow SW: Chapt32-Urea Cycle Enzymes. In “The Metabolic and Mole Bases of Inher Dis” McGraw-Hill 1997 vol. II (85) p1909</w:t>
      </w:r>
    </w:p>
    <w:p w14:paraId="3D9AF981" w14:textId="77777777" w:rsidR="00FC3453" w:rsidRDefault="00FC3453" w:rsidP="00330DFB">
      <w:pPr>
        <w:ind w:left="142" w:hanging="142"/>
      </w:pPr>
      <w:r w:rsidRPr="00FC3453">
        <w:t>Brusilow SW, Traystman R: Hepatic encephalopathy. N Engl J Med 1986: 314:768</w:t>
      </w:r>
    </w:p>
    <w:p w14:paraId="7D629C5B" w14:textId="77777777" w:rsidR="00FC3453" w:rsidRDefault="00FC3453" w:rsidP="00330DFB">
      <w:pPr>
        <w:ind w:left="142" w:hanging="142"/>
      </w:pPr>
      <w:r w:rsidRPr="00FC3453">
        <w:t>Brusilow SW: Phenylacetylglutamine may replace urea as a vehicle for waste nitrogen excretion Pediatr Res 1991; 29 (2) 147-150</w:t>
      </w:r>
    </w:p>
    <w:p w14:paraId="4B154EBC" w14:textId="77777777" w:rsidR="00FC3453" w:rsidRDefault="00FC3453" w:rsidP="00330DFB">
      <w:pPr>
        <w:ind w:left="142" w:hanging="142"/>
      </w:pPr>
      <w:r w:rsidRPr="00FC3453">
        <w:t>Brusilow SW, Finkelstien J: Restoration of nitrogen homeostasis in a man with ornithine transcarbamylase deficiency. Metabolism 1993; 42 (10): 1336-9</w:t>
      </w:r>
    </w:p>
    <w:p w14:paraId="0B7A6FEC" w14:textId="77777777" w:rsidR="001A6E73" w:rsidRDefault="001A6E73" w:rsidP="00330DFB">
      <w:pPr>
        <w:ind w:left="142" w:hanging="142"/>
      </w:pPr>
      <w:proofErr w:type="gramStart"/>
      <w:r w:rsidRPr="001A6E73">
        <w:t>Burrage.</w:t>
      </w:r>
      <w:proofErr w:type="gramEnd"/>
      <w:r w:rsidRPr="001A6E73">
        <w:t xml:space="preserve"> </w:t>
      </w:r>
      <w:proofErr w:type="gramStart"/>
      <w:r w:rsidRPr="001A6E73">
        <w:t>L.C, Jain.M, Gandolfo.L, Lee.</w:t>
      </w:r>
      <w:proofErr w:type="gramEnd"/>
      <w:r w:rsidRPr="001A6E73">
        <w:t xml:space="preserve"> </w:t>
      </w:r>
      <w:proofErr w:type="gramStart"/>
      <w:r w:rsidRPr="001A6E73">
        <w:t>B.H, Members of the Urea Cycle Disorders Consortium, and Nagamani.S.C.S.</w:t>
      </w:r>
      <w:proofErr w:type="gramEnd"/>
      <w:r w:rsidRPr="001A6E73">
        <w:t xml:space="preserve"> Sodium Phenylbutyrate Decreases Plasma Branched-Chain Amino Acids in Patients with Urea Cycle Disorders. </w:t>
      </w:r>
      <w:proofErr w:type="gramStart"/>
      <w:r w:rsidRPr="001A6E73">
        <w:t>Mol Genet Metab.</w:t>
      </w:r>
      <w:proofErr w:type="gramEnd"/>
      <w:r w:rsidRPr="001A6E73">
        <w:t xml:space="preserve"> 113(0): 131–135. 2014</w:t>
      </w:r>
    </w:p>
    <w:p w14:paraId="73245A3E" w14:textId="77777777" w:rsidR="00344252" w:rsidRDefault="00344252" w:rsidP="00344252">
      <w:pPr>
        <w:ind w:left="142" w:hanging="142"/>
      </w:pPr>
      <w:r>
        <w:t>Camacho LH, Olson J, Tong WP, Young CW, Spriggs DR, Malkin MG. Phase I dose escalation clinical trial of phenylbutyrate sodium administered twice daily to patients with advanced solid tumors. Invest New Drugs 2007</w:t>
      </w:r>
      <w:proofErr w:type="gramStart"/>
      <w:r>
        <w:t>;25</w:t>
      </w:r>
      <w:proofErr w:type="gramEnd"/>
      <w:r>
        <w:t>(2):131-8.</w:t>
      </w:r>
    </w:p>
    <w:p w14:paraId="54A6EE7D" w14:textId="77777777" w:rsidR="00FC3453" w:rsidRDefault="00FC3453" w:rsidP="00330DFB">
      <w:pPr>
        <w:ind w:left="142" w:hanging="142"/>
      </w:pPr>
      <w:r w:rsidRPr="00FC3453">
        <w:t xml:space="preserve">Carducci MA, Gilbert J, Bowling MK, et al.: A </w:t>
      </w:r>
      <w:proofErr w:type="gramStart"/>
      <w:r w:rsidRPr="00FC3453">
        <w:t>Phase</w:t>
      </w:r>
      <w:proofErr w:type="gramEnd"/>
      <w:r w:rsidRPr="00FC3453">
        <w:t xml:space="preserve"> I clinical and pharmacological evaluation of sodium phenylbutyrate on an 120-h infusion schedule. Clin Cancer Res 2001; 7(10): 3047-55</w:t>
      </w:r>
    </w:p>
    <w:p w14:paraId="231815E4" w14:textId="77777777" w:rsidR="00EF0088" w:rsidRDefault="00EF0088" w:rsidP="00330DFB">
      <w:pPr>
        <w:ind w:left="142" w:hanging="142"/>
      </w:pPr>
      <w:r w:rsidRPr="00EF0088">
        <w:t xml:space="preserve">Collins AF, Pearson HA, </w:t>
      </w:r>
      <w:proofErr w:type="gramStart"/>
      <w:r w:rsidRPr="00EF0088">
        <w:t>Giardina</w:t>
      </w:r>
      <w:proofErr w:type="gramEnd"/>
      <w:r w:rsidRPr="00EF0088">
        <w:t xml:space="preserve"> P, et al.: Oral sodium phenylbutyrate therapy in homozygous beta thalassemia: a clinical trial. Blood 1995; 85(1): 43-9</w:t>
      </w:r>
    </w:p>
    <w:p w14:paraId="6E0C958E" w14:textId="77777777" w:rsidR="00344252" w:rsidRDefault="00344252" w:rsidP="00344252">
      <w:pPr>
        <w:ind w:left="142" w:hanging="142"/>
      </w:pPr>
      <w:r>
        <w:t>Cudkowicz ME, Andres PL, Macdonald SA, Bedlack RS, Choudry R, Brown RH, Jr., et al. Phase 2 study of sodium phenylbutyrate in ALS. Amyotroph Lateral Scler 2009</w:t>
      </w:r>
      <w:proofErr w:type="gramStart"/>
      <w:r>
        <w:t>;10</w:t>
      </w:r>
      <w:proofErr w:type="gramEnd"/>
      <w:r>
        <w:t>(2):99- 106.</w:t>
      </w:r>
    </w:p>
    <w:p w14:paraId="73D25E98" w14:textId="77777777" w:rsidR="00CB18CE" w:rsidRDefault="00CB18CE" w:rsidP="00CB18CE">
      <w:pPr>
        <w:ind w:left="142" w:hanging="142"/>
      </w:pPr>
      <w:r>
        <w:t>Diaz GA; Krivitzky LS; Mokhtarani M; Rhead W; et al. Ammonia control and neurocognitive outcome among urea cycle disorder (UCD) patients treated with glycerol phenylbutyrate (GPB) Hepatology 2013 57(6): 2171-2179</w:t>
      </w:r>
    </w:p>
    <w:p w14:paraId="6883F0B7" w14:textId="77777777" w:rsidR="00344252" w:rsidRDefault="00344252" w:rsidP="00344252">
      <w:pPr>
        <w:ind w:left="142" w:hanging="142"/>
      </w:pPr>
      <w:proofErr w:type="gramStart"/>
      <w:r>
        <w:t>European Medicines Agency.</w:t>
      </w:r>
      <w:proofErr w:type="gramEnd"/>
      <w:r>
        <w:t xml:space="preserve"> Committee for Medicinal Products for Human Use (CHMP) Assessment report: Ravicti (glycerol phenylbutyrate). </w:t>
      </w:r>
      <w:proofErr w:type="gramStart"/>
      <w:r>
        <w:t>EMA/676925/2015.</w:t>
      </w:r>
      <w:proofErr w:type="gramEnd"/>
      <w:r>
        <w:t xml:space="preserve"> </w:t>
      </w:r>
      <w:proofErr w:type="gramStart"/>
      <w:r>
        <w:t>London, 2015.</w:t>
      </w:r>
      <w:proofErr w:type="gramEnd"/>
    </w:p>
    <w:p w14:paraId="28B6944B" w14:textId="77777777" w:rsidR="00344252" w:rsidRDefault="00344252" w:rsidP="00344252">
      <w:pPr>
        <w:ind w:left="142" w:hanging="142"/>
      </w:pPr>
      <w:proofErr w:type="gramStart"/>
      <w:r>
        <w:lastRenderedPageBreak/>
        <w:t>European Medicines Agency.</w:t>
      </w:r>
      <w:proofErr w:type="gramEnd"/>
      <w:r>
        <w:t xml:space="preserve"> Committee for Medicinal Products for Human Use (CHMP) European Public Assessment Report (EPAR): Ammonaps. </w:t>
      </w:r>
      <w:proofErr w:type="gramStart"/>
      <w:r>
        <w:t>Scientific Discussion.</w:t>
      </w:r>
      <w:proofErr w:type="gramEnd"/>
      <w:r>
        <w:t xml:space="preserve"> </w:t>
      </w:r>
      <w:proofErr w:type="gramStart"/>
      <w:r>
        <w:t>London, 2009.</w:t>
      </w:r>
      <w:proofErr w:type="gramEnd"/>
      <w:r>
        <w:t xml:space="preserve"> http://www.ema.europa.eu/docs/en_GB/document_library/EPAR_-_Scientific_Discussion/human/000219/WC500024748.pdf</w:t>
      </w:r>
    </w:p>
    <w:p w14:paraId="7F63C5BA" w14:textId="77777777" w:rsidR="00C40299" w:rsidRDefault="00EF0088" w:rsidP="00C40299">
      <w:pPr>
        <w:ind w:left="142" w:hanging="142"/>
      </w:pPr>
      <w:r w:rsidRPr="00EF0088">
        <w:t xml:space="preserve">European Paediatric Formulation Initiative (EuPFI) Conference Formulating Better Medicines for Children www.eupfi.org (EuPFI, Berlin, September 2010): </w:t>
      </w:r>
    </w:p>
    <w:p w14:paraId="31A57186" w14:textId="77777777" w:rsidR="001657BC" w:rsidRDefault="001657BC" w:rsidP="001657BC">
      <w:pPr>
        <w:ind w:left="142" w:hanging="142"/>
      </w:pPr>
      <w:proofErr w:type="gramStart"/>
      <w:r>
        <w:t>FDA.</w:t>
      </w:r>
      <w:proofErr w:type="gramEnd"/>
      <w:r>
        <w:t xml:space="preserve"> </w:t>
      </w:r>
      <w:proofErr w:type="gramStart"/>
      <w:r>
        <w:t>Center for Drug Evaluation and Research.</w:t>
      </w:r>
      <w:proofErr w:type="gramEnd"/>
      <w:r>
        <w:t xml:space="preserve"> </w:t>
      </w:r>
      <w:proofErr w:type="gramStart"/>
      <w:r>
        <w:t>Pharmacology Review.</w:t>
      </w:r>
      <w:proofErr w:type="gramEnd"/>
      <w:r>
        <w:t xml:space="preserve"> Application Number: 203284Orig1s000. </w:t>
      </w:r>
      <w:proofErr w:type="gramStart"/>
      <w:r>
        <w:t>Ravicti (glycerol phenylbutyrate).</w:t>
      </w:r>
      <w:proofErr w:type="gramEnd"/>
      <w:r>
        <w:t xml:space="preserve"> 2013. http://www.accessdata.fda.gov/drugsatfda_docs/nda/2013/203284Orig1s000PharmR.pdf</w:t>
      </w:r>
    </w:p>
    <w:p w14:paraId="3300EC62" w14:textId="77777777" w:rsidR="001657BC" w:rsidRDefault="001657BC" w:rsidP="001657BC">
      <w:pPr>
        <w:ind w:left="142" w:hanging="142"/>
      </w:pPr>
      <w:r>
        <w:t xml:space="preserve">Feillet F, Leonard JV. </w:t>
      </w:r>
      <w:proofErr w:type="gramStart"/>
      <w:r>
        <w:t>Alternative pathway therapy for urea cycle disorders.</w:t>
      </w:r>
      <w:proofErr w:type="gramEnd"/>
      <w:r>
        <w:t xml:space="preserve"> J Inherit Metab Dis 1998</w:t>
      </w:r>
      <w:proofErr w:type="gramStart"/>
      <w:r>
        <w:t>;21</w:t>
      </w:r>
      <w:proofErr w:type="gramEnd"/>
      <w:r>
        <w:t xml:space="preserve"> Suppl 1:101-11.</w:t>
      </w:r>
    </w:p>
    <w:p w14:paraId="4579491D" w14:textId="77777777" w:rsidR="00EF0088" w:rsidRDefault="00EF0088" w:rsidP="00330DFB">
      <w:pPr>
        <w:ind w:left="142" w:hanging="142"/>
      </w:pPr>
      <w:r w:rsidRPr="00EF0088">
        <w:t>Gilbert J, Baker SD, Bowling MK et al.: A phase I dose escalation and bioavailability study of oral sodium phenylbutyrate in patients with refractory solid tumor malignancies. Clin Cancer Res 2001; 7(8): 2292-300</w:t>
      </w:r>
    </w:p>
    <w:p w14:paraId="58F6AB62" w14:textId="77777777" w:rsidR="005F21FF" w:rsidRDefault="005F21FF" w:rsidP="001657BC">
      <w:pPr>
        <w:ind w:left="142" w:hanging="142"/>
      </w:pPr>
      <w:r w:rsidRPr="005F21FF">
        <w:t xml:space="preserve">Gore SD1, Weng LJ, Figg WD, Zhai S, Donehower RC, Dover G, Grever MR, Griffin C, Grochow LB, Hawkins A, Burks K, Zabelena Y, Miller CB. </w:t>
      </w:r>
      <w:proofErr w:type="gramStart"/>
      <w:r w:rsidRPr="005F21FF">
        <w:t>Impact of prolonged infusions of the putative differentiating agent sodium phenylbutyrate on myelodysplastic syndromes and acute myeloid leukemia.</w:t>
      </w:r>
      <w:proofErr w:type="gramEnd"/>
      <w:r w:rsidRPr="005F21FF">
        <w:t xml:space="preserve"> Clin Cancer Res. 2002 Apr</w:t>
      </w:r>
      <w:proofErr w:type="gramStart"/>
      <w:r w:rsidRPr="005F21FF">
        <w:t>;8</w:t>
      </w:r>
      <w:proofErr w:type="gramEnd"/>
      <w:r w:rsidRPr="005F21FF">
        <w:t>(4):963-70</w:t>
      </w:r>
    </w:p>
    <w:p w14:paraId="0A19C43E" w14:textId="77777777" w:rsidR="00436B89" w:rsidRDefault="001A6E73" w:rsidP="00330DFB">
      <w:pPr>
        <w:ind w:left="142" w:hanging="142"/>
      </w:pPr>
      <w:r w:rsidRPr="001A6E73">
        <w:t>Guffon N. et al, Developing a new formulation of sodium phenylbutyrate Archives of Disease in Childhood (2012) 97:1081-85</w:t>
      </w:r>
    </w:p>
    <w:p w14:paraId="198A38BF" w14:textId="77777777" w:rsidR="00C02F33" w:rsidRDefault="00C02F33" w:rsidP="00330DFB">
      <w:pPr>
        <w:ind w:left="142" w:hanging="142"/>
      </w:pPr>
      <w:r w:rsidRPr="00C02F33">
        <w:t>Häberle: Clinical practice; Management of hyperammonemia. Eur J Pediatrics 2011; 170(1): 21-34</w:t>
      </w:r>
    </w:p>
    <w:p w14:paraId="66AFB008" w14:textId="77777777" w:rsidR="00FC3453" w:rsidRDefault="00FC3453" w:rsidP="00330DFB">
      <w:pPr>
        <w:ind w:left="142" w:hanging="142"/>
      </w:pPr>
      <w:r w:rsidRPr="00FC3453">
        <w:t>Kasumov T, Brunengraber LL, Comte B et al.: New secondary metabolites of phenylbutyrate in humans and rats. Drug Metab Dispos 2004; 32(1): 10-9</w:t>
      </w:r>
    </w:p>
    <w:p w14:paraId="7D010908" w14:textId="77777777" w:rsidR="001A6E73" w:rsidRDefault="001A6E73" w:rsidP="00330DFB">
      <w:pPr>
        <w:ind w:left="142" w:hanging="142"/>
      </w:pPr>
      <w:r w:rsidRPr="001A6E73">
        <w:t xml:space="preserve">Kibleur Y.A. Dobbelaere D. Barth M. Brassier A. Guffon N. Results from a nationwide cohort temporary utilization authorization (ATU) survey of patients in France treated with Pheburane (sodium phenylbutyrate) taste-masked granules. </w:t>
      </w:r>
      <w:proofErr w:type="gramStart"/>
      <w:r w:rsidRPr="001A6E73">
        <w:t>Journal of Inherited Metabolic Disease (2014) 37:1 SUPPL. 1 (S81).</w:t>
      </w:r>
      <w:proofErr w:type="gramEnd"/>
    </w:p>
    <w:p w14:paraId="2BC467DA" w14:textId="77777777" w:rsidR="007149A2" w:rsidRDefault="00D34F8E" w:rsidP="007149A2">
      <w:pPr>
        <w:ind w:left="142" w:hanging="142"/>
      </w:pPr>
      <w:hyperlink r:id="rId83" w:history="1">
        <w:r w:rsidR="007149A2" w:rsidRPr="007149A2">
          <w:t>Llansola M</w:t>
        </w:r>
      </w:hyperlink>
      <w:r w:rsidR="007149A2" w:rsidRPr="007149A2">
        <w:t xml:space="preserve">1, </w:t>
      </w:r>
      <w:hyperlink r:id="rId84" w:history="1">
        <w:r w:rsidR="007149A2" w:rsidRPr="007149A2">
          <w:t>Rodrigo R</w:t>
        </w:r>
      </w:hyperlink>
      <w:r w:rsidR="007149A2" w:rsidRPr="007149A2">
        <w:t xml:space="preserve">, </w:t>
      </w:r>
      <w:hyperlink r:id="rId85" w:history="1">
        <w:r w:rsidR="007149A2" w:rsidRPr="007149A2">
          <w:t>Monfort P</w:t>
        </w:r>
      </w:hyperlink>
      <w:r w:rsidR="007149A2" w:rsidRPr="007149A2">
        <w:t xml:space="preserve">, </w:t>
      </w:r>
      <w:hyperlink r:id="rId86" w:history="1">
        <w:r w:rsidR="007149A2" w:rsidRPr="007149A2">
          <w:t>Montoliu C</w:t>
        </w:r>
      </w:hyperlink>
      <w:r w:rsidR="007149A2" w:rsidRPr="007149A2">
        <w:t xml:space="preserve">, </w:t>
      </w:r>
      <w:hyperlink r:id="rId87" w:history="1">
        <w:r w:rsidR="007149A2" w:rsidRPr="007149A2">
          <w:t>Kosenko E</w:t>
        </w:r>
      </w:hyperlink>
      <w:r w:rsidR="007149A2" w:rsidRPr="007149A2">
        <w:t xml:space="preserve">, </w:t>
      </w:r>
      <w:hyperlink r:id="rId88" w:history="1">
        <w:r w:rsidR="007149A2" w:rsidRPr="007149A2">
          <w:t>Cauli O</w:t>
        </w:r>
      </w:hyperlink>
      <w:r w:rsidR="007149A2" w:rsidRPr="007149A2">
        <w:t xml:space="preserve">, </w:t>
      </w:r>
      <w:hyperlink r:id="rId89" w:history="1">
        <w:r w:rsidR="007149A2" w:rsidRPr="007149A2">
          <w:t>Piedrafita B</w:t>
        </w:r>
      </w:hyperlink>
      <w:r w:rsidR="007149A2" w:rsidRPr="007149A2">
        <w:t xml:space="preserve">, </w:t>
      </w:r>
      <w:hyperlink r:id="rId90" w:history="1">
        <w:r w:rsidR="007149A2" w:rsidRPr="007149A2">
          <w:t>El Mlili N</w:t>
        </w:r>
      </w:hyperlink>
      <w:r w:rsidR="007149A2" w:rsidRPr="007149A2">
        <w:t xml:space="preserve">, </w:t>
      </w:r>
      <w:hyperlink r:id="rId91" w:history="1">
        <w:r w:rsidR="007149A2" w:rsidRPr="007149A2">
          <w:t>Felipo V</w:t>
        </w:r>
      </w:hyperlink>
      <w:r w:rsidR="007149A2" w:rsidRPr="007149A2">
        <w:t xml:space="preserve">. </w:t>
      </w:r>
      <w:proofErr w:type="gramStart"/>
      <w:r w:rsidR="007149A2" w:rsidRPr="007149A2">
        <w:t>NMDA receptors in hyperammonemia and hepatic encephalopathy.</w:t>
      </w:r>
      <w:proofErr w:type="gramEnd"/>
      <w:r w:rsidR="007149A2" w:rsidRPr="007149A2">
        <w:t xml:space="preserve"> </w:t>
      </w:r>
      <w:hyperlink r:id="rId92" w:tooltip="Metabolic brain disease." w:history="1">
        <w:r w:rsidR="007149A2" w:rsidRPr="007149A2">
          <w:t>Metab Brain Dis.</w:t>
        </w:r>
      </w:hyperlink>
      <w:r w:rsidR="007149A2" w:rsidRPr="007149A2">
        <w:t xml:space="preserve"> 2007 </w:t>
      </w:r>
      <w:r w:rsidR="007149A2">
        <w:t>Dec</w:t>
      </w:r>
      <w:proofErr w:type="gramStart"/>
      <w:r w:rsidR="007149A2">
        <w:t>;22</w:t>
      </w:r>
      <w:proofErr w:type="gramEnd"/>
      <w:r w:rsidR="007149A2">
        <w:t>(3-4):321-35.</w:t>
      </w:r>
    </w:p>
    <w:p w14:paraId="28D0D80F" w14:textId="77777777" w:rsidR="001A6E73" w:rsidRDefault="001A6E73" w:rsidP="00330DFB">
      <w:pPr>
        <w:ind w:left="142" w:hanging="142"/>
      </w:pPr>
      <w:r w:rsidRPr="001A6E73">
        <w:t xml:space="preserve">Lee B, Rhead W, Diaz GA, </w:t>
      </w:r>
      <w:proofErr w:type="gramStart"/>
      <w:r w:rsidRPr="001A6E73">
        <w:t>Scharschmidt</w:t>
      </w:r>
      <w:proofErr w:type="gramEnd"/>
      <w:r w:rsidRPr="001A6E73">
        <w:t xml:space="preserve"> BF, et al.: Phase II comparison of a novel ammonia scavenging agent with sodium phenylbutyrate in patients with urea cycle disorders: safety, pharmacokinetics and ammonia control. Mol Genet Metab 2010; 100(3): 221-8</w:t>
      </w:r>
    </w:p>
    <w:p w14:paraId="6EFD8453" w14:textId="77777777" w:rsidR="001A6E73" w:rsidRDefault="001A6E73" w:rsidP="00330DFB">
      <w:pPr>
        <w:ind w:left="142" w:hanging="142"/>
      </w:pPr>
      <w:proofErr w:type="gramStart"/>
      <w:r w:rsidRPr="001A6E73">
        <w:t>Lichter-Konecki U, et al Ammonia control in children with urea cycle disorders (UCDs); Phase II comparison of sodium phenylbutyrate and glycerol phenylbutyrate.</w:t>
      </w:r>
      <w:proofErr w:type="gramEnd"/>
      <w:r w:rsidRPr="001A6E73">
        <w:t xml:space="preserve"> </w:t>
      </w:r>
      <w:proofErr w:type="gramStart"/>
      <w:r w:rsidRPr="001A6E73">
        <w:t>Mol Genet Metab.</w:t>
      </w:r>
      <w:proofErr w:type="gramEnd"/>
      <w:r w:rsidRPr="001A6E73">
        <w:t xml:space="preserve"> 2011; 103</w:t>
      </w:r>
    </w:p>
    <w:p w14:paraId="0ECA4BEE" w14:textId="77777777" w:rsidR="00FC3453" w:rsidRDefault="00FC3453" w:rsidP="00330DFB">
      <w:pPr>
        <w:ind w:left="142" w:hanging="142"/>
      </w:pPr>
      <w:r w:rsidRPr="00FC3453">
        <w:t>Lin J, Gilbert J, Rudek MA, Zwiebel JA, et al.: A phase I dose-finding study of 5-azacytidine in combination with sodium phenylbutyrate in patients with refractory solid tumors. Clin Cancer Res 2009; 15(19): 6241-9</w:t>
      </w:r>
    </w:p>
    <w:p w14:paraId="01CFB2F8" w14:textId="77777777" w:rsidR="001A6E73" w:rsidRDefault="001A6E73" w:rsidP="00330DFB">
      <w:pPr>
        <w:ind w:left="142" w:hanging="142"/>
      </w:pPr>
      <w:r w:rsidRPr="001A6E73">
        <w:t xml:space="preserve">Maestri NE, Hauser ER, Bartholomew D, Brusilow SW. Prospective treatment of urea cycle disorders. </w:t>
      </w:r>
      <w:proofErr w:type="gramStart"/>
      <w:r w:rsidRPr="001A6E73">
        <w:t>J Pediatr.</w:t>
      </w:r>
      <w:proofErr w:type="gramEnd"/>
      <w:r w:rsidRPr="001A6E73">
        <w:t xml:space="preserve"> 1991 Dec</w:t>
      </w:r>
      <w:proofErr w:type="gramStart"/>
      <w:r w:rsidRPr="001A6E73">
        <w:t>;119</w:t>
      </w:r>
      <w:proofErr w:type="gramEnd"/>
      <w:r w:rsidRPr="001A6E73">
        <w:t>(6):923-8.</w:t>
      </w:r>
    </w:p>
    <w:p w14:paraId="18118ED7" w14:textId="77777777" w:rsidR="0018545C" w:rsidRDefault="0018545C" w:rsidP="0018545C">
      <w:pPr>
        <w:ind w:left="142" w:hanging="142"/>
      </w:pPr>
      <w:r>
        <w:t>Maestri NE, McGowan KD and Brusilow SW: Plasma glutamine concentration: a guide in the management of urea cycle disorders; J Pediatr 1992; 121 (2): 259-61</w:t>
      </w:r>
    </w:p>
    <w:p w14:paraId="74A1912A" w14:textId="77777777" w:rsidR="001A6E73" w:rsidRDefault="001A6E73" w:rsidP="00330DFB">
      <w:pPr>
        <w:ind w:left="142" w:hanging="142"/>
      </w:pPr>
      <w:proofErr w:type="gramStart"/>
      <w:r w:rsidRPr="001A6E73">
        <w:t>Maestri NE; Clissold DB; Brusilow SW. Long-term survival of patients with argininosuccinate synthetase deficiency.</w:t>
      </w:r>
      <w:proofErr w:type="gramEnd"/>
      <w:r w:rsidRPr="001A6E73">
        <w:t xml:space="preserve"> </w:t>
      </w:r>
      <w:proofErr w:type="gramStart"/>
      <w:r w:rsidRPr="001A6E73">
        <w:t>Journal of Pediatrics.</w:t>
      </w:r>
      <w:proofErr w:type="gramEnd"/>
      <w:r w:rsidRPr="001A6E73">
        <w:t xml:space="preserve"> 1995; 127(6):929-35</w:t>
      </w:r>
    </w:p>
    <w:p w14:paraId="754AFEE7" w14:textId="77777777" w:rsidR="001A6E73" w:rsidRDefault="001A6E73" w:rsidP="00330DFB">
      <w:pPr>
        <w:ind w:left="142" w:hanging="142"/>
      </w:pPr>
      <w:r w:rsidRPr="001A6E73">
        <w:lastRenderedPageBreak/>
        <w:t>Maestri NE et al, Long-term treatment of girls with ornithine transcarbamylase deficiency. New England journal of medicine 1996 VL: 335 NO: 12 PG: 855-9</w:t>
      </w:r>
    </w:p>
    <w:p w14:paraId="5921CD7E" w14:textId="77777777" w:rsidR="00330DFB" w:rsidRDefault="001A6E73" w:rsidP="00330DFB">
      <w:pPr>
        <w:ind w:left="142" w:hanging="142"/>
      </w:pPr>
      <w:r w:rsidRPr="001A6E73">
        <w:t xml:space="preserve">Marini JC, Lanpher BC, Scaglia F, O'Brien WE, Sun Q, Garlick PJ, Jahoor F, Lee B. Phenylbutyrate improves nitrogen disposal via an alternative pathway without eliciting an increase in protein breakdown and catabolism in control and ornithine transcarbamylase-deficient patients. </w:t>
      </w:r>
      <w:proofErr w:type="gramStart"/>
      <w:r w:rsidRPr="001A6E73">
        <w:t>Am J Clin Nutr.</w:t>
      </w:r>
      <w:proofErr w:type="gramEnd"/>
      <w:r w:rsidRPr="001A6E73">
        <w:t xml:space="preserve"> 2011 Jun</w:t>
      </w:r>
      <w:proofErr w:type="gramStart"/>
      <w:r w:rsidRPr="001A6E73">
        <w:t>;93</w:t>
      </w:r>
      <w:proofErr w:type="gramEnd"/>
      <w:r w:rsidRPr="001A6E73">
        <w:t>(6):1248-54.)</w:t>
      </w:r>
      <w:r w:rsidR="00330DFB" w:rsidRPr="00330DFB">
        <w:t xml:space="preserve"> </w:t>
      </w:r>
    </w:p>
    <w:p w14:paraId="00D53212" w14:textId="77777777" w:rsidR="00C203ED" w:rsidRDefault="00C203ED" w:rsidP="00C203ED">
      <w:pPr>
        <w:ind w:left="142" w:hanging="142"/>
      </w:pPr>
      <w:r>
        <w:t>Maslak P, Chanel S, Camacho LH, Soignet S, Pandolfi PP, Guernah I, et al. Pilot study of combination transcriptional modulation therapy with sodium phenylbutyrate and 5-azacytidine in patients with acute myeloid leukemia or myelodysplastic syndrome.Leukemia 2006;20(2):212-7.</w:t>
      </w:r>
    </w:p>
    <w:p w14:paraId="0DEE811C" w14:textId="77777777" w:rsidR="00C203ED" w:rsidRDefault="00C203ED" w:rsidP="00C203ED">
      <w:pPr>
        <w:ind w:left="142" w:hanging="142"/>
      </w:pPr>
      <w:r>
        <w:t>Matoori S, Leroux JC. Recent advances in the treatment of hyperammonemia. Adv Drug Deliv Rev 2015</w:t>
      </w:r>
      <w:proofErr w:type="gramStart"/>
      <w:r>
        <w:t>;90:55</w:t>
      </w:r>
      <w:proofErr w:type="gramEnd"/>
      <w:r>
        <w:t>-68.</w:t>
      </w:r>
    </w:p>
    <w:p w14:paraId="11DBB4DD" w14:textId="77777777" w:rsidR="00FC3453" w:rsidRDefault="00FC3453" w:rsidP="00330DFB">
      <w:pPr>
        <w:ind w:left="142" w:hanging="142"/>
      </w:pPr>
      <w:r w:rsidRPr="00FC3453">
        <w:t>McGuire BM, Zupanets IA, Lowe ME, Xiao X, et al.: Pharmacology and safety of glycerol phenylbutyrate in healthy  adults and adults with cirrhosis. Hepatology 2010; 51(6): 2077-85</w:t>
      </w:r>
    </w:p>
    <w:p w14:paraId="34B64F46" w14:textId="77777777" w:rsidR="00EF0088" w:rsidRDefault="00EF0088" w:rsidP="00330DFB">
      <w:pPr>
        <w:ind w:left="142" w:hanging="142"/>
      </w:pPr>
      <w:r w:rsidRPr="00EF0088">
        <w:t>Menella J, Beauchamp G: Optimizing Oral Medications for Children. Clin Ther 2008; 30: 2120-213</w:t>
      </w:r>
    </w:p>
    <w:p w14:paraId="510C0F7A" w14:textId="77777777" w:rsidR="001A6E73" w:rsidRDefault="00330DFB" w:rsidP="00330DFB">
      <w:pPr>
        <w:ind w:left="142" w:hanging="142"/>
      </w:pPr>
      <w:r w:rsidRPr="00330DFB">
        <w:t>Mokhtarani M, Diaz GA, Rhead W, Lichter-Konecki U, Bartley J, Feigenbaum A, et al.Urinary phenylacetylglutamine as dosing biomarker for patients with urea cycle disorders.Mol Genet Metab 2012;107(3):308-14.</w:t>
      </w:r>
    </w:p>
    <w:p w14:paraId="56BA91C0" w14:textId="77777777" w:rsidR="007149A2" w:rsidRPr="007149A2" w:rsidRDefault="00D34F8E" w:rsidP="007149A2">
      <w:pPr>
        <w:ind w:left="142" w:hanging="142"/>
      </w:pPr>
      <w:hyperlink r:id="rId93" w:history="1">
        <w:r w:rsidR="007149A2" w:rsidRPr="007149A2">
          <w:rPr>
            <w:rStyle w:val="Hyperlink"/>
            <w:color w:val="auto"/>
            <w:u w:val="none"/>
          </w:rPr>
          <w:t>Monfort P</w:t>
        </w:r>
      </w:hyperlink>
      <w:r w:rsidR="007149A2" w:rsidRPr="007149A2">
        <w:t xml:space="preserve">1, </w:t>
      </w:r>
      <w:hyperlink r:id="rId94" w:history="1">
        <w:r w:rsidR="007149A2" w:rsidRPr="007149A2">
          <w:rPr>
            <w:rStyle w:val="Hyperlink"/>
            <w:color w:val="auto"/>
            <w:u w:val="none"/>
          </w:rPr>
          <w:t>Cauli O</w:t>
        </w:r>
      </w:hyperlink>
      <w:r w:rsidR="007149A2" w:rsidRPr="007149A2">
        <w:t xml:space="preserve">, </w:t>
      </w:r>
      <w:hyperlink r:id="rId95" w:history="1">
        <w:r w:rsidR="007149A2" w:rsidRPr="007149A2">
          <w:rPr>
            <w:rStyle w:val="Hyperlink"/>
            <w:color w:val="auto"/>
            <w:u w:val="none"/>
          </w:rPr>
          <w:t>Montoliu C</w:t>
        </w:r>
      </w:hyperlink>
      <w:r w:rsidR="007149A2" w:rsidRPr="007149A2">
        <w:t xml:space="preserve">, </w:t>
      </w:r>
      <w:hyperlink r:id="rId96" w:history="1">
        <w:r w:rsidR="007149A2" w:rsidRPr="007149A2">
          <w:rPr>
            <w:rStyle w:val="Hyperlink"/>
            <w:color w:val="auto"/>
            <w:u w:val="none"/>
          </w:rPr>
          <w:t>Rodrigo R</w:t>
        </w:r>
      </w:hyperlink>
      <w:r w:rsidR="007149A2" w:rsidRPr="007149A2">
        <w:t xml:space="preserve">, </w:t>
      </w:r>
      <w:hyperlink r:id="rId97" w:history="1">
        <w:r w:rsidR="007149A2" w:rsidRPr="007149A2">
          <w:rPr>
            <w:rStyle w:val="Hyperlink"/>
            <w:color w:val="auto"/>
            <w:u w:val="none"/>
          </w:rPr>
          <w:t>Llansola M</w:t>
        </w:r>
      </w:hyperlink>
      <w:r w:rsidR="007149A2" w:rsidRPr="007149A2">
        <w:t xml:space="preserve">, </w:t>
      </w:r>
      <w:hyperlink r:id="rId98" w:history="1">
        <w:r w:rsidR="007149A2" w:rsidRPr="007149A2">
          <w:rPr>
            <w:rStyle w:val="Hyperlink"/>
            <w:color w:val="auto"/>
            <w:u w:val="none"/>
          </w:rPr>
          <w:t>Piedrafita B</w:t>
        </w:r>
      </w:hyperlink>
      <w:r w:rsidR="007149A2" w:rsidRPr="007149A2">
        <w:t xml:space="preserve">, </w:t>
      </w:r>
      <w:hyperlink r:id="rId99" w:history="1">
        <w:r w:rsidR="007149A2" w:rsidRPr="007149A2">
          <w:rPr>
            <w:rStyle w:val="Hyperlink"/>
            <w:color w:val="auto"/>
            <w:u w:val="none"/>
          </w:rPr>
          <w:t>El Mlili N</w:t>
        </w:r>
      </w:hyperlink>
      <w:r w:rsidR="007149A2" w:rsidRPr="007149A2">
        <w:t xml:space="preserve">, </w:t>
      </w:r>
      <w:hyperlink r:id="rId100" w:history="1">
        <w:r w:rsidR="007149A2" w:rsidRPr="007149A2">
          <w:rPr>
            <w:rStyle w:val="Hyperlink"/>
            <w:color w:val="auto"/>
            <w:u w:val="none"/>
          </w:rPr>
          <w:t>Boix J</w:t>
        </w:r>
      </w:hyperlink>
      <w:r w:rsidR="007149A2" w:rsidRPr="007149A2">
        <w:t xml:space="preserve">, </w:t>
      </w:r>
      <w:hyperlink r:id="rId101" w:history="1">
        <w:r w:rsidR="007149A2" w:rsidRPr="007149A2">
          <w:rPr>
            <w:rStyle w:val="Hyperlink"/>
            <w:color w:val="auto"/>
            <w:u w:val="none"/>
          </w:rPr>
          <w:t>Agustí A</w:t>
        </w:r>
      </w:hyperlink>
      <w:r w:rsidR="007149A2" w:rsidRPr="007149A2">
        <w:t xml:space="preserve">, </w:t>
      </w:r>
      <w:hyperlink r:id="rId102" w:history="1">
        <w:r w:rsidR="007149A2" w:rsidRPr="007149A2">
          <w:rPr>
            <w:rStyle w:val="Hyperlink"/>
            <w:color w:val="auto"/>
            <w:u w:val="none"/>
          </w:rPr>
          <w:t>Felipo V</w:t>
        </w:r>
      </w:hyperlink>
      <w:r w:rsidR="007149A2" w:rsidRPr="007149A2">
        <w:t xml:space="preserve">. Mechanisms of cognitive alterations in hyperammonemia and hepatic encephalopathy: therapeutical implications. </w:t>
      </w:r>
      <w:hyperlink r:id="rId103" w:tooltip="Neurochemistry international." w:history="1">
        <w:r w:rsidR="007149A2" w:rsidRPr="007149A2">
          <w:rPr>
            <w:rStyle w:val="Hyperlink"/>
            <w:color w:val="auto"/>
            <w:u w:val="none"/>
          </w:rPr>
          <w:t>Neurochem Int.</w:t>
        </w:r>
      </w:hyperlink>
      <w:r w:rsidR="007149A2" w:rsidRPr="007149A2">
        <w:t xml:space="preserve"> 2009 Jul-Aug</w:t>
      </w:r>
      <w:proofErr w:type="gramStart"/>
      <w:r w:rsidR="007149A2" w:rsidRPr="007149A2">
        <w:t>;55</w:t>
      </w:r>
      <w:proofErr w:type="gramEnd"/>
      <w:r w:rsidR="007149A2" w:rsidRPr="007149A2">
        <w:t xml:space="preserve">(1-3):106-12. </w:t>
      </w:r>
      <w:proofErr w:type="gramStart"/>
      <w:r w:rsidR="007149A2" w:rsidRPr="007149A2">
        <w:t>doi</w:t>
      </w:r>
      <w:proofErr w:type="gramEnd"/>
      <w:r w:rsidR="007149A2" w:rsidRPr="007149A2">
        <w:t>: 10.1016/j.neuint.2009.01.021. Epub 2009 Feb 6.</w:t>
      </w:r>
    </w:p>
    <w:p w14:paraId="4E764D6A" w14:textId="77777777" w:rsidR="00330DFB" w:rsidRDefault="00330DFB" w:rsidP="00330DFB">
      <w:pPr>
        <w:ind w:left="142" w:hanging="142"/>
      </w:pPr>
      <w:r w:rsidRPr="00330DFB">
        <w:t>Monteleone J.P.R. et al, Population PK analysis of glycerol phenylbutyrate (GPB) and sodium phenylbutyrate(NAPB) in adult and pediatric patients with urea cycle disorders (UCD)Molecular Genetics and Metabolism (2012) 105:3 (343-344).</w:t>
      </w:r>
    </w:p>
    <w:p w14:paraId="2B84AD1B" w14:textId="77777777" w:rsidR="001A6E73" w:rsidRDefault="00330DFB" w:rsidP="00330DFB">
      <w:pPr>
        <w:ind w:left="142" w:hanging="142"/>
      </w:pPr>
      <w:r w:rsidRPr="00330DFB">
        <w:t>Nagamani S.C.S. Diaz G.A. Rhead W. Berry S.A. et al. Selfreported treatment-associated symptoms among patients with urea cycle disorders participating in glycerol phenylbutyrate clinical trials. Molecular Genetics and Metabolism (2015) 116:1-2 (29-34).</w:t>
      </w:r>
    </w:p>
    <w:p w14:paraId="1BF1B73B" w14:textId="77777777" w:rsidR="00C40299" w:rsidRDefault="00C40299" w:rsidP="00330DFB">
      <w:pPr>
        <w:ind w:left="142" w:hanging="142"/>
      </w:pPr>
      <w:r w:rsidRPr="00C40299">
        <w:t xml:space="preserve">Nassogne MC, Heron B, </w:t>
      </w:r>
      <w:proofErr w:type="gramStart"/>
      <w:r w:rsidRPr="00C40299">
        <w:t>Touati</w:t>
      </w:r>
      <w:proofErr w:type="gramEnd"/>
      <w:r w:rsidRPr="00C40299">
        <w:t xml:space="preserve"> G, et al.: Urea cycle defects: management and outcome. J Inherit Metab Dis 2005; 28 (3): 407-14</w:t>
      </w:r>
    </w:p>
    <w:p w14:paraId="230F24C8" w14:textId="77777777" w:rsidR="00FC3453" w:rsidRDefault="00FC3453" w:rsidP="00330DFB">
      <w:pPr>
        <w:ind w:left="142" w:hanging="142"/>
      </w:pPr>
      <w:r w:rsidRPr="00FC3453">
        <w:t>Phuphanich S, Baker SD, Grossman SA, et al.: Oral sodium phenylbutyrate in patients with recurrent malignant gliomas: a dose escalation and pharmacologic study. Neuro Oncol 2005; 7(2): 177-82</w:t>
      </w:r>
    </w:p>
    <w:p w14:paraId="1702D809" w14:textId="77777777" w:rsidR="00C02F33" w:rsidRDefault="00C02F33" w:rsidP="00C02F33">
      <w:pPr>
        <w:ind w:left="142" w:hanging="142"/>
      </w:pPr>
      <w:r>
        <w:t>Piscitelli SC, Thibault A, Figg WD, et al.: Disposition of phenylbutyrate and its metabolites, phenylacetate and</w:t>
      </w:r>
    </w:p>
    <w:p w14:paraId="6326A0C4" w14:textId="77777777" w:rsidR="00C02F33" w:rsidRDefault="00C02F33" w:rsidP="00C02F33">
      <w:pPr>
        <w:ind w:left="142" w:hanging="142"/>
      </w:pPr>
      <w:proofErr w:type="gramStart"/>
      <w:r>
        <w:t>phenylacetylglutamine</w:t>
      </w:r>
      <w:proofErr w:type="gramEnd"/>
      <w:r>
        <w:t>. J Clin Pharmacol 1995; 35(4): 368-73</w:t>
      </w:r>
    </w:p>
    <w:p w14:paraId="5BF274B0" w14:textId="77777777" w:rsidR="00FC3453" w:rsidRDefault="00FC3453" w:rsidP="00330DFB">
      <w:pPr>
        <w:ind w:left="142" w:hanging="142"/>
      </w:pPr>
      <w:r w:rsidRPr="00FC3453">
        <w:t>Rubenstein RC, Zeitlin PL: A pilot clinical trial of oral sodium 4-phenylbutyrate (Buphenyl) in deltaF508-homozygous cystic fibrosis patients: partial restoration of nasal epithelial CFTR function. Am J Respir Crit Care Med 1998; 157(2): 484-90</w:t>
      </w:r>
    </w:p>
    <w:p w14:paraId="7F737CF1" w14:textId="77777777" w:rsidR="00330DFB" w:rsidRDefault="00330DFB" w:rsidP="00330DFB">
      <w:pPr>
        <w:ind w:left="142" w:hanging="142"/>
      </w:pPr>
      <w:proofErr w:type="gramStart"/>
      <w:r w:rsidRPr="00330DFB">
        <w:t>S</w:t>
      </w:r>
      <w:r w:rsidR="00C928BF">
        <w:t>c</w:t>
      </w:r>
      <w:r w:rsidRPr="00330DFB">
        <w:t>hneider.B.L,</w:t>
      </w:r>
      <w:proofErr w:type="gramEnd"/>
      <w:r w:rsidRPr="00330DFB">
        <w:t xml:space="preserve"> and Vockley.J. </w:t>
      </w:r>
      <w:proofErr w:type="gramStart"/>
      <w:r w:rsidRPr="00330DFB">
        <w:t>Possible Phenylacetate Hepatotoxicity during 4-Phenylbutyrate Therapy of Byler Disease.</w:t>
      </w:r>
      <w:proofErr w:type="gramEnd"/>
      <w:r w:rsidRPr="00330DFB">
        <w:t xml:space="preserve"> </w:t>
      </w:r>
      <w:proofErr w:type="gramStart"/>
      <w:r w:rsidRPr="00330DFB">
        <w:t>J Pediatr Gastroenterol Nutr.</w:t>
      </w:r>
      <w:proofErr w:type="gramEnd"/>
      <w:r w:rsidRPr="00330DFB">
        <w:t xml:space="preserve"> Page 1-16. 2015.</w:t>
      </w:r>
    </w:p>
    <w:p w14:paraId="0C8D372B" w14:textId="77777777" w:rsidR="00C928BF" w:rsidRDefault="00C928BF" w:rsidP="00C928BF">
      <w:pPr>
        <w:ind w:left="142" w:hanging="142"/>
      </w:pPr>
      <w:r w:rsidRPr="00FC3453">
        <w:t xml:space="preserve">Shih VE: Hereditary urea-cycle disorders. In: </w:t>
      </w:r>
      <w:r w:rsidR="00C02F33">
        <w:t>‘</w:t>
      </w:r>
      <w:r w:rsidRPr="00FC3453">
        <w:t xml:space="preserve">Griseolia A, Baguena R, Mayor F, eds. </w:t>
      </w:r>
      <w:proofErr w:type="gramStart"/>
      <w:r w:rsidRPr="00FC3453">
        <w:t>The urea cycle.</w:t>
      </w:r>
      <w:r w:rsidR="00C02F33">
        <w:t>’</w:t>
      </w:r>
      <w:proofErr w:type="gramEnd"/>
      <w:r w:rsidRPr="00FC3453">
        <w:t xml:space="preserve"> New York: John Wiley, 1976: 367-414: </w:t>
      </w:r>
    </w:p>
    <w:p w14:paraId="208A2BCA" w14:textId="77777777" w:rsidR="00330DFB" w:rsidRDefault="00330DFB" w:rsidP="00330DFB">
      <w:pPr>
        <w:ind w:left="142" w:hanging="142"/>
      </w:pPr>
      <w:r w:rsidRPr="00330DFB">
        <w:lastRenderedPageBreak/>
        <w:t xml:space="preserve">Smith W et al, Ammonia control in children ages 2 months through 5 years with urea cycle disorders: comparison of sodium phenylbutyrate and glycerol phenylbutyrate. </w:t>
      </w:r>
      <w:proofErr w:type="gramStart"/>
      <w:r w:rsidRPr="00330DFB">
        <w:t>Journal of Pediatrics.</w:t>
      </w:r>
      <w:proofErr w:type="gramEnd"/>
      <w:r w:rsidRPr="00330DFB">
        <w:t xml:space="preserve"> 162(6):1228-34, 1234.e1, 2013.</w:t>
      </w:r>
    </w:p>
    <w:p w14:paraId="6FBE9C94" w14:textId="77777777" w:rsidR="00C203ED" w:rsidRDefault="00C203ED" w:rsidP="00C203ED">
      <w:pPr>
        <w:ind w:left="142" w:hanging="142"/>
      </w:pPr>
      <w:r>
        <w:t>Thibault A, Cooper MR, Figg WD, Venzon DJ, Sartor AO, Tompkins AC, et al. A phase I and pharmacokinetic study of intravenous phenylacetate in patients with cancer. Cancer Res 1994</w:t>
      </w:r>
      <w:proofErr w:type="gramStart"/>
      <w:r>
        <w:t>;54</w:t>
      </w:r>
      <w:proofErr w:type="gramEnd"/>
      <w:r>
        <w:t>(7):1690-4.</w:t>
      </w:r>
    </w:p>
    <w:p w14:paraId="7E89BC71" w14:textId="77777777" w:rsidR="00C203ED" w:rsidRDefault="00C203ED" w:rsidP="00C203ED">
      <w:pPr>
        <w:ind w:left="142" w:hanging="142"/>
      </w:pPr>
      <w:r>
        <w:t>Thibault A, Samid D, Cooper MR, Figg WD, Tompkins AC, Patronas N, et al. Phase I study of phenylacetate administered twice daily to patients with cancer. Cancer 1995</w:t>
      </w:r>
      <w:proofErr w:type="gramStart"/>
      <w:r>
        <w:t>;75</w:t>
      </w:r>
      <w:proofErr w:type="gramEnd"/>
      <w:r>
        <w:t>(12):2932-8.</w:t>
      </w:r>
    </w:p>
    <w:p w14:paraId="050F43CD" w14:textId="77777777" w:rsidR="00330DFB" w:rsidRDefault="00330DFB" w:rsidP="009701DD">
      <w:pPr>
        <w:ind w:left="142" w:hanging="142"/>
      </w:pPr>
      <w:proofErr w:type="gramStart"/>
      <w:r w:rsidRPr="00330DFB">
        <w:t>Ucar.S.K ,</w:t>
      </w:r>
      <w:proofErr w:type="gramEnd"/>
      <w:r w:rsidRPr="00330DFB">
        <w:t xml:space="preserve"> Kose.M, Altinok.Y.K, Canda.E, Kagnic.M, Duyu.M et.al. A MSUD Case: Sodium phenylbutyrate treatment during attack period. Springer. Page 239 Wiech NL, Clissold DM, MacArthur RB (1997) Safety and efficacy of buphenyl (sodium phenylbutyrate) tablets and powder (Abstract). Advances in Inherited Urea Cycle Disorders, Satellite to the 7th International Congress for Inborn Errors of Metabolism, Vienna</w:t>
      </w:r>
    </w:p>
    <w:p w14:paraId="35A8AF9E" w14:textId="77777777" w:rsidR="00FC3453" w:rsidRDefault="00FC3453" w:rsidP="00330DFB">
      <w:pPr>
        <w:ind w:left="142" w:hanging="142"/>
      </w:pPr>
      <w:r w:rsidRPr="00FC3453">
        <w:t>Uchino T, Endo F, Matsuda I: Neurodevelopmental outcome of long-term therapy of urea cycle disorders in Japan. J  Inherit Metab Dis 1998; 21 (Suppl 1): 151-9</w:t>
      </w:r>
    </w:p>
    <w:p w14:paraId="23661751" w14:textId="77777777" w:rsidR="00C203ED" w:rsidRDefault="00C203ED" w:rsidP="00C203ED">
      <w:pPr>
        <w:ind w:left="142" w:hanging="142"/>
      </w:pPr>
      <w:r>
        <w:t>Walker V. Ammonia toxicity and its prevention in inherited defects of the urea cycle. Diabetes Obes Metab 2009;11(9):823-35.</w:t>
      </w:r>
    </w:p>
    <w:p w14:paraId="1E994CE1" w14:textId="77777777" w:rsidR="00C203ED" w:rsidRDefault="00C203ED" w:rsidP="00C203ED">
      <w:pPr>
        <w:ind w:left="142" w:hanging="142"/>
      </w:pPr>
      <w:r w:rsidRPr="00FC3453">
        <w:t>Waterlow 1963: The partition of nitrogen in the urine of malnourished Jamaican infants. Am J Clin Nutr 1963; 12: 235-40</w:t>
      </w:r>
    </w:p>
    <w:p w14:paraId="7A270E07" w14:textId="77777777" w:rsidR="00C203ED" w:rsidRDefault="00C203ED" w:rsidP="00C203ED">
      <w:pPr>
        <w:ind w:left="142" w:hanging="142"/>
      </w:pPr>
      <w:r w:rsidRPr="00330DFB">
        <w:t>Wiech NL, Clissold DM, MacArthur RB (1997) Safety and efficacy of buphenyl (sodium phenylbutyrate) tablets and powder (Abstract). Advances in Inherited Urea Cycle Disorders, Satellite to the 7th International Congress for Inborn Errors of Metabolism, Vienna</w:t>
      </w:r>
    </w:p>
    <w:p w14:paraId="47522EE2" w14:textId="77777777" w:rsidR="00C40299" w:rsidRDefault="00C40299" w:rsidP="00330DFB">
      <w:pPr>
        <w:ind w:left="142" w:hanging="142"/>
      </w:pPr>
      <w:r w:rsidRPr="00C40299">
        <w:t>Zeitlin PL, Diener-West M, Rubenstein RC, et al.: Evidence of CFTR function in cystic fibrosis after systemic administration of 4-phenylbutyrate. Mol Ther 2002; 6(1): 119-26</w:t>
      </w:r>
    </w:p>
    <w:p w14:paraId="36DD762F" w14:textId="77777777" w:rsidR="001A6E73" w:rsidRDefault="001A6E73" w:rsidP="00436B89"/>
    <w:p w14:paraId="690BB9FF" w14:textId="77777777" w:rsidR="00436B89" w:rsidRPr="001D043B" w:rsidRDefault="00436B89" w:rsidP="00436B89">
      <w:pPr>
        <w:sectPr w:rsidR="00436B89" w:rsidRPr="001D043B" w:rsidSect="008D770F">
          <w:headerReference w:type="even" r:id="rId104"/>
          <w:headerReference w:type="default" r:id="rId105"/>
          <w:headerReference w:type="first" r:id="rId106"/>
          <w:footerReference w:type="first" r:id="rId107"/>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3AD21F9D" w14:textId="77777777" w:rsidTr="00436B89">
        <w:trPr>
          <w:trHeight w:hRule="exact" w:val="564"/>
        </w:trPr>
        <w:tc>
          <w:tcPr>
            <w:tcW w:w="9175" w:type="dxa"/>
          </w:tcPr>
          <w:p w14:paraId="01EB4C13" w14:textId="77777777" w:rsidR="00B3567E" w:rsidRPr="00487162" w:rsidRDefault="00B3567E" w:rsidP="00436B89">
            <w:pPr>
              <w:pStyle w:val="TGASignoff"/>
            </w:pPr>
            <w:r w:rsidRPr="00487162">
              <w:lastRenderedPageBreak/>
              <w:t>Therapeutic Goods Administration</w:t>
            </w:r>
          </w:p>
        </w:tc>
      </w:tr>
      <w:tr w:rsidR="00B3567E" w:rsidRPr="00487162" w14:paraId="3FB4DB27" w14:textId="77777777" w:rsidTr="00436B89">
        <w:trPr>
          <w:trHeight w:val="1221"/>
        </w:trPr>
        <w:tc>
          <w:tcPr>
            <w:tcW w:w="9175" w:type="dxa"/>
            <w:tcMar>
              <w:top w:w="28" w:type="dxa"/>
            </w:tcMar>
          </w:tcPr>
          <w:p w14:paraId="2A13920C" w14:textId="77777777" w:rsidR="00B3567E" w:rsidRPr="00487162" w:rsidRDefault="00B3567E" w:rsidP="00436B89">
            <w:pPr>
              <w:pStyle w:val="Address"/>
            </w:pPr>
            <w:r w:rsidRPr="00487162">
              <w:t>PO Box 100 Woden ACT 2606 Australia</w:t>
            </w:r>
          </w:p>
          <w:p w14:paraId="4BD68FD4" w14:textId="77777777" w:rsidR="00B3567E" w:rsidRPr="00487162" w:rsidRDefault="00B3567E" w:rsidP="00436B89">
            <w:pPr>
              <w:pStyle w:val="Address"/>
            </w:pPr>
            <w:r w:rsidRPr="00487162">
              <w:t xml:space="preserve">Email: </w:t>
            </w:r>
            <w:hyperlink r:id="rId108" w:history="1">
              <w:r w:rsidRPr="008D770F">
                <w:rPr>
                  <w:rStyle w:val="Hyperlink"/>
                </w:rPr>
                <w:t>info@tga.gov.au</w:t>
              </w:r>
            </w:hyperlink>
            <w:r w:rsidRPr="00487162">
              <w:t xml:space="preserve">  Phone: 1800 020 653  Fax: 02 6232 8605</w:t>
            </w:r>
          </w:p>
          <w:p w14:paraId="01589E12" w14:textId="77777777" w:rsidR="00B3567E" w:rsidRPr="008D770F" w:rsidRDefault="00D34F8E" w:rsidP="00436B89">
            <w:pPr>
              <w:pStyle w:val="Address"/>
              <w:spacing w:line="260" w:lineRule="atLeast"/>
              <w:rPr>
                <w:b/>
                <w:color w:val="0000FF"/>
                <w:u w:val="single"/>
              </w:rPr>
            </w:pPr>
            <w:hyperlink r:id="rId109" w:history="1">
              <w:r w:rsidR="00E979F4" w:rsidRPr="00FE02B1">
                <w:rPr>
                  <w:rStyle w:val="Hyperlink"/>
                  <w:b/>
                </w:rPr>
                <w:t>https://www.tga.gov.au</w:t>
              </w:r>
            </w:hyperlink>
          </w:p>
        </w:tc>
      </w:tr>
    </w:tbl>
    <w:p w14:paraId="18482D01" w14:textId="77777777" w:rsidR="00774E1D" w:rsidRPr="008A5E0B" w:rsidRDefault="00774E1D" w:rsidP="008A5E0B"/>
    <w:sectPr w:rsidR="00774E1D" w:rsidRPr="008A5E0B" w:rsidSect="00B3567E">
      <w:headerReference w:type="even" r:id="rId110"/>
      <w:headerReference w:type="default" r:id="rId111"/>
      <w:footerReference w:type="default" r:id="rId112"/>
      <w:headerReference w:type="first" r:id="rId113"/>
      <w:footerReference w:type="first" r:id="rId114"/>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62DF81" w15:done="0"/>
  <w15:commentEx w15:paraId="2D6C37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6C49F" w14:textId="77777777" w:rsidR="00D34F8E" w:rsidRDefault="00D34F8E" w:rsidP="00C40A36">
      <w:pPr>
        <w:spacing w:after="0"/>
      </w:pPr>
      <w:r>
        <w:separator/>
      </w:r>
    </w:p>
  </w:endnote>
  <w:endnote w:type="continuationSeparator" w:id="0">
    <w:p w14:paraId="6F826058" w14:textId="77777777" w:rsidR="00D34F8E" w:rsidRDefault="00D34F8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BoldMT">
    <w:altName w:val="Times New Roman"/>
    <w:charset w:val="00"/>
    <w:family w:val="roman"/>
    <w:pitch w:val="variable"/>
    <w:sig w:usb0="00000000" w:usb1="C0007841" w:usb2="00000009" w:usb3="00000000" w:csb0="000001F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swiss"/>
    <w:notTrueType/>
    <w:pitch w:val="default"/>
    <w:sig w:usb0="00000003" w:usb1="08070000" w:usb2="00000010" w:usb3="00000000" w:csb0="00020001" w:csb1="00000000"/>
  </w:font>
  <w:font w:name="AdvPSSym">
    <w:altName w:val="Calibri"/>
    <w:panose1 w:val="00000000000000000000"/>
    <w:charset w:val="00"/>
    <w:family w:val="auto"/>
    <w:notTrueType/>
    <w:pitch w:val="default"/>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 w:name="AdvTT454a7a89">
    <w:altName w:val="Calibri"/>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D34F8E" w:rsidRPr="00487162" w14:paraId="76978847" w14:textId="77777777" w:rsidTr="00960971">
      <w:trPr>
        <w:trHeight w:val="269"/>
      </w:trPr>
      <w:tc>
        <w:tcPr>
          <w:tcW w:w="7655" w:type="dxa"/>
          <w:tcMar>
            <w:top w:w="142" w:type="dxa"/>
            <w:bottom w:w="0" w:type="dxa"/>
          </w:tcMar>
        </w:tcPr>
        <w:p w14:paraId="0498F6CB" w14:textId="77777777" w:rsidR="00D34F8E" w:rsidRPr="00487162" w:rsidRDefault="00D34F8E" w:rsidP="00436B89">
          <w:pPr>
            <w:pStyle w:val="Footer"/>
          </w:pPr>
          <w:r w:rsidRPr="00436B89">
            <w:t>Submission PM-2016-00417-1-3 Clinical Evaluation Report for Pheburane</w:t>
          </w:r>
        </w:p>
      </w:tc>
      <w:tc>
        <w:tcPr>
          <w:tcW w:w="1206" w:type="dxa"/>
          <w:tcMar>
            <w:top w:w="142" w:type="dxa"/>
            <w:bottom w:w="0" w:type="dxa"/>
          </w:tcMar>
        </w:tcPr>
        <w:p w14:paraId="7B408E14" w14:textId="77777777" w:rsidR="00D34F8E" w:rsidRPr="00981D66" w:rsidRDefault="00D34F8E"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E66C8">
            <w:rPr>
              <w:noProof/>
            </w:rPr>
            <w:t>4</w:t>
          </w:r>
          <w:r w:rsidRPr="00981D66">
            <w:fldChar w:fldCharType="end"/>
          </w:r>
          <w:r w:rsidRPr="00981D66">
            <w:t xml:space="preserve"> of </w:t>
          </w:r>
          <w:fldSimple w:instr=" NUMPAGES  \* Arabic  \* MERGEFORMAT ">
            <w:r w:rsidR="002E66C8">
              <w:rPr>
                <w:noProof/>
              </w:rPr>
              <w:t>85</w:t>
            </w:r>
          </w:fldSimple>
        </w:p>
      </w:tc>
    </w:tr>
  </w:tbl>
  <w:p w14:paraId="2E54051A" w14:textId="77777777" w:rsidR="00D34F8E" w:rsidRDefault="00D34F8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34F8E" w:rsidRPr="00487162" w14:paraId="19FD1091" w14:textId="77777777" w:rsidTr="00E45619">
      <w:trPr>
        <w:trHeight w:val="269"/>
      </w:trPr>
      <w:tc>
        <w:tcPr>
          <w:tcW w:w="4519" w:type="dxa"/>
          <w:tcBorders>
            <w:top w:val="single" w:sz="4" w:space="0" w:color="auto"/>
          </w:tcBorders>
          <w:tcMar>
            <w:top w:w="142" w:type="dxa"/>
            <w:bottom w:w="0" w:type="dxa"/>
          </w:tcMar>
        </w:tcPr>
        <w:p w14:paraId="5838661E" w14:textId="77777777" w:rsidR="00D34F8E" w:rsidRPr="00487162" w:rsidRDefault="00D34F8E" w:rsidP="00FE1DEE">
          <w:pPr>
            <w:pStyle w:val="Footer"/>
          </w:pPr>
          <w:r w:rsidRPr="00487162">
            <w:t>Document title, Part #, Section # - Section title</w:t>
          </w:r>
        </w:p>
        <w:p w14:paraId="06B2652B" w14:textId="77777777" w:rsidR="00D34F8E" w:rsidRPr="00487162" w:rsidRDefault="00D34F8E" w:rsidP="00FE1DEE">
          <w:pPr>
            <w:pStyle w:val="Footer"/>
          </w:pPr>
          <w:r w:rsidRPr="00487162">
            <w:t>V1.0 October 2010</w:t>
          </w:r>
        </w:p>
      </w:tc>
      <w:tc>
        <w:tcPr>
          <w:tcW w:w="4342" w:type="dxa"/>
          <w:tcBorders>
            <w:top w:val="single" w:sz="4" w:space="0" w:color="auto"/>
          </w:tcBorders>
          <w:tcMar>
            <w:top w:w="142" w:type="dxa"/>
            <w:bottom w:w="0" w:type="dxa"/>
          </w:tcMar>
        </w:tcPr>
        <w:p w14:paraId="04DFD50D" w14:textId="77777777" w:rsidR="00D34F8E" w:rsidRPr="00487162" w:rsidRDefault="00D34F8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85</w:t>
          </w:r>
          <w:r>
            <w:rPr>
              <w:noProof/>
            </w:rPr>
            <w:fldChar w:fldCharType="end"/>
          </w:r>
        </w:p>
      </w:tc>
    </w:tr>
  </w:tbl>
  <w:p w14:paraId="1C715109" w14:textId="77777777" w:rsidR="00D34F8E" w:rsidRDefault="00D34F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1F120" w14:textId="77777777" w:rsidR="00D34F8E" w:rsidRDefault="00D34F8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34F8E" w14:paraId="118880B4" w14:textId="77777777" w:rsidTr="0010601F">
      <w:trPr>
        <w:trHeight w:val="108"/>
      </w:trPr>
      <w:tc>
        <w:tcPr>
          <w:tcW w:w="8875" w:type="dxa"/>
          <w:gridSpan w:val="2"/>
          <w:tcBorders>
            <w:bottom w:val="single" w:sz="4" w:space="0" w:color="auto"/>
          </w:tcBorders>
          <w:tcMar>
            <w:right w:w="284" w:type="dxa"/>
          </w:tcMar>
        </w:tcPr>
        <w:p w14:paraId="32317629" w14:textId="77777777" w:rsidR="00D34F8E" w:rsidRDefault="00D34F8E" w:rsidP="006E08B3">
          <w:pPr>
            <w:pStyle w:val="Heading3"/>
          </w:pPr>
          <w:r>
            <w:t>Copyright</w:t>
          </w:r>
        </w:p>
        <w:p w14:paraId="2E8EC20F" w14:textId="77777777" w:rsidR="00D34F8E" w:rsidRDefault="00D34F8E" w:rsidP="006E08B3">
          <w:r>
            <w:rPr>
              <w:rFonts w:cs="Arial"/>
            </w:rPr>
            <w:t>©</w:t>
          </w:r>
          <w:r>
            <w:t xml:space="preserve"> Commonwealth of Australia [add year]</w:t>
          </w:r>
        </w:p>
        <w:p w14:paraId="35B79802" w14:textId="77777777" w:rsidR="00D34F8E" w:rsidRDefault="00D34F8E" w:rsidP="006E08B3"/>
        <w:p w14:paraId="5F4F6768" w14:textId="77777777" w:rsidR="00D34F8E" w:rsidRDefault="00D34F8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43EE317" w14:textId="77777777" w:rsidR="00D34F8E" w:rsidRDefault="00D34F8E" w:rsidP="006E08B3"/>
        <w:p w14:paraId="7B9AA8D1" w14:textId="77777777" w:rsidR="00D34F8E" w:rsidRDefault="00D34F8E" w:rsidP="006E08B3">
          <w:pPr>
            <w:pStyle w:val="Heading3"/>
          </w:pPr>
          <w:r>
            <w:t>Confidentiality</w:t>
          </w:r>
        </w:p>
        <w:p w14:paraId="774B545B" w14:textId="77777777" w:rsidR="00D34F8E" w:rsidRDefault="00D34F8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FF01FC5" w14:textId="77777777" w:rsidR="00D34F8E" w:rsidRDefault="00D34F8E" w:rsidP="006E08B3"/>
        <w:p w14:paraId="59FF9405" w14:textId="77777777" w:rsidR="00D34F8E" w:rsidRDefault="00D34F8E" w:rsidP="006E08B3">
          <w:r>
            <w:t>For submission made by individuals, all personal details, other than your name, will be removed from your submission before it is published on the TGA’s Internet site.</w:t>
          </w:r>
        </w:p>
        <w:p w14:paraId="3CDE5A49" w14:textId="77777777" w:rsidR="00D34F8E" w:rsidRDefault="00D34F8E" w:rsidP="006E08B3"/>
        <w:p w14:paraId="393A6D86" w14:textId="77777777" w:rsidR="00D34F8E" w:rsidRDefault="00D34F8E" w:rsidP="006E08B3">
          <w:r>
            <w:t>In addition, a list of parties making submissions will be published. If you do not wish to be identified with your submission you must specifically request this in the space provided ib the submission coversheet.</w:t>
          </w:r>
        </w:p>
      </w:tc>
    </w:tr>
    <w:tr w:rsidR="00D34F8E" w14:paraId="2F44E6B4" w14:textId="77777777" w:rsidTr="0010601F">
      <w:trPr>
        <w:trHeight w:val="417"/>
      </w:trPr>
      <w:tc>
        <w:tcPr>
          <w:tcW w:w="4519" w:type="dxa"/>
          <w:tcBorders>
            <w:top w:val="single" w:sz="4" w:space="0" w:color="auto"/>
          </w:tcBorders>
          <w:tcMar>
            <w:top w:w="142" w:type="dxa"/>
            <w:bottom w:w="0" w:type="dxa"/>
          </w:tcMar>
        </w:tcPr>
        <w:p w14:paraId="3CBE36C2" w14:textId="77777777" w:rsidR="00D34F8E" w:rsidRDefault="00D34F8E" w:rsidP="006E08B3">
          <w:r>
            <w:t>Document title, Part #, Section # - Section title</w:t>
          </w:r>
        </w:p>
        <w:p w14:paraId="6847813F" w14:textId="77777777" w:rsidR="00D34F8E" w:rsidRDefault="00D34F8E" w:rsidP="006E08B3">
          <w:r>
            <w:t>V1.0 October 2010</w:t>
          </w:r>
        </w:p>
      </w:tc>
      <w:tc>
        <w:tcPr>
          <w:tcW w:w="4356" w:type="dxa"/>
          <w:tcBorders>
            <w:top w:val="single" w:sz="4" w:space="0" w:color="auto"/>
          </w:tcBorders>
          <w:tcMar>
            <w:top w:w="142" w:type="dxa"/>
            <w:bottom w:w="0" w:type="dxa"/>
          </w:tcMar>
        </w:tcPr>
        <w:p w14:paraId="1A3646C0" w14:textId="77777777" w:rsidR="00D34F8E" w:rsidRDefault="00D34F8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85</w:t>
          </w:r>
          <w:r>
            <w:rPr>
              <w:noProof/>
            </w:rPr>
            <w:fldChar w:fldCharType="end"/>
          </w:r>
          <w:r>
            <w:t xml:space="preserve">  </w:t>
          </w:r>
        </w:p>
      </w:tc>
    </w:tr>
  </w:tbl>
  <w:p w14:paraId="01534EA7" w14:textId="77777777" w:rsidR="00D34F8E" w:rsidRDefault="00D34F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63798" w14:textId="77777777" w:rsidR="00D34F8E" w:rsidRDefault="00D34F8E" w:rsidP="00C40A36">
      <w:pPr>
        <w:spacing w:after="0"/>
      </w:pPr>
      <w:r>
        <w:separator/>
      </w:r>
    </w:p>
  </w:footnote>
  <w:footnote w:type="continuationSeparator" w:id="0">
    <w:p w14:paraId="283A8343" w14:textId="77777777" w:rsidR="00D34F8E" w:rsidRDefault="00D34F8E"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3C31D" w14:textId="77777777" w:rsidR="00D34F8E" w:rsidRDefault="00D34F8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30D06" w14:textId="77777777" w:rsidR="00D34F8E" w:rsidRDefault="00D34F8E">
    <w:pPr>
      <w:rPr>
        <w:noProof/>
        <w:lang w:eastAsia="en-AU"/>
      </w:rPr>
    </w:pPr>
    <w:r w:rsidRPr="002D545C">
      <w:rPr>
        <w:noProof/>
        <w:lang w:eastAsia="en-AU"/>
      </w:rPr>
      <w:drawing>
        <wp:anchor distT="0" distB="0" distL="114300" distR="114300" simplePos="0" relativeHeight="251659264" behindDoc="1" locked="0" layoutInCell="1" allowOverlap="1" wp14:anchorId="36779315" wp14:editId="24525550">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D3746D0" w14:textId="77777777" w:rsidR="00D34F8E" w:rsidRDefault="00D34F8E" w:rsidP="00593AD1">
    <w:pPr>
      <w:pStyle w:val="HeaderNoLine"/>
    </w:pPr>
    <w:r>
      <w:rPr>
        <w:noProof/>
        <w:lang w:eastAsia="en-AU"/>
      </w:rPr>
      <w:drawing>
        <wp:inline distT="0" distB="0" distL="0" distR="0" wp14:anchorId="059F98E3" wp14:editId="56B8E021">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D200E" w14:textId="77777777" w:rsidR="00D34F8E" w:rsidRDefault="00D34F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B758D" w14:textId="77777777" w:rsidR="00D34F8E" w:rsidRDefault="00D34F8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EE232" w14:textId="77777777" w:rsidR="00D34F8E" w:rsidRDefault="00D34F8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A60F0" w14:textId="77777777" w:rsidR="00D34F8E" w:rsidRDefault="00D34F8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DBE86" w14:textId="77777777" w:rsidR="00D34F8E" w:rsidRDefault="00D34F8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CBF0" w14:textId="77777777" w:rsidR="00D34F8E" w:rsidRDefault="00D34F8E" w:rsidP="006E08B3">
    <w:r>
      <w:t>Therapeutic Goods Administration</w:t>
    </w:r>
  </w:p>
  <w:p w14:paraId="19397DAC" w14:textId="77777777" w:rsidR="00D34F8E" w:rsidRDefault="00D34F8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3409E36"/>
    <w:lvl w:ilvl="0">
      <w:start w:val="1"/>
      <w:numFmt w:val="bullet"/>
      <w:lvlText w:val=""/>
      <w:lvlJc w:val="left"/>
      <w:pPr>
        <w:tabs>
          <w:tab w:val="num" w:pos="360"/>
        </w:tabs>
        <w:ind w:left="360" w:hanging="360"/>
      </w:pPr>
      <w:rPr>
        <w:rFonts w:ascii="Symbol" w:hAnsi="Symbol" w:hint="default"/>
      </w:rPr>
    </w:lvl>
  </w:abstractNum>
  <w:abstractNum w:abstractNumId="1">
    <w:nsid w:val="00000402"/>
    <w:multiLevelType w:val="multilevel"/>
    <w:tmpl w:val="00000885"/>
    <w:lvl w:ilvl="0">
      <w:numFmt w:val="bullet"/>
      <w:lvlText w:val="•"/>
      <w:lvlJc w:val="left"/>
      <w:pPr>
        <w:ind w:left="817" w:hanging="341"/>
      </w:pPr>
      <w:rPr>
        <w:rFonts w:ascii="Calibri" w:hAnsi="Calibri" w:cs="Calibri"/>
        <w:b w:val="0"/>
        <w:bCs w:val="0"/>
        <w:w w:val="130"/>
        <w:sz w:val="18"/>
        <w:szCs w:val="18"/>
      </w:rPr>
    </w:lvl>
    <w:lvl w:ilvl="1">
      <w:numFmt w:val="bullet"/>
      <w:lvlText w:val="•"/>
      <w:lvlJc w:val="left"/>
      <w:pPr>
        <w:ind w:left="1216" w:hanging="341"/>
      </w:pPr>
    </w:lvl>
    <w:lvl w:ilvl="2">
      <w:numFmt w:val="bullet"/>
      <w:lvlText w:val="•"/>
      <w:lvlJc w:val="left"/>
      <w:pPr>
        <w:ind w:left="1614" w:hanging="341"/>
      </w:pPr>
    </w:lvl>
    <w:lvl w:ilvl="3">
      <w:numFmt w:val="bullet"/>
      <w:lvlText w:val="•"/>
      <w:lvlJc w:val="left"/>
      <w:pPr>
        <w:ind w:left="2012" w:hanging="341"/>
      </w:pPr>
    </w:lvl>
    <w:lvl w:ilvl="4">
      <w:numFmt w:val="bullet"/>
      <w:lvlText w:val="•"/>
      <w:lvlJc w:val="left"/>
      <w:pPr>
        <w:ind w:left="2411" w:hanging="341"/>
      </w:pPr>
    </w:lvl>
    <w:lvl w:ilvl="5">
      <w:numFmt w:val="bullet"/>
      <w:lvlText w:val="•"/>
      <w:lvlJc w:val="left"/>
      <w:pPr>
        <w:ind w:left="2809" w:hanging="341"/>
      </w:pPr>
    </w:lvl>
    <w:lvl w:ilvl="6">
      <w:numFmt w:val="bullet"/>
      <w:lvlText w:val="•"/>
      <w:lvlJc w:val="left"/>
      <w:pPr>
        <w:ind w:left="3207" w:hanging="341"/>
      </w:pPr>
    </w:lvl>
    <w:lvl w:ilvl="7">
      <w:numFmt w:val="bullet"/>
      <w:lvlText w:val="•"/>
      <w:lvlJc w:val="left"/>
      <w:pPr>
        <w:ind w:left="3606" w:hanging="341"/>
      </w:pPr>
    </w:lvl>
    <w:lvl w:ilvl="8">
      <w:numFmt w:val="bullet"/>
      <w:lvlText w:val="•"/>
      <w:lvlJc w:val="left"/>
      <w:pPr>
        <w:ind w:left="4004" w:hanging="341"/>
      </w:p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7B646E5"/>
    <w:multiLevelType w:val="hybridMultilevel"/>
    <w:tmpl w:val="FEBE5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692740DB"/>
    <w:multiLevelType w:val="hybridMultilevel"/>
    <w:tmpl w:val="A27E4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7"/>
  </w:num>
  <w:num w:numId="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5"/>
  </w:num>
  <w:num w:numId="9">
    <w:abstractNumId w:val="8"/>
  </w:num>
  <w:num w:numId="10">
    <w:abstractNumId w:val="6"/>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 w:numId="1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B89"/>
    <w:rsid w:val="00002031"/>
    <w:rsid w:val="00004734"/>
    <w:rsid w:val="00006B22"/>
    <w:rsid w:val="0001276A"/>
    <w:rsid w:val="000246AE"/>
    <w:rsid w:val="00025C67"/>
    <w:rsid w:val="00040ACB"/>
    <w:rsid w:val="000419C7"/>
    <w:rsid w:val="0005559E"/>
    <w:rsid w:val="00077775"/>
    <w:rsid w:val="00090471"/>
    <w:rsid w:val="00097B5E"/>
    <w:rsid w:val="000A3AED"/>
    <w:rsid w:val="000A63AF"/>
    <w:rsid w:val="000B3532"/>
    <w:rsid w:val="000B3A75"/>
    <w:rsid w:val="000C690F"/>
    <w:rsid w:val="000D1295"/>
    <w:rsid w:val="000D391B"/>
    <w:rsid w:val="000D3D6D"/>
    <w:rsid w:val="000D4FC7"/>
    <w:rsid w:val="000E4E4A"/>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657BC"/>
    <w:rsid w:val="0017078F"/>
    <w:rsid w:val="0017693F"/>
    <w:rsid w:val="00177802"/>
    <w:rsid w:val="0018110E"/>
    <w:rsid w:val="00181684"/>
    <w:rsid w:val="001843C6"/>
    <w:rsid w:val="001850E0"/>
    <w:rsid w:val="0018545C"/>
    <w:rsid w:val="001A2158"/>
    <w:rsid w:val="001A525F"/>
    <w:rsid w:val="001A6E73"/>
    <w:rsid w:val="001B09F9"/>
    <w:rsid w:val="001B127E"/>
    <w:rsid w:val="001B5D98"/>
    <w:rsid w:val="001B6448"/>
    <w:rsid w:val="001C4E1A"/>
    <w:rsid w:val="001C657B"/>
    <w:rsid w:val="001E07CF"/>
    <w:rsid w:val="001E59F1"/>
    <w:rsid w:val="001F497A"/>
    <w:rsid w:val="001F49EB"/>
    <w:rsid w:val="001F6CBA"/>
    <w:rsid w:val="001F6FA5"/>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E66C8"/>
    <w:rsid w:val="002F11F8"/>
    <w:rsid w:val="002F3F56"/>
    <w:rsid w:val="002F44B5"/>
    <w:rsid w:val="002F68A8"/>
    <w:rsid w:val="00311AC0"/>
    <w:rsid w:val="00320B8C"/>
    <w:rsid w:val="0032583B"/>
    <w:rsid w:val="00327883"/>
    <w:rsid w:val="00330DFB"/>
    <w:rsid w:val="00335504"/>
    <w:rsid w:val="00344252"/>
    <w:rsid w:val="003521E8"/>
    <w:rsid w:val="003728F3"/>
    <w:rsid w:val="0037496E"/>
    <w:rsid w:val="0037623D"/>
    <w:rsid w:val="00386150"/>
    <w:rsid w:val="003874CE"/>
    <w:rsid w:val="00390900"/>
    <w:rsid w:val="00396C92"/>
    <w:rsid w:val="003A7F6C"/>
    <w:rsid w:val="003B1113"/>
    <w:rsid w:val="003B4D60"/>
    <w:rsid w:val="003B634F"/>
    <w:rsid w:val="003B7E39"/>
    <w:rsid w:val="003C3002"/>
    <w:rsid w:val="003C58DC"/>
    <w:rsid w:val="003D0A3B"/>
    <w:rsid w:val="003D1E62"/>
    <w:rsid w:val="003E2486"/>
    <w:rsid w:val="003E3208"/>
    <w:rsid w:val="003F0B04"/>
    <w:rsid w:val="00400904"/>
    <w:rsid w:val="0040134E"/>
    <w:rsid w:val="00415D59"/>
    <w:rsid w:val="00436B89"/>
    <w:rsid w:val="0043797D"/>
    <w:rsid w:val="00440A2D"/>
    <w:rsid w:val="004564A7"/>
    <w:rsid w:val="004617BF"/>
    <w:rsid w:val="00463658"/>
    <w:rsid w:val="004722CC"/>
    <w:rsid w:val="004936E4"/>
    <w:rsid w:val="00494E60"/>
    <w:rsid w:val="00497487"/>
    <w:rsid w:val="004A7E13"/>
    <w:rsid w:val="004B7B76"/>
    <w:rsid w:val="004C2DCA"/>
    <w:rsid w:val="004F0F38"/>
    <w:rsid w:val="004F4AF5"/>
    <w:rsid w:val="00501921"/>
    <w:rsid w:val="00530354"/>
    <w:rsid w:val="00535367"/>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A7C86"/>
    <w:rsid w:val="005C5570"/>
    <w:rsid w:val="005C79A4"/>
    <w:rsid w:val="005D5442"/>
    <w:rsid w:val="005F21FF"/>
    <w:rsid w:val="00603F32"/>
    <w:rsid w:val="006170F0"/>
    <w:rsid w:val="00620406"/>
    <w:rsid w:val="00625EDD"/>
    <w:rsid w:val="00632398"/>
    <w:rsid w:val="00640FC3"/>
    <w:rsid w:val="00642020"/>
    <w:rsid w:val="00646206"/>
    <w:rsid w:val="0065337B"/>
    <w:rsid w:val="0065419D"/>
    <w:rsid w:val="006604D8"/>
    <w:rsid w:val="00664A5B"/>
    <w:rsid w:val="006763D2"/>
    <w:rsid w:val="00680C08"/>
    <w:rsid w:val="006820CE"/>
    <w:rsid w:val="006931B1"/>
    <w:rsid w:val="006A15C0"/>
    <w:rsid w:val="006B4C50"/>
    <w:rsid w:val="006C130C"/>
    <w:rsid w:val="006C3E2A"/>
    <w:rsid w:val="006C4927"/>
    <w:rsid w:val="006C642F"/>
    <w:rsid w:val="006D03E5"/>
    <w:rsid w:val="006D5D3E"/>
    <w:rsid w:val="006E08B3"/>
    <w:rsid w:val="006F17AC"/>
    <w:rsid w:val="006F1D37"/>
    <w:rsid w:val="006F26D0"/>
    <w:rsid w:val="006F2796"/>
    <w:rsid w:val="006F572E"/>
    <w:rsid w:val="007046D6"/>
    <w:rsid w:val="00705DB0"/>
    <w:rsid w:val="007149A2"/>
    <w:rsid w:val="00722B57"/>
    <w:rsid w:val="0074253D"/>
    <w:rsid w:val="0074429B"/>
    <w:rsid w:val="00744F25"/>
    <w:rsid w:val="007513B4"/>
    <w:rsid w:val="007615BC"/>
    <w:rsid w:val="00762F05"/>
    <w:rsid w:val="0076488C"/>
    <w:rsid w:val="007652FF"/>
    <w:rsid w:val="00770EF1"/>
    <w:rsid w:val="00773EF7"/>
    <w:rsid w:val="00774E1D"/>
    <w:rsid w:val="0077675A"/>
    <w:rsid w:val="00780355"/>
    <w:rsid w:val="00785721"/>
    <w:rsid w:val="00793A59"/>
    <w:rsid w:val="007A2BBA"/>
    <w:rsid w:val="007B6E9F"/>
    <w:rsid w:val="007C1216"/>
    <w:rsid w:val="007C1AF7"/>
    <w:rsid w:val="007D7B8D"/>
    <w:rsid w:val="007E6E27"/>
    <w:rsid w:val="007F3E00"/>
    <w:rsid w:val="00805D27"/>
    <w:rsid w:val="00821776"/>
    <w:rsid w:val="00826193"/>
    <w:rsid w:val="008321F5"/>
    <w:rsid w:val="00832369"/>
    <w:rsid w:val="00834660"/>
    <w:rsid w:val="00836BC2"/>
    <w:rsid w:val="008414A0"/>
    <w:rsid w:val="00852462"/>
    <w:rsid w:val="0085641B"/>
    <w:rsid w:val="00857136"/>
    <w:rsid w:val="0086003C"/>
    <w:rsid w:val="00886D15"/>
    <w:rsid w:val="00887DD8"/>
    <w:rsid w:val="00896018"/>
    <w:rsid w:val="008960DD"/>
    <w:rsid w:val="0089635C"/>
    <w:rsid w:val="008A2B9D"/>
    <w:rsid w:val="008A398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17E10"/>
    <w:rsid w:val="00920330"/>
    <w:rsid w:val="009219D7"/>
    <w:rsid w:val="00922D53"/>
    <w:rsid w:val="00923B70"/>
    <w:rsid w:val="00924482"/>
    <w:rsid w:val="00930237"/>
    <w:rsid w:val="009438E8"/>
    <w:rsid w:val="0094614A"/>
    <w:rsid w:val="00946EA5"/>
    <w:rsid w:val="0095160F"/>
    <w:rsid w:val="00960971"/>
    <w:rsid w:val="00963C08"/>
    <w:rsid w:val="009701DD"/>
    <w:rsid w:val="00981D66"/>
    <w:rsid w:val="0098585A"/>
    <w:rsid w:val="0098669D"/>
    <w:rsid w:val="00994C95"/>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02BEC"/>
    <w:rsid w:val="00C02F33"/>
    <w:rsid w:val="00C1164D"/>
    <w:rsid w:val="00C12820"/>
    <w:rsid w:val="00C137CE"/>
    <w:rsid w:val="00C16861"/>
    <w:rsid w:val="00C203ED"/>
    <w:rsid w:val="00C22678"/>
    <w:rsid w:val="00C40299"/>
    <w:rsid w:val="00C404A6"/>
    <w:rsid w:val="00C40A36"/>
    <w:rsid w:val="00C44419"/>
    <w:rsid w:val="00C45E7B"/>
    <w:rsid w:val="00C4625F"/>
    <w:rsid w:val="00C471B1"/>
    <w:rsid w:val="00C618F7"/>
    <w:rsid w:val="00C6316B"/>
    <w:rsid w:val="00C634A9"/>
    <w:rsid w:val="00C64237"/>
    <w:rsid w:val="00C64586"/>
    <w:rsid w:val="00C70D53"/>
    <w:rsid w:val="00C73D0B"/>
    <w:rsid w:val="00C772FF"/>
    <w:rsid w:val="00C801AF"/>
    <w:rsid w:val="00C80256"/>
    <w:rsid w:val="00C811C0"/>
    <w:rsid w:val="00C928BF"/>
    <w:rsid w:val="00CB18CE"/>
    <w:rsid w:val="00CB6BC0"/>
    <w:rsid w:val="00CC1B7C"/>
    <w:rsid w:val="00CC727F"/>
    <w:rsid w:val="00CF0199"/>
    <w:rsid w:val="00CF15C3"/>
    <w:rsid w:val="00CF2B6F"/>
    <w:rsid w:val="00CF58B6"/>
    <w:rsid w:val="00D017ED"/>
    <w:rsid w:val="00D040D3"/>
    <w:rsid w:val="00D04C65"/>
    <w:rsid w:val="00D224FE"/>
    <w:rsid w:val="00D34F8E"/>
    <w:rsid w:val="00D53A31"/>
    <w:rsid w:val="00D6493E"/>
    <w:rsid w:val="00D661C9"/>
    <w:rsid w:val="00D7301E"/>
    <w:rsid w:val="00D83AE1"/>
    <w:rsid w:val="00D855D4"/>
    <w:rsid w:val="00D87961"/>
    <w:rsid w:val="00D92408"/>
    <w:rsid w:val="00D93466"/>
    <w:rsid w:val="00DA1124"/>
    <w:rsid w:val="00DB75B7"/>
    <w:rsid w:val="00DC156B"/>
    <w:rsid w:val="00DC62AD"/>
    <w:rsid w:val="00DC6E02"/>
    <w:rsid w:val="00DE02AE"/>
    <w:rsid w:val="00DF1D7F"/>
    <w:rsid w:val="00DF4BE4"/>
    <w:rsid w:val="00E02FB4"/>
    <w:rsid w:val="00E07F15"/>
    <w:rsid w:val="00E12EB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3E85"/>
    <w:rsid w:val="00ED5A41"/>
    <w:rsid w:val="00EE1DE8"/>
    <w:rsid w:val="00EF0088"/>
    <w:rsid w:val="00F033EC"/>
    <w:rsid w:val="00F04F68"/>
    <w:rsid w:val="00F12670"/>
    <w:rsid w:val="00F14B27"/>
    <w:rsid w:val="00F21AE2"/>
    <w:rsid w:val="00F3148D"/>
    <w:rsid w:val="00F325C5"/>
    <w:rsid w:val="00F32FE0"/>
    <w:rsid w:val="00F35298"/>
    <w:rsid w:val="00F47333"/>
    <w:rsid w:val="00F47E37"/>
    <w:rsid w:val="00F53C07"/>
    <w:rsid w:val="00F54B65"/>
    <w:rsid w:val="00F640B6"/>
    <w:rsid w:val="00F80E40"/>
    <w:rsid w:val="00F848D9"/>
    <w:rsid w:val="00F934C3"/>
    <w:rsid w:val="00FA5B82"/>
    <w:rsid w:val="00FA639E"/>
    <w:rsid w:val="00FC25E4"/>
    <w:rsid w:val="00FC3453"/>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F39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link w:val="CaptionChar"/>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34F8E"/>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436B89"/>
    <w:pPr>
      <w:numPr>
        <w:numId w:val="8"/>
      </w:numPr>
      <w:spacing w:after="0" w:line="240" w:lineRule="auto"/>
    </w:pPr>
    <w:rPr>
      <w:rFonts w:eastAsia="Times New Roman"/>
      <w:kern w:val="24"/>
      <w:szCs w:val="24"/>
      <w:lang w:eastAsia="en-AU"/>
    </w:rPr>
  </w:style>
  <w:style w:type="paragraph" w:customStyle="1" w:styleId="Instructions1">
    <w:name w:val="Instructions 1"/>
    <w:basedOn w:val="Normal"/>
    <w:qFormat/>
    <w:rsid w:val="00436B8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436B89"/>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436B8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436B89"/>
    <w:pPr>
      <w:spacing w:before="0" w:after="100" w:line="276" w:lineRule="auto"/>
      <w:ind w:left="660"/>
    </w:pPr>
    <w:rPr>
      <w:rFonts w:eastAsia="PMingLiU"/>
      <w:lang w:eastAsia="en-AU"/>
    </w:rPr>
  </w:style>
  <w:style w:type="paragraph" w:styleId="TOC5">
    <w:name w:val="toc 5"/>
    <w:basedOn w:val="Normal"/>
    <w:next w:val="Normal"/>
    <w:autoRedefine/>
    <w:uiPriority w:val="39"/>
    <w:unhideWhenUsed/>
    <w:rsid w:val="00436B89"/>
    <w:pPr>
      <w:spacing w:before="0" w:after="100" w:line="276" w:lineRule="auto"/>
      <w:ind w:left="880"/>
    </w:pPr>
    <w:rPr>
      <w:rFonts w:eastAsia="PMingLiU"/>
      <w:lang w:eastAsia="en-AU"/>
    </w:rPr>
  </w:style>
  <w:style w:type="paragraph" w:styleId="TOC6">
    <w:name w:val="toc 6"/>
    <w:basedOn w:val="Normal"/>
    <w:next w:val="Normal"/>
    <w:autoRedefine/>
    <w:uiPriority w:val="39"/>
    <w:unhideWhenUsed/>
    <w:rsid w:val="00436B89"/>
    <w:pPr>
      <w:spacing w:before="0" w:after="100" w:line="276" w:lineRule="auto"/>
      <w:ind w:left="1100"/>
    </w:pPr>
    <w:rPr>
      <w:rFonts w:eastAsia="PMingLiU"/>
      <w:lang w:eastAsia="en-AU"/>
    </w:rPr>
  </w:style>
  <w:style w:type="paragraph" w:styleId="TOC7">
    <w:name w:val="toc 7"/>
    <w:basedOn w:val="Normal"/>
    <w:next w:val="Normal"/>
    <w:autoRedefine/>
    <w:uiPriority w:val="39"/>
    <w:unhideWhenUsed/>
    <w:rsid w:val="00436B89"/>
    <w:pPr>
      <w:spacing w:before="0" w:after="100" w:line="276" w:lineRule="auto"/>
      <w:ind w:left="1320"/>
    </w:pPr>
    <w:rPr>
      <w:rFonts w:eastAsia="PMingLiU"/>
      <w:lang w:eastAsia="en-AU"/>
    </w:rPr>
  </w:style>
  <w:style w:type="paragraph" w:styleId="TOC8">
    <w:name w:val="toc 8"/>
    <w:basedOn w:val="Normal"/>
    <w:next w:val="Normal"/>
    <w:autoRedefine/>
    <w:uiPriority w:val="39"/>
    <w:unhideWhenUsed/>
    <w:rsid w:val="00436B89"/>
    <w:pPr>
      <w:spacing w:before="0" w:after="100" w:line="276" w:lineRule="auto"/>
      <w:ind w:left="1540"/>
    </w:pPr>
    <w:rPr>
      <w:rFonts w:eastAsia="PMingLiU"/>
      <w:lang w:eastAsia="en-AU"/>
    </w:rPr>
  </w:style>
  <w:style w:type="paragraph" w:styleId="TOC9">
    <w:name w:val="toc 9"/>
    <w:basedOn w:val="Normal"/>
    <w:next w:val="Normal"/>
    <w:autoRedefine/>
    <w:uiPriority w:val="39"/>
    <w:unhideWhenUsed/>
    <w:rsid w:val="00436B89"/>
    <w:pPr>
      <w:spacing w:before="0" w:after="100" w:line="276" w:lineRule="auto"/>
      <w:ind w:left="1760"/>
    </w:pPr>
    <w:rPr>
      <w:rFonts w:eastAsia="PMingLiU"/>
      <w:lang w:eastAsia="en-AU"/>
    </w:rPr>
  </w:style>
  <w:style w:type="paragraph" w:customStyle="1" w:styleId="Instructions">
    <w:name w:val="Instructions"/>
    <w:basedOn w:val="Normal"/>
    <w:next w:val="Normal"/>
    <w:uiPriority w:val="1"/>
    <w:qFormat/>
    <w:rsid w:val="00436B89"/>
    <w:rPr>
      <w:i/>
      <w:color w:val="007099"/>
    </w:rPr>
  </w:style>
  <w:style w:type="paragraph" w:styleId="ListParagraph">
    <w:name w:val="List Paragraph"/>
    <w:basedOn w:val="Normal"/>
    <w:uiPriority w:val="34"/>
    <w:qFormat/>
    <w:rsid w:val="00436B89"/>
    <w:pPr>
      <w:autoSpaceDE w:val="0"/>
      <w:autoSpaceDN w:val="0"/>
      <w:adjustRightInd w:val="0"/>
      <w:spacing w:before="0" w:after="0" w:line="240" w:lineRule="auto"/>
    </w:pPr>
    <w:rPr>
      <w:rFonts w:ascii="Times New Roman" w:hAnsi="Times New Roman"/>
      <w:sz w:val="24"/>
      <w:szCs w:val="24"/>
      <w:lang w:eastAsia="en-AU"/>
    </w:rPr>
  </w:style>
  <w:style w:type="paragraph" w:customStyle="1" w:styleId="Default">
    <w:name w:val="Default"/>
    <w:rsid w:val="00436B89"/>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customStyle="1" w:styleId="TableCaption">
    <w:name w:val="Table Caption"/>
    <w:basedOn w:val="Tabletitle"/>
    <w:link w:val="TableCaptionChar"/>
    <w:qFormat/>
    <w:rsid w:val="00436B89"/>
    <w:rPr>
      <w:rFonts w:cs="Times New Roman"/>
    </w:rPr>
  </w:style>
  <w:style w:type="paragraph" w:styleId="BodyText">
    <w:name w:val="Body Text"/>
    <w:basedOn w:val="Normal"/>
    <w:link w:val="BodyTextChar"/>
    <w:uiPriority w:val="1"/>
    <w:qFormat/>
    <w:rsid w:val="00436B89"/>
    <w:pPr>
      <w:autoSpaceDE w:val="0"/>
      <w:autoSpaceDN w:val="0"/>
      <w:adjustRightInd w:val="0"/>
      <w:spacing w:before="117" w:after="0" w:line="240" w:lineRule="auto"/>
      <w:ind w:left="159"/>
    </w:pPr>
    <w:rPr>
      <w:rFonts w:ascii="Times New Roman" w:hAnsi="Times New Roman"/>
      <w:b/>
      <w:bCs/>
      <w:sz w:val="20"/>
      <w:szCs w:val="20"/>
      <w:lang w:eastAsia="en-AU"/>
    </w:rPr>
  </w:style>
  <w:style w:type="character" w:customStyle="1" w:styleId="BodyTextChar">
    <w:name w:val="Body Text Char"/>
    <w:basedOn w:val="DefaultParagraphFont"/>
    <w:link w:val="BodyText"/>
    <w:uiPriority w:val="1"/>
    <w:rsid w:val="00436B89"/>
    <w:rPr>
      <w:rFonts w:ascii="Times New Roman" w:eastAsia="Cambria" w:hAnsi="Times New Roman" w:cs="Times New Roman"/>
      <w:b/>
      <w:bCs/>
      <w:sz w:val="20"/>
      <w:szCs w:val="20"/>
      <w:lang w:eastAsia="en-AU"/>
    </w:rPr>
  </w:style>
  <w:style w:type="character" w:customStyle="1" w:styleId="CaptionChar">
    <w:name w:val="Caption Char"/>
    <w:link w:val="Caption"/>
    <w:uiPriority w:val="35"/>
    <w:rsid w:val="00436B89"/>
    <w:rPr>
      <w:rFonts w:ascii="Cambria" w:eastAsia="Cambria" w:hAnsi="Cambria" w:cs="Times New Roman"/>
      <w:sz w:val="19"/>
      <w:szCs w:val="18"/>
    </w:rPr>
  </w:style>
  <w:style w:type="character" w:customStyle="1" w:styleId="TableCaptionChar">
    <w:name w:val="Table Caption Char"/>
    <w:link w:val="TableCaption"/>
    <w:rsid w:val="00436B89"/>
    <w:rPr>
      <w:rFonts w:ascii="Cambria" w:eastAsia="Cambria" w:hAnsi="Cambria" w:cs="Times New Roman"/>
      <w:b/>
    </w:rPr>
  </w:style>
  <w:style w:type="paragraph" w:customStyle="1" w:styleId="TableParagraph">
    <w:name w:val="Table Paragraph"/>
    <w:basedOn w:val="Normal"/>
    <w:uiPriority w:val="1"/>
    <w:qFormat/>
    <w:rsid w:val="00436B89"/>
    <w:pPr>
      <w:autoSpaceDE w:val="0"/>
      <w:autoSpaceDN w:val="0"/>
      <w:adjustRightInd w:val="0"/>
      <w:spacing w:before="0" w:after="0" w:line="240" w:lineRule="auto"/>
    </w:pPr>
    <w:rPr>
      <w:rFonts w:ascii="Times New Roman" w:hAnsi="Times New Roman"/>
      <w:sz w:val="24"/>
      <w:szCs w:val="24"/>
      <w:lang w:eastAsia="en-AU"/>
    </w:rPr>
  </w:style>
  <w:style w:type="paragraph" w:styleId="TableofFigures">
    <w:name w:val="table of figures"/>
    <w:basedOn w:val="Normal"/>
    <w:next w:val="Normal"/>
    <w:uiPriority w:val="99"/>
    <w:unhideWhenUsed/>
    <w:rsid w:val="00436B89"/>
  </w:style>
  <w:style w:type="character" w:customStyle="1" w:styleId="apple-converted-space">
    <w:name w:val="apple-converted-space"/>
    <w:rsid w:val="00436B89"/>
  </w:style>
  <w:style w:type="character" w:styleId="Emphasis">
    <w:name w:val="Emphasis"/>
    <w:uiPriority w:val="20"/>
    <w:qFormat/>
    <w:rsid w:val="00436B89"/>
    <w:rPr>
      <w:i/>
      <w:iCs/>
    </w:rPr>
  </w:style>
  <w:style w:type="paragraph" w:styleId="BodyTextIndent2">
    <w:name w:val="Body Text Indent 2"/>
    <w:basedOn w:val="Normal"/>
    <w:link w:val="BodyTextIndent2Char"/>
    <w:uiPriority w:val="99"/>
    <w:semiHidden/>
    <w:unhideWhenUsed/>
    <w:rsid w:val="00436B89"/>
    <w:pPr>
      <w:spacing w:line="480" w:lineRule="auto"/>
      <w:ind w:left="283"/>
    </w:pPr>
  </w:style>
  <w:style w:type="character" w:customStyle="1" w:styleId="BodyTextIndent2Char">
    <w:name w:val="Body Text Indent 2 Char"/>
    <w:basedOn w:val="DefaultParagraphFont"/>
    <w:link w:val="BodyTextIndent2"/>
    <w:uiPriority w:val="99"/>
    <w:semiHidden/>
    <w:rsid w:val="00436B89"/>
    <w:rPr>
      <w:rFonts w:ascii="Cambria" w:eastAsia="Cambria" w:hAnsi="Cambria" w:cs="Times New Roman"/>
    </w:rPr>
  </w:style>
  <w:style w:type="table" w:customStyle="1" w:styleId="TableGrid0">
    <w:name w:val="TableGrid"/>
    <w:rsid w:val="00436B89"/>
    <w:pPr>
      <w:spacing w:after="0" w:line="240" w:lineRule="auto"/>
    </w:pPr>
    <w:rPr>
      <w:rFonts w:ascii="Calibri" w:eastAsia="Times New Roman" w:hAnsi="Calibri" w:cs="Times New Roman"/>
      <w:lang w:eastAsia="en-A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link w:val="CaptionChar"/>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34F8E"/>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436B89"/>
    <w:pPr>
      <w:numPr>
        <w:numId w:val="8"/>
      </w:numPr>
      <w:spacing w:after="0" w:line="240" w:lineRule="auto"/>
    </w:pPr>
    <w:rPr>
      <w:rFonts w:eastAsia="Times New Roman"/>
      <w:kern w:val="24"/>
      <w:szCs w:val="24"/>
      <w:lang w:eastAsia="en-AU"/>
    </w:rPr>
  </w:style>
  <w:style w:type="paragraph" w:customStyle="1" w:styleId="Instructions1">
    <w:name w:val="Instructions 1"/>
    <w:basedOn w:val="Normal"/>
    <w:qFormat/>
    <w:rsid w:val="00436B8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436B89"/>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436B8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436B89"/>
    <w:pPr>
      <w:spacing w:before="0" w:after="100" w:line="276" w:lineRule="auto"/>
      <w:ind w:left="660"/>
    </w:pPr>
    <w:rPr>
      <w:rFonts w:eastAsia="PMingLiU"/>
      <w:lang w:eastAsia="en-AU"/>
    </w:rPr>
  </w:style>
  <w:style w:type="paragraph" w:styleId="TOC5">
    <w:name w:val="toc 5"/>
    <w:basedOn w:val="Normal"/>
    <w:next w:val="Normal"/>
    <w:autoRedefine/>
    <w:uiPriority w:val="39"/>
    <w:unhideWhenUsed/>
    <w:rsid w:val="00436B89"/>
    <w:pPr>
      <w:spacing w:before="0" w:after="100" w:line="276" w:lineRule="auto"/>
      <w:ind w:left="880"/>
    </w:pPr>
    <w:rPr>
      <w:rFonts w:eastAsia="PMingLiU"/>
      <w:lang w:eastAsia="en-AU"/>
    </w:rPr>
  </w:style>
  <w:style w:type="paragraph" w:styleId="TOC6">
    <w:name w:val="toc 6"/>
    <w:basedOn w:val="Normal"/>
    <w:next w:val="Normal"/>
    <w:autoRedefine/>
    <w:uiPriority w:val="39"/>
    <w:unhideWhenUsed/>
    <w:rsid w:val="00436B89"/>
    <w:pPr>
      <w:spacing w:before="0" w:after="100" w:line="276" w:lineRule="auto"/>
      <w:ind w:left="1100"/>
    </w:pPr>
    <w:rPr>
      <w:rFonts w:eastAsia="PMingLiU"/>
      <w:lang w:eastAsia="en-AU"/>
    </w:rPr>
  </w:style>
  <w:style w:type="paragraph" w:styleId="TOC7">
    <w:name w:val="toc 7"/>
    <w:basedOn w:val="Normal"/>
    <w:next w:val="Normal"/>
    <w:autoRedefine/>
    <w:uiPriority w:val="39"/>
    <w:unhideWhenUsed/>
    <w:rsid w:val="00436B89"/>
    <w:pPr>
      <w:spacing w:before="0" w:after="100" w:line="276" w:lineRule="auto"/>
      <w:ind w:left="1320"/>
    </w:pPr>
    <w:rPr>
      <w:rFonts w:eastAsia="PMingLiU"/>
      <w:lang w:eastAsia="en-AU"/>
    </w:rPr>
  </w:style>
  <w:style w:type="paragraph" w:styleId="TOC8">
    <w:name w:val="toc 8"/>
    <w:basedOn w:val="Normal"/>
    <w:next w:val="Normal"/>
    <w:autoRedefine/>
    <w:uiPriority w:val="39"/>
    <w:unhideWhenUsed/>
    <w:rsid w:val="00436B89"/>
    <w:pPr>
      <w:spacing w:before="0" w:after="100" w:line="276" w:lineRule="auto"/>
      <w:ind w:left="1540"/>
    </w:pPr>
    <w:rPr>
      <w:rFonts w:eastAsia="PMingLiU"/>
      <w:lang w:eastAsia="en-AU"/>
    </w:rPr>
  </w:style>
  <w:style w:type="paragraph" w:styleId="TOC9">
    <w:name w:val="toc 9"/>
    <w:basedOn w:val="Normal"/>
    <w:next w:val="Normal"/>
    <w:autoRedefine/>
    <w:uiPriority w:val="39"/>
    <w:unhideWhenUsed/>
    <w:rsid w:val="00436B89"/>
    <w:pPr>
      <w:spacing w:before="0" w:after="100" w:line="276" w:lineRule="auto"/>
      <w:ind w:left="1760"/>
    </w:pPr>
    <w:rPr>
      <w:rFonts w:eastAsia="PMingLiU"/>
      <w:lang w:eastAsia="en-AU"/>
    </w:rPr>
  </w:style>
  <w:style w:type="paragraph" w:customStyle="1" w:styleId="Instructions">
    <w:name w:val="Instructions"/>
    <w:basedOn w:val="Normal"/>
    <w:next w:val="Normal"/>
    <w:uiPriority w:val="1"/>
    <w:qFormat/>
    <w:rsid w:val="00436B89"/>
    <w:rPr>
      <w:i/>
      <w:color w:val="007099"/>
    </w:rPr>
  </w:style>
  <w:style w:type="paragraph" w:styleId="ListParagraph">
    <w:name w:val="List Paragraph"/>
    <w:basedOn w:val="Normal"/>
    <w:uiPriority w:val="34"/>
    <w:qFormat/>
    <w:rsid w:val="00436B89"/>
    <w:pPr>
      <w:autoSpaceDE w:val="0"/>
      <w:autoSpaceDN w:val="0"/>
      <w:adjustRightInd w:val="0"/>
      <w:spacing w:before="0" w:after="0" w:line="240" w:lineRule="auto"/>
    </w:pPr>
    <w:rPr>
      <w:rFonts w:ascii="Times New Roman" w:hAnsi="Times New Roman"/>
      <w:sz w:val="24"/>
      <w:szCs w:val="24"/>
      <w:lang w:eastAsia="en-AU"/>
    </w:rPr>
  </w:style>
  <w:style w:type="paragraph" w:customStyle="1" w:styleId="Default">
    <w:name w:val="Default"/>
    <w:rsid w:val="00436B89"/>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customStyle="1" w:styleId="TableCaption">
    <w:name w:val="Table Caption"/>
    <w:basedOn w:val="Tabletitle"/>
    <w:link w:val="TableCaptionChar"/>
    <w:qFormat/>
    <w:rsid w:val="00436B89"/>
    <w:rPr>
      <w:rFonts w:cs="Times New Roman"/>
    </w:rPr>
  </w:style>
  <w:style w:type="paragraph" w:styleId="BodyText">
    <w:name w:val="Body Text"/>
    <w:basedOn w:val="Normal"/>
    <w:link w:val="BodyTextChar"/>
    <w:uiPriority w:val="1"/>
    <w:qFormat/>
    <w:rsid w:val="00436B89"/>
    <w:pPr>
      <w:autoSpaceDE w:val="0"/>
      <w:autoSpaceDN w:val="0"/>
      <w:adjustRightInd w:val="0"/>
      <w:spacing w:before="117" w:after="0" w:line="240" w:lineRule="auto"/>
      <w:ind w:left="159"/>
    </w:pPr>
    <w:rPr>
      <w:rFonts w:ascii="Times New Roman" w:hAnsi="Times New Roman"/>
      <w:b/>
      <w:bCs/>
      <w:sz w:val="20"/>
      <w:szCs w:val="20"/>
      <w:lang w:eastAsia="en-AU"/>
    </w:rPr>
  </w:style>
  <w:style w:type="character" w:customStyle="1" w:styleId="BodyTextChar">
    <w:name w:val="Body Text Char"/>
    <w:basedOn w:val="DefaultParagraphFont"/>
    <w:link w:val="BodyText"/>
    <w:uiPriority w:val="1"/>
    <w:rsid w:val="00436B89"/>
    <w:rPr>
      <w:rFonts w:ascii="Times New Roman" w:eastAsia="Cambria" w:hAnsi="Times New Roman" w:cs="Times New Roman"/>
      <w:b/>
      <w:bCs/>
      <w:sz w:val="20"/>
      <w:szCs w:val="20"/>
      <w:lang w:eastAsia="en-AU"/>
    </w:rPr>
  </w:style>
  <w:style w:type="character" w:customStyle="1" w:styleId="CaptionChar">
    <w:name w:val="Caption Char"/>
    <w:link w:val="Caption"/>
    <w:uiPriority w:val="35"/>
    <w:rsid w:val="00436B89"/>
    <w:rPr>
      <w:rFonts w:ascii="Cambria" w:eastAsia="Cambria" w:hAnsi="Cambria" w:cs="Times New Roman"/>
      <w:sz w:val="19"/>
      <w:szCs w:val="18"/>
    </w:rPr>
  </w:style>
  <w:style w:type="character" w:customStyle="1" w:styleId="TableCaptionChar">
    <w:name w:val="Table Caption Char"/>
    <w:link w:val="TableCaption"/>
    <w:rsid w:val="00436B89"/>
    <w:rPr>
      <w:rFonts w:ascii="Cambria" w:eastAsia="Cambria" w:hAnsi="Cambria" w:cs="Times New Roman"/>
      <w:b/>
    </w:rPr>
  </w:style>
  <w:style w:type="paragraph" w:customStyle="1" w:styleId="TableParagraph">
    <w:name w:val="Table Paragraph"/>
    <w:basedOn w:val="Normal"/>
    <w:uiPriority w:val="1"/>
    <w:qFormat/>
    <w:rsid w:val="00436B89"/>
    <w:pPr>
      <w:autoSpaceDE w:val="0"/>
      <w:autoSpaceDN w:val="0"/>
      <w:adjustRightInd w:val="0"/>
      <w:spacing w:before="0" w:after="0" w:line="240" w:lineRule="auto"/>
    </w:pPr>
    <w:rPr>
      <w:rFonts w:ascii="Times New Roman" w:hAnsi="Times New Roman"/>
      <w:sz w:val="24"/>
      <w:szCs w:val="24"/>
      <w:lang w:eastAsia="en-AU"/>
    </w:rPr>
  </w:style>
  <w:style w:type="paragraph" w:styleId="TableofFigures">
    <w:name w:val="table of figures"/>
    <w:basedOn w:val="Normal"/>
    <w:next w:val="Normal"/>
    <w:uiPriority w:val="99"/>
    <w:unhideWhenUsed/>
    <w:rsid w:val="00436B89"/>
  </w:style>
  <w:style w:type="character" w:customStyle="1" w:styleId="apple-converted-space">
    <w:name w:val="apple-converted-space"/>
    <w:rsid w:val="00436B89"/>
  </w:style>
  <w:style w:type="character" w:styleId="Emphasis">
    <w:name w:val="Emphasis"/>
    <w:uiPriority w:val="20"/>
    <w:qFormat/>
    <w:rsid w:val="00436B89"/>
    <w:rPr>
      <w:i/>
      <w:iCs/>
    </w:rPr>
  </w:style>
  <w:style w:type="paragraph" w:styleId="BodyTextIndent2">
    <w:name w:val="Body Text Indent 2"/>
    <w:basedOn w:val="Normal"/>
    <w:link w:val="BodyTextIndent2Char"/>
    <w:uiPriority w:val="99"/>
    <w:semiHidden/>
    <w:unhideWhenUsed/>
    <w:rsid w:val="00436B89"/>
    <w:pPr>
      <w:spacing w:line="480" w:lineRule="auto"/>
      <w:ind w:left="283"/>
    </w:pPr>
  </w:style>
  <w:style w:type="character" w:customStyle="1" w:styleId="BodyTextIndent2Char">
    <w:name w:val="Body Text Indent 2 Char"/>
    <w:basedOn w:val="DefaultParagraphFont"/>
    <w:link w:val="BodyTextIndent2"/>
    <w:uiPriority w:val="99"/>
    <w:semiHidden/>
    <w:rsid w:val="00436B89"/>
    <w:rPr>
      <w:rFonts w:ascii="Cambria" w:eastAsia="Cambria" w:hAnsi="Cambria" w:cs="Times New Roman"/>
    </w:rPr>
  </w:style>
  <w:style w:type="table" w:customStyle="1" w:styleId="TableGrid0">
    <w:name w:val="TableGrid"/>
    <w:rsid w:val="00436B89"/>
    <w:pPr>
      <w:spacing w:after="0" w:line="240" w:lineRule="auto"/>
    </w:pPr>
    <w:rPr>
      <w:rFonts w:ascii="Calibri" w:eastAsia="Times New Roman" w:hAnsi="Calibri" w:cs="Times New Roman"/>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1077">
      <w:bodyDiv w:val="1"/>
      <w:marLeft w:val="0"/>
      <w:marRight w:val="0"/>
      <w:marTop w:val="0"/>
      <w:marBottom w:val="0"/>
      <w:divBdr>
        <w:top w:val="none" w:sz="0" w:space="0" w:color="auto"/>
        <w:left w:val="none" w:sz="0" w:space="0" w:color="auto"/>
        <w:bottom w:val="none" w:sz="0" w:space="0" w:color="auto"/>
        <w:right w:val="none" w:sz="0" w:space="0" w:color="auto"/>
      </w:divBdr>
    </w:div>
    <w:div w:id="70545377">
      <w:bodyDiv w:val="1"/>
      <w:marLeft w:val="0"/>
      <w:marRight w:val="0"/>
      <w:marTop w:val="0"/>
      <w:marBottom w:val="0"/>
      <w:divBdr>
        <w:top w:val="none" w:sz="0" w:space="0" w:color="auto"/>
        <w:left w:val="none" w:sz="0" w:space="0" w:color="auto"/>
        <w:bottom w:val="none" w:sz="0" w:space="0" w:color="auto"/>
        <w:right w:val="none" w:sz="0" w:space="0" w:color="auto"/>
      </w:divBdr>
      <w:divsChild>
        <w:div w:id="1298874606">
          <w:marLeft w:val="0"/>
          <w:marRight w:val="0"/>
          <w:marTop w:val="0"/>
          <w:marBottom w:val="0"/>
          <w:divBdr>
            <w:top w:val="none" w:sz="0" w:space="0" w:color="auto"/>
            <w:left w:val="none" w:sz="0" w:space="0" w:color="auto"/>
            <w:bottom w:val="none" w:sz="0" w:space="0" w:color="auto"/>
            <w:right w:val="none" w:sz="0" w:space="0" w:color="auto"/>
          </w:divBdr>
          <w:divsChild>
            <w:div w:id="707875511">
              <w:marLeft w:val="0"/>
              <w:marRight w:val="0"/>
              <w:marTop w:val="0"/>
              <w:marBottom w:val="0"/>
              <w:divBdr>
                <w:top w:val="none" w:sz="0" w:space="0" w:color="auto"/>
                <w:left w:val="none" w:sz="0" w:space="0" w:color="auto"/>
                <w:bottom w:val="none" w:sz="0" w:space="0" w:color="auto"/>
                <w:right w:val="none" w:sz="0" w:space="0" w:color="auto"/>
              </w:divBdr>
              <w:divsChild>
                <w:div w:id="514921401">
                  <w:marLeft w:val="0"/>
                  <w:marRight w:val="0"/>
                  <w:marTop w:val="0"/>
                  <w:marBottom w:val="0"/>
                  <w:divBdr>
                    <w:top w:val="none" w:sz="0" w:space="0" w:color="auto"/>
                    <w:left w:val="none" w:sz="0" w:space="0" w:color="auto"/>
                    <w:bottom w:val="none" w:sz="0" w:space="0" w:color="auto"/>
                    <w:right w:val="none" w:sz="0" w:space="0" w:color="auto"/>
                  </w:divBdr>
                  <w:divsChild>
                    <w:div w:id="1952472151">
                      <w:marLeft w:val="0"/>
                      <w:marRight w:val="0"/>
                      <w:marTop w:val="0"/>
                      <w:marBottom w:val="0"/>
                      <w:divBdr>
                        <w:top w:val="none" w:sz="0" w:space="0" w:color="auto"/>
                        <w:left w:val="none" w:sz="0" w:space="0" w:color="auto"/>
                        <w:bottom w:val="none" w:sz="0" w:space="0" w:color="auto"/>
                        <w:right w:val="none" w:sz="0" w:space="0" w:color="auto"/>
                      </w:divBdr>
                      <w:divsChild>
                        <w:div w:id="1081950999">
                          <w:marLeft w:val="0"/>
                          <w:marRight w:val="0"/>
                          <w:marTop w:val="0"/>
                          <w:marBottom w:val="0"/>
                          <w:divBdr>
                            <w:top w:val="none" w:sz="0" w:space="0" w:color="auto"/>
                            <w:left w:val="none" w:sz="0" w:space="0" w:color="auto"/>
                            <w:bottom w:val="none" w:sz="0" w:space="0" w:color="auto"/>
                            <w:right w:val="none" w:sz="0" w:space="0" w:color="auto"/>
                          </w:divBdr>
                          <w:divsChild>
                            <w:div w:id="215820930">
                              <w:marLeft w:val="0"/>
                              <w:marRight w:val="0"/>
                              <w:marTop w:val="0"/>
                              <w:marBottom w:val="0"/>
                              <w:divBdr>
                                <w:top w:val="none" w:sz="0" w:space="0" w:color="auto"/>
                                <w:left w:val="none" w:sz="0" w:space="0" w:color="auto"/>
                                <w:bottom w:val="none" w:sz="0" w:space="0" w:color="auto"/>
                                <w:right w:val="none" w:sz="0" w:space="0" w:color="auto"/>
                              </w:divBdr>
                              <w:divsChild>
                                <w:div w:id="745415252">
                                  <w:marLeft w:val="0"/>
                                  <w:marRight w:val="0"/>
                                  <w:marTop w:val="0"/>
                                  <w:marBottom w:val="0"/>
                                  <w:divBdr>
                                    <w:top w:val="none" w:sz="0" w:space="0" w:color="auto"/>
                                    <w:left w:val="none" w:sz="0" w:space="0" w:color="auto"/>
                                    <w:bottom w:val="none" w:sz="0" w:space="0" w:color="auto"/>
                                    <w:right w:val="none" w:sz="0" w:space="0" w:color="auto"/>
                                  </w:divBdr>
                                  <w:divsChild>
                                    <w:div w:id="2015843508">
                                      <w:marLeft w:val="0"/>
                                      <w:marRight w:val="0"/>
                                      <w:marTop w:val="0"/>
                                      <w:marBottom w:val="0"/>
                                      <w:divBdr>
                                        <w:top w:val="none" w:sz="0" w:space="0" w:color="auto"/>
                                        <w:left w:val="none" w:sz="0" w:space="0" w:color="auto"/>
                                        <w:bottom w:val="none" w:sz="0" w:space="0" w:color="auto"/>
                                        <w:right w:val="none" w:sz="0" w:space="0" w:color="auto"/>
                                      </w:divBdr>
                                    </w:div>
                                    <w:div w:id="73678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402566">
      <w:bodyDiv w:val="1"/>
      <w:marLeft w:val="0"/>
      <w:marRight w:val="0"/>
      <w:marTop w:val="0"/>
      <w:marBottom w:val="0"/>
      <w:divBdr>
        <w:top w:val="none" w:sz="0" w:space="0" w:color="auto"/>
        <w:left w:val="none" w:sz="0" w:space="0" w:color="auto"/>
        <w:bottom w:val="none" w:sz="0" w:space="0" w:color="auto"/>
        <w:right w:val="none" w:sz="0" w:space="0" w:color="auto"/>
      </w:divBdr>
    </w:div>
    <w:div w:id="436146525">
      <w:bodyDiv w:val="1"/>
      <w:marLeft w:val="0"/>
      <w:marRight w:val="0"/>
      <w:marTop w:val="0"/>
      <w:marBottom w:val="0"/>
      <w:divBdr>
        <w:top w:val="none" w:sz="0" w:space="0" w:color="auto"/>
        <w:left w:val="none" w:sz="0" w:space="0" w:color="auto"/>
        <w:bottom w:val="none" w:sz="0" w:space="0" w:color="auto"/>
        <w:right w:val="none" w:sz="0" w:space="0" w:color="auto"/>
      </w:divBdr>
    </w:div>
    <w:div w:id="542258148">
      <w:bodyDiv w:val="1"/>
      <w:marLeft w:val="0"/>
      <w:marRight w:val="0"/>
      <w:marTop w:val="0"/>
      <w:marBottom w:val="0"/>
      <w:divBdr>
        <w:top w:val="none" w:sz="0" w:space="0" w:color="auto"/>
        <w:left w:val="none" w:sz="0" w:space="0" w:color="auto"/>
        <w:bottom w:val="none" w:sz="0" w:space="0" w:color="auto"/>
        <w:right w:val="none" w:sz="0" w:space="0" w:color="auto"/>
      </w:divBdr>
    </w:div>
    <w:div w:id="685323407">
      <w:bodyDiv w:val="1"/>
      <w:marLeft w:val="0"/>
      <w:marRight w:val="0"/>
      <w:marTop w:val="0"/>
      <w:marBottom w:val="0"/>
      <w:divBdr>
        <w:top w:val="none" w:sz="0" w:space="0" w:color="auto"/>
        <w:left w:val="none" w:sz="0" w:space="0" w:color="auto"/>
        <w:bottom w:val="none" w:sz="0" w:space="0" w:color="auto"/>
        <w:right w:val="none" w:sz="0" w:space="0" w:color="auto"/>
      </w:divBdr>
    </w:div>
    <w:div w:id="724178691">
      <w:bodyDiv w:val="1"/>
      <w:marLeft w:val="0"/>
      <w:marRight w:val="0"/>
      <w:marTop w:val="0"/>
      <w:marBottom w:val="0"/>
      <w:divBdr>
        <w:top w:val="none" w:sz="0" w:space="0" w:color="auto"/>
        <w:left w:val="none" w:sz="0" w:space="0" w:color="auto"/>
        <w:bottom w:val="none" w:sz="0" w:space="0" w:color="auto"/>
        <w:right w:val="none" w:sz="0" w:space="0" w:color="auto"/>
      </w:divBdr>
      <w:divsChild>
        <w:div w:id="1556694512">
          <w:marLeft w:val="0"/>
          <w:marRight w:val="0"/>
          <w:marTop w:val="0"/>
          <w:marBottom w:val="0"/>
          <w:divBdr>
            <w:top w:val="none" w:sz="0" w:space="0" w:color="auto"/>
            <w:left w:val="none" w:sz="0" w:space="0" w:color="auto"/>
            <w:bottom w:val="none" w:sz="0" w:space="0" w:color="auto"/>
            <w:right w:val="none" w:sz="0" w:space="0" w:color="auto"/>
          </w:divBdr>
          <w:divsChild>
            <w:div w:id="1624918744">
              <w:marLeft w:val="0"/>
              <w:marRight w:val="0"/>
              <w:marTop w:val="0"/>
              <w:marBottom w:val="0"/>
              <w:divBdr>
                <w:top w:val="none" w:sz="0" w:space="0" w:color="auto"/>
                <w:left w:val="none" w:sz="0" w:space="0" w:color="auto"/>
                <w:bottom w:val="none" w:sz="0" w:space="0" w:color="auto"/>
                <w:right w:val="none" w:sz="0" w:space="0" w:color="auto"/>
              </w:divBdr>
              <w:divsChild>
                <w:div w:id="2000226010">
                  <w:marLeft w:val="0"/>
                  <w:marRight w:val="0"/>
                  <w:marTop w:val="0"/>
                  <w:marBottom w:val="0"/>
                  <w:divBdr>
                    <w:top w:val="none" w:sz="0" w:space="0" w:color="auto"/>
                    <w:left w:val="none" w:sz="0" w:space="0" w:color="auto"/>
                    <w:bottom w:val="none" w:sz="0" w:space="0" w:color="auto"/>
                    <w:right w:val="none" w:sz="0" w:space="0" w:color="auto"/>
                  </w:divBdr>
                  <w:divsChild>
                    <w:div w:id="1729302472">
                      <w:marLeft w:val="0"/>
                      <w:marRight w:val="0"/>
                      <w:marTop w:val="0"/>
                      <w:marBottom w:val="0"/>
                      <w:divBdr>
                        <w:top w:val="none" w:sz="0" w:space="0" w:color="auto"/>
                        <w:left w:val="none" w:sz="0" w:space="0" w:color="auto"/>
                        <w:bottom w:val="none" w:sz="0" w:space="0" w:color="auto"/>
                        <w:right w:val="none" w:sz="0" w:space="0" w:color="auto"/>
                      </w:divBdr>
                      <w:divsChild>
                        <w:div w:id="780346093">
                          <w:marLeft w:val="0"/>
                          <w:marRight w:val="0"/>
                          <w:marTop w:val="0"/>
                          <w:marBottom w:val="0"/>
                          <w:divBdr>
                            <w:top w:val="none" w:sz="0" w:space="0" w:color="auto"/>
                            <w:left w:val="none" w:sz="0" w:space="0" w:color="auto"/>
                            <w:bottom w:val="none" w:sz="0" w:space="0" w:color="auto"/>
                            <w:right w:val="none" w:sz="0" w:space="0" w:color="auto"/>
                          </w:divBdr>
                          <w:divsChild>
                            <w:div w:id="1075009540">
                              <w:marLeft w:val="0"/>
                              <w:marRight w:val="0"/>
                              <w:marTop w:val="0"/>
                              <w:marBottom w:val="0"/>
                              <w:divBdr>
                                <w:top w:val="none" w:sz="0" w:space="0" w:color="auto"/>
                                <w:left w:val="none" w:sz="0" w:space="0" w:color="auto"/>
                                <w:bottom w:val="none" w:sz="0" w:space="0" w:color="auto"/>
                                <w:right w:val="none" w:sz="0" w:space="0" w:color="auto"/>
                              </w:divBdr>
                              <w:divsChild>
                                <w:div w:id="1467703918">
                                  <w:marLeft w:val="0"/>
                                  <w:marRight w:val="0"/>
                                  <w:marTop w:val="0"/>
                                  <w:marBottom w:val="0"/>
                                  <w:divBdr>
                                    <w:top w:val="none" w:sz="0" w:space="0" w:color="auto"/>
                                    <w:left w:val="none" w:sz="0" w:space="0" w:color="auto"/>
                                    <w:bottom w:val="none" w:sz="0" w:space="0" w:color="auto"/>
                                    <w:right w:val="none" w:sz="0" w:space="0" w:color="auto"/>
                                  </w:divBdr>
                                  <w:divsChild>
                                    <w:div w:id="977685362">
                                      <w:marLeft w:val="0"/>
                                      <w:marRight w:val="0"/>
                                      <w:marTop w:val="0"/>
                                      <w:marBottom w:val="0"/>
                                      <w:divBdr>
                                        <w:top w:val="none" w:sz="0" w:space="0" w:color="auto"/>
                                        <w:left w:val="none" w:sz="0" w:space="0" w:color="auto"/>
                                        <w:bottom w:val="none" w:sz="0" w:space="0" w:color="auto"/>
                                        <w:right w:val="none" w:sz="0" w:space="0" w:color="auto"/>
                                      </w:divBdr>
                                    </w:div>
                                    <w:div w:id="19612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781622">
      <w:bodyDiv w:val="1"/>
      <w:marLeft w:val="0"/>
      <w:marRight w:val="0"/>
      <w:marTop w:val="0"/>
      <w:marBottom w:val="0"/>
      <w:divBdr>
        <w:top w:val="none" w:sz="0" w:space="0" w:color="auto"/>
        <w:left w:val="none" w:sz="0" w:space="0" w:color="auto"/>
        <w:bottom w:val="none" w:sz="0" w:space="0" w:color="auto"/>
        <w:right w:val="none" w:sz="0" w:space="0" w:color="auto"/>
      </w:divBdr>
    </w:div>
    <w:div w:id="817306378">
      <w:bodyDiv w:val="1"/>
      <w:marLeft w:val="0"/>
      <w:marRight w:val="0"/>
      <w:marTop w:val="0"/>
      <w:marBottom w:val="0"/>
      <w:divBdr>
        <w:top w:val="none" w:sz="0" w:space="0" w:color="auto"/>
        <w:left w:val="none" w:sz="0" w:space="0" w:color="auto"/>
        <w:bottom w:val="none" w:sz="0" w:space="0" w:color="auto"/>
        <w:right w:val="none" w:sz="0" w:space="0" w:color="auto"/>
      </w:divBdr>
    </w:div>
    <w:div w:id="851069283">
      <w:bodyDiv w:val="1"/>
      <w:marLeft w:val="0"/>
      <w:marRight w:val="0"/>
      <w:marTop w:val="0"/>
      <w:marBottom w:val="0"/>
      <w:divBdr>
        <w:top w:val="none" w:sz="0" w:space="0" w:color="auto"/>
        <w:left w:val="none" w:sz="0" w:space="0" w:color="auto"/>
        <w:bottom w:val="none" w:sz="0" w:space="0" w:color="auto"/>
        <w:right w:val="none" w:sz="0" w:space="0" w:color="auto"/>
      </w:divBdr>
    </w:div>
    <w:div w:id="882208040">
      <w:bodyDiv w:val="1"/>
      <w:marLeft w:val="0"/>
      <w:marRight w:val="0"/>
      <w:marTop w:val="0"/>
      <w:marBottom w:val="0"/>
      <w:divBdr>
        <w:top w:val="none" w:sz="0" w:space="0" w:color="auto"/>
        <w:left w:val="none" w:sz="0" w:space="0" w:color="auto"/>
        <w:bottom w:val="none" w:sz="0" w:space="0" w:color="auto"/>
        <w:right w:val="none" w:sz="0" w:space="0" w:color="auto"/>
      </w:divBdr>
    </w:div>
    <w:div w:id="1029137372">
      <w:bodyDiv w:val="1"/>
      <w:marLeft w:val="0"/>
      <w:marRight w:val="0"/>
      <w:marTop w:val="0"/>
      <w:marBottom w:val="0"/>
      <w:divBdr>
        <w:top w:val="none" w:sz="0" w:space="0" w:color="auto"/>
        <w:left w:val="none" w:sz="0" w:space="0" w:color="auto"/>
        <w:bottom w:val="none" w:sz="0" w:space="0" w:color="auto"/>
        <w:right w:val="none" w:sz="0" w:space="0" w:color="auto"/>
      </w:divBdr>
    </w:div>
    <w:div w:id="1093472557">
      <w:bodyDiv w:val="1"/>
      <w:marLeft w:val="0"/>
      <w:marRight w:val="0"/>
      <w:marTop w:val="0"/>
      <w:marBottom w:val="0"/>
      <w:divBdr>
        <w:top w:val="none" w:sz="0" w:space="0" w:color="auto"/>
        <w:left w:val="none" w:sz="0" w:space="0" w:color="auto"/>
        <w:bottom w:val="none" w:sz="0" w:space="0" w:color="auto"/>
        <w:right w:val="none" w:sz="0" w:space="0" w:color="auto"/>
      </w:divBdr>
    </w:div>
    <w:div w:id="1107894575">
      <w:bodyDiv w:val="1"/>
      <w:marLeft w:val="0"/>
      <w:marRight w:val="0"/>
      <w:marTop w:val="0"/>
      <w:marBottom w:val="0"/>
      <w:divBdr>
        <w:top w:val="none" w:sz="0" w:space="0" w:color="auto"/>
        <w:left w:val="none" w:sz="0" w:space="0" w:color="auto"/>
        <w:bottom w:val="none" w:sz="0" w:space="0" w:color="auto"/>
        <w:right w:val="none" w:sz="0" w:space="0" w:color="auto"/>
      </w:divBdr>
    </w:div>
    <w:div w:id="1285505059">
      <w:bodyDiv w:val="1"/>
      <w:marLeft w:val="0"/>
      <w:marRight w:val="0"/>
      <w:marTop w:val="0"/>
      <w:marBottom w:val="0"/>
      <w:divBdr>
        <w:top w:val="none" w:sz="0" w:space="0" w:color="auto"/>
        <w:left w:val="none" w:sz="0" w:space="0" w:color="auto"/>
        <w:bottom w:val="none" w:sz="0" w:space="0" w:color="auto"/>
        <w:right w:val="none" w:sz="0" w:space="0" w:color="auto"/>
      </w:divBdr>
    </w:div>
    <w:div w:id="1604533618">
      <w:bodyDiv w:val="1"/>
      <w:marLeft w:val="0"/>
      <w:marRight w:val="0"/>
      <w:marTop w:val="0"/>
      <w:marBottom w:val="0"/>
      <w:divBdr>
        <w:top w:val="none" w:sz="0" w:space="0" w:color="auto"/>
        <w:left w:val="none" w:sz="0" w:space="0" w:color="auto"/>
        <w:bottom w:val="none" w:sz="0" w:space="0" w:color="auto"/>
        <w:right w:val="none" w:sz="0" w:space="0" w:color="auto"/>
      </w:divBdr>
    </w:div>
    <w:div w:id="1957979850">
      <w:bodyDiv w:val="1"/>
      <w:marLeft w:val="0"/>
      <w:marRight w:val="0"/>
      <w:marTop w:val="0"/>
      <w:marBottom w:val="0"/>
      <w:divBdr>
        <w:top w:val="none" w:sz="0" w:space="0" w:color="auto"/>
        <w:left w:val="none" w:sz="0" w:space="0" w:color="auto"/>
        <w:bottom w:val="none" w:sz="0" w:space="0" w:color="auto"/>
        <w:right w:val="none" w:sz="0" w:space="0" w:color="auto"/>
      </w:divBdr>
    </w:div>
    <w:div w:id="1980525259">
      <w:bodyDiv w:val="1"/>
      <w:marLeft w:val="0"/>
      <w:marRight w:val="0"/>
      <w:marTop w:val="0"/>
      <w:marBottom w:val="0"/>
      <w:divBdr>
        <w:top w:val="none" w:sz="0" w:space="0" w:color="auto"/>
        <w:left w:val="none" w:sz="0" w:space="0" w:color="auto"/>
        <w:bottom w:val="none" w:sz="0" w:space="0" w:color="auto"/>
        <w:right w:val="none" w:sz="0" w:space="0" w:color="auto"/>
      </w:divBdr>
      <w:divsChild>
        <w:div w:id="1708338699">
          <w:marLeft w:val="0"/>
          <w:marRight w:val="0"/>
          <w:marTop w:val="0"/>
          <w:marBottom w:val="0"/>
          <w:divBdr>
            <w:top w:val="none" w:sz="0" w:space="0" w:color="auto"/>
            <w:left w:val="none" w:sz="0" w:space="0" w:color="auto"/>
            <w:bottom w:val="none" w:sz="0" w:space="0" w:color="auto"/>
            <w:right w:val="none" w:sz="0" w:space="0" w:color="auto"/>
          </w:divBdr>
          <w:divsChild>
            <w:div w:id="1437360838">
              <w:marLeft w:val="0"/>
              <w:marRight w:val="0"/>
              <w:marTop w:val="0"/>
              <w:marBottom w:val="0"/>
              <w:divBdr>
                <w:top w:val="none" w:sz="0" w:space="0" w:color="auto"/>
                <w:left w:val="none" w:sz="0" w:space="0" w:color="auto"/>
                <w:bottom w:val="none" w:sz="0" w:space="0" w:color="auto"/>
                <w:right w:val="none" w:sz="0" w:space="0" w:color="auto"/>
              </w:divBdr>
              <w:divsChild>
                <w:div w:id="1379355519">
                  <w:marLeft w:val="0"/>
                  <w:marRight w:val="0"/>
                  <w:marTop w:val="0"/>
                  <w:marBottom w:val="0"/>
                  <w:divBdr>
                    <w:top w:val="none" w:sz="0" w:space="0" w:color="auto"/>
                    <w:left w:val="none" w:sz="0" w:space="0" w:color="auto"/>
                    <w:bottom w:val="none" w:sz="0" w:space="0" w:color="auto"/>
                    <w:right w:val="none" w:sz="0" w:space="0" w:color="auto"/>
                  </w:divBdr>
                  <w:divsChild>
                    <w:div w:id="717820621">
                      <w:marLeft w:val="0"/>
                      <w:marRight w:val="0"/>
                      <w:marTop w:val="0"/>
                      <w:marBottom w:val="0"/>
                      <w:divBdr>
                        <w:top w:val="none" w:sz="0" w:space="0" w:color="auto"/>
                        <w:left w:val="none" w:sz="0" w:space="0" w:color="auto"/>
                        <w:bottom w:val="none" w:sz="0" w:space="0" w:color="auto"/>
                        <w:right w:val="none" w:sz="0" w:space="0" w:color="auto"/>
                      </w:divBdr>
                      <w:divsChild>
                        <w:div w:id="1205751998">
                          <w:marLeft w:val="0"/>
                          <w:marRight w:val="0"/>
                          <w:marTop w:val="0"/>
                          <w:marBottom w:val="0"/>
                          <w:divBdr>
                            <w:top w:val="none" w:sz="0" w:space="0" w:color="auto"/>
                            <w:left w:val="none" w:sz="0" w:space="0" w:color="auto"/>
                            <w:bottom w:val="none" w:sz="0" w:space="0" w:color="auto"/>
                            <w:right w:val="none" w:sz="0" w:space="0" w:color="auto"/>
                          </w:divBdr>
                          <w:divsChild>
                            <w:div w:id="1833400997">
                              <w:marLeft w:val="0"/>
                              <w:marRight w:val="0"/>
                              <w:marTop w:val="0"/>
                              <w:marBottom w:val="0"/>
                              <w:divBdr>
                                <w:top w:val="none" w:sz="0" w:space="0" w:color="auto"/>
                                <w:left w:val="none" w:sz="0" w:space="0" w:color="auto"/>
                                <w:bottom w:val="none" w:sz="0" w:space="0" w:color="auto"/>
                                <w:right w:val="none" w:sz="0" w:space="0" w:color="auto"/>
                              </w:divBdr>
                              <w:divsChild>
                                <w:div w:id="1004750115">
                                  <w:marLeft w:val="0"/>
                                  <w:marRight w:val="0"/>
                                  <w:marTop w:val="0"/>
                                  <w:marBottom w:val="0"/>
                                  <w:divBdr>
                                    <w:top w:val="none" w:sz="0" w:space="0" w:color="auto"/>
                                    <w:left w:val="none" w:sz="0" w:space="0" w:color="auto"/>
                                    <w:bottom w:val="none" w:sz="0" w:space="0" w:color="auto"/>
                                    <w:right w:val="none" w:sz="0" w:space="0" w:color="auto"/>
                                  </w:divBdr>
                                  <w:divsChild>
                                    <w:div w:id="1441485424">
                                      <w:marLeft w:val="0"/>
                                      <w:marRight w:val="0"/>
                                      <w:marTop w:val="0"/>
                                      <w:marBottom w:val="0"/>
                                      <w:divBdr>
                                        <w:top w:val="none" w:sz="0" w:space="0" w:color="auto"/>
                                        <w:left w:val="none" w:sz="0" w:space="0" w:color="auto"/>
                                        <w:bottom w:val="none" w:sz="0" w:space="0" w:color="auto"/>
                                        <w:right w:val="none" w:sz="0" w:space="0" w:color="auto"/>
                                      </w:divBdr>
                                    </w:div>
                                    <w:div w:id="7823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76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hyperlink" Target="https://www.ncbi.nlm.nih.gov/pubmed/?term=Rodrigo%20R%5BAuthor%5D&amp;cauthor=true&amp;cauthor_uid=17701332" TargetMode="External"/><Relationship Id="rId89" Type="http://schemas.openxmlformats.org/officeDocument/2006/relationships/hyperlink" Target="https://www.ncbi.nlm.nih.gov/pubmed/?term=Piedrafita%20B%5BAuthor%5D&amp;cauthor=true&amp;cauthor_uid=17701332" TargetMode="External"/><Relationship Id="rId112" Type="http://schemas.openxmlformats.org/officeDocument/2006/relationships/footer" Target="footer3.xml"/><Relationship Id="rId16" Type="http://schemas.openxmlformats.org/officeDocument/2006/relationships/image" Target="media/image4.emf"/><Relationship Id="rId107" Type="http://schemas.openxmlformats.org/officeDocument/2006/relationships/footer" Target="footer2.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0.emf"/><Relationship Id="rId79" Type="http://schemas.openxmlformats.org/officeDocument/2006/relationships/image" Target="media/image65.emf"/><Relationship Id="rId87" Type="http://schemas.openxmlformats.org/officeDocument/2006/relationships/hyperlink" Target="https://www.ncbi.nlm.nih.gov/pubmed/?term=Kosenko%20E%5BAuthor%5D&amp;cauthor=true&amp;cauthor_uid=17701332" TargetMode="External"/><Relationship Id="rId102" Type="http://schemas.openxmlformats.org/officeDocument/2006/relationships/hyperlink" Target="https://www.ncbi.nlm.nih.gov/pubmed/?term=Felipo%20V%5BAuthor%5D&amp;cauthor=true&amp;cauthor_uid=19428813" TargetMode="External"/><Relationship Id="rId110" Type="http://schemas.openxmlformats.org/officeDocument/2006/relationships/header" Target="header6.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emf"/><Relationship Id="rId82" Type="http://schemas.openxmlformats.org/officeDocument/2006/relationships/image" Target="media/image67.emf"/><Relationship Id="rId90" Type="http://schemas.openxmlformats.org/officeDocument/2006/relationships/hyperlink" Target="https://www.ncbi.nlm.nih.gov/pubmed/?term=El%20Mlili%20N%5BAuthor%5D&amp;cauthor=true&amp;cauthor_uid=17701332" TargetMode="External"/><Relationship Id="rId95" Type="http://schemas.openxmlformats.org/officeDocument/2006/relationships/hyperlink" Target="https://www.ncbi.nlm.nih.gov/pubmed/?term=Montoliu%20C%5BAuthor%5D&amp;cauthor=true&amp;cauthor_uid=19428813" TargetMode="External"/><Relationship Id="rId19" Type="http://schemas.openxmlformats.org/officeDocument/2006/relationships/image" Target="media/image7.emf"/><Relationship Id="rId14" Type="http://schemas.openxmlformats.org/officeDocument/2006/relationships/header" Target="header2.xml"/><Relationship Id="rId22" Type="http://schemas.openxmlformats.org/officeDocument/2006/relationships/image" Target="media/image10.emf"/><Relationship Id="rId27" Type="http://schemas.microsoft.com/office/2007/relationships/hdphoto" Target="media/hdphoto1.wdp"/><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3.emf"/><Relationship Id="rId100" Type="http://schemas.openxmlformats.org/officeDocument/2006/relationships/hyperlink" Target="https://www.ncbi.nlm.nih.gov/pubmed/?term=Boix%20J%5BAuthor%5D&amp;cauthor=true&amp;cauthor_uid=19428813" TargetMode="External"/><Relationship Id="rId105" Type="http://schemas.openxmlformats.org/officeDocument/2006/relationships/header" Target="header4.xml"/><Relationship Id="rId113" Type="http://schemas.openxmlformats.org/officeDocument/2006/relationships/header" Target="header8.xml"/><Relationship Id="rId118"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38.emf"/><Relationship Id="rId72" Type="http://schemas.microsoft.com/office/2007/relationships/hdphoto" Target="media/hdphoto2.wdp"/><Relationship Id="rId80" Type="http://schemas.openxmlformats.org/officeDocument/2006/relationships/image" Target="media/image66.jpeg"/><Relationship Id="rId85" Type="http://schemas.openxmlformats.org/officeDocument/2006/relationships/hyperlink" Target="https://www.ncbi.nlm.nih.gov/pubmed/?term=Monfort%20P%5BAuthor%5D&amp;cauthor=true&amp;cauthor_uid=17701332" TargetMode="External"/><Relationship Id="rId93" Type="http://schemas.openxmlformats.org/officeDocument/2006/relationships/hyperlink" Target="https://www.ncbi.nlm.nih.gov/pubmed/?term=Monfort%20P%5BAuthor%5D&amp;cauthor=true&amp;cauthor_uid=19428813" TargetMode="External"/><Relationship Id="rId98" Type="http://schemas.openxmlformats.org/officeDocument/2006/relationships/hyperlink" Target="https://www.ncbi.nlm.nih.gov/pubmed/?term=Piedrafita%20B%5BAuthor%5D&amp;cauthor=true&amp;cauthor_uid=19428813"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hyperlink" Target="https://www.ncbi.nlm.nih.gov/pubmed/19428813" TargetMode="External"/><Relationship Id="rId108" Type="http://schemas.openxmlformats.org/officeDocument/2006/relationships/hyperlink" Target="mailto:info@tga.gov.au" TargetMode="External"/><Relationship Id="rId11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1.emf"/><Relationship Id="rId83" Type="http://schemas.openxmlformats.org/officeDocument/2006/relationships/hyperlink" Target="https://www.ncbi.nlm.nih.gov/pubmed/?term=Llansola%20M%5BAuthor%5D&amp;cauthor=true&amp;cauthor_uid=17701332" TargetMode="External"/><Relationship Id="rId88" Type="http://schemas.openxmlformats.org/officeDocument/2006/relationships/hyperlink" Target="https://www.ncbi.nlm.nih.gov/pubmed/?term=Cauli%20O%5BAuthor%5D&amp;cauthor=true&amp;cauthor_uid=17701332" TargetMode="External"/><Relationship Id="rId91" Type="http://schemas.openxmlformats.org/officeDocument/2006/relationships/hyperlink" Target="https://www.ncbi.nlm.nih.gov/pubmed/?term=Felipo%20V%5BAuthor%5D&amp;cauthor=true&amp;cauthor_uid=17701332" TargetMode="External"/><Relationship Id="rId96" Type="http://schemas.openxmlformats.org/officeDocument/2006/relationships/hyperlink" Target="https://www.ncbi.nlm.nih.gov/pubmed/?term=Rodrigo%20R%5BAuthor%5D&amp;cauthor=true&amp;cauthor_uid=19428813" TargetMode="External"/><Relationship Id="rId11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header" Target="header5.xml"/><Relationship Id="rId114" Type="http://schemas.openxmlformats.org/officeDocument/2006/relationships/footer" Target="footer4.xml"/><Relationship Id="rId10" Type="http://schemas.openxmlformats.org/officeDocument/2006/relationships/hyperlink" Target="https://www.tga.gov.au/product-information-pi" TargetMode="External"/><Relationship Id="rId31" Type="http://schemas.openxmlformats.org/officeDocument/2006/relationships/image" Target="media/image18.emf"/><Relationship Id="rId44" Type="http://schemas.openxmlformats.org/officeDocument/2006/relationships/image" Target="media/image31.jpe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59.emf"/><Relationship Id="rId78" Type="http://schemas.openxmlformats.org/officeDocument/2006/relationships/image" Target="media/image64.emf"/><Relationship Id="rId81" Type="http://schemas.microsoft.com/office/2007/relationships/hdphoto" Target="media/hdphoto3.wdp"/><Relationship Id="rId86" Type="http://schemas.openxmlformats.org/officeDocument/2006/relationships/hyperlink" Target="https://www.ncbi.nlm.nih.gov/pubmed/?term=Montoliu%20C%5BAuthor%5D&amp;cauthor=true&amp;cauthor_uid=17701332" TargetMode="External"/><Relationship Id="rId94" Type="http://schemas.openxmlformats.org/officeDocument/2006/relationships/hyperlink" Target="https://www.ncbi.nlm.nih.gov/pubmed/?term=Cauli%20O%5BAuthor%5D&amp;cauthor=true&amp;cauthor_uid=19428813" TargetMode="External"/><Relationship Id="rId99" Type="http://schemas.openxmlformats.org/officeDocument/2006/relationships/hyperlink" Target="https://www.ncbi.nlm.nih.gov/pubmed/?term=El%20Mlili%20N%5BAuthor%5D&amp;cauthor=true&amp;cauthor_uid=19428813" TargetMode="External"/><Relationship Id="rId101" Type="http://schemas.openxmlformats.org/officeDocument/2006/relationships/hyperlink" Target="https://www.ncbi.nlm.nih.gov/pubmed/?term=Agust%C3%AD%20A%5BAuthor%5D&amp;cauthor=true&amp;cauthor_uid=19428813"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image" Target="media/image26.emf"/><Relationship Id="rId109" Type="http://schemas.openxmlformats.org/officeDocument/2006/relationships/hyperlink" Target="https://www.tga.gov.au" TargetMode="External"/><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2.emf"/><Relationship Id="rId97" Type="http://schemas.openxmlformats.org/officeDocument/2006/relationships/hyperlink" Target="https://www.ncbi.nlm.nih.gov/pubmed/?term=Llansola%20M%5BAuthor%5D&amp;cauthor=true&amp;cauthor_uid=19428813" TargetMode="External"/><Relationship Id="rId10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hyperlink" Target="https://www.ncbi.nlm.nih.gov/pubmed/17701332" TargetMode="External"/><Relationship Id="rId2" Type="http://schemas.openxmlformats.org/officeDocument/2006/relationships/numbering" Target="numbering.xml"/><Relationship Id="rId29" Type="http://schemas.openxmlformats.org/officeDocument/2006/relationships/image" Target="media/image16.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56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D4C40-BBC7-42CF-AE1D-29B79147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133</TotalTime>
  <Pages>85</Pages>
  <Words>25074</Words>
  <Characters>141423</Characters>
  <Application>Microsoft Office Word</Application>
  <DocSecurity>0</DocSecurity>
  <Lines>3288</Lines>
  <Paragraphs>1632</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Company>
  <LinksUpToDate>false</LinksUpToDate>
  <CharactersWithSpaces>164865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Sodium phenylbutyrate</dc:title>
  <dc:subject>prescription medicines</dc:subject>
  <dc:creator>Therapeutic Goods Administration</dc:creator>
  <cp:keywords>AusPARs</cp:keywords>
  <cp:lastModifiedBy>LACK, Janet</cp:lastModifiedBy>
  <cp:revision>3</cp:revision>
  <cp:lastPrinted>2017-10-26T01:58:00Z</cp:lastPrinted>
  <dcterms:created xsi:type="dcterms:W3CDTF">2018-01-30T05:26:00Z</dcterms:created>
  <dcterms:modified xsi:type="dcterms:W3CDTF">2018-01-31T05:32:00Z</dcterms:modified>
</cp:coreProperties>
</file>