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088FE98" w14:textId="77777777" w:rsidTr="00BF1190">
        <w:trPr>
          <w:trHeight w:val="1863"/>
        </w:trPr>
        <w:tc>
          <w:tcPr>
            <w:tcW w:w="3652" w:type="dxa"/>
            <w:tcBorders>
              <w:top w:val="nil"/>
              <w:left w:val="nil"/>
              <w:bottom w:val="nil"/>
              <w:right w:val="nil"/>
            </w:tcBorders>
          </w:tcPr>
          <w:p w14:paraId="38E8A830" w14:textId="0DE6E062" w:rsidR="008E7846" w:rsidRPr="00096AA7" w:rsidRDefault="00DE1AF2" w:rsidP="00096AA7">
            <w:pPr>
              <w:rPr>
                <w:rFonts w:ascii="Arial" w:hAnsi="Arial" w:cs="Arial"/>
                <w:b/>
                <w:color w:val="002C47"/>
                <w:sz w:val="36"/>
                <w:szCs w:val="36"/>
              </w:rPr>
            </w:pPr>
            <w:r>
              <w:rPr>
                <w:rFonts w:ascii="Arial" w:hAnsi="Arial" w:cs="Arial"/>
                <w:b/>
                <w:color w:val="002C47"/>
                <w:sz w:val="36"/>
                <w:szCs w:val="36"/>
              </w:rPr>
              <w:t xml:space="preserve">February </w:t>
            </w:r>
            <w:r w:rsidR="003F4AA6">
              <w:rPr>
                <w:rFonts w:ascii="Arial" w:hAnsi="Arial" w:cs="Arial"/>
                <w:b/>
                <w:color w:val="002C47"/>
                <w:sz w:val="36"/>
                <w:szCs w:val="36"/>
              </w:rPr>
              <w:t>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25BEF0CC" w14:textId="77777777" w:rsidTr="0032583B">
        <w:trPr>
          <w:trHeight w:val="868"/>
        </w:trPr>
        <w:tc>
          <w:tcPr>
            <w:tcW w:w="9079" w:type="dxa"/>
          </w:tcPr>
          <w:p w14:paraId="329C0029" w14:textId="77777777"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3F4AA6">
              <w:rPr>
                <w:color w:val="FFFFFF" w:themeColor="background1"/>
              </w:rPr>
              <w:t>S</w:t>
            </w:r>
            <w:r w:rsidR="003F4AA6" w:rsidRPr="003F4AA6">
              <w:rPr>
                <w:color w:val="FFFFFF" w:themeColor="background1"/>
              </w:rPr>
              <w:t xml:space="preserve">odium </w:t>
            </w:r>
            <w:proofErr w:type="spellStart"/>
            <w:r w:rsidR="003F4AA6" w:rsidRPr="003F4AA6">
              <w:rPr>
                <w:color w:val="FFFFFF" w:themeColor="background1"/>
              </w:rPr>
              <w:t>glycerophosphate</w:t>
            </w:r>
            <w:proofErr w:type="spellEnd"/>
            <w:r w:rsidR="003F4AA6" w:rsidRPr="003F4AA6">
              <w:rPr>
                <w:color w:val="FFFFFF" w:themeColor="background1"/>
              </w:rPr>
              <w:t xml:space="preserve"> (as hydrate)</w:t>
            </w:r>
          </w:p>
        </w:tc>
      </w:tr>
      <w:tr w:rsidR="0032583B" w:rsidRPr="00B64760" w14:paraId="15F66AD3" w14:textId="77777777" w:rsidTr="0032583B">
        <w:tc>
          <w:tcPr>
            <w:tcW w:w="9079" w:type="dxa"/>
          </w:tcPr>
          <w:p w14:paraId="29289C06" w14:textId="77777777"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3F4AA6" w:rsidRPr="003F4AA6">
              <w:rPr>
                <w:color w:val="FFFFFF" w:themeColor="background1"/>
              </w:rPr>
              <w:t>Glycophos</w:t>
            </w:r>
            <w:proofErr w:type="spellEnd"/>
          </w:p>
        </w:tc>
      </w:tr>
      <w:tr w:rsidR="0032583B" w:rsidRPr="00B64760" w14:paraId="4E636F8C" w14:textId="77777777" w:rsidTr="0032583B">
        <w:trPr>
          <w:trHeight w:val="486"/>
        </w:trPr>
        <w:tc>
          <w:tcPr>
            <w:tcW w:w="9079" w:type="dxa"/>
          </w:tcPr>
          <w:p w14:paraId="296CCF8F" w14:textId="77777777" w:rsidR="0032583B" w:rsidRPr="008E7846" w:rsidRDefault="0032583B" w:rsidP="0032583B">
            <w:pPr>
              <w:pStyle w:val="Subtitle"/>
              <w:rPr>
                <w:color w:val="FFFFFF" w:themeColor="background1"/>
              </w:rPr>
            </w:pPr>
            <w:r w:rsidRPr="008E7846">
              <w:rPr>
                <w:color w:val="FFFFFF" w:themeColor="background1"/>
              </w:rPr>
              <w:t xml:space="preserve">Sponsor: </w:t>
            </w:r>
            <w:r w:rsidR="003F4AA6" w:rsidRPr="003F4AA6">
              <w:rPr>
                <w:color w:val="FFFFFF" w:themeColor="background1"/>
              </w:rPr>
              <w:t xml:space="preserve">Fresenius </w:t>
            </w:r>
            <w:proofErr w:type="spellStart"/>
            <w:r w:rsidR="003F4AA6" w:rsidRPr="003F4AA6">
              <w:rPr>
                <w:color w:val="FFFFFF" w:themeColor="background1"/>
              </w:rPr>
              <w:t>Kabi</w:t>
            </w:r>
            <w:proofErr w:type="spellEnd"/>
            <w:r w:rsidR="003F4AA6" w:rsidRPr="003F4AA6">
              <w:rPr>
                <w:color w:val="FFFFFF" w:themeColor="background1"/>
              </w:rPr>
              <w:t xml:space="preserve"> Australia Pty Ltd</w:t>
            </w:r>
          </w:p>
        </w:tc>
      </w:tr>
    </w:tbl>
    <w:p w14:paraId="57BB3C74" w14:textId="77777777" w:rsidR="008E7846" w:rsidRPr="0085156D" w:rsidRDefault="008E7846" w:rsidP="0085156D">
      <w:r w:rsidRPr="0085156D">
        <w:br w:type="page"/>
      </w:r>
    </w:p>
    <w:p w14:paraId="450B0BE0" w14:textId="77777777" w:rsidR="008E7846" w:rsidRPr="001F6CBA" w:rsidRDefault="008E7846" w:rsidP="008E7846">
      <w:pPr>
        <w:pStyle w:val="NonTOCHeading2"/>
      </w:pPr>
      <w:r w:rsidRPr="001F6CBA">
        <w:lastRenderedPageBreak/>
        <w:t>About the Therapeutic Goods Administration (TGA)</w:t>
      </w:r>
    </w:p>
    <w:p w14:paraId="53D37321" w14:textId="77777777" w:rsidR="008E7846" w:rsidRDefault="008E7846" w:rsidP="008E7846">
      <w:pPr>
        <w:pStyle w:val="ListBullet"/>
        <w:numPr>
          <w:ilvl w:val="0"/>
          <w:numId w:val="3"/>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71F4A243"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5101C60C"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4C178ECE"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3ECE4383"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0A00C7CB" w14:textId="77777777" w:rsidR="008E7846" w:rsidRDefault="008E7846" w:rsidP="00875A6B">
      <w:pPr>
        <w:pStyle w:val="NonTOCHeading2"/>
      </w:pPr>
      <w:r>
        <w:t>About AusPARs</w:t>
      </w:r>
    </w:p>
    <w:p w14:paraId="5AFD69FF"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46D83EC4" w14:textId="77777777" w:rsidR="008E7846" w:rsidRDefault="008E7846" w:rsidP="008E7846">
      <w:pPr>
        <w:pStyle w:val="ListBullet"/>
        <w:numPr>
          <w:ilvl w:val="0"/>
          <w:numId w:val="3"/>
        </w:numPr>
        <w:ind w:left="357" w:hanging="357"/>
      </w:pPr>
      <w:r>
        <w:t>AusPARs are prepared and published by the TGA.</w:t>
      </w:r>
    </w:p>
    <w:p w14:paraId="70ECCAF4"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4732E61B"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06B27034" w14:textId="77777777" w:rsidR="00B452CE" w:rsidRDefault="008E7846" w:rsidP="00FF5755">
      <w:pPr>
        <w:pStyle w:val="ListBullet"/>
        <w:numPr>
          <w:ilvl w:val="0"/>
          <w:numId w:val="3"/>
        </w:numPr>
        <w:ind w:left="357" w:hanging="357"/>
      </w:pPr>
      <w:r>
        <w:t>A new AusPAR will be developed to reflect changes to indications and/or major variations to a prescription medicine subject to evaluation by the TGA.</w:t>
      </w:r>
    </w:p>
    <w:p w14:paraId="06873EEE" w14:textId="77777777" w:rsidR="00924482" w:rsidRPr="00DF1D7F" w:rsidRDefault="00924482" w:rsidP="00F54B65">
      <w:pPr>
        <w:pStyle w:val="LegalSubheading"/>
        <w:spacing w:before="3120"/>
      </w:pPr>
      <w:r w:rsidRPr="00DF1D7F">
        <w:t>Copyright</w:t>
      </w:r>
    </w:p>
    <w:p w14:paraId="0D85E13E" w14:textId="77777777" w:rsidR="00924482" w:rsidRDefault="00924482" w:rsidP="00924482">
      <w:pPr>
        <w:pStyle w:val="LegalCopy"/>
      </w:pPr>
      <w:r w:rsidRPr="00191B3B">
        <w:rPr>
          <w:rFonts w:cs="Arial"/>
          <w:lang w:val="en-GB"/>
        </w:rPr>
        <w:t>© Comm</w:t>
      </w:r>
      <w:r w:rsidR="00AA704F">
        <w:rPr>
          <w:rFonts w:cs="Arial"/>
          <w:lang w:val="en-GB"/>
        </w:rPr>
        <w:t>onwealth of Australia 2020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9" w:history="1">
        <w:r w:rsidRPr="00191B3B">
          <w:rPr>
            <w:rStyle w:val="Hyperlink"/>
            <w:rFonts w:cs="Arial"/>
            <w:lang w:val="en-GB"/>
          </w:rPr>
          <w:t>tga.copyright@tga.gov.au</w:t>
        </w:r>
      </w:hyperlink>
      <w:r w:rsidRPr="00191B3B">
        <w:rPr>
          <w:rFonts w:cs="Arial"/>
        </w:rPr>
        <w:t>&gt;.</w:t>
      </w:r>
    </w:p>
    <w:p w14:paraId="641EC483" w14:textId="77777777" w:rsidR="00924482" w:rsidRDefault="00924482" w:rsidP="00924482">
      <w:pPr>
        <w:pStyle w:val="LegalCopy"/>
        <w:sectPr w:rsidR="00924482" w:rsidSect="003D1E62">
          <w:headerReference w:type="even" r:id="rId10"/>
          <w:headerReference w:type="default" r:id="rId11"/>
          <w:footerReference w:type="even" r:id="rId12"/>
          <w:footerReference w:type="default" r:id="rId13"/>
          <w:headerReference w:type="first" r:id="rId14"/>
          <w:footerReference w:type="first" r:id="rId15"/>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0B65D040" w14:textId="77777777" w:rsidR="0089635C" w:rsidRPr="0089635C" w:rsidRDefault="0089635C" w:rsidP="0010788A">
          <w:pPr>
            <w:pStyle w:val="Contents"/>
          </w:pPr>
          <w:r w:rsidRPr="0010788A">
            <w:t>Cont</w:t>
          </w:r>
          <w:bookmarkStart w:id="2" w:name="_GoBack"/>
          <w:bookmarkEnd w:id="2"/>
          <w:r w:rsidRPr="0010788A">
            <w:t>ents</w:t>
          </w:r>
        </w:p>
        <w:p w14:paraId="720B0F27" w14:textId="4E00ABF9" w:rsidR="00C73AE8"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2916138" w:history="1">
            <w:r w:rsidR="00C73AE8" w:rsidRPr="0057475C">
              <w:rPr>
                <w:rStyle w:val="Hyperlink"/>
                <w:noProof/>
              </w:rPr>
              <w:t>Common abbreviations</w:t>
            </w:r>
            <w:r w:rsidR="00C73AE8">
              <w:rPr>
                <w:noProof/>
                <w:webHidden/>
              </w:rPr>
              <w:tab/>
            </w:r>
            <w:r w:rsidR="00C73AE8">
              <w:rPr>
                <w:noProof/>
                <w:webHidden/>
              </w:rPr>
              <w:fldChar w:fldCharType="begin"/>
            </w:r>
            <w:r w:rsidR="00C73AE8">
              <w:rPr>
                <w:noProof/>
                <w:webHidden/>
              </w:rPr>
              <w:instrText xml:space="preserve"> PAGEREF _Toc32916138 \h </w:instrText>
            </w:r>
            <w:r w:rsidR="00C73AE8">
              <w:rPr>
                <w:noProof/>
                <w:webHidden/>
              </w:rPr>
            </w:r>
            <w:r w:rsidR="00C73AE8">
              <w:rPr>
                <w:noProof/>
                <w:webHidden/>
              </w:rPr>
              <w:fldChar w:fldCharType="separate"/>
            </w:r>
            <w:r w:rsidR="00C73AE8">
              <w:rPr>
                <w:noProof/>
                <w:webHidden/>
              </w:rPr>
              <w:t>4</w:t>
            </w:r>
            <w:r w:rsidR="00C73AE8">
              <w:rPr>
                <w:noProof/>
                <w:webHidden/>
              </w:rPr>
              <w:fldChar w:fldCharType="end"/>
            </w:r>
          </w:hyperlink>
        </w:p>
        <w:p w14:paraId="2D513904" w14:textId="59AB78EE" w:rsidR="00C73AE8" w:rsidRDefault="00C73AE8">
          <w:pPr>
            <w:pStyle w:val="TOC2"/>
            <w:rPr>
              <w:rFonts w:asciiTheme="minorHAnsi" w:eastAsiaTheme="minorEastAsia" w:hAnsiTheme="minorHAnsi" w:cstheme="minorBidi"/>
              <w:b w:val="0"/>
              <w:noProof/>
              <w:sz w:val="22"/>
              <w:lang w:eastAsia="en-AU"/>
            </w:rPr>
          </w:pPr>
          <w:hyperlink w:anchor="_Toc32916139" w:history="1">
            <w:r w:rsidRPr="0057475C">
              <w:rPr>
                <w:rStyle w:val="Hyperlink"/>
                <w:noProof/>
              </w:rPr>
              <w:t>I. Introduction to product submission</w:t>
            </w:r>
            <w:r>
              <w:rPr>
                <w:noProof/>
                <w:webHidden/>
              </w:rPr>
              <w:tab/>
            </w:r>
            <w:r>
              <w:rPr>
                <w:noProof/>
                <w:webHidden/>
              </w:rPr>
              <w:fldChar w:fldCharType="begin"/>
            </w:r>
            <w:r>
              <w:rPr>
                <w:noProof/>
                <w:webHidden/>
              </w:rPr>
              <w:instrText xml:space="preserve"> PAGEREF _Toc32916139 \h </w:instrText>
            </w:r>
            <w:r>
              <w:rPr>
                <w:noProof/>
                <w:webHidden/>
              </w:rPr>
            </w:r>
            <w:r>
              <w:rPr>
                <w:noProof/>
                <w:webHidden/>
              </w:rPr>
              <w:fldChar w:fldCharType="separate"/>
            </w:r>
            <w:r>
              <w:rPr>
                <w:noProof/>
                <w:webHidden/>
              </w:rPr>
              <w:t>5</w:t>
            </w:r>
            <w:r>
              <w:rPr>
                <w:noProof/>
                <w:webHidden/>
              </w:rPr>
              <w:fldChar w:fldCharType="end"/>
            </w:r>
          </w:hyperlink>
        </w:p>
        <w:p w14:paraId="20050D05" w14:textId="2CDB9EE1" w:rsidR="00C73AE8" w:rsidRDefault="00C73AE8">
          <w:pPr>
            <w:pStyle w:val="TOC3"/>
            <w:rPr>
              <w:rFonts w:asciiTheme="minorHAnsi" w:eastAsiaTheme="minorEastAsia" w:hAnsiTheme="minorHAnsi" w:cstheme="minorBidi"/>
              <w:noProof/>
              <w:lang w:eastAsia="en-AU"/>
            </w:rPr>
          </w:pPr>
          <w:hyperlink w:anchor="_Toc32916140" w:history="1">
            <w:r w:rsidRPr="0057475C">
              <w:rPr>
                <w:rStyle w:val="Hyperlink"/>
                <w:noProof/>
                <w:lang w:eastAsia="en-AU"/>
              </w:rPr>
              <w:t>Submission details</w:t>
            </w:r>
            <w:r>
              <w:rPr>
                <w:noProof/>
                <w:webHidden/>
              </w:rPr>
              <w:tab/>
            </w:r>
            <w:r>
              <w:rPr>
                <w:noProof/>
                <w:webHidden/>
              </w:rPr>
              <w:fldChar w:fldCharType="begin"/>
            </w:r>
            <w:r>
              <w:rPr>
                <w:noProof/>
                <w:webHidden/>
              </w:rPr>
              <w:instrText xml:space="preserve"> PAGEREF _Toc32916140 \h </w:instrText>
            </w:r>
            <w:r>
              <w:rPr>
                <w:noProof/>
                <w:webHidden/>
              </w:rPr>
            </w:r>
            <w:r>
              <w:rPr>
                <w:noProof/>
                <w:webHidden/>
              </w:rPr>
              <w:fldChar w:fldCharType="separate"/>
            </w:r>
            <w:r>
              <w:rPr>
                <w:noProof/>
                <w:webHidden/>
              </w:rPr>
              <w:t>5</w:t>
            </w:r>
            <w:r>
              <w:rPr>
                <w:noProof/>
                <w:webHidden/>
              </w:rPr>
              <w:fldChar w:fldCharType="end"/>
            </w:r>
          </w:hyperlink>
        </w:p>
        <w:p w14:paraId="7CD145FD" w14:textId="19E7D779" w:rsidR="00C73AE8" w:rsidRDefault="00C73AE8">
          <w:pPr>
            <w:pStyle w:val="TOC3"/>
            <w:rPr>
              <w:rFonts w:asciiTheme="minorHAnsi" w:eastAsiaTheme="minorEastAsia" w:hAnsiTheme="minorHAnsi" w:cstheme="minorBidi"/>
              <w:noProof/>
              <w:lang w:eastAsia="en-AU"/>
            </w:rPr>
          </w:pPr>
          <w:hyperlink w:anchor="_Toc32916141" w:history="1">
            <w:r w:rsidRPr="0057475C">
              <w:rPr>
                <w:rStyle w:val="Hyperlink"/>
                <w:noProof/>
              </w:rPr>
              <w:t>Product background</w:t>
            </w:r>
            <w:r>
              <w:rPr>
                <w:noProof/>
                <w:webHidden/>
              </w:rPr>
              <w:tab/>
            </w:r>
            <w:r>
              <w:rPr>
                <w:noProof/>
                <w:webHidden/>
              </w:rPr>
              <w:fldChar w:fldCharType="begin"/>
            </w:r>
            <w:r>
              <w:rPr>
                <w:noProof/>
                <w:webHidden/>
              </w:rPr>
              <w:instrText xml:space="preserve"> PAGEREF _Toc32916141 \h </w:instrText>
            </w:r>
            <w:r>
              <w:rPr>
                <w:noProof/>
                <w:webHidden/>
              </w:rPr>
            </w:r>
            <w:r>
              <w:rPr>
                <w:noProof/>
                <w:webHidden/>
              </w:rPr>
              <w:fldChar w:fldCharType="separate"/>
            </w:r>
            <w:r>
              <w:rPr>
                <w:noProof/>
                <w:webHidden/>
              </w:rPr>
              <w:t>6</w:t>
            </w:r>
            <w:r>
              <w:rPr>
                <w:noProof/>
                <w:webHidden/>
              </w:rPr>
              <w:fldChar w:fldCharType="end"/>
            </w:r>
          </w:hyperlink>
        </w:p>
        <w:p w14:paraId="0376FE90" w14:textId="5AB9F4E8" w:rsidR="00C73AE8" w:rsidRDefault="00C73AE8">
          <w:pPr>
            <w:pStyle w:val="TOC3"/>
            <w:rPr>
              <w:rFonts w:asciiTheme="minorHAnsi" w:eastAsiaTheme="minorEastAsia" w:hAnsiTheme="minorHAnsi" w:cstheme="minorBidi"/>
              <w:noProof/>
              <w:lang w:eastAsia="en-AU"/>
            </w:rPr>
          </w:pPr>
          <w:hyperlink w:anchor="_Toc32916142" w:history="1">
            <w:r w:rsidRPr="0057475C">
              <w:rPr>
                <w:rStyle w:val="Hyperlink"/>
                <w:noProof/>
              </w:rPr>
              <w:t>Regulatory status</w:t>
            </w:r>
            <w:r>
              <w:rPr>
                <w:noProof/>
                <w:webHidden/>
              </w:rPr>
              <w:tab/>
            </w:r>
            <w:r>
              <w:rPr>
                <w:noProof/>
                <w:webHidden/>
              </w:rPr>
              <w:fldChar w:fldCharType="begin"/>
            </w:r>
            <w:r>
              <w:rPr>
                <w:noProof/>
                <w:webHidden/>
              </w:rPr>
              <w:instrText xml:space="preserve"> PAGEREF _Toc32916142 \h </w:instrText>
            </w:r>
            <w:r>
              <w:rPr>
                <w:noProof/>
                <w:webHidden/>
              </w:rPr>
            </w:r>
            <w:r>
              <w:rPr>
                <w:noProof/>
                <w:webHidden/>
              </w:rPr>
              <w:fldChar w:fldCharType="separate"/>
            </w:r>
            <w:r>
              <w:rPr>
                <w:noProof/>
                <w:webHidden/>
              </w:rPr>
              <w:t>6</w:t>
            </w:r>
            <w:r>
              <w:rPr>
                <w:noProof/>
                <w:webHidden/>
              </w:rPr>
              <w:fldChar w:fldCharType="end"/>
            </w:r>
          </w:hyperlink>
        </w:p>
        <w:p w14:paraId="07109356" w14:textId="314DD3EB" w:rsidR="00C73AE8" w:rsidRDefault="00C73AE8">
          <w:pPr>
            <w:pStyle w:val="TOC3"/>
            <w:rPr>
              <w:rFonts w:asciiTheme="minorHAnsi" w:eastAsiaTheme="minorEastAsia" w:hAnsiTheme="minorHAnsi" w:cstheme="minorBidi"/>
              <w:noProof/>
              <w:lang w:eastAsia="en-AU"/>
            </w:rPr>
          </w:pPr>
          <w:hyperlink w:anchor="_Toc32916143" w:history="1">
            <w:r w:rsidRPr="0057475C">
              <w:rPr>
                <w:rStyle w:val="Hyperlink"/>
                <w:noProof/>
              </w:rPr>
              <w:t>Product Information</w:t>
            </w:r>
            <w:r>
              <w:rPr>
                <w:noProof/>
                <w:webHidden/>
              </w:rPr>
              <w:tab/>
            </w:r>
            <w:r>
              <w:rPr>
                <w:noProof/>
                <w:webHidden/>
              </w:rPr>
              <w:fldChar w:fldCharType="begin"/>
            </w:r>
            <w:r>
              <w:rPr>
                <w:noProof/>
                <w:webHidden/>
              </w:rPr>
              <w:instrText xml:space="preserve"> PAGEREF _Toc32916143 \h </w:instrText>
            </w:r>
            <w:r>
              <w:rPr>
                <w:noProof/>
                <w:webHidden/>
              </w:rPr>
            </w:r>
            <w:r>
              <w:rPr>
                <w:noProof/>
                <w:webHidden/>
              </w:rPr>
              <w:fldChar w:fldCharType="separate"/>
            </w:r>
            <w:r>
              <w:rPr>
                <w:noProof/>
                <w:webHidden/>
              </w:rPr>
              <w:t>6</w:t>
            </w:r>
            <w:r>
              <w:rPr>
                <w:noProof/>
                <w:webHidden/>
              </w:rPr>
              <w:fldChar w:fldCharType="end"/>
            </w:r>
          </w:hyperlink>
        </w:p>
        <w:p w14:paraId="21F1067D" w14:textId="7A758439" w:rsidR="00C73AE8" w:rsidRDefault="00C73AE8">
          <w:pPr>
            <w:pStyle w:val="TOC2"/>
            <w:rPr>
              <w:rFonts w:asciiTheme="minorHAnsi" w:eastAsiaTheme="minorEastAsia" w:hAnsiTheme="minorHAnsi" w:cstheme="minorBidi"/>
              <w:b w:val="0"/>
              <w:noProof/>
              <w:sz w:val="22"/>
              <w:lang w:eastAsia="en-AU"/>
            </w:rPr>
          </w:pPr>
          <w:hyperlink w:anchor="_Toc32916144" w:history="1">
            <w:r w:rsidRPr="0057475C">
              <w:rPr>
                <w:rStyle w:val="Hyperlink"/>
                <w:noProof/>
              </w:rPr>
              <w:t>II. Registration timeline</w:t>
            </w:r>
            <w:r>
              <w:rPr>
                <w:noProof/>
                <w:webHidden/>
              </w:rPr>
              <w:tab/>
            </w:r>
            <w:r>
              <w:rPr>
                <w:noProof/>
                <w:webHidden/>
              </w:rPr>
              <w:fldChar w:fldCharType="begin"/>
            </w:r>
            <w:r>
              <w:rPr>
                <w:noProof/>
                <w:webHidden/>
              </w:rPr>
              <w:instrText xml:space="preserve"> PAGEREF _Toc32916144 \h </w:instrText>
            </w:r>
            <w:r>
              <w:rPr>
                <w:noProof/>
                <w:webHidden/>
              </w:rPr>
            </w:r>
            <w:r>
              <w:rPr>
                <w:noProof/>
                <w:webHidden/>
              </w:rPr>
              <w:fldChar w:fldCharType="separate"/>
            </w:r>
            <w:r>
              <w:rPr>
                <w:noProof/>
                <w:webHidden/>
              </w:rPr>
              <w:t>7</w:t>
            </w:r>
            <w:r>
              <w:rPr>
                <w:noProof/>
                <w:webHidden/>
              </w:rPr>
              <w:fldChar w:fldCharType="end"/>
            </w:r>
          </w:hyperlink>
        </w:p>
        <w:p w14:paraId="36929E63" w14:textId="76B2CC83" w:rsidR="00C73AE8" w:rsidRDefault="00C73AE8">
          <w:pPr>
            <w:pStyle w:val="TOC2"/>
            <w:rPr>
              <w:rFonts w:asciiTheme="minorHAnsi" w:eastAsiaTheme="minorEastAsia" w:hAnsiTheme="minorHAnsi" w:cstheme="minorBidi"/>
              <w:b w:val="0"/>
              <w:noProof/>
              <w:sz w:val="22"/>
              <w:lang w:eastAsia="en-AU"/>
            </w:rPr>
          </w:pPr>
          <w:hyperlink w:anchor="_Toc32916145" w:history="1">
            <w:r w:rsidRPr="0057475C">
              <w:rPr>
                <w:rStyle w:val="Hyperlink"/>
                <w:noProof/>
              </w:rPr>
              <w:t>III. Submission overview and risk/benefit assessment</w:t>
            </w:r>
            <w:r>
              <w:rPr>
                <w:noProof/>
                <w:webHidden/>
              </w:rPr>
              <w:tab/>
            </w:r>
            <w:r>
              <w:rPr>
                <w:noProof/>
                <w:webHidden/>
              </w:rPr>
              <w:fldChar w:fldCharType="begin"/>
            </w:r>
            <w:r>
              <w:rPr>
                <w:noProof/>
                <w:webHidden/>
              </w:rPr>
              <w:instrText xml:space="preserve"> PAGEREF _Toc32916145 \h </w:instrText>
            </w:r>
            <w:r>
              <w:rPr>
                <w:noProof/>
                <w:webHidden/>
              </w:rPr>
            </w:r>
            <w:r>
              <w:rPr>
                <w:noProof/>
                <w:webHidden/>
              </w:rPr>
              <w:fldChar w:fldCharType="separate"/>
            </w:r>
            <w:r>
              <w:rPr>
                <w:noProof/>
                <w:webHidden/>
              </w:rPr>
              <w:t>7</w:t>
            </w:r>
            <w:r>
              <w:rPr>
                <w:noProof/>
                <w:webHidden/>
              </w:rPr>
              <w:fldChar w:fldCharType="end"/>
            </w:r>
          </w:hyperlink>
        </w:p>
        <w:p w14:paraId="31D2FF8D" w14:textId="7CD78C26" w:rsidR="00C73AE8" w:rsidRDefault="00C73AE8">
          <w:pPr>
            <w:pStyle w:val="TOC3"/>
            <w:rPr>
              <w:rFonts w:asciiTheme="minorHAnsi" w:eastAsiaTheme="minorEastAsia" w:hAnsiTheme="minorHAnsi" w:cstheme="minorBidi"/>
              <w:noProof/>
              <w:lang w:eastAsia="en-AU"/>
            </w:rPr>
          </w:pPr>
          <w:hyperlink w:anchor="_Toc32916146" w:history="1">
            <w:r w:rsidRPr="0057475C">
              <w:rPr>
                <w:rStyle w:val="Hyperlink"/>
                <w:noProof/>
              </w:rPr>
              <w:t>Quality</w:t>
            </w:r>
            <w:r>
              <w:rPr>
                <w:noProof/>
                <w:webHidden/>
              </w:rPr>
              <w:tab/>
            </w:r>
            <w:r>
              <w:rPr>
                <w:noProof/>
                <w:webHidden/>
              </w:rPr>
              <w:fldChar w:fldCharType="begin"/>
            </w:r>
            <w:r>
              <w:rPr>
                <w:noProof/>
                <w:webHidden/>
              </w:rPr>
              <w:instrText xml:space="preserve"> PAGEREF _Toc32916146 \h </w:instrText>
            </w:r>
            <w:r>
              <w:rPr>
                <w:noProof/>
                <w:webHidden/>
              </w:rPr>
            </w:r>
            <w:r>
              <w:rPr>
                <w:noProof/>
                <w:webHidden/>
              </w:rPr>
              <w:fldChar w:fldCharType="separate"/>
            </w:r>
            <w:r>
              <w:rPr>
                <w:noProof/>
                <w:webHidden/>
              </w:rPr>
              <w:t>7</w:t>
            </w:r>
            <w:r>
              <w:rPr>
                <w:noProof/>
                <w:webHidden/>
              </w:rPr>
              <w:fldChar w:fldCharType="end"/>
            </w:r>
          </w:hyperlink>
        </w:p>
        <w:p w14:paraId="06A297EC" w14:textId="35CDEC36" w:rsidR="00C73AE8" w:rsidRDefault="00C73AE8">
          <w:pPr>
            <w:pStyle w:val="TOC3"/>
            <w:rPr>
              <w:rFonts w:asciiTheme="minorHAnsi" w:eastAsiaTheme="minorEastAsia" w:hAnsiTheme="minorHAnsi" w:cstheme="minorBidi"/>
              <w:noProof/>
              <w:lang w:eastAsia="en-AU"/>
            </w:rPr>
          </w:pPr>
          <w:hyperlink w:anchor="_Toc32916147" w:history="1">
            <w:r w:rsidRPr="0057475C">
              <w:rPr>
                <w:rStyle w:val="Hyperlink"/>
                <w:noProof/>
              </w:rPr>
              <w:t>Nonclinical</w:t>
            </w:r>
            <w:r>
              <w:rPr>
                <w:noProof/>
                <w:webHidden/>
              </w:rPr>
              <w:tab/>
            </w:r>
            <w:r>
              <w:rPr>
                <w:noProof/>
                <w:webHidden/>
              </w:rPr>
              <w:fldChar w:fldCharType="begin"/>
            </w:r>
            <w:r>
              <w:rPr>
                <w:noProof/>
                <w:webHidden/>
              </w:rPr>
              <w:instrText xml:space="preserve"> PAGEREF _Toc32916147 \h </w:instrText>
            </w:r>
            <w:r>
              <w:rPr>
                <w:noProof/>
                <w:webHidden/>
              </w:rPr>
            </w:r>
            <w:r>
              <w:rPr>
                <w:noProof/>
                <w:webHidden/>
              </w:rPr>
              <w:fldChar w:fldCharType="separate"/>
            </w:r>
            <w:r>
              <w:rPr>
                <w:noProof/>
                <w:webHidden/>
              </w:rPr>
              <w:t>8</w:t>
            </w:r>
            <w:r>
              <w:rPr>
                <w:noProof/>
                <w:webHidden/>
              </w:rPr>
              <w:fldChar w:fldCharType="end"/>
            </w:r>
          </w:hyperlink>
        </w:p>
        <w:p w14:paraId="26AAE817" w14:textId="6BC08B11" w:rsidR="00C73AE8" w:rsidRDefault="00C73AE8">
          <w:pPr>
            <w:pStyle w:val="TOC3"/>
            <w:rPr>
              <w:rFonts w:asciiTheme="minorHAnsi" w:eastAsiaTheme="minorEastAsia" w:hAnsiTheme="minorHAnsi" w:cstheme="minorBidi"/>
              <w:noProof/>
              <w:lang w:eastAsia="en-AU"/>
            </w:rPr>
          </w:pPr>
          <w:hyperlink w:anchor="_Toc32916148" w:history="1">
            <w:r w:rsidRPr="0057475C">
              <w:rPr>
                <w:rStyle w:val="Hyperlink"/>
                <w:noProof/>
              </w:rPr>
              <w:t>Clinical</w:t>
            </w:r>
            <w:r>
              <w:rPr>
                <w:noProof/>
                <w:webHidden/>
              </w:rPr>
              <w:tab/>
            </w:r>
            <w:r>
              <w:rPr>
                <w:noProof/>
                <w:webHidden/>
              </w:rPr>
              <w:fldChar w:fldCharType="begin"/>
            </w:r>
            <w:r>
              <w:rPr>
                <w:noProof/>
                <w:webHidden/>
              </w:rPr>
              <w:instrText xml:space="preserve"> PAGEREF _Toc32916148 \h </w:instrText>
            </w:r>
            <w:r>
              <w:rPr>
                <w:noProof/>
                <w:webHidden/>
              </w:rPr>
            </w:r>
            <w:r>
              <w:rPr>
                <w:noProof/>
                <w:webHidden/>
              </w:rPr>
              <w:fldChar w:fldCharType="separate"/>
            </w:r>
            <w:r>
              <w:rPr>
                <w:noProof/>
                <w:webHidden/>
              </w:rPr>
              <w:t>8</w:t>
            </w:r>
            <w:r>
              <w:rPr>
                <w:noProof/>
                <w:webHidden/>
              </w:rPr>
              <w:fldChar w:fldCharType="end"/>
            </w:r>
          </w:hyperlink>
        </w:p>
        <w:p w14:paraId="05968C68" w14:textId="07621810" w:rsidR="00C73AE8" w:rsidRDefault="00C73AE8">
          <w:pPr>
            <w:pStyle w:val="TOC3"/>
            <w:rPr>
              <w:rFonts w:asciiTheme="minorHAnsi" w:eastAsiaTheme="minorEastAsia" w:hAnsiTheme="minorHAnsi" w:cstheme="minorBidi"/>
              <w:noProof/>
              <w:lang w:eastAsia="en-AU"/>
            </w:rPr>
          </w:pPr>
          <w:hyperlink w:anchor="_Toc32916149" w:history="1">
            <w:r w:rsidRPr="0057475C">
              <w:rPr>
                <w:rStyle w:val="Hyperlink"/>
                <w:noProof/>
                <w:lang w:eastAsia="en-AU"/>
              </w:rPr>
              <w:t>Risk management plan</w:t>
            </w:r>
            <w:r>
              <w:rPr>
                <w:noProof/>
                <w:webHidden/>
              </w:rPr>
              <w:tab/>
            </w:r>
            <w:r>
              <w:rPr>
                <w:noProof/>
                <w:webHidden/>
              </w:rPr>
              <w:fldChar w:fldCharType="begin"/>
            </w:r>
            <w:r>
              <w:rPr>
                <w:noProof/>
                <w:webHidden/>
              </w:rPr>
              <w:instrText xml:space="preserve"> PAGEREF _Toc32916149 \h </w:instrText>
            </w:r>
            <w:r>
              <w:rPr>
                <w:noProof/>
                <w:webHidden/>
              </w:rPr>
            </w:r>
            <w:r>
              <w:rPr>
                <w:noProof/>
                <w:webHidden/>
              </w:rPr>
              <w:fldChar w:fldCharType="separate"/>
            </w:r>
            <w:r>
              <w:rPr>
                <w:noProof/>
                <w:webHidden/>
              </w:rPr>
              <w:t>11</w:t>
            </w:r>
            <w:r>
              <w:rPr>
                <w:noProof/>
                <w:webHidden/>
              </w:rPr>
              <w:fldChar w:fldCharType="end"/>
            </w:r>
          </w:hyperlink>
        </w:p>
        <w:p w14:paraId="7B952148" w14:textId="4B85E17D" w:rsidR="00C73AE8" w:rsidRDefault="00C73AE8">
          <w:pPr>
            <w:pStyle w:val="TOC3"/>
            <w:rPr>
              <w:rFonts w:asciiTheme="minorHAnsi" w:eastAsiaTheme="minorEastAsia" w:hAnsiTheme="minorHAnsi" w:cstheme="minorBidi"/>
              <w:noProof/>
              <w:lang w:eastAsia="en-AU"/>
            </w:rPr>
          </w:pPr>
          <w:hyperlink w:anchor="_Toc32916150" w:history="1">
            <w:r w:rsidRPr="0057475C">
              <w:rPr>
                <w:rStyle w:val="Hyperlink"/>
                <w:noProof/>
              </w:rPr>
              <w:t>Risk-benefit analysis</w:t>
            </w:r>
            <w:r>
              <w:rPr>
                <w:noProof/>
                <w:webHidden/>
              </w:rPr>
              <w:tab/>
            </w:r>
            <w:r>
              <w:rPr>
                <w:noProof/>
                <w:webHidden/>
              </w:rPr>
              <w:fldChar w:fldCharType="begin"/>
            </w:r>
            <w:r>
              <w:rPr>
                <w:noProof/>
                <w:webHidden/>
              </w:rPr>
              <w:instrText xml:space="preserve"> PAGEREF _Toc32916150 \h </w:instrText>
            </w:r>
            <w:r>
              <w:rPr>
                <w:noProof/>
                <w:webHidden/>
              </w:rPr>
            </w:r>
            <w:r>
              <w:rPr>
                <w:noProof/>
                <w:webHidden/>
              </w:rPr>
              <w:fldChar w:fldCharType="separate"/>
            </w:r>
            <w:r>
              <w:rPr>
                <w:noProof/>
                <w:webHidden/>
              </w:rPr>
              <w:t>11</w:t>
            </w:r>
            <w:r>
              <w:rPr>
                <w:noProof/>
                <w:webHidden/>
              </w:rPr>
              <w:fldChar w:fldCharType="end"/>
            </w:r>
          </w:hyperlink>
        </w:p>
        <w:p w14:paraId="232ACD81" w14:textId="3018A53F" w:rsidR="00C73AE8" w:rsidRDefault="00C73AE8">
          <w:pPr>
            <w:pStyle w:val="TOC3"/>
            <w:rPr>
              <w:rFonts w:asciiTheme="minorHAnsi" w:eastAsiaTheme="minorEastAsia" w:hAnsiTheme="minorHAnsi" w:cstheme="minorBidi"/>
              <w:noProof/>
              <w:lang w:eastAsia="en-AU"/>
            </w:rPr>
          </w:pPr>
          <w:hyperlink w:anchor="_Toc32916151" w:history="1">
            <w:r w:rsidRPr="0057475C">
              <w:rPr>
                <w:rStyle w:val="Hyperlink"/>
                <w:noProof/>
              </w:rPr>
              <w:t>Outcome</w:t>
            </w:r>
            <w:r>
              <w:rPr>
                <w:noProof/>
                <w:webHidden/>
              </w:rPr>
              <w:tab/>
            </w:r>
            <w:r>
              <w:rPr>
                <w:noProof/>
                <w:webHidden/>
              </w:rPr>
              <w:fldChar w:fldCharType="begin"/>
            </w:r>
            <w:r>
              <w:rPr>
                <w:noProof/>
                <w:webHidden/>
              </w:rPr>
              <w:instrText xml:space="preserve"> PAGEREF _Toc32916151 \h </w:instrText>
            </w:r>
            <w:r>
              <w:rPr>
                <w:noProof/>
                <w:webHidden/>
              </w:rPr>
            </w:r>
            <w:r>
              <w:rPr>
                <w:noProof/>
                <w:webHidden/>
              </w:rPr>
              <w:fldChar w:fldCharType="separate"/>
            </w:r>
            <w:r>
              <w:rPr>
                <w:noProof/>
                <w:webHidden/>
              </w:rPr>
              <w:t>12</w:t>
            </w:r>
            <w:r>
              <w:rPr>
                <w:noProof/>
                <w:webHidden/>
              </w:rPr>
              <w:fldChar w:fldCharType="end"/>
            </w:r>
          </w:hyperlink>
        </w:p>
        <w:p w14:paraId="3C1A9B91" w14:textId="7B9B22E4" w:rsidR="00C73AE8" w:rsidRDefault="00C73AE8">
          <w:pPr>
            <w:pStyle w:val="TOC2"/>
            <w:rPr>
              <w:rFonts w:asciiTheme="minorHAnsi" w:eastAsiaTheme="minorEastAsia" w:hAnsiTheme="minorHAnsi" w:cstheme="minorBidi"/>
              <w:b w:val="0"/>
              <w:noProof/>
              <w:sz w:val="22"/>
              <w:lang w:eastAsia="en-AU"/>
            </w:rPr>
          </w:pPr>
          <w:hyperlink w:anchor="_Toc32916152" w:history="1">
            <w:r w:rsidRPr="0057475C">
              <w:rPr>
                <w:rStyle w:val="Hyperlink"/>
                <w:noProof/>
              </w:rPr>
              <w:t>Attachment 1. Product Information</w:t>
            </w:r>
            <w:r>
              <w:rPr>
                <w:noProof/>
                <w:webHidden/>
              </w:rPr>
              <w:tab/>
            </w:r>
            <w:r>
              <w:rPr>
                <w:noProof/>
                <w:webHidden/>
              </w:rPr>
              <w:fldChar w:fldCharType="begin"/>
            </w:r>
            <w:r>
              <w:rPr>
                <w:noProof/>
                <w:webHidden/>
              </w:rPr>
              <w:instrText xml:space="preserve"> PAGEREF _Toc32916152 \h </w:instrText>
            </w:r>
            <w:r>
              <w:rPr>
                <w:noProof/>
                <w:webHidden/>
              </w:rPr>
            </w:r>
            <w:r>
              <w:rPr>
                <w:noProof/>
                <w:webHidden/>
              </w:rPr>
              <w:fldChar w:fldCharType="separate"/>
            </w:r>
            <w:r>
              <w:rPr>
                <w:noProof/>
                <w:webHidden/>
              </w:rPr>
              <w:t>12</w:t>
            </w:r>
            <w:r>
              <w:rPr>
                <w:noProof/>
                <w:webHidden/>
              </w:rPr>
              <w:fldChar w:fldCharType="end"/>
            </w:r>
          </w:hyperlink>
        </w:p>
        <w:p w14:paraId="4BD79D1B" w14:textId="2638F490" w:rsidR="003A7F6C" w:rsidRPr="00B811C6" w:rsidRDefault="00960520" w:rsidP="00B811C6">
          <w:pPr>
            <w:pStyle w:val="TOC2"/>
          </w:pPr>
          <w:r>
            <w:fldChar w:fldCharType="end"/>
          </w:r>
        </w:p>
      </w:sdtContent>
    </w:sdt>
    <w:bookmarkStart w:id="3" w:name="_Toc314842482" w:displacedByCustomXml="prev"/>
    <w:p w14:paraId="29B2EC40" w14:textId="77777777" w:rsidR="00FD119B" w:rsidRDefault="00FD119B">
      <w:pPr>
        <w:spacing w:before="0" w:after="200" w:line="0" w:lineRule="auto"/>
      </w:pPr>
      <w:r>
        <w:br w:type="page"/>
      </w:r>
    </w:p>
    <w:p w14:paraId="501E2C1D" w14:textId="77777777" w:rsidR="00C52E24" w:rsidRPr="00C52E24" w:rsidRDefault="00441C3F" w:rsidP="00B11F81">
      <w:pPr>
        <w:pStyle w:val="Heading2"/>
      </w:pPr>
      <w:bookmarkStart w:id="4" w:name="_Toc351716269"/>
      <w:bookmarkStart w:id="5" w:name="_Toc351718881"/>
      <w:bookmarkStart w:id="6" w:name="_Toc355338616"/>
      <w:bookmarkStart w:id="7" w:name="_Toc356306144"/>
      <w:bookmarkStart w:id="8" w:name="_Toc32916138"/>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14:paraId="0D13026B"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308F3EB6"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02658E5C" w14:textId="77777777" w:rsidR="00FD119B" w:rsidRPr="00FD119B" w:rsidRDefault="00FD119B" w:rsidP="00FD119B">
            <w:pPr>
              <w:keepNext w:val="0"/>
              <w:ind w:left="0" w:right="0"/>
              <w:rPr>
                <w:szCs w:val="22"/>
                <w:lang w:eastAsia="en-US"/>
              </w:rPr>
            </w:pPr>
            <w:r w:rsidRPr="00FD119B">
              <w:rPr>
                <w:szCs w:val="22"/>
                <w:lang w:eastAsia="en-US"/>
              </w:rPr>
              <w:t>Meaning</w:t>
            </w:r>
          </w:p>
        </w:tc>
      </w:tr>
      <w:tr w:rsidR="00AA704F" w14:paraId="07BF79CF" w14:textId="77777777" w:rsidTr="00B11F81">
        <w:tc>
          <w:tcPr>
            <w:tcW w:w="1809" w:type="dxa"/>
          </w:tcPr>
          <w:p w14:paraId="2D506FAF" w14:textId="77777777" w:rsidR="00AA704F" w:rsidRDefault="00AA704F" w:rsidP="00971C54">
            <w:pPr>
              <w:rPr>
                <w:lang w:eastAsia="ja-JP"/>
              </w:rPr>
            </w:pPr>
            <w:r>
              <w:rPr>
                <w:bCs/>
              </w:rPr>
              <w:t>ACM</w:t>
            </w:r>
          </w:p>
        </w:tc>
        <w:tc>
          <w:tcPr>
            <w:tcW w:w="6911" w:type="dxa"/>
          </w:tcPr>
          <w:p w14:paraId="01D94883" w14:textId="77777777" w:rsidR="00AA704F" w:rsidRDefault="00AA704F" w:rsidP="00AA704F">
            <w:pPr>
              <w:rPr>
                <w:lang w:eastAsia="ja-JP"/>
              </w:rPr>
            </w:pPr>
            <w:r>
              <w:rPr>
                <w:bCs/>
              </w:rPr>
              <w:t>Advisory Committee on Medicines</w:t>
            </w:r>
          </w:p>
        </w:tc>
      </w:tr>
      <w:tr w:rsidR="00BD1F3C" w14:paraId="2B9D7070" w14:textId="77777777" w:rsidTr="00B11F81">
        <w:tc>
          <w:tcPr>
            <w:tcW w:w="1809" w:type="dxa"/>
          </w:tcPr>
          <w:p w14:paraId="57B0BC79" w14:textId="77777777" w:rsidR="00BD1F3C" w:rsidRDefault="00BD1F3C" w:rsidP="00971C54">
            <w:pPr>
              <w:rPr>
                <w:lang w:eastAsia="ja-JP"/>
              </w:rPr>
            </w:pPr>
            <w:r w:rsidRPr="00A544D3">
              <w:t>AUC</w:t>
            </w:r>
          </w:p>
        </w:tc>
        <w:tc>
          <w:tcPr>
            <w:tcW w:w="6911" w:type="dxa"/>
          </w:tcPr>
          <w:p w14:paraId="323B64F9" w14:textId="77777777" w:rsidR="00BD1F3C" w:rsidRDefault="00BD1F3C" w:rsidP="00BD1F3C">
            <w:pPr>
              <w:rPr>
                <w:lang w:eastAsia="ja-JP"/>
              </w:rPr>
            </w:pPr>
            <w:r>
              <w:t>Area under the concentration time curve</w:t>
            </w:r>
          </w:p>
        </w:tc>
      </w:tr>
      <w:tr w:rsidR="00392ADF" w14:paraId="016A1D94" w14:textId="77777777" w:rsidTr="00B11F81">
        <w:tc>
          <w:tcPr>
            <w:tcW w:w="1809" w:type="dxa"/>
          </w:tcPr>
          <w:p w14:paraId="51EF3335" w14:textId="77777777" w:rsidR="00392ADF" w:rsidRDefault="00392ADF" w:rsidP="00971C54">
            <w:pPr>
              <w:rPr>
                <w:lang w:eastAsia="ja-JP"/>
              </w:rPr>
            </w:pPr>
            <w:r>
              <w:rPr>
                <w:lang w:eastAsia="ja-JP"/>
              </w:rPr>
              <w:t>AusPAR</w:t>
            </w:r>
          </w:p>
        </w:tc>
        <w:tc>
          <w:tcPr>
            <w:tcW w:w="6911" w:type="dxa"/>
          </w:tcPr>
          <w:p w14:paraId="608C4CC5" w14:textId="77777777" w:rsidR="00392ADF" w:rsidRDefault="00392ADF" w:rsidP="00971C54">
            <w:pPr>
              <w:rPr>
                <w:lang w:eastAsia="ja-JP"/>
              </w:rPr>
            </w:pPr>
            <w:r>
              <w:rPr>
                <w:lang w:eastAsia="ja-JP"/>
              </w:rPr>
              <w:t>Australian Public Assessment Report</w:t>
            </w:r>
          </w:p>
        </w:tc>
      </w:tr>
      <w:tr w:rsidR="00392ADF" w14:paraId="204F4C8F" w14:textId="77777777" w:rsidTr="00B11F81">
        <w:tc>
          <w:tcPr>
            <w:tcW w:w="1809" w:type="dxa"/>
          </w:tcPr>
          <w:p w14:paraId="5EFD5B7B" w14:textId="77777777" w:rsidR="00392ADF" w:rsidRDefault="00392ADF" w:rsidP="00971C54">
            <w:pPr>
              <w:rPr>
                <w:lang w:eastAsia="ja-JP"/>
              </w:rPr>
            </w:pPr>
            <w:r>
              <w:rPr>
                <w:lang w:eastAsia="ja-JP"/>
              </w:rPr>
              <w:t>ARTG</w:t>
            </w:r>
          </w:p>
        </w:tc>
        <w:tc>
          <w:tcPr>
            <w:tcW w:w="6911" w:type="dxa"/>
          </w:tcPr>
          <w:p w14:paraId="38AB57AD" w14:textId="77777777" w:rsidR="00392ADF" w:rsidRDefault="00392ADF" w:rsidP="00971C54">
            <w:pPr>
              <w:rPr>
                <w:lang w:eastAsia="ja-JP"/>
              </w:rPr>
            </w:pPr>
            <w:r>
              <w:rPr>
                <w:lang w:eastAsia="ja-JP"/>
              </w:rPr>
              <w:t>Australian Register of Therapeutic Goods</w:t>
            </w:r>
          </w:p>
        </w:tc>
      </w:tr>
      <w:tr w:rsidR="00BD1F3C" w14:paraId="1E0B4ADC" w14:textId="77777777" w:rsidTr="00B11F81">
        <w:tc>
          <w:tcPr>
            <w:tcW w:w="1809" w:type="dxa"/>
          </w:tcPr>
          <w:p w14:paraId="1D38D315" w14:textId="77777777" w:rsidR="00BD1F3C" w:rsidRDefault="00BD1F3C" w:rsidP="00971C54">
            <w:pPr>
              <w:rPr>
                <w:lang w:eastAsia="ja-JP"/>
              </w:rPr>
            </w:pPr>
            <w:proofErr w:type="spellStart"/>
            <w:r>
              <w:rPr>
                <w:lang w:eastAsia="ja-JP"/>
              </w:rPr>
              <w:t>C</w:t>
            </w:r>
            <w:r w:rsidRPr="00BD1F3C">
              <w:rPr>
                <w:vertAlign w:val="subscript"/>
                <w:lang w:eastAsia="ja-JP"/>
              </w:rPr>
              <w:t>max</w:t>
            </w:r>
            <w:proofErr w:type="spellEnd"/>
          </w:p>
        </w:tc>
        <w:tc>
          <w:tcPr>
            <w:tcW w:w="6911" w:type="dxa"/>
          </w:tcPr>
          <w:p w14:paraId="28068AE5" w14:textId="77777777" w:rsidR="00BD1F3C" w:rsidRDefault="00BD1F3C" w:rsidP="00971C54">
            <w:pPr>
              <w:rPr>
                <w:lang w:eastAsia="ja-JP"/>
              </w:rPr>
            </w:pPr>
            <w:r>
              <w:rPr>
                <w:lang w:eastAsia="ja-JP"/>
              </w:rPr>
              <w:t>Maximum plasma concentration</w:t>
            </w:r>
          </w:p>
        </w:tc>
      </w:tr>
      <w:tr w:rsidR="00C40FAB" w14:paraId="3E86E6E0" w14:textId="77777777" w:rsidTr="00B11F81">
        <w:tc>
          <w:tcPr>
            <w:tcW w:w="1809" w:type="dxa"/>
          </w:tcPr>
          <w:p w14:paraId="3243A154" w14:textId="77777777" w:rsidR="00C40FAB" w:rsidRDefault="00C40FAB" w:rsidP="00971C54">
            <w:pPr>
              <w:rPr>
                <w:lang w:eastAsia="ja-JP"/>
              </w:rPr>
            </w:pPr>
            <w:r w:rsidRPr="00165DA7">
              <w:t>LBS</w:t>
            </w:r>
          </w:p>
        </w:tc>
        <w:tc>
          <w:tcPr>
            <w:tcW w:w="6911" w:type="dxa"/>
          </w:tcPr>
          <w:p w14:paraId="6790F153" w14:textId="77777777" w:rsidR="00C40FAB" w:rsidRDefault="00190689" w:rsidP="00C40FAB">
            <w:pPr>
              <w:rPr>
                <w:lang w:eastAsia="ja-JP"/>
              </w:rPr>
            </w:pPr>
            <w:r>
              <w:t>L</w:t>
            </w:r>
            <w:r w:rsidR="00C40FAB">
              <w:t>iterature-based submission</w:t>
            </w:r>
          </w:p>
        </w:tc>
      </w:tr>
      <w:tr w:rsidR="00190689" w14:paraId="3D52498C" w14:textId="77777777" w:rsidTr="00B11F81">
        <w:tc>
          <w:tcPr>
            <w:tcW w:w="1809" w:type="dxa"/>
          </w:tcPr>
          <w:p w14:paraId="58540487" w14:textId="77777777" w:rsidR="00190689" w:rsidRPr="00165DA7" w:rsidRDefault="00190689" w:rsidP="00971C54">
            <w:r>
              <w:t>PI</w:t>
            </w:r>
          </w:p>
        </w:tc>
        <w:tc>
          <w:tcPr>
            <w:tcW w:w="6911" w:type="dxa"/>
          </w:tcPr>
          <w:p w14:paraId="2A3E9120" w14:textId="77777777" w:rsidR="00190689" w:rsidRDefault="00190689" w:rsidP="00C40FAB">
            <w:r>
              <w:t>Product Information</w:t>
            </w:r>
          </w:p>
        </w:tc>
      </w:tr>
      <w:tr w:rsidR="00644427" w14:paraId="5CD187CB" w14:textId="77777777" w:rsidTr="00B11F81">
        <w:tc>
          <w:tcPr>
            <w:tcW w:w="1809" w:type="dxa"/>
          </w:tcPr>
          <w:p w14:paraId="18DC604B" w14:textId="77777777" w:rsidR="00644427" w:rsidRPr="00165DA7" w:rsidRDefault="00644427" w:rsidP="00971C54">
            <w:r>
              <w:t>PSUR</w:t>
            </w:r>
          </w:p>
        </w:tc>
        <w:tc>
          <w:tcPr>
            <w:tcW w:w="6911" w:type="dxa"/>
          </w:tcPr>
          <w:p w14:paraId="5966EE51" w14:textId="77777777" w:rsidR="00644427" w:rsidRDefault="00190689" w:rsidP="00644427">
            <w:r>
              <w:t>Periodic safety update report</w:t>
            </w:r>
          </w:p>
        </w:tc>
      </w:tr>
      <w:tr w:rsidR="00AA704F" w14:paraId="010B7391" w14:textId="77777777" w:rsidTr="00B11F81">
        <w:tc>
          <w:tcPr>
            <w:tcW w:w="1809" w:type="dxa"/>
          </w:tcPr>
          <w:p w14:paraId="6D5365F0" w14:textId="77777777" w:rsidR="00AA704F" w:rsidRDefault="00AA704F" w:rsidP="00971C54">
            <w:pPr>
              <w:rPr>
                <w:lang w:eastAsia="ja-JP"/>
              </w:rPr>
            </w:pPr>
            <w:r>
              <w:rPr>
                <w:lang w:eastAsia="ja-JP"/>
              </w:rPr>
              <w:t>SAE</w:t>
            </w:r>
          </w:p>
        </w:tc>
        <w:tc>
          <w:tcPr>
            <w:tcW w:w="6911" w:type="dxa"/>
          </w:tcPr>
          <w:p w14:paraId="337A974F" w14:textId="77777777" w:rsidR="00AA704F" w:rsidRDefault="00AA704F" w:rsidP="00AA704F">
            <w:pPr>
              <w:rPr>
                <w:lang w:eastAsia="ja-JP"/>
              </w:rPr>
            </w:pPr>
            <w:r>
              <w:rPr>
                <w:lang w:eastAsia="ja-JP"/>
              </w:rPr>
              <w:t>Serious adverse event</w:t>
            </w:r>
          </w:p>
        </w:tc>
      </w:tr>
      <w:tr w:rsidR="000948A8" w14:paraId="3BC48FEA" w14:textId="77777777" w:rsidTr="00B11F81">
        <w:tc>
          <w:tcPr>
            <w:tcW w:w="1809" w:type="dxa"/>
          </w:tcPr>
          <w:p w14:paraId="2F5D2831" w14:textId="77777777" w:rsidR="000948A8" w:rsidRDefault="000948A8" w:rsidP="00971C54">
            <w:pPr>
              <w:rPr>
                <w:lang w:eastAsia="ja-JP"/>
              </w:rPr>
            </w:pPr>
            <w:r>
              <w:rPr>
                <w:lang w:eastAsia="ja-JP"/>
              </w:rPr>
              <w:t>SOS</w:t>
            </w:r>
          </w:p>
        </w:tc>
        <w:tc>
          <w:tcPr>
            <w:tcW w:w="6911" w:type="dxa"/>
          </w:tcPr>
          <w:p w14:paraId="23DBA137" w14:textId="77777777" w:rsidR="000948A8" w:rsidRDefault="000948A8" w:rsidP="000948A8">
            <w:pPr>
              <w:rPr>
                <w:lang w:eastAsia="ja-JP"/>
              </w:rPr>
            </w:pPr>
            <w:r>
              <w:rPr>
                <w:lang w:eastAsia="ja-JP"/>
              </w:rPr>
              <w:t>Speed of sound</w:t>
            </w:r>
          </w:p>
        </w:tc>
      </w:tr>
      <w:tr w:rsidR="00AA704F" w14:paraId="7E591E5A" w14:textId="77777777" w:rsidTr="00B11F81">
        <w:tc>
          <w:tcPr>
            <w:tcW w:w="1809" w:type="dxa"/>
          </w:tcPr>
          <w:p w14:paraId="7ED1C66E" w14:textId="77777777" w:rsidR="00AA704F" w:rsidRDefault="00AA704F" w:rsidP="00971C54">
            <w:pPr>
              <w:rPr>
                <w:lang w:eastAsia="ja-JP"/>
              </w:rPr>
            </w:pPr>
            <w:r>
              <w:rPr>
                <w:lang w:eastAsia="ja-JP"/>
              </w:rPr>
              <w:t>TEAE</w:t>
            </w:r>
          </w:p>
        </w:tc>
        <w:tc>
          <w:tcPr>
            <w:tcW w:w="6911" w:type="dxa"/>
          </w:tcPr>
          <w:p w14:paraId="50B657F4" w14:textId="77777777" w:rsidR="00AA704F" w:rsidRDefault="00AA704F" w:rsidP="00AA704F">
            <w:pPr>
              <w:rPr>
                <w:lang w:eastAsia="ja-JP"/>
              </w:rPr>
            </w:pPr>
            <w:r>
              <w:rPr>
                <w:lang w:eastAsia="ja-JP"/>
              </w:rPr>
              <w:t>T</w:t>
            </w:r>
            <w:r w:rsidRPr="00AA704F">
              <w:rPr>
                <w:lang w:eastAsia="ja-JP"/>
              </w:rPr>
              <w:t>r</w:t>
            </w:r>
            <w:r w:rsidR="00190689">
              <w:rPr>
                <w:lang w:eastAsia="ja-JP"/>
              </w:rPr>
              <w:t>eatment emergent adverse event</w:t>
            </w:r>
          </w:p>
        </w:tc>
      </w:tr>
      <w:tr w:rsidR="00AA704F" w14:paraId="6991320F" w14:textId="77777777" w:rsidTr="00B11F81">
        <w:tc>
          <w:tcPr>
            <w:tcW w:w="1809" w:type="dxa"/>
          </w:tcPr>
          <w:p w14:paraId="3BEE666B" w14:textId="77777777" w:rsidR="00AA704F" w:rsidRDefault="00AA704F" w:rsidP="00971C54">
            <w:pPr>
              <w:rPr>
                <w:lang w:eastAsia="ja-JP"/>
              </w:rPr>
            </w:pPr>
            <w:r w:rsidRPr="009773E1">
              <w:rPr>
                <w:lang w:val="en-US"/>
              </w:rPr>
              <w:t>UK</w:t>
            </w:r>
          </w:p>
        </w:tc>
        <w:tc>
          <w:tcPr>
            <w:tcW w:w="6911" w:type="dxa"/>
          </w:tcPr>
          <w:p w14:paraId="43DBFD4C" w14:textId="77777777" w:rsidR="00AA704F" w:rsidRDefault="00AA704F" w:rsidP="00AA704F">
            <w:pPr>
              <w:rPr>
                <w:lang w:eastAsia="ja-JP"/>
              </w:rPr>
            </w:pPr>
            <w:r>
              <w:rPr>
                <w:lang w:val="en-US"/>
              </w:rPr>
              <w:t>United Kingdom</w:t>
            </w:r>
          </w:p>
        </w:tc>
      </w:tr>
    </w:tbl>
    <w:p w14:paraId="023A6768" w14:textId="77777777" w:rsidR="00FD119B" w:rsidRPr="00FD119B" w:rsidRDefault="00FD119B" w:rsidP="00FD119B">
      <w:pPr>
        <w:spacing w:before="0" w:after="200" w:line="0" w:lineRule="auto"/>
        <w:rPr>
          <w:b/>
          <w:i/>
          <w:sz w:val="24"/>
          <w:szCs w:val="24"/>
        </w:rPr>
      </w:pPr>
      <w:r w:rsidRPr="00FD119B">
        <w:rPr>
          <w:b/>
          <w:i/>
          <w:sz w:val="24"/>
          <w:szCs w:val="24"/>
        </w:rPr>
        <w:br w:type="page"/>
      </w:r>
    </w:p>
    <w:p w14:paraId="159DC139" w14:textId="77777777" w:rsidR="008E7846" w:rsidRDefault="00F53C07" w:rsidP="008E7846">
      <w:pPr>
        <w:pStyle w:val="Heading2"/>
      </w:pPr>
      <w:bookmarkStart w:id="9" w:name="_Toc32916139"/>
      <w:r>
        <w:lastRenderedPageBreak/>
        <w:t>I.</w:t>
      </w:r>
      <w:r w:rsidR="008E7846">
        <w:t xml:space="preserve"> Introduction to product submission</w:t>
      </w:r>
      <w:bookmarkEnd w:id="0"/>
      <w:bookmarkEnd w:id="3"/>
      <w:bookmarkEnd w:id="9"/>
    </w:p>
    <w:p w14:paraId="600A6347" w14:textId="77777777" w:rsidR="008E7846" w:rsidRDefault="008E7846" w:rsidP="008E7846">
      <w:pPr>
        <w:pStyle w:val="Heading3"/>
        <w:rPr>
          <w:lang w:eastAsia="en-AU"/>
        </w:rPr>
      </w:pPr>
      <w:bookmarkStart w:id="10" w:name="_Toc247691502"/>
      <w:bookmarkStart w:id="11" w:name="_Toc314842483"/>
      <w:bookmarkStart w:id="12" w:name="_Toc32916140"/>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4BFD8DDA" w14:textId="77777777" w:rsidTr="003735BC">
        <w:tc>
          <w:tcPr>
            <w:tcW w:w="2907" w:type="dxa"/>
          </w:tcPr>
          <w:p w14:paraId="098F74C9"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5F7FFC43" w14:textId="77777777" w:rsidR="008E7846" w:rsidRPr="003D1E62" w:rsidRDefault="008E7846" w:rsidP="003F4AA6">
            <w:r w:rsidRPr="003D1E62">
              <w:t xml:space="preserve">New </w:t>
            </w:r>
            <w:r w:rsidR="001B5C90">
              <w:t>c</w:t>
            </w:r>
            <w:r w:rsidRPr="003D1E62">
              <w:t xml:space="preserve">hemical </w:t>
            </w:r>
            <w:r w:rsidR="001B5C90">
              <w:t>e</w:t>
            </w:r>
            <w:r w:rsidR="003F4AA6">
              <w:t>ntity</w:t>
            </w:r>
          </w:p>
        </w:tc>
      </w:tr>
      <w:tr w:rsidR="008E7846" w:rsidRPr="003D1E62" w14:paraId="09BA6CCC" w14:textId="77777777" w:rsidTr="003735BC">
        <w:tc>
          <w:tcPr>
            <w:tcW w:w="2907" w:type="dxa"/>
          </w:tcPr>
          <w:p w14:paraId="5937B32B" w14:textId="77777777" w:rsidR="008E7846" w:rsidRPr="003D1E62" w:rsidRDefault="008E7846" w:rsidP="003D1E62">
            <w:r w:rsidRPr="003D1E62">
              <w:rPr>
                <w:i/>
              </w:rPr>
              <w:t>Decision</w:t>
            </w:r>
            <w:r w:rsidRPr="003D1E62">
              <w:t>:</w:t>
            </w:r>
          </w:p>
        </w:tc>
        <w:tc>
          <w:tcPr>
            <w:tcW w:w="6307" w:type="dxa"/>
          </w:tcPr>
          <w:p w14:paraId="48E163B2" w14:textId="77777777" w:rsidR="008E7846" w:rsidRPr="003D1E62" w:rsidRDefault="003F4AA6" w:rsidP="003F4AA6">
            <w:r>
              <w:t>Approved</w:t>
            </w:r>
          </w:p>
        </w:tc>
      </w:tr>
      <w:tr w:rsidR="008E7846" w:rsidRPr="003D1E62" w14:paraId="56B799E7" w14:textId="77777777" w:rsidTr="003735BC">
        <w:tc>
          <w:tcPr>
            <w:tcW w:w="2907" w:type="dxa"/>
          </w:tcPr>
          <w:p w14:paraId="4FEC8C60"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40D2168B" w14:textId="77777777" w:rsidR="008E7846" w:rsidRPr="003D1E62" w:rsidRDefault="003F4AA6" w:rsidP="001B5C90">
            <w:r w:rsidRPr="00966598">
              <w:rPr>
                <w:rFonts w:eastAsia="Calibri"/>
              </w:rPr>
              <w:t>13 November 2019</w:t>
            </w:r>
          </w:p>
        </w:tc>
      </w:tr>
      <w:tr w:rsidR="00ED2922" w:rsidRPr="003D1E62" w14:paraId="6DF3B766" w14:textId="77777777" w:rsidTr="003735BC">
        <w:tc>
          <w:tcPr>
            <w:tcW w:w="2907" w:type="dxa"/>
          </w:tcPr>
          <w:p w14:paraId="5C9810BA" w14:textId="77777777" w:rsidR="00ED2922" w:rsidRPr="00441C3F" w:rsidRDefault="00ED2922" w:rsidP="001B5C90">
            <w:pPr>
              <w:rPr>
                <w:i/>
              </w:rPr>
            </w:pPr>
            <w:r w:rsidRPr="00441C3F">
              <w:rPr>
                <w:i/>
              </w:rPr>
              <w:t>Date of entry onto ARTG</w:t>
            </w:r>
            <w:r w:rsidR="00500337">
              <w:rPr>
                <w:i/>
              </w:rPr>
              <w:t>:</w:t>
            </w:r>
          </w:p>
        </w:tc>
        <w:tc>
          <w:tcPr>
            <w:tcW w:w="6307" w:type="dxa"/>
          </w:tcPr>
          <w:p w14:paraId="50C6994B" w14:textId="77777777" w:rsidR="00ED2922" w:rsidRPr="00441C3F" w:rsidRDefault="003F4AA6" w:rsidP="00D153D8">
            <w:pPr>
              <w:rPr>
                <w:i/>
              </w:rPr>
            </w:pPr>
            <w:r w:rsidRPr="0055328C">
              <w:rPr>
                <w:rFonts w:eastAsia="Calibri"/>
              </w:rPr>
              <w:t>14 November 2019</w:t>
            </w:r>
          </w:p>
        </w:tc>
      </w:tr>
      <w:tr w:rsidR="00500337" w:rsidRPr="003D1E62" w14:paraId="2A88F685" w14:textId="77777777" w:rsidTr="003735BC">
        <w:tc>
          <w:tcPr>
            <w:tcW w:w="2907" w:type="dxa"/>
          </w:tcPr>
          <w:p w14:paraId="39CFA623" w14:textId="77777777" w:rsidR="00500337" w:rsidRPr="00441C3F" w:rsidRDefault="003D31FB" w:rsidP="001B5C90">
            <w:pPr>
              <w:rPr>
                <w:i/>
              </w:rPr>
            </w:pPr>
            <w:r>
              <w:rPr>
                <w:i/>
              </w:rPr>
              <w:t>ARTG number</w:t>
            </w:r>
            <w:r w:rsidR="00500337">
              <w:rPr>
                <w:i/>
              </w:rPr>
              <w:t>:</w:t>
            </w:r>
          </w:p>
        </w:tc>
        <w:tc>
          <w:tcPr>
            <w:tcW w:w="6307" w:type="dxa"/>
          </w:tcPr>
          <w:p w14:paraId="6E255DB6" w14:textId="77777777" w:rsidR="00500337" w:rsidRPr="00441C3F" w:rsidRDefault="003F4AA6" w:rsidP="00EC463D">
            <w:r w:rsidRPr="003E24A3">
              <w:rPr>
                <w:rFonts w:eastAsia="Calibri"/>
              </w:rPr>
              <w:t>312021</w:t>
            </w:r>
          </w:p>
        </w:tc>
      </w:tr>
      <w:tr w:rsidR="003735BC" w:rsidRPr="003D1E62" w14:paraId="73BCE515" w14:textId="77777777" w:rsidTr="003735BC">
        <w:tc>
          <w:tcPr>
            <w:tcW w:w="2907" w:type="dxa"/>
          </w:tcPr>
          <w:p w14:paraId="63661944"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5EE43472" w14:textId="77777777" w:rsidR="003735BC" w:rsidRPr="00487162" w:rsidRDefault="003F4AA6" w:rsidP="003735BC">
            <w:r>
              <w:t>No</w:t>
            </w:r>
          </w:p>
        </w:tc>
      </w:tr>
      <w:tr w:rsidR="008E7846" w:rsidRPr="00487162" w14:paraId="60A42795" w14:textId="77777777" w:rsidTr="00BF1190">
        <w:tc>
          <w:tcPr>
            <w:tcW w:w="2907" w:type="dxa"/>
          </w:tcPr>
          <w:p w14:paraId="0502D9E4" w14:textId="77777777" w:rsidR="008E7846" w:rsidRPr="00487162" w:rsidRDefault="001B5C90" w:rsidP="00E45619">
            <w:pPr>
              <w:rPr>
                <w:i/>
              </w:rPr>
            </w:pPr>
            <w:r>
              <w:rPr>
                <w:i/>
              </w:rPr>
              <w:t>Active</w:t>
            </w:r>
            <w:r w:rsidR="003D31FB">
              <w:rPr>
                <w:i/>
              </w:rPr>
              <w:t xml:space="preserve"> ingredient</w:t>
            </w:r>
            <w:r>
              <w:rPr>
                <w:i/>
              </w:rPr>
              <w:t>:</w:t>
            </w:r>
          </w:p>
        </w:tc>
        <w:tc>
          <w:tcPr>
            <w:tcW w:w="6307" w:type="dxa"/>
          </w:tcPr>
          <w:p w14:paraId="596DB420" w14:textId="77777777" w:rsidR="008E7846" w:rsidRPr="00487162" w:rsidRDefault="003F4AA6" w:rsidP="00E55CB0">
            <w:r w:rsidRPr="00966598">
              <w:rPr>
                <w:rFonts w:cs="Calibri"/>
                <w:color w:val="000000"/>
              </w:rPr>
              <w:t xml:space="preserve">Sodium </w:t>
            </w:r>
            <w:proofErr w:type="spellStart"/>
            <w:r w:rsidRPr="00966598">
              <w:rPr>
                <w:rFonts w:cs="Calibri"/>
                <w:color w:val="000000"/>
              </w:rPr>
              <w:t>glycerophosphate</w:t>
            </w:r>
            <w:proofErr w:type="spellEnd"/>
            <w:r w:rsidRPr="00966598">
              <w:rPr>
                <w:rFonts w:cs="Calibri"/>
                <w:color w:val="000000"/>
              </w:rPr>
              <w:t xml:space="preserve"> (as hydrate)</w:t>
            </w:r>
          </w:p>
        </w:tc>
      </w:tr>
      <w:tr w:rsidR="008E7846" w:rsidRPr="00487162" w14:paraId="6FB1546F" w14:textId="77777777" w:rsidTr="00BF1190">
        <w:tc>
          <w:tcPr>
            <w:tcW w:w="2907" w:type="dxa"/>
          </w:tcPr>
          <w:p w14:paraId="148F77EB" w14:textId="77777777" w:rsidR="008E7846" w:rsidRPr="00487162" w:rsidRDefault="008E7846" w:rsidP="001B5C90">
            <w:pPr>
              <w:rPr>
                <w:i/>
              </w:rPr>
            </w:pPr>
            <w:r w:rsidRPr="00487162">
              <w:rPr>
                <w:i/>
              </w:rPr>
              <w:t>Product</w:t>
            </w:r>
            <w:r w:rsidR="003D31FB">
              <w:rPr>
                <w:i/>
              </w:rPr>
              <w:t xml:space="preserve"> name</w:t>
            </w:r>
            <w:r w:rsidR="001B5C90">
              <w:rPr>
                <w:i/>
              </w:rPr>
              <w:t>:</w:t>
            </w:r>
          </w:p>
        </w:tc>
        <w:tc>
          <w:tcPr>
            <w:tcW w:w="6307" w:type="dxa"/>
          </w:tcPr>
          <w:p w14:paraId="5EF81E5A" w14:textId="77777777" w:rsidR="008E7846" w:rsidRPr="00487162" w:rsidRDefault="003F4AA6" w:rsidP="00E45619">
            <w:proofErr w:type="spellStart"/>
            <w:r w:rsidRPr="00966598">
              <w:t>Glycophos</w:t>
            </w:r>
            <w:proofErr w:type="spellEnd"/>
          </w:p>
        </w:tc>
      </w:tr>
      <w:tr w:rsidR="008E7846" w:rsidRPr="00487162" w14:paraId="7DB4ADA5" w14:textId="77777777" w:rsidTr="00BF1190">
        <w:tc>
          <w:tcPr>
            <w:tcW w:w="2907" w:type="dxa"/>
          </w:tcPr>
          <w:p w14:paraId="01011C31"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68F442D4" w14:textId="1E9B02E1" w:rsidR="008E7846" w:rsidRPr="00487162" w:rsidRDefault="003F4AA6" w:rsidP="00C73AE8">
            <w:r>
              <w:t xml:space="preserve">Fresenius </w:t>
            </w:r>
            <w:proofErr w:type="spellStart"/>
            <w:r>
              <w:t>Kabi</w:t>
            </w:r>
            <w:proofErr w:type="spellEnd"/>
            <w:r>
              <w:t xml:space="preserve"> Australia Pty Ltd</w:t>
            </w:r>
            <w:r w:rsidR="00C73AE8">
              <w:br/>
            </w:r>
            <w:r w:rsidRPr="003F4AA6">
              <w:t xml:space="preserve">Level 2, 2 Woodland Way, Mount </w:t>
            </w:r>
            <w:proofErr w:type="spellStart"/>
            <w:r w:rsidRPr="003F4AA6">
              <w:t>Kuring-gai</w:t>
            </w:r>
            <w:proofErr w:type="spellEnd"/>
            <w:r w:rsidRPr="003F4AA6">
              <w:t>, NSW 2080</w:t>
            </w:r>
          </w:p>
        </w:tc>
      </w:tr>
      <w:tr w:rsidR="008E7846" w:rsidRPr="00487162" w14:paraId="2D0234D5" w14:textId="77777777" w:rsidTr="00BF1190">
        <w:tc>
          <w:tcPr>
            <w:tcW w:w="2907" w:type="dxa"/>
          </w:tcPr>
          <w:p w14:paraId="17768762" w14:textId="77777777" w:rsidR="008E7846" w:rsidRPr="00487162" w:rsidRDefault="003D31FB" w:rsidP="00E45619">
            <w:pPr>
              <w:rPr>
                <w:i/>
              </w:rPr>
            </w:pPr>
            <w:r>
              <w:rPr>
                <w:i/>
              </w:rPr>
              <w:t>Dose form</w:t>
            </w:r>
            <w:r w:rsidR="001B5C90">
              <w:rPr>
                <w:i/>
              </w:rPr>
              <w:t>:</w:t>
            </w:r>
          </w:p>
        </w:tc>
        <w:tc>
          <w:tcPr>
            <w:tcW w:w="6307" w:type="dxa"/>
          </w:tcPr>
          <w:p w14:paraId="39347891" w14:textId="77777777" w:rsidR="008E7846" w:rsidRPr="00487162" w:rsidRDefault="003F4AA6" w:rsidP="00E45619">
            <w:r w:rsidRPr="009D5434">
              <w:rPr>
                <w:bCs/>
              </w:rPr>
              <w:t>Concentrated solution for injection</w:t>
            </w:r>
          </w:p>
        </w:tc>
      </w:tr>
      <w:tr w:rsidR="008E7846" w:rsidRPr="00487162" w14:paraId="38E200B0" w14:textId="77777777" w:rsidTr="00BF1190">
        <w:tc>
          <w:tcPr>
            <w:tcW w:w="2907" w:type="dxa"/>
          </w:tcPr>
          <w:p w14:paraId="48B1A745" w14:textId="77777777" w:rsidR="008E7846" w:rsidRPr="00487162" w:rsidRDefault="003D31FB" w:rsidP="00E45619">
            <w:pPr>
              <w:rPr>
                <w:i/>
              </w:rPr>
            </w:pPr>
            <w:r>
              <w:rPr>
                <w:i/>
              </w:rPr>
              <w:t>Strength</w:t>
            </w:r>
            <w:r w:rsidR="008E7846" w:rsidRPr="00487162">
              <w:rPr>
                <w:i/>
              </w:rPr>
              <w:t xml:space="preserve">: </w:t>
            </w:r>
          </w:p>
        </w:tc>
        <w:tc>
          <w:tcPr>
            <w:tcW w:w="6307" w:type="dxa"/>
          </w:tcPr>
          <w:p w14:paraId="626ADE60" w14:textId="77777777" w:rsidR="008E7846" w:rsidRPr="00487162" w:rsidRDefault="003F4AA6" w:rsidP="00E45619">
            <w:r w:rsidRPr="00966598">
              <w:rPr>
                <w:rFonts w:eastAsia="Calibri"/>
              </w:rPr>
              <w:t>4.32 g/20 mL</w:t>
            </w:r>
          </w:p>
        </w:tc>
      </w:tr>
      <w:tr w:rsidR="008E7846" w:rsidRPr="00487162" w14:paraId="03C7F249" w14:textId="77777777" w:rsidTr="00BF1190">
        <w:tc>
          <w:tcPr>
            <w:tcW w:w="2907" w:type="dxa"/>
          </w:tcPr>
          <w:p w14:paraId="5141246C" w14:textId="77777777" w:rsidR="008E7846" w:rsidRPr="00487162" w:rsidRDefault="003D31FB" w:rsidP="00E45619">
            <w:pPr>
              <w:rPr>
                <w:i/>
              </w:rPr>
            </w:pPr>
            <w:r>
              <w:rPr>
                <w:i/>
              </w:rPr>
              <w:t>Container</w:t>
            </w:r>
            <w:r w:rsidR="008E7846" w:rsidRPr="00487162">
              <w:rPr>
                <w:i/>
              </w:rPr>
              <w:t>:</w:t>
            </w:r>
          </w:p>
        </w:tc>
        <w:tc>
          <w:tcPr>
            <w:tcW w:w="6307" w:type="dxa"/>
          </w:tcPr>
          <w:p w14:paraId="4B1F1DD3" w14:textId="77777777" w:rsidR="008E7846" w:rsidRPr="00487162" w:rsidRDefault="003F4AA6" w:rsidP="00E45619">
            <w:r w:rsidRPr="003E24A3">
              <w:rPr>
                <w:rFonts w:eastAsia="Calibri"/>
              </w:rPr>
              <w:t>Ampoule</w:t>
            </w:r>
          </w:p>
        </w:tc>
      </w:tr>
      <w:tr w:rsidR="008E7846" w:rsidRPr="00487162" w14:paraId="2F9619E7" w14:textId="77777777" w:rsidTr="00BF1190">
        <w:tc>
          <w:tcPr>
            <w:tcW w:w="2907" w:type="dxa"/>
          </w:tcPr>
          <w:p w14:paraId="28A68AB3" w14:textId="77777777" w:rsidR="008E7846" w:rsidRPr="00487162" w:rsidRDefault="003D31FB" w:rsidP="00E45619">
            <w:pPr>
              <w:rPr>
                <w:i/>
              </w:rPr>
            </w:pPr>
            <w:r>
              <w:rPr>
                <w:i/>
              </w:rPr>
              <w:t>Pack size</w:t>
            </w:r>
            <w:r w:rsidR="008E7846" w:rsidRPr="00487162">
              <w:rPr>
                <w:i/>
              </w:rPr>
              <w:t>:</w:t>
            </w:r>
          </w:p>
        </w:tc>
        <w:tc>
          <w:tcPr>
            <w:tcW w:w="6307" w:type="dxa"/>
          </w:tcPr>
          <w:p w14:paraId="1823C700" w14:textId="77777777" w:rsidR="008E7846" w:rsidRPr="00487162" w:rsidRDefault="003F4AA6" w:rsidP="00E45619">
            <w:r w:rsidRPr="003E24A3">
              <w:rPr>
                <w:rFonts w:eastAsia="Calibri"/>
              </w:rPr>
              <w:t>20</w:t>
            </w:r>
            <w:r w:rsidR="002146B1">
              <w:rPr>
                <w:rFonts w:eastAsia="Calibri"/>
              </w:rPr>
              <w:t xml:space="preserve"> x 20 mL</w:t>
            </w:r>
          </w:p>
        </w:tc>
      </w:tr>
      <w:tr w:rsidR="008E7846" w:rsidRPr="00487162" w14:paraId="20932E33" w14:textId="77777777" w:rsidTr="00BF1190">
        <w:tc>
          <w:tcPr>
            <w:tcW w:w="2907" w:type="dxa"/>
          </w:tcPr>
          <w:p w14:paraId="2C6C70A9"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572AD0A5" w14:textId="77777777" w:rsidR="008E7846" w:rsidRPr="003F4AA6" w:rsidRDefault="003F4AA6" w:rsidP="00E45619">
            <w:pPr>
              <w:rPr>
                <w:rFonts w:eastAsia="MS Mincho"/>
                <w:i/>
                <w:lang w:eastAsia="ja-JP"/>
              </w:rPr>
            </w:pPr>
            <w:proofErr w:type="spellStart"/>
            <w:r w:rsidRPr="003F4AA6">
              <w:rPr>
                <w:i/>
              </w:rPr>
              <w:t>Glycophos</w:t>
            </w:r>
            <w:proofErr w:type="spellEnd"/>
            <w:r w:rsidRPr="003F4AA6">
              <w:rPr>
                <w:i/>
              </w:rPr>
              <w:t xml:space="preserve"> is indicated in adult and paediatric patients as a supplement to parenteral nutrition to meet the daily requirements of phosphate.</w:t>
            </w:r>
          </w:p>
        </w:tc>
      </w:tr>
      <w:tr w:rsidR="008E7846" w:rsidRPr="00487162" w14:paraId="1548BAB2" w14:textId="77777777" w:rsidTr="00BF1190">
        <w:tc>
          <w:tcPr>
            <w:tcW w:w="2907" w:type="dxa"/>
          </w:tcPr>
          <w:p w14:paraId="49600F5A" w14:textId="77777777" w:rsidR="008E7846" w:rsidRPr="00487162" w:rsidRDefault="003D31FB" w:rsidP="00E45619">
            <w:pPr>
              <w:rPr>
                <w:i/>
              </w:rPr>
            </w:pPr>
            <w:r>
              <w:rPr>
                <w:i/>
              </w:rPr>
              <w:t>Route</w:t>
            </w:r>
            <w:r w:rsidR="008E7846" w:rsidRPr="00487162">
              <w:rPr>
                <w:i/>
              </w:rPr>
              <w:t xml:space="preserve"> of administration:</w:t>
            </w:r>
          </w:p>
        </w:tc>
        <w:tc>
          <w:tcPr>
            <w:tcW w:w="6307" w:type="dxa"/>
          </w:tcPr>
          <w:p w14:paraId="0539CBB6" w14:textId="77777777" w:rsidR="008E7846" w:rsidRPr="00487162" w:rsidRDefault="003F4AA6" w:rsidP="00E45619">
            <w:r w:rsidRPr="00966598">
              <w:t>Intravenous infusion</w:t>
            </w:r>
          </w:p>
        </w:tc>
      </w:tr>
      <w:tr w:rsidR="008E7846" w:rsidRPr="00487162" w14:paraId="639523CB" w14:textId="77777777" w:rsidTr="00BF1190">
        <w:tc>
          <w:tcPr>
            <w:tcW w:w="2907" w:type="dxa"/>
          </w:tcPr>
          <w:p w14:paraId="222EED46" w14:textId="77777777" w:rsidR="008E7846" w:rsidRPr="00487162" w:rsidRDefault="008E7846" w:rsidP="00E45619">
            <w:pPr>
              <w:rPr>
                <w:i/>
              </w:rPr>
            </w:pPr>
            <w:r w:rsidRPr="00487162">
              <w:rPr>
                <w:i/>
              </w:rPr>
              <w:t>Dosage:</w:t>
            </w:r>
          </w:p>
        </w:tc>
        <w:tc>
          <w:tcPr>
            <w:tcW w:w="6307" w:type="dxa"/>
          </w:tcPr>
          <w:p w14:paraId="32705C3F" w14:textId="2258E54F" w:rsidR="003F4AA6" w:rsidRPr="00966598" w:rsidRDefault="003F4AA6" w:rsidP="003F4AA6">
            <w:r w:rsidRPr="00966598">
              <w:rPr>
                <w:i/>
              </w:rPr>
              <w:t>Adults</w:t>
            </w:r>
            <w:r w:rsidR="00C73AE8">
              <w:rPr>
                <w:i/>
              </w:rPr>
              <w:br/>
            </w:r>
            <w:r w:rsidRPr="00966598">
              <w:t>The recommend</w:t>
            </w:r>
            <w:r>
              <w:t>ed dosage should be individualis</w:t>
            </w:r>
            <w:r w:rsidRPr="00966598">
              <w:t xml:space="preserve">ed to each patient’s phosphorus status and needs. Approximately 15 </w:t>
            </w:r>
            <w:proofErr w:type="spellStart"/>
            <w:r w:rsidRPr="00966598">
              <w:t>mmol</w:t>
            </w:r>
            <w:proofErr w:type="spellEnd"/>
            <w:r w:rsidRPr="00966598">
              <w:t xml:space="preserve"> of phosphate is provided by a litre of lipid emulsions or amino acid solutions. This should be considered when supplementing phosphate from </w:t>
            </w:r>
            <w:proofErr w:type="spellStart"/>
            <w:r w:rsidRPr="00966598">
              <w:t>Glycophos</w:t>
            </w:r>
            <w:proofErr w:type="spellEnd"/>
            <w:r w:rsidRPr="00966598">
              <w:t xml:space="preserve">. The normal requirements during </w:t>
            </w:r>
            <w:r>
              <w:t>parenteral nutrition</w:t>
            </w:r>
            <w:r w:rsidRPr="00966598">
              <w:t xml:space="preserve"> can be met by using 10 to 20 mL of </w:t>
            </w:r>
            <w:proofErr w:type="spellStart"/>
            <w:r w:rsidRPr="00966598">
              <w:t>Glycophos</w:t>
            </w:r>
            <w:proofErr w:type="spellEnd"/>
            <w:r w:rsidRPr="00966598">
              <w:t xml:space="preserve"> added to the infusion solution or admixture for which compatibility has been proven.</w:t>
            </w:r>
          </w:p>
          <w:p w14:paraId="73BDCB1A" w14:textId="5FA0E142" w:rsidR="003F4AA6" w:rsidRDefault="003F4AA6" w:rsidP="003F4AA6">
            <w:r w:rsidRPr="00966598">
              <w:rPr>
                <w:bCs/>
                <w:i/>
              </w:rPr>
              <w:t>Paediatric population</w:t>
            </w:r>
            <w:r w:rsidR="00C73AE8">
              <w:rPr>
                <w:bCs/>
                <w:i/>
              </w:rPr>
              <w:br/>
            </w:r>
            <w:r w:rsidRPr="00966598">
              <w:t>The recommend</w:t>
            </w:r>
            <w:r>
              <w:t>ed dosage should be individualis</w:t>
            </w:r>
            <w:r w:rsidRPr="00966598">
              <w:t xml:space="preserve">ed to each patient’s phosphorous status and needs. The recommended dose for children, infants and neonates is 1.0 to 1.5 </w:t>
            </w:r>
            <w:proofErr w:type="spellStart"/>
            <w:r w:rsidRPr="00966598">
              <w:t>mmol</w:t>
            </w:r>
            <w:proofErr w:type="spellEnd"/>
            <w:r w:rsidRPr="00966598">
              <w:t>/kg body weight per day.</w:t>
            </w:r>
          </w:p>
          <w:p w14:paraId="5325936A" w14:textId="77777777" w:rsidR="008E7846" w:rsidRPr="00487162" w:rsidRDefault="003F4AA6" w:rsidP="003F4AA6">
            <w:r w:rsidRPr="009D5434">
              <w:t>For further information refer to the Product Information.</w:t>
            </w:r>
          </w:p>
        </w:tc>
      </w:tr>
    </w:tbl>
    <w:p w14:paraId="6B8B1E3A" w14:textId="77777777" w:rsidR="008E7846" w:rsidRDefault="008E7846" w:rsidP="008E7846">
      <w:pPr>
        <w:pStyle w:val="Heading3"/>
      </w:pPr>
      <w:bookmarkStart w:id="13" w:name="_Toc247691503"/>
      <w:bookmarkStart w:id="14" w:name="_Toc314842484"/>
      <w:bookmarkStart w:id="15" w:name="_Toc32916141"/>
      <w:r>
        <w:lastRenderedPageBreak/>
        <w:t>Product background</w:t>
      </w:r>
      <w:bookmarkEnd w:id="13"/>
      <w:bookmarkEnd w:id="14"/>
      <w:bookmarkEnd w:id="15"/>
    </w:p>
    <w:p w14:paraId="53137E19" w14:textId="77777777" w:rsidR="008E7846" w:rsidRDefault="00940A89" w:rsidP="003F4AA6">
      <w:r w:rsidRPr="00940A89">
        <w:t xml:space="preserve">This AusPAR describes the application by </w:t>
      </w:r>
      <w:r w:rsidR="003F4AA6">
        <w:t xml:space="preserve">Fresenius </w:t>
      </w:r>
      <w:proofErr w:type="spellStart"/>
      <w:r w:rsidR="003F4AA6">
        <w:t>Kabi</w:t>
      </w:r>
      <w:proofErr w:type="spellEnd"/>
      <w:r w:rsidR="003F4AA6">
        <w:t xml:space="preserve"> Australia Pty Ltd</w:t>
      </w:r>
      <w:r w:rsidR="003F4AA6" w:rsidRPr="00940A89">
        <w:t xml:space="preserve"> </w:t>
      </w:r>
      <w:r w:rsidR="003F4AA6">
        <w:t>(</w:t>
      </w:r>
      <w:r w:rsidRPr="00940A89">
        <w:t>the sponsor</w:t>
      </w:r>
      <w:r w:rsidR="003F4AA6">
        <w:t>)</w:t>
      </w:r>
      <w:r w:rsidRPr="00940A89">
        <w:t xml:space="preserve"> to register </w:t>
      </w:r>
      <w:proofErr w:type="spellStart"/>
      <w:r w:rsidR="003F4AA6">
        <w:t>Glycophos</w:t>
      </w:r>
      <w:proofErr w:type="spellEnd"/>
      <w:r w:rsidR="003F4AA6">
        <w:t xml:space="preserve"> (sodium </w:t>
      </w:r>
      <w:proofErr w:type="spellStart"/>
      <w:r w:rsidR="003F4AA6">
        <w:t>glycerophosphate</w:t>
      </w:r>
      <w:proofErr w:type="spellEnd"/>
      <w:r w:rsidR="003F4AA6">
        <w:t xml:space="preserve"> (as hydrate)</w:t>
      </w:r>
      <w:r w:rsidR="00190689">
        <w:t>)</w:t>
      </w:r>
      <w:r w:rsidR="003F4AA6">
        <w:t xml:space="preserve"> concentrated solution for injection</w:t>
      </w:r>
      <w:r w:rsidRPr="00940A89">
        <w:t xml:space="preserve"> f</w:t>
      </w:r>
      <w:r w:rsidR="003F4AA6">
        <w:t xml:space="preserve">or the following </w:t>
      </w:r>
      <w:r w:rsidR="00794ECE">
        <w:t xml:space="preserve">proposed </w:t>
      </w:r>
      <w:r w:rsidR="003F4AA6">
        <w:t>indication:</w:t>
      </w:r>
    </w:p>
    <w:p w14:paraId="2DD955A2" w14:textId="77777777" w:rsidR="00ED2922" w:rsidRPr="00794ECE" w:rsidRDefault="00794ECE" w:rsidP="00794ECE">
      <w:pPr>
        <w:ind w:left="720"/>
        <w:rPr>
          <w:i/>
        </w:rPr>
      </w:pPr>
      <w:proofErr w:type="spellStart"/>
      <w:r w:rsidRPr="00794ECE">
        <w:rPr>
          <w:i/>
        </w:rPr>
        <w:t>Glycophos</w:t>
      </w:r>
      <w:proofErr w:type="spellEnd"/>
      <w:r w:rsidRPr="00794ECE">
        <w:rPr>
          <w:i/>
        </w:rPr>
        <w:t xml:space="preserve"> is indicated in adult and paediatric patients as a supplement to parenteral nutrition to meet the daily requirements of phosphate.</w:t>
      </w:r>
    </w:p>
    <w:p w14:paraId="05B6E572" w14:textId="77777777" w:rsidR="008B6F93" w:rsidRDefault="00392ADF" w:rsidP="008B6F93">
      <w:r>
        <w:t xml:space="preserve">Phosphorous plays a role in the </w:t>
      </w:r>
      <w:r w:rsidR="008B6F93">
        <w:t xml:space="preserve">maintenance of the bony skeleton and </w:t>
      </w:r>
      <w:r>
        <w:t>is</w:t>
      </w:r>
      <w:r w:rsidR="008B6F93">
        <w:t xml:space="preserve"> a component of phospholipids in cell membranes. </w:t>
      </w:r>
      <w:r w:rsidR="007B1946">
        <w:t>The high-energy</w:t>
      </w:r>
      <w:r w:rsidR="008B6F93">
        <w:t xml:space="preserve"> phosphate bonds </w:t>
      </w:r>
      <w:r w:rsidR="007B1946">
        <w:t xml:space="preserve">that phosphorus contains are </w:t>
      </w:r>
      <w:r w:rsidR="00190689">
        <w:t xml:space="preserve">also </w:t>
      </w:r>
      <w:r w:rsidR="008B6F93">
        <w:t>relevant for energy metabolism. Phosphorous also controls the activity of many enzymes, is part of most metabolic pathways, controls oxygen delivery to the tissues, and is involved in buffering of the body.</w:t>
      </w:r>
    </w:p>
    <w:p w14:paraId="548D05BA" w14:textId="77777777" w:rsidR="008B6F93" w:rsidRDefault="008B6F93" w:rsidP="008B6F93">
      <w:r>
        <w:t xml:space="preserve">Inorganic phosphate salts, usually as sodium or potassium salts, have been widely used as a parenteral phosphorous supplement. Although this is an effective form for the delivery of phosphorous to the patient, it can lead to pharmacological compatibility problems within the </w:t>
      </w:r>
      <w:r w:rsidR="007B1946">
        <w:t xml:space="preserve">parenteral nutrition </w:t>
      </w:r>
      <w:r>
        <w:t>regimen especially when calcium or magnesium is present. The inorganic phosphate ions tend to form insoluble salt complexes with calcium and magnesium, which m</w:t>
      </w:r>
      <w:r w:rsidR="00392ADF">
        <w:t>ay lead to fatal consequences</w:t>
      </w:r>
      <w:r>
        <w:t>.</w:t>
      </w:r>
    </w:p>
    <w:p w14:paraId="41219D11" w14:textId="77777777" w:rsidR="008B6F93" w:rsidRDefault="00392ADF" w:rsidP="008B6F93">
      <w:proofErr w:type="spellStart"/>
      <w:r>
        <w:t>Glycophos</w:t>
      </w:r>
      <w:proofErr w:type="spellEnd"/>
      <w:r>
        <w:t xml:space="preserve"> is an intravenously administered supplement to parenteral nutrition containing sodium </w:t>
      </w:r>
      <w:proofErr w:type="spellStart"/>
      <w:r>
        <w:t>glycerophosphate</w:t>
      </w:r>
      <w:proofErr w:type="spellEnd"/>
      <w:r>
        <w:t xml:space="preserve"> (as hydrate), an organic form of phosphate, as the active ingredient. </w:t>
      </w:r>
      <w:r w:rsidR="008B6F93">
        <w:t xml:space="preserve">The sodium </w:t>
      </w:r>
      <w:proofErr w:type="spellStart"/>
      <w:r w:rsidR="008B6F93">
        <w:t>glycerophosphate</w:t>
      </w:r>
      <w:proofErr w:type="spellEnd"/>
      <w:r w:rsidR="008B6F93">
        <w:t xml:space="preserve"> in </w:t>
      </w:r>
      <w:proofErr w:type="spellStart"/>
      <w:r w:rsidR="008B6F93">
        <w:t>Glycophos</w:t>
      </w:r>
      <w:proofErr w:type="spellEnd"/>
      <w:r w:rsidR="008B6F93">
        <w:t xml:space="preserve"> is an alternative phosphorous supplement that overco</w:t>
      </w:r>
      <w:r w:rsidR="007B1946">
        <w:t xml:space="preserve">mes </w:t>
      </w:r>
      <w:r>
        <w:t xml:space="preserve">precipitation issues, as it </w:t>
      </w:r>
      <w:r w:rsidR="008B6F93">
        <w:t>is much more soluble in water than inorganic phosphates</w:t>
      </w:r>
      <w:r>
        <w:t>.</w:t>
      </w:r>
    </w:p>
    <w:p w14:paraId="41936F9D" w14:textId="77777777" w:rsidR="00165DA7" w:rsidRDefault="00165DA7" w:rsidP="00940A89">
      <w:r w:rsidRPr="00165DA7">
        <w:t>This submission is a hybrid literature-based submission (LBS) based on a systematic review of the clinical literature and company sponsored clinical studies</w:t>
      </w:r>
      <w:r w:rsidR="007B1946">
        <w:t>,</w:t>
      </w:r>
      <w:r w:rsidRPr="00165DA7">
        <w:t xml:space="preserve"> as agreed with the TGA.</w:t>
      </w:r>
    </w:p>
    <w:p w14:paraId="502DBD17" w14:textId="77777777" w:rsidR="008E7846" w:rsidRPr="003F31A2" w:rsidRDefault="00386150" w:rsidP="008E7846">
      <w:pPr>
        <w:pStyle w:val="Heading3"/>
      </w:pPr>
      <w:bookmarkStart w:id="16" w:name="_Toc314842485"/>
      <w:bookmarkStart w:id="17" w:name="_Toc247691504"/>
      <w:bookmarkStart w:id="18" w:name="_Toc32916142"/>
      <w:r>
        <w:t>Regulatory s</w:t>
      </w:r>
      <w:r w:rsidR="008E7846">
        <w:t>tatus</w:t>
      </w:r>
      <w:bookmarkEnd w:id="16"/>
      <w:bookmarkEnd w:id="17"/>
      <w:bookmarkEnd w:id="18"/>
    </w:p>
    <w:p w14:paraId="05BBFA25" w14:textId="77777777" w:rsidR="00940A89" w:rsidRDefault="00165DA7" w:rsidP="00940A89">
      <w:bookmarkStart w:id="19" w:name="_Toc247691505"/>
      <w:bookmarkStart w:id="20" w:name="_Toc314842486"/>
      <w:proofErr w:type="spellStart"/>
      <w:r>
        <w:t>Glycophos</w:t>
      </w:r>
      <w:proofErr w:type="spellEnd"/>
      <w:r>
        <w:t xml:space="preserve"> (sodium </w:t>
      </w:r>
      <w:proofErr w:type="spellStart"/>
      <w:r>
        <w:t>glycerophosphate</w:t>
      </w:r>
      <w:proofErr w:type="spellEnd"/>
      <w:r>
        <w:t xml:space="preserve"> (as hydrate) is a new chemical entity for</w:t>
      </w:r>
      <w:r w:rsidR="00E61B63">
        <w:t xml:space="preserve"> Australian r</w:t>
      </w:r>
      <w:r w:rsidR="00392ADF">
        <w:t>egulatory purposes</w:t>
      </w:r>
      <w:r w:rsidR="00D83F1F" w:rsidRPr="00D83F1F">
        <w:t>.</w:t>
      </w:r>
    </w:p>
    <w:p w14:paraId="1778084E" w14:textId="77777777" w:rsidR="007B1946" w:rsidRDefault="007B1946" w:rsidP="00940A89">
      <w:r>
        <w:t xml:space="preserve">There are currently multiple registered sources of parenteral phosphorus but they are for different salts and for different indications compared to those proposed for </w:t>
      </w:r>
      <w:proofErr w:type="spellStart"/>
      <w:r>
        <w:t>Glycophos</w:t>
      </w:r>
      <w:proofErr w:type="spellEnd"/>
      <w:r>
        <w:t xml:space="preserve"> in the submission discussed in this AusPAR. There</w:t>
      </w:r>
      <w:r w:rsidR="00190689">
        <w:t xml:space="preserve"> are currently no intravenously</w:t>
      </w:r>
      <w:r w:rsidR="00190689">
        <w:noBreakHyphen/>
      </w:r>
      <w:r>
        <w:t xml:space="preserve">administered medicines registered on the Australian Register of Therapeutic Goods (ARTG) that contain sodium </w:t>
      </w:r>
      <w:proofErr w:type="spellStart"/>
      <w:r>
        <w:t>glycerophosphate</w:t>
      </w:r>
      <w:proofErr w:type="spellEnd"/>
      <w:r>
        <w:t xml:space="preserve"> as the only active ingredient, however, it is present as a source of phosphorus in the registered parenteral nutrition complex solutions </w:t>
      </w:r>
      <w:proofErr w:type="spellStart"/>
      <w:r>
        <w:t>Kabiven</w:t>
      </w:r>
      <w:proofErr w:type="spellEnd"/>
      <w:r>
        <w:t xml:space="preserve"> G 19% and </w:t>
      </w:r>
      <w:proofErr w:type="spellStart"/>
      <w:r>
        <w:t>Kabiven</w:t>
      </w:r>
      <w:proofErr w:type="spellEnd"/>
      <w:r>
        <w:t xml:space="preserve"> G 11% (Fresenius </w:t>
      </w:r>
      <w:proofErr w:type="spellStart"/>
      <w:r>
        <w:t>Kabi</w:t>
      </w:r>
      <w:proofErr w:type="spellEnd"/>
      <w:r>
        <w:t xml:space="preserve"> Australia Pty Ltd, ARTG R 97889 and 97895, respectively).</w:t>
      </w:r>
    </w:p>
    <w:p w14:paraId="72E347EA" w14:textId="57162666" w:rsidR="00165DA7" w:rsidRDefault="00165DA7" w:rsidP="00940A89">
      <w:r>
        <w:rPr>
          <w:lang w:val="en-US"/>
        </w:rPr>
        <w:t>The product has been m</w:t>
      </w:r>
      <w:r w:rsidRPr="009773E1">
        <w:rPr>
          <w:lang w:val="en-US"/>
        </w:rPr>
        <w:t xml:space="preserve">arketed overseas for more than 20 years. </w:t>
      </w:r>
      <w:r>
        <w:rPr>
          <w:lang w:val="en-US"/>
        </w:rPr>
        <w:t>It has been a</w:t>
      </w:r>
      <w:r w:rsidRPr="009773E1">
        <w:rPr>
          <w:lang w:val="en-US"/>
        </w:rPr>
        <w:t xml:space="preserve">pproved in Europe (registered </w:t>
      </w:r>
      <w:r w:rsidR="00392ADF">
        <w:rPr>
          <w:lang w:val="en-US"/>
        </w:rPr>
        <w:t xml:space="preserve">in </w:t>
      </w:r>
      <w:r w:rsidRPr="009773E1">
        <w:rPr>
          <w:lang w:val="en-US"/>
        </w:rPr>
        <w:t xml:space="preserve">Belgium </w:t>
      </w:r>
      <w:r w:rsidR="00392ADF">
        <w:rPr>
          <w:lang w:val="en-US"/>
        </w:rPr>
        <w:t>in 1998 and the United Kingdom (</w:t>
      </w:r>
      <w:r w:rsidRPr="009773E1">
        <w:rPr>
          <w:lang w:val="en-US"/>
        </w:rPr>
        <w:t>UK</w:t>
      </w:r>
      <w:r w:rsidR="00392ADF">
        <w:rPr>
          <w:lang w:val="en-US"/>
        </w:rPr>
        <w:t>) in</w:t>
      </w:r>
      <w:r w:rsidRPr="009773E1">
        <w:rPr>
          <w:lang w:val="en-US"/>
        </w:rPr>
        <w:t xml:space="preserve"> 2003), </w:t>
      </w:r>
      <w:r w:rsidR="00392ADF">
        <w:rPr>
          <w:lang w:val="en-US"/>
        </w:rPr>
        <w:t>New</w:t>
      </w:r>
      <w:r w:rsidR="00DE1AF2">
        <w:rPr>
          <w:lang w:val="en-US"/>
        </w:rPr>
        <w:t> </w:t>
      </w:r>
      <w:r w:rsidR="00392ADF">
        <w:rPr>
          <w:lang w:val="en-US"/>
        </w:rPr>
        <w:t>Zealand</w:t>
      </w:r>
      <w:r w:rsidRPr="009773E1">
        <w:rPr>
          <w:lang w:val="en-US"/>
        </w:rPr>
        <w:t xml:space="preserve"> (2007), Singapore (2002) and Switzerland (1995).</w:t>
      </w:r>
    </w:p>
    <w:p w14:paraId="144AC2F6" w14:textId="77777777" w:rsidR="008E7846" w:rsidRDefault="008E7846" w:rsidP="00940A89">
      <w:pPr>
        <w:pStyle w:val="Heading3"/>
      </w:pPr>
      <w:bookmarkStart w:id="21" w:name="_Toc32916143"/>
      <w:r>
        <w:t>Product Information</w:t>
      </w:r>
      <w:bookmarkEnd w:id="19"/>
      <w:bookmarkEnd w:id="20"/>
      <w:bookmarkEnd w:id="21"/>
    </w:p>
    <w:p w14:paraId="13262106" w14:textId="77777777" w:rsidR="00940A89" w:rsidRDefault="006136D7" w:rsidP="00940A89">
      <w:bookmarkStart w:id="22" w:name="_Toc247691506"/>
      <w:bookmarkStart w:id="23" w:name="_Toc314842487"/>
      <w:r w:rsidRPr="00940A89">
        <w:t xml:space="preserve">The Product Information (PI) </w:t>
      </w:r>
      <w:r>
        <w:t xml:space="preserve">approved with the submission which is described in </w:t>
      </w:r>
      <w:r w:rsidRPr="00940A89">
        <w:t xml:space="preserve">this AusPAR can be found as Attachment 1. For the most recent </w:t>
      </w:r>
      <w:r>
        <w:t>PI,</w:t>
      </w:r>
      <w:r w:rsidRPr="00940A89">
        <w:t xml:space="preserve"> ple</w:t>
      </w:r>
      <w:r>
        <w:t>ase refer to the TGA website</w:t>
      </w:r>
      <w:r w:rsidRPr="00441C3F">
        <w:t xml:space="preserve"> at </w:t>
      </w:r>
      <w:r w:rsidR="00441C3F" w:rsidRPr="00441C3F">
        <w:t>&lt;</w:t>
      </w:r>
      <w:hyperlink r:id="rId16" w:history="1">
        <w:r w:rsidR="00441C3F" w:rsidRPr="00441C3F">
          <w:rPr>
            <w:rStyle w:val="Hyperlink"/>
          </w:rPr>
          <w:t>https://www.tga.gov.au/product-information-pi</w:t>
        </w:r>
      </w:hyperlink>
      <w:r w:rsidR="00441C3F">
        <w:t>&gt;</w:t>
      </w:r>
      <w:r w:rsidR="00940A89" w:rsidRPr="00940A89">
        <w:t>.</w:t>
      </w:r>
    </w:p>
    <w:p w14:paraId="38CDABDC" w14:textId="77777777" w:rsidR="00500337" w:rsidRDefault="003F4AA6" w:rsidP="00500337">
      <w:pPr>
        <w:pStyle w:val="Heading2"/>
      </w:pPr>
      <w:bookmarkStart w:id="24" w:name="_Toc504480011"/>
      <w:bookmarkStart w:id="25" w:name="_Toc32916144"/>
      <w:r>
        <w:lastRenderedPageBreak/>
        <w:t>II. Registration time</w:t>
      </w:r>
      <w:r w:rsidR="00500337">
        <w:t>line</w:t>
      </w:r>
      <w:bookmarkEnd w:id="24"/>
      <w:bookmarkEnd w:id="25"/>
    </w:p>
    <w:p w14:paraId="4546F81B" w14:textId="77777777" w:rsidR="00500337" w:rsidRDefault="00C40FAB" w:rsidP="00500337">
      <w:r>
        <w:fldChar w:fldCharType="begin"/>
      </w:r>
      <w:r>
        <w:instrText xml:space="preserve"> REF _Ref30433181 \h </w:instrText>
      </w:r>
      <w:r>
        <w:fldChar w:fldCharType="separate"/>
      </w:r>
      <w:r>
        <w:t xml:space="preserve">Table </w:t>
      </w:r>
      <w:r>
        <w:rPr>
          <w:noProof/>
        </w:rPr>
        <w:t>1</w:t>
      </w:r>
      <w:r>
        <w:fldChar w:fldCharType="end"/>
      </w:r>
      <w:r>
        <w:t xml:space="preserve"> </w:t>
      </w:r>
      <w:r w:rsidR="00500337">
        <w:t>captures the key steps and dates for this application and which are detailed and discussed in this AusPAR.</w:t>
      </w:r>
    </w:p>
    <w:p w14:paraId="4EA8EDD6" w14:textId="77777777" w:rsidR="00500337" w:rsidRPr="00377BD4" w:rsidRDefault="00C40FAB" w:rsidP="00C40FAB">
      <w:pPr>
        <w:pStyle w:val="TableTitle"/>
      </w:pPr>
      <w:bookmarkStart w:id="26" w:name="_Ref30433181"/>
      <w:r>
        <w:t xml:space="preserve">Table </w:t>
      </w:r>
      <w:r w:rsidR="00C73AE8">
        <w:fldChar w:fldCharType="begin"/>
      </w:r>
      <w:r w:rsidR="00C73AE8">
        <w:instrText xml:space="preserve"> SEQ Table \*</w:instrText>
      </w:r>
      <w:r w:rsidR="00C73AE8">
        <w:instrText xml:space="preserve"> ARABIC </w:instrText>
      </w:r>
      <w:r w:rsidR="00C73AE8">
        <w:fldChar w:fldCharType="separate"/>
      </w:r>
      <w:r>
        <w:rPr>
          <w:noProof/>
        </w:rPr>
        <w:t>1</w:t>
      </w:r>
      <w:r w:rsidR="00C73AE8">
        <w:rPr>
          <w:noProof/>
        </w:rPr>
        <w:fldChar w:fldCharType="end"/>
      </w:r>
      <w:bookmarkEnd w:id="26"/>
      <w:r>
        <w:t xml:space="preserve">: </w:t>
      </w:r>
      <w:r w:rsidR="006A58A8" w:rsidRPr="006A58A8">
        <w:t xml:space="preserve">Timeline for Submission </w:t>
      </w:r>
      <w:r w:rsidR="003F4AA6" w:rsidRPr="003F4AA6">
        <w:t>PM-2018-04249-1-1</w:t>
      </w:r>
    </w:p>
    <w:tbl>
      <w:tblPr>
        <w:tblStyle w:val="TableTGAblue"/>
        <w:tblW w:w="0" w:type="auto"/>
        <w:tblLook w:val="04A0" w:firstRow="1" w:lastRow="0" w:firstColumn="1" w:lastColumn="0" w:noHBand="0" w:noVBand="1"/>
      </w:tblPr>
      <w:tblGrid>
        <w:gridCol w:w="4360"/>
        <w:gridCol w:w="4360"/>
      </w:tblGrid>
      <w:tr w:rsidR="00500337" w14:paraId="058FC510"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41B91644" w14:textId="77777777" w:rsidR="00500337" w:rsidRDefault="00500337" w:rsidP="00500337">
            <w:pPr>
              <w:ind w:left="0" w:right="0"/>
            </w:pPr>
            <w:r>
              <w:t>Description</w:t>
            </w:r>
          </w:p>
        </w:tc>
        <w:tc>
          <w:tcPr>
            <w:tcW w:w="4360" w:type="dxa"/>
          </w:tcPr>
          <w:p w14:paraId="7497FB47" w14:textId="77777777" w:rsidR="00500337" w:rsidRDefault="00500337" w:rsidP="00500337">
            <w:pPr>
              <w:ind w:left="0" w:right="0"/>
            </w:pPr>
            <w:r>
              <w:t>Date</w:t>
            </w:r>
          </w:p>
        </w:tc>
      </w:tr>
      <w:tr w:rsidR="003F4AA6" w14:paraId="33D4B6C2" w14:textId="77777777" w:rsidTr="00500337">
        <w:tc>
          <w:tcPr>
            <w:tcW w:w="4360" w:type="dxa"/>
          </w:tcPr>
          <w:p w14:paraId="7787AA6F" w14:textId="77777777" w:rsidR="003F4AA6" w:rsidRDefault="003F4AA6" w:rsidP="003F4AA6">
            <w:pPr>
              <w:ind w:left="0" w:right="0"/>
            </w:pPr>
            <w:r>
              <w:t>Submission dossier accepted and first round evaluation commenced</w:t>
            </w:r>
          </w:p>
        </w:tc>
        <w:tc>
          <w:tcPr>
            <w:tcW w:w="4360" w:type="dxa"/>
          </w:tcPr>
          <w:p w14:paraId="2AA26A4C" w14:textId="77777777" w:rsidR="003F4AA6" w:rsidRPr="003B0728" w:rsidRDefault="003F4AA6" w:rsidP="003F4AA6">
            <w:r w:rsidRPr="003B0728">
              <w:t>2 January 2019</w:t>
            </w:r>
          </w:p>
        </w:tc>
      </w:tr>
      <w:tr w:rsidR="003F4AA6" w14:paraId="401B7954" w14:textId="77777777" w:rsidTr="00500337">
        <w:tc>
          <w:tcPr>
            <w:tcW w:w="4360" w:type="dxa"/>
          </w:tcPr>
          <w:p w14:paraId="0273FF74" w14:textId="77777777" w:rsidR="003F4AA6" w:rsidRDefault="003F4AA6" w:rsidP="003F4AA6">
            <w:pPr>
              <w:ind w:left="0" w:right="0"/>
            </w:pPr>
            <w:r>
              <w:t>First round evaluation completed</w:t>
            </w:r>
          </w:p>
        </w:tc>
        <w:tc>
          <w:tcPr>
            <w:tcW w:w="4360" w:type="dxa"/>
          </w:tcPr>
          <w:p w14:paraId="371BC9DA" w14:textId="77777777" w:rsidR="003F4AA6" w:rsidRPr="003B0728" w:rsidRDefault="003F4AA6" w:rsidP="003F4AA6">
            <w:r w:rsidRPr="003B0728">
              <w:t>20 June 2019</w:t>
            </w:r>
          </w:p>
        </w:tc>
      </w:tr>
      <w:tr w:rsidR="003F4AA6" w14:paraId="2AF01512" w14:textId="77777777" w:rsidTr="00500337">
        <w:tc>
          <w:tcPr>
            <w:tcW w:w="4360" w:type="dxa"/>
          </w:tcPr>
          <w:p w14:paraId="790A60C8" w14:textId="77777777" w:rsidR="003F4AA6" w:rsidRDefault="003F4AA6" w:rsidP="003F4AA6">
            <w:pPr>
              <w:ind w:left="0" w:right="0"/>
            </w:pPr>
            <w:r>
              <w:t>Sponsor provides responses on questions raised in first round evaluation</w:t>
            </w:r>
          </w:p>
        </w:tc>
        <w:tc>
          <w:tcPr>
            <w:tcW w:w="4360" w:type="dxa"/>
          </w:tcPr>
          <w:p w14:paraId="1E2FCD9F" w14:textId="77777777" w:rsidR="003F4AA6" w:rsidRPr="003B0728" w:rsidRDefault="003F4AA6" w:rsidP="003F4AA6">
            <w:r w:rsidRPr="003B0728">
              <w:t>16 July 2019</w:t>
            </w:r>
          </w:p>
        </w:tc>
      </w:tr>
      <w:tr w:rsidR="003F4AA6" w14:paraId="5032FD29" w14:textId="77777777" w:rsidTr="00500337">
        <w:tc>
          <w:tcPr>
            <w:tcW w:w="4360" w:type="dxa"/>
          </w:tcPr>
          <w:p w14:paraId="576511E1" w14:textId="77777777" w:rsidR="003F4AA6" w:rsidRDefault="003F4AA6" w:rsidP="003F4AA6">
            <w:pPr>
              <w:ind w:left="0" w:right="0"/>
            </w:pPr>
            <w:r>
              <w:t>Second round evaluation completed</w:t>
            </w:r>
          </w:p>
        </w:tc>
        <w:tc>
          <w:tcPr>
            <w:tcW w:w="4360" w:type="dxa"/>
          </w:tcPr>
          <w:p w14:paraId="5B6BC35F" w14:textId="77777777" w:rsidR="003F4AA6" w:rsidRPr="003B0728" w:rsidRDefault="003F4AA6" w:rsidP="003F4AA6">
            <w:r w:rsidRPr="003B0728">
              <w:t>31 July 2019</w:t>
            </w:r>
          </w:p>
        </w:tc>
      </w:tr>
      <w:tr w:rsidR="003F4AA6" w14:paraId="41AE4924" w14:textId="77777777" w:rsidTr="00500337">
        <w:tc>
          <w:tcPr>
            <w:tcW w:w="4360" w:type="dxa"/>
          </w:tcPr>
          <w:p w14:paraId="4F26EC14" w14:textId="77777777" w:rsidR="003F4AA6" w:rsidRDefault="003F4AA6" w:rsidP="003F4AA6">
            <w:pPr>
              <w:ind w:left="0" w:right="0"/>
            </w:pPr>
            <w:r>
              <w:t>Delegate’s Overall benefit-risk assessment</w:t>
            </w:r>
          </w:p>
        </w:tc>
        <w:tc>
          <w:tcPr>
            <w:tcW w:w="4360" w:type="dxa"/>
          </w:tcPr>
          <w:p w14:paraId="233BA178" w14:textId="77777777" w:rsidR="003F4AA6" w:rsidRPr="003B0728" w:rsidRDefault="003F4AA6" w:rsidP="003F4AA6">
            <w:r w:rsidRPr="003B0728">
              <w:t>20 October 2019</w:t>
            </w:r>
          </w:p>
        </w:tc>
      </w:tr>
      <w:tr w:rsidR="003F4AA6" w14:paraId="5B81B6A0" w14:textId="77777777" w:rsidTr="00500337">
        <w:tc>
          <w:tcPr>
            <w:tcW w:w="4360" w:type="dxa"/>
          </w:tcPr>
          <w:p w14:paraId="5638CE08" w14:textId="77777777" w:rsidR="003F4AA6" w:rsidRDefault="003F4AA6" w:rsidP="003F4AA6">
            <w:pPr>
              <w:ind w:left="0" w:right="0"/>
            </w:pPr>
            <w:r>
              <w:t>Sponsor’s pre-Advisory Committee response</w:t>
            </w:r>
          </w:p>
        </w:tc>
        <w:tc>
          <w:tcPr>
            <w:tcW w:w="4360" w:type="dxa"/>
          </w:tcPr>
          <w:p w14:paraId="5C44EE95" w14:textId="77777777" w:rsidR="003F4AA6" w:rsidRPr="003B0728" w:rsidRDefault="003F4AA6" w:rsidP="003F4AA6">
            <w:r w:rsidRPr="003B0728">
              <w:t>Not applicable</w:t>
            </w:r>
          </w:p>
        </w:tc>
      </w:tr>
      <w:tr w:rsidR="003F4AA6" w14:paraId="627131EE" w14:textId="77777777" w:rsidTr="00500337">
        <w:tc>
          <w:tcPr>
            <w:tcW w:w="4360" w:type="dxa"/>
          </w:tcPr>
          <w:p w14:paraId="1A47F291" w14:textId="77777777" w:rsidR="003F4AA6" w:rsidRDefault="003F4AA6" w:rsidP="003F4AA6">
            <w:pPr>
              <w:ind w:left="0" w:right="0"/>
            </w:pPr>
            <w:r>
              <w:t>Advisory Committee meeting</w:t>
            </w:r>
          </w:p>
        </w:tc>
        <w:tc>
          <w:tcPr>
            <w:tcW w:w="4360" w:type="dxa"/>
          </w:tcPr>
          <w:p w14:paraId="5531615E" w14:textId="77777777" w:rsidR="003F4AA6" w:rsidRPr="003B0728" w:rsidRDefault="003F4AA6" w:rsidP="003F4AA6">
            <w:r w:rsidRPr="003B0728">
              <w:t>Not applicable</w:t>
            </w:r>
          </w:p>
        </w:tc>
      </w:tr>
      <w:tr w:rsidR="003F4AA6" w14:paraId="77BC71EC" w14:textId="77777777" w:rsidTr="00500337">
        <w:tc>
          <w:tcPr>
            <w:tcW w:w="4360" w:type="dxa"/>
          </w:tcPr>
          <w:p w14:paraId="2B956F0C" w14:textId="77777777" w:rsidR="003F4AA6" w:rsidRDefault="003F4AA6" w:rsidP="003F4AA6">
            <w:pPr>
              <w:ind w:left="0" w:right="0"/>
            </w:pPr>
            <w:r>
              <w:t>Registration decision (Outcome)</w:t>
            </w:r>
          </w:p>
        </w:tc>
        <w:tc>
          <w:tcPr>
            <w:tcW w:w="4360" w:type="dxa"/>
          </w:tcPr>
          <w:p w14:paraId="1ED1F54E" w14:textId="77777777" w:rsidR="003F4AA6" w:rsidRPr="003B0728" w:rsidRDefault="003F4AA6" w:rsidP="003F4AA6">
            <w:r w:rsidRPr="003B0728">
              <w:t>13 November 2019</w:t>
            </w:r>
          </w:p>
        </w:tc>
      </w:tr>
      <w:tr w:rsidR="003F4AA6" w14:paraId="743B6704" w14:textId="77777777" w:rsidTr="00500337">
        <w:tc>
          <w:tcPr>
            <w:tcW w:w="4360" w:type="dxa"/>
          </w:tcPr>
          <w:p w14:paraId="136B5A9B" w14:textId="77777777" w:rsidR="003F4AA6" w:rsidRDefault="003F4AA6" w:rsidP="003F4AA6">
            <w:pPr>
              <w:ind w:left="0" w:right="0"/>
            </w:pPr>
            <w:r>
              <w:t>Completion of administrative activities and registration on ARTG</w:t>
            </w:r>
          </w:p>
        </w:tc>
        <w:tc>
          <w:tcPr>
            <w:tcW w:w="4360" w:type="dxa"/>
          </w:tcPr>
          <w:p w14:paraId="187FA721" w14:textId="77777777" w:rsidR="003F4AA6" w:rsidRPr="003B0728" w:rsidRDefault="003F4AA6" w:rsidP="003F4AA6">
            <w:r w:rsidRPr="003B0728">
              <w:t>14 November 2019</w:t>
            </w:r>
          </w:p>
        </w:tc>
      </w:tr>
      <w:tr w:rsidR="003F4AA6" w14:paraId="3904F2D4" w14:textId="77777777" w:rsidTr="00500337">
        <w:tc>
          <w:tcPr>
            <w:tcW w:w="4360" w:type="dxa"/>
          </w:tcPr>
          <w:p w14:paraId="25EBEFFA" w14:textId="77777777" w:rsidR="003F4AA6" w:rsidRDefault="003F4AA6" w:rsidP="003F4AA6">
            <w:pPr>
              <w:ind w:left="0" w:right="0"/>
            </w:pPr>
            <w:r>
              <w:t>Number of working days from submission dossier acceptance to registration decision*</w:t>
            </w:r>
          </w:p>
        </w:tc>
        <w:tc>
          <w:tcPr>
            <w:tcW w:w="4360" w:type="dxa"/>
          </w:tcPr>
          <w:p w14:paraId="67621678" w14:textId="77777777" w:rsidR="003F4AA6" w:rsidRDefault="003F4AA6" w:rsidP="003F4AA6">
            <w:r w:rsidRPr="003B0728">
              <w:t>199</w:t>
            </w:r>
          </w:p>
        </w:tc>
      </w:tr>
    </w:tbl>
    <w:p w14:paraId="0DE484D0" w14:textId="77777777" w:rsidR="00500337" w:rsidRDefault="00500337" w:rsidP="00392ADF">
      <w:pPr>
        <w:pStyle w:val="TableDescription"/>
      </w:pPr>
      <w:r>
        <w:t>*</w:t>
      </w:r>
      <w:r w:rsidR="00BF3774" w:rsidRPr="00BF3774">
        <w:t xml:space="preserve">Statutory </w:t>
      </w:r>
      <w:r>
        <w:t>timeframe for standard applications is 2</w:t>
      </w:r>
      <w:r w:rsidR="00BF3774">
        <w:t>55</w:t>
      </w:r>
      <w:r>
        <w:t xml:space="preserve"> wo</w:t>
      </w:r>
      <w:r w:rsidR="00392ADF">
        <w:t>rking days</w:t>
      </w:r>
    </w:p>
    <w:p w14:paraId="12C7D238" w14:textId="77777777" w:rsidR="008E7846" w:rsidRPr="00792A32" w:rsidRDefault="00456765" w:rsidP="008E7846">
      <w:pPr>
        <w:pStyle w:val="Heading2"/>
      </w:pPr>
      <w:bookmarkStart w:id="27" w:name="_Toc196046504"/>
      <w:bookmarkStart w:id="28" w:name="_Toc247691527"/>
      <w:bookmarkStart w:id="29" w:name="_Toc314842510"/>
      <w:bookmarkStart w:id="30" w:name="_Toc163441390"/>
      <w:bookmarkStart w:id="31" w:name="_Toc32916145"/>
      <w:bookmarkEnd w:id="1"/>
      <w:bookmarkEnd w:id="22"/>
      <w:bookmarkEnd w:id="23"/>
      <w:r>
        <w:t>I</w:t>
      </w:r>
      <w:r w:rsidR="00DA64CB">
        <w:t>I</w:t>
      </w:r>
      <w:r w:rsidR="008E7846">
        <w:t xml:space="preserve">I. </w:t>
      </w:r>
      <w:r w:rsidR="008B6F93">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7"/>
      <w:bookmarkEnd w:id="28"/>
      <w:bookmarkEnd w:id="29"/>
      <w:bookmarkEnd w:id="31"/>
    </w:p>
    <w:p w14:paraId="16D859BB" w14:textId="77777777" w:rsidR="008E7846" w:rsidRDefault="008E7846" w:rsidP="008E7846">
      <w:bookmarkStart w:id="32" w:name="_Toc247691528"/>
      <w:r>
        <w:t xml:space="preserve">The submission was summarised in the following </w:t>
      </w:r>
      <w:r w:rsidRPr="00EF5C48">
        <w:t xml:space="preserve">Delegate’s </w:t>
      </w:r>
      <w:r>
        <w:t>overview</w:t>
      </w:r>
      <w:r w:rsidRPr="00EF5C48">
        <w:t xml:space="preserve"> and recommendation</w:t>
      </w:r>
      <w:r w:rsidR="008B6F93">
        <w:t>s.</w:t>
      </w:r>
    </w:p>
    <w:p w14:paraId="04F714EF" w14:textId="77777777" w:rsidR="008E7846" w:rsidRPr="007B1946" w:rsidRDefault="008E7846" w:rsidP="008E7846">
      <w:pPr>
        <w:pStyle w:val="Heading3"/>
      </w:pPr>
      <w:bookmarkStart w:id="33" w:name="_Toc314842511"/>
      <w:bookmarkStart w:id="34" w:name="_Toc32916146"/>
      <w:r w:rsidRPr="007B1946">
        <w:t>Quality</w:t>
      </w:r>
      <w:bookmarkEnd w:id="32"/>
      <w:bookmarkEnd w:id="33"/>
      <w:bookmarkEnd w:id="34"/>
    </w:p>
    <w:p w14:paraId="15EAB891" w14:textId="77777777" w:rsidR="00424775" w:rsidRDefault="00424775" w:rsidP="00165DA7">
      <w:r>
        <w:t>From the quality evaluation:</w:t>
      </w:r>
    </w:p>
    <w:p w14:paraId="68B75ECD" w14:textId="77777777" w:rsidR="00165DA7" w:rsidRPr="007B1946" w:rsidRDefault="00165DA7" w:rsidP="00424775">
      <w:pPr>
        <w:pStyle w:val="ListBullet"/>
      </w:pPr>
      <w:proofErr w:type="spellStart"/>
      <w:r w:rsidRPr="007B1946">
        <w:t>Glycophos</w:t>
      </w:r>
      <w:proofErr w:type="spellEnd"/>
      <w:r w:rsidRPr="007B1946">
        <w:t xml:space="preserve"> is to be supplied as a sterile, aqueous concentrated injection solution containing 306.1 mg of sodium </w:t>
      </w:r>
      <w:proofErr w:type="spellStart"/>
      <w:r w:rsidRPr="007B1946">
        <w:t>glycerophosphate</w:t>
      </w:r>
      <w:proofErr w:type="spellEnd"/>
      <w:r w:rsidRPr="007B1946">
        <w:t xml:space="preserve"> hydrate (in the pentahydrate form), which is equivalent to 216 mg sodium </w:t>
      </w:r>
      <w:proofErr w:type="spellStart"/>
      <w:r w:rsidRPr="007B1946">
        <w:t>glycerophosphate</w:t>
      </w:r>
      <w:proofErr w:type="spellEnd"/>
      <w:r w:rsidRPr="007B1946">
        <w:t xml:space="preserve">. One millilitre (1 mL) of </w:t>
      </w:r>
      <w:proofErr w:type="spellStart"/>
      <w:r w:rsidRPr="007B1946">
        <w:t>Glycophos</w:t>
      </w:r>
      <w:proofErr w:type="spellEnd"/>
      <w:r w:rsidRPr="007B1946">
        <w:t xml:space="preserve"> containing sodium </w:t>
      </w:r>
      <w:proofErr w:type="spellStart"/>
      <w:r w:rsidRPr="007B1946">
        <w:t>glycerophosphate</w:t>
      </w:r>
      <w:proofErr w:type="spellEnd"/>
      <w:r w:rsidRPr="007B1946">
        <w:t xml:space="preserve"> equates to 1 </w:t>
      </w:r>
      <w:proofErr w:type="spellStart"/>
      <w:r w:rsidRPr="007B1946">
        <w:t>mmol</w:t>
      </w:r>
      <w:proofErr w:type="spellEnd"/>
      <w:r w:rsidRPr="007B1946">
        <w:t xml:space="preserve"> of p</w:t>
      </w:r>
      <w:r w:rsidR="00190689">
        <w:t>hosphate and 2 </w:t>
      </w:r>
      <w:proofErr w:type="spellStart"/>
      <w:r w:rsidR="00B11F81" w:rsidRPr="007B1946">
        <w:t>mmol</w:t>
      </w:r>
      <w:proofErr w:type="spellEnd"/>
      <w:r w:rsidR="00B11F81" w:rsidRPr="007B1946">
        <w:t xml:space="preserve"> of sodium.</w:t>
      </w:r>
    </w:p>
    <w:p w14:paraId="5DBCCD4A" w14:textId="38491334" w:rsidR="00165DA7" w:rsidRPr="007B1946" w:rsidRDefault="00165DA7" w:rsidP="00424775">
      <w:pPr>
        <w:pStyle w:val="ListBullet"/>
      </w:pPr>
      <w:r w:rsidRPr="007B1946">
        <w:t>The drug product is contained w</w:t>
      </w:r>
      <w:r w:rsidR="00C40FAB" w:rsidRPr="007B1946">
        <w:t>ithin a 20 mL polypropylene</w:t>
      </w:r>
      <w:r w:rsidRPr="007B1946">
        <w:t xml:space="preserve"> ampoule fitted with an integrated </w:t>
      </w:r>
      <w:proofErr w:type="spellStart"/>
      <w:r w:rsidR="00DE1AF2">
        <w:t>L</w:t>
      </w:r>
      <w:r w:rsidRPr="007B1946">
        <w:t>uer</w:t>
      </w:r>
      <w:proofErr w:type="spellEnd"/>
      <w:r w:rsidRPr="007B1946">
        <w:t xml:space="preserve"> lock. Thus</w:t>
      </w:r>
      <w:r w:rsidR="007B1946" w:rsidRPr="007B1946">
        <w:t>,</w:t>
      </w:r>
      <w:r w:rsidRPr="007B1946">
        <w:t xml:space="preserve"> a </w:t>
      </w:r>
      <w:r w:rsidR="00C40FAB" w:rsidRPr="007B1946">
        <w:t xml:space="preserve">20 mL presentation of </w:t>
      </w:r>
      <w:proofErr w:type="spellStart"/>
      <w:r w:rsidR="00C40FAB" w:rsidRPr="007B1946">
        <w:t>Glycophos</w:t>
      </w:r>
      <w:proofErr w:type="spellEnd"/>
      <w:r w:rsidR="00190689">
        <w:t xml:space="preserve"> contains 4.32 g</w:t>
      </w:r>
      <w:r w:rsidRPr="007B1946">
        <w:t xml:space="preserve"> of sodium </w:t>
      </w:r>
      <w:proofErr w:type="spellStart"/>
      <w:r w:rsidRPr="007B1946">
        <w:t>glycerophosphate</w:t>
      </w:r>
      <w:proofErr w:type="spellEnd"/>
      <w:r w:rsidRPr="007B1946">
        <w:t xml:space="preserve"> which in turn equates to 20 </w:t>
      </w:r>
      <w:proofErr w:type="spellStart"/>
      <w:r w:rsidRPr="007B1946">
        <w:t>mmol</w:t>
      </w:r>
      <w:proofErr w:type="spellEnd"/>
      <w:r w:rsidRPr="007B1946">
        <w:t xml:space="preserve"> of p</w:t>
      </w:r>
      <w:r w:rsidR="00190689">
        <w:t>hosphate and 40</w:t>
      </w:r>
      <w:r w:rsidR="00DE1AF2">
        <w:t> </w:t>
      </w:r>
      <w:proofErr w:type="spellStart"/>
      <w:r w:rsidR="00190689">
        <w:t>mmol</w:t>
      </w:r>
      <w:proofErr w:type="spellEnd"/>
      <w:r w:rsidR="00190689">
        <w:t xml:space="preserve"> of sodium.</w:t>
      </w:r>
    </w:p>
    <w:p w14:paraId="2F1C8286" w14:textId="77777777" w:rsidR="00730F8A" w:rsidRPr="007B1946" w:rsidRDefault="00165DA7" w:rsidP="00424775">
      <w:pPr>
        <w:pStyle w:val="ListBullet"/>
      </w:pPr>
      <w:r w:rsidRPr="007B1946">
        <w:lastRenderedPageBreak/>
        <w:t>A pack size of twenty (20) ampoules is proposed for registration and is to be packed within a cardboard carton.</w:t>
      </w:r>
    </w:p>
    <w:p w14:paraId="73C82512" w14:textId="77777777" w:rsidR="00E45619" w:rsidRDefault="00165DA7" w:rsidP="003A7F6C">
      <w:r w:rsidRPr="007B1946">
        <w:t>Approval is recommended for registration of the proposed drug products from a pharmaceutical chemistry and quality aspect</w:t>
      </w:r>
      <w:r w:rsidR="008E7846" w:rsidRPr="007B1946">
        <w:t>.</w:t>
      </w:r>
    </w:p>
    <w:p w14:paraId="60430DF0" w14:textId="77777777" w:rsidR="008E7846" w:rsidRDefault="008E7846" w:rsidP="008E7846">
      <w:pPr>
        <w:pStyle w:val="Heading3"/>
      </w:pPr>
      <w:bookmarkStart w:id="35" w:name="_Toc314842512"/>
      <w:bookmarkStart w:id="36" w:name="_Toc32916147"/>
      <w:r>
        <w:t>Nonclinical</w:t>
      </w:r>
      <w:bookmarkEnd w:id="35"/>
      <w:bookmarkEnd w:id="36"/>
    </w:p>
    <w:p w14:paraId="077A8755" w14:textId="77777777" w:rsidR="008E7846" w:rsidRDefault="008E7846" w:rsidP="008E7846">
      <w:r>
        <w:t>There was no requirement for a nonclinical evaluation in a submission of this type.</w:t>
      </w:r>
    </w:p>
    <w:p w14:paraId="02A684E0" w14:textId="77777777" w:rsidR="008E7846" w:rsidRDefault="008E7846" w:rsidP="008E7846">
      <w:pPr>
        <w:pStyle w:val="Heading3"/>
      </w:pPr>
      <w:bookmarkStart w:id="37" w:name="_Toc247691530"/>
      <w:bookmarkStart w:id="38" w:name="_Toc314842513"/>
      <w:bookmarkStart w:id="39" w:name="_Toc32916148"/>
      <w:r>
        <w:t>Clinical</w:t>
      </w:r>
      <w:bookmarkEnd w:id="37"/>
      <w:bookmarkEnd w:id="38"/>
      <w:bookmarkEnd w:id="39"/>
    </w:p>
    <w:p w14:paraId="4944334E" w14:textId="77777777" w:rsidR="008B6F93" w:rsidRDefault="008B6F93" w:rsidP="008B6F93">
      <w:r>
        <w:t>The clinical dossier consisted of the following studies:</w:t>
      </w:r>
    </w:p>
    <w:p w14:paraId="58711E70" w14:textId="77777777" w:rsidR="008B6F93" w:rsidRDefault="00B11F81" w:rsidP="00B11F81">
      <w:pPr>
        <w:pStyle w:val="ListBullet"/>
      </w:pPr>
      <w:r>
        <w:t>Clinical pharmacology studies:</w:t>
      </w:r>
    </w:p>
    <w:p w14:paraId="06A99D23" w14:textId="77777777" w:rsidR="008B6F93" w:rsidRDefault="007B1946" w:rsidP="00B11F81">
      <w:pPr>
        <w:pStyle w:val="ListBullet2"/>
      </w:pPr>
      <w:r>
        <w:t>Study Glyc-001-C P1: a</w:t>
      </w:r>
      <w:r w:rsidR="008B6F93">
        <w:t xml:space="preserve"> Phase I, </w:t>
      </w:r>
      <w:r>
        <w:t>double blind</w:t>
      </w:r>
      <w:r w:rsidR="008B6F93">
        <w:t>, r</w:t>
      </w:r>
      <w:r>
        <w:t>andomised, active controlled, 2 sequence, 2 </w:t>
      </w:r>
      <w:r w:rsidR="008B6F93">
        <w:t xml:space="preserve">way crossover, single dose, </w:t>
      </w:r>
      <w:r>
        <w:t>single centre study (</w:t>
      </w:r>
      <w:proofErr w:type="spellStart"/>
      <w:r>
        <w:t>Glycophos</w:t>
      </w:r>
      <w:proofErr w:type="spellEnd"/>
      <w:r>
        <w:t xml:space="preserve"> versus I</w:t>
      </w:r>
      <w:r>
        <w:noBreakHyphen/>
      </w:r>
      <w:r w:rsidR="008B6F93">
        <w:t>Phosphate, 25 healthy subjects). Conducted f</w:t>
      </w:r>
      <w:r>
        <w:t>rom 20 August to 2 October 2010</w:t>
      </w:r>
      <w:r w:rsidR="008B6F93">
        <w:t>.</w:t>
      </w:r>
    </w:p>
    <w:p w14:paraId="33FDF127" w14:textId="77777777" w:rsidR="008B6F93" w:rsidRDefault="007B1946" w:rsidP="00B11F81">
      <w:pPr>
        <w:pStyle w:val="ListBullet2"/>
      </w:pPr>
      <w:r>
        <w:t xml:space="preserve">Study Kabi-003-C P1: a Phase I, double blind, randomised, 2 sequence, 2 </w:t>
      </w:r>
      <w:r w:rsidR="008B6F93">
        <w:t>way</w:t>
      </w:r>
      <w:r>
        <w:t xml:space="preserve"> crossover, single dose, single </w:t>
      </w:r>
      <w:r w:rsidR="008B6F93">
        <w:t>centre study (</w:t>
      </w:r>
      <w:proofErr w:type="spellStart"/>
      <w:r w:rsidR="008B6F93">
        <w:t>Kabiven</w:t>
      </w:r>
      <w:proofErr w:type="spellEnd"/>
      <w:r w:rsidR="008B6F93">
        <w:t xml:space="preserve"> </w:t>
      </w:r>
      <w:r>
        <w:t>Peripheral versus</w:t>
      </w:r>
      <w:r w:rsidR="008B6F93">
        <w:t xml:space="preserve"> </w:t>
      </w:r>
      <w:proofErr w:type="spellStart"/>
      <w:r w:rsidR="008B6F93">
        <w:t>Glycophos</w:t>
      </w:r>
      <w:proofErr w:type="spellEnd"/>
      <w:r w:rsidR="008B6F93">
        <w:t>, 10 healthy subjects). Conducted fro</w:t>
      </w:r>
      <w:r>
        <w:t>m 19 August to 7 September 2010</w:t>
      </w:r>
      <w:r w:rsidR="008B6F93">
        <w:t>.</w:t>
      </w:r>
    </w:p>
    <w:p w14:paraId="301929CE" w14:textId="77777777" w:rsidR="008B6F93" w:rsidRDefault="00B11F81" w:rsidP="00B11F81">
      <w:pPr>
        <w:pStyle w:val="ListBullet"/>
      </w:pPr>
      <w:r>
        <w:t>Efficacy/safety studies:</w:t>
      </w:r>
    </w:p>
    <w:p w14:paraId="506585FF" w14:textId="056024DD" w:rsidR="008B6F93" w:rsidRDefault="007B1946" w:rsidP="00B11F81">
      <w:pPr>
        <w:pStyle w:val="ListBullet2"/>
      </w:pPr>
      <w:r>
        <w:t>Study 91-114: a</w:t>
      </w:r>
      <w:r w:rsidR="008B6F93">
        <w:t xml:space="preserve"> Phase III, multicentre, </w:t>
      </w:r>
      <w:r>
        <w:t xml:space="preserve">prospective, randomised, double blind, parallel group, active </w:t>
      </w:r>
      <w:r w:rsidR="008B6F93">
        <w:t>controlled study (</w:t>
      </w:r>
      <w:proofErr w:type="spellStart"/>
      <w:r w:rsidR="008B6F93">
        <w:t>Gl</w:t>
      </w:r>
      <w:r>
        <w:t>ycophos</w:t>
      </w:r>
      <w:proofErr w:type="spellEnd"/>
      <w:r>
        <w:t xml:space="preserve"> versus</w:t>
      </w:r>
      <w:r w:rsidR="008B6F93">
        <w:t xml:space="preserve"> </w:t>
      </w:r>
      <w:proofErr w:type="spellStart"/>
      <w:r w:rsidR="008B6F93">
        <w:t>monopotassium</w:t>
      </w:r>
      <w:proofErr w:type="spellEnd"/>
      <w:r w:rsidR="008B6F93">
        <w:t xml:space="preserve"> phosphate, 41 paediatric patients). Conducted from </w:t>
      </w:r>
      <w:r>
        <w:t xml:space="preserve">26 February </w:t>
      </w:r>
      <w:r w:rsidR="008B6F93">
        <w:t xml:space="preserve">1994 to </w:t>
      </w:r>
      <w:r w:rsidR="00190689">
        <w:t>27 </w:t>
      </w:r>
      <w:r>
        <w:t>February</w:t>
      </w:r>
      <w:r w:rsidR="008B6F93">
        <w:t xml:space="preserve"> 1996. Appears previously submi</w:t>
      </w:r>
      <w:r>
        <w:t>tted as Monforte, Study KP0734.</w:t>
      </w:r>
    </w:p>
    <w:p w14:paraId="61D27062" w14:textId="1D908F6E" w:rsidR="008B6F93" w:rsidRDefault="007B1946" w:rsidP="00B11F81">
      <w:pPr>
        <w:pStyle w:val="ListBullet2"/>
      </w:pPr>
      <w:r>
        <w:t xml:space="preserve">Study 90-024-00: a Phase III, open </w:t>
      </w:r>
      <w:r w:rsidR="008B6F93">
        <w:t>label, non-comparative study (</w:t>
      </w:r>
      <w:r w:rsidR="00DE1AF2">
        <w:t xml:space="preserve">sodium </w:t>
      </w:r>
      <w:proofErr w:type="spellStart"/>
      <w:r w:rsidR="008B6F93">
        <w:t>glycerophosphate</w:t>
      </w:r>
      <w:proofErr w:type="spellEnd"/>
      <w:r w:rsidR="008B6F93">
        <w:t xml:space="preserve">, 20 adult patients). Conducted from </w:t>
      </w:r>
      <w:r>
        <w:t xml:space="preserve">10 October </w:t>
      </w:r>
      <w:r w:rsidR="008B6F93">
        <w:t xml:space="preserve">1990 to </w:t>
      </w:r>
      <w:r>
        <w:t>2</w:t>
      </w:r>
      <w:r w:rsidR="00DE1AF2">
        <w:t> </w:t>
      </w:r>
      <w:r>
        <w:t>June</w:t>
      </w:r>
      <w:r w:rsidR="00DE1AF2">
        <w:t> </w:t>
      </w:r>
      <w:r w:rsidR="008B6F93">
        <w:t>1991. Appears prev</w:t>
      </w:r>
      <w:r>
        <w:t xml:space="preserve">iously submitted as </w:t>
      </w:r>
      <w:proofErr w:type="spellStart"/>
      <w:r>
        <w:t>Hermansson</w:t>
      </w:r>
      <w:proofErr w:type="spellEnd"/>
      <w:r>
        <w:t xml:space="preserve"> and Nilsson, a</w:t>
      </w:r>
      <w:r w:rsidR="008B6F93">
        <w:t xml:space="preserve">n open study with sodium </w:t>
      </w:r>
      <w:proofErr w:type="spellStart"/>
      <w:r w:rsidR="008B6F93">
        <w:t>glycerophosphate</w:t>
      </w:r>
      <w:proofErr w:type="spellEnd"/>
      <w:r w:rsidR="00DE1AF2">
        <w:t xml:space="preserve">, </w:t>
      </w:r>
      <w:r w:rsidR="008B6F93">
        <w:t xml:space="preserve">to document safety and metabolism of sodium </w:t>
      </w:r>
      <w:proofErr w:type="spellStart"/>
      <w:r w:rsidR="008B6F93">
        <w:t>glycerophosphate</w:t>
      </w:r>
      <w:proofErr w:type="spellEnd"/>
      <w:r w:rsidR="008B6F93">
        <w:t xml:space="preserve"> in postoperative patients requiring </w:t>
      </w:r>
      <w:r w:rsidR="00190689">
        <w:t>total parenteral nutrition</w:t>
      </w:r>
      <w:r>
        <w:t>. Report 91 96 531</w:t>
      </w:r>
      <w:r w:rsidR="00DE1AF2">
        <w:t xml:space="preserve"> (</w:t>
      </w:r>
      <w:r>
        <w:t>1992</w:t>
      </w:r>
      <w:r w:rsidR="00DE1AF2">
        <w:t>)</w:t>
      </w:r>
      <w:r w:rsidR="008B6F93">
        <w:t>.</w:t>
      </w:r>
    </w:p>
    <w:p w14:paraId="612E5D41" w14:textId="768FE5DC" w:rsidR="008B6F93" w:rsidRDefault="007B1946" w:rsidP="00B11F81">
      <w:pPr>
        <w:pStyle w:val="ListBullet"/>
      </w:pPr>
      <w:r>
        <w:t>Literature references for parenteral nutrition</w:t>
      </w:r>
      <w:r w:rsidR="00DE1AF2">
        <w:t xml:space="preserve"> (</w:t>
      </w:r>
      <w:r>
        <w:t>organic phosphate</w:t>
      </w:r>
      <w:r w:rsidR="00DE1AF2">
        <w:t>)</w:t>
      </w:r>
      <w:r>
        <w:t>:</w:t>
      </w:r>
    </w:p>
    <w:p w14:paraId="4ABC77E8" w14:textId="32211024" w:rsidR="008B6F93" w:rsidRDefault="008B6F93" w:rsidP="00B11F81">
      <w:pPr>
        <w:pStyle w:val="ListBullet2"/>
      </w:pPr>
      <w:proofErr w:type="spellStart"/>
      <w:r>
        <w:t>Mazouri</w:t>
      </w:r>
      <w:proofErr w:type="spellEnd"/>
      <w:r w:rsidR="00644427">
        <w:t>, A.</w:t>
      </w:r>
      <w:r w:rsidR="001B65FD">
        <w:t>,</w:t>
      </w:r>
      <w:r>
        <w:t xml:space="preserve"> </w:t>
      </w:r>
      <w:r w:rsidR="007B1946">
        <w:t>et al</w:t>
      </w:r>
      <w:r>
        <w:t>. Does adding intravenous phosphorus (</w:t>
      </w:r>
      <w:proofErr w:type="spellStart"/>
      <w:r>
        <w:t>Glycophos</w:t>
      </w:r>
      <w:proofErr w:type="spellEnd"/>
      <w:r>
        <w:t>) t</w:t>
      </w:r>
      <w:r w:rsidR="007B1946">
        <w:t>o parenteral nutrition has</w:t>
      </w:r>
      <w:r>
        <w:t xml:space="preserve"> </w:t>
      </w:r>
      <w:r w:rsidR="00190689">
        <w:t xml:space="preserve">(sic) </w:t>
      </w:r>
      <w:r>
        <w:t>any effects on calcium and phosphorus metabolism and bone mineral content in preterm neonates?</w:t>
      </w:r>
      <w:r w:rsidR="007B1946">
        <w:t xml:space="preserve"> </w:t>
      </w:r>
      <w:proofErr w:type="spellStart"/>
      <w:r w:rsidR="007B1946" w:rsidRPr="00644427">
        <w:rPr>
          <w:i/>
        </w:rPr>
        <w:t>Acta</w:t>
      </w:r>
      <w:proofErr w:type="spellEnd"/>
      <w:r w:rsidR="007B1946" w:rsidRPr="00644427">
        <w:rPr>
          <w:i/>
        </w:rPr>
        <w:t xml:space="preserve"> </w:t>
      </w:r>
      <w:proofErr w:type="spellStart"/>
      <w:r w:rsidR="007B1946" w:rsidRPr="00644427">
        <w:rPr>
          <w:i/>
        </w:rPr>
        <w:t>Medica</w:t>
      </w:r>
      <w:proofErr w:type="spellEnd"/>
      <w:r w:rsidR="007B1946" w:rsidRPr="00644427">
        <w:rPr>
          <w:i/>
        </w:rPr>
        <w:t xml:space="preserve"> </w:t>
      </w:r>
      <w:proofErr w:type="spellStart"/>
      <w:r w:rsidR="007B1946" w:rsidRPr="00644427">
        <w:rPr>
          <w:i/>
        </w:rPr>
        <w:t>Iranica</w:t>
      </w:r>
      <w:proofErr w:type="spellEnd"/>
      <w:r w:rsidR="00644427">
        <w:t>,</w:t>
      </w:r>
      <w:r w:rsidR="007B1946">
        <w:t xml:space="preserve"> 2017; 55: 395-398</w:t>
      </w:r>
      <w:r>
        <w:t>.</w:t>
      </w:r>
    </w:p>
    <w:p w14:paraId="3B50CB56" w14:textId="76764424" w:rsidR="008B6F93" w:rsidRDefault="008B6F93" w:rsidP="00B11F81">
      <w:pPr>
        <w:pStyle w:val="ListBullet2"/>
      </w:pPr>
      <w:r>
        <w:t>(</w:t>
      </w:r>
      <w:r w:rsidR="001B65FD">
        <w:t xml:space="preserve">As </w:t>
      </w:r>
      <w:r>
        <w:t>glucose-1-phosphate)</w:t>
      </w:r>
      <w:r w:rsidR="001B65FD">
        <w:t>;</w:t>
      </w:r>
      <w:r>
        <w:t xml:space="preserve"> </w:t>
      </w:r>
      <w:proofErr w:type="spellStart"/>
      <w:r>
        <w:t>Bonsante</w:t>
      </w:r>
      <w:proofErr w:type="spellEnd"/>
      <w:r w:rsidR="00644427">
        <w:t>, F.</w:t>
      </w:r>
      <w:r w:rsidR="001B65FD">
        <w:t>,</w:t>
      </w:r>
      <w:r>
        <w:t xml:space="preserve"> </w:t>
      </w:r>
      <w:r w:rsidR="00644427">
        <w:t>et al.</w:t>
      </w:r>
      <w:r>
        <w:t xml:space="preserve"> Initial amino acid intake influences phosphorus and calcium </w:t>
      </w:r>
      <w:r w:rsidR="00190689">
        <w:t xml:space="preserve">homeostasis in preterm infants - </w:t>
      </w:r>
      <w:r>
        <w:t>it is time to change the composition of</w:t>
      </w:r>
      <w:r w:rsidR="00190689">
        <w:t xml:space="preserve"> the early parenteral nutrition?</w:t>
      </w:r>
      <w:r>
        <w:t xml:space="preserve"> </w:t>
      </w:r>
      <w:proofErr w:type="spellStart"/>
      <w:r w:rsidRPr="00644427">
        <w:rPr>
          <w:i/>
        </w:rPr>
        <w:t>PLoS</w:t>
      </w:r>
      <w:proofErr w:type="spellEnd"/>
      <w:r w:rsidRPr="00644427">
        <w:rPr>
          <w:i/>
        </w:rPr>
        <w:t xml:space="preserve"> ONE</w:t>
      </w:r>
      <w:r>
        <w:t>. 2013;</w:t>
      </w:r>
      <w:r w:rsidR="00644427">
        <w:t xml:space="preserve"> 8</w:t>
      </w:r>
      <w:r>
        <w:t>:</w:t>
      </w:r>
      <w:r w:rsidR="00644427">
        <w:t xml:space="preserve"> e72880</w:t>
      </w:r>
      <w:r>
        <w:t>.</w:t>
      </w:r>
    </w:p>
    <w:p w14:paraId="259563BB" w14:textId="3C27E7EB" w:rsidR="008B6F93" w:rsidRDefault="00644427" w:rsidP="00B11F81">
      <w:pPr>
        <w:pStyle w:val="ListBullet"/>
      </w:pPr>
      <w:r>
        <w:t xml:space="preserve">Literature references for parenteral nutrition </w:t>
      </w:r>
      <w:r w:rsidR="001B65FD">
        <w:t>(</w:t>
      </w:r>
      <w:r>
        <w:t>organic versus</w:t>
      </w:r>
      <w:r w:rsidR="00B11F81">
        <w:t xml:space="preserve"> inorganic phosphate</w:t>
      </w:r>
      <w:r w:rsidR="001B65FD">
        <w:t>)</w:t>
      </w:r>
      <w:r w:rsidR="00B11F81">
        <w:t>:</w:t>
      </w:r>
    </w:p>
    <w:p w14:paraId="6F1FCD54" w14:textId="6C14D683" w:rsidR="008B6F93" w:rsidRDefault="008B6F93" w:rsidP="00B11F81">
      <w:pPr>
        <w:pStyle w:val="ListBullet2"/>
      </w:pPr>
      <w:r>
        <w:t>Pereira-da-Silva</w:t>
      </w:r>
      <w:r w:rsidR="00644427">
        <w:t>, L.</w:t>
      </w:r>
      <w:r w:rsidR="001B65FD">
        <w:t>,</w:t>
      </w:r>
      <w:r>
        <w:t xml:space="preserve"> </w:t>
      </w:r>
      <w:r w:rsidR="00644427">
        <w:t>et al</w:t>
      </w:r>
      <w:r>
        <w:t>. Early high calcium and phosphorus (</w:t>
      </w:r>
      <w:proofErr w:type="spellStart"/>
      <w:r>
        <w:t>Glycophos</w:t>
      </w:r>
      <w:proofErr w:type="spellEnd"/>
      <w:r>
        <w:t xml:space="preserve">) intake by parenteral nutrition prevents short-term bone strength decline in preterm infants. </w:t>
      </w:r>
      <w:r w:rsidRPr="00644427">
        <w:rPr>
          <w:i/>
        </w:rPr>
        <w:t xml:space="preserve">J </w:t>
      </w:r>
      <w:proofErr w:type="spellStart"/>
      <w:r w:rsidRPr="00644427">
        <w:rPr>
          <w:i/>
        </w:rPr>
        <w:t>Pediatr</w:t>
      </w:r>
      <w:proofErr w:type="spellEnd"/>
      <w:r w:rsidRPr="00644427">
        <w:rPr>
          <w:i/>
        </w:rPr>
        <w:t xml:space="preserve"> </w:t>
      </w:r>
      <w:proofErr w:type="spellStart"/>
      <w:r w:rsidRPr="00644427">
        <w:rPr>
          <w:i/>
        </w:rPr>
        <w:t>Gastroenterol</w:t>
      </w:r>
      <w:proofErr w:type="spellEnd"/>
      <w:r w:rsidRPr="00644427">
        <w:rPr>
          <w:i/>
        </w:rPr>
        <w:t xml:space="preserve"> </w:t>
      </w:r>
      <w:proofErr w:type="spellStart"/>
      <w:r w:rsidRPr="00644427">
        <w:rPr>
          <w:i/>
        </w:rPr>
        <w:t>Nutr</w:t>
      </w:r>
      <w:proofErr w:type="spellEnd"/>
      <w:r>
        <w:t>. 2011;</w:t>
      </w:r>
      <w:r w:rsidR="00644427">
        <w:t xml:space="preserve"> 52</w:t>
      </w:r>
      <w:r>
        <w:t>:</w:t>
      </w:r>
      <w:r w:rsidR="00190689">
        <w:t xml:space="preserve"> </w:t>
      </w:r>
      <w:r>
        <w:t>203-</w:t>
      </w:r>
      <w:r w:rsidR="00644427">
        <w:t>209.</w:t>
      </w:r>
    </w:p>
    <w:p w14:paraId="32150BE6" w14:textId="41DC8A1D" w:rsidR="008B6F93" w:rsidRDefault="008B6F93" w:rsidP="00B11F81">
      <w:pPr>
        <w:pStyle w:val="ListBullet2"/>
      </w:pPr>
      <w:proofErr w:type="spellStart"/>
      <w:r>
        <w:t>Hanning</w:t>
      </w:r>
      <w:proofErr w:type="spellEnd"/>
      <w:r w:rsidR="00644427">
        <w:t>,</w:t>
      </w:r>
      <w:r>
        <w:t xml:space="preserve"> R, </w:t>
      </w:r>
      <w:r w:rsidR="00644427">
        <w:t>et al</w:t>
      </w:r>
      <w:r>
        <w:t>. Efficac</w:t>
      </w:r>
      <w:r w:rsidR="00190689">
        <w:t xml:space="preserve">y of calcium </w:t>
      </w:r>
      <w:proofErr w:type="spellStart"/>
      <w:r w:rsidR="00190689">
        <w:t>glycerophosphate</w:t>
      </w:r>
      <w:proofErr w:type="spellEnd"/>
      <w:r w:rsidR="00190689">
        <w:t xml:space="preserve"> versus</w:t>
      </w:r>
      <w:r>
        <w:t xml:space="preserve"> conventional mineral salts for total parenteral nutrition in low-birth-weight infants: a randomized clinical trial. </w:t>
      </w:r>
      <w:r w:rsidRPr="00644427">
        <w:rPr>
          <w:i/>
        </w:rPr>
        <w:t xml:space="preserve">Am J </w:t>
      </w:r>
      <w:proofErr w:type="spellStart"/>
      <w:r w:rsidRPr="00644427">
        <w:rPr>
          <w:i/>
        </w:rPr>
        <w:t>Clin</w:t>
      </w:r>
      <w:proofErr w:type="spellEnd"/>
      <w:r w:rsidRPr="00644427">
        <w:rPr>
          <w:i/>
        </w:rPr>
        <w:t xml:space="preserve"> </w:t>
      </w:r>
      <w:proofErr w:type="spellStart"/>
      <w:r w:rsidRPr="00644427">
        <w:rPr>
          <w:i/>
        </w:rPr>
        <w:t>Nutr</w:t>
      </w:r>
      <w:proofErr w:type="spellEnd"/>
      <w:r>
        <w:t>. 1991;</w:t>
      </w:r>
      <w:r w:rsidR="00644427">
        <w:t xml:space="preserve"> 54</w:t>
      </w:r>
      <w:r>
        <w:t>:903-</w:t>
      </w:r>
      <w:r w:rsidR="00644427">
        <w:t>90</w:t>
      </w:r>
      <w:r>
        <w:t>8. (</w:t>
      </w:r>
      <w:r w:rsidR="001B65FD">
        <w:t xml:space="preserve">study </w:t>
      </w:r>
      <w:r>
        <w:t>prev</w:t>
      </w:r>
      <w:r w:rsidR="00644427">
        <w:t>iously submitted and evaluated).</w:t>
      </w:r>
    </w:p>
    <w:p w14:paraId="6C763E1C" w14:textId="3C76717C" w:rsidR="008B6F93" w:rsidRDefault="00644427" w:rsidP="00B11F81">
      <w:pPr>
        <w:pStyle w:val="ListBullet2"/>
      </w:pPr>
      <w:proofErr w:type="spellStart"/>
      <w:r>
        <w:t>Devlieger</w:t>
      </w:r>
      <w:proofErr w:type="spellEnd"/>
      <w:r>
        <w:t>, H.</w:t>
      </w:r>
      <w:r w:rsidR="001B65FD">
        <w:t>,</w:t>
      </w:r>
      <w:r>
        <w:t xml:space="preserve"> et al</w:t>
      </w:r>
      <w:r w:rsidR="008B6F93">
        <w:t xml:space="preserve">. Calcium and phosphorus retention in the preterm infant during total parenteral nutrition. A comparative randomised study between organic </w:t>
      </w:r>
      <w:r w:rsidR="008B6F93">
        <w:lastRenderedPageBreak/>
        <w:t xml:space="preserve">(glucose-1-phosphate) and inorganic phosphate as a source of phosphorus. </w:t>
      </w:r>
      <w:proofErr w:type="spellStart"/>
      <w:r w:rsidR="008B6F93" w:rsidRPr="00644427">
        <w:rPr>
          <w:i/>
        </w:rPr>
        <w:t>Clin</w:t>
      </w:r>
      <w:proofErr w:type="spellEnd"/>
      <w:r w:rsidR="001B65FD">
        <w:rPr>
          <w:i/>
        </w:rPr>
        <w:t> </w:t>
      </w:r>
      <w:proofErr w:type="spellStart"/>
      <w:r w:rsidR="008B6F93" w:rsidRPr="00644427">
        <w:rPr>
          <w:i/>
        </w:rPr>
        <w:t>Nutr</w:t>
      </w:r>
      <w:proofErr w:type="spellEnd"/>
      <w:r w:rsidR="008B6F93">
        <w:t>. 1993;</w:t>
      </w:r>
      <w:r>
        <w:t xml:space="preserve"> 12</w:t>
      </w:r>
      <w:r w:rsidR="008B6F93">
        <w:t>:</w:t>
      </w:r>
      <w:r>
        <w:t xml:space="preserve"> </w:t>
      </w:r>
      <w:r w:rsidR="008B6F93">
        <w:t>277-</w:t>
      </w:r>
      <w:r>
        <w:t>281</w:t>
      </w:r>
      <w:r w:rsidR="008B6F93">
        <w:t>.</w:t>
      </w:r>
    </w:p>
    <w:p w14:paraId="0F39A3EC" w14:textId="58A7F79D" w:rsidR="008B6F93" w:rsidRDefault="00644427" w:rsidP="00B11F81">
      <w:pPr>
        <w:pStyle w:val="ListBullet2"/>
      </w:pPr>
      <w:proofErr w:type="spellStart"/>
      <w:r>
        <w:t>Tormo</w:t>
      </w:r>
      <w:proofErr w:type="spellEnd"/>
      <w:r>
        <w:t>, C.</w:t>
      </w:r>
      <w:r w:rsidR="001B65FD">
        <w:t>,</w:t>
      </w:r>
      <w:r>
        <w:t xml:space="preserve"> et al</w:t>
      </w:r>
      <w:r w:rsidR="008B6F93">
        <w:t>.</w:t>
      </w:r>
      <w:r>
        <w:t xml:space="preserve"> Organic (glucose-1-phosphate) </w:t>
      </w:r>
      <w:r w:rsidR="00190689">
        <w:t>versus</w:t>
      </w:r>
      <w:r w:rsidR="008B6F93">
        <w:t xml:space="preserve"> inorganic phosphate administration in total parenteral nutrition: the source matters. </w:t>
      </w:r>
      <w:r w:rsidR="008B6F93" w:rsidRPr="00644427">
        <w:rPr>
          <w:i/>
        </w:rPr>
        <w:t>Clinical Nutrition</w:t>
      </w:r>
      <w:r w:rsidR="008B6F93">
        <w:t>. 1994;</w:t>
      </w:r>
      <w:r>
        <w:t xml:space="preserve"> </w:t>
      </w:r>
      <w:r w:rsidR="008B6F93">
        <w:t>13:</w:t>
      </w:r>
      <w:r>
        <w:t xml:space="preserve"> 56</w:t>
      </w:r>
      <w:r w:rsidR="008B6F93">
        <w:t>.</w:t>
      </w:r>
    </w:p>
    <w:p w14:paraId="31525001" w14:textId="77777777" w:rsidR="008B6F93" w:rsidRDefault="00644427" w:rsidP="00B11F81">
      <w:pPr>
        <w:pStyle w:val="ListBullet"/>
      </w:pPr>
      <w:r>
        <w:t>Literature references for p</w:t>
      </w:r>
      <w:r w:rsidR="008B6F93">
        <w:t>hosphate as therapy (both previously submitted and evaluated)</w:t>
      </w:r>
      <w:r>
        <w:t>:</w:t>
      </w:r>
    </w:p>
    <w:p w14:paraId="3DD403D7" w14:textId="11663173" w:rsidR="008B6F93" w:rsidRDefault="008B6F93" w:rsidP="00B11F81">
      <w:pPr>
        <w:pStyle w:val="ListBullet2"/>
      </w:pPr>
      <w:r>
        <w:t>Costello</w:t>
      </w:r>
      <w:r w:rsidR="00644427">
        <w:t>, I.</w:t>
      </w:r>
      <w:r w:rsidR="001B65FD">
        <w:t>,</w:t>
      </w:r>
      <w:r w:rsidR="00644427">
        <w:t xml:space="preserve"> et al</w:t>
      </w:r>
      <w:r>
        <w:t xml:space="preserve">. Sodium </w:t>
      </w:r>
      <w:proofErr w:type="spellStart"/>
      <w:r>
        <w:t>glycerophosphate</w:t>
      </w:r>
      <w:proofErr w:type="spellEnd"/>
      <w:r>
        <w:t xml:space="preserve"> in the treatment of neonatal </w:t>
      </w:r>
      <w:proofErr w:type="spellStart"/>
      <w:r>
        <w:t>hypophosphataemia</w:t>
      </w:r>
      <w:proofErr w:type="spellEnd"/>
      <w:r>
        <w:t xml:space="preserve">. </w:t>
      </w:r>
      <w:r w:rsidRPr="00644427">
        <w:rPr>
          <w:i/>
        </w:rPr>
        <w:t xml:space="preserve">Arch Dis Child </w:t>
      </w:r>
      <w:proofErr w:type="spellStart"/>
      <w:r w:rsidRPr="00644427">
        <w:rPr>
          <w:i/>
        </w:rPr>
        <w:t>Fetal</w:t>
      </w:r>
      <w:proofErr w:type="spellEnd"/>
      <w:r w:rsidRPr="00644427">
        <w:rPr>
          <w:i/>
        </w:rPr>
        <w:t xml:space="preserve"> Neonatal Ed</w:t>
      </w:r>
      <w:r>
        <w:t>. 1995;</w:t>
      </w:r>
      <w:r w:rsidR="00644427">
        <w:t xml:space="preserve"> 73</w:t>
      </w:r>
      <w:r>
        <w:t>:</w:t>
      </w:r>
      <w:r w:rsidR="00190689">
        <w:t xml:space="preserve"> </w:t>
      </w:r>
      <w:r>
        <w:t>F44-</w:t>
      </w:r>
      <w:r w:rsidR="00644427">
        <w:t>45</w:t>
      </w:r>
      <w:r>
        <w:t>.</w:t>
      </w:r>
    </w:p>
    <w:p w14:paraId="09A421E8" w14:textId="0AC74454" w:rsidR="008B6F93" w:rsidRDefault="008B6F93" w:rsidP="00B11F81">
      <w:pPr>
        <w:pStyle w:val="ListBullet2"/>
      </w:pPr>
      <w:r>
        <w:t>(</w:t>
      </w:r>
      <w:r w:rsidR="001B65FD">
        <w:t xml:space="preserve">As </w:t>
      </w:r>
      <w:r>
        <w:t>glucose-1-phosphate)</w:t>
      </w:r>
      <w:r w:rsidR="001B65FD">
        <w:t>;</w:t>
      </w:r>
      <w:r>
        <w:t xml:space="preserve"> Bollaert</w:t>
      </w:r>
      <w:r w:rsidR="00644427">
        <w:t>, P</w:t>
      </w:r>
      <w:r w:rsidR="001B65FD">
        <w:t>.,</w:t>
      </w:r>
      <w:r w:rsidR="00644427">
        <w:t xml:space="preserve"> et al.</w:t>
      </w:r>
      <w:r>
        <w:t xml:space="preserve"> Hemodynamic and metabolic effects of rapid correction of hypophosphatemia in patients with septic shock. </w:t>
      </w:r>
      <w:r w:rsidRPr="00644427">
        <w:rPr>
          <w:i/>
        </w:rPr>
        <w:t>Chest</w:t>
      </w:r>
      <w:r>
        <w:t>. 1995;</w:t>
      </w:r>
      <w:r w:rsidR="00644427">
        <w:t xml:space="preserve"> 107</w:t>
      </w:r>
      <w:r>
        <w:t>:</w:t>
      </w:r>
      <w:r w:rsidR="00190689">
        <w:t xml:space="preserve"> </w:t>
      </w:r>
      <w:r>
        <w:t>1698-</w:t>
      </w:r>
      <w:r w:rsidR="00644427">
        <w:t>1701</w:t>
      </w:r>
      <w:r>
        <w:t>.</w:t>
      </w:r>
    </w:p>
    <w:p w14:paraId="78B569BD" w14:textId="77777777" w:rsidR="008B6F93" w:rsidRPr="008B6F93" w:rsidRDefault="00644427" w:rsidP="00B11F81">
      <w:pPr>
        <w:pStyle w:val="ListBullet"/>
      </w:pPr>
      <w:r>
        <w:t>Periodic safety update reports (</w:t>
      </w:r>
      <w:r w:rsidR="008B6F93">
        <w:t>PSURs</w:t>
      </w:r>
      <w:r>
        <w:t>):</w:t>
      </w:r>
      <w:r w:rsidR="008B6F93">
        <w:t xml:space="preserve"> April 2010 to June 2017.</w:t>
      </w:r>
    </w:p>
    <w:p w14:paraId="62A67B28" w14:textId="77777777" w:rsidR="00165DA7" w:rsidRPr="00AA53F4" w:rsidRDefault="00165DA7" w:rsidP="00165DA7">
      <w:pPr>
        <w:pStyle w:val="Heading4"/>
      </w:pPr>
      <w:bookmarkStart w:id="40" w:name="_Toc314842514"/>
      <w:r w:rsidRPr="00AA53F4">
        <w:t>Pharmacology</w:t>
      </w:r>
    </w:p>
    <w:p w14:paraId="27CFA558" w14:textId="77777777" w:rsidR="00165DA7" w:rsidRDefault="00644427" w:rsidP="00165DA7">
      <w:pPr>
        <w:pStyle w:val="Heading5"/>
      </w:pPr>
      <w:r>
        <w:t>Pharmacokinetics</w:t>
      </w:r>
    </w:p>
    <w:p w14:paraId="6406E574" w14:textId="77777777" w:rsidR="00165DA7" w:rsidRPr="00A544D3" w:rsidRDefault="00165DA7" w:rsidP="00B11F81">
      <w:r w:rsidRPr="00A544D3">
        <w:t>In the submitted studies</w:t>
      </w:r>
      <w:r w:rsidR="00424775">
        <w:t>,</w:t>
      </w:r>
      <w:r w:rsidRPr="00A544D3">
        <w:t xml:space="preserve"> sodium </w:t>
      </w:r>
      <w:proofErr w:type="spellStart"/>
      <w:r w:rsidRPr="00A544D3">
        <w:t>glycerophosphate</w:t>
      </w:r>
      <w:proofErr w:type="spellEnd"/>
      <w:r w:rsidRPr="00A544D3">
        <w:t xml:space="preserve"> produced a similar </w:t>
      </w:r>
      <w:r w:rsidR="00BD1F3C">
        <w:t>area under the concentration time curve (</w:t>
      </w:r>
      <w:r w:rsidRPr="00A544D3">
        <w:t>AUC</w:t>
      </w:r>
      <w:r w:rsidR="00BD1F3C">
        <w:t>) and</w:t>
      </w:r>
      <w:r w:rsidRPr="00A544D3">
        <w:t xml:space="preserve"> </w:t>
      </w:r>
      <w:r w:rsidR="00971C54">
        <w:rPr>
          <w:lang w:eastAsia="ja-JP"/>
        </w:rPr>
        <w:t>maximum plasma concentration</w:t>
      </w:r>
      <w:r w:rsidR="00971C54" w:rsidRPr="00A544D3">
        <w:t xml:space="preserve"> </w:t>
      </w:r>
      <w:r w:rsidR="00971C54">
        <w:t>(</w:t>
      </w:r>
      <w:proofErr w:type="spellStart"/>
      <w:r w:rsidRPr="00A544D3">
        <w:t>C</w:t>
      </w:r>
      <w:r w:rsidRPr="00BD1F3C">
        <w:rPr>
          <w:vertAlign w:val="subscript"/>
        </w:rPr>
        <w:t>max</w:t>
      </w:r>
      <w:proofErr w:type="spellEnd"/>
      <w:r w:rsidR="00971C54">
        <w:t>)</w:t>
      </w:r>
      <w:r w:rsidRPr="00A544D3">
        <w:t xml:space="preserve"> profile to that of inorganic phosphate, but not of urinary excretion. In Study 90-024-00 the ratio between excreted inorganic phosphate and total phosphorus in the urine varied but indicated that almost all phosphate excreted in the urine was inorganic phosphate and that </w:t>
      </w:r>
      <w:proofErr w:type="spellStart"/>
      <w:r w:rsidRPr="00A544D3">
        <w:t>glycerophosphate</w:t>
      </w:r>
      <w:proofErr w:type="spellEnd"/>
      <w:r w:rsidRPr="00A544D3">
        <w:t xml:space="preserve"> was not excreted to any significant extent</w:t>
      </w:r>
      <w:r>
        <w:t>.</w:t>
      </w:r>
    </w:p>
    <w:p w14:paraId="779D6DBA" w14:textId="77777777" w:rsidR="00165DA7" w:rsidRDefault="00644427" w:rsidP="00165DA7">
      <w:pPr>
        <w:pStyle w:val="Heading5"/>
      </w:pPr>
      <w:bookmarkStart w:id="41" w:name="_Ref271037274"/>
      <w:bookmarkStart w:id="42" w:name="_Toc272414652"/>
      <w:bookmarkStart w:id="43" w:name="_Toc290846274"/>
      <w:bookmarkStart w:id="44" w:name="_Toc515480564"/>
      <w:r>
        <w:t>Pharmacodynamics</w:t>
      </w:r>
    </w:p>
    <w:p w14:paraId="6D87698F" w14:textId="75AF2039" w:rsidR="00165DA7" w:rsidRPr="00A544D3" w:rsidRDefault="00165DA7" w:rsidP="00B11F81">
      <w:r>
        <w:t xml:space="preserve">The proposed use of </w:t>
      </w:r>
      <w:proofErr w:type="spellStart"/>
      <w:r>
        <w:t>Glycophos</w:t>
      </w:r>
      <w:proofErr w:type="spellEnd"/>
      <w:r>
        <w:t xml:space="preserve"> is in adult and paediatric patients as a supplement to parenteral nutrition to meet the daily requirements of ph</w:t>
      </w:r>
      <w:r w:rsidR="00971C54">
        <w:t>osphate. Applicability of Study </w:t>
      </w:r>
      <w:proofErr w:type="spellStart"/>
      <w:r>
        <w:t>Glyc</w:t>
      </w:r>
      <w:proofErr w:type="spellEnd"/>
      <w:r>
        <w:t xml:space="preserve"> 001-C P1 of a single dose in the absence of parenteral nutrition even though limited</w:t>
      </w:r>
      <w:r w:rsidR="00424775">
        <w:t>, was</w:t>
      </w:r>
      <w:r>
        <w:t xml:space="preserve"> acceptable for this submission. </w:t>
      </w:r>
      <w:proofErr w:type="spellStart"/>
      <w:r>
        <w:t>Mazouri</w:t>
      </w:r>
      <w:proofErr w:type="spellEnd"/>
      <w:r>
        <w:t xml:space="preserve"> et al</w:t>
      </w:r>
      <w:r w:rsidR="001B65FD">
        <w:t>.</w:t>
      </w:r>
      <w:r w:rsidR="00971C54">
        <w:t>;</w:t>
      </w:r>
      <w:bookmarkStart w:id="45" w:name="_Ref30504856"/>
      <w:r w:rsidR="00971C54">
        <w:rPr>
          <w:rStyle w:val="FootnoteReference"/>
        </w:rPr>
        <w:footnoteReference w:id="1"/>
      </w:r>
      <w:bookmarkEnd w:id="45"/>
      <w:r>
        <w:t xml:space="preserve"> and Pereira-da-Silva et al</w:t>
      </w:r>
      <w:r w:rsidR="001B65FD">
        <w:t>.</w:t>
      </w:r>
      <w:r w:rsidR="00971C54">
        <w:t>;</w:t>
      </w:r>
      <w:bookmarkStart w:id="46" w:name="_Ref30504900"/>
      <w:r w:rsidR="00971C54">
        <w:rPr>
          <w:rStyle w:val="FootnoteReference"/>
        </w:rPr>
        <w:footnoteReference w:id="2"/>
      </w:r>
      <w:bookmarkEnd w:id="46"/>
      <w:r>
        <w:t xml:space="preserve"> showed improvement in preterm infants on bone density</w:t>
      </w:r>
      <w:r w:rsidR="00424775">
        <w:t>,</w:t>
      </w:r>
      <w:r>
        <w:t xml:space="preserve"> the former compared to no supplemental phosphate, t</w:t>
      </w:r>
      <w:r w:rsidR="00971C54">
        <w:t>he latter only with the use of ‘high dose’.</w:t>
      </w:r>
      <w:r>
        <w:t xml:space="preserve"> </w:t>
      </w:r>
      <w:proofErr w:type="spellStart"/>
      <w:r>
        <w:t>Schildt</w:t>
      </w:r>
      <w:proofErr w:type="spellEnd"/>
      <w:r>
        <w:t xml:space="preserve"> et al</w:t>
      </w:r>
      <w:r w:rsidR="001B65FD">
        <w:t>.;</w:t>
      </w:r>
      <w:r w:rsidR="00971C54">
        <w:rPr>
          <w:rStyle w:val="FootnoteReference"/>
        </w:rPr>
        <w:footnoteReference w:id="3"/>
      </w:r>
      <w:r>
        <w:t xml:space="preserve"> </w:t>
      </w:r>
      <w:r w:rsidR="00971C54">
        <w:t xml:space="preserve">is </w:t>
      </w:r>
      <w:r>
        <w:t>a case series which showed large positive balances of ph</w:t>
      </w:r>
      <w:r w:rsidR="00971C54">
        <w:t xml:space="preserve">osphate and calcium over </w:t>
      </w:r>
      <w:r w:rsidR="001B65FD">
        <w:t>D</w:t>
      </w:r>
      <w:r w:rsidR="00971C54">
        <w:t>ays 1 to 5 of treatment.</w:t>
      </w:r>
    </w:p>
    <w:p w14:paraId="7EE98FDA" w14:textId="6CAD0A3D" w:rsidR="00165DA7" w:rsidRDefault="00165DA7" w:rsidP="00165DA7">
      <w:pPr>
        <w:pStyle w:val="Heading5"/>
      </w:pPr>
      <w:r w:rsidRPr="00382555">
        <w:t xml:space="preserve">Dose </w:t>
      </w:r>
      <w:r w:rsidR="00C73AE8">
        <w:t>s</w:t>
      </w:r>
      <w:r w:rsidRPr="00382555">
        <w:t>election</w:t>
      </w:r>
    </w:p>
    <w:p w14:paraId="6140969A" w14:textId="593ED8D3" w:rsidR="00165DA7" w:rsidRDefault="00971C54" w:rsidP="00B11F81">
      <w:r>
        <w:t>In S</w:t>
      </w:r>
      <w:r w:rsidR="00165DA7">
        <w:t xml:space="preserve">tudy 90-024-00 </w:t>
      </w:r>
      <w:r>
        <w:rPr>
          <w:lang w:eastAsia="ja-JP"/>
        </w:rPr>
        <w:t>in adults ‘the daily dose of 20</w:t>
      </w:r>
      <w:r w:rsidR="001B65FD">
        <w:rPr>
          <w:lang w:eastAsia="ja-JP"/>
        </w:rPr>
        <w:t xml:space="preserve"> </w:t>
      </w:r>
      <w:proofErr w:type="spellStart"/>
      <w:r>
        <w:rPr>
          <w:lang w:eastAsia="ja-JP"/>
        </w:rPr>
        <w:t>mmol</w:t>
      </w:r>
      <w:proofErr w:type="spellEnd"/>
      <w:r>
        <w:rPr>
          <w:lang w:eastAsia="ja-JP"/>
        </w:rPr>
        <w:t xml:space="preserve"> </w:t>
      </w:r>
      <w:proofErr w:type="spellStart"/>
      <w:r>
        <w:rPr>
          <w:lang w:eastAsia="ja-JP"/>
        </w:rPr>
        <w:t>glycerophosphate</w:t>
      </w:r>
      <w:proofErr w:type="spellEnd"/>
      <w:r>
        <w:rPr>
          <w:lang w:eastAsia="ja-JP"/>
        </w:rPr>
        <w:t xml:space="preserve"> was to be given to all patients during the treatment period of five days. The dose chosen corresponds to the daily requirement of phosphorus’</w:t>
      </w:r>
      <w:r>
        <w:t>.</w:t>
      </w:r>
      <w:r>
        <w:rPr>
          <w:rStyle w:val="FootnoteReference"/>
        </w:rPr>
        <w:footnoteReference w:id="4"/>
      </w:r>
      <w:r>
        <w:t xml:space="preserve"> In Study 91-114 ‘a</w:t>
      </w:r>
      <w:r w:rsidR="00165DA7">
        <w:t>ll patients were to receive 1</w:t>
      </w:r>
      <w:r>
        <w:t> </w:t>
      </w:r>
      <w:proofErr w:type="spellStart"/>
      <w:r w:rsidR="00165DA7">
        <w:t>mmol</w:t>
      </w:r>
      <w:proofErr w:type="spellEnd"/>
      <w:r w:rsidR="00165DA7">
        <w:t xml:space="preserve"> of phosphorus/kg body weight/day (given as </w:t>
      </w:r>
      <w:proofErr w:type="spellStart"/>
      <w:r w:rsidR="00165DA7">
        <w:t>glycerophosphate</w:t>
      </w:r>
      <w:proofErr w:type="spellEnd"/>
      <w:r w:rsidR="00165DA7">
        <w:t xml:space="preserve"> or inorganic phosphate) which is a normal dose used in n</w:t>
      </w:r>
      <w:r>
        <w:t>ewborn children.’ ‘Depending on</w:t>
      </w:r>
      <w:r w:rsidR="00165DA7">
        <w:t xml:space="preserve"> the daily intake of </w:t>
      </w:r>
      <w:proofErr w:type="spellStart"/>
      <w:r w:rsidR="00165DA7">
        <w:t>Intralipid</w:t>
      </w:r>
      <w:proofErr w:type="spellEnd"/>
      <w:r w:rsidR="00165DA7">
        <w:t xml:space="preserve"> 20%, the daily intake of </w:t>
      </w:r>
      <w:proofErr w:type="spellStart"/>
      <w:r w:rsidR="00165DA7">
        <w:t>glycerophosphate</w:t>
      </w:r>
      <w:proofErr w:type="spellEnd"/>
      <w:r w:rsidR="00165DA7">
        <w:t xml:space="preserve"> was expected to vary from 0</w:t>
      </w:r>
      <w:r>
        <w:t xml:space="preserve">.75 to 1 </w:t>
      </w:r>
      <w:proofErr w:type="spellStart"/>
      <w:r>
        <w:t>mmol</w:t>
      </w:r>
      <w:proofErr w:type="spellEnd"/>
      <w:r>
        <w:t>/kg body weight.’</w:t>
      </w:r>
      <w:r>
        <w:rPr>
          <w:rStyle w:val="FootnoteReference"/>
        </w:rPr>
        <w:footnoteReference w:id="5"/>
      </w:r>
    </w:p>
    <w:p w14:paraId="05DE8E41" w14:textId="77777777" w:rsidR="00165DA7" w:rsidRDefault="00165DA7" w:rsidP="00B11F81">
      <w:pPr>
        <w:pStyle w:val="Heading4"/>
      </w:pPr>
      <w:bookmarkStart w:id="47" w:name="_Toc24464357"/>
      <w:r w:rsidRPr="002F410D">
        <w:lastRenderedPageBreak/>
        <w:t>Efficacy</w:t>
      </w:r>
      <w:bookmarkEnd w:id="47"/>
    </w:p>
    <w:p w14:paraId="46041434" w14:textId="77777777" w:rsidR="00165DA7" w:rsidRDefault="00165DA7" w:rsidP="00B11F81">
      <w:pPr>
        <w:rPr>
          <w:lang w:eastAsia="ja-JP"/>
        </w:rPr>
      </w:pPr>
      <w:r>
        <w:rPr>
          <w:lang w:eastAsia="ja-JP"/>
        </w:rPr>
        <w:t xml:space="preserve">Study 90-024-00 looked at 20 patients for 5 days and had no comparator; Study 91-114 looked at only 17 patients for a maximum of 7 days and failed to show </w:t>
      </w:r>
      <w:r>
        <w:rPr>
          <w:rFonts w:asciiTheme="minorHAnsi" w:hAnsiTheme="minorHAnsi"/>
          <w:lang w:eastAsia="ja-JP"/>
        </w:rPr>
        <w:t>significant difference between treatments</w:t>
      </w:r>
      <w:r>
        <w:rPr>
          <w:lang w:eastAsia="ja-JP"/>
        </w:rPr>
        <w:t>. While this may be a common duration for routine parenteral nutrition (</w:t>
      </w:r>
      <w:r w:rsidR="00190689">
        <w:rPr>
          <w:lang w:eastAsia="ja-JP"/>
        </w:rPr>
        <w:t>post-surgical and neonatal pre-</w:t>
      </w:r>
      <w:r>
        <w:rPr>
          <w:lang w:eastAsia="ja-JP"/>
        </w:rPr>
        <w:t xml:space="preserve">enteral feeding), it does not necessarily reflect the needs of </w:t>
      </w:r>
      <w:r w:rsidR="000948A8">
        <w:rPr>
          <w:lang w:eastAsia="ja-JP"/>
        </w:rPr>
        <w:t>long-term</w:t>
      </w:r>
      <w:r>
        <w:rPr>
          <w:lang w:eastAsia="ja-JP"/>
        </w:rPr>
        <w:t xml:space="preserve"> total parenteral nutrition</w:t>
      </w:r>
      <w:r w:rsidR="000948A8">
        <w:rPr>
          <w:lang w:eastAsia="ja-JP"/>
        </w:rPr>
        <w:t>,</w:t>
      </w:r>
      <w:r>
        <w:rPr>
          <w:lang w:eastAsia="ja-JP"/>
        </w:rPr>
        <w:t xml:space="preserve"> as highlighted by clinical evaluator.</w:t>
      </w:r>
    </w:p>
    <w:p w14:paraId="2587D866" w14:textId="4E5EA28D" w:rsidR="00165DA7" w:rsidRDefault="000948A8" w:rsidP="00B11F81">
      <w:pPr>
        <w:rPr>
          <w:lang w:eastAsia="ja-JP"/>
        </w:rPr>
      </w:pPr>
      <w:r>
        <w:rPr>
          <w:lang w:eastAsia="ja-JP"/>
        </w:rPr>
        <w:t xml:space="preserve">In the literature report </w:t>
      </w:r>
      <w:proofErr w:type="spellStart"/>
      <w:r>
        <w:rPr>
          <w:lang w:eastAsia="ja-JP"/>
        </w:rPr>
        <w:t>Mazouri</w:t>
      </w:r>
      <w:proofErr w:type="spellEnd"/>
      <w:r>
        <w:rPr>
          <w:lang w:eastAsia="ja-JP"/>
        </w:rPr>
        <w:t xml:space="preserve"> et al</w:t>
      </w:r>
      <w:r w:rsidR="001B65FD">
        <w:rPr>
          <w:lang w:eastAsia="ja-JP"/>
        </w:rPr>
        <w:t>.</w:t>
      </w:r>
      <w:r>
        <w:rPr>
          <w:lang w:eastAsia="ja-JP"/>
        </w:rPr>
        <w:t>;</w:t>
      </w:r>
      <w:r>
        <w:rPr>
          <w:lang w:eastAsia="ja-JP"/>
        </w:rPr>
        <w:fldChar w:fldCharType="begin"/>
      </w:r>
      <w:r>
        <w:rPr>
          <w:lang w:eastAsia="ja-JP"/>
        </w:rPr>
        <w:instrText xml:space="preserve"> NOTEREF _Ref30504856 \f \h </w:instrText>
      </w:r>
      <w:r>
        <w:rPr>
          <w:lang w:eastAsia="ja-JP"/>
        </w:rPr>
      </w:r>
      <w:r>
        <w:rPr>
          <w:lang w:eastAsia="ja-JP"/>
        </w:rPr>
        <w:fldChar w:fldCharType="separate"/>
      </w:r>
      <w:r w:rsidRPr="000948A8">
        <w:rPr>
          <w:rStyle w:val="FootnoteReference"/>
        </w:rPr>
        <w:t>1</w:t>
      </w:r>
      <w:r>
        <w:rPr>
          <w:lang w:eastAsia="ja-JP"/>
        </w:rPr>
        <w:fldChar w:fldCharType="end"/>
      </w:r>
      <w:r>
        <w:rPr>
          <w:lang w:eastAsia="ja-JP"/>
        </w:rPr>
        <w:t xml:space="preserve"> </w:t>
      </w:r>
      <w:r w:rsidR="00165DA7">
        <w:rPr>
          <w:lang w:eastAsia="ja-JP"/>
        </w:rPr>
        <w:t xml:space="preserve">25 neonates </w:t>
      </w:r>
      <w:r w:rsidR="00190689">
        <w:rPr>
          <w:lang w:eastAsia="ja-JP"/>
        </w:rPr>
        <w:t>received a</w:t>
      </w:r>
      <w:r w:rsidR="00165DA7">
        <w:rPr>
          <w:lang w:eastAsia="ja-JP"/>
        </w:rPr>
        <w:t xml:space="preserve"> mean duration of parenteral nutrition of 9.8</w:t>
      </w:r>
      <w:r>
        <w:rPr>
          <w:lang w:eastAsia="ja-JP"/>
        </w:rPr>
        <w:t xml:space="preserve"> </w:t>
      </w:r>
      <w:r w:rsidR="00165DA7">
        <w:rPr>
          <w:lang w:eastAsia="ja-JP"/>
        </w:rPr>
        <w:t>±</w:t>
      </w:r>
      <w:r>
        <w:rPr>
          <w:lang w:eastAsia="ja-JP"/>
        </w:rPr>
        <w:t xml:space="preserve"> </w:t>
      </w:r>
      <w:r w:rsidR="00165DA7">
        <w:rPr>
          <w:lang w:eastAsia="ja-JP"/>
        </w:rPr>
        <w:t xml:space="preserve">3.0 days and at the end of the fourth week, those who received </w:t>
      </w:r>
      <w:proofErr w:type="spellStart"/>
      <w:r w:rsidR="00165DA7">
        <w:rPr>
          <w:lang w:eastAsia="ja-JP"/>
        </w:rPr>
        <w:t>Glycophos</w:t>
      </w:r>
      <w:proofErr w:type="spellEnd"/>
      <w:r w:rsidR="00165DA7">
        <w:rPr>
          <w:lang w:eastAsia="ja-JP"/>
        </w:rPr>
        <w:t xml:space="preserve"> experienced more increase in bone mineral density than those in th</w:t>
      </w:r>
      <w:r>
        <w:rPr>
          <w:lang w:eastAsia="ja-JP"/>
        </w:rPr>
        <w:t>e control group (0.13 ± 0.01 versus 0.10 ± 0.02, p</w:t>
      </w:r>
      <w:r w:rsidR="00165DA7">
        <w:rPr>
          <w:lang w:eastAsia="ja-JP"/>
        </w:rPr>
        <w:t xml:space="preserve"> &lt; 0.001). </w:t>
      </w:r>
      <w:r>
        <w:rPr>
          <w:lang w:eastAsia="ja-JP"/>
        </w:rPr>
        <w:t>Likewise in Pereira-da-Silva et al</w:t>
      </w:r>
      <w:r w:rsidR="001B65FD">
        <w:rPr>
          <w:lang w:eastAsia="ja-JP"/>
        </w:rPr>
        <w:t>.</w:t>
      </w:r>
      <w:r>
        <w:rPr>
          <w:lang w:eastAsia="ja-JP"/>
        </w:rPr>
        <w:t>;</w:t>
      </w:r>
      <w:r>
        <w:rPr>
          <w:lang w:eastAsia="ja-JP"/>
        </w:rPr>
        <w:fldChar w:fldCharType="begin"/>
      </w:r>
      <w:r>
        <w:rPr>
          <w:lang w:eastAsia="ja-JP"/>
        </w:rPr>
        <w:instrText xml:space="preserve"> NOTEREF _Ref30504900 \f \h </w:instrText>
      </w:r>
      <w:r>
        <w:rPr>
          <w:lang w:eastAsia="ja-JP"/>
        </w:rPr>
      </w:r>
      <w:r>
        <w:rPr>
          <w:lang w:eastAsia="ja-JP"/>
        </w:rPr>
        <w:fldChar w:fldCharType="separate"/>
      </w:r>
      <w:r w:rsidRPr="000948A8">
        <w:rPr>
          <w:rStyle w:val="FootnoteReference"/>
        </w:rPr>
        <w:t>2</w:t>
      </w:r>
      <w:r>
        <w:rPr>
          <w:lang w:eastAsia="ja-JP"/>
        </w:rPr>
        <w:fldChar w:fldCharType="end"/>
      </w:r>
      <w:r>
        <w:rPr>
          <w:lang w:eastAsia="ja-JP"/>
        </w:rPr>
        <w:t xml:space="preserve"> </w:t>
      </w:r>
      <w:r w:rsidR="00165DA7">
        <w:rPr>
          <w:lang w:eastAsia="ja-JP"/>
        </w:rPr>
        <w:t>mean duration of</w:t>
      </w:r>
      <w:r>
        <w:rPr>
          <w:lang w:eastAsia="ja-JP"/>
        </w:rPr>
        <w:t xml:space="preserve"> parenteral nutrition in 86 (40 given low dose, </w:t>
      </w:r>
      <w:r w:rsidR="00165DA7">
        <w:rPr>
          <w:lang w:eastAsia="ja-JP"/>
        </w:rPr>
        <w:t>46</w:t>
      </w:r>
      <w:r>
        <w:rPr>
          <w:lang w:eastAsia="ja-JP"/>
        </w:rPr>
        <w:t xml:space="preserve"> given high dose</w:t>
      </w:r>
      <w:r w:rsidR="00165DA7">
        <w:rPr>
          <w:lang w:eastAsia="ja-JP"/>
        </w:rPr>
        <w:t>) neonates was 2 weeks at which time</w:t>
      </w:r>
      <w:r>
        <w:rPr>
          <w:lang w:eastAsia="ja-JP"/>
        </w:rPr>
        <w:t xml:space="preserve"> there was really no difference</w:t>
      </w:r>
      <w:r w:rsidR="00165DA7">
        <w:rPr>
          <w:lang w:eastAsia="ja-JP"/>
        </w:rPr>
        <w:t xml:space="preserve"> in speed of sound</w:t>
      </w:r>
      <w:r>
        <w:rPr>
          <w:lang w:eastAsia="ja-JP"/>
        </w:rPr>
        <w:t xml:space="preserve"> (SOS; </w:t>
      </w:r>
      <w:r w:rsidR="001B65FD">
        <w:rPr>
          <w:lang w:eastAsia="ja-JP"/>
        </w:rPr>
        <w:t xml:space="preserve">see </w:t>
      </w:r>
      <w:r>
        <w:rPr>
          <w:lang w:eastAsia="ja-JP"/>
        </w:rPr>
        <w:fldChar w:fldCharType="begin"/>
      </w:r>
      <w:r>
        <w:rPr>
          <w:lang w:eastAsia="ja-JP"/>
        </w:rPr>
        <w:instrText xml:space="preserve"> REF _Ref30505206 \h </w:instrText>
      </w:r>
      <w:r>
        <w:rPr>
          <w:lang w:eastAsia="ja-JP"/>
        </w:rPr>
      </w:r>
      <w:r>
        <w:rPr>
          <w:lang w:eastAsia="ja-JP"/>
        </w:rPr>
        <w:fldChar w:fldCharType="separate"/>
      </w:r>
      <w:r>
        <w:t xml:space="preserve">Figure </w:t>
      </w:r>
      <w:r>
        <w:rPr>
          <w:noProof/>
        </w:rPr>
        <w:t>1</w:t>
      </w:r>
      <w:r>
        <w:rPr>
          <w:lang w:eastAsia="ja-JP"/>
        </w:rPr>
        <w:fldChar w:fldCharType="end"/>
      </w:r>
      <w:r>
        <w:rPr>
          <w:lang w:eastAsia="ja-JP"/>
        </w:rPr>
        <w:t>)</w:t>
      </w:r>
      <w:r w:rsidR="00165DA7">
        <w:rPr>
          <w:lang w:eastAsia="ja-JP"/>
        </w:rPr>
        <w:t>.</w:t>
      </w:r>
      <w:r w:rsidR="00165DA7" w:rsidRPr="00CB3007">
        <w:rPr>
          <w:lang w:eastAsia="ja-JP"/>
        </w:rPr>
        <w:t xml:space="preserve"> </w:t>
      </w:r>
      <w:r w:rsidR="00165DA7">
        <w:rPr>
          <w:lang w:eastAsia="ja-JP"/>
        </w:rPr>
        <w:t>By</w:t>
      </w:r>
      <w:r w:rsidR="001B65FD">
        <w:rPr>
          <w:lang w:eastAsia="ja-JP"/>
        </w:rPr>
        <w:t> </w:t>
      </w:r>
      <w:r w:rsidR="00165DA7">
        <w:rPr>
          <w:lang w:eastAsia="ja-JP"/>
        </w:rPr>
        <w:t>6</w:t>
      </w:r>
      <w:r w:rsidR="001B65FD">
        <w:rPr>
          <w:lang w:eastAsia="ja-JP"/>
        </w:rPr>
        <w:t> </w:t>
      </w:r>
      <w:r w:rsidR="00165DA7">
        <w:rPr>
          <w:lang w:eastAsia="ja-JP"/>
        </w:rPr>
        <w:t xml:space="preserve">weeks </w:t>
      </w:r>
      <w:r>
        <w:rPr>
          <w:lang w:eastAsia="ja-JP"/>
        </w:rPr>
        <w:t xml:space="preserve">in 34 (17 low dose, </w:t>
      </w:r>
      <w:r w:rsidR="00165DA7">
        <w:rPr>
          <w:lang w:eastAsia="ja-JP"/>
        </w:rPr>
        <w:t>17</w:t>
      </w:r>
      <w:r>
        <w:rPr>
          <w:lang w:eastAsia="ja-JP"/>
        </w:rPr>
        <w:t xml:space="preserve"> high dose</w:t>
      </w:r>
      <w:r w:rsidR="00165DA7">
        <w:rPr>
          <w:lang w:eastAsia="ja-JP"/>
        </w:rPr>
        <w:t xml:space="preserve">) </w:t>
      </w:r>
      <w:r>
        <w:rPr>
          <w:lang w:eastAsia="ja-JP"/>
        </w:rPr>
        <w:t xml:space="preserve">neonates, </w:t>
      </w:r>
      <w:r w:rsidR="00165DA7">
        <w:rPr>
          <w:lang w:eastAsia="ja-JP"/>
        </w:rPr>
        <w:t>the mean speed of sound in the low dose group from birth to the sixth we</w:t>
      </w:r>
      <w:r>
        <w:rPr>
          <w:lang w:eastAsia="ja-JP"/>
        </w:rPr>
        <w:t>ek of life fell significantly (p</w:t>
      </w:r>
      <w:r w:rsidR="00165DA7">
        <w:rPr>
          <w:lang w:eastAsia="ja-JP"/>
        </w:rPr>
        <w:t xml:space="preserve"> = 0.027), while no significant difference from base line in the high dose group could be shown. Comparison betw</w:t>
      </w:r>
      <w:r>
        <w:rPr>
          <w:lang w:eastAsia="ja-JP"/>
        </w:rPr>
        <w:t>een the 2 results was not made.</w:t>
      </w:r>
    </w:p>
    <w:p w14:paraId="67857BCC" w14:textId="553F7581" w:rsidR="000948A8" w:rsidRDefault="000948A8" w:rsidP="000948A8">
      <w:pPr>
        <w:pStyle w:val="FigureTitle"/>
        <w:rPr>
          <w:lang w:eastAsia="ja-JP"/>
        </w:rPr>
      </w:pPr>
      <w:bookmarkStart w:id="48" w:name="_Ref30505206"/>
      <w:r>
        <w:t xml:space="preserve">Figure </w:t>
      </w:r>
      <w:r w:rsidR="00C73AE8">
        <w:fldChar w:fldCharType="begin"/>
      </w:r>
      <w:r w:rsidR="00C73AE8">
        <w:instrText xml:space="preserve"> SEQ Figure \* ARABIC </w:instrText>
      </w:r>
      <w:r w:rsidR="00C73AE8">
        <w:fldChar w:fldCharType="separate"/>
      </w:r>
      <w:r>
        <w:rPr>
          <w:noProof/>
        </w:rPr>
        <w:t>1</w:t>
      </w:r>
      <w:r w:rsidR="00C73AE8">
        <w:rPr>
          <w:noProof/>
        </w:rPr>
        <w:fldChar w:fldCharType="end"/>
      </w:r>
      <w:bookmarkEnd w:id="48"/>
      <w:r>
        <w:t xml:space="preserve">: </w:t>
      </w:r>
      <w:r>
        <w:rPr>
          <w:lang w:eastAsia="ja-JP"/>
        </w:rPr>
        <w:t xml:space="preserve">Mean (2 standard error) of speed of sound measurements (m/s) from </w:t>
      </w:r>
      <w:r w:rsidR="001B65FD">
        <w:rPr>
          <w:lang w:eastAsia="ja-JP"/>
        </w:rPr>
        <w:t xml:space="preserve">Baseline </w:t>
      </w:r>
      <w:r>
        <w:rPr>
          <w:lang w:eastAsia="ja-JP"/>
        </w:rPr>
        <w:t>(measurement 1) to the sixth week of life (measurement 6) in preterm infants receiving 2 different parenteral mineral regimens</w:t>
      </w:r>
    </w:p>
    <w:p w14:paraId="06EB2A8A" w14:textId="77777777" w:rsidR="000948A8" w:rsidRDefault="000948A8" w:rsidP="00B11F81">
      <w:pPr>
        <w:rPr>
          <w:lang w:eastAsia="ja-JP"/>
        </w:rPr>
      </w:pPr>
      <w:r w:rsidRPr="00452734">
        <w:rPr>
          <w:noProof/>
          <w:sz w:val="16"/>
          <w:lang w:eastAsia="en-AU"/>
        </w:rPr>
        <w:drawing>
          <wp:inline distT="0" distB="0" distL="0" distR="0" wp14:anchorId="1D4EB33C" wp14:editId="6F3ED498">
            <wp:extent cx="3467100" cy="3524250"/>
            <wp:effectExtent l="0" t="0" r="0" b="0"/>
            <wp:docPr id="13" name="Picture 13" descr="Mean (2 standard error) of speed of sound measurements (m/s) from baseline (measurement 1) to the sixth week of life (measurement 6) in preterm infants receiving 2 different parenteral mineral regim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467100" cy="3524250"/>
                    </a:xfrm>
                    <a:prstGeom prst="rect">
                      <a:avLst/>
                    </a:prstGeom>
                  </pic:spPr>
                </pic:pic>
              </a:graphicData>
            </a:graphic>
          </wp:inline>
        </w:drawing>
      </w:r>
    </w:p>
    <w:p w14:paraId="06CB930E" w14:textId="77777777" w:rsidR="00165DA7" w:rsidRDefault="00165DA7" w:rsidP="000948A8">
      <w:pPr>
        <w:rPr>
          <w:lang w:eastAsia="ja-JP"/>
        </w:rPr>
      </w:pPr>
      <w:r>
        <w:rPr>
          <w:lang w:eastAsia="ja-JP"/>
        </w:rPr>
        <w:t>Overall, the numbers exposed and completers were small</w:t>
      </w:r>
      <w:r w:rsidR="000948A8">
        <w:rPr>
          <w:lang w:eastAsia="ja-JP"/>
        </w:rPr>
        <w:t>,</w:t>
      </w:r>
      <w:r>
        <w:rPr>
          <w:lang w:eastAsia="ja-JP"/>
        </w:rPr>
        <w:t xml:space="preserve"> and the duration of exposure was approximately 2 weeks.</w:t>
      </w:r>
    </w:p>
    <w:p w14:paraId="4AD525ED" w14:textId="77777777" w:rsidR="00165DA7" w:rsidRDefault="00165DA7" w:rsidP="00B11F81">
      <w:pPr>
        <w:pStyle w:val="Heading4"/>
      </w:pPr>
      <w:bookmarkStart w:id="49" w:name="_Toc24464358"/>
      <w:bookmarkEnd w:id="41"/>
      <w:bookmarkEnd w:id="42"/>
      <w:bookmarkEnd w:id="43"/>
      <w:bookmarkEnd w:id="44"/>
      <w:r w:rsidRPr="00C834F7">
        <w:t>Safety</w:t>
      </w:r>
      <w:bookmarkEnd w:id="49"/>
    </w:p>
    <w:p w14:paraId="6E1CC485" w14:textId="77777777" w:rsidR="000948A8" w:rsidRDefault="00165DA7" w:rsidP="00B11F81">
      <w:pPr>
        <w:rPr>
          <w:lang w:eastAsia="ja-JP"/>
        </w:rPr>
      </w:pPr>
      <w:r>
        <w:rPr>
          <w:lang w:eastAsia="ja-JP"/>
        </w:rPr>
        <w:t>The number and duration of exposure in clinical trials, including the literature was conside</w:t>
      </w:r>
      <w:r w:rsidR="000948A8">
        <w:rPr>
          <w:lang w:eastAsia="ja-JP"/>
        </w:rPr>
        <w:t>red low by clinical evaluator. The c</w:t>
      </w:r>
      <w:r>
        <w:rPr>
          <w:lang w:eastAsia="ja-JP"/>
        </w:rPr>
        <w:t>linical evaluator also highlighted the need to restrict the duration of exposure and wording on warning in the proposed PI. This is being adequately addressed by the sponsor in the final</w:t>
      </w:r>
      <w:r w:rsidR="000948A8">
        <w:rPr>
          <w:lang w:eastAsia="ja-JP"/>
        </w:rPr>
        <w:t xml:space="preserve"> version of the PI Section 4.4:</w:t>
      </w:r>
    </w:p>
    <w:p w14:paraId="60AC10D5" w14:textId="77777777" w:rsidR="00165DA7" w:rsidRDefault="000948A8" w:rsidP="000948A8">
      <w:pPr>
        <w:ind w:left="720"/>
        <w:rPr>
          <w:lang w:eastAsia="ja-JP"/>
        </w:rPr>
      </w:pPr>
      <w:r>
        <w:rPr>
          <w:lang w:eastAsia="ja-JP"/>
        </w:rPr>
        <w:lastRenderedPageBreak/>
        <w:t xml:space="preserve">‘The use of </w:t>
      </w:r>
      <w:proofErr w:type="spellStart"/>
      <w:r>
        <w:rPr>
          <w:lang w:eastAsia="ja-JP"/>
        </w:rPr>
        <w:t>Glycophos</w:t>
      </w:r>
      <w:proofErr w:type="spellEnd"/>
      <w:r w:rsidR="00165DA7" w:rsidRPr="005C309A">
        <w:rPr>
          <w:lang w:eastAsia="ja-JP"/>
        </w:rPr>
        <w:t xml:space="preserve"> for long-term parenteral nutrition has limited clinical experience and precautions need to</w:t>
      </w:r>
      <w:r>
        <w:rPr>
          <w:lang w:eastAsia="ja-JP"/>
        </w:rPr>
        <w:t xml:space="preserve"> be taken while using </w:t>
      </w:r>
      <w:proofErr w:type="spellStart"/>
      <w:r>
        <w:rPr>
          <w:lang w:eastAsia="ja-JP"/>
        </w:rPr>
        <w:t>Glycophos</w:t>
      </w:r>
      <w:proofErr w:type="spellEnd"/>
      <w:r w:rsidR="00165DA7" w:rsidRPr="005C309A">
        <w:rPr>
          <w:lang w:eastAsia="ja-JP"/>
        </w:rPr>
        <w:t xml:space="preserve"> for </w:t>
      </w:r>
      <w:r>
        <w:rPr>
          <w:lang w:eastAsia="ja-JP"/>
        </w:rPr>
        <w:t xml:space="preserve">an extended duration. </w:t>
      </w:r>
      <w:proofErr w:type="spellStart"/>
      <w:r>
        <w:rPr>
          <w:lang w:eastAsia="ja-JP"/>
        </w:rPr>
        <w:t>Glycophos</w:t>
      </w:r>
      <w:proofErr w:type="spellEnd"/>
      <w:r w:rsidR="00165DA7" w:rsidRPr="005C309A">
        <w:rPr>
          <w:lang w:eastAsia="ja-JP"/>
        </w:rPr>
        <w:t xml:space="preserve"> may be used for a longer duration depending on the clinical judgement of the healthcare professional.</w:t>
      </w:r>
      <w:r>
        <w:rPr>
          <w:lang w:eastAsia="ja-JP"/>
        </w:rPr>
        <w:t>’</w:t>
      </w:r>
    </w:p>
    <w:p w14:paraId="440EB896" w14:textId="5E83F29C" w:rsidR="00456765" w:rsidRPr="00456765" w:rsidRDefault="00165DA7" w:rsidP="00B11F81">
      <w:pPr>
        <w:rPr>
          <w:lang w:eastAsia="ja-JP"/>
        </w:rPr>
      </w:pPr>
      <w:r>
        <w:rPr>
          <w:lang w:eastAsia="ja-JP"/>
        </w:rPr>
        <w:t>In addi</w:t>
      </w:r>
      <w:r w:rsidR="00AA704F">
        <w:rPr>
          <w:lang w:eastAsia="ja-JP"/>
        </w:rPr>
        <w:t xml:space="preserve">tion, there is a considerable (approximately </w:t>
      </w:r>
      <w:r w:rsidR="00B44758">
        <w:rPr>
          <w:lang w:eastAsia="ja-JP"/>
        </w:rPr>
        <w:t>6.4</w:t>
      </w:r>
      <w:r w:rsidR="00B44758" w:rsidRPr="005C309A">
        <w:rPr>
          <w:lang w:eastAsia="ja-JP"/>
        </w:rPr>
        <w:t xml:space="preserve"> </w:t>
      </w:r>
      <w:r w:rsidRPr="005C309A">
        <w:rPr>
          <w:lang w:eastAsia="ja-JP"/>
        </w:rPr>
        <w:t xml:space="preserve">million patients have been treated with </w:t>
      </w:r>
      <w:proofErr w:type="spellStart"/>
      <w:r w:rsidRPr="005C309A">
        <w:rPr>
          <w:lang w:eastAsia="ja-JP"/>
        </w:rPr>
        <w:t>Glycophos</w:t>
      </w:r>
      <w:proofErr w:type="spellEnd"/>
      <w:r>
        <w:rPr>
          <w:lang w:eastAsia="ja-JP"/>
        </w:rPr>
        <w:t xml:space="preserve">) post marketing history of exposure. The sponsor reported none of the </w:t>
      </w:r>
      <w:r w:rsidR="00AA704F">
        <w:rPr>
          <w:lang w:eastAsia="ja-JP"/>
        </w:rPr>
        <w:t>t</w:t>
      </w:r>
      <w:r w:rsidR="00AA704F" w:rsidRPr="00AA704F">
        <w:rPr>
          <w:lang w:eastAsia="ja-JP"/>
        </w:rPr>
        <w:t xml:space="preserve">reatment emergent adverse events </w:t>
      </w:r>
      <w:r w:rsidR="00AA704F">
        <w:rPr>
          <w:lang w:eastAsia="ja-JP"/>
        </w:rPr>
        <w:t>(</w:t>
      </w:r>
      <w:r>
        <w:rPr>
          <w:lang w:eastAsia="ja-JP"/>
        </w:rPr>
        <w:t>TEAE</w:t>
      </w:r>
      <w:r w:rsidR="00AA704F">
        <w:rPr>
          <w:lang w:eastAsia="ja-JP"/>
        </w:rPr>
        <w:t>)</w:t>
      </w:r>
      <w:r>
        <w:rPr>
          <w:lang w:eastAsia="ja-JP"/>
        </w:rPr>
        <w:t xml:space="preserve">, </w:t>
      </w:r>
      <w:r w:rsidR="00AA704F">
        <w:rPr>
          <w:lang w:eastAsia="ja-JP"/>
        </w:rPr>
        <w:t>serious adverse events (</w:t>
      </w:r>
      <w:r>
        <w:rPr>
          <w:lang w:eastAsia="ja-JP"/>
        </w:rPr>
        <w:t>SAE</w:t>
      </w:r>
      <w:r w:rsidR="00AA704F">
        <w:rPr>
          <w:lang w:eastAsia="ja-JP"/>
        </w:rPr>
        <w:t>)</w:t>
      </w:r>
      <w:r>
        <w:rPr>
          <w:lang w:eastAsia="ja-JP"/>
        </w:rPr>
        <w:t xml:space="preserve"> or deaths reported in the studies was assessed as be</w:t>
      </w:r>
      <w:r w:rsidR="00AA704F">
        <w:rPr>
          <w:lang w:eastAsia="ja-JP"/>
        </w:rPr>
        <w:t>ing related to study treatment.</w:t>
      </w:r>
    </w:p>
    <w:p w14:paraId="03CC19FA" w14:textId="77777777" w:rsidR="008E7846" w:rsidRDefault="00386150" w:rsidP="007B6132">
      <w:pPr>
        <w:pStyle w:val="Heading3"/>
        <w:rPr>
          <w:lang w:eastAsia="en-AU"/>
        </w:rPr>
      </w:pPr>
      <w:bookmarkStart w:id="50" w:name="_Toc32916149"/>
      <w:r>
        <w:rPr>
          <w:lang w:eastAsia="en-AU"/>
        </w:rPr>
        <w:t>Risk m</w:t>
      </w:r>
      <w:r w:rsidR="008E7846">
        <w:rPr>
          <w:lang w:eastAsia="en-AU"/>
        </w:rPr>
        <w:t xml:space="preserve">anagement </w:t>
      </w:r>
      <w:r>
        <w:rPr>
          <w:lang w:eastAsia="en-AU"/>
        </w:rPr>
        <w:t>p</w:t>
      </w:r>
      <w:r w:rsidR="008E7846">
        <w:rPr>
          <w:lang w:eastAsia="en-AU"/>
        </w:rPr>
        <w:t>lan</w:t>
      </w:r>
      <w:bookmarkEnd w:id="40"/>
      <w:bookmarkEnd w:id="50"/>
    </w:p>
    <w:p w14:paraId="480D4A3C" w14:textId="77777777" w:rsidR="008E7846" w:rsidRDefault="00165DA7" w:rsidP="008E7846">
      <w:r>
        <w:t>There was no requirement for a risk management plan evaluation for a submission of this type.</w:t>
      </w:r>
      <w:r>
        <w:rPr>
          <w:rStyle w:val="FootnoteReference"/>
        </w:rPr>
        <w:footnoteReference w:id="6"/>
      </w:r>
    </w:p>
    <w:p w14:paraId="40E5C566" w14:textId="77777777" w:rsidR="008E7846" w:rsidRDefault="00AA0ED0" w:rsidP="008E7846">
      <w:pPr>
        <w:pStyle w:val="Heading3"/>
      </w:pPr>
      <w:bookmarkStart w:id="51" w:name="_Toc247691531"/>
      <w:bookmarkStart w:id="52" w:name="_Toc314842515"/>
      <w:bookmarkStart w:id="53" w:name="_Toc196046505"/>
      <w:bookmarkStart w:id="54" w:name="_Toc196046949"/>
      <w:bookmarkStart w:id="55" w:name="_Toc32916150"/>
      <w:r>
        <w:t>Risk-benefit a</w:t>
      </w:r>
      <w:r w:rsidR="008E7846">
        <w:t>nalysis</w:t>
      </w:r>
      <w:bookmarkEnd w:id="51"/>
      <w:bookmarkEnd w:id="52"/>
      <w:bookmarkEnd w:id="55"/>
    </w:p>
    <w:p w14:paraId="49D2BF95" w14:textId="77777777" w:rsidR="00D23139" w:rsidRDefault="00B11F81" w:rsidP="00D23139">
      <w:pPr>
        <w:pStyle w:val="Heading4"/>
      </w:pPr>
      <w:r>
        <w:t>Delegate’s considerations</w:t>
      </w:r>
    </w:p>
    <w:p w14:paraId="350C95B0" w14:textId="77777777" w:rsidR="008B6F93" w:rsidRDefault="008B6F93" w:rsidP="00AA704F">
      <w:proofErr w:type="spellStart"/>
      <w:r w:rsidRPr="00FD47A9">
        <w:t>Glycophos</w:t>
      </w:r>
      <w:proofErr w:type="spellEnd"/>
      <w:r w:rsidRPr="00FD47A9">
        <w:t xml:space="preserve"> is a </w:t>
      </w:r>
      <w:r>
        <w:t xml:space="preserve">supplemental </w:t>
      </w:r>
      <w:r w:rsidRPr="00FD47A9">
        <w:t>source of phosp</w:t>
      </w:r>
      <w:r>
        <w:t xml:space="preserve">horous for patients receiving parenteral nutrition and currently ARTG registered as a component of </w:t>
      </w:r>
      <w:proofErr w:type="spellStart"/>
      <w:r>
        <w:t>Kabiven</w:t>
      </w:r>
      <w:proofErr w:type="spellEnd"/>
      <w:r>
        <w:t>. A</w:t>
      </w:r>
      <w:r w:rsidRPr="00497AEF">
        <w:t xml:space="preserve"> greater solubility </w:t>
      </w:r>
      <w:r>
        <w:t xml:space="preserve">compared to </w:t>
      </w:r>
      <w:r w:rsidRPr="00497AEF">
        <w:t>other phosphate sources</w:t>
      </w:r>
      <w:r>
        <w:t xml:space="preserve"> has been highlighted as a relevant importance to the patien</w:t>
      </w:r>
      <w:r w:rsidR="00AA704F">
        <w:t>t requiring parental nutrition.</w:t>
      </w:r>
    </w:p>
    <w:p w14:paraId="3ED7639E" w14:textId="77777777" w:rsidR="008B6F93" w:rsidRDefault="008B6F93" w:rsidP="00AA704F">
      <w:r>
        <w:t>Efficacy from clinical studies seems marginal</w:t>
      </w:r>
      <w:r w:rsidR="00AA704F">
        <w:t>,</w:t>
      </w:r>
      <w:r>
        <w:t xml:space="preserve"> and i</w:t>
      </w:r>
      <w:r w:rsidRPr="00386945">
        <w:t xml:space="preserve">n the literature </w:t>
      </w:r>
      <w:proofErr w:type="spellStart"/>
      <w:r w:rsidRPr="00386945">
        <w:t>Glycophos</w:t>
      </w:r>
      <w:proofErr w:type="spellEnd"/>
      <w:r w:rsidRPr="00386945">
        <w:t xml:space="preserve"> </w:t>
      </w:r>
      <w:r>
        <w:t xml:space="preserve">has </w:t>
      </w:r>
      <w:r w:rsidRPr="00386945">
        <w:t>showed improvement in preterm infants on bone density compared to no supplemental p</w:t>
      </w:r>
      <w:r w:rsidR="00AA704F">
        <w:t>hosphate, only with the use of ‘high dose’ as opposed to ‘low dose’</w:t>
      </w:r>
      <w:r w:rsidRPr="00386945">
        <w:t>.</w:t>
      </w:r>
    </w:p>
    <w:p w14:paraId="681586B4" w14:textId="77777777" w:rsidR="008B6F93" w:rsidRDefault="008B6F93" w:rsidP="00AA704F">
      <w:r>
        <w:t>Even though t</w:t>
      </w:r>
      <w:r w:rsidRPr="00C74430">
        <w:t xml:space="preserve">he number and duration of exposure in clinical trials, </w:t>
      </w:r>
      <w:r>
        <w:t xml:space="preserve">including the literature is low, there has been considerable post marketing exposure. In addition, </w:t>
      </w:r>
      <w:r w:rsidRPr="0000222C">
        <w:t>the sponsor reported none of the TEAEs, SAEs or deaths reported in the studies was assessed as being related to study treatment</w:t>
      </w:r>
      <w:r w:rsidR="00AA704F">
        <w:t>.</w:t>
      </w:r>
    </w:p>
    <w:p w14:paraId="1CDD8D38" w14:textId="77777777" w:rsidR="008B6F93" w:rsidRDefault="00AA704F" w:rsidP="00AA704F">
      <w:r>
        <w:t>The PI</w:t>
      </w:r>
      <w:r w:rsidR="008B6F93">
        <w:t xml:space="preserve"> was adequately amended </w:t>
      </w:r>
      <w:r>
        <w:t>to address the concerns of the D</w:t>
      </w:r>
      <w:r w:rsidR="008B6F93">
        <w:t>elegate and clini</w:t>
      </w:r>
      <w:r>
        <w:t>cal evaluator.</w:t>
      </w:r>
    </w:p>
    <w:p w14:paraId="7A7F7169" w14:textId="1A01624D" w:rsidR="00456765" w:rsidRPr="00456765" w:rsidRDefault="008B6F93" w:rsidP="00AA704F">
      <w:r>
        <w:rPr>
          <w:sz w:val="23"/>
          <w:szCs w:val="23"/>
        </w:rPr>
        <w:t>As the rec</w:t>
      </w:r>
      <w:r w:rsidR="00AA704F">
        <w:rPr>
          <w:sz w:val="23"/>
          <w:szCs w:val="23"/>
        </w:rPr>
        <w:t>ommended dosage are individualis</w:t>
      </w:r>
      <w:r>
        <w:rPr>
          <w:sz w:val="23"/>
          <w:szCs w:val="23"/>
        </w:rPr>
        <w:t>ed to each patient’s phosphorus status and needs, o</w:t>
      </w:r>
      <w:r w:rsidR="00AA704F">
        <w:t>verall the D</w:t>
      </w:r>
      <w:r>
        <w:t xml:space="preserve">elegate thinks that benefit-risk balance of </w:t>
      </w:r>
      <w:proofErr w:type="spellStart"/>
      <w:r>
        <w:t>Glycophos</w:t>
      </w:r>
      <w:proofErr w:type="spellEnd"/>
      <w:r>
        <w:t xml:space="preserve"> is positive given the </w:t>
      </w:r>
      <w:r w:rsidR="00AA704F">
        <w:rPr>
          <w:lang w:eastAsia="ja-JP"/>
        </w:rPr>
        <w:t xml:space="preserve">considerable (approximately </w:t>
      </w:r>
      <w:r w:rsidR="00B44758">
        <w:rPr>
          <w:lang w:eastAsia="ja-JP"/>
        </w:rPr>
        <w:t>6.4</w:t>
      </w:r>
      <w:r w:rsidR="00B44758" w:rsidRPr="005C309A">
        <w:rPr>
          <w:lang w:eastAsia="ja-JP"/>
        </w:rPr>
        <w:t xml:space="preserve"> </w:t>
      </w:r>
      <w:r w:rsidRPr="005C309A">
        <w:rPr>
          <w:lang w:eastAsia="ja-JP"/>
        </w:rPr>
        <w:t xml:space="preserve">million patients have been treated with </w:t>
      </w:r>
      <w:proofErr w:type="spellStart"/>
      <w:r w:rsidRPr="005C309A">
        <w:rPr>
          <w:lang w:eastAsia="ja-JP"/>
        </w:rPr>
        <w:t>Glycophos</w:t>
      </w:r>
      <w:proofErr w:type="spellEnd"/>
      <w:r>
        <w:rPr>
          <w:lang w:eastAsia="ja-JP"/>
        </w:rPr>
        <w:t xml:space="preserve">) post marketing history of exposure and need for </w:t>
      </w:r>
      <w:r>
        <w:t xml:space="preserve">supplemental </w:t>
      </w:r>
      <w:r w:rsidRPr="00FD47A9">
        <w:t>source of phosp</w:t>
      </w:r>
      <w:r>
        <w:t xml:space="preserve">horous for patients </w:t>
      </w:r>
      <w:r w:rsidR="00AA704F">
        <w:t>receiving parenteral nutrition.</w:t>
      </w:r>
    </w:p>
    <w:p w14:paraId="062EC1B5" w14:textId="77777777" w:rsidR="00D23139" w:rsidRDefault="00D23139" w:rsidP="00D23139">
      <w:pPr>
        <w:pStyle w:val="Heading4"/>
      </w:pPr>
      <w:r w:rsidRPr="00D23139">
        <w:t>Proposed action</w:t>
      </w:r>
    </w:p>
    <w:p w14:paraId="4AC9FA45" w14:textId="77777777" w:rsidR="00456765" w:rsidRPr="00456765" w:rsidRDefault="008B6F93" w:rsidP="00456765">
      <w:r>
        <w:t xml:space="preserve">Overall, </w:t>
      </w:r>
      <w:r w:rsidR="00AA704F">
        <w:t>the D</w:t>
      </w:r>
      <w:r w:rsidRPr="001D69F6">
        <w:t>elegate considers that sufficient data and ju</w:t>
      </w:r>
      <w:r>
        <w:t xml:space="preserve">stification have been provided </w:t>
      </w:r>
      <w:r w:rsidRPr="001D69F6">
        <w:t>to support the registration of</w:t>
      </w:r>
      <w:r>
        <w:t xml:space="preserve"> </w:t>
      </w:r>
      <w:proofErr w:type="spellStart"/>
      <w:r>
        <w:t>Glycophos</w:t>
      </w:r>
      <w:proofErr w:type="spellEnd"/>
      <w:r w:rsidRPr="001D69F6">
        <w:t xml:space="preserve"> on quality, safety and efficacy grounds for </w:t>
      </w:r>
      <w:r w:rsidRPr="00153066">
        <w:rPr>
          <w:rFonts w:asciiTheme="minorHAnsi" w:eastAsiaTheme="minorHAnsi" w:hAnsiTheme="minorHAnsi" w:cs="TimesNewRoman,Bold"/>
          <w:bCs/>
          <w:szCs w:val="24"/>
        </w:rPr>
        <w:t xml:space="preserve">the </w:t>
      </w:r>
      <w:r w:rsidRPr="00A64002">
        <w:rPr>
          <w:rFonts w:asciiTheme="minorHAnsi" w:eastAsiaTheme="minorHAnsi" w:hAnsiTheme="minorHAnsi" w:cs="TimesNewRoman,Bold"/>
          <w:bCs/>
          <w:szCs w:val="24"/>
        </w:rPr>
        <w:t>adult and paediatric patients as a supplement to parenteral nutrition to meet the daily requirements of phosphate.</w:t>
      </w:r>
    </w:p>
    <w:p w14:paraId="419307C7" w14:textId="77777777" w:rsidR="008E7846" w:rsidRDefault="008E7846" w:rsidP="008E7846">
      <w:pPr>
        <w:pStyle w:val="Heading4"/>
      </w:pPr>
      <w:r>
        <w:lastRenderedPageBreak/>
        <w:t>Advisory Committee Considerations</w:t>
      </w:r>
      <w:r w:rsidR="00456765">
        <w:rPr>
          <w:rStyle w:val="FootnoteReference"/>
        </w:rPr>
        <w:footnoteReference w:id="7"/>
      </w:r>
    </w:p>
    <w:p w14:paraId="409E278C" w14:textId="77777777" w:rsidR="00456765" w:rsidRPr="00A322B3" w:rsidRDefault="00456765" w:rsidP="008E7846">
      <w:r>
        <w:rPr>
          <w:bCs/>
        </w:rPr>
        <w:t>The Delegate did not refer this application to the Advisory Committee on Medicines (ACM) for advice.</w:t>
      </w:r>
    </w:p>
    <w:p w14:paraId="0E5FFFED" w14:textId="77777777" w:rsidR="008E7846" w:rsidRPr="002E238E" w:rsidRDefault="008E7846" w:rsidP="008E7846">
      <w:pPr>
        <w:pStyle w:val="Heading3"/>
      </w:pPr>
      <w:bookmarkStart w:id="56" w:name="_Toc247691532"/>
      <w:bookmarkStart w:id="57" w:name="_Toc314842516"/>
      <w:bookmarkStart w:id="58" w:name="_Toc32916151"/>
      <w:bookmarkEnd w:id="30"/>
      <w:bookmarkEnd w:id="53"/>
      <w:bookmarkEnd w:id="54"/>
      <w:r>
        <w:t>Outcome</w:t>
      </w:r>
      <w:bookmarkEnd w:id="56"/>
      <w:bookmarkEnd w:id="57"/>
      <w:bookmarkEnd w:id="58"/>
    </w:p>
    <w:p w14:paraId="13E9E750" w14:textId="01D88C27" w:rsidR="00D23139" w:rsidRPr="00D23139" w:rsidRDefault="00D23139" w:rsidP="00D23139">
      <w:bookmarkStart w:id="59" w:name="_Toc247691533"/>
      <w:bookmarkStart w:id="60" w:name="_Toc314842517"/>
      <w:r w:rsidRPr="00D23139">
        <w:t xml:space="preserve">Based on a review of quality, safety and efficacy, </w:t>
      </w:r>
      <w:r w:rsidR="001B65FD">
        <w:t xml:space="preserve">the </w:t>
      </w:r>
      <w:r w:rsidRPr="00D23139">
        <w:t xml:space="preserve">TGA approved the registration of </w:t>
      </w:r>
      <w:proofErr w:type="spellStart"/>
      <w:r w:rsidR="008B6F93">
        <w:t>Glycophos</w:t>
      </w:r>
      <w:proofErr w:type="spellEnd"/>
      <w:r w:rsidR="008B6F93">
        <w:t xml:space="preserve"> (sodium </w:t>
      </w:r>
      <w:proofErr w:type="spellStart"/>
      <w:r w:rsidR="008B6F93">
        <w:t>glycerophosphate</w:t>
      </w:r>
      <w:proofErr w:type="spellEnd"/>
      <w:r w:rsidR="008B6F93">
        <w:t xml:space="preserve"> (as hydrate) concentrated solution for injection</w:t>
      </w:r>
      <w:r w:rsidRPr="00D23139">
        <w:t>, indicated for:</w:t>
      </w:r>
    </w:p>
    <w:p w14:paraId="0F5BB518" w14:textId="77777777" w:rsidR="00D23139" w:rsidRPr="00D23139" w:rsidRDefault="008B6F93" w:rsidP="00AA704F">
      <w:pPr>
        <w:ind w:left="720"/>
      </w:pPr>
      <w:proofErr w:type="spellStart"/>
      <w:r w:rsidRPr="003F4AA6">
        <w:rPr>
          <w:i/>
        </w:rPr>
        <w:t>Glycophos</w:t>
      </w:r>
      <w:proofErr w:type="spellEnd"/>
      <w:r w:rsidRPr="003F4AA6">
        <w:rPr>
          <w:i/>
        </w:rPr>
        <w:t xml:space="preserve"> is indicated in adult and paediatric patients as a supplement to parenteral nutrition to meet the daily requirements of phosphate.</w:t>
      </w:r>
    </w:p>
    <w:p w14:paraId="4C3F02B4" w14:textId="77777777" w:rsidR="00D23139" w:rsidRPr="00D23139" w:rsidRDefault="00D23139" w:rsidP="00D23139">
      <w:pPr>
        <w:pStyle w:val="Heading4"/>
      </w:pPr>
      <w:r w:rsidRPr="00D23139">
        <w:t>Specific conditions of registration applying to these goods</w:t>
      </w:r>
    </w:p>
    <w:p w14:paraId="28579AF1" w14:textId="77777777" w:rsidR="009752A5" w:rsidRDefault="003F4AA6" w:rsidP="009752A5">
      <w:r w:rsidRPr="003E24A3">
        <w:t>For all injectable products the Product Information mu</w:t>
      </w:r>
      <w:r>
        <w:t xml:space="preserve">st be included with the product </w:t>
      </w:r>
      <w:r w:rsidRPr="003E24A3">
        <w:t>as a package insert.</w:t>
      </w:r>
    </w:p>
    <w:p w14:paraId="43DFEA70" w14:textId="77777777" w:rsidR="008E7846" w:rsidRDefault="00A80B5B" w:rsidP="00D23139">
      <w:pPr>
        <w:pStyle w:val="Heading2"/>
      </w:pPr>
      <w:bookmarkStart w:id="61" w:name="_Toc32916152"/>
      <w:r>
        <w:t xml:space="preserve">Attachment 1. </w:t>
      </w:r>
      <w:r w:rsidR="008E7846">
        <w:t xml:space="preserve">Product </w:t>
      </w:r>
      <w:r w:rsidR="00AA0ED0">
        <w:t>I</w:t>
      </w:r>
      <w:r w:rsidR="008E7846">
        <w:t>nformation</w:t>
      </w:r>
      <w:bookmarkEnd w:id="59"/>
      <w:bookmarkEnd w:id="60"/>
      <w:bookmarkEnd w:id="61"/>
    </w:p>
    <w:p w14:paraId="0031B132" w14:textId="77777777" w:rsidR="00770CAC" w:rsidRPr="008B6F93" w:rsidRDefault="006136D7" w:rsidP="008B6F93">
      <w:pPr>
        <w:rPr>
          <w:color w:val="000000"/>
          <w:lang w:eastAsia="en-AU"/>
        </w:rPr>
      </w:pPr>
      <w:r w:rsidRPr="002B3624">
        <w:t xml:space="preserve">The </w:t>
      </w:r>
      <w:r>
        <w:t>PI</w:t>
      </w:r>
      <w:r w:rsidRPr="002B3624">
        <w:t xml:space="preserve"> for </w:t>
      </w:r>
      <w:proofErr w:type="spellStart"/>
      <w:r w:rsidR="008B6F93">
        <w:t>Glycophos</w:t>
      </w:r>
      <w:proofErr w:type="spellEnd"/>
      <w:r w:rsidRPr="002B3624">
        <w:t xml:space="preserve"> </w:t>
      </w:r>
      <w:r>
        <w:t xml:space="preserve">approved with the submission which is described in </w:t>
      </w:r>
      <w:r w:rsidRPr="002B3624">
        <w:t xml:space="preserve">this AusPAR is at Attachment 1. For the most recent </w:t>
      </w:r>
      <w:r>
        <w:t>PI,</w:t>
      </w:r>
      <w:r w:rsidRPr="002B3624">
        <w:t xml:space="preserve"> please refer to the </w:t>
      </w:r>
      <w:r w:rsidRPr="007C6B9B">
        <w:t xml:space="preserve">TGA website at </w:t>
      </w:r>
      <w:r w:rsidR="007C6B9B" w:rsidRPr="007C6B9B">
        <w:t>&lt;</w:t>
      </w:r>
      <w:hyperlink r:id="rId18" w:history="1">
        <w:r w:rsidR="007C6B9B" w:rsidRPr="007C6B9B">
          <w:rPr>
            <w:rStyle w:val="Hyperlink"/>
          </w:rPr>
          <w:t>https://www.tga.gov.au/product-information-pi</w:t>
        </w:r>
      </w:hyperlink>
      <w:r w:rsidR="008B6F93">
        <w:t>&gt;.</w:t>
      </w:r>
    </w:p>
    <w:p w14:paraId="0D676ADD" w14:textId="77777777" w:rsidR="00291957" w:rsidRDefault="00291957" w:rsidP="00291957">
      <w:pPr>
        <w:rPr>
          <w:lang w:eastAsia="ja-JP"/>
        </w:rPr>
      </w:pPr>
    </w:p>
    <w:p w14:paraId="537B4D65" w14:textId="77777777" w:rsidR="00C80137" w:rsidRPr="001D043B" w:rsidRDefault="00C80137" w:rsidP="003A7F6C">
      <w:pPr>
        <w:pStyle w:val="TableTitle"/>
        <w:sectPr w:rsidR="00C80137" w:rsidRPr="001D043B" w:rsidSect="00B452CE">
          <w:headerReference w:type="even" r:id="rId19"/>
          <w:headerReference w:type="default" r:id="rId20"/>
          <w:headerReference w:type="first" r:id="rId21"/>
          <w:footerReference w:type="first" r:id="rId22"/>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0C34E7F" w14:textId="77777777" w:rsidTr="00A05FA4">
        <w:trPr>
          <w:trHeight w:hRule="exact" w:val="704"/>
        </w:trPr>
        <w:tc>
          <w:tcPr>
            <w:tcW w:w="9175" w:type="dxa"/>
          </w:tcPr>
          <w:p w14:paraId="3C54EADF" w14:textId="77777777" w:rsidR="001C32CD" w:rsidRPr="00487162" w:rsidRDefault="001C32CD" w:rsidP="00A05FA4">
            <w:pPr>
              <w:pStyle w:val="TGASignoff"/>
            </w:pPr>
            <w:r w:rsidRPr="00487162">
              <w:lastRenderedPageBreak/>
              <w:t>Therapeutic Goods Administration</w:t>
            </w:r>
          </w:p>
        </w:tc>
      </w:tr>
      <w:tr w:rsidR="001C32CD" w:rsidRPr="004C239D" w14:paraId="4D9B8C2F" w14:textId="77777777" w:rsidTr="00A05FA4">
        <w:trPr>
          <w:trHeight w:val="1221"/>
        </w:trPr>
        <w:tc>
          <w:tcPr>
            <w:tcW w:w="9175" w:type="dxa"/>
            <w:tcMar>
              <w:top w:w="28" w:type="dxa"/>
            </w:tcMar>
          </w:tcPr>
          <w:p w14:paraId="7FA71DAC" w14:textId="77777777" w:rsidR="001C32CD" w:rsidRPr="00487162" w:rsidRDefault="001C32CD" w:rsidP="00A05FA4">
            <w:pPr>
              <w:pStyle w:val="Address"/>
            </w:pPr>
            <w:r w:rsidRPr="00487162">
              <w:t>PO Box 100 Woden ACT 2606 Australia</w:t>
            </w:r>
          </w:p>
          <w:p w14:paraId="492A50E3" w14:textId="77777777" w:rsidR="001C32CD" w:rsidRPr="00487162" w:rsidRDefault="001C32CD" w:rsidP="00A05FA4">
            <w:pPr>
              <w:pStyle w:val="Address"/>
            </w:pPr>
            <w:r w:rsidRPr="00487162">
              <w:t xml:space="preserve">Email: </w:t>
            </w:r>
            <w:hyperlink r:id="rId23" w:history="1">
              <w:r w:rsidRPr="004C239D">
                <w:rPr>
                  <w:rStyle w:val="Hyperlink"/>
                </w:rPr>
                <w:t>info@tga.gov.au</w:t>
              </w:r>
            </w:hyperlink>
            <w:r w:rsidRPr="00487162">
              <w:t xml:space="preserve">  Phone: 1800 020 653  Fax: 02 6232 8605</w:t>
            </w:r>
          </w:p>
          <w:p w14:paraId="776DE29D" w14:textId="77777777" w:rsidR="001C32CD" w:rsidRPr="004C239D" w:rsidRDefault="00C73AE8" w:rsidP="00A05FA4">
            <w:pPr>
              <w:pStyle w:val="Address"/>
              <w:spacing w:line="260" w:lineRule="atLeast"/>
              <w:rPr>
                <w:b/>
                <w:color w:val="0000FF"/>
                <w:u w:val="single"/>
              </w:rPr>
            </w:pPr>
            <w:hyperlink r:id="rId24" w:history="1">
              <w:r w:rsidR="007C6B9B" w:rsidRPr="007C6B9B">
                <w:rPr>
                  <w:rStyle w:val="Hyperlink"/>
                  <w:b/>
                </w:rPr>
                <w:t>https://www.tga.gov.au</w:t>
              </w:r>
            </w:hyperlink>
          </w:p>
        </w:tc>
      </w:tr>
    </w:tbl>
    <w:p w14:paraId="635DB752" w14:textId="77777777" w:rsidR="00774E1D" w:rsidRPr="008A5E0B" w:rsidRDefault="00774E1D" w:rsidP="004C239D"/>
    <w:sectPr w:rsidR="00774E1D" w:rsidRPr="008A5E0B" w:rsidSect="001C32CD">
      <w:headerReference w:type="even" r:id="rId25"/>
      <w:headerReference w:type="default" r:id="rId26"/>
      <w:footerReference w:type="default" r:id="rId27"/>
      <w:headerReference w:type="first" r:id="rId28"/>
      <w:footerReference w:type="first" r:id="rId29"/>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514482" w16cid:durableId="21D55416"/>
  <w16cid:commentId w16cid:paraId="0ABDF19E" w16cid:durableId="21D555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CA90" w14:textId="77777777" w:rsidR="00971C54" w:rsidRDefault="00971C54" w:rsidP="00C40A36">
      <w:pPr>
        <w:spacing w:after="0"/>
      </w:pPr>
      <w:r>
        <w:separator/>
      </w:r>
    </w:p>
  </w:endnote>
  <w:endnote w:type="continuationSeparator" w:id="0">
    <w:p w14:paraId="76FB51B0" w14:textId="77777777" w:rsidR="00971C54" w:rsidRDefault="00971C5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A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NewRoman,Bold">
    <w:panose1 w:val="00000000000000000000"/>
    <w:charset w:val="00"/>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A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F6EADD" w14:textId="77777777" w:rsidR="00C80AC5" w:rsidRDefault="00C80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971C54" w:rsidRPr="00487162" w14:paraId="4260D7C3" w14:textId="77777777" w:rsidTr="00DB750B">
      <w:trPr>
        <w:trHeight w:val="269"/>
      </w:trPr>
      <w:tc>
        <w:tcPr>
          <w:tcW w:w="7371" w:type="dxa"/>
          <w:tcMar>
            <w:top w:w="142" w:type="dxa"/>
            <w:bottom w:w="0" w:type="dxa"/>
          </w:tcMar>
        </w:tcPr>
        <w:p w14:paraId="642DC437" w14:textId="4DE3BFA8" w:rsidR="00971C54" w:rsidRPr="00487162" w:rsidRDefault="00971C54" w:rsidP="008A32DC">
          <w:pPr>
            <w:pStyle w:val="Footer"/>
          </w:pPr>
          <w:r w:rsidRPr="00487162">
            <w:t>AusPA</w:t>
          </w:r>
          <w:r>
            <w:t xml:space="preserve">R - </w:t>
          </w:r>
          <w:r w:rsidRPr="003F4AA6">
            <w:t xml:space="preserve">GLYCOPHOS - Sodium </w:t>
          </w:r>
          <w:proofErr w:type="spellStart"/>
          <w:r w:rsidRPr="003F4AA6">
            <w:t>glycerophosphate</w:t>
          </w:r>
          <w:proofErr w:type="spellEnd"/>
          <w:r w:rsidRPr="003F4AA6">
            <w:t xml:space="preserve"> (as hydrate) - Fresenius </w:t>
          </w:r>
          <w:proofErr w:type="spellStart"/>
          <w:r w:rsidRPr="003F4AA6">
            <w:t>Kabi</w:t>
          </w:r>
          <w:proofErr w:type="spellEnd"/>
          <w:r w:rsidRPr="003F4AA6">
            <w:t xml:space="preserve"> Australia Pty Ltd - PM-2018-04249-1-1</w:t>
          </w:r>
          <w:r>
            <w:br/>
          </w:r>
          <w:r w:rsidR="008A32DC">
            <w:t>FINAL 13 February</w:t>
          </w:r>
          <w:r>
            <w:t xml:space="preserve"> 2020</w:t>
          </w:r>
        </w:p>
      </w:tc>
      <w:tc>
        <w:tcPr>
          <w:tcW w:w="1490" w:type="dxa"/>
          <w:tcMar>
            <w:top w:w="142" w:type="dxa"/>
            <w:bottom w:w="0" w:type="dxa"/>
          </w:tcMar>
        </w:tcPr>
        <w:p w14:paraId="4ACD55C9" w14:textId="7923176D" w:rsidR="00971C54" w:rsidRPr="00487162" w:rsidRDefault="00971C54" w:rsidP="00DB750B">
          <w:pPr>
            <w:pStyle w:val="Footer"/>
            <w:jc w:val="right"/>
          </w:pPr>
          <w:r w:rsidRPr="00487162">
            <w:t xml:space="preserve">Page </w:t>
          </w:r>
          <w:r>
            <w:fldChar w:fldCharType="begin"/>
          </w:r>
          <w:r>
            <w:instrText xml:space="preserve"> PAGE  \* Arabic </w:instrText>
          </w:r>
          <w:r>
            <w:fldChar w:fldCharType="separate"/>
          </w:r>
          <w:r w:rsidR="00C73AE8">
            <w:rPr>
              <w:noProof/>
            </w:rPr>
            <w:t>12</w:t>
          </w:r>
          <w:r>
            <w:fldChar w:fldCharType="end"/>
          </w:r>
          <w:r w:rsidRPr="00487162">
            <w:t xml:space="preserve"> of </w:t>
          </w:r>
          <w:r w:rsidR="00C73AE8">
            <w:fldChar w:fldCharType="begin"/>
          </w:r>
          <w:r w:rsidR="00C73AE8">
            <w:instrText xml:space="preserve"> NUMPAGES  \* Arabic </w:instrText>
          </w:r>
          <w:r w:rsidR="00C73AE8">
            <w:fldChar w:fldCharType="separate"/>
          </w:r>
          <w:r w:rsidR="00C73AE8">
            <w:rPr>
              <w:noProof/>
            </w:rPr>
            <w:t>13</w:t>
          </w:r>
          <w:r w:rsidR="00C73AE8">
            <w:rPr>
              <w:noProof/>
            </w:rPr>
            <w:fldChar w:fldCharType="end"/>
          </w:r>
        </w:p>
      </w:tc>
    </w:tr>
  </w:tbl>
  <w:p w14:paraId="18422238" w14:textId="77777777" w:rsidR="00971C54" w:rsidRDefault="00971C54" w:rsidP="003D1E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B2DF2" w14:textId="77777777" w:rsidR="00C80AC5" w:rsidRDefault="00C80A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971C54" w:rsidRPr="00487162" w14:paraId="4C65F2F0" w14:textId="77777777" w:rsidTr="00E45619">
      <w:trPr>
        <w:trHeight w:val="269"/>
      </w:trPr>
      <w:tc>
        <w:tcPr>
          <w:tcW w:w="4519" w:type="dxa"/>
          <w:tcBorders>
            <w:top w:val="single" w:sz="4" w:space="0" w:color="auto"/>
          </w:tcBorders>
          <w:tcMar>
            <w:top w:w="142" w:type="dxa"/>
            <w:bottom w:w="0" w:type="dxa"/>
          </w:tcMar>
        </w:tcPr>
        <w:p w14:paraId="268AE0DE" w14:textId="77777777" w:rsidR="00971C54" w:rsidRPr="00487162" w:rsidRDefault="00971C54" w:rsidP="00FE1DEE">
          <w:pPr>
            <w:pStyle w:val="Footer"/>
          </w:pPr>
          <w:r w:rsidRPr="00487162">
            <w:t>Document title, Part #, Section # - Section title</w:t>
          </w:r>
        </w:p>
        <w:p w14:paraId="38E15A39" w14:textId="77777777" w:rsidR="00971C54" w:rsidRPr="00487162" w:rsidRDefault="00971C54" w:rsidP="00FE1DEE">
          <w:pPr>
            <w:pStyle w:val="Footer"/>
          </w:pPr>
          <w:r w:rsidRPr="00487162">
            <w:t>V1.0 October 2010</w:t>
          </w:r>
        </w:p>
      </w:tc>
      <w:tc>
        <w:tcPr>
          <w:tcW w:w="4342" w:type="dxa"/>
          <w:tcBorders>
            <w:top w:val="single" w:sz="4" w:space="0" w:color="auto"/>
          </w:tcBorders>
          <w:tcMar>
            <w:top w:w="142" w:type="dxa"/>
            <w:bottom w:w="0" w:type="dxa"/>
          </w:tcMar>
        </w:tcPr>
        <w:p w14:paraId="384F11AD" w14:textId="77777777" w:rsidR="00971C54" w:rsidRPr="00487162" w:rsidRDefault="00971C5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r w:rsidR="00C73AE8">
            <w:fldChar w:fldCharType="begin"/>
          </w:r>
          <w:r w:rsidR="00C73AE8">
            <w:instrText xml:space="preserve"> NUMPAGES  </w:instrText>
          </w:r>
          <w:r w:rsidR="00C73AE8">
            <w:fldChar w:fldCharType="separate"/>
          </w:r>
          <w:r>
            <w:rPr>
              <w:noProof/>
            </w:rPr>
            <w:t>3</w:t>
          </w:r>
          <w:r w:rsidR="00C73AE8">
            <w:rPr>
              <w:noProof/>
            </w:rPr>
            <w:fldChar w:fldCharType="end"/>
          </w:r>
        </w:p>
      </w:tc>
    </w:tr>
  </w:tbl>
  <w:p w14:paraId="7E25B9E6" w14:textId="77777777" w:rsidR="00971C54" w:rsidRDefault="00971C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164C4" w14:textId="77777777" w:rsidR="00971C54" w:rsidRPr="001C32CD" w:rsidRDefault="00971C54" w:rsidP="001C3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971C54" w14:paraId="04A493A4" w14:textId="77777777" w:rsidTr="0010601F">
      <w:trPr>
        <w:trHeight w:val="108"/>
      </w:trPr>
      <w:tc>
        <w:tcPr>
          <w:tcW w:w="8875" w:type="dxa"/>
          <w:gridSpan w:val="2"/>
          <w:tcBorders>
            <w:bottom w:val="single" w:sz="4" w:space="0" w:color="auto"/>
          </w:tcBorders>
          <w:tcMar>
            <w:right w:w="284" w:type="dxa"/>
          </w:tcMar>
        </w:tcPr>
        <w:p w14:paraId="49FD92ED" w14:textId="77777777" w:rsidR="00971C54" w:rsidRDefault="00971C54" w:rsidP="006E08B3">
          <w:pPr>
            <w:pStyle w:val="Heading3"/>
          </w:pPr>
          <w:r>
            <w:t>Copyright</w:t>
          </w:r>
        </w:p>
        <w:p w14:paraId="1FFA6025" w14:textId="77777777" w:rsidR="00971C54" w:rsidRDefault="00971C54" w:rsidP="006E08B3">
          <w:r>
            <w:rPr>
              <w:rFonts w:cs="Arial"/>
            </w:rPr>
            <w:t>©</w:t>
          </w:r>
          <w:r>
            <w:t xml:space="preserve"> Commonwealth of Australia [add year]</w:t>
          </w:r>
        </w:p>
        <w:p w14:paraId="6347414F" w14:textId="77777777" w:rsidR="00971C54" w:rsidRDefault="00971C54" w:rsidP="006E08B3"/>
        <w:p w14:paraId="3FA153AF" w14:textId="77777777" w:rsidR="00971C54" w:rsidRDefault="00971C5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2B142E34" w14:textId="77777777" w:rsidR="00971C54" w:rsidRDefault="00971C54" w:rsidP="006E08B3"/>
        <w:p w14:paraId="403D3B43" w14:textId="77777777" w:rsidR="00971C54" w:rsidRDefault="00971C54" w:rsidP="006E08B3">
          <w:pPr>
            <w:pStyle w:val="Heading3"/>
          </w:pPr>
          <w:r>
            <w:t>Confidentiality</w:t>
          </w:r>
        </w:p>
        <w:p w14:paraId="08173FED" w14:textId="77777777" w:rsidR="00971C54" w:rsidRDefault="00971C5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EFC1E9E" w14:textId="77777777" w:rsidR="00971C54" w:rsidRDefault="00971C54" w:rsidP="006E08B3"/>
        <w:p w14:paraId="292F8418" w14:textId="77777777" w:rsidR="00971C54" w:rsidRDefault="00971C54" w:rsidP="006E08B3">
          <w:r>
            <w:t>For submission made by individuals, all personal details, other than your name, will be removed from your submission before it is published on the TGA’s Internet site.</w:t>
          </w:r>
        </w:p>
        <w:p w14:paraId="1EEB4764" w14:textId="77777777" w:rsidR="00971C54" w:rsidRDefault="00971C54" w:rsidP="006E08B3"/>
        <w:p w14:paraId="431E836C" w14:textId="77777777" w:rsidR="00971C54" w:rsidRDefault="00971C5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971C54" w14:paraId="2EB6FBF5" w14:textId="77777777" w:rsidTr="0010601F">
      <w:trPr>
        <w:trHeight w:val="417"/>
      </w:trPr>
      <w:tc>
        <w:tcPr>
          <w:tcW w:w="4519" w:type="dxa"/>
          <w:tcBorders>
            <w:top w:val="single" w:sz="4" w:space="0" w:color="auto"/>
          </w:tcBorders>
          <w:tcMar>
            <w:top w:w="142" w:type="dxa"/>
            <w:bottom w:w="0" w:type="dxa"/>
          </w:tcMar>
        </w:tcPr>
        <w:p w14:paraId="38C0A00B" w14:textId="77777777" w:rsidR="00971C54" w:rsidRDefault="00971C54" w:rsidP="006E08B3">
          <w:r>
            <w:t>Document title, Part #, Section # - Section title</w:t>
          </w:r>
        </w:p>
        <w:p w14:paraId="50C898F1" w14:textId="77777777" w:rsidR="00971C54" w:rsidRDefault="00971C54" w:rsidP="006E08B3">
          <w:r>
            <w:t>V1.0 October 2010</w:t>
          </w:r>
        </w:p>
      </w:tc>
      <w:tc>
        <w:tcPr>
          <w:tcW w:w="4356" w:type="dxa"/>
          <w:tcBorders>
            <w:top w:val="single" w:sz="4" w:space="0" w:color="auto"/>
          </w:tcBorders>
          <w:tcMar>
            <w:top w:w="142" w:type="dxa"/>
            <w:bottom w:w="0" w:type="dxa"/>
          </w:tcMar>
        </w:tcPr>
        <w:p w14:paraId="3AA03250" w14:textId="77777777" w:rsidR="00971C54" w:rsidRDefault="00971C5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r w:rsidR="00C73AE8">
            <w:fldChar w:fldCharType="begin"/>
          </w:r>
          <w:r w:rsidR="00C73AE8">
            <w:instrText xml:space="preserve"> NUMPAGES  \* Arabic </w:instrText>
          </w:r>
          <w:r w:rsidR="00C73AE8">
            <w:fldChar w:fldCharType="separate"/>
          </w:r>
          <w:r>
            <w:rPr>
              <w:noProof/>
            </w:rPr>
            <w:t>3</w:t>
          </w:r>
          <w:r w:rsidR="00C73AE8">
            <w:rPr>
              <w:noProof/>
            </w:rPr>
            <w:fldChar w:fldCharType="end"/>
          </w:r>
          <w:r>
            <w:t xml:space="preserve">  </w:t>
          </w:r>
        </w:p>
      </w:tc>
    </w:tr>
  </w:tbl>
  <w:p w14:paraId="3CECB820" w14:textId="77777777" w:rsidR="00971C54" w:rsidRDefault="00971C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2C071" w14:textId="77777777" w:rsidR="00971C54" w:rsidRDefault="00971C54" w:rsidP="00C40A36">
      <w:pPr>
        <w:spacing w:after="0"/>
      </w:pPr>
      <w:r>
        <w:separator/>
      </w:r>
    </w:p>
  </w:footnote>
  <w:footnote w:type="continuationSeparator" w:id="0">
    <w:p w14:paraId="03183A16" w14:textId="77777777" w:rsidR="00971C54" w:rsidRDefault="00971C54" w:rsidP="00C40A36">
      <w:pPr>
        <w:spacing w:after="0"/>
      </w:pPr>
      <w:r>
        <w:continuationSeparator/>
      </w:r>
    </w:p>
  </w:footnote>
  <w:footnote w:id="1">
    <w:p w14:paraId="3C8D4F40" w14:textId="77777777" w:rsidR="00971C54" w:rsidRDefault="00971C54">
      <w:pPr>
        <w:pStyle w:val="FootnoteText"/>
      </w:pPr>
      <w:r>
        <w:rPr>
          <w:rStyle w:val="FootnoteReference"/>
        </w:rPr>
        <w:footnoteRef/>
      </w:r>
      <w:r>
        <w:t xml:space="preserve"> </w:t>
      </w:r>
      <w:proofErr w:type="spellStart"/>
      <w:r>
        <w:t>Mazouri</w:t>
      </w:r>
      <w:proofErr w:type="spellEnd"/>
      <w:r>
        <w:t>, A. et al. Does adding intravenous phosphorus (</w:t>
      </w:r>
      <w:proofErr w:type="spellStart"/>
      <w:r>
        <w:t>Glycophos</w:t>
      </w:r>
      <w:proofErr w:type="spellEnd"/>
      <w:r>
        <w:t xml:space="preserve">) to parenteral nutrition has any effects on calcium and phosphorus metabolism and bone mineral content in preterm neonates? </w:t>
      </w:r>
      <w:proofErr w:type="spellStart"/>
      <w:r w:rsidRPr="00644427">
        <w:rPr>
          <w:i/>
        </w:rPr>
        <w:t>Acta</w:t>
      </w:r>
      <w:proofErr w:type="spellEnd"/>
      <w:r w:rsidRPr="00644427">
        <w:rPr>
          <w:i/>
        </w:rPr>
        <w:t xml:space="preserve"> </w:t>
      </w:r>
      <w:proofErr w:type="spellStart"/>
      <w:r w:rsidRPr="00644427">
        <w:rPr>
          <w:i/>
        </w:rPr>
        <w:t>Medica</w:t>
      </w:r>
      <w:proofErr w:type="spellEnd"/>
      <w:r w:rsidRPr="00644427">
        <w:rPr>
          <w:i/>
        </w:rPr>
        <w:t xml:space="preserve"> </w:t>
      </w:r>
      <w:proofErr w:type="spellStart"/>
      <w:r w:rsidRPr="00644427">
        <w:rPr>
          <w:i/>
        </w:rPr>
        <w:t>Iranica</w:t>
      </w:r>
      <w:proofErr w:type="spellEnd"/>
      <w:r>
        <w:t>, 2017; 55: 395-398.</w:t>
      </w:r>
    </w:p>
  </w:footnote>
  <w:footnote w:id="2">
    <w:p w14:paraId="14260D77" w14:textId="77777777" w:rsidR="00971C54" w:rsidRDefault="00971C54">
      <w:pPr>
        <w:pStyle w:val="FootnoteText"/>
      </w:pPr>
      <w:r>
        <w:rPr>
          <w:rStyle w:val="FootnoteReference"/>
        </w:rPr>
        <w:footnoteRef/>
      </w:r>
      <w:r>
        <w:t xml:space="preserve"> Pereira-da-Silva, L. et al. Early high calcium and phosphorus (</w:t>
      </w:r>
      <w:proofErr w:type="spellStart"/>
      <w:r>
        <w:t>Glycophos</w:t>
      </w:r>
      <w:proofErr w:type="spellEnd"/>
      <w:r>
        <w:t xml:space="preserve">) intake by parenteral nutrition prevents short-term bone strength decline in preterm infants. </w:t>
      </w:r>
      <w:r w:rsidRPr="00644427">
        <w:rPr>
          <w:i/>
        </w:rPr>
        <w:t xml:space="preserve">J </w:t>
      </w:r>
      <w:proofErr w:type="spellStart"/>
      <w:r w:rsidRPr="00644427">
        <w:rPr>
          <w:i/>
        </w:rPr>
        <w:t>Pediatr</w:t>
      </w:r>
      <w:proofErr w:type="spellEnd"/>
      <w:r w:rsidRPr="00644427">
        <w:rPr>
          <w:i/>
        </w:rPr>
        <w:t xml:space="preserve"> </w:t>
      </w:r>
      <w:proofErr w:type="spellStart"/>
      <w:r w:rsidRPr="00644427">
        <w:rPr>
          <w:i/>
        </w:rPr>
        <w:t>Gastroenterol</w:t>
      </w:r>
      <w:proofErr w:type="spellEnd"/>
      <w:r w:rsidRPr="00644427">
        <w:rPr>
          <w:i/>
        </w:rPr>
        <w:t xml:space="preserve"> </w:t>
      </w:r>
      <w:proofErr w:type="spellStart"/>
      <w:r w:rsidRPr="00644427">
        <w:rPr>
          <w:i/>
        </w:rPr>
        <w:t>Nutr</w:t>
      </w:r>
      <w:proofErr w:type="spellEnd"/>
      <w:r>
        <w:t>. 2011; 52:203-209.</w:t>
      </w:r>
    </w:p>
  </w:footnote>
  <w:footnote w:id="3">
    <w:p w14:paraId="12DF3F16" w14:textId="77777777" w:rsidR="00971C54" w:rsidRDefault="00971C54">
      <w:pPr>
        <w:pStyle w:val="FootnoteText"/>
      </w:pPr>
      <w:r>
        <w:rPr>
          <w:rStyle w:val="FootnoteReference"/>
        </w:rPr>
        <w:footnoteRef/>
      </w:r>
      <w:r>
        <w:t xml:space="preserve"> </w:t>
      </w:r>
      <w:proofErr w:type="spellStart"/>
      <w:r>
        <w:rPr>
          <w:lang w:eastAsia="ja-JP"/>
        </w:rPr>
        <w:t>Schildt</w:t>
      </w:r>
      <w:proofErr w:type="spellEnd"/>
      <w:r>
        <w:rPr>
          <w:lang w:eastAsia="ja-JP"/>
        </w:rPr>
        <w:t xml:space="preserve"> et al, </w:t>
      </w:r>
      <w:proofErr w:type="spellStart"/>
      <w:r>
        <w:rPr>
          <w:lang w:eastAsia="ja-JP"/>
        </w:rPr>
        <w:t>Addex</w:t>
      </w:r>
      <w:proofErr w:type="spellEnd"/>
      <w:r>
        <w:rPr>
          <w:lang w:eastAsia="ja-JP"/>
        </w:rPr>
        <w:t xml:space="preserve"> electrolyte in total parenteral nutrition. Report L366 G3, 1982.</w:t>
      </w:r>
    </w:p>
  </w:footnote>
  <w:footnote w:id="4">
    <w:p w14:paraId="1983F2F4" w14:textId="77777777" w:rsidR="00971C54" w:rsidRDefault="00971C54">
      <w:pPr>
        <w:pStyle w:val="FootnoteText"/>
      </w:pPr>
      <w:r>
        <w:rPr>
          <w:rStyle w:val="FootnoteReference"/>
        </w:rPr>
        <w:footnoteRef/>
      </w:r>
      <w:r>
        <w:t xml:space="preserve"> As per the clinical study report</w:t>
      </w:r>
      <w:r w:rsidR="00424775">
        <w:t xml:space="preserve"> for Study 90-024-00</w:t>
      </w:r>
      <w:r>
        <w:t>.</w:t>
      </w:r>
    </w:p>
  </w:footnote>
  <w:footnote w:id="5">
    <w:p w14:paraId="760C4AD0" w14:textId="77777777" w:rsidR="00971C54" w:rsidRDefault="00971C54">
      <w:pPr>
        <w:pStyle w:val="FootnoteText"/>
      </w:pPr>
      <w:r>
        <w:rPr>
          <w:rStyle w:val="FootnoteReference"/>
        </w:rPr>
        <w:footnoteRef/>
      </w:r>
      <w:r>
        <w:t xml:space="preserve"> As per the clinical study report</w:t>
      </w:r>
      <w:r w:rsidR="00424775">
        <w:t xml:space="preserve"> for Study 91-114</w:t>
      </w:r>
      <w:r>
        <w:t>.</w:t>
      </w:r>
    </w:p>
  </w:footnote>
  <w:footnote w:id="6">
    <w:p w14:paraId="509EF50A" w14:textId="77777777" w:rsidR="00971C54" w:rsidRDefault="00971C54" w:rsidP="00165DA7">
      <w:pPr>
        <w:pStyle w:val="FootnoteText"/>
      </w:pPr>
      <w:r>
        <w:rPr>
          <w:rStyle w:val="FootnoteReference"/>
        </w:rPr>
        <w:footnoteRef/>
      </w:r>
      <w:r>
        <w:t xml:space="preserve"> The sponsor </w:t>
      </w:r>
      <w:r w:rsidRPr="006B481F">
        <w:t>must still comply with routine product vigilance and risk minimisation requirements.</w:t>
      </w:r>
    </w:p>
  </w:footnote>
  <w:footnote w:id="7">
    <w:p w14:paraId="7D2B54A0" w14:textId="77777777" w:rsidR="00971C54" w:rsidRDefault="00971C54"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025A6FB8" w14:textId="77777777" w:rsidR="00971C54" w:rsidRPr="00456765" w:rsidRDefault="00971C54"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E76D7" w14:textId="77777777" w:rsidR="00C80AC5" w:rsidRDefault="00C80A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8123" w14:textId="77777777" w:rsidR="00971C54" w:rsidRDefault="00971C54" w:rsidP="00E45619">
    <w:pPr>
      <w:pStyle w:val="Header"/>
    </w:pPr>
    <w: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09738" w14:textId="77777777" w:rsidR="00971C54" w:rsidRDefault="00971C54">
    <w:pPr>
      <w:rPr>
        <w:noProof/>
        <w:lang w:eastAsia="en-AU"/>
      </w:rPr>
    </w:pPr>
    <w:r w:rsidRPr="00347824">
      <w:rPr>
        <w:noProof/>
        <w:lang w:eastAsia="en-AU"/>
      </w:rPr>
      <w:drawing>
        <wp:anchor distT="0" distB="0" distL="114300" distR="114300" simplePos="0" relativeHeight="251659264" behindDoc="1" locked="0" layoutInCell="1" allowOverlap="1" wp14:anchorId="680175EF" wp14:editId="1B162F1D">
          <wp:simplePos x="0" y="0"/>
          <wp:positionH relativeFrom="column">
            <wp:posOffset>-1089660</wp:posOffset>
          </wp:positionH>
          <wp:positionV relativeFrom="paragraph">
            <wp:posOffset>-585470</wp:posOffset>
          </wp:positionV>
          <wp:extent cx="7572375" cy="10706100"/>
          <wp:effectExtent l="19050" t="0" r="0" b="0"/>
          <wp:wrapNone/>
          <wp:docPr id="5"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8F620F9" w14:textId="77777777" w:rsidR="00971C54" w:rsidRDefault="00971C54" w:rsidP="00593AD1">
    <w:pPr>
      <w:pStyle w:val="HeaderNoLine"/>
    </w:pPr>
    <w:r>
      <w:rPr>
        <w:noProof/>
        <w:lang w:eastAsia="en-AU"/>
      </w:rPr>
      <w:drawing>
        <wp:inline distT="0" distB="0" distL="0" distR="0" wp14:anchorId="3D1A247B" wp14:editId="2EF65E52">
          <wp:extent cx="5400675" cy="7639050"/>
          <wp:effectExtent l="0" t="0" r="9525" b="0"/>
          <wp:docPr id="6" name="Picture 6"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20A67" w14:textId="77777777" w:rsidR="00971C54" w:rsidRDefault="00971C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B2551" w14:textId="77777777" w:rsidR="00971C54" w:rsidRDefault="00971C54">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70E1A" w14:textId="77777777" w:rsidR="00971C54" w:rsidRDefault="00971C54">
    <w:pPr>
      <w:pStyle w:val="Header"/>
    </w:pPr>
    <w:r>
      <w:t>Therapeutic Goods Administration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5C15" w14:textId="77777777" w:rsidR="00971C54" w:rsidRDefault="00971C5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B9BEB" w14:textId="77777777" w:rsidR="00971C54" w:rsidRDefault="00971C54" w:rsidP="004C239D">
    <w:pPr>
      <w:pStyle w:val="HeaderNoLin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743C1" w14:textId="77777777" w:rsidR="00971C54" w:rsidRDefault="00971C54" w:rsidP="006E08B3">
    <w:r>
      <w:t>Therapeutic Goods Administration</w:t>
    </w:r>
  </w:p>
  <w:p w14:paraId="4D1F06B3" w14:textId="77777777" w:rsidR="00971C54" w:rsidRDefault="00971C54"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DADA8B40"/>
    <w:styleLink w:val="ListBullets"/>
    <w:lvl w:ilvl="0">
      <w:numFmt w:val="bullet"/>
      <w:pStyle w:val="ListBullet"/>
      <w:lvlText w:val="•"/>
      <w:lvlJc w:val="left"/>
      <w:pPr>
        <w:ind w:left="360" w:hanging="360"/>
      </w:pPr>
      <w:rPr>
        <w:rFonts w:ascii="Cambria" w:eastAsia="Cambria" w:hAnsi="Cambria" w:cs="Times New Roman"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6"/>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36"/>
    <w:rsid w:val="00002031"/>
    <w:rsid w:val="00004734"/>
    <w:rsid w:val="00006B22"/>
    <w:rsid w:val="0001276A"/>
    <w:rsid w:val="000246AE"/>
    <w:rsid w:val="00025C67"/>
    <w:rsid w:val="00044772"/>
    <w:rsid w:val="0004541C"/>
    <w:rsid w:val="0005559E"/>
    <w:rsid w:val="000604D6"/>
    <w:rsid w:val="000734D8"/>
    <w:rsid w:val="00077775"/>
    <w:rsid w:val="00090471"/>
    <w:rsid w:val="000948A8"/>
    <w:rsid w:val="00096AA7"/>
    <w:rsid w:val="000A3AED"/>
    <w:rsid w:val="000B3532"/>
    <w:rsid w:val="000B3A75"/>
    <w:rsid w:val="000C00C2"/>
    <w:rsid w:val="000C690F"/>
    <w:rsid w:val="000D1295"/>
    <w:rsid w:val="000D391B"/>
    <w:rsid w:val="000D3D6D"/>
    <w:rsid w:val="000D4FC7"/>
    <w:rsid w:val="000E6196"/>
    <w:rsid w:val="000F4869"/>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1181"/>
    <w:rsid w:val="00162D14"/>
    <w:rsid w:val="00163780"/>
    <w:rsid w:val="00165389"/>
    <w:rsid w:val="00165DA7"/>
    <w:rsid w:val="0017693F"/>
    <w:rsid w:val="0018110E"/>
    <w:rsid w:val="00181684"/>
    <w:rsid w:val="001843C6"/>
    <w:rsid w:val="001850E0"/>
    <w:rsid w:val="00190689"/>
    <w:rsid w:val="001A03AF"/>
    <w:rsid w:val="001A2158"/>
    <w:rsid w:val="001A525F"/>
    <w:rsid w:val="001B09F9"/>
    <w:rsid w:val="001B5C90"/>
    <w:rsid w:val="001B6448"/>
    <w:rsid w:val="001B65FD"/>
    <w:rsid w:val="001C32CD"/>
    <w:rsid w:val="001D2984"/>
    <w:rsid w:val="001E07CF"/>
    <w:rsid w:val="001E59F1"/>
    <w:rsid w:val="001F2CEE"/>
    <w:rsid w:val="001F49EB"/>
    <w:rsid w:val="001F6CBA"/>
    <w:rsid w:val="00201D4E"/>
    <w:rsid w:val="002076C9"/>
    <w:rsid w:val="002146B1"/>
    <w:rsid w:val="00220B8A"/>
    <w:rsid w:val="002257F3"/>
    <w:rsid w:val="00233456"/>
    <w:rsid w:val="002339A5"/>
    <w:rsid w:val="00257848"/>
    <w:rsid w:val="002578E8"/>
    <w:rsid w:val="0027084A"/>
    <w:rsid w:val="00280265"/>
    <w:rsid w:val="00286434"/>
    <w:rsid w:val="00286C59"/>
    <w:rsid w:val="00291957"/>
    <w:rsid w:val="002942D1"/>
    <w:rsid w:val="0029501A"/>
    <w:rsid w:val="002A3721"/>
    <w:rsid w:val="002B1638"/>
    <w:rsid w:val="002B3624"/>
    <w:rsid w:val="002D0952"/>
    <w:rsid w:val="002D2E36"/>
    <w:rsid w:val="002E40B3"/>
    <w:rsid w:val="002E4C9A"/>
    <w:rsid w:val="002F11F8"/>
    <w:rsid w:val="002F3F56"/>
    <w:rsid w:val="002F44B5"/>
    <w:rsid w:val="002F5122"/>
    <w:rsid w:val="00311AC0"/>
    <w:rsid w:val="003176FC"/>
    <w:rsid w:val="0032583B"/>
    <w:rsid w:val="00327883"/>
    <w:rsid w:val="00335504"/>
    <w:rsid w:val="0033591B"/>
    <w:rsid w:val="00340C18"/>
    <w:rsid w:val="003442FD"/>
    <w:rsid w:val="00347824"/>
    <w:rsid w:val="00350567"/>
    <w:rsid w:val="003521E8"/>
    <w:rsid w:val="00370CE3"/>
    <w:rsid w:val="003728F3"/>
    <w:rsid w:val="003735BC"/>
    <w:rsid w:val="0037496E"/>
    <w:rsid w:val="00383221"/>
    <w:rsid w:val="00386150"/>
    <w:rsid w:val="003874CE"/>
    <w:rsid w:val="00390900"/>
    <w:rsid w:val="00392ADF"/>
    <w:rsid w:val="003A7F6C"/>
    <w:rsid w:val="003B4D60"/>
    <w:rsid w:val="003B7E39"/>
    <w:rsid w:val="003C58DC"/>
    <w:rsid w:val="003D1E62"/>
    <w:rsid w:val="003D31FB"/>
    <w:rsid w:val="003E0B99"/>
    <w:rsid w:val="003E2486"/>
    <w:rsid w:val="003E3208"/>
    <w:rsid w:val="003F0B04"/>
    <w:rsid w:val="003F4AA6"/>
    <w:rsid w:val="0040134E"/>
    <w:rsid w:val="00424775"/>
    <w:rsid w:val="004334C7"/>
    <w:rsid w:val="00440A2D"/>
    <w:rsid w:val="00441C3F"/>
    <w:rsid w:val="00444D1A"/>
    <w:rsid w:val="0045186A"/>
    <w:rsid w:val="004564A7"/>
    <w:rsid w:val="00456765"/>
    <w:rsid w:val="004617BF"/>
    <w:rsid w:val="00463658"/>
    <w:rsid w:val="004637A0"/>
    <w:rsid w:val="004722CC"/>
    <w:rsid w:val="00490483"/>
    <w:rsid w:val="004936E4"/>
    <w:rsid w:val="00494E60"/>
    <w:rsid w:val="00497487"/>
    <w:rsid w:val="004A2771"/>
    <w:rsid w:val="004A6189"/>
    <w:rsid w:val="004A7390"/>
    <w:rsid w:val="004B7B76"/>
    <w:rsid w:val="004C239D"/>
    <w:rsid w:val="004C2DCA"/>
    <w:rsid w:val="004C522A"/>
    <w:rsid w:val="004C61D2"/>
    <w:rsid w:val="004F0C4A"/>
    <w:rsid w:val="004F0F38"/>
    <w:rsid w:val="004F47D6"/>
    <w:rsid w:val="00500337"/>
    <w:rsid w:val="00501921"/>
    <w:rsid w:val="00530354"/>
    <w:rsid w:val="0053625B"/>
    <w:rsid w:val="005434C6"/>
    <w:rsid w:val="00543B39"/>
    <w:rsid w:val="00546154"/>
    <w:rsid w:val="00550096"/>
    <w:rsid w:val="00555280"/>
    <w:rsid w:val="00557FF9"/>
    <w:rsid w:val="00562327"/>
    <w:rsid w:val="005711D5"/>
    <w:rsid w:val="00576378"/>
    <w:rsid w:val="00577130"/>
    <w:rsid w:val="00577945"/>
    <w:rsid w:val="00577E38"/>
    <w:rsid w:val="00585322"/>
    <w:rsid w:val="005857C6"/>
    <w:rsid w:val="00592F6E"/>
    <w:rsid w:val="00593AD1"/>
    <w:rsid w:val="005A68B6"/>
    <w:rsid w:val="005C5570"/>
    <w:rsid w:val="005C79A4"/>
    <w:rsid w:val="005D5442"/>
    <w:rsid w:val="00603F32"/>
    <w:rsid w:val="00605AD4"/>
    <w:rsid w:val="006136D7"/>
    <w:rsid w:val="00625A6E"/>
    <w:rsid w:val="00632398"/>
    <w:rsid w:val="00640FC3"/>
    <w:rsid w:val="00642020"/>
    <w:rsid w:val="006430EE"/>
    <w:rsid w:val="00644427"/>
    <w:rsid w:val="0065337B"/>
    <w:rsid w:val="0065419D"/>
    <w:rsid w:val="006603BC"/>
    <w:rsid w:val="006604D8"/>
    <w:rsid w:val="00664A5B"/>
    <w:rsid w:val="0066735C"/>
    <w:rsid w:val="006763D2"/>
    <w:rsid w:val="00680C08"/>
    <w:rsid w:val="006916A0"/>
    <w:rsid w:val="006931B1"/>
    <w:rsid w:val="006A15C0"/>
    <w:rsid w:val="006A58A8"/>
    <w:rsid w:val="006C3E2A"/>
    <w:rsid w:val="006C642F"/>
    <w:rsid w:val="006D03E5"/>
    <w:rsid w:val="006D5D3E"/>
    <w:rsid w:val="006E08B3"/>
    <w:rsid w:val="006F17AC"/>
    <w:rsid w:val="006F25B8"/>
    <w:rsid w:val="006F572E"/>
    <w:rsid w:val="007046D6"/>
    <w:rsid w:val="00705DB0"/>
    <w:rsid w:val="00722B57"/>
    <w:rsid w:val="00730F8A"/>
    <w:rsid w:val="00735A8C"/>
    <w:rsid w:val="0074253D"/>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94ECE"/>
    <w:rsid w:val="007A46F5"/>
    <w:rsid w:val="007A6505"/>
    <w:rsid w:val="007B1946"/>
    <w:rsid w:val="007B6132"/>
    <w:rsid w:val="007B6E9F"/>
    <w:rsid w:val="007C1216"/>
    <w:rsid w:val="007C1AF7"/>
    <w:rsid w:val="007C6B9B"/>
    <w:rsid w:val="00805D27"/>
    <w:rsid w:val="00806DCB"/>
    <w:rsid w:val="00821776"/>
    <w:rsid w:val="008321F5"/>
    <w:rsid w:val="00832369"/>
    <w:rsid w:val="00834660"/>
    <w:rsid w:val="00836BC2"/>
    <w:rsid w:val="0085156D"/>
    <w:rsid w:val="00852B28"/>
    <w:rsid w:val="0085641B"/>
    <w:rsid w:val="00857136"/>
    <w:rsid w:val="00875A6B"/>
    <w:rsid w:val="00885B11"/>
    <w:rsid w:val="00886D15"/>
    <w:rsid w:val="00887DD8"/>
    <w:rsid w:val="00891BA9"/>
    <w:rsid w:val="00896018"/>
    <w:rsid w:val="008960DD"/>
    <w:rsid w:val="0089635C"/>
    <w:rsid w:val="008A2B9D"/>
    <w:rsid w:val="008A32DC"/>
    <w:rsid w:val="008A3D9F"/>
    <w:rsid w:val="008A5E0B"/>
    <w:rsid w:val="008A6D59"/>
    <w:rsid w:val="008B4B03"/>
    <w:rsid w:val="008B596F"/>
    <w:rsid w:val="008B6F93"/>
    <w:rsid w:val="008C159F"/>
    <w:rsid w:val="008C1623"/>
    <w:rsid w:val="008C1850"/>
    <w:rsid w:val="008C51A9"/>
    <w:rsid w:val="008E7846"/>
    <w:rsid w:val="008F02E5"/>
    <w:rsid w:val="008F1CCC"/>
    <w:rsid w:val="008F2967"/>
    <w:rsid w:val="008F6943"/>
    <w:rsid w:val="00902A21"/>
    <w:rsid w:val="0091523F"/>
    <w:rsid w:val="00920330"/>
    <w:rsid w:val="009219D7"/>
    <w:rsid w:val="00922D53"/>
    <w:rsid w:val="00923B70"/>
    <w:rsid w:val="00924482"/>
    <w:rsid w:val="00930237"/>
    <w:rsid w:val="00937C17"/>
    <w:rsid w:val="00940A89"/>
    <w:rsid w:val="00941F77"/>
    <w:rsid w:val="00946EA5"/>
    <w:rsid w:val="00960520"/>
    <w:rsid w:val="00963C08"/>
    <w:rsid w:val="00971C54"/>
    <w:rsid w:val="009752A5"/>
    <w:rsid w:val="0098585A"/>
    <w:rsid w:val="009A4CED"/>
    <w:rsid w:val="009A690D"/>
    <w:rsid w:val="009B1D12"/>
    <w:rsid w:val="009B416B"/>
    <w:rsid w:val="009C4BD5"/>
    <w:rsid w:val="009D7B77"/>
    <w:rsid w:val="009E0BB0"/>
    <w:rsid w:val="009E3FBB"/>
    <w:rsid w:val="009F7353"/>
    <w:rsid w:val="00A04F85"/>
    <w:rsid w:val="00A05FA4"/>
    <w:rsid w:val="00A102E4"/>
    <w:rsid w:val="00A1219C"/>
    <w:rsid w:val="00A12C42"/>
    <w:rsid w:val="00A14DF7"/>
    <w:rsid w:val="00A22D57"/>
    <w:rsid w:val="00A3246D"/>
    <w:rsid w:val="00A36FA7"/>
    <w:rsid w:val="00A44DDB"/>
    <w:rsid w:val="00A475B7"/>
    <w:rsid w:val="00A47AF7"/>
    <w:rsid w:val="00A47C3E"/>
    <w:rsid w:val="00A50226"/>
    <w:rsid w:val="00A60BAD"/>
    <w:rsid w:val="00A77F87"/>
    <w:rsid w:val="00A80B5B"/>
    <w:rsid w:val="00A84E36"/>
    <w:rsid w:val="00A964D1"/>
    <w:rsid w:val="00AA0ED0"/>
    <w:rsid w:val="00AA704F"/>
    <w:rsid w:val="00AC2B40"/>
    <w:rsid w:val="00AC2BB2"/>
    <w:rsid w:val="00AC2C3C"/>
    <w:rsid w:val="00AC512D"/>
    <w:rsid w:val="00AD0083"/>
    <w:rsid w:val="00AD3935"/>
    <w:rsid w:val="00AE65EB"/>
    <w:rsid w:val="00AE67A7"/>
    <w:rsid w:val="00AF1D94"/>
    <w:rsid w:val="00AF60C5"/>
    <w:rsid w:val="00B009C6"/>
    <w:rsid w:val="00B01548"/>
    <w:rsid w:val="00B11F81"/>
    <w:rsid w:val="00B130C5"/>
    <w:rsid w:val="00B13EBD"/>
    <w:rsid w:val="00B21D29"/>
    <w:rsid w:val="00B25034"/>
    <w:rsid w:val="00B33588"/>
    <w:rsid w:val="00B33863"/>
    <w:rsid w:val="00B37D17"/>
    <w:rsid w:val="00B4175E"/>
    <w:rsid w:val="00B41C85"/>
    <w:rsid w:val="00B44758"/>
    <w:rsid w:val="00B452CE"/>
    <w:rsid w:val="00B54C25"/>
    <w:rsid w:val="00B76B91"/>
    <w:rsid w:val="00B77EB1"/>
    <w:rsid w:val="00B811C6"/>
    <w:rsid w:val="00B855B0"/>
    <w:rsid w:val="00B92E08"/>
    <w:rsid w:val="00BC622A"/>
    <w:rsid w:val="00BD1F3C"/>
    <w:rsid w:val="00BE0A78"/>
    <w:rsid w:val="00BE79F0"/>
    <w:rsid w:val="00BF046D"/>
    <w:rsid w:val="00BF1190"/>
    <w:rsid w:val="00BF3774"/>
    <w:rsid w:val="00BF5D04"/>
    <w:rsid w:val="00C009AA"/>
    <w:rsid w:val="00C1164D"/>
    <w:rsid w:val="00C16861"/>
    <w:rsid w:val="00C346AB"/>
    <w:rsid w:val="00C404A6"/>
    <w:rsid w:val="00C40A36"/>
    <w:rsid w:val="00C40FAB"/>
    <w:rsid w:val="00C44419"/>
    <w:rsid w:val="00C45E7B"/>
    <w:rsid w:val="00C471B1"/>
    <w:rsid w:val="00C52E24"/>
    <w:rsid w:val="00C6316B"/>
    <w:rsid w:val="00C634A9"/>
    <w:rsid w:val="00C64586"/>
    <w:rsid w:val="00C70D53"/>
    <w:rsid w:val="00C73AE8"/>
    <w:rsid w:val="00C73D0B"/>
    <w:rsid w:val="00C74F5C"/>
    <w:rsid w:val="00C772FF"/>
    <w:rsid w:val="00C80137"/>
    <w:rsid w:val="00C801AF"/>
    <w:rsid w:val="00C80256"/>
    <w:rsid w:val="00C80AC5"/>
    <w:rsid w:val="00C94CD4"/>
    <w:rsid w:val="00C9747E"/>
    <w:rsid w:val="00CB6BC0"/>
    <w:rsid w:val="00CC1B7C"/>
    <w:rsid w:val="00CC727F"/>
    <w:rsid w:val="00CF15C3"/>
    <w:rsid w:val="00CF2B6F"/>
    <w:rsid w:val="00CF2F3E"/>
    <w:rsid w:val="00CF58B6"/>
    <w:rsid w:val="00D0062D"/>
    <w:rsid w:val="00D017ED"/>
    <w:rsid w:val="00D040D3"/>
    <w:rsid w:val="00D04C65"/>
    <w:rsid w:val="00D153D8"/>
    <w:rsid w:val="00D201D2"/>
    <w:rsid w:val="00D224FE"/>
    <w:rsid w:val="00D23139"/>
    <w:rsid w:val="00D425BB"/>
    <w:rsid w:val="00D453FA"/>
    <w:rsid w:val="00D6493E"/>
    <w:rsid w:val="00D7195D"/>
    <w:rsid w:val="00D7301E"/>
    <w:rsid w:val="00D83AE1"/>
    <w:rsid w:val="00D83F1F"/>
    <w:rsid w:val="00D855D4"/>
    <w:rsid w:val="00D902C9"/>
    <w:rsid w:val="00D93466"/>
    <w:rsid w:val="00DA1124"/>
    <w:rsid w:val="00DA64CB"/>
    <w:rsid w:val="00DB06B8"/>
    <w:rsid w:val="00DB6124"/>
    <w:rsid w:val="00DB750B"/>
    <w:rsid w:val="00DB75B7"/>
    <w:rsid w:val="00DC0A2F"/>
    <w:rsid w:val="00DC1948"/>
    <w:rsid w:val="00DC6E02"/>
    <w:rsid w:val="00DD28CD"/>
    <w:rsid w:val="00DE02AE"/>
    <w:rsid w:val="00DE1AF2"/>
    <w:rsid w:val="00DE39D1"/>
    <w:rsid w:val="00DF1D7F"/>
    <w:rsid w:val="00DF4BE4"/>
    <w:rsid w:val="00E02382"/>
    <w:rsid w:val="00E02FB4"/>
    <w:rsid w:val="00E13FC7"/>
    <w:rsid w:val="00E20571"/>
    <w:rsid w:val="00E235F7"/>
    <w:rsid w:val="00E23659"/>
    <w:rsid w:val="00E239D4"/>
    <w:rsid w:val="00E26130"/>
    <w:rsid w:val="00E40B22"/>
    <w:rsid w:val="00E44ED1"/>
    <w:rsid w:val="00E45619"/>
    <w:rsid w:val="00E4588F"/>
    <w:rsid w:val="00E46DA3"/>
    <w:rsid w:val="00E51BB1"/>
    <w:rsid w:val="00E55CB0"/>
    <w:rsid w:val="00E61B63"/>
    <w:rsid w:val="00E624A5"/>
    <w:rsid w:val="00E64BA4"/>
    <w:rsid w:val="00E7344E"/>
    <w:rsid w:val="00E82665"/>
    <w:rsid w:val="00EB0798"/>
    <w:rsid w:val="00EB40AD"/>
    <w:rsid w:val="00EB586E"/>
    <w:rsid w:val="00EB5FC8"/>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640B6"/>
    <w:rsid w:val="00F66DF2"/>
    <w:rsid w:val="00F70FE7"/>
    <w:rsid w:val="00F80E40"/>
    <w:rsid w:val="00F848D9"/>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077A89E"/>
  <w15:docId w15:val="{634F95B1-A050-4FC8-8EC2-A33F6A1C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C73AE8"/>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footer" Target="footer2.xml"/><Relationship Id="rId18" Type="http://schemas.openxmlformats.org/officeDocument/2006/relationships/hyperlink" Target="https://www.tga.gov.au/product-information-pi"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tga.gov.au/product-information-pi" TargetMode="External"/><Relationship Id="rId20" Type="http://schemas.openxmlformats.org/officeDocument/2006/relationships/header" Target="header5.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tga.gov.au"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info@tga.gov.au"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7468\t0Q6IBSA.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78F37-AEF5-4310-9746-2FC55BE1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t0Q6IBSA</Template>
  <TotalTime>4</TotalTime>
  <Pages>13</Pages>
  <Words>3301</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Therapeutic Goods Administration</Company>
  <LinksUpToDate>false</LinksUpToDate>
  <CharactersWithSpaces>22079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Sodium glycerophosphate (as hydrate)</dc:title>
  <dc:subject>prescription medicines</dc:subject>
  <dc:creator>Therapeutic Goods Administration</dc:creator>
  <cp:lastPrinted>2019-08-14T04:30:00Z</cp:lastPrinted>
  <dcterms:created xsi:type="dcterms:W3CDTF">2020-02-17T23:58:00Z</dcterms:created>
  <dcterms:modified xsi:type="dcterms:W3CDTF">2020-02-18T00:02:00Z</dcterms:modified>
</cp:coreProperties>
</file>