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B68C5" w14:textId="35E79D81" w:rsidR="008757C0" w:rsidRPr="005969D9" w:rsidRDefault="001A1ABD" w:rsidP="00926130">
      <w:pPr>
        <w:pStyle w:val="Heading1"/>
        <w:spacing w:before="360"/>
        <w:ind w:left="426" w:hanging="426"/>
      </w:pPr>
      <w:r w:rsidRPr="007A6848">
        <w:t>1</w:t>
      </w:r>
      <w:r w:rsidR="003642F0" w:rsidRPr="007A6848">
        <w:t>.</w:t>
      </w:r>
      <w:r w:rsidR="007F2E67" w:rsidRPr="007A6848">
        <w:tab/>
      </w:r>
      <w:r w:rsidR="00926130" w:rsidRPr="005969D9">
        <w:t xml:space="preserve">NAME OF THE MEDICINE </w:t>
      </w:r>
    </w:p>
    <w:p w14:paraId="12191334" w14:textId="7F2314B7" w:rsidR="006B41B2" w:rsidRPr="005969D9" w:rsidRDefault="005969D9" w:rsidP="006B41B2">
      <w:pPr>
        <w:rPr>
          <w:rFonts w:cs="Arial"/>
        </w:rPr>
      </w:pPr>
      <w:bookmarkStart w:id="0" w:name="_Hlk514715262"/>
      <w:r w:rsidRPr="005969D9">
        <w:rPr>
          <w:rFonts w:cs="Arial"/>
        </w:rPr>
        <w:t xml:space="preserve">Sodium glycerophosphate </w:t>
      </w:r>
    </w:p>
    <w:p w14:paraId="3B6BD12A" w14:textId="77777777" w:rsidR="008F45D7" w:rsidRPr="007A6848" w:rsidRDefault="008F45D7" w:rsidP="00037163">
      <w:pPr>
        <w:rPr>
          <w:rFonts w:cs="Arial"/>
        </w:rPr>
      </w:pPr>
    </w:p>
    <w:bookmarkEnd w:id="0"/>
    <w:p w14:paraId="017E251A" w14:textId="73C1A319" w:rsidR="0032608A" w:rsidRPr="007A6848" w:rsidRDefault="007F2E67" w:rsidP="007A6848">
      <w:pPr>
        <w:pStyle w:val="Heading1"/>
      </w:pPr>
      <w:r w:rsidRPr="007A6848">
        <w:t>2</w:t>
      </w:r>
      <w:r w:rsidR="003642F0" w:rsidRPr="007A6848">
        <w:t>.</w:t>
      </w:r>
      <w:r w:rsidRPr="007A6848">
        <w:tab/>
      </w:r>
      <w:r w:rsidR="0032608A" w:rsidRPr="007A6848">
        <w:t>QUALITATIVE AND QUANTITATIVE COMPOSITION</w:t>
      </w:r>
    </w:p>
    <w:p w14:paraId="61626E9B" w14:textId="1DBE0451" w:rsidR="003931CC" w:rsidRDefault="003931CC" w:rsidP="003931CC">
      <w:pPr>
        <w:rPr>
          <w:rFonts w:cs="Arial"/>
          <w:iCs/>
          <w:lang w:val="en-AU"/>
        </w:rPr>
      </w:pPr>
      <w:r w:rsidRPr="002302F8">
        <w:rPr>
          <w:rFonts w:cs="Arial"/>
          <w:iCs/>
          <w:lang w:val="en-AU"/>
        </w:rPr>
        <w:t xml:space="preserve">Sodium glycerophosphate 4.32 g/20 mL ampoule. </w:t>
      </w:r>
    </w:p>
    <w:p w14:paraId="1D2FB8B7" w14:textId="77777777" w:rsidR="003931CC" w:rsidRDefault="003931CC" w:rsidP="003931CC">
      <w:pPr>
        <w:rPr>
          <w:rFonts w:cs="Arial"/>
          <w:iCs/>
          <w:lang w:val="en-AU"/>
        </w:rPr>
      </w:pPr>
    </w:p>
    <w:p w14:paraId="75044B8D" w14:textId="77777777" w:rsidR="00EF08BD" w:rsidRDefault="003931CC" w:rsidP="003931CC">
      <w:pPr>
        <w:rPr>
          <w:rFonts w:cs="Arial"/>
          <w:iCs/>
          <w:lang w:val="en-AU"/>
        </w:rPr>
      </w:pPr>
      <w:r w:rsidRPr="002302F8">
        <w:rPr>
          <w:rFonts w:cs="Arial"/>
          <w:iCs/>
          <w:lang w:val="en-AU"/>
        </w:rPr>
        <w:t xml:space="preserve">Each 1 mL of </w:t>
      </w:r>
      <w:r>
        <w:rPr>
          <w:rFonts w:cs="Arial"/>
          <w:iCs/>
          <w:lang w:val="en-AU"/>
        </w:rPr>
        <w:t>Glycophos</w:t>
      </w:r>
      <w:r w:rsidRPr="002302F8">
        <w:rPr>
          <w:rFonts w:cs="Arial"/>
          <w:iCs/>
          <w:vertAlign w:val="superscript"/>
          <w:lang w:val="en-AU"/>
        </w:rPr>
        <w:t>®</w:t>
      </w:r>
      <w:r w:rsidRPr="002302F8">
        <w:rPr>
          <w:rFonts w:cs="Arial"/>
          <w:iCs/>
          <w:lang w:val="en-AU"/>
        </w:rPr>
        <w:t xml:space="preserve"> contains 306.1 mg of sodium glycerophosphate hydrate, equivalent to </w:t>
      </w:r>
    </w:p>
    <w:p w14:paraId="37D99C73" w14:textId="5C48EEF6" w:rsidR="003931CC" w:rsidRDefault="003931CC" w:rsidP="003931CC">
      <w:pPr>
        <w:rPr>
          <w:rFonts w:cs="Arial"/>
          <w:iCs/>
          <w:lang w:val="en-AU"/>
        </w:rPr>
      </w:pPr>
      <w:r w:rsidRPr="002302F8">
        <w:rPr>
          <w:rFonts w:cs="Arial"/>
          <w:iCs/>
          <w:lang w:val="en-AU"/>
        </w:rPr>
        <w:t xml:space="preserve">216 mg of sodium glycerophosphate. </w:t>
      </w:r>
    </w:p>
    <w:p w14:paraId="52C7D1D0" w14:textId="77777777" w:rsidR="00EF08BD" w:rsidRDefault="00EF08BD" w:rsidP="003931CC">
      <w:pPr>
        <w:rPr>
          <w:rFonts w:cs="Arial"/>
          <w:iCs/>
          <w:lang w:val="en-AU"/>
        </w:rPr>
      </w:pPr>
    </w:p>
    <w:p w14:paraId="467D61BE" w14:textId="52637D51" w:rsidR="003931CC" w:rsidRDefault="003931CC" w:rsidP="003931CC">
      <w:pPr>
        <w:rPr>
          <w:rFonts w:cs="Arial"/>
          <w:iCs/>
          <w:lang w:val="en-AU"/>
        </w:rPr>
      </w:pPr>
      <w:bookmarkStart w:id="1" w:name="_Hlk13835133"/>
      <w:r w:rsidRPr="002302F8">
        <w:rPr>
          <w:rFonts w:cs="Arial"/>
          <w:iCs/>
          <w:lang w:val="en-AU"/>
        </w:rPr>
        <w:t xml:space="preserve">Each 1 mL of </w:t>
      </w:r>
      <w:r>
        <w:rPr>
          <w:rFonts w:cs="Arial"/>
          <w:iCs/>
          <w:lang w:val="en-AU"/>
        </w:rPr>
        <w:t>Glycophos</w:t>
      </w:r>
      <w:r w:rsidRPr="00DC1809">
        <w:rPr>
          <w:rFonts w:cs="Arial"/>
          <w:iCs/>
          <w:vertAlign w:val="superscript"/>
          <w:lang w:val="en-AU"/>
        </w:rPr>
        <w:t>®</w:t>
      </w:r>
      <w:r w:rsidRPr="00DC1809">
        <w:rPr>
          <w:rFonts w:cs="Arial"/>
          <w:iCs/>
          <w:lang w:val="en-AU"/>
        </w:rPr>
        <w:t xml:space="preserve"> </w:t>
      </w:r>
      <w:r w:rsidRPr="002302F8">
        <w:rPr>
          <w:rFonts w:cs="Arial"/>
          <w:iCs/>
          <w:lang w:val="en-AU"/>
        </w:rPr>
        <w:t xml:space="preserve">corresponds to 1 mmol of phosphate and 2 mmol of sodium. </w:t>
      </w:r>
    </w:p>
    <w:bookmarkEnd w:id="1"/>
    <w:p w14:paraId="0B1965E4" w14:textId="77777777" w:rsidR="003931CC" w:rsidRPr="003931CC" w:rsidRDefault="003931CC" w:rsidP="003931CC">
      <w:pPr>
        <w:rPr>
          <w:rFonts w:cs="Arial"/>
          <w:lang w:val="en-AU"/>
        </w:rPr>
      </w:pPr>
    </w:p>
    <w:p w14:paraId="1E9CB7A5" w14:textId="77777777" w:rsidR="00143EDE" w:rsidRDefault="003931CC" w:rsidP="00D358F6">
      <w:pPr>
        <w:rPr>
          <w:rFonts w:cs="Arial"/>
          <w:i/>
          <w:iCs/>
          <w:lang w:val="en-AU"/>
        </w:rPr>
      </w:pPr>
      <w:r w:rsidRPr="002302F8">
        <w:rPr>
          <w:rFonts w:cs="Arial"/>
          <w:iCs/>
          <w:lang w:val="en-AU"/>
        </w:rPr>
        <w:t>For the full list of excipients, see Section 6.1 List of Excipients</w:t>
      </w:r>
      <w:r w:rsidRPr="003931CC">
        <w:rPr>
          <w:rFonts w:cs="Arial"/>
          <w:iCs/>
          <w:lang w:val="en-AU"/>
        </w:rPr>
        <w:t>.</w:t>
      </w:r>
      <w:r w:rsidRPr="003931CC">
        <w:rPr>
          <w:rFonts w:cs="Arial"/>
          <w:i/>
          <w:iCs/>
          <w:lang w:val="en-AU"/>
        </w:rPr>
        <w:t xml:space="preserve"> </w:t>
      </w:r>
    </w:p>
    <w:p w14:paraId="30E599EC" w14:textId="727FD076" w:rsidR="008F45D7" w:rsidRPr="007A6848" w:rsidRDefault="008F45D7" w:rsidP="00D358F6">
      <w:pPr>
        <w:rPr>
          <w:rFonts w:cs="Arial"/>
        </w:rPr>
      </w:pPr>
    </w:p>
    <w:p w14:paraId="709AD2BC" w14:textId="669ADDDB" w:rsidR="0032608A" w:rsidRPr="007A6848" w:rsidRDefault="007F2E67" w:rsidP="007A6848">
      <w:pPr>
        <w:pStyle w:val="Heading1"/>
      </w:pPr>
      <w:r w:rsidRPr="007A6848">
        <w:t>3</w:t>
      </w:r>
      <w:r w:rsidR="003642F0" w:rsidRPr="007A6848">
        <w:t>.</w:t>
      </w:r>
      <w:r w:rsidRPr="007A6848">
        <w:tab/>
      </w:r>
      <w:r w:rsidR="0032608A" w:rsidRPr="007A6848">
        <w:t>PHARMACEUTICAL FORM</w:t>
      </w:r>
    </w:p>
    <w:p w14:paraId="0F9A2985" w14:textId="2C6D3C39" w:rsidR="00093A53" w:rsidRDefault="00093A53" w:rsidP="00D358F6">
      <w:pPr>
        <w:rPr>
          <w:rFonts w:cs="Arial"/>
        </w:rPr>
      </w:pPr>
      <w:r>
        <w:rPr>
          <w:rFonts w:cs="Arial"/>
        </w:rPr>
        <w:t>Glycophos</w:t>
      </w:r>
      <w:r w:rsidR="00756D18" w:rsidRPr="002302F8">
        <w:rPr>
          <w:rFonts w:cs="Arial"/>
          <w:vertAlign w:val="superscript"/>
        </w:rPr>
        <w:t>®</w:t>
      </w:r>
      <w:r>
        <w:rPr>
          <w:rFonts w:cs="Arial"/>
        </w:rPr>
        <w:t xml:space="preserve"> </w:t>
      </w:r>
      <w:r w:rsidR="00EF08BD">
        <w:rPr>
          <w:rFonts w:cs="Arial"/>
        </w:rPr>
        <w:t xml:space="preserve">Concentrated injection solution for infusion </w:t>
      </w:r>
      <w:r w:rsidR="00DF5A90">
        <w:rPr>
          <w:rFonts w:cs="Arial"/>
        </w:rPr>
        <w:t>is a sterile</w:t>
      </w:r>
      <w:r w:rsidR="00EF08BD">
        <w:rPr>
          <w:rFonts w:cs="Arial"/>
        </w:rPr>
        <w:t>,</w:t>
      </w:r>
      <w:r>
        <w:rPr>
          <w:rFonts w:cs="Arial"/>
        </w:rPr>
        <w:t xml:space="preserve"> clear, </w:t>
      </w:r>
      <w:r w:rsidR="00A26D54">
        <w:rPr>
          <w:rFonts w:cs="Arial"/>
        </w:rPr>
        <w:t>colourless solution</w:t>
      </w:r>
      <w:r w:rsidR="00EF08BD">
        <w:rPr>
          <w:rFonts w:cs="Arial"/>
        </w:rPr>
        <w:t xml:space="preserve"> essentially free from visible particles</w:t>
      </w:r>
      <w:r w:rsidR="00A26D54">
        <w:rPr>
          <w:rFonts w:cs="Arial"/>
        </w:rPr>
        <w:t>.</w:t>
      </w:r>
      <w:r w:rsidRPr="00093A53">
        <w:rPr>
          <w:rFonts w:cs="Arial"/>
        </w:rPr>
        <w:t xml:space="preserve"> </w:t>
      </w:r>
    </w:p>
    <w:p w14:paraId="362202E0" w14:textId="65688E1D" w:rsidR="00E01130" w:rsidRPr="007A6848" w:rsidRDefault="00E01130" w:rsidP="00D358F6">
      <w:pPr>
        <w:rPr>
          <w:rFonts w:cs="Arial"/>
        </w:rPr>
      </w:pPr>
      <w:r w:rsidRPr="007A6848">
        <w:rPr>
          <w:rFonts w:cs="Arial"/>
        </w:rPr>
        <w:t xml:space="preserve">Osmolality: </w:t>
      </w:r>
      <w:r w:rsidR="005969D9">
        <w:rPr>
          <w:rFonts w:cs="Arial"/>
        </w:rPr>
        <w:t>2760</w:t>
      </w:r>
      <w:r w:rsidRPr="007A6848">
        <w:rPr>
          <w:rFonts w:cs="Arial"/>
        </w:rPr>
        <w:t xml:space="preserve"> </w:t>
      </w:r>
      <w:proofErr w:type="spellStart"/>
      <w:r w:rsidRPr="007A6848">
        <w:rPr>
          <w:rFonts w:cs="Arial"/>
        </w:rPr>
        <w:t>m</w:t>
      </w:r>
      <w:r w:rsidR="00EF08BD">
        <w:rPr>
          <w:rFonts w:cs="Arial"/>
        </w:rPr>
        <w:t>O</w:t>
      </w:r>
      <w:r w:rsidRPr="007A6848">
        <w:rPr>
          <w:rFonts w:cs="Arial"/>
        </w:rPr>
        <w:t>sm</w:t>
      </w:r>
      <w:proofErr w:type="spellEnd"/>
      <w:r w:rsidRPr="007A6848">
        <w:rPr>
          <w:rFonts w:cs="Arial"/>
        </w:rPr>
        <w:t>/kg water</w:t>
      </w:r>
    </w:p>
    <w:p w14:paraId="7F7725B6" w14:textId="797E164A" w:rsidR="009C5EC8" w:rsidRPr="007A6848" w:rsidRDefault="005969D9" w:rsidP="00D358F6">
      <w:pPr>
        <w:rPr>
          <w:rFonts w:cs="Arial"/>
        </w:rPr>
      </w:pPr>
      <w:r>
        <w:rPr>
          <w:rFonts w:cs="Arial"/>
        </w:rPr>
        <w:t>pH: 7.4</w:t>
      </w:r>
    </w:p>
    <w:p w14:paraId="26596B31" w14:textId="77777777" w:rsidR="008F45D7" w:rsidRPr="007A6848" w:rsidRDefault="008F45D7" w:rsidP="00D358F6">
      <w:pPr>
        <w:rPr>
          <w:rFonts w:cs="Arial"/>
        </w:rPr>
      </w:pPr>
    </w:p>
    <w:p w14:paraId="06498C5F" w14:textId="5E3E0A6D" w:rsidR="0032608A" w:rsidRPr="007A6848" w:rsidRDefault="007F2E67" w:rsidP="00235817">
      <w:pPr>
        <w:pStyle w:val="Heading1"/>
        <w:jc w:val="left"/>
      </w:pPr>
      <w:r w:rsidRPr="007A6848">
        <w:t>4</w:t>
      </w:r>
      <w:r w:rsidR="003642F0" w:rsidRPr="007A6848">
        <w:t>.</w:t>
      </w:r>
      <w:r w:rsidRPr="007A6848">
        <w:tab/>
      </w:r>
      <w:r w:rsidR="0032608A" w:rsidRPr="007A6848">
        <w:t>CLINICAL PARTICULARS</w:t>
      </w:r>
    </w:p>
    <w:p w14:paraId="4E9AC265" w14:textId="7CA5298C" w:rsidR="0032608A" w:rsidRPr="007A6848" w:rsidRDefault="001A1ABD" w:rsidP="00235817">
      <w:pPr>
        <w:pStyle w:val="Heading2"/>
        <w:jc w:val="left"/>
      </w:pPr>
      <w:r w:rsidRPr="007A6848">
        <w:t>4</w:t>
      </w:r>
      <w:r w:rsidR="00BC3590" w:rsidRPr="007A6848">
        <w:t>.1</w:t>
      </w:r>
      <w:r w:rsidR="00BC3590" w:rsidRPr="007A6848">
        <w:tab/>
      </w:r>
      <w:r w:rsidR="0032608A" w:rsidRPr="007A6848">
        <w:t>Therapeutic indications</w:t>
      </w:r>
    </w:p>
    <w:p w14:paraId="1064FD13" w14:textId="7529FD08" w:rsidR="00467262" w:rsidRDefault="00093A53" w:rsidP="00235817">
      <w:pPr>
        <w:jc w:val="left"/>
        <w:rPr>
          <w:rFonts w:cs="Arial"/>
        </w:rPr>
      </w:pPr>
      <w:r>
        <w:t>Glycophos</w:t>
      </w:r>
      <w:r w:rsidR="00756D18" w:rsidRPr="002302F8">
        <w:rPr>
          <w:vertAlign w:val="superscript"/>
        </w:rPr>
        <w:t>®</w:t>
      </w:r>
      <w:r w:rsidR="004A54ED" w:rsidRPr="004A54ED">
        <w:rPr>
          <w:rFonts w:cs="Arial"/>
        </w:rPr>
        <w:t xml:space="preserve"> </w:t>
      </w:r>
      <w:r w:rsidR="00421F1B" w:rsidRPr="00421F1B">
        <w:rPr>
          <w:rFonts w:cs="Arial"/>
        </w:rPr>
        <w:t xml:space="preserve">is indicated in adult and paediatric patients </w:t>
      </w:r>
      <w:r w:rsidR="001E2C46">
        <w:rPr>
          <w:rFonts w:cs="Arial"/>
        </w:rPr>
        <w:t xml:space="preserve">as a supplement to parenteral nutrition </w:t>
      </w:r>
      <w:r w:rsidR="00421F1B" w:rsidRPr="00421F1B">
        <w:rPr>
          <w:rFonts w:cs="Arial"/>
        </w:rPr>
        <w:t>to meet the daily requirements of phosphate</w:t>
      </w:r>
      <w:r w:rsidR="004A54ED" w:rsidRPr="004A54ED">
        <w:rPr>
          <w:rFonts w:cs="Arial"/>
        </w:rPr>
        <w:t>.</w:t>
      </w:r>
    </w:p>
    <w:p w14:paraId="6630D5C8" w14:textId="77777777" w:rsidR="00B91B54" w:rsidRPr="007A6848" w:rsidRDefault="00B91B54" w:rsidP="00B91B54">
      <w:pPr>
        <w:jc w:val="left"/>
        <w:rPr>
          <w:rFonts w:cs="Arial"/>
        </w:rPr>
      </w:pPr>
    </w:p>
    <w:p w14:paraId="25EFC597" w14:textId="3113B2A8" w:rsidR="0032608A" w:rsidRPr="007A6848" w:rsidRDefault="001A1ABD" w:rsidP="00235817">
      <w:pPr>
        <w:pStyle w:val="Heading2"/>
        <w:jc w:val="left"/>
      </w:pPr>
      <w:r w:rsidRPr="007A6848">
        <w:t>4</w:t>
      </w:r>
      <w:r w:rsidR="00BC3590" w:rsidRPr="007A6848">
        <w:t>.2</w:t>
      </w:r>
      <w:r w:rsidR="00BC3590" w:rsidRPr="007A6848">
        <w:tab/>
      </w:r>
      <w:r w:rsidR="0032608A" w:rsidRPr="007A6848">
        <w:t>Dose and method of administration</w:t>
      </w:r>
    </w:p>
    <w:p w14:paraId="139DC7E9" w14:textId="77777777" w:rsidR="00A26D54" w:rsidRPr="007A6848" w:rsidRDefault="00A26D54" w:rsidP="00A26D54">
      <w:pPr>
        <w:pStyle w:val="Heading3"/>
        <w:jc w:val="left"/>
      </w:pPr>
      <w:r w:rsidRPr="007A6848">
        <w:t>Method of administration</w:t>
      </w:r>
    </w:p>
    <w:p w14:paraId="270AFB54" w14:textId="66DD0853" w:rsidR="00A26D54" w:rsidRPr="00CC2E0A" w:rsidRDefault="00A26D54" w:rsidP="00A26D54">
      <w:pPr>
        <w:jc w:val="left"/>
      </w:pPr>
      <w:r>
        <w:rPr>
          <w:rFonts w:cs="Arial"/>
        </w:rPr>
        <w:t>For i</w:t>
      </w:r>
      <w:r w:rsidRPr="007A6848">
        <w:rPr>
          <w:rFonts w:cs="Arial"/>
        </w:rPr>
        <w:t xml:space="preserve">ntravenous </w:t>
      </w:r>
      <w:r>
        <w:rPr>
          <w:rFonts w:cs="Arial"/>
        </w:rPr>
        <w:t>infusion only</w:t>
      </w:r>
      <w:r w:rsidRPr="007A6848">
        <w:rPr>
          <w:rFonts w:cs="Arial"/>
        </w:rPr>
        <w:t>.</w:t>
      </w:r>
      <w:r>
        <w:rPr>
          <w:rFonts w:cs="Arial"/>
        </w:rPr>
        <w:t xml:space="preserve"> </w:t>
      </w:r>
      <w:r w:rsidR="00CC2E0A">
        <w:t>Glycophos</w:t>
      </w:r>
      <w:r w:rsidR="00756D18" w:rsidRPr="002302F8">
        <w:rPr>
          <w:vertAlign w:val="superscript"/>
        </w:rPr>
        <w:t>®</w:t>
      </w:r>
      <w:r w:rsidR="00CC2E0A">
        <w:t xml:space="preserve"> must not be given undiluted. </w:t>
      </w:r>
      <w:r>
        <w:rPr>
          <w:rFonts w:cs="Arial"/>
        </w:rPr>
        <w:t>The infusion</w:t>
      </w:r>
      <w:r w:rsidR="00644896">
        <w:rPr>
          <w:rFonts w:cs="Arial"/>
        </w:rPr>
        <w:t xml:space="preserve"> duration depends on the admixture; the infusion</w:t>
      </w:r>
      <w:r>
        <w:rPr>
          <w:rFonts w:cs="Arial"/>
        </w:rPr>
        <w:t xml:space="preserve"> </w:t>
      </w:r>
      <w:r w:rsidR="00CC2E0A">
        <w:rPr>
          <w:rFonts w:cs="Arial"/>
        </w:rPr>
        <w:t xml:space="preserve">must be administered over a period of </w:t>
      </w:r>
      <w:r>
        <w:rPr>
          <w:rFonts w:cs="Arial"/>
        </w:rPr>
        <w:t>at least 8 hours.</w:t>
      </w:r>
    </w:p>
    <w:p w14:paraId="69195508" w14:textId="77777777" w:rsidR="00CB1CE9" w:rsidRDefault="00CB1CE9" w:rsidP="00235817">
      <w:pPr>
        <w:jc w:val="left"/>
      </w:pPr>
    </w:p>
    <w:p w14:paraId="07AC7205" w14:textId="7B9D7F4E" w:rsidR="00F356CE" w:rsidRPr="007A6848" w:rsidRDefault="00C57EB6" w:rsidP="00235817">
      <w:pPr>
        <w:pStyle w:val="Heading3"/>
        <w:jc w:val="left"/>
      </w:pPr>
      <w:r>
        <w:t>Dosage (dose and interval)</w:t>
      </w:r>
    </w:p>
    <w:p w14:paraId="1BA3D85C" w14:textId="60D40932" w:rsidR="00F356CE" w:rsidRPr="0033620D" w:rsidRDefault="0033620D" w:rsidP="00235817">
      <w:pPr>
        <w:pStyle w:val="Heading4"/>
        <w:jc w:val="left"/>
        <w:rPr>
          <w:rFonts w:ascii="Arial Bold" w:hAnsi="Arial Bold"/>
          <w:caps/>
        </w:rPr>
      </w:pPr>
      <w:r w:rsidRPr="0033620D">
        <w:rPr>
          <w:rFonts w:ascii="Arial Bold" w:hAnsi="Arial Bold"/>
          <w:caps/>
        </w:rPr>
        <w:t>Adults</w:t>
      </w:r>
    </w:p>
    <w:p w14:paraId="1D635563" w14:textId="2379F799" w:rsidR="00421F1B" w:rsidRDefault="00421F1B" w:rsidP="00235817">
      <w:pPr>
        <w:jc w:val="left"/>
        <w:rPr>
          <w:rFonts w:cs="Arial"/>
        </w:rPr>
      </w:pPr>
      <w:r w:rsidRPr="00421F1B">
        <w:rPr>
          <w:rFonts w:cs="Arial"/>
        </w:rPr>
        <w:t xml:space="preserve">The recommended dosage should be individualized to each patient’s phosphorus status and needs. Approximately 15 mmol of phosphate is provided by a litre of lipid emulsions or amino acid solutions. This should be considered when supplementing phosphate from </w:t>
      </w:r>
      <w:r w:rsidR="00093A53">
        <w:rPr>
          <w:rFonts w:cs="Arial"/>
        </w:rPr>
        <w:t>Glycophos</w:t>
      </w:r>
      <w:r w:rsidR="00756D18" w:rsidRPr="002302F8">
        <w:rPr>
          <w:rFonts w:cs="Arial"/>
          <w:vertAlign w:val="superscript"/>
        </w:rPr>
        <w:t>®</w:t>
      </w:r>
      <w:r w:rsidRPr="00421F1B">
        <w:rPr>
          <w:rFonts w:cs="Arial"/>
        </w:rPr>
        <w:t xml:space="preserve">. The normal requirements during PN can be met by using 10 to 20 mL of </w:t>
      </w:r>
      <w:r w:rsidR="00093A53">
        <w:rPr>
          <w:rFonts w:cs="Arial"/>
        </w:rPr>
        <w:t>Glycophos</w:t>
      </w:r>
      <w:r w:rsidR="00756D18" w:rsidRPr="002302F8">
        <w:rPr>
          <w:rFonts w:cs="Arial"/>
          <w:vertAlign w:val="superscript"/>
        </w:rPr>
        <w:t>®</w:t>
      </w:r>
      <w:r w:rsidR="00093A53">
        <w:rPr>
          <w:rFonts w:cs="Arial"/>
        </w:rPr>
        <w:t xml:space="preserve"> </w:t>
      </w:r>
      <w:r w:rsidRPr="00421F1B">
        <w:rPr>
          <w:rFonts w:cs="Arial"/>
        </w:rPr>
        <w:t>added to the infusion solution or admixture for which compatibility has been proven.</w:t>
      </w:r>
    </w:p>
    <w:p w14:paraId="33C89808" w14:textId="77777777" w:rsidR="003114A0" w:rsidRPr="007A6848" w:rsidRDefault="003114A0" w:rsidP="00235817">
      <w:pPr>
        <w:jc w:val="left"/>
        <w:rPr>
          <w:rFonts w:cs="Arial"/>
        </w:rPr>
      </w:pPr>
    </w:p>
    <w:p w14:paraId="1D1419E1" w14:textId="5B1603A4" w:rsidR="000315E6" w:rsidRPr="0033620D" w:rsidRDefault="0033620D" w:rsidP="00235817">
      <w:pPr>
        <w:pStyle w:val="Heading4"/>
        <w:jc w:val="left"/>
        <w:rPr>
          <w:rFonts w:ascii="Arial Bold" w:hAnsi="Arial Bold"/>
          <w:caps/>
        </w:rPr>
      </w:pPr>
      <w:r w:rsidRPr="0033620D">
        <w:rPr>
          <w:rFonts w:ascii="Arial Bold" w:hAnsi="Arial Bold"/>
          <w:caps/>
        </w:rPr>
        <w:lastRenderedPageBreak/>
        <w:t xml:space="preserve">Paediatric population </w:t>
      </w:r>
    </w:p>
    <w:p w14:paraId="465FA1F3" w14:textId="191C5C83" w:rsidR="00F356CE" w:rsidRDefault="0075082D" w:rsidP="00235817">
      <w:pPr>
        <w:jc w:val="left"/>
      </w:pPr>
      <w:r>
        <w:rPr>
          <w:lang w:val="en-US"/>
        </w:rPr>
        <w:t xml:space="preserve">The recommended dosage </w:t>
      </w:r>
      <w:r w:rsidR="0065348B">
        <w:rPr>
          <w:lang w:val="en-US"/>
        </w:rPr>
        <w:t>should be individualized to each patient’s phosphorous status and needs</w:t>
      </w:r>
      <w:r>
        <w:rPr>
          <w:lang w:val="en-US"/>
        </w:rPr>
        <w:t xml:space="preserve">. </w:t>
      </w:r>
      <w:r w:rsidR="003114A0" w:rsidRPr="003B4B1D">
        <w:t xml:space="preserve">The recommended dose for </w:t>
      </w:r>
      <w:r w:rsidR="00A26D54">
        <w:t xml:space="preserve">children, </w:t>
      </w:r>
      <w:r w:rsidR="003114A0" w:rsidRPr="003B4B1D">
        <w:t>infants and neonates is 1.0 to 1.5 mmol/kg</w:t>
      </w:r>
      <w:r w:rsidR="00A26D54">
        <w:t xml:space="preserve"> body weight per day</w:t>
      </w:r>
      <w:r w:rsidR="003114A0" w:rsidRPr="003B4B1D">
        <w:t xml:space="preserve">. </w:t>
      </w:r>
    </w:p>
    <w:p w14:paraId="73AAE948" w14:textId="125F7ED2" w:rsidR="006F23E1" w:rsidRDefault="006F23E1" w:rsidP="00235817">
      <w:pPr>
        <w:jc w:val="left"/>
        <w:rPr>
          <w:rFonts w:cs="Arial"/>
        </w:rPr>
      </w:pPr>
    </w:p>
    <w:p w14:paraId="08D402AE" w14:textId="77777777" w:rsidR="00F269BB" w:rsidRPr="00F269BB" w:rsidRDefault="00F269BB" w:rsidP="00124DDF">
      <w:pPr>
        <w:pStyle w:val="Heading3"/>
      </w:pPr>
      <w:r w:rsidRPr="00F269BB">
        <w:t>Instructions for use</w:t>
      </w:r>
    </w:p>
    <w:p w14:paraId="62382DD5" w14:textId="77777777" w:rsidR="00F269BB" w:rsidRDefault="00F269BB" w:rsidP="00F269BB">
      <w:pPr>
        <w:jc w:val="left"/>
        <w:rPr>
          <w:rFonts w:cs="Arial"/>
        </w:rPr>
      </w:pPr>
      <w:r w:rsidRPr="00F269BB">
        <w:rPr>
          <w:rFonts w:cs="Arial"/>
        </w:rPr>
        <w:t>Glycophos</w:t>
      </w:r>
      <w:r w:rsidRPr="00F269BB">
        <w:rPr>
          <w:rFonts w:cs="Arial"/>
          <w:vertAlign w:val="superscript"/>
        </w:rPr>
        <w:t>®</w:t>
      </w:r>
      <w:r w:rsidRPr="00F269BB">
        <w:rPr>
          <w:rFonts w:cs="Arial"/>
        </w:rPr>
        <w:t xml:space="preserve"> must not be given undiluted. </w:t>
      </w:r>
    </w:p>
    <w:p w14:paraId="48778BC7" w14:textId="29133DD7" w:rsidR="00F269BB" w:rsidRDefault="00F269BB" w:rsidP="00F269BB">
      <w:pPr>
        <w:jc w:val="left"/>
        <w:rPr>
          <w:rFonts w:cs="Arial"/>
        </w:rPr>
      </w:pPr>
      <w:r w:rsidRPr="00F269BB">
        <w:rPr>
          <w:rFonts w:cs="Arial"/>
        </w:rPr>
        <w:t>For single use in one patient only. Any excess infusion solution in an opened package must be discarded and must not be kept for later use.</w:t>
      </w:r>
    </w:p>
    <w:p w14:paraId="043BB2ED" w14:textId="77777777" w:rsidR="00F269BB" w:rsidRPr="00F269BB" w:rsidRDefault="00F269BB" w:rsidP="00F269BB">
      <w:pPr>
        <w:jc w:val="left"/>
        <w:rPr>
          <w:rFonts w:cs="Arial"/>
        </w:rPr>
      </w:pPr>
    </w:p>
    <w:p w14:paraId="2D3A1E78" w14:textId="77777777" w:rsidR="00F269BB" w:rsidRPr="00F269BB" w:rsidRDefault="00F269BB" w:rsidP="00124DDF">
      <w:pPr>
        <w:pStyle w:val="Heading3"/>
      </w:pPr>
      <w:r w:rsidRPr="00F269BB">
        <w:t>Compatibility</w:t>
      </w:r>
    </w:p>
    <w:p w14:paraId="29AFBEE2" w14:textId="77777777" w:rsidR="00F269BB" w:rsidRPr="00F269BB" w:rsidRDefault="00F269BB" w:rsidP="00F269BB">
      <w:pPr>
        <w:jc w:val="left"/>
        <w:rPr>
          <w:rFonts w:cs="Arial"/>
          <w:lang w:val="en-AU"/>
        </w:rPr>
      </w:pPr>
      <w:r w:rsidRPr="00F269BB">
        <w:rPr>
          <w:rFonts w:cs="Arial"/>
        </w:rPr>
        <w:t>Additions should be made aseptically.</w:t>
      </w:r>
    </w:p>
    <w:p w14:paraId="563A9D0C" w14:textId="77777777" w:rsidR="00F269BB" w:rsidRPr="00F269BB" w:rsidRDefault="00F269BB" w:rsidP="00F269BB">
      <w:pPr>
        <w:jc w:val="left"/>
        <w:rPr>
          <w:rFonts w:cs="Arial"/>
          <w:lang w:val="en-AU"/>
        </w:rPr>
      </w:pPr>
    </w:p>
    <w:p w14:paraId="21A7B100" w14:textId="77777777" w:rsidR="00F269BB" w:rsidRPr="00F269BB" w:rsidRDefault="00F269BB" w:rsidP="00F269BB">
      <w:pPr>
        <w:jc w:val="left"/>
        <w:rPr>
          <w:rFonts w:cs="Arial"/>
          <w:lang w:val="en-AU"/>
        </w:rPr>
      </w:pPr>
      <w:r w:rsidRPr="00F269BB">
        <w:rPr>
          <w:rFonts w:cs="Arial"/>
          <w:lang w:val="en-AU"/>
        </w:rPr>
        <w:t>Glycophos</w:t>
      </w:r>
      <w:r w:rsidRPr="00F269BB">
        <w:rPr>
          <w:rFonts w:cs="Arial"/>
          <w:vertAlign w:val="superscript"/>
          <w:lang w:val="en-AU"/>
        </w:rPr>
        <w:t>®</w:t>
      </w:r>
      <w:r w:rsidRPr="00F269BB">
        <w:rPr>
          <w:rFonts w:cs="Arial"/>
          <w:lang w:val="en-AU"/>
        </w:rPr>
        <w:t xml:space="preserve"> is used as an additive to TPN admixtures in compounded bags where compatibility data are available. Compatibility of Glycophos</w:t>
      </w:r>
      <w:r w:rsidRPr="00F269BB">
        <w:rPr>
          <w:rFonts w:cs="Arial"/>
          <w:vertAlign w:val="superscript"/>
          <w:lang w:val="en-AU"/>
        </w:rPr>
        <w:t>®</w:t>
      </w:r>
      <w:r w:rsidRPr="00F269BB">
        <w:rPr>
          <w:rFonts w:cs="Arial"/>
          <w:lang w:val="en-AU"/>
        </w:rPr>
        <w:t xml:space="preserve"> has been demonstrated for use with the named branded products SMOFlipid, Aminoven 10%, Addaven, Soluvit N and Vitalipid N in defined amounts and standard IV solutions of glucose and electrolytes in defined concentrations. Glycophos</w:t>
      </w:r>
      <w:r w:rsidRPr="00F269BB">
        <w:rPr>
          <w:rFonts w:cs="Arial"/>
          <w:vertAlign w:val="superscript"/>
          <w:lang w:val="en-AU"/>
        </w:rPr>
        <w:t>®</w:t>
      </w:r>
      <w:r w:rsidRPr="00F269BB">
        <w:rPr>
          <w:rFonts w:cs="Arial"/>
          <w:lang w:val="en-AU"/>
        </w:rPr>
        <w:t xml:space="preserve"> can also be added to the SmofKabiven and Kabiven range of products.</w:t>
      </w:r>
    </w:p>
    <w:p w14:paraId="393E0619" w14:textId="77777777" w:rsidR="00F269BB" w:rsidRPr="00F269BB" w:rsidRDefault="00F269BB" w:rsidP="00F269BB">
      <w:pPr>
        <w:jc w:val="left"/>
        <w:rPr>
          <w:rFonts w:cs="Arial"/>
          <w:lang w:val="en-AU"/>
        </w:rPr>
      </w:pPr>
    </w:p>
    <w:p w14:paraId="1B7CB04C" w14:textId="77777777" w:rsidR="00F269BB" w:rsidRPr="00F269BB" w:rsidRDefault="00F269BB" w:rsidP="00F269BB">
      <w:pPr>
        <w:jc w:val="left"/>
        <w:rPr>
          <w:rFonts w:cs="Arial"/>
          <w:lang w:val="en-AU"/>
        </w:rPr>
      </w:pPr>
      <w:r w:rsidRPr="00F269BB">
        <w:rPr>
          <w:rFonts w:cs="Arial"/>
          <w:lang w:val="en-AU"/>
        </w:rPr>
        <w:t xml:space="preserve">In addition, </w:t>
      </w:r>
    </w:p>
    <w:p w14:paraId="19840477" w14:textId="77777777" w:rsidR="00F269BB" w:rsidRPr="00F269BB" w:rsidRDefault="00F269BB" w:rsidP="00F269BB">
      <w:pPr>
        <w:numPr>
          <w:ilvl w:val="0"/>
          <w:numId w:val="38"/>
        </w:numPr>
        <w:jc w:val="left"/>
        <w:rPr>
          <w:rFonts w:cs="Arial"/>
          <w:lang w:val="en-AU"/>
        </w:rPr>
      </w:pPr>
      <w:r w:rsidRPr="00F269BB">
        <w:rPr>
          <w:rFonts w:cs="Arial"/>
          <w:lang w:val="en-AU"/>
        </w:rPr>
        <w:t>up to 10 mL of Glycophos</w:t>
      </w:r>
      <w:r w:rsidRPr="00F269BB">
        <w:rPr>
          <w:rFonts w:cs="Arial"/>
          <w:vertAlign w:val="superscript"/>
          <w:lang w:val="en-AU"/>
        </w:rPr>
        <w:t>®</w:t>
      </w:r>
      <w:r w:rsidRPr="00F269BB">
        <w:rPr>
          <w:rFonts w:cs="Arial"/>
          <w:lang w:val="en-AU"/>
        </w:rPr>
        <w:t xml:space="preserve"> and 10 mmol of calcium (as calcium chloride) can be added to 1000 mL of Glucose 50 mg/mL. </w:t>
      </w:r>
    </w:p>
    <w:p w14:paraId="78AC0D30" w14:textId="77777777" w:rsidR="00F269BB" w:rsidRPr="00F269BB" w:rsidRDefault="00F269BB" w:rsidP="00F269BB">
      <w:pPr>
        <w:numPr>
          <w:ilvl w:val="0"/>
          <w:numId w:val="38"/>
        </w:numPr>
        <w:jc w:val="left"/>
        <w:rPr>
          <w:rFonts w:cs="Arial"/>
          <w:lang w:val="en-AU"/>
        </w:rPr>
      </w:pPr>
      <w:r w:rsidRPr="00F269BB">
        <w:rPr>
          <w:rFonts w:cs="Arial"/>
          <w:lang w:val="en-AU"/>
        </w:rPr>
        <w:t>up to 20 mL of Glycophos</w:t>
      </w:r>
      <w:r w:rsidRPr="00F269BB">
        <w:rPr>
          <w:rFonts w:cs="Arial"/>
          <w:vertAlign w:val="superscript"/>
          <w:lang w:val="en-AU"/>
        </w:rPr>
        <w:t>®</w:t>
      </w:r>
      <w:r w:rsidRPr="00F269BB">
        <w:rPr>
          <w:rFonts w:cs="Arial"/>
          <w:lang w:val="en-AU"/>
        </w:rPr>
        <w:t xml:space="preserve"> and 20 mmol of calcium (as calcium chloride) can be added to 1000 mL of Glucose 200 mg/mL. </w:t>
      </w:r>
    </w:p>
    <w:p w14:paraId="7B82E0F9" w14:textId="77777777" w:rsidR="00F269BB" w:rsidRPr="00F269BB" w:rsidRDefault="00F269BB" w:rsidP="00F269BB">
      <w:pPr>
        <w:numPr>
          <w:ilvl w:val="0"/>
          <w:numId w:val="38"/>
        </w:numPr>
        <w:jc w:val="left"/>
        <w:rPr>
          <w:rFonts w:cs="Arial"/>
          <w:lang w:val="en-AU"/>
        </w:rPr>
      </w:pPr>
      <w:r w:rsidRPr="00F269BB">
        <w:rPr>
          <w:rFonts w:cs="Arial"/>
          <w:lang w:val="en-AU"/>
        </w:rPr>
        <w:t>up to 60 mL of Glycophos</w:t>
      </w:r>
      <w:r w:rsidRPr="00F269BB">
        <w:rPr>
          <w:rFonts w:cs="Arial"/>
          <w:vertAlign w:val="superscript"/>
          <w:lang w:val="en-AU"/>
        </w:rPr>
        <w:t>®</w:t>
      </w:r>
      <w:r w:rsidRPr="00F269BB">
        <w:rPr>
          <w:rFonts w:cs="Arial"/>
          <w:lang w:val="en-AU"/>
        </w:rPr>
        <w:t xml:space="preserve"> and 24 mmol of calcium (as calcium chloride) can be added to 1000 mL of Glucose 500 mg/mL.</w:t>
      </w:r>
    </w:p>
    <w:p w14:paraId="66FD9815" w14:textId="77777777" w:rsidR="00F269BB" w:rsidRPr="00F269BB" w:rsidRDefault="00F269BB" w:rsidP="00F269BB">
      <w:pPr>
        <w:jc w:val="left"/>
        <w:rPr>
          <w:rFonts w:cs="Arial"/>
          <w:lang w:val="en-AU"/>
        </w:rPr>
      </w:pPr>
    </w:p>
    <w:p w14:paraId="29C03F90" w14:textId="77777777" w:rsidR="00F269BB" w:rsidRPr="00F269BB" w:rsidRDefault="00F269BB" w:rsidP="00124DDF">
      <w:pPr>
        <w:pStyle w:val="Heading3"/>
      </w:pPr>
      <w:r w:rsidRPr="00F269BB">
        <w:t>Infusion time</w:t>
      </w:r>
    </w:p>
    <w:p w14:paraId="4F533A4C" w14:textId="77777777" w:rsidR="00F269BB" w:rsidRPr="00F269BB" w:rsidRDefault="00F269BB" w:rsidP="00F269BB">
      <w:pPr>
        <w:jc w:val="left"/>
        <w:rPr>
          <w:rFonts w:cs="Arial"/>
        </w:rPr>
      </w:pPr>
      <w:r w:rsidRPr="00F269BB">
        <w:rPr>
          <w:rFonts w:cs="Arial"/>
        </w:rPr>
        <w:t>The infusion duration depends on the admixture; the infusion must be administered over a period of at least 8 hours.</w:t>
      </w:r>
    </w:p>
    <w:p w14:paraId="46F05E49" w14:textId="77777777" w:rsidR="00F269BB" w:rsidRPr="00F269BB" w:rsidRDefault="00F269BB" w:rsidP="00F269BB">
      <w:pPr>
        <w:jc w:val="left"/>
        <w:rPr>
          <w:rFonts w:cs="Arial"/>
        </w:rPr>
      </w:pPr>
    </w:p>
    <w:p w14:paraId="0E5DE6D9" w14:textId="77777777" w:rsidR="00F269BB" w:rsidRPr="00F269BB" w:rsidRDefault="00F269BB" w:rsidP="00124DDF">
      <w:pPr>
        <w:pStyle w:val="Heading3"/>
      </w:pPr>
      <w:r w:rsidRPr="00F269BB">
        <w:t>Stability</w:t>
      </w:r>
    </w:p>
    <w:p w14:paraId="436DBB85" w14:textId="77777777" w:rsidR="00F269BB" w:rsidRPr="00F269BB" w:rsidRDefault="00F269BB" w:rsidP="00F269BB">
      <w:pPr>
        <w:jc w:val="left"/>
        <w:rPr>
          <w:rFonts w:cs="Arial"/>
        </w:rPr>
      </w:pPr>
      <w:r w:rsidRPr="00F269BB">
        <w:rPr>
          <w:rFonts w:cs="Arial"/>
        </w:rPr>
        <w:t>When additions are made to an infusion solution, the infusion should be completed within 24 hours at 20-25°C from the time of preparation to avoid microbiological contamination.</w:t>
      </w:r>
    </w:p>
    <w:p w14:paraId="749105C5" w14:textId="77777777" w:rsidR="00F269BB" w:rsidRPr="007A6848" w:rsidRDefault="00F269BB" w:rsidP="00235817">
      <w:pPr>
        <w:jc w:val="left"/>
        <w:rPr>
          <w:rFonts w:cs="Arial"/>
        </w:rPr>
      </w:pPr>
    </w:p>
    <w:p w14:paraId="2B5EB591" w14:textId="2F9266AA" w:rsidR="0032608A" w:rsidRPr="007A6848" w:rsidRDefault="001A1ABD" w:rsidP="00235817">
      <w:pPr>
        <w:pStyle w:val="Heading2"/>
        <w:jc w:val="left"/>
      </w:pPr>
      <w:r w:rsidRPr="007A6848">
        <w:t>4</w:t>
      </w:r>
      <w:r w:rsidR="00BC3590" w:rsidRPr="007A6848">
        <w:t>.3</w:t>
      </w:r>
      <w:r w:rsidR="00BC3590" w:rsidRPr="007A6848">
        <w:tab/>
      </w:r>
      <w:r w:rsidR="0032608A" w:rsidRPr="007A6848">
        <w:t>Contraindications</w:t>
      </w:r>
    </w:p>
    <w:p w14:paraId="602C4838" w14:textId="7015BC58" w:rsidR="00EF43B4" w:rsidRDefault="00093A53" w:rsidP="00235817">
      <w:pPr>
        <w:tabs>
          <w:tab w:val="left" w:pos="426"/>
        </w:tabs>
        <w:jc w:val="left"/>
        <w:rPr>
          <w:rFonts w:cs="Arial"/>
        </w:rPr>
      </w:pPr>
      <w:r>
        <w:rPr>
          <w:rFonts w:cs="Arial"/>
        </w:rPr>
        <w:t>Glycophos</w:t>
      </w:r>
      <w:r w:rsidR="00756D18" w:rsidRPr="002302F8">
        <w:rPr>
          <w:rFonts w:cs="Arial"/>
          <w:vertAlign w:val="superscript"/>
        </w:rPr>
        <w:t>®</w:t>
      </w:r>
      <w:r>
        <w:rPr>
          <w:rFonts w:cs="Arial"/>
        </w:rPr>
        <w:t xml:space="preserve"> </w:t>
      </w:r>
      <w:r w:rsidR="0075082D" w:rsidRPr="0075082D">
        <w:rPr>
          <w:rFonts w:cs="Arial"/>
        </w:rPr>
        <w:t xml:space="preserve">should not be given to patients in a state of dehydration or with </w:t>
      </w:r>
      <w:proofErr w:type="spellStart"/>
      <w:r w:rsidR="0075082D" w:rsidRPr="0075082D">
        <w:rPr>
          <w:rFonts w:cs="Arial"/>
        </w:rPr>
        <w:t>hypernatraemia</w:t>
      </w:r>
      <w:proofErr w:type="spellEnd"/>
      <w:r w:rsidR="0075082D" w:rsidRPr="0075082D">
        <w:rPr>
          <w:rFonts w:cs="Arial"/>
        </w:rPr>
        <w:t xml:space="preserve">, </w:t>
      </w:r>
      <w:proofErr w:type="spellStart"/>
      <w:r w:rsidR="0075082D" w:rsidRPr="0075082D">
        <w:rPr>
          <w:rFonts w:cs="Arial"/>
        </w:rPr>
        <w:t>hyperphosphataemia</w:t>
      </w:r>
      <w:proofErr w:type="spellEnd"/>
      <w:r w:rsidR="0075082D" w:rsidRPr="0075082D">
        <w:rPr>
          <w:rFonts w:cs="Arial"/>
        </w:rPr>
        <w:t>, severe renal insufficiency or shock.</w:t>
      </w:r>
    </w:p>
    <w:p w14:paraId="2379141A" w14:textId="77777777" w:rsidR="0075082D" w:rsidRPr="007A6848" w:rsidRDefault="0075082D" w:rsidP="00235817">
      <w:pPr>
        <w:tabs>
          <w:tab w:val="left" w:pos="426"/>
        </w:tabs>
        <w:jc w:val="left"/>
        <w:rPr>
          <w:rFonts w:cs="Arial"/>
        </w:rPr>
      </w:pPr>
    </w:p>
    <w:p w14:paraId="1DDB65F6" w14:textId="015BA250" w:rsidR="0032608A" w:rsidRPr="007A6848" w:rsidRDefault="001A1ABD" w:rsidP="00235817">
      <w:pPr>
        <w:pStyle w:val="Heading2"/>
        <w:jc w:val="left"/>
      </w:pPr>
      <w:bookmarkStart w:id="2" w:name="_Hlk514766362"/>
      <w:r w:rsidRPr="007A6848">
        <w:t>4</w:t>
      </w:r>
      <w:r w:rsidR="00BC3590" w:rsidRPr="007A6848">
        <w:t>.4</w:t>
      </w:r>
      <w:r w:rsidR="00BC3590" w:rsidRPr="007A6848">
        <w:tab/>
      </w:r>
      <w:r w:rsidR="0032608A" w:rsidRPr="007A6848">
        <w:t>Special warnings and precautions for use</w:t>
      </w:r>
    </w:p>
    <w:bookmarkEnd w:id="2"/>
    <w:p w14:paraId="63CD9AD8" w14:textId="61BA334C" w:rsidR="00C9610C" w:rsidRDefault="00C9610C" w:rsidP="00235817">
      <w:pPr>
        <w:pStyle w:val="Heading3"/>
        <w:jc w:val="left"/>
      </w:pPr>
      <w:r>
        <w:t>Identified precautions</w:t>
      </w:r>
    </w:p>
    <w:p w14:paraId="04D07BA9" w14:textId="0CE76300" w:rsidR="003C6B86" w:rsidRDefault="00093A53" w:rsidP="00235817">
      <w:pPr>
        <w:jc w:val="left"/>
        <w:rPr>
          <w:rFonts w:cs="Arial"/>
        </w:rPr>
      </w:pPr>
      <w:r>
        <w:rPr>
          <w:rFonts w:cs="Arial"/>
        </w:rPr>
        <w:t>Glycophos</w:t>
      </w:r>
      <w:r w:rsidR="00756D18" w:rsidRPr="002302F8">
        <w:rPr>
          <w:rFonts w:cs="Arial"/>
          <w:vertAlign w:val="superscript"/>
        </w:rPr>
        <w:t>®</w:t>
      </w:r>
      <w:r>
        <w:rPr>
          <w:rFonts w:cs="Arial"/>
        </w:rPr>
        <w:t xml:space="preserve"> </w:t>
      </w:r>
      <w:r w:rsidR="0075082D" w:rsidRPr="0075082D">
        <w:rPr>
          <w:rFonts w:cs="Arial"/>
        </w:rPr>
        <w:t xml:space="preserve">should be used with caution in patients with impaired renal function. The </w:t>
      </w:r>
      <w:r w:rsidR="00A26D54">
        <w:rPr>
          <w:rFonts w:cs="Arial"/>
        </w:rPr>
        <w:t xml:space="preserve">serum </w:t>
      </w:r>
      <w:r w:rsidR="0075082D" w:rsidRPr="0075082D">
        <w:rPr>
          <w:rFonts w:cs="Arial"/>
        </w:rPr>
        <w:t xml:space="preserve">phosphate </w:t>
      </w:r>
      <w:r w:rsidR="00A26D54">
        <w:rPr>
          <w:rFonts w:cs="Arial"/>
        </w:rPr>
        <w:t>levels</w:t>
      </w:r>
      <w:r w:rsidR="0075082D" w:rsidRPr="0075082D">
        <w:rPr>
          <w:rFonts w:cs="Arial"/>
        </w:rPr>
        <w:t xml:space="preserve"> of all patients should be monitored regularly.</w:t>
      </w:r>
    </w:p>
    <w:p w14:paraId="3EFC6E31" w14:textId="77777777" w:rsidR="0075082D" w:rsidRDefault="0075082D" w:rsidP="00235817">
      <w:pPr>
        <w:jc w:val="left"/>
        <w:rPr>
          <w:rFonts w:cs="Arial"/>
        </w:rPr>
      </w:pPr>
    </w:p>
    <w:p w14:paraId="04285273" w14:textId="23CDA130" w:rsidR="0075082D" w:rsidRDefault="00093A53" w:rsidP="00235817">
      <w:pPr>
        <w:jc w:val="left"/>
        <w:rPr>
          <w:rFonts w:cs="Arial"/>
        </w:rPr>
      </w:pPr>
      <w:r>
        <w:rPr>
          <w:rFonts w:cs="Arial"/>
        </w:rPr>
        <w:t>Glycophos</w:t>
      </w:r>
      <w:r w:rsidR="00756D18" w:rsidRPr="002302F8">
        <w:rPr>
          <w:rFonts w:cs="Arial"/>
          <w:vertAlign w:val="superscript"/>
        </w:rPr>
        <w:t>®</w:t>
      </w:r>
      <w:r>
        <w:rPr>
          <w:rFonts w:cs="Arial"/>
        </w:rPr>
        <w:t xml:space="preserve"> </w:t>
      </w:r>
      <w:r w:rsidR="0075082D" w:rsidRPr="0075082D">
        <w:rPr>
          <w:rFonts w:cs="Arial"/>
        </w:rPr>
        <w:t>must not be given undiluted.</w:t>
      </w:r>
    </w:p>
    <w:p w14:paraId="2BCAE6AF" w14:textId="77777777" w:rsidR="004960D6" w:rsidRDefault="004960D6" w:rsidP="00235817">
      <w:pPr>
        <w:jc w:val="left"/>
        <w:rPr>
          <w:rFonts w:cs="Arial"/>
        </w:rPr>
      </w:pPr>
    </w:p>
    <w:p w14:paraId="39F22CFB" w14:textId="77777777" w:rsidR="00AB0E23" w:rsidRPr="00C57EB6" w:rsidRDefault="00AB0E23" w:rsidP="00235817">
      <w:pPr>
        <w:pStyle w:val="Heading3"/>
        <w:jc w:val="left"/>
      </w:pPr>
      <w:r w:rsidRPr="00C57EB6">
        <w:lastRenderedPageBreak/>
        <w:t>Use in the elderly</w:t>
      </w:r>
    </w:p>
    <w:p w14:paraId="14800374" w14:textId="293D02C0" w:rsidR="00AB0E23" w:rsidRDefault="00A351A5" w:rsidP="00235817">
      <w:pPr>
        <w:jc w:val="left"/>
        <w:rPr>
          <w:rFonts w:cs="Arial"/>
        </w:rPr>
      </w:pPr>
      <w:r w:rsidRPr="00C57EB6">
        <w:rPr>
          <w:rFonts w:cs="Arial"/>
        </w:rPr>
        <w:t xml:space="preserve">No data </w:t>
      </w:r>
      <w:r w:rsidR="00541A9C">
        <w:rPr>
          <w:rFonts w:cs="Arial"/>
        </w:rPr>
        <w:t xml:space="preserve">is </w:t>
      </w:r>
      <w:r w:rsidRPr="00C57EB6">
        <w:rPr>
          <w:rFonts w:cs="Arial"/>
        </w:rPr>
        <w:t>available.</w:t>
      </w:r>
    </w:p>
    <w:p w14:paraId="72487BC4" w14:textId="77777777" w:rsidR="00C57EB6" w:rsidRPr="00C57EB6" w:rsidRDefault="00C57EB6" w:rsidP="00235817">
      <w:pPr>
        <w:jc w:val="left"/>
        <w:rPr>
          <w:rFonts w:cs="Arial"/>
        </w:rPr>
      </w:pPr>
    </w:p>
    <w:p w14:paraId="5657353E" w14:textId="0DCEA410" w:rsidR="00C57EB6" w:rsidRPr="007A6848" w:rsidRDefault="00C57EB6" w:rsidP="00235817">
      <w:pPr>
        <w:pStyle w:val="Heading3"/>
        <w:jc w:val="left"/>
      </w:pPr>
      <w:r w:rsidRPr="007A6848">
        <w:t xml:space="preserve">Paediatric </w:t>
      </w:r>
      <w:r>
        <w:t>use</w:t>
      </w:r>
    </w:p>
    <w:p w14:paraId="6AA25FF7" w14:textId="22AD6C08" w:rsidR="00C57EB6" w:rsidRPr="00331476" w:rsidRDefault="00093A53" w:rsidP="00235817">
      <w:pPr>
        <w:jc w:val="left"/>
        <w:rPr>
          <w:rFonts w:cs="Arial"/>
        </w:rPr>
      </w:pPr>
      <w:r>
        <w:rPr>
          <w:rFonts w:cs="Arial"/>
        </w:rPr>
        <w:t>Glycophos</w:t>
      </w:r>
      <w:r w:rsidR="00756D18" w:rsidRPr="002302F8">
        <w:rPr>
          <w:rFonts w:cs="Arial"/>
          <w:vertAlign w:val="superscript"/>
        </w:rPr>
        <w:t>®</w:t>
      </w:r>
      <w:r>
        <w:rPr>
          <w:rFonts w:cs="Arial"/>
        </w:rPr>
        <w:t xml:space="preserve"> </w:t>
      </w:r>
      <w:r w:rsidR="00A26D54">
        <w:rPr>
          <w:rFonts w:cs="Arial"/>
        </w:rPr>
        <w:t>is recommended for use is paediatric patients.</w:t>
      </w:r>
    </w:p>
    <w:p w14:paraId="342BAD1C" w14:textId="77777777" w:rsidR="00D23323" w:rsidRPr="00C9610C" w:rsidRDefault="00D23323" w:rsidP="00235817">
      <w:pPr>
        <w:tabs>
          <w:tab w:val="left" w:pos="426"/>
        </w:tabs>
        <w:spacing w:line="240" w:lineRule="auto"/>
        <w:jc w:val="left"/>
        <w:rPr>
          <w:rFonts w:cs="Arial"/>
        </w:rPr>
      </w:pPr>
    </w:p>
    <w:p w14:paraId="45EAE309" w14:textId="77777777" w:rsidR="00AB0E23" w:rsidRPr="00F379E6" w:rsidRDefault="00AB0E23" w:rsidP="00235817">
      <w:pPr>
        <w:pStyle w:val="Heading3"/>
        <w:jc w:val="left"/>
      </w:pPr>
      <w:bookmarkStart w:id="3" w:name="_Hlk13813878"/>
      <w:r w:rsidRPr="00F379E6">
        <w:t>Effects on laboratory tests</w:t>
      </w:r>
    </w:p>
    <w:p w14:paraId="3E704554" w14:textId="733E025D" w:rsidR="00E26583" w:rsidRDefault="0075082D" w:rsidP="00235817">
      <w:pPr>
        <w:jc w:val="left"/>
        <w:rPr>
          <w:rFonts w:cs="Arial"/>
        </w:rPr>
      </w:pPr>
      <w:r>
        <w:rPr>
          <w:rFonts w:cs="Arial"/>
        </w:rPr>
        <w:t xml:space="preserve">No data </w:t>
      </w:r>
      <w:r w:rsidR="00541A9C">
        <w:rPr>
          <w:rFonts w:cs="Arial"/>
        </w:rPr>
        <w:t xml:space="preserve">is </w:t>
      </w:r>
      <w:r>
        <w:rPr>
          <w:rFonts w:cs="Arial"/>
        </w:rPr>
        <w:t>available.</w:t>
      </w:r>
    </w:p>
    <w:p w14:paraId="09663728" w14:textId="77777777" w:rsidR="0065348B" w:rsidRPr="00F379E6" w:rsidRDefault="0065348B" w:rsidP="00235817">
      <w:pPr>
        <w:jc w:val="left"/>
        <w:rPr>
          <w:rFonts w:cs="Arial"/>
        </w:rPr>
      </w:pPr>
    </w:p>
    <w:bookmarkEnd w:id="3"/>
    <w:p w14:paraId="20F149CA" w14:textId="5112B58E" w:rsidR="0065348B" w:rsidRPr="00F379E6" w:rsidRDefault="0065348B" w:rsidP="0065348B">
      <w:pPr>
        <w:pStyle w:val="Heading3"/>
        <w:jc w:val="left"/>
      </w:pPr>
      <w:r>
        <w:t>Long term parenteral nutrition</w:t>
      </w:r>
    </w:p>
    <w:p w14:paraId="63A893A9" w14:textId="06949FFB" w:rsidR="0065348B" w:rsidRPr="00F379E6" w:rsidRDefault="0065348B" w:rsidP="0065348B">
      <w:pPr>
        <w:jc w:val="left"/>
        <w:rPr>
          <w:rFonts w:cs="Arial"/>
        </w:rPr>
      </w:pPr>
      <w:r>
        <w:rPr>
          <w:rFonts w:cs="Arial"/>
        </w:rPr>
        <w:t>The use of Glycophos</w:t>
      </w:r>
      <w:r w:rsidR="00756D18" w:rsidRPr="002302F8">
        <w:rPr>
          <w:rFonts w:cs="Arial"/>
          <w:vertAlign w:val="superscript"/>
        </w:rPr>
        <w:t>®</w:t>
      </w:r>
      <w:r>
        <w:rPr>
          <w:rFonts w:cs="Arial"/>
        </w:rPr>
        <w:t xml:space="preserve"> for long-term parenteral nutrition has limited clinical experience</w:t>
      </w:r>
      <w:r w:rsidR="00853F7E">
        <w:rPr>
          <w:rFonts w:cs="Arial"/>
        </w:rPr>
        <w:t xml:space="preserve"> and pre</w:t>
      </w:r>
      <w:r w:rsidR="004D1E82">
        <w:rPr>
          <w:rFonts w:cs="Arial"/>
        </w:rPr>
        <w:t>cautions need to be taken while using</w:t>
      </w:r>
      <w:r w:rsidR="004D1E82" w:rsidRPr="004D1E82">
        <w:rPr>
          <w:rFonts w:cs="Arial"/>
        </w:rPr>
        <w:t xml:space="preserve"> </w:t>
      </w:r>
      <w:r w:rsidR="004D1E82">
        <w:rPr>
          <w:rFonts w:cs="Arial"/>
        </w:rPr>
        <w:t>Glycophos</w:t>
      </w:r>
      <w:r w:rsidR="004D1E82" w:rsidRPr="002302F8">
        <w:rPr>
          <w:rFonts w:cs="Arial"/>
          <w:vertAlign w:val="superscript"/>
        </w:rPr>
        <w:t>®</w:t>
      </w:r>
      <w:r w:rsidR="004D1E82">
        <w:rPr>
          <w:rFonts w:cs="Arial"/>
        </w:rPr>
        <w:t xml:space="preserve"> </w:t>
      </w:r>
      <w:r w:rsidR="00E26DCC">
        <w:rPr>
          <w:rFonts w:cs="Arial"/>
        </w:rPr>
        <w:t>for an extended duration</w:t>
      </w:r>
      <w:r>
        <w:rPr>
          <w:rFonts w:cs="Arial"/>
        </w:rPr>
        <w:t>. Glycophos</w:t>
      </w:r>
      <w:r w:rsidR="00756D18" w:rsidRPr="002302F8">
        <w:rPr>
          <w:rFonts w:cs="Arial"/>
          <w:vertAlign w:val="superscript"/>
        </w:rPr>
        <w:t>®</w:t>
      </w:r>
      <w:r>
        <w:rPr>
          <w:rFonts w:cs="Arial"/>
        </w:rPr>
        <w:t xml:space="preserve"> may be used for </w:t>
      </w:r>
      <w:r w:rsidR="004719FD">
        <w:rPr>
          <w:rFonts w:cs="Arial"/>
        </w:rPr>
        <w:t xml:space="preserve">a </w:t>
      </w:r>
      <w:r w:rsidR="007B21D5">
        <w:rPr>
          <w:rFonts w:cs="Arial"/>
        </w:rPr>
        <w:t>longer duration</w:t>
      </w:r>
      <w:r>
        <w:rPr>
          <w:rFonts w:cs="Arial"/>
        </w:rPr>
        <w:t xml:space="preserve"> </w:t>
      </w:r>
      <w:r w:rsidR="007B21D5">
        <w:rPr>
          <w:rFonts w:cs="Arial"/>
        </w:rPr>
        <w:t>depending on</w:t>
      </w:r>
      <w:r>
        <w:rPr>
          <w:rFonts w:cs="Arial"/>
        </w:rPr>
        <w:t xml:space="preserve"> the </w:t>
      </w:r>
      <w:r w:rsidR="007B21D5">
        <w:rPr>
          <w:rFonts w:cs="Arial"/>
        </w:rPr>
        <w:t xml:space="preserve">clinical </w:t>
      </w:r>
      <w:r>
        <w:rPr>
          <w:rFonts w:cs="Arial"/>
        </w:rPr>
        <w:t>judgement of the healthcare professional.</w:t>
      </w:r>
    </w:p>
    <w:p w14:paraId="38E84DA9" w14:textId="77777777" w:rsidR="005279F5" w:rsidRPr="007A6848" w:rsidRDefault="005279F5" w:rsidP="00235817">
      <w:pPr>
        <w:tabs>
          <w:tab w:val="left" w:pos="426"/>
        </w:tabs>
        <w:spacing w:line="240" w:lineRule="auto"/>
        <w:jc w:val="left"/>
        <w:rPr>
          <w:rFonts w:cs="Arial"/>
        </w:rPr>
      </w:pPr>
    </w:p>
    <w:p w14:paraId="42F8226A" w14:textId="2E539F6C" w:rsidR="0032608A" w:rsidRPr="007A6848" w:rsidRDefault="001A1ABD" w:rsidP="00235817">
      <w:pPr>
        <w:pStyle w:val="Heading2"/>
        <w:jc w:val="left"/>
      </w:pPr>
      <w:r w:rsidRPr="007A6848">
        <w:t>4</w:t>
      </w:r>
      <w:r w:rsidR="00BC3590" w:rsidRPr="007A6848">
        <w:t>.5</w:t>
      </w:r>
      <w:r w:rsidR="00BC3590" w:rsidRPr="007A6848">
        <w:tab/>
      </w:r>
      <w:r w:rsidR="0032608A" w:rsidRPr="007A6848">
        <w:t>Interaction with other medicines and other forms of interaction</w:t>
      </w:r>
      <w:r w:rsidR="00A65D6D" w:rsidRPr="007A6848">
        <w:t>s</w:t>
      </w:r>
    </w:p>
    <w:p w14:paraId="2B7D8894" w14:textId="55354AA4" w:rsidR="003C6B86" w:rsidRDefault="0075082D" w:rsidP="00235817">
      <w:pPr>
        <w:jc w:val="left"/>
        <w:rPr>
          <w:rFonts w:cs="Arial"/>
        </w:rPr>
      </w:pPr>
      <w:r w:rsidRPr="0075082D">
        <w:rPr>
          <w:rFonts w:cs="Arial"/>
        </w:rPr>
        <w:t>No interactions with other drugs have been observed, but a moderate fall in serum phosphate can be seen during carbohydrate infusions.</w:t>
      </w:r>
    </w:p>
    <w:p w14:paraId="787D5B1A" w14:textId="77777777" w:rsidR="0075082D" w:rsidRPr="007A6848" w:rsidRDefault="0075082D" w:rsidP="00235817">
      <w:pPr>
        <w:jc w:val="left"/>
        <w:rPr>
          <w:rFonts w:cs="Arial"/>
        </w:rPr>
      </w:pPr>
    </w:p>
    <w:p w14:paraId="31F86140" w14:textId="7552C610" w:rsidR="0032608A" w:rsidRPr="007A6848" w:rsidRDefault="001A1ABD" w:rsidP="00235817">
      <w:pPr>
        <w:pStyle w:val="Heading2"/>
        <w:jc w:val="left"/>
      </w:pPr>
      <w:r w:rsidRPr="007A6848">
        <w:t>4</w:t>
      </w:r>
      <w:r w:rsidR="00BC3590" w:rsidRPr="007A6848">
        <w:t>.6</w:t>
      </w:r>
      <w:r w:rsidR="00BC3590" w:rsidRPr="007A6848">
        <w:tab/>
      </w:r>
      <w:r w:rsidR="0032608A" w:rsidRPr="007A6848">
        <w:t>Fertility, pregnancy and lactation</w:t>
      </w:r>
    </w:p>
    <w:p w14:paraId="20B7A88C" w14:textId="77777777" w:rsidR="00DA1FE7" w:rsidRPr="007A6848" w:rsidRDefault="00DA1FE7" w:rsidP="00235817">
      <w:pPr>
        <w:pStyle w:val="Heading3"/>
        <w:jc w:val="left"/>
      </w:pPr>
      <w:r w:rsidRPr="007A6848">
        <w:t>Effects on fertility</w:t>
      </w:r>
    </w:p>
    <w:p w14:paraId="40C9C399" w14:textId="5357F78D" w:rsidR="00DA1FE7" w:rsidRPr="007A6848" w:rsidRDefault="0009548D" w:rsidP="00235817">
      <w:pPr>
        <w:jc w:val="left"/>
        <w:rPr>
          <w:rFonts w:cs="Arial"/>
        </w:rPr>
      </w:pPr>
      <w:r w:rsidRPr="006E11A7">
        <w:rPr>
          <w:rFonts w:cs="Arial"/>
        </w:rPr>
        <w:t xml:space="preserve">The potential effects of </w:t>
      </w:r>
      <w:r w:rsidR="00093A53">
        <w:rPr>
          <w:rFonts w:cs="Arial"/>
        </w:rPr>
        <w:t>Glycophos</w:t>
      </w:r>
      <w:r w:rsidR="00756D18" w:rsidRPr="002302F8">
        <w:rPr>
          <w:rFonts w:cs="Arial"/>
          <w:vertAlign w:val="superscript"/>
        </w:rPr>
        <w:t>®</w:t>
      </w:r>
      <w:r w:rsidR="00093A53">
        <w:rPr>
          <w:rFonts w:cs="Arial"/>
        </w:rPr>
        <w:t xml:space="preserve"> </w:t>
      </w:r>
      <w:r w:rsidRPr="006E11A7">
        <w:rPr>
          <w:rFonts w:cs="Arial"/>
        </w:rPr>
        <w:t>on fertility and general reproductive performance have not been determined in animal studies.</w:t>
      </w:r>
    </w:p>
    <w:p w14:paraId="17619C07" w14:textId="77777777" w:rsidR="0009548D" w:rsidRPr="007A6848" w:rsidRDefault="0009548D" w:rsidP="00235817">
      <w:pPr>
        <w:jc w:val="left"/>
        <w:rPr>
          <w:rFonts w:cs="Arial"/>
        </w:rPr>
      </w:pPr>
    </w:p>
    <w:p w14:paraId="16AB6B0C" w14:textId="6A3F657C" w:rsidR="00EF43B4" w:rsidRPr="007A6848" w:rsidRDefault="00DA1FE7" w:rsidP="00235817">
      <w:pPr>
        <w:pStyle w:val="Heading3"/>
        <w:jc w:val="left"/>
      </w:pPr>
      <w:r w:rsidRPr="007A6848">
        <w:t>Use in pregnancy</w:t>
      </w:r>
      <w:r w:rsidR="00AB0E23" w:rsidRPr="007A6848">
        <w:t xml:space="preserve"> </w:t>
      </w:r>
    </w:p>
    <w:p w14:paraId="55CB8130" w14:textId="70C0BB01" w:rsidR="0075082D" w:rsidRPr="0075082D" w:rsidRDefault="0075082D" w:rsidP="00235817">
      <w:pPr>
        <w:tabs>
          <w:tab w:val="left" w:pos="426"/>
        </w:tabs>
        <w:spacing w:line="240" w:lineRule="auto"/>
        <w:jc w:val="left"/>
        <w:rPr>
          <w:rFonts w:cs="Arial"/>
        </w:rPr>
      </w:pPr>
      <w:r w:rsidRPr="0075082D">
        <w:rPr>
          <w:rFonts w:cs="Arial"/>
        </w:rPr>
        <w:t xml:space="preserve">Animal reproduction studies or clinical investigations during pregnancy have not been carried out with </w:t>
      </w:r>
      <w:r w:rsidR="00093A53">
        <w:rPr>
          <w:rFonts w:cs="Arial"/>
        </w:rPr>
        <w:t>Glycophos</w:t>
      </w:r>
      <w:r w:rsidR="00756D18" w:rsidRPr="002302F8">
        <w:rPr>
          <w:rFonts w:cs="Arial"/>
          <w:vertAlign w:val="superscript"/>
        </w:rPr>
        <w:t>®</w:t>
      </w:r>
      <w:r w:rsidRPr="0075082D">
        <w:rPr>
          <w:rFonts w:cs="Arial"/>
        </w:rPr>
        <w:t xml:space="preserve">. However, the requirements of phosphate in a pregnant woman are slightly increased compared to non-pregnant women. </w:t>
      </w:r>
    </w:p>
    <w:p w14:paraId="7B27E8A6" w14:textId="77777777" w:rsidR="0075082D" w:rsidRPr="0075082D" w:rsidRDefault="0075082D" w:rsidP="00235817">
      <w:pPr>
        <w:tabs>
          <w:tab w:val="left" w:pos="426"/>
        </w:tabs>
        <w:spacing w:line="240" w:lineRule="auto"/>
        <w:jc w:val="left"/>
        <w:rPr>
          <w:rFonts w:cs="Arial"/>
        </w:rPr>
      </w:pPr>
    </w:p>
    <w:p w14:paraId="04DFE2BB" w14:textId="2CD30CF3" w:rsidR="0009548D" w:rsidRDefault="0075082D" w:rsidP="00235817">
      <w:pPr>
        <w:tabs>
          <w:tab w:val="left" w:pos="426"/>
        </w:tabs>
        <w:spacing w:line="240" w:lineRule="auto"/>
        <w:jc w:val="left"/>
        <w:rPr>
          <w:rFonts w:cs="Arial"/>
        </w:rPr>
      </w:pPr>
      <w:r w:rsidRPr="0075082D">
        <w:rPr>
          <w:rFonts w:cs="Arial"/>
        </w:rPr>
        <w:t xml:space="preserve">No adverse events are to be expected when </w:t>
      </w:r>
      <w:r w:rsidR="00093A53">
        <w:rPr>
          <w:rFonts w:cs="Arial"/>
        </w:rPr>
        <w:t>Glycophos</w:t>
      </w:r>
      <w:r w:rsidR="00756D18" w:rsidRPr="002302F8">
        <w:rPr>
          <w:rFonts w:cs="Arial"/>
          <w:vertAlign w:val="superscript"/>
        </w:rPr>
        <w:t>®</w:t>
      </w:r>
      <w:r w:rsidR="00093A53">
        <w:rPr>
          <w:rFonts w:cs="Arial"/>
        </w:rPr>
        <w:t xml:space="preserve"> </w:t>
      </w:r>
      <w:r w:rsidRPr="0075082D">
        <w:rPr>
          <w:rFonts w:cs="Arial"/>
        </w:rPr>
        <w:t>is administered during pregnancy.</w:t>
      </w:r>
    </w:p>
    <w:p w14:paraId="57E170E3" w14:textId="77777777" w:rsidR="0075082D" w:rsidRPr="007A6848" w:rsidRDefault="0075082D" w:rsidP="00235817">
      <w:pPr>
        <w:tabs>
          <w:tab w:val="left" w:pos="426"/>
        </w:tabs>
        <w:spacing w:line="240" w:lineRule="auto"/>
        <w:jc w:val="left"/>
        <w:rPr>
          <w:rFonts w:cs="Arial"/>
        </w:rPr>
      </w:pPr>
    </w:p>
    <w:p w14:paraId="1C09CCD1" w14:textId="77777777" w:rsidR="00DA1FE7" w:rsidRPr="003F110E" w:rsidRDefault="00DA1FE7" w:rsidP="00235817">
      <w:pPr>
        <w:pStyle w:val="Heading3"/>
        <w:jc w:val="left"/>
      </w:pPr>
      <w:r w:rsidRPr="003F110E">
        <w:t>Use in lactation</w:t>
      </w:r>
    </w:p>
    <w:p w14:paraId="3F034033" w14:textId="4109F74C" w:rsidR="00AB0E23" w:rsidRPr="00F379E6" w:rsidRDefault="008C4386" w:rsidP="00235817">
      <w:pPr>
        <w:jc w:val="left"/>
        <w:rPr>
          <w:rFonts w:cs="Arial"/>
        </w:rPr>
      </w:pPr>
      <w:r w:rsidRPr="00F379E6">
        <w:rPr>
          <w:rFonts w:cs="Arial"/>
        </w:rPr>
        <w:t xml:space="preserve">It is not known whether </w:t>
      </w:r>
      <w:r w:rsidR="00093A53">
        <w:rPr>
          <w:rFonts w:cs="Arial"/>
        </w:rPr>
        <w:t>Glycophos</w:t>
      </w:r>
      <w:r w:rsidR="00756D18" w:rsidRPr="002302F8">
        <w:rPr>
          <w:rFonts w:cs="Arial"/>
          <w:vertAlign w:val="superscript"/>
        </w:rPr>
        <w:t>®</w:t>
      </w:r>
      <w:r w:rsidR="00093A53">
        <w:rPr>
          <w:rFonts w:cs="Arial"/>
        </w:rPr>
        <w:t xml:space="preserve"> </w:t>
      </w:r>
      <w:r w:rsidRPr="00F379E6">
        <w:rPr>
          <w:rFonts w:cs="Arial"/>
        </w:rPr>
        <w:t xml:space="preserve">can enter maternal milk. </w:t>
      </w:r>
      <w:r w:rsidR="00093A53">
        <w:rPr>
          <w:rFonts w:cs="Arial"/>
        </w:rPr>
        <w:t>Glycophos</w:t>
      </w:r>
      <w:r w:rsidR="00756D18" w:rsidRPr="002302F8">
        <w:rPr>
          <w:rFonts w:cs="Arial"/>
          <w:vertAlign w:val="superscript"/>
        </w:rPr>
        <w:t>®</w:t>
      </w:r>
      <w:r w:rsidR="00093A53">
        <w:rPr>
          <w:rFonts w:cs="Arial"/>
        </w:rPr>
        <w:t xml:space="preserve"> </w:t>
      </w:r>
      <w:r w:rsidRPr="00F379E6">
        <w:rPr>
          <w:rFonts w:cs="Arial"/>
        </w:rPr>
        <w:t>should be used during lactation only if clearly needed.</w:t>
      </w:r>
      <w:r w:rsidR="00E432EB" w:rsidRPr="00F379E6">
        <w:rPr>
          <w:rFonts w:cs="Arial"/>
        </w:rPr>
        <w:t xml:space="preserve"> </w:t>
      </w:r>
    </w:p>
    <w:p w14:paraId="7AC2A8EF" w14:textId="77777777" w:rsidR="00DA1FE7" w:rsidRPr="007A6848" w:rsidRDefault="00DA1FE7" w:rsidP="00D358F6">
      <w:pPr>
        <w:rPr>
          <w:rFonts w:cs="Arial"/>
        </w:rPr>
      </w:pPr>
    </w:p>
    <w:p w14:paraId="18D7D2CF" w14:textId="09144519" w:rsidR="0032608A" w:rsidRPr="007A6848" w:rsidRDefault="001A1ABD" w:rsidP="00235817">
      <w:pPr>
        <w:pStyle w:val="Heading2"/>
        <w:jc w:val="left"/>
      </w:pPr>
      <w:r w:rsidRPr="007A6848">
        <w:t>4</w:t>
      </w:r>
      <w:r w:rsidR="00BC3590" w:rsidRPr="007A6848">
        <w:t>.7</w:t>
      </w:r>
      <w:r w:rsidR="00BC3590" w:rsidRPr="007A6848">
        <w:tab/>
      </w:r>
      <w:r w:rsidR="0032608A" w:rsidRPr="007A6848">
        <w:t>Effects on ability to drive and use machines</w:t>
      </w:r>
    </w:p>
    <w:p w14:paraId="00ECC973" w14:textId="6BB95286" w:rsidR="00AB0E23" w:rsidRDefault="00D54279" w:rsidP="00235817">
      <w:pPr>
        <w:jc w:val="left"/>
        <w:rPr>
          <w:rFonts w:cs="Arial"/>
        </w:rPr>
      </w:pPr>
      <w:r w:rsidRPr="00D54279">
        <w:rPr>
          <w:rFonts w:cs="Arial"/>
        </w:rPr>
        <w:t>No effects on the ability to drive and use machines are to be expected.</w:t>
      </w:r>
    </w:p>
    <w:p w14:paraId="3F9FCE8C" w14:textId="77777777" w:rsidR="00D54279" w:rsidRPr="007A6848" w:rsidRDefault="00D54279" w:rsidP="00235817">
      <w:pPr>
        <w:jc w:val="left"/>
        <w:rPr>
          <w:rFonts w:cs="Arial"/>
        </w:rPr>
      </w:pPr>
    </w:p>
    <w:p w14:paraId="16F8EFE9" w14:textId="6315761F" w:rsidR="0032608A" w:rsidRPr="00EC02F8" w:rsidRDefault="001A1ABD" w:rsidP="00235817">
      <w:pPr>
        <w:pStyle w:val="Heading2"/>
        <w:jc w:val="left"/>
      </w:pPr>
      <w:r w:rsidRPr="00EC02F8">
        <w:t>4</w:t>
      </w:r>
      <w:r w:rsidR="00BC3590" w:rsidRPr="00EC02F8">
        <w:t>.8</w:t>
      </w:r>
      <w:r w:rsidR="00BC3590" w:rsidRPr="00EC02F8">
        <w:tab/>
      </w:r>
      <w:r w:rsidR="00C11691" w:rsidRPr="00EC02F8">
        <w:t>Adverse effect</w:t>
      </w:r>
      <w:r w:rsidR="00C9610C" w:rsidRPr="00EC02F8">
        <w:t>s</w:t>
      </w:r>
      <w:r w:rsidR="00C11691" w:rsidRPr="00EC02F8">
        <w:t xml:space="preserve"> (</w:t>
      </w:r>
      <w:r w:rsidR="00C9610C" w:rsidRPr="00EC02F8">
        <w:t>u</w:t>
      </w:r>
      <w:r w:rsidR="0032608A" w:rsidRPr="00EC02F8">
        <w:t>ndesirable effects</w:t>
      </w:r>
      <w:r w:rsidR="00C11691" w:rsidRPr="00EC02F8">
        <w:t>)</w:t>
      </w:r>
    </w:p>
    <w:p w14:paraId="6280DFD8" w14:textId="3660E81D" w:rsidR="000954F1" w:rsidRDefault="00093A53" w:rsidP="000954F1">
      <w:pPr>
        <w:jc w:val="left"/>
        <w:rPr>
          <w:lang w:val="en-AU"/>
        </w:rPr>
      </w:pPr>
      <w:r>
        <w:rPr>
          <w:lang w:val="en-AU"/>
        </w:rPr>
        <w:t>Glycophos</w:t>
      </w:r>
      <w:r w:rsidR="00756D18" w:rsidRPr="002302F8">
        <w:rPr>
          <w:vertAlign w:val="superscript"/>
          <w:lang w:val="en-AU"/>
        </w:rPr>
        <w:t>®</w:t>
      </w:r>
      <w:r>
        <w:rPr>
          <w:lang w:val="en-AU"/>
        </w:rPr>
        <w:t xml:space="preserve"> </w:t>
      </w:r>
      <w:r w:rsidR="000954F1" w:rsidRPr="000954F1">
        <w:rPr>
          <w:lang w:val="en-AU"/>
        </w:rPr>
        <w:t>is generally safe and very well-tolerated in recommended doses.</w:t>
      </w:r>
    </w:p>
    <w:p w14:paraId="523B0EFF" w14:textId="77777777" w:rsidR="000954F1" w:rsidRPr="000954F1" w:rsidRDefault="000954F1" w:rsidP="000954F1">
      <w:pPr>
        <w:jc w:val="left"/>
        <w:rPr>
          <w:lang w:val="en-AU"/>
        </w:rPr>
      </w:pPr>
    </w:p>
    <w:p w14:paraId="150C5471" w14:textId="20431E38" w:rsidR="00445E15" w:rsidRDefault="00445E15" w:rsidP="00445E15">
      <w:pPr>
        <w:jc w:val="left"/>
        <w:rPr>
          <w:lang w:val="en-AU"/>
        </w:rPr>
      </w:pPr>
      <w:r>
        <w:rPr>
          <w:lang w:val="en-AU"/>
        </w:rPr>
        <w:t>In two (2) phase I studies, Glyc-001-C P1 and KABI-0003-C P1, conducted in healthy individuals, TEAEs were coded using MeDRA. The incidence of TEAEs reported in these studies is provided</w:t>
      </w:r>
      <w:r w:rsidR="006A2937">
        <w:rPr>
          <w:lang w:val="en-AU"/>
        </w:rPr>
        <w:t xml:space="preserve"> in T</w:t>
      </w:r>
      <w:r>
        <w:rPr>
          <w:lang w:val="en-AU"/>
        </w:rPr>
        <w:t>able</w:t>
      </w:r>
      <w:r w:rsidR="006A2937">
        <w:rPr>
          <w:lang w:val="en-AU"/>
        </w:rPr>
        <w:t xml:space="preserve"> 1</w:t>
      </w:r>
      <w:r>
        <w:rPr>
          <w:lang w:val="en-AU"/>
        </w:rPr>
        <w:t xml:space="preserve"> below.</w:t>
      </w:r>
    </w:p>
    <w:p w14:paraId="49EB1C04" w14:textId="5B9E9ED7" w:rsidR="00F269BB" w:rsidRDefault="00F269BB" w:rsidP="00445E15">
      <w:pPr>
        <w:jc w:val="left"/>
        <w:rPr>
          <w:lang w:val="en-AU"/>
        </w:rPr>
      </w:pPr>
    </w:p>
    <w:p w14:paraId="6F4092B1" w14:textId="1B48826B" w:rsidR="00F269BB" w:rsidRDefault="00F269BB" w:rsidP="00445E15">
      <w:pPr>
        <w:jc w:val="left"/>
        <w:rPr>
          <w:lang w:val="en-AU"/>
        </w:rPr>
      </w:pPr>
    </w:p>
    <w:p w14:paraId="47C00EEC" w14:textId="2E095B96" w:rsidR="00F269BB" w:rsidRDefault="00F269BB" w:rsidP="00445E15">
      <w:pPr>
        <w:jc w:val="left"/>
        <w:rPr>
          <w:lang w:val="en-AU"/>
        </w:rPr>
      </w:pPr>
    </w:p>
    <w:p w14:paraId="380B59E4" w14:textId="268455D9" w:rsidR="00F269BB" w:rsidRDefault="00F269BB" w:rsidP="00445E15">
      <w:pPr>
        <w:jc w:val="left"/>
        <w:rPr>
          <w:lang w:val="en-AU"/>
        </w:rPr>
      </w:pPr>
    </w:p>
    <w:p w14:paraId="3DDE2D64" w14:textId="0F801AB7" w:rsidR="00F269BB" w:rsidRDefault="00F269BB" w:rsidP="00445E15">
      <w:pPr>
        <w:jc w:val="left"/>
        <w:rPr>
          <w:lang w:val="en-AU"/>
        </w:rPr>
      </w:pPr>
    </w:p>
    <w:p w14:paraId="408D9999" w14:textId="77777777" w:rsidR="00F269BB" w:rsidRDefault="00F269BB" w:rsidP="00445E15">
      <w:pPr>
        <w:jc w:val="left"/>
        <w:rPr>
          <w:lang w:val="en-AU"/>
        </w:rPr>
      </w:pPr>
    </w:p>
    <w:p w14:paraId="151031FE" w14:textId="77777777" w:rsidR="00445E15" w:rsidRDefault="00445E15" w:rsidP="00445E15">
      <w:pPr>
        <w:jc w:val="left"/>
        <w:rPr>
          <w:lang w:val="en-AU"/>
        </w:rPr>
      </w:pPr>
    </w:p>
    <w:p w14:paraId="295AA6EE" w14:textId="788C8C59" w:rsidR="00445E15" w:rsidRPr="005F5386" w:rsidRDefault="00445E15" w:rsidP="00445E15">
      <w:pPr>
        <w:jc w:val="left"/>
        <w:rPr>
          <w:b/>
          <w:lang w:val="en-AU"/>
        </w:rPr>
      </w:pPr>
      <w:r>
        <w:rPr>
          <w:b/>
          <w:lang w:val="en-AU"/>
        </w:rPr>
        <w:t>Table 1</w:t>
      </w:r>
      <w:r w:rsidRPr="005F5386">
        <w:rPr>
          <w:b/>
          <w:lang w:val="en-AU"/>
        </w:rPr>
        <w:t>: Number and Percentage of Subjects Who Experienced Treatment-Emergent Adverse Events in Studies Glyc-001-C P1 and KABI 003-C P1 (Healthy Adult Volunteers)</w:t>
      </w:r>
    </w:p>
    <w:p w14:paraId="15C2C125" w14:textId="77777777" w:rsidR="00445E15" w:rsidRPr="005F5386" w:rsidRDefault="00445E15" w:rsidP="00445E15">
      <w:pPr>
        <w:jc w:val="left"/>
        <w:rPr>
          <w:sz w:val="10"/>
          <w:szCs w:val="10"/>
          <w:lang w:val="en-AU"/>
        </w:rPr>
      </w:pPr>
    </w:p>
    <w:tbl>
      <w:tblPr>
        <w:tblStyle w:val="TableGrid"/>
        <w:tblW w:w="0" w:type="auto"/>
        <w:tblLook w:val="04A0" w:firstRow="1" w:lastRow="0" w:firstColumn="1" w:lastColumn="0" w:noHBand="0" w:noVBand="1"/>
      </w:tblPr>
      <w:tblGrid>
        <w:gridCol w:w="2943"/>
        <w:gridCol w:w="1701"/>
        <w:gridCol w:w="1456"/>
        <w:gridCol w:w="1985"/>
        <w:gridCol w:w="1456"/>
      </w:tblGrid>
      <w:tr w:rsidR="00445E15" w:rsidRPr="00EE5B09" w14:paraId="013E5311" w14:textId="77777777" w:rsidTr="00572183">
        <w:tc>
          <w:tcPr>
            <w:tcW w:w="2943" w:type="dxa"/>
            <w:vMerge w:val="restart"/>
            <w:tcBorders>
              <w:top w:val="single" w:sz="4" w:space="0" w:color="auto"/>
              <w:left w:val="nil"/>
              <w:bottom w:val="single" w:sz="4" w:space="0" w:color="auto"/>
              <w:right w:val="nil"/>
            </w:tcBorders>
            <w:vAlign w:val="bottom"/>
          </w:tcPr>
          <w:p w14:paraId="6B786342" w14:textId="77777777" w:rsidR="00445E15" w:rsidRPr="00EE5B09" w:rsidRDefault="00445E15" w:rsidP="00572183">
            <w:pPr>
              <w:spacing w:line="259" w:lineRule="auto"/>
              <w:jc w:val="left"/>
              <w:rPr>
                <w:b/>
                <w:lang w:val="en-GB"/>
              </w:rPr>
            </w:pPr>
            <w:r w:rsidRPr="00EE5B09">
              <w:rPr>
                <w:b/>
                <w:lang w:val="en-GB"/>
              </w:rPr>
              <w:t>MedDRA System Organ Class</w:t>
            </w:r>
            <w:r w:rsidRPr="00EE5B09">
              <w:rPr>
                <w:b/>
                <w:lang w:val="en-GB"/>
              </w:rPr>
              <w:br/>
              <w:t>Preferred Term</w:t>
            </w:r>
          </w:p>
        </w:tc>
        <w:tc>
          <w:tcPr>
            <w:tcW w:w="2977" w:type="dxa"/>
            <w:gridSpan w:val="2"/>
            <w:tcBorders>
              <w:top w:val="single" w:sz="4" w:space="0" w:color="auto"/>
              <w:left w:val="nil"/>
              <w:bottom w:val="single" w:sz="4" w:space="0" w:color="auto"/>
              <w:right w:val="nil"/>
            </w:tcBorders>
          </w:tcPr>
          <w:p w14:paraId="0484CB5F" w14:textId="77777777" w:rsidR="00445E15" w:rsidRPr="00EE5B09" w:rsidRDefault="00445E15" w:rsidP="00572183">
            <w:pPr>
              <w:spacing w:line="259" w:lineRule="auto"/>
              <w:jc w:val="left"/>
              <w:rPr>
                <w:b/>
                <w:lang w:val="en-GB"/>
              </w:rPr>
            </w:pPr>
            <w:r w:rsidRPr="00EE5B09">
              <w:rPr>
                <w:b/>
                <w:lang w:val="en-GB"/>
              </w:rPr>
              <w:t>Study Glyc-001-C P1</w:t>
            </w:r>
          </w:p>
        </w:tc>
        <w:tc>
          <w:tcPr>
            <w:tcW w:w="3323" w:type="dxa"/>
            <w:gridSpan w:val="2"/>
            <w:tcBorders>
              <w:top w:val="single" w:sz="4" w:space="0" w:color="auto"/>
              <w:left w:val="nil"/>
              <w:bottom w:val="single" w:sz="4" w:space="0" w:color="auto"/>
              <w:right w:val="nil"/>
            </w:tcBorders>
          </w:tcPr>
          <w:p w14:paraId="757AC0AB" w14:textId="77777777" w:rsidR="00445E15" w:rsidRPr="00EE5B09" w:rsidRDefault="00445E15" w:rsidP="00572183">
            <w:pPr>
              <w:spacing w:line="259" w:lineRule="auto"/>
              <w:jc w:val="left"/>
              <w:rPr>
                <w:b/>
                <w:lang w:val="en-GB"/>
              </w:rPr>
            </w:pPr>
            <w:r w:rsidRPr="00EE5B09">
              <w:rPr>
                <w:b/>
                <w:lang w:val="en-GB"/>
              </w:rPr>
              <w:t>Study KABI-003-C P1</w:t>
            </w:r>
          </w:p>
        </w:tc>
      </w:tr>
      <w:tr w:rsidR="00445E15" w:rsidRPr="00EE5B09" w14:paraId="185F59B9" w14:textId="77777777" w:rsidTr="00572183">
        <w:tc>
          <w:tcPr>
            <w:tcW w:w="2943" w:type="dxa"/>
            <w:vMerge/>
            <w:tcBorders>
              <w:top w:val="single" w:sz="4" w:space="0" w:color="auto"/>
              <w:left w:val="nil"/>
              <w:bottom w:val="single" w:sz="4" w:space="0" w:color="auto"/>
              <w:right w:val="nil"/>
            </w:tcBorders>
          </w:tcPr>
          <w:p w14:paraId="4F0558DD" w14:textId="77777777" w:rsidR="00445E15" w:rsidRPr="00EE5B09" w:rsidRDefault="00445E15" w:rsidP="00572183">
            <w:pPr>
              <w:spacing w:line="259" w:lineRule="auto"/>
              <w:jc w:val="left"/>
              <w:rPr>
                <w:lang w:val="en-GB"/>
              </w:rPr>
            </w:pPr>
          </w:p>
        </w:tc>
        <w:tc>
          <w:tcPr>
            <w:tcW w:w="1701" w:type="dxa"/>
            <w:tcBorders>
              <w:top w:val="single" w:sz="4" w:space="0" w:color="auto"/>
              <w:left w:val="nil"/>
              <w:bottom w:val="single" w:sz="4" w:space="0" w:color="auto"/>
              <w:right w:val="nil"/>
            </w:tcBorders>
            <w:vAlign w:val="bottom"/>
          </w:tcPr>
          <w:p w14:paraId="1B2EFE24" w14:textId="77777777" w:rsidR="00445E15" w:rsidRPr="00EE5B09" w:rsidRDefault="00445E15" w:rsidP="00572183">
            <w:pPr>
              <w:spacing w:line="259" w:lineRule="auto"/>
              <w:jc w:val="left"/>
              <w:rPr>
                <w:b/>
                <w:lang w:val="en-GB"/>
              </w:rPr>
            </w:pPr>
            <w:r w:rsidRPr="00EE5B09">
              <w:rPr>
                <w:b/>
                <w:lang w:val="en-GB"/>
              </w:rPr>
              <w:t>I-Phosphate</w:t>
            </w:r>
            <w:r w:rsidRPr="00EE5B09">
              <w:rPr>
                <w:b/>
                <w:lang w:val="en-GB"/>
              </w:rPr>
              <w:br/>
              <w:t>n (%)</w:t>
            </w:r>
            <w:r w:rsidRPr="00EE5B09">
              <w:rPr>
                <w:b/>
                <w:lang w:val="en-GB"/>
              </w:rPr>
              <w:br/>
              <w:t>N = 25</w:t>
            </w:r>
          </w:p>
        </w:tc>
        <w:tc>
          <w:tcPr>
            <w:tcW w:w="1276" w:type="dxa"/>
            <w:tcBorders>
              <w:top w:val="single" w:sz="4" w:space="0" w:color="auto"/>
              <w:left w:val="nil"/>
              <w:bottom w:val="single" w:sz="4" w:space="0" w:color="auto"/>
              <w:right w:val="nil"/>
            </w:tcBorders>
            <w:vAlign w:val="bottom"/>
          </w:tcPr>
          <w:p w14:paraId="74D86093" w14:textId="75C264B9" w:rsidR="00445E15" w:rsidRPr="00EE5B09" w:rsidRDefault="00445E15" w:rsidP="00572183">
            <w:pPr>
              <w:spacing w:line="259" w:lineRule="auto"/>
              <w:jc w:val="left"/>
              <w:rPr>
                <w:b/>
                <w:lang w:val="en-GB"/>
              </w:rPr>
            </w:pPr>
            <w:r w:rsidRPr="00EE5B09">
              <w:rPr>
                <w:b/>
                <w:lang w:val="en-GB"/>
              </w:rPr>
              <w:t>Glycophos</w:t>
            </w:r>
            <w:r w:rsidR="003931CC" w:rsidRPr="002302F8">
              <w:rPr>
                <w:rFonts w:cs="Arial"/>
                <w:b/>
                <w:vertAlign w:val="superscript"/>
                <w:lang w:val="en-GB"/>
              </w:rPr>
              <w:t>®</w:t>
            </w:r>
            <w:r w:rsidRPr="00EE5B09">
              <w:rPr>
                <w:b/>
                <w:lang w:val="en-GB"/>
              </w:rPr>
              <w:br/>
              <w:t>n (%)</w:t>
            </w:r>
            <w:r w:rsidRPr="00EE5B09">
              <w:rPr>
                <w:b/>
                <w:lang w:val="en-GB"/>
              </w:rPr>
              <w:br/>
              <w:t>N = 25</w:t>
            </w:r>
          </w:p>
        </w:tc>
        <w:tc>
          <w:tcPr>
            <w:tcW w:w="1985" w:type="dxa"/>
            <w:tcBorders>
              <w:top w:val="single" w:sz="4" w:space="0" w:color="auto"/>
              <w:left w:val="nil"/>
              <w:bottom w:val="single" w:sz="4" w:space="0" w:color="auto"/>
              <w:right w:val="nil"/>
            </w:tcBorders>
            <w:vAlign w:val="bottom"/>
          </w:tcPr>
          <w:p w14:paraId="2BFDDBC4" w14:textId="77777777" w:rsidR="00445E15" w:rsidRPr="00EE5B09" w:rsidRDefault="00445E15" w:rsidP="00572183">
            <w:pPr>
              <w:spacing w:line="259" w:lineRule="auto"/>
              <w:jc w:val="left"/>
              <w:rPr>
                <w:b/>
                <w:lang w:val="en-GB"/>
              </w:rPr>
            </w:pPr>
            <w:r w:rsidRPr="00EE5B09">
              <w:rPr>
                <w:b/>
                <w:lang w:val="en-GB"/>
              </w:rPr>
              <w:t>Kabiven Peripheral</w:t>
            </w:r>
            <w:r w:rsidRPr="00EE5B09">
              <w:rPr>
                <w:b/>
                <w:lang w:val="en-GB"/>
              </w:rPr>
              <w:br/>
              <w:t>n (%)</w:t>
            </w:r>
            <w:r w:rsidRPr="00EE5B09">
              <w:rPr>
                <w:b/>
                <w:lang w:val="en-GB"/>
              </w:rPr>
              <w:br/>
              <w:t>N = 10</w:t>
            </w:r>
          </w:p>
        </w:tc>
        <w:tc>
          <w:tcPr>
            <w:tcW w:w="1338" w:type="dxa"/>
            <w:tcBorders>
              <w:top w:val="single" w:sz="4" w:space="0" w:color="auto"/>
              <w:left w:val="nil"/>
              <w:bottom w:val="single" w:sz="4" w:space="0" w:color="auto"/>
              <w:right w:val="nil"/>
            </w:tcBorders>
            <w:vAlign w:val="bottom"/>
          </w:tcPr>
          <w:p w14:paraId="44E4CB7D" w14:textId="4CF00D50" w:rsidR="00445E15" w:rsidRPr="00EE5B09" w:rsidRDefault="00445E15" w:rsidP="00572183">
            <w:pPr>
              <w:spacing w:line="259" w:lineRule="auto"/>
              <w:jc w:val="left"/>
              <w:rPr>
                <w:b/>
                <w:lang w:val="en-GB"/>
              </w:rPr>
            </w:pPr>
            <w:r w:rsidRPr="00EE5B09">
              <w:rPr>
                <w:b/>
                <w:lang w:val="en-GB"/>
              </w:rPr>
              <w:t>Glycophos</w:t>
            </w:r>
            <w:r w:rsidR="003931CC" w:rsidRPr="00DC1809">
              <w:rPr>
                <w:rFonts w:cs="Arial"/>
                <w:b/>
                <w:vertAlign w:val="superscript"/>
                <w:lang w:val="en-GB"/>
              </w:rPr>
              <w:t>®</w:t>
            </w:r>
            <w:r w:rsidRPr="00EE5B09">
              <w:rPr>
                <w:b/>
                <w:lang w:val="en-GB"/>
              </w:rPr>
              <w:br/>
              <w:t>n (%)</w:t>
            </w:r>
            <w:r w:rsidRPr="00EE5B09">
              <w:rPr>
                <w:b/>
                <w:lang w:val="en-GB"/>
              </w:rPr>
              <w:br/>
              <w:t>N = 10</w:t>
            </w:r>
          </w:p>
        </w:tc>
      </w:tr>
      <w:tr w:rsidR="00445E15" w:rsidRPr="00EE5B09" w14:paraId="5FC10DD8" w14:textId="77777777" w:rsidTr="00572183">
        <w:tc>
          <w:tcPr>
            <w:tcW w:w="2943" w:type="dxa"/>
            <w:tcBorders>
              <w:top w:val="single" w:sz="4" w:space="0" w:color="auto"/>
              <w:left w:val="nil"/>
              <w:bottom w:val="single" w:sz="4" w:space="0" w:color="auto"/>
              <w:right w:val="nil"/>
            </w:tcBorders>
          </w:tcPr>
          <w:p w14:paraId="1D01C37C" w14:textId="77777777" w:rsidR="00445E15" w:rsidRPr="00EE5B09" w:rsidRDefault="00445E15" w:rsidP="00572183">
            <w:pPr>
              <w:spacing w:line="259" w:lineRule="auto"/>
              <w:jc w:val="left"/>
              <w:rPr>
                <w:b/>
                <w:lang w:val="en-GB"/>
              </w:rPr>
            </w:pPr>
            <w:r w:rsidRPr="00EE5B09">
              <w:rPr>
                <w:b/>
                <w:lang w:val="en-GB"/>
              </w:rPr>
              <w:t>Any Adverse Event</w:t>
            </w:r>
          </w:p>
        </w:tc>
        <w:tc>
          <w:tcPr>
            <w:tcW w:w="1701" w:type="dxa"/>
            <w:tcBorders>
              <w:top w:val="single" w:sz="4" w:space="0" w:color="auto"/>
              <w:left w:val="nil"/>
              <w:bottom w:val="single" w:sz="4" w:space="0" w:color="auto"/>
              <w:right w:val="nil"/>
            </w:tcBorders>
          </w:tcPr>
          <w:p w14:paraId="67B52524" w14:textId="77777777" w:rsidR="00445E15" w:rsidRPr="00EE5B09" w:rsidRDefault="00445E15" w:rsidP="00572183">
            <w:pPr>
              <w:spacing w:line="259" w:lineRule="auto"/>
              <w:jc w:val="left"/>
              <w:rPr>
                <w:lang w:val="en-GB"/>
              </w:rPr>
            </w:pPr>
            <w:r w:rsidRPr="00EE5B09">
              <w:rPr>
                <w:lang w:val="en-GB"/>
              </w:rPr>
              <w:t>11 (44.0)</w:t>
            </w:r>
          </w:p>
        </w:tc>
        <w:tc>
          <w:tcPr>
            <w:tcW w:w="1276" w:type="dxa"/>
            <w:tcBorders>
              <w:top w:val="single" w:sz="4" w:space="0" w:color="auto"/>
              <w:left w:val="nil"/>
              <w:bottom w:val="single" w:sz="4" w:space="0" w:color="auto"/>
              <w:right w:val="nil"/>
            </w:tcBorders>
          </w:tcPr>
          <w:p w14:paraId="2B5EBFA7" w14:textId="77777777" w:rsidR="00445E15" w:rsidRPr="00EE5B09" w:rsidRDefault="00445E15" w:rsidP="00572183">
            <w:pPr>
              <w:spacing w:line="259" w:lineRule="auto"/>
              <w:jc w:val="left"/>
              <w:rPr>
                <w:lang w:val="en-GB"/>
              </w:rPr>
            </w:pPr>
            <w:r w:rsidRPr="00EE5B09">
              <w:rPr>
                <w:lang w:val="en-GB"/>
              </w:rPr>
              <w:t>9 (36.0)</w:t>
            </w:r>
          </w:p>
        </w:tc>
        <w:tc>
          <w:tcPr>
            <w:tcW w:w="1985" w:type="dxa"/>
            <w:tcBorders>
              <w:top w:val="single" w:sz="4" w:space="0" w:color="auto"/>
              <w:left w:val="nil"/>
              <w:bottom w:val="single" w:sz="4" w:space="0" w:color="auto"/>
              <w:right w:val="nil"/>
            </w:tcBorders>
          </w:tcPr>
          <w:p w14:paraId="6CEB40E2"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single" w:sz="4" w:space="0" w:color="auto"/>
              <w:left w:val="nil"/>
              <w:bottom w:val="single" w:sz="4" w:space="0" w:color="auto"/>
              <w:right w:val="nil"/>
            </w:tcBorders>
          </w:tcPr>
          <w:p w14:paraId="1825086D" w14:textId="77777777" w:rsidR="00445E15" w:rsidRPr="00EE5B09" w:rsidRDefault="00445E15" w:rsidP="00572183">
            <w:pPr>
              <w:spacing w:line="259" w:lineRule="auto"/>
              <w:jc w:val="left"/>
              <w:rPr>
                <w:lang w:val="en-GB"/>
              </w:rPr>
            </w:pPr>
            <w:r w:rsidRPr="00EE5B09">
              <w:rPr>
                <w:lang w:val="en-GB"/>
              </w:rPr>
              <w:t>3 (30.0)</w:t>
            </w:r>
          </w:p>
        </w:tc>
      </w:tr>
      <w:tr w:rsidR="00445E15" w:rsidRPr="00EE5B09" w14:paraId="1C18B1CF" w14:textId="77777777" w:rsidTr="00572183">
        <w:tc>
          <w:tcPr>
            <w:tcW w:w="9243" w:type="dxa"/>
            <w:gridSpan w:val="5"/>
            <w:tcBorders>
              <w:top w:val="single" w:sz="4" w:space="0" w:color="auto"/>
              <w:left w:val="nil"/>
              <w:bottom w:val="nil"/>
              <w:right w:val="nil"/>
            </w:tcBorders>
          </w:tcPr>
          <w:p w14:paraId="0C3D05EB" w14:textId="77777777" w:rsidR="00445E15" w:rsidRPr="00EE5B09" w:rsidRDefault="00445E15" w:rsidP="00572183">
            <w:pPr>
              <w:spacing w:line="259" w:lineRule="auto"/>
              <w:jc w:val="left"/>
              <w:rPr>
                <w:b/>
                <w:lang w:val="en-GB"/>
              </w:rPr>
            </w:pPr>
            <w:r w:rsidRPr="00EE5B09">
              <w:rPr>
                <w:b/>
                <w:lang w:val="en-GB"/>
              </w:rPr>
              <w:t>Gastrointestinal Disorders</w:t>
            </w:r>
          </w:p>
        </w:tc>
      </w:tr>
      <w:tr w:rsidR="00445E15" w:rsidRPr="00EE5B09" w14:paraId="1D102BB0" w14:textId="77777777" w:rsidTr="00572183">
        <w:tc>
          <w:tcPr>
            <w:tcW w:w="2943" w:type="dxa"/>
            <w:tcBorders>
              <w:top w:val="nil"/>
              <w:left w:val="nil"/>
              <w:bottom w:val="nil"/>
              <w:right w:val="nil"/>
            </w:tcBorders>
          </w:tcPr>
          <w:p w14:paraId="7A6A16D5" w14:textId="77777777" w:rsidR="00445E15" w:rsidRPr="00EE5B09" w:rsidRDefault="00445E15" w:rsidP="00572183">
            <w:pPr>
              <w:spacing w:line="259" w:lineRule="auto"/>
              <w:jc w:val="left"/>
              <w:rPr>
                <w:lang w:val="en-GB"/>
              </w:rPr>
            </w:pPr>
            <w:r w:rsidRPr="00EE5B09">
              <w:rPr>
                <w:lang w:val="en-GB"/>
              </w:rPr>
              <w:t>Dry mouth</w:t>
            </w:r>
          </w:p>
        </w:tc>
        <w:tc>
          <w:tcPr>
            <w:tcW w:w="1701" w:type="dxa"/>
            <w:tcBorders>
              <w:top w:val="nil"/>
              <w:left w:val="nil"/>
              <w:bottom w:val="nil"/>
              <w:right w:val="nil"/>
            </w:tcBorders>
          </w:tcPr>
          <w:p w14:paraId="52FAD1E7" w14:textId="77777777" w:rsidR="00445E15" w:rsidRPr="00EE5B09" w:rsidRDefault="00445E15" w:rsidP="00572183">
            <w:pPr>
              <w:spacing w:line="259" w:lineRule="auto"/>
              <w:jc w:val="left"/>
              <w:rPr>
                <w:lang w:val="en-GB"/>
              </w:rPr>
            </w:pPr>
            <w:r w:rsidRPr="00EE5B09">
              <w:rPr>
                <w:lang w:val="en-GB"/>
              </w:rPr>
              <w:t>0</w:t>
            </w:r>
          </w:p>
        </w:tc>
        <w:tc>
          <w:tcPr>
            <w:tcW w:w="1276" w:type="dxa"/>
            <w:tcBorders>
              <w:top w:val="nil"/>
              <w:left w:val="nil"/>
              <w:bottom w:val="nil"/>
              <w:right w:val="nil"/>
            </w:tcBorders>
          </w:tcPr>
          <w:p w14:paraId="7B5373BD" w14:textId="77777777" w:rsidR="00445E15" w:rsidRPr="00EE5B09" w:rsidRDefault="00445E15" w:rsidP="00572183">
            <w:pPr>
              <w:spacing w:line="259" w:lineRule="auto"/>
              <w:jc w:val="left"/>
              <w:rPr>
                <w:lang w:val="en-GB"/>
              </w:rPr>
            </w:pPr>
            <w:r w:rsidRPr="00EE5B09">
              <w:rPr>
                <w:lang w:val="en-GB"/>
              </w:rPr>
              <w:t>1 (4.0)</w:t>
            </w:r>
          </w:p>
        </w:tc>
        <w:tc>
          <w:tcPr>
            <w:tcW w:w="1985" w:type="dxa"/>
            <w:tcBorders>
              <w:top w:val="nil"/>
              <w:left w:val="nil"/>
              <w:bottom w:val="nil"/>
              <w:right w:val="nil"/>
            </w:tcBorders>
          </w:tcPr>
          <w:p w14:paraId="4B8C1E48"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nil"/>
              <w:right w:val="nil"/>
            </w:tcBorders>
          </w:tcPr>
          <w:p w14:paraId="59729D7A" w14:textId="77777777" w:rsidR="00445E15" w:rsidRPr="00EE5B09" w:rsidRDefault="00445E15" w:rsidP="00572183">
            <w:pPr>
              <w:spacing w:line="259" w:lineRule="auto"/>
              <w:jc w:val="left"/>
              <w:rPr>
                <w:lang w:val="en-GB"/>
              </w:rPr>
            </w:pPr>
            <w:r w:rsidRPr="00EE5B09">
              <w:rPr>
                <w:lang w:val="en-GB"/>
              </w:rPr>
              <w:t>0</w:t>
            </w:r>
          </w:p>
        </w:tc>
      </w:tr>
      <w:tr w:rsidR="00445E15" w:rsidRPr="00EE5B09" w14:paraId="1B56D055" w14:textId="77777777" w:rsidTr="00572183">
        <w:tc>
          <w:tcPr>
            <w:tcW w:w="2943" w:type="dxa"/>
            <w:tcBorders>
              <w:top w:val="nil"/>
              <w:left w:val="nil"/>
              <w:bottom w:val="nil"/>
              <w:right w:val="nil"/>
            </w:tcBorders>
          </w:tcPr>
          <w:p w14:paraId="1068B4AA" w14:textId="77777777" w:rsidR="00445E15" w:rsidRPr="00EE5B09" w:rsidRDefault="00445E15" w:rsidP="00572183">
            <w:pPr>
              <w:spacing w:line="259" w:lineRule="auto"/>
              <w:jc w:val="left"/>
              <w:rPr>
                <w:lang w:val="en-GB"/>
              </w:rPr>
            </w:pPr>
            <w:r w:rsidRPr="00EE5B09">
              <w:rPr>
                <w:lang w:val="en-GB"/>
              </w:rPr>
              <w:t>Nausea</w:t>
            </w:r>
          </w:p>
        </w:tc>
        <w:tc>
          <w:tcPr>
            <w:tcW w:w="1701" w:type="dxa"/>
            <w:tcBorders>
              <w:top w:val="nil"/>
              <w:left w:val="nil"/>
              <w:bottom w:val="nil"/>
              <w:right w:val="nil"/>
            </w:tcBorders>
          </w:tcPr>
          <w:p w14:paraId="1BE79A4D" w14:textId="77777777" w:rsidR="00445E15" w:rsidRPr="00EE5B09" w:rsidRDefault="00445E15" w:rsidP="00572183">
            <w:pPr>
              <w:spacing w:line="259" w:lineRule="auto"/>
              <w:jc w:val="left"/>
              <w:rPr>
                <w:lang w:val="en-GB"/>
              </w:rPr>
            </w:pPr>
            <w:r w:rsidRPr="00EE5B09">
              <w:rPr>
                <w:lang w:val="en-GB"/>
              </w:rPr>
              <w:t>1 (4.0)</w:t>
            </w:r>
          </w:p>
        </w:tc>
        <w:tc>
          <w:tcPr>
            <w:tcW w:w="1276" w:type="dxa"/>
            <w:tcBorders>
              <w:top w:val="nil"/>
              <w:left w:val="nil"/>
              <w:bottom w:val="nil"/>
              <w:right w:val="nil"/>
            </w:tcBorders>
          </w:tcPr>
          <w:p w14:paraId="1F174CD3" w14:textId="77777777" w:rsidR="00445E15" w:rsidRPr="00EE5B09" w:rsidRDefault="00445E15" w:rsidP="00572183">
            <w:pPr>
              <w:spacing w:line="259" w:lineRule="auto"/>
              <w:jc w:val="left"/>
              <w:rPr>
                <w:lang w:val="en-GB"/>
              </w:rPr>
            </w:pPr>
            <w:r w:rsidRPr="00EE5B09">
              <w:rPr>
                <w:lang w:val="en-GB"/>
              </w:rPr>
              <w:t>0</w:t>
            </w:r>
          </w:p>
        </w:tc>
        <w:tc>
          <w:tcPr>
            <w:tcW w:w="1985" w:type="dxa"/>
            <w:tcBorders>
              <w:top w:val="nil"/>
              <w:left w:val="nil"/>
              <w:bottom w:val="nil"/>
              <w:right w:val="nil"/>
            </w:tcBorders>
          </w:tcPr>
          <w:p w14:paraId="5BEAEDC1"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nil"/>
              <w:right w:val="nil"/>
            </w:tcBorders>
          </w:tcPr>
          <w:p w14:paraId="5EAFDA4E" w14:textId="77777777" w:rsidR="00445E15" w:rsidRPr="00EE5B09" w:rsidRDefault="00445E15" w:rsidP="00572183">
            <w:pPr>
              <w:spacing w:line="259" w:lineRule="auto"/>
              <w:jc w:val="left"/>
              <w:rPr>
                <w:lang w:val="en-GB"/>
              </w:rPr>
            </w:pPr>
            <w:r w:rsidRPr="00EE5B09">
              <w:rPr>
                <w:lang w:val="en-GB"/>
              </w:rPr>
              <w:t>0</w:t>
            </w:r>
          </w:p>
        </w:tc>
      </w:tr>
      <w:tr w:rsidR="00445E15" w:rsidRPr="00EE5B09" w14:paraId="393DEC7C" w14:textId="77777777" w:rsidTr="00572183">
        <w:tc>
          <w:tcPr>
            <w:tcW w:w="2943" w:type="dxa"/>
            <w:tcBorders>
              <w:top w:val="nil"/>
              <w:left w:val="nil"/>
              <w:bottom w:val="single" w:sz="4" w:space="0" w:color="auto"/>
              <w:right w:val="nil"/>
            </w:tcBorders>
          </w:tcPr>
          <w:p w14:paraId="6C83193A" w14:textId="77777777" w:rsidR="00445E15" w:rsidRPr="00EE5B09" w:rsidRDefault="00445E15" w:rsidP="00572183">
            <w:pPr>
              <w:spacing w:line="259" w:lineRule="auto"/>
              <w:jc w:val="left"/>
              <w:rPr>
                <w:lang w:val="en-GB"/>
              </w:rPr>
            </w:pPr>
            <w:r w:rsidRPr="00EE5B09">
              <w:rPr>
                <w:lang w:val="en-GB"/>
              </w:rPr>
              <w:t>Constipation</w:t>
            </w:r>
          </w:p>
        </w:tc>
        <w:tc>
          <w:tcPr>
            <w:tcW w:w="1701" w:type="dxa"/>
            <w:tcBorders>
              <w:top w:val="nil"/>
              <w:left w:val="nil"/>
              <w:bottom w:val="single" w:sz="4" w:space="0" w:color="auto"/>
              <w:right w:val="nil"/>
            </w:tcBorders>
          </w:tcPr>
          <w:p w14:paraId="7C6BC9CA" w14:textId="77777777" w:rsidR="00445E15" w:rsidRPr="00EE5B09" w:rsidRDefault="00445E15" w:rsidP="00572183">
            <w:pPr>
              <w:spacing w:line="259" w:lineRule="auto"/>
              <w:jc w:val="left"/>
              <w:rPr>
                <w:lang w:val="en-GB"/>
              </w:rPr>
            </w:pPr>
            <w:r w:rsidRPr="00EE5B09">
              <w:rPr>
                <w:lang w:val="en-GB"/>
              </w:rPr>
              <w:t>0</w:t>
            </w:r>
          </w:p>
        </w:tc>
        <w:tc>
          <w:tcPr>
            <w:tcW w:w="1276" w:type="dxa"/>
            <w:tcBorders>
              <w:top w:val="nil"/>
              <w:left w:val="nil"/>
              <w:bottom w:val="single" w:sz="4" w:space="0" w:color="auto"/>
              <w:right w:val="nil"/>
            </w:tcBorders>
          </w:tcPr>
          <w:p w14:paraId="4E29572C" w14:textId="77777777" w:rsidR="00445E15" w:rsidRPr="00EE5B09" w:rsidRDefault="00445E15" w:rsidP="00572183">
            <w:pPr>
              <w:spacing w:line="259" w:lineRule="auto"/>
              <w:jc w:val="left"/>
              <w:rPr>
                <w:lang w:val="en-GB"/>
              </w:rPr>
            </w:pPr>
            <w:r w:rsidRPr="00EE5B09">
              <w:rPr>
                <w:lang w:val="en-GB"/>
              </w:rPr>
              <w:t>0</w:t>
            </w:r>
          </w:p>
        </w:tc>
        <w:tc>
          <w:tcPr>
            <w:tcW w:w="1985" w:type="dxa"/>
            <w:tcBorders>
              <w:top w:val="nil"/>
              <w:left w:val="nil"/>
              <w:bottom w:val="single" w:sz="4" w:space="0" w:color="auto"/>
              <w:right w:val="nil"/>
            </w:tcBorders>
          </w:tcPr>
          <w:p w14:paraId="23021884"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22733827" w14:textId="77777777" w:rsidR="00445E15" w:rsidRPr="00EE5B09" w:rsidRDefault="00445E15" w:rsidP="00572183">
            <w:pPr>
              <w:spacing w:line="259" w:lineRule="auto"/>
              <w:jc w:val="left"/>
              <w:rPr>
                <w:lang w:val="en-GB"/>
              </w:rPr>
            </w:pPr>
            <w:r w:rsidRPr="00EE5B09">
              <w:rPr>
                <w:lang w:val="en-GB"/>
              </w:rPr>
              <w:t>1 (10.0)</w:t>
            </w:r>
          </w:p>
        </w:tc>
      </w:tr>
      <w:tr w:rsidR="00445E15" w:rsidRPr="00EE5B09" w14:paraId="5E0CE985" w14:textId="77777777" w:rsidTr="00572183">
        <w:tc>
          <w:tcPr>
            <w:tcW w:w="9243" w:type="dxa"/>
            <w:gridSpan w:val="5"/>
            <w:tcBorders>
              <w:top w:val="single" w:sz="4" w:space="0" w:color="auto"/>
              <w:left w:val="nil"/>
              <w:bottom w:val="nil"/>
              <w:right w:val="nil"/>
            </w:tcBorders>
          </w:tcPr>
          <w:p w14:paraId="17A6335B" w14:textId="77777777" w:rsidR="00445E15" w:rsidRPr="00EE5B09" w:rsidRDefault="00445E15" w:rsidP="00572183">
            <w:pPr>
              <w:spacing w:line="259" w:lineRule="auto"/>
              <w:jc w:val="left"/>
              <w:rPr>
                <w:b/>
                <w:lang w:val="en-GB"/>
              </w:rPr>
            </w:pPr>
            <w:r w:rsidRPr="00EE5B09">
              <w:rPr>
                <w:b/>
                <w:lang w:val="en-GB"/>
              </w:rPr>
              <w:t>General Disorders and Administration Site Conditions</w:t>
            </w:r>
          </w:p>
        </w:tc>
      </w:tr>
      <w:tr w:rsidR="00445E15" w:rsidRPr="00EE5B09" w14:paraId="00391358" w14:textId="77777777" w:rsidTr="00572183">
        <w:tc>
          <w:tcPr>
            <w:tcW w:w="2943" w:type="dxa"/>
            <w:tcBorders>
              <w:top w:val="nil"/>
              <w:left w:val="nil"/>
              <w:bottom w:val="single" w:sz="4" w:space="0" w:color="auto"/>
              <w:right w:val="nil"/>
            </w:tcBorders>
          </w:tcPr>
          <w:p w14:paraId="30678DC0" w14:textId="77777777" w:rsidR="00445E15" w:rsidRPr="00EE5B09" w:rsidRDefault="00445E15" w:rsidP="00572183">
            <w:pPr>
              <w:spacing w:line="259" w:lineRule="auto"/>
              <w:jc w:val="left"/>
              <w:rPr>
                <w:lang w:val="en-GB"/>
              </w:rPr>
            </w:pPr>
            <w:r w:rsidRPr="00EE5B09">
              <w:rPr>
                <w:lang w:val="en-GB"/>
              </w:rPr>
              <w:t>Infusion site haematoma</w:t>
            </w:r>
          </w:p>
        </w:tc>
        <w:tc>
          <w:tcPr>
            <w:tcW w:w="1701" w:type="dxa"/>
            <w:tcBorders>
              <w:top w:val="nil"/>
              <w:left w:val="nil"/>
              <w:bottom w:val="single" w:sz="4" w:space="0" w:color="auto"/>
              <w:right w:val="nil"/>
            </w:tcBorders>
          </w:tcPr>
          <w:p w14:paraId="0FB5D0F3" w14:textId="77777777" w:rsidR="00445E15" w:rsidRPr="00EE5B09" w:rsidRDefault="00445E15" w:rsidP="00572183">
            <w:pPr>
              <w:spacing w:line="259" w:lineRule="auto"/>
              <w:jc w:val="left"/>
              <w:rPr>
                <w:lang w:val="en-GB"/>
              </w:rPr>
            </w:pPr>
            <w:r w:rsidRPr="00EE5B09">
              <w:rPr>
                <w:lang w:val="en-GB"/>
              </w:rPr>
              <w:t>0</w:t>
            </w:r>
          </w:p>
        </w:tc>
        <w:tc>
          <w:tcPr>
            <w:tcW w:w="1276" w:type="dxa"/>
            <w:tcBorders>
              <w:top w:val="nil"/>
              <w:left w:val="nil"/>
              <w:bottom w:val="single" w:sz="4" w:space="0" w:color="auto"/>
              <w:right w:val="nil"/>
            </w:tcBorders>
          </w:tcPr>
          <w:p w14:paraId="4D1DB7B8" w14:textId="77777777" w:rsidR="00445E15" w:rsidRPr="00EE5B09" w:rsidRDefault="00445E15" w:rsidP="00572183">
            <w:pPr>
              <w:spacing w:line="259" w:lineRule="auto"/>
              <w:jc w:val="left"/>
              <w:rPr>
                <w:lang w:val="en-GB"/>
              </w:rPr>
            </w:pPr>
            <w:r w:rsidRPr="00EE5B09">
              <w:rPr>
                <w:lang w:val="en-GB"/>
              </w:rPr>
              <w:t>0</w:t>
            </w:r>
          </w:p>
        </w:tc>
        <w:tc>
          <w:tcPr>
            <w:tcW w:w="1985" w:type="dxa"/>
            <w:tcBorders>
              <w:top w:val="nil"/>
              <w:left w:val="nil"/>
              <w:bottom w:val="single" w:sz="4" w:space="0" w:color="auto"/>
              <w:right w:val="nil"/>
            </w:tcBorders>
          </w:tcPr>
          <w:p w14:paraId="081DE597"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7DFD79DD" w14:textId="77777777" w:rsidR="00445E15" w:rsidRPr="00EE5B09" w:rsidRDefault="00445E15" w:rsidP="00572183">
            <w:pPr>
              <w:spacing w:line="259" w:lineRule="auto"/>
              <w:jc w:val="left"/>
              <w:rPr>
                <w:lang w:val="en-GB"/>
              </w:rPr>
            </w:pPr>
            <w:r w:rsidRPr="00EE5B09">
              <w:rPr>
                <w:lang w:val="en-GB"/>
              </w:rPr>
              <w:t>1 (10.0)</w:t>
            </w:r>
          </w:p>
        </w:tc>
      </w:tr>
      <w:tr w:rsidR="00445E15" w:rsidRPr="00EE5B09" w14:paraId="44C12F1C" w14:textId="77777777" w:rsidTr="00572183">
        <w:tc>
          <w:tcPr>
            <w:tcW w:w="9243" w:type="dxa"/>
            <w:gridSpan w:val="5"/>
            <w:tcBorders>
              <w:top w:val="single" w:sz="4" w:space="0" w:color="auto"/>
              <w:left w:val="nil"/>
              <w:bottom w:val="nil"/>
              <w:right w:val="nil"/>
            </w:tcBorders>
          </w:tcPr>
          <w:p w14:paraId="28A7B46B" w14:textId="77777777" w:rsidR="00445E15" w:rsidRPr="00EE5B09" w:rsidRDefault="00445E15" w:rsidP="00572183">
            <w:pPr>
              <w:spacing w:line="259" w:lineRule="auto"/>
              <w:jc w:val="left"/>
              <w:rPr>
                <w:b/>
                <w:lang w:val="en-GB"/>
              </w:rPr>
            </w:pPr>
            <w:r w:rsidRPr="00EE5B09">
              <w:rPr>
                <w:b/>
                <w:lang w:val="en-GB"/>
              </w:rPr>
              <w:t>Infections and Infestations</w:t>
            </w:r>
          </w:p>
        </w:tc>
      </w:tr>
      <w:tr w:rsidR="00445E15" w:rsidRPr="00EE5B09" w14:paraId="0ADE8D68" w14:textId="77777777" w:rsidTr="00572183">
        <w:tc>
          <w:tcPr>
            <w:tcW w:w="2943" w:type="dxa"/>
            <w:tcBorders>
              <w:top w:val="nil"/>
              <w:left w:val="nil"/>
              <w:bottom w:val="nil"/>
              <w:right w:val="nil"/>
            </w:tcBorders>
          </w:tcPr>
          <w:p w14:paraId="42391CEA" w14:textId="77777777" w:rsidR="00445E15" w:rsidRPr="00EE5B09" w:rsidRDefault="00445E15" w:rsidP="00572183">
            <w:pPr>
              <w:spacing w:line="259" w:lineRule="auto"/>
              <w:jc w:val="left"/>
              <w:rPr>
                <w:lang w:val="en-GB"/>
              </w:rPr>
            </w:pPr>
            <w:r w:rsidRPr="00EE5B09">
              <w:rPr>
                <w:lang w:val="en-GB"/>
              </w:rPr>
              <w:t>Nasopharyngitis</w:t>
            </w:r>
          </w:p>
        </w:tc>
        <w:tc>
          <w:tcPr>
            <w:tcW w:w="1701" w:type="dxa"/>
            <w:tcBorders>
              <w:top w:val="nil"/>
              <w:left w:val="nil"/>
              <w:bottom w:val="nil"/>
              <w:right w:val="nil"/>
            </w:tcBorders>
          </w:tcPr>
          <w:p w14:paraId="24170B63" w14:textId="77777777" w:rsidR="00445E15" w:rsidRPr="00EE5B09" w:rsidRDefault="00445E15" w:rsidP="00572183">
            <w:pPr>
              <w:spacing w:line="259" w:lineRule="auto"/>
              <w:jc w:val="left"/>
              <w:rPr>
                <w:lang w:val="en-GB"/>
              </w:rPr>
            </w:pPr>
            <w:r w:rsidRPr="00EE5B09">
              <w:rPr>
                <w:lang w:val="en-GB"/>
              </w:rPr>
              <w:t>1 (4.0)</w:t>
            </w:r>
          </w:p>
        </w:tc>
        <w:tc>
          <w:tcPr>
            <w:tcW w:w="1276" w:type="dxa"/>
            <w:tcBorders>
              <w:top w:val="nil"/>
              <w:left w:val="nil"/>
              <w:bottom w:val="nil"/>
              <w:right w:val="nil"/>
            </w:tcBorders>
          </w:tcPr>
          <w:p w14:paraId="231C884B" w14:textId="77777777" w:rsidR="00445E15" w:rsidRPr="00EE5B09" w:rsidRDefault="00445E15" w:rsidP="00572183">
            <w:pPr>
              <w:spacing w:line="259" w:lineRule="auto"/>
              <w:jc w:val="left"/>
              <w:rPr>
                <w:lang w:val="en-GB"/>
              </w:rPr>
            </w:pPr>
            <w:r w:rsidRPr="00EE5B09">
              <w:rPr>
                <w:lang w:val="en-GB"/>
              </w:rPr>
              <w:t>0</w:t>
            </w:r>
          </w:p>
        </w:tc>
        <w:tc>
          <w:tcPr>
            <w:tcW w:w="1985" w:type="dxa"/>
            <w:tcBorders>
              <w:top w:val="nil"/>
              <w:left w:val="nil"/>
              <w:bottom w:val="nil"/>
              <w:right w:val="nil"/>
            </w:tcBorders>
          </w:tcPr>
          <w:p w14:paraId="18A568FC"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nil"/>
              <w:right w:val="nil"/>
            </w:tcBorders>
          </w:tcPr>
          <w:p w14:paraId="1CB946D1" w14:textId="77777777" w:rsidR="00445E15" w:rsidRPr="00EE5B09" w:rsidRDefault="00445E15" w:rsidP="00572183">
            <w:pPr>
              <w:spacing w:line="259" w:lineRule="auto"/>
              <w:jc w:val="left"/>
              <w:rPr>
                <w:lang w:val="en-GB"/>
              </w:rPr>
            </w:pPr>
            <w:r w:rsidRPr="00EE5B09">
              <w:rPr>
                <w:lang w:val="en-GB"/>
              </w:rPr>
              <w:t>0</w:t>
            </w:r>
          </w:p>
        </w:tc>
      </w:tr>
      <w:tr w:rsidR="00445E15" w:rsidRPr="00EE5B09" w14:paraId="56F372E6" w14:textId="77777777" w:rsidTr="00572183">
        <w:tc>
          <w:tcPr>
            <w:tcW w:w="2943" w:type="dxa"/>
            <w:tcBorders>
              <w:top w:val="nil"/>
              <w:left w:val="nil"/>
              <w:bottom w:val="single" w:sz="4" w:space="0" w:color="auto"/>
              <w:right w:val="nil"/>
            </w:tcBorders>
          </w:tcPr>
          <w:p w14:paraId="16E37B37" w14:textId="77777777" w:rsidR="00445E15" w:rsidRPr="00EE5B09" w:rsidRDefault="00445E15" w:rsidP="00572183">
            <w:pPr>
              <w:spacing w:line="259" w:lineRule="auto"/>
              <w:jc w:val="left"/>
              <w:rPr>
                <w:lang w:val="en-GB"/>
              </w:rPr>
            </w:pPr>
            <w:r w:rsidRPr="00EE5B09">
              <w:rPr>
                <w:lang w:val="en-GB"/>
              </w:rPr>
              <w:t>Oral herpes</w:t>
            </w:r>
          </w:p>
        </w:tc>
        <w:tc>
          <w:tcPr>
            <w:tcW w:w="1701" w:type="dxa"/>
            <w:tcBorders>
              <w:top w:val="nil"/>
              <w:left w:val="nil"/>
              <w:bottom w:val="single" w:sz="4" w:space="0" w:color="auto"/>
              <w:right w:val="nil"/>
            </w:tcBorders>
          </w:tcPr>
          <w:p w14:paraId="2FFABBCE" w14:textId="77777777" w:rsidR="00445E15" w:rsidRPr="00EE5B09" w:rsidRDefault="00445E15" w:rsidP="00572183">
            <w:pPr>
              <w:spacing w:line="259" w:lineRule="auto"/>
              <w:jc w:val="left"/>
              <w:rPr>
                <w:lang w:val="en-GB"/>
              </w:rPr>
            </w:pPr>
            <w:r w:rsidRPr="00EE5B09">
              <w:rPr>
                <w:lang w:val="en-GB"/>
              </w:rPr>
              <w:t>1 (4.0)</w:t>
            </w:r>
          </w:p>
        </w:tc>
        <w:tc>
          <w:tcPr>
            <w:tcW w:w="1276" w:type="dxa"/>
            <w:tcBorders>
              <w:top w:val="nil"/>
              <w:left w:val="nil"/>
              <w:bottom w:val="single" w:sz="4" w:space="0" w:color="auto"/>
              <w:right w:val="nil"/>
            </w:tcBorders>
          </w:tcPr>
          <w:p w14:paraId="4103AAF9" w14:textId="77777777" w:rsidR="00445E15" w:rsidRPr="00EE5B09" w:rsidRDefault="00445E15" w:rsidP="00572183">
            <w:pPr>
              <w:spacing w:line="259" w:lineRule="auto"/>
              <w:jc w:val="left"/>
              <w:rPr>
                <w:lang w:val="en-GB"/>
              </w:rPr>
            </w:pPr>
            <w:r w:rsidRPr="00EE5B09">
              <w:rPr>
                <w:lang w:val="en-GB"/>
              </w:rPr>
              <w:t>1 (4.0)</w:t>
            </w:r>
          </w:p>
        </w:tc>
        <w:tc>
          <w:tcPr>
            <w:tcW w:w="1985" w:type="dxa"/>
            <w:tcBorders>
              <w:top w:val="nil"/>
              <w:left w:val="nil"/>
              <w:bottom w:val="single" w:sz="4" w:space="0" w:color="auto"/>
              <w:right w:val="nil"/>
            </w:tcBorders>
          </w:tcPr>
          <w:p w14:paraId="44C2E3D4"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03AB1FE6" w14:textId="77777777" w:rsidR="00445E15" w:rsidRPr="00EE5B09" w:rsidRDefault="00445E15" w:rsidP="00572183">
            <w:pPr>
              <w:spacing w:line="259" w:lineRule="auto"/>
              <w:jc w:val="left"/>
              <w:rPr>
                <w:lang w:val="en-GB"/>
              </w:rPr>
            </w:pPr>
            <w:r w:rsidRPr="00EE5B09">
              <w:rPr>
                <w:lang w:val="en-GB"/>
              </w:rPr>
              <w:t>0</w:t>
            </w:r>
          </w:p>
        </w:tc>
      </w:tr>
      <w:tr w:rsidR="00445E15" w:rsidRPr="00EE5B09" w14:paraId="130ABC0D" w14:textId="77777777" w:rsidTr="00572183">
        <w:tc>
          <w:tcPr>
            <w:tcW w:w="9243" w:type="dxa"/>
            <w:gridSpan w:val="5"/>
            <w:tcBorders>
              <w:top w:val="single" w:sz="4" w:space="0" w:color="auto"/>
              <w:left w:val="nil"/>
              <w:bottom w:val="nil"/>
              <w:right w:val="nil"/>
            </w:tcBorders>
          </w:tcPr>
          <w:p w14:paraId="548BD22C" w14:textId="77777777" w:rsidR="00445E15" w:rsidRPr="00EE5B09" w:rsidRDefault="00445E15" w:rsidP="00572183">
            <w:pPr>
              <w:spacing w:line="259" w:lineRule="auto"/>
              <w:jc w:val="left"/>
              <w:rPr>
                <w:b/>
                <w:lang w:val="en-GB"/>
              </w:rPr>
            </w:pPr>
            <w:r w:rsidRPr="00EE5B09">
              <w:rPr>
                <w:b/>
                <w:lang w:val="en-GB"/>
              </w:rPr>
              <w:t>Investigations</w:t>
            </w:r>
          </w:p>
        </w:tc>
      </w:tr>
      <w:tr w:rsidR="00445E15" w:rsidRPr="00EE5B09" w14:paraId="6A581050" w14:textId="77777777" w:rsidTr="00572183">
        <w:tc>
          <w:tcPr>
            <w:tcW w:w="2943" w:type="dxa"/>
            <w:tcBorders>
              <w:top w:val="nil"/>
              <w:left w:val="nil"/>
              <w:bottom w:val="nil"/>
              <w:right w:val="nil"/>
            </w:tcBorders>
          </w:tcPr>
          <w:p w14:paraId="1DDCFEF0" w14:textId="77777777" w:rsidR="00445E15" w:rsidRPr="00EE5B09" w:rsidRDefault="00445E15" w:rsidP="00572183">
            <w:pPr>
              <w:spacing w:line="259" w:lineRule="auto"/>
              <w:jc w:val="left"/>
              <w:rPr>
                <w:lang w:val="en-GB"/>
              </w:rPr>
            </w:pPr>
            <w:r w:rsidRPr="00EE5B09">
              <w:rPr>
                <w:lang w:val="en-GB"/>
              </w:rPr>
              <w:t>Haemoglobin decreased</w:t>
            </w:r>
          </w:p>
        </w:tc>
        <w:tc>
          <w:tcPr>
            <w:tcW w:w="1701" w:type="dxa"/>
            <w:tcBorders>
              <w:top w:val="nil"/>
              <w:left w:val="nil"/>
              <w:bottom w:val="nil"/>
              <w:right w:val="nil"/>
            </w:tcBorders>
          </w:tcPr>
          <w:p w14:paraId="422D0A37" w14:textId="77777777" w:rsidR="00445E15" w:rsidRPr="00EE5B09" w:rsidRDefault="00445E15" w:rsidP="00572183">
            <w:pPr>
              <w:spacing w:line="259" w:lineRule="auto"/>
              <w:jc w:val="left"/>
              <w:rPr>
                <w:lang w:val="en-GB"/>
              </w:rPr>
            </w:pPr>
            <w:r w:rsidRPr="00EE5B09">
              <w:rPr>
                <w:lang w:val="en-GB"/>
              </w:rPr>
              <w:t>1 (4.0)</w:t>
            </w:r>
          </w:p>
        </w:tc>
        <w:tc>
          <w:tcPr>
            <w:tcW w:w="1276" w:type="dxa"/>
            <w:tcBorders>
              <w:top w:val="nil"/>
              <w:left w:val="nil"/>
              <w:bottom w:val="nil"/>
              <w:right w:val="nil"/>
            </w:tcBorders>
          </w:tcPr>
          <w:p w14:paraId="54EDAF54" w14:textId="77777777" w:rsidR="00445E15" w:rsidRPr="00EE5B09" w:rsidRDefault="00445E15" w:rsidP="00572183">
            <w:pPr>
              <w:spacing w:line="259" w:lineRule="auto"/>
              <w:jc w:val="left"/>
              <w:rPr>
                <w:lang w:val="en-GB"/>
              </w:rPr>
            </w:pPr>
            <w:r w:rsidRPr="00EE5B09">
              <w:rPr>
                <w:lang w:val="en-GB"/>
              </w:rPr>
              <w:t>0</w:t>
            </w:r>
          </w:p>
        </w:tc>
        <w:tc>
          <w:tcPr>
            <w:tcW w:w="1985" w:type="dxa"/>
            <w:tcBorders>
              <w:top w:val="nil"/>
              <w:left w:val="nil"/>
              <w:bottom w:val="nil"/>
              <w:right w:val="nil"/>
            </w:tcBorders>
          </w:tcPr>
          <w:p w14:paraId="3D6C1111"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nil"/>
              <w:right w:val="nil"/>
            </w:tcBorders>
          </w:tcPr>
          <w:p w14:paraId="75D79410" w14:textId="77777777" w:rsidR="00445E15" w:rsidRPr="00EE5B09" w:rsidRDefault="00445E15" w:rsidP="00572183">
            <w:pPr>
              <w:spacing w:line="259" w:lineRule="auto"/>
              <w:jc w:val="left"/>
              <w:rPr>
                <w:lang w:val="en-GB"/>
              </w:rPr>
            </w:pPr>
            <w:r w:rsidRPr="00EE5B09">
              <w:rPr>
                <w:lang w:val="en-GB"/>
              </w:rPr>
              <w:t>0</w:t>
            </w:r>
          </w:p>
        </w:tc>
      </w:tr>
      <w:tr w:rsidR="00445E15" w:rsidRPr="00EE5B09" w14:paraId="4BD8EDA8" w14:textId="77777777" w:rsidTr="00572183">
        <w:tc>
          <w:tcPr>
            <w:tcW w:w="2943" w:type="dxa"/>
            <w:tcBorders>
              <w:top w:val="nil"/>
              <w:left w:val="nil"/>
              <w:bottom w:val="single" w:sz="4" w:space="0" w:color="auto"/>
              <w:right w:val="nil"/>
            </w:tcBorders>
          </w:tcPr>
          <w:p w14:paraId="4F76B97C" w14:textId="77777777" w:rsidR="00445E15" w:rsidRPr="00EE5B09" w:rsidRDefault="00445E15" w:rsidP="00572183">
            <w:pPr>
              <w:spacing w:line="259" w:lineRule="auto"/>
              <w:jc w:val="left"/>
              <w:rPr>
                <w:lang w:val="en-GB"/>
              </w:rPr>
            </w:pPr>
            <w:r w:rsidRPr="00EE5B09">
              <w:rPr>
                <w:lang w:val="en-GB"/>
              </w:rPr>
              <w:t>Neutrophil count decreased</w:t>
            </w:r>
          </w:p>
        </w:tc>
        <w:tc>
          <w:tcPr>
            <w:tcW w:w="1701" w:type="dxa"/>
            <w:tcBorders>
              <w:top w:val="nil"/>
              <w:left w:val="nil"/>
              <w:bottom w:val="single" w:sz="4" w:space="0" w:color="auto"/>
              <w:right w:val="nil"/>
            </w:tcBorders>
          </w:tcPr>
          <w:p w14:paraId="18B69D85" w14:textId="77777777" w:rsidR="00445E15" w:rsidRPr="00EE5B09" w:rsidRDefault="00445E15" w:rsidP="00572183">
            <w:pPr>
              <w:spacing w:line="259" w:lineRule="auto"/>
              <w:jc w:val="left"/>
              <w:rPr>
                <w:lang w:val="en-GB"/>
              </w:rPr>
            </w:pPr>
            <w:r w:rsidRPr="00EE5B09">
              <w:rPr>
                <w:lang w:val="en-GB"/>
              </w:rPr>
              <w:t>1 (4.0)</w:t>
            </w:r>
          </w:p>
        </w:tc>
        <w:tc>
          <w:tcPr>
            <w:tcW w:w="1276" w:type="dxa"/>
            <w:tcBorders>
              <w:top w:val="nil"/>
              <w:left w:val="nil"/>
              <w:bottom w:val="single" w:sz="4" w:space="0" w:color="auto"/>
              <w:right w:val="nil"/>
            </w:tcBorders>
          </w:tcPr>
          <w:p w14:paraId="30C5B821" w14:textId="77777777" w:rsidR="00445E15" w:rsidRPr="00EE5B09" w:rsidRDefault="00445E15" w:rsidP="00572183">
            <w:pPr>
              <w:spacing w:line="259" w:lineRule="auto"/>
              <w:jc w:val="left"/>
              <w:rPr>
                <w:lang w:val="en-GB"/>
              </w:rPr>
            </w:pPr>
            <w:r w:rsidRPr="00EE5B09">
              <w:rPr>
                <w:lang w:val="en-GB"/>
              </w:rPr>
              <w:t>1 (4.0)</w:t>
            </w:r>
          </w:p>
        </w:tc>
        <w:tc>
          <w:tcPr>
            <w:tcW w:w="1985" w:type="dxa"/>
            <w:tcBorders>
              <w:top w:val="nil"/>
              <w:left w:val="nil"/>
              <w:bottom w:val="single" w:sz="4" w:space="0" w:color="auto"/>
              <w:right w:val="nil"/>
            </w:tcBorders>
          </w:tcPr>
          <w:p w14:paraId="2C35A866"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218A25CD" w14:textId="77777777" w:rsidR="00445E15" w:rsidRPr="00EE5B09" w:rsidRDefault="00445E15" w:rsidP="00572183">
            <w:pPr>
              <w:spacing w:line="259" w:lineRule="auto"/>
              <w:jc w:val="left"/>
              <w:rPr>
                <w:lang w:val="en-GB"/>
              </w:rPr>
            </w:pPr>
            <w:r w:rsidRPr="00EE5B09">
              <w:rPr>
                <w:lang w:val="en-GB"/>
              </w:rPr>
              <w:t>0</w:t>
            </w:r>
          </w:p>
        </w:tc>
      </w:tr>
      <w:tr w:rsidR="00445E15" w:rsidRPr="00EE5B09" w14:paraId="25DCAC49" w14:textId="77777777" w:rsidTr="00572183">
        <w:tc>
          <w:tcPr>
            <w:tcW w:w="9243" w:type="dxa"/>
            <w:gridSpan w:val="5"/>
            <w:tcBorders>
              <w:top w:val="single" w:sz="4" w:space="0" w:color="auto"/>
              <w:left w:val="nil"/>
              <w:bottom w:val="nil"/>
              <w:right w:val="nil"/>
            </w:tcBorders>
          </w:tcPr>
          <w:p w14:paraId="5C222B1C" w14:textId="77777777" w:rsidR="00445E15" w:rsidRPr="00EE5B09" w:rsidRDefault="00445E15" w:rsidP="00572183">
            <w:pPr>
              <w:spacing w:line="259" w:lineRule="auto"/>
              <w:jc w:val="left"/>
              <w:rPr>
                <w:b/>
                <w:lang w:val="en-GB"/>
              </w:rPr>
            </w:pPr>
            <w:r w:rsidRPr="00EE5B09">
              <w:rPr>
                <w:b/>
                <w:lang w:val="en-GB"/>
              </w:rPr>
              <w:t>Metabolic and Nutrition Disorders</w:t>
            </w:r>
          </w:p>
        </w:tc>
      </w:tr>
      <w:tr w:rsidR="00445E15" w:rsidRPr="00EE5B09" w14:paraId="0088580F" w14:textId="77777777" w:rsidTr="00572183">
        <w:tc>
          <w:tcPr>
            <w:tcW w:w="2943" w:type="dxa"/>
            <w:tcBorders>
              <w:top w:val="nil"/>
              <w:left w:val="nil"/>
              <w:bottom w:val="single" w:sz="4" w:space="0" w:color="auto"/>
              <w:right w:val="nil"/>
            </w:tcBorders>
          </w:tcPr>
          <w:p w14:paraId="1DCA4191" w14:textId="77777777" w:rsidR="00445E15" w:rsidRPr="00EE5B09" w:rsidRDefault="00445E15" w:rsidP="00572183">
            <w:pPr>
              <w:spacing w:line="259" w:lineRule="auto"/>
              <w:jc w:val="left"/>
              <w:rPr>
                <w:lang w:val="en-GB"/>
              </w:rPr>
            </w:pPr>
            <w:r w:rsidRPr="00EE5B09">
              <w:rPr>
                <w:lang w:val="en-GB"/>
              </w:rPr>
              <w:t>Hypocalcaemia</w:t>
            </w:r>
          </w:p>
        </w:tc>
        <w:tc>
          <w:tcPr>
            <w:tcW w:w="1701" w:type="dxa"/>
            <w:tcBorders>
              <w:top w:val="nil"/>
              <w:left w:val="nil"/>
              <w:bottom w:val="single" w:sz="4" w:space="0" w:color="auto"/>
              <w:right w:val="nil"/>
            </w:tcBorders>
          </w:tcPr>
          <w:p w14:paraId="7342115E" w14:textId="77777777" w:rsidR="00445E15" w:rsidRPr="00EE5B09" w:rsidRDefault="00445E15" w:rsidP="00572183">
            <w:pPr>
              <w:spacing w:line="259" w:lineRule="auto"/>
              <w:jc w:val="left"/>
              <w:rPr>
                <w:lang w:val="en-GB"/>
              </w:rPr>
            </w:pPr>
            <w:r w:rsidRPr="00EE5B09">
              <w:rPr>
                <w:lang w:val="en-GB"/>
              </w:rPr>
              <w:t>5 (20.0)</w:t>
            </w:r>
          </w:p>
        </w:tc>
        <w:tc>
          <w:tcPr>
            <w:tcW w:w="1276" w:type="dxa"/>
            <w:tcBorders>
              <w:top w:val="nil"/>
              <w:left w:val="nil"/>
              <w:bottom w:val="single" w:sz="4" w:space="0" w:color="auto"/>
              <w:right w:val="nil"/>
            </w:tcBorders>
          </w:tcPr>
          <w:p w14:paraId="48A13E1B" w14:textId="77777777" w:rsidR="00445E15" w:rsidRPr="00EE5B09" w:rsidRDefault="00445E15" w:rsidP="00572183">
            <w:pPr>
              <w:spacing w:line="259" w:lineRule="auto"/>
              <w:jc w:val="left"/>
              <w:rPr>
                <w:lang w:val="en-GB"/>
              </w:rPr>
            </w:pPr>
            <w:r w:rsidRPr="00EE5B09">
              <w:rPr>
                <w:lang w:val="en-GB"/>
              </w:rPr>
              <w:t>4 (16.0)</w:t>
            </w:r>
          </w:p>
        </w:tc>
        <w:tc>
          <w:tcPr>
            <w:tcW w:w="1985" w:type="dxa"/>
            <w:tcBorders>
              <w:top w:val="nil"/>
              <w:left w:val="nil"/>
              <w:bottom w:val="single" w:sz="4" w:space="0" w:color="auto"/>
              <w:right w:val="nil"/>
            </w:tcBorders>
          </w:tcPr>
          <w:p w14:paraId="6CD86E7E"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4613CC10" w14:textId="77777777" w:rsidR="00445E15" w:rsidRPr="00EE5B09" w:rsidRDefault="00445E15" w:rsidP="00572183">
            <w:pPr>
              <w:spacing w:line="259" w:lineRule="auto"/>
              <w:jc w:val="left"/>
              <w:rPr>
                <w:lang w:val="en-GB"/>
              </w:rPr>
            </w:pPr>
            <w:r w:rsidRPr="00EE5B09">
              <w:rPr>
                <w:lang w:val="en-GB"/>
              </w:rPr>
              <w:t>0</w:t>
            </w:r>
          </w:p>
        </w:tc>
      </w:tr>
      <w:tr w:rsidR="00445E15" w:rsidRPr="00EE5B09" w14:paraId="63F3F33E" w14:textId="77777777" w:rsidTr="00572183">
        <w:tc>
          <w:tcPr>
            <w:tcW w:w="9243" w:type="dxa"/>
            <w:gridSpan w:val="5"/>
            <w:tcBorders>
              <w:top w:val="single" w:sz="4" w:space="0" w:color="auto"/>
              <w:left w:val="nil"/>
              <w:bottom w:val="nil"/>
              <w:right w:val="nil"/>
            </w:tcBorders>
          </w:tcPr>
          <w:p w14:paraId="09A6ED8D" w14:textId="77777777" w:rsidR="00445E15" w:rsidRPr="00EE5B09" w:rsidRDefault="00445E15" w:rsidP="00572183">
            <w:pPr>
              <w:spacing w:line="259" w:lineRule="auto"/>
              <w:jc w:val="left"/>
              <w:rPr>
                <w:b/>
                <w:lang w:val="en-GB"/>
              </w:rPr>
            </w:pPr>
            <w:r w:rsidRPr="00EE5B09">
              <w:rPr>
                <w:b/>
                <w:lang w:val="en-GB"/>
              </w:rPr>
              <w:t>Musculoskeletal and Connective Tissue Disorders</w:t>
            </w:r>
          </w:p>
        </w:tc>
      </w:tr>
      <w:tr w:rsidR="00445E15" w:rsidRPr="00EE5B09" w14:paraId="3BC5EC9C" w14:textId="77777777" w:rsidTr="00572183">
        <w:tc>
          <w:tcPr>
            <w:tcW w:w="2943" w:type="dxa"/>
            <w:tcBorders>
              <w:top w:val="nil"/>
              <w:left w:val="nil"/>
              <w:bottom w:val="single" w:sz="4" w:space="0" w:color="auto"/>
              <w:right w:val="nil"/>
            </w:tcBorders>
          </w:tcPr>
          <w:p w14:paraId="20C77FA2" w14:textId="77777777" w:rsidR="00445E15" w:rsidRPr="00EE5B09" w:rsidRDefault="00445E15" w:rsidP="00572183">
            <w:pPr>
              <w:spacing w:line="259" w:lineRule="auto"/>
              <w:jc w:val="left"/>
              <w:rPr>
                <w:lang w:val="en-GB"/>
              </w:rPr>
            </w:pPr>
            <w:r w:rsidRPr="00EE5B09">
              <w:rPr>
                <w:lang w:val="en-GB"/>
              </w:rPr>
              <w:t>Back pain</w:t>
            </w:r>
          </w:p>
        </w:tc>
        <w:tc>
          <w:tcPr>
            <w:tcW w:w="1701" w:type="dxa"/>
            <w:tcBorders>
              <w:top w:val="nil"/>
              <w:left w:val="nil"/>
              <w:bottom w:val="single" w:sz="4" w:space="0" w:color="auto"/>
              <w:right w:val="nil"/>
            </w:tcBorders>
          </w:tcPr>
          <w:p w14:paraId="20782D70" w14:textId="77777777" w:rsidR="00445E15" w:rsidRPr="00EE5B09" w:rsidRDefault="00445E15" w:rsidP="00572183">
            <w:pPr>
              <w:spacing w:line="259" w:lineRule="auto"/>
              <w:jc w:val="left"/>
              <w:rPr>
                <w:lang w:val="en-GB"/>
              </w:rPr>
            </w:pPr>
            <w:r w:rsidRPr="00EE5B09">
              <w:rPr>
                <w:lang w:val="en-GB"/>
              </w:rPr>
              <w:t>0</w:t>
            </w:r>
          </w:p>
        </w:tc>
        <w:tc>
          <w:tcPr>
            <w:tcW w:w="1276" w:type="dxa"/>
            <w:tcBorders>
              <w:top w:val="nil"/>
              <w:left w:val="nil"/>
              <w:bottom w:val="single" w:sz="4" w:space="0" w:color="auto"/>
              <w:right w:val="nil"/>
            </w:tcBorders>
          </w:tcPr>
          <w:p w14:paraId="3D73F562" w14:textId="77777777" w:rsidR="00445E15" w:rsidRPr="00EE5B09" w:rsidRDefault="00445E15" w:rsidP="00572183">
            <w:pPr>
              <w:spacing w:line="259" w:lineRule="auto"/>
              <w:jc w:val="left"/>
              <w:rPr>
                <w:lang w:val="en-GB"/>
              </w:rPr>
            </w:pPr>
            <w:r w:rsidRPr="00EE5B09">
              <w:rPr>
                <w:lang w:val="en-GB"/>
              </w:rPr>
              <w:t>1 (4.0)</w:t>
            </w:r>
          </w:p>
        </w:tc>
        <w:tc>
          <w:tcPr>
            <w:tcW w:w="1985" w:type="dxa"/>
            <w:tcBorders>
              <w:top w:val="nil"/>
              <w:left w:val="nil"/>
              <w:bottom w:val="single" w:sz="4" w:space="0" w:color="auto"/>
              <w:right w:val="nil"/>
            </w:tcBorders>
          </w:tcPr>
          <w:p w14:paraId="24998652"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30C2C9D6" w14:textId="77777777" w:rsidR="00445E15" w:rsidRPr="00EE5B09" w:rsidRDefault="00445E15" w:rsidP="00572183">
            <w:pPr>
              <w:spacing w:line="259" w:lineRule="auto"/>
              <w:jc w:val="left"/>
              <w:rPr>
                <w:lang w:val="en-GB"/>
              </w:rPr>
            </w:pPr>
            <w:r w:rsidRPr="00EE5B09">
              <w:rPr>
                <w:lang w:val="en-GB"/>
              </w:rPr>
              <w:t>0</w:t>
            </w:r>
          </w:p>
        </w:tc>
      </w:tr>
      <w:tr w:rsidR="00445E15" w:rsidRPr="00EE5B09" w14:paraId="7A7386A7" w14:textId="77777777" w:rsidTr="00572183">
        <w:tc>
          <w:tcPr>
            <w:tcW w:w="9243" w:type="dxa"/>
            <w:gridSpan w:val="5"/>
            <w:tcBorders>
              <w:top w:val="single" w:sz="4" w:space="0" w:color="auto"/>
              <w:left w:val="nil"/>
              <w:bottom w:val="nil"/>
              <w:right w:val="nil"/>
            </w:tcBorders>
          </w:tcPr>
          <w:p w14:paraId="3312FCA8" w14:textId="77777777" w:rsidR="00445E15" w:rsidRPr="00EE5B09" w:rsidRDefault="00445E15" w:rsidP="00572183">
            <w:pPr>
              <w:spacing w:line="259" w:lineRule="auto"/>
              <w:jc w:val="left"/>
              <w:rPr>
                <w:b/>
                <w:lang w:val="en-GB"/>
              </w:rPr>
            </w:pPr>
            <w:r w:rsidRPr="00EE5B09">
              <w:rPr>
                <w:b/>
                <w:lang w:val="en-GB"/>
              </w:rPr>
              <w:t>Nervous System Disorders</w:t>
            </w:r>
          </w:p>
        </w:tc>
      </w:tr>
      <w:tr w:rsidR="00445E15" w:rsidRPr="00EE5B09" w14:paraId="32B9EE17" w14:textId="77777777" w:rsidTr="00572183">
        <w:tc>
          <w:tcPr>
            <w:tcW w:w="2943" w:type="dxa"/>
            <w:tcBorders>
              <w:top w:val="nil"/>
              <w:left w:val="nil"/>
              <w:bottom w:val="single" w:sz="4" w:space="0" w:color="auto"/>
              <w:right w:val="nil"/>
            </w:tcBorders>
          </w:tcPr>
          <w:p w14:paraId="3D01BBC4" w14:textId="77777777" w:rsidR="00445E15" w:rsidRPr="00EE5B09" w:rsidRDefault="00445E15" w:rsidP="00572183">
            <w:pPr>
              <w:spacing w:line="259" w:lineRule="auto"/>
              <w:jc w:val="left"/>
              <w:rPr>
                <w:lang w:val="en-GB"/>
              </w:rPr>
            </w:pPr>
            <w:r w:rsidRPr="00EE5B09">
              <w:rPr>
                <w:lang w:val="en-GB"/>
              </w:rPr>
              <w:t>Headache</w:t>
            </w:r>
          </w:p>
        </w:tc>
        <w:tc>
          <w:tcPr>
            <w:tcW w:w="1701" w:type="dxa"/>
            <w:tcBorders>
              <w:top w:val="nil"/>
              <w:left w:val="nil"/>
              <w:bottom w:val="single" w:sz="4" w:space="0" w:color="auto"/>
              <w:right w:val="nil"/>
            </w:tcBorders>
          </w:tcPr>
          <w:p w14:paraId="068D14DD" w14:textId="77777777" w:rsidR="00445E15" w:rsidRPr="00EE5B09" w:rsidRDefault="00445E15" w:rsidP="00572183">
            <w:pPr>
              <w:spacing w:line="259" w:lineRule="auto"/>
              <w:jc w:val="left"/>
              <w:rPr>
                <w:lang w:val="en-GB"/>
              </w:rPr>
            </w:pPr>
            <w:r w:rsidRPr="00EE5B09">
              <w:rPr>
                <w:lang w:val="en-GB"/>
              </w:rPr>
              <w:t>0</w:t>
            </w:r>
          </w:p>
        </w:tc>
        <w:tc>
          <w:tcPr>
            <w:tcW w:w="1276" w:type="dxa"/>
            <w:tcBorders>
              <w:top w:val="nil"/>
              <w:left w:val="nil"/>
              <w:bottom w:val="single" w:sz="4" w:space="0" w:color="auto"/>
              <w:right w:val="nil"/>
            </w:tcBorders>
          </w:tcPr>
          <w:p w14:paraId="6D6620C6" w14:textId="77777777" w:rsidR="00445E15" w:rsidRPr="00EE5B09" w:rsidRDefault="00445E15" w:rsidP="00572183">
            <w:pPr>
              <w:spacing w:line="259" w:lineRule="auto"/>
              <w:jc w:val="left"/>
              <w:rPr>
                <w:lang w:val="en-GB"/>
              </w:rPr>
            </w:pPr>
            <w:r w:rsidRPr="00EE5B09">
              <w:rPr>
                <w:lang w:val="en-GB"/>
              </w:rPr>
              <w:t>2 (8.0)</w:t>
            </w:r>
          </w:p>
        </w:tc>
        <w:tc>
          <w:tcPr>
            <w:tcW w:w="1985" w:type="dxa"/>
            <w:tcBorders>
              <w:top w:val="nil"/>
              <w:left w:val="nil"/>
              <w:bottom w:val="single" w:sz="4" w:space="0" w:color="auto"/>
              <w:right w:val="nil"/>
            </w:tcBorders>
          </w:tcPr>
          <w:p w14:paraId="02043881"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76F867FB" w14:textId="77777777" w:rsidR="00445E15" w:rsidRPr="00EE5B09" w:rsidRDefault="00445E15" w:rsidP="00572183">
            <w:pPr>
              <w:spacing w:line="259" w:lineRule="auto"/>
              <w:jc w:val="left"/>
              <w:rPr>
                <w:lang w:val="en-GB"/>
              </w:rPr>
            </w:pPr>
            <w:r w:rsidRPr="00EE5B09">
              <w:rPr>
                <w:lang w:val="en-GB"/>
              </w:rPr>
              <w:t>1 (10.0)</w:t>
            </w:r>
          </w:p>
        </w:tc>
      </w:tr>
      <w:tr w:rsidR="00445E15" w:rsidRPr="00EE5B09" w14:paraId="03DD6227" w14:textId="77777777" w:rsidTr="00572183">
        <w:tc>
          <w:tcPr>
            <w:tcW w:w="9243" w:type="dxa"/>
            <w:gridSpan w:val="5"/>
            <w:tcBorders>
              <w:top w:val="single" w:sz="4" w:space="0" w:color="auto"/>
              <w:left w:val="nil"/>
              <w:bottom w:val="nil"/>
              <w:right w:val="nil"/>
            </w:tcBorders>
          </w:tcPr>
          <w:p w14:paraId="21EFB41C" w14:textId="77777777" w:rsidR="00445E15" w:rsidRPr="00EE5B09" w:rsidRDefault="00445E15" w:rsidP="00572183">
            <w:pPr>
              <w:spacing w:line="259" w:lineRule="auto"/>
              <w:jc w:val="left"/>
              <w:rPr>
                <w:b/>
                <w:lang w:val="en-GB"/>
              </w:rPr>
            </w:pPr>
            <w:r w:rsidRPr="00EE5B09">
              <w:rPr>
                <w:b/>
                <w:lang w:val="en-GB"/>
              </w:rPr>
              <w:t>Reproductive System and Breast Disorders</w:t>
            </w:r>
          </w:p>
        </w:tc>
      </w:tr>
      <w:tr w:rsidR="00445E15" w:rsidRPr="00EE5B09" w14:paraId="1B0B4BB5" w14:textId="77777777" w:rsidTr="00572183">
        <w:tc>
          <w:tcPr>
            <w:tcW w:w="2943" w:type="dxa"/>
            <w:tcBorders>
              <w:top w:val="nil"/>
              <w:left w:val="nil"/>
              <w:bottom w:val="single" w:sz="4" w:space="0" w:color="auto"/>
              <w:right w:val="nil"/>
            </w:tcBorders>
          </w:tcPr>
          <w:p w14:paraId="5F0B2CAF" w14:textId="77777777" w:rsidR="00445E15" w:rsidRPr="00EE5B09" w:rsidRDefault="00445E15" w:rsidP="00572183">
            <w:pPr>
              <w:spacing w:line="259" w:lineRule="auto"/>
              <w:jc w:val="left"/>
              <w:rPr>
                <w:lang w:val="en-GB"/>
              </w:rPr>
            </w:pPr>
            <w:r w:rsidRPr="00EE5B09">
              <w:rPr>
                <w:lang w:val="en-GB"/>
              </w:rPr>
              <w:t>Dysmenorrhoea</w:t>
            </w:r>
          </w:p>
        </w:tc>
        <w:tc>
          <w:tcPr>
            <w:tcW w:w="1701" w:type="dxa"/>
            <w:tcBorders>
              <w:top w:val="nil"/>
              <w:left w:val="nil"/>
              <w:bottom w:val="single" w:sz="4" w:space="0" w:color="auto"/>
              <w:right w:val="nil"/>
            </w:tcBorders>
          </w:tcPr>
          <w:p w14:paraId="4ABE3075" w14:textId="77777777" w:rsidR="00445E15" w:rsidRPr="00EE5B09" w:rsidRDefault="00445E15" w:rsidP="00572183">
            <w:pPr>
              <w:spacing w:line="259" w:lineRule="auto"/>
              <w:jc w:val="left"/>
              <w:rPr>
                <w:lang w:val="en-GB"/>
              </w:rPr>
            </w:pPr>
            <w:r w:rsidRPr="00EE5B09">
              <w:rPr>
                <w:lang w:val="en-GB"/>
              </w:rPr>
              <w:t>1 (4.0)</w:t>
            </w:r>
          </w:p>
        </w:tc>
        <w:tc>
          <w:tcPr>
            <w:tcW w:w="1276" w:type="dxa"/>
            <w:tcBorders>
              <w:top w:val="nil"/>
              <w:left w:val="nil"/>
              <w:bottom w:val="single" w:sz="4" w:space="0" w:color="auto"/>
              <w:right w:val="nil"/>
            </w:tcBorders>
          </w:tcPr>
          <w:p w14:paraId="7D55CE25" w14:textId="77777777" w:rsidR="00445E15" w:rsidRPr="00EE5B09" w:rsidRDefault="00445E15" w:rsidP="00572183">
            <w:pPr>
              <w:spacing w:line="259" w:lineRule="auto"/>
              <w:jc w:val="left"/>
              <w:rPr>
                <w:lang w:val="en-GB"/>
              </w:rPr>
            </w:pPr>
            <w:r w:rsidRPr="00EE5B09">
              <w:rPr>
                <w:lang w:val="en-GB"/>
              </w:rPr>
              <w:t>0</w:t>
            </w:r>
          </w:p>
        </w:tc>
        <w:tc>
          <w:tcPr>
            <w:tcW w:w="1985" w:type="dxa"/>
            <w:tcBorders>
              <w:top w:val="nil"/>
              <w:left w:val="nil"/>
              <w:bottom w:val="single" w:sz="4" w:space="0" w:color="auto"/>
              <w:right w:val="nil"/>
            </w:tcBorders>
          </w:tcPr>
          <w:p w14:paraId="5FD252E2" w14:textId="77777777" w:rsidR="00445E15" w:rsidRPr="00EE5B09" w:rsidRDefault="00445E15" w:rsidP="00572183">
            <w:pPr>
              <w:spacing w:line="259" w:lineRule="auto"/>
              <w:jc w:val="left"/>
              <w:rPr>
                <w:lang w:val="en-GB"/>
              </w:rPr>
            </w:pPr>
            <w:r w:rsidRPr="00EE5B09">
              <w:rPr>
                <w:lang w:val="en-GB"/>
              </w:rPr>
              <w:t>0</w:t>
            </w:r>
          </w:p>
        </w:tc>
        <w:tc>
          <w:tcPr>
            <w:tcW w:w="1338" w:type="dxa"/>
            <w:tcBorders>
              <w:top w:val="nil"/>
              <w:left w:val="nil"/>
              <w:bottom w:val="single" w:sz="4" w:space="0" w:color="auto"/>
              <w:right w:val="nil"/>
            </w:tcBorders>
          </w:tcPr>
          <w:p w14:paraId="22C2823E" w14:textId="77777777" w:rsidR="00445E15" w:rsidRPr="00EE5B09" w:rsidRDefault="00445E15" w:rsidP="00572183">
            <w:pPr>
              <w:spacing w:line="259" w:lineRule="auto"/>
              <w:jc w:val="left"/>
              <w:rPr>
                <w:lang w:val="en-GB"/>
              </w:rPr>
            </w:pPr>
            <w:r w:rsidRPr="00EE5B09">
              <w:rPr>
                <w:lang w:val="en-GB"/>
              </w:rPr>
              <w:t>0</w:t>
            </w:r>
          </w:p>
        </w:tc>
      </w:tr>
      <w:tr w:rsidR="00445E15" w:rsidRPr="00EE5B09" w14:paraId="2C8BB8EE" w14:textId="77777777" w:rsidTr="00572183">
        <w:tc>
          <w:tcPr>
            <w:tcW w:w="9243" w:type="dxa"/>
            <w:gridSpan w:val="5"/>
            <w:tcBorders>
              <w:top w:val="single" w:sz="4" w:space="0" w:color="auto"/>
              <w:left w:val="nil"/>
              <w:bottom w:val="nil"/>
              <w:right w:val="nil"/>
            </w:tcBorders>
          </w:tcPr>
          <w:p w14:paraId="1B6427A9" w14:textId="77777777" w:rsidR="00445E15" w:rsidRPr="00EE5B09" w:rsidRDefault="00445E15" w:rsidP="00572183">
            <w:pPr>
              <w:spacing w:line="259" w:lineRule="auto"/>
              <w:jc w:val="left"/>
              <w:rPr>
                <w:lang w:val="en-GB"/>
              </w:rPr>
            </w:pPr>
            <w:r w:rsidRPr="00EE5B09">
              <w:rPr>
                <w:lang w:val="en-GB"/>
              </w:rPr>
              <w:t>MedDRA = Medical Dictionary for Regulatory Activities; N = number of patients</w:t>
            </w:r>
          </w:p>
          <w:p w14:paraId="6C524E1E" w14:textId="77777777" w:rsidR="00445E15" w:rsidRPr="00EE5B09" w:rsidRDefault="00445E15" w:rsidP="00572183">
            <w:pPr>
              <w:spacing w:line="259" w:lineRule="auto"/>
              <w:jc w:val="left"/>
              <w:rPr>
                <w:lang w:val="en-GB"/>
              </w:rPr>
            </w:pPr>
            <w:r w:rsidRPr="00EE5B09">
              <w:rPr>
                <w:lang w:val="en-GB"/>
              </w:rPr>
              <w:t>Study Glyc-001-C P1 used a crossover design; therefore, the subjects are iden</w:t>
            </w:r>
            <w:r>
              <w:rPr>
                <w:lang w:val="en-GB"/>
              </w:rPr>
              <w:t>tical in both treatment groups.</w:t>
            </w:r>
          </w:p>
        </w:tc>
      </w:tr>
    </w:tbl>
    <w:p w14:paraId="741CB64E" w14:textId="77777777" w:rsidR="00913C97" w:rsidRDefault="00913C97" w:rsidP="000954F1">
      <w:pPr>
        <w:jc w:val="left"/>
        <w:rPr>
          <w:lang w:val="en-AU"/>
        </w:rPr>
      </w:pPr>
    </w:p>
    <w:p w14:paraId="2ED47E27" w14:textId="03F8A1A6" w:rsidR="000954F1" w:rsidRDefault="000954F1" w:rsidP="000954F1">
      <w:pPr>
        <w:jc w:val="left"/>
        <w:rPr>
          <w:lang w:val="en-AU"/>
        </w:rPr>
      </w:pPr>
      <w:r w:rsidRPr="000954F1">
        <w:rPr>
          <w:lang w:val="en-AU"/>
        </w:rPr>
        <w:t xml:space="preserve">In two (2), two-way cross-over </w:t>
      </w:r>
      <w:r w:rsidR="001C72DD">
        <w:rPr>
          <w:lang w:val="en-AU"/>
        </w:rPr>
        <w:t>healthy adult</w:t>
      </w:r>
      <w:r w:rsidRPr="000954F1">
        <w:rPr>
          <w:lang w:val="en-AU"/>
        </w:rPr>
        <w:t xml:space="preserve"> trials, the observed drug-related Treatment- Emergent Adverse Events (TEAEs) with investigator implied causality in both </w:t>
      </w:r>
      <w:r w:rsidR="00CC7739">
        <w:rPr>
          <w:lang w:val="en-AU"/>
        </w:rPr>
        <w:t>Glycophos</w:t>
      </w:r>
      <w:r w:rsidR="00756D18" w:rsidRPr="002302F8">
        <w:rPr>
          <w:vertAlign w:val="superscript"/>
          <w:lang w:val="en-AU"/>
        </w:rPr>
        <w:t>®</w:t>
      </w:r>
      <w:r w:rsidR="00093A53">
        <w:rPr>
          <w:lang w:val="en-AU"/>
        </w:rPr>
        <w:t xml:space="preserve"> </w:t>
      </w:r>
      <w:r w:rsidRPr="000954F1">
        <w:rPr>
          <w:lang w:val="en-AU"/>
        </w:rPr>
        <w:t xml:space="preserve">and comparator pooled groups are presented in the </w:t>
      </w:r>
      <w:r w:rsidR="0009415F">
        <w:rPr>
          <w:lang w:val="en-AU"/>
        </w:rPr>
        <w:t>T</w:t>
      </w:r>
      <w:r w:rsidRPr="000954F1">
        <w:rPr>
          <w:lang w:val="en-AU"/>
        </w:rPr>
        <w:t>able</w:t>
      </w:r>
      <w:r w:rsidR="0009415F">
        <w:rPr>
          <w:lang w:val="en-AU"/>
        </w:rPr>
        <w:t xml:space="preserve"> 2</w:t>
      </w:r>
      <w:r w:rsidRPr="000954F1">
        <w:rPr>
          <w:lang w:val="en-AU"/>
        </w:rPr>
        <w:t xml:space="preserve"> below.</w:t>
      </w:r>
    </w:p>
    <w:p w14:paraId="69277293" w14:textId="77777777" w:rsidR="00B07C60" w:rsidRDefault="00B07C60" w:rsidP="000954F1">
      <w:pPr>
        <w:jc w:val="left"/>
        <w:rPr>
          <w:lang w:val="en-AU"/>
        </w:rPr>
      </w:pPr>
    </w:p>
    <w:p w14:paraId="0859652D" w14:textId="704A427D" w:rsidR="0009415F" w:rsidRPr="000954F1" w:rsidRDefault="0009415F" w:rsidP="000954F1">
      <w:pPr>
        <w:jc w:val="left"/>
        <w:rPr>
          <w:lang w:val="en-AU"/>
        </w:rPr>
      </w:pPr>
      <w:r>
        <w:rPr>
          <w:lang w:val="en-AU"/>
        </w:rPr>
        <w:t>Table 2: Summary of Drug-related TEAEs</w:t>
      </w:r>
    </w:p>
    <w:p w14:paraId="0F1AE6B1" w14:textId="3E913B94" w:rsidR="000954F1" w:rsidRPr="000954F1" w:rsidRDefault="000954F1" w:rsidP="000954F1">
      <w:pPr>
        <w:jc w:val="left"/>
        <w:rPr>
          <w:lang w:val="en-AU"/>
        </w:rPr>
      </w:pPr>
      <w:r w:rsidRPr="000954F1">
        <w:rPr>
          <w:noProof/>
          <w:lang w:val="en-AU" w:eastAsia="en-AU"/>
        </w:rPr>
        <w:lastRenderedPageBreak/>
        <mc:AlternateContent>
          <mc:Choice Requires="wps">
            <w:drawing>
              <wp:inline distT="0" distB="0" distL="0" distR="0" wp14:anchorId="4E37E6FF" wp14:editId="7E634E67">
                <wp:extent cx="5878195" cy="1341120"/>
                <wp:effectExtent l="0" t="0" r="8255" b="1143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969"/>
                              <w:gridCol w:w="2661"/>
                              <w:gridCol w:w="2611"/>
                            </w:tblGrid>
                            <w:tr w:rsidR="00572183" w14:paraId="0BA395F1" w14:textId="77777777" w:rsidTr="008A46CC">
                              <w:trPr>
                                <w:trHeight w:val="552"/>
                              </w:trPr>
                              <w:tc>
                                <w:tcPr>
                                  <w:tcW w:w="3969" w:type="dxa"/>
                                  <w:tcBorders>
                                    <w:top w:val="single" w:sz="4" w:space="0" w:color="auto"/>
                                    <w:bottom w:val="single" w:sz="4" w:space="0" w:color="auto"/>
                                  </w:tcBorders>
                                </w:tcPr>
                                <w:p w14:paraId="5AE2B2CD" w14:textId="01FA9ED1" w:rsidR="00572183" w:rsidRPr="008A46CC" w:rsidRDefault="00572183" w:rsidP="008A46CC">
                                  <w:pPr>
                                    <w:kinsoku w:val="0"/>
                                    <w:overflowPunct w:val="0"/>
                                    <w:spacing w:before="2" w:line="276" w:lineRule="exact"/>
                                    <w:ind w:right="1724"/>
                                    <w:jc w:val="left"/>
                                    <w:rPr>
                                      <w:b/>
                                    </w:rPr>
                                  </w:pPr>
                                  <w:r w:rsidRPr="008A46CC">
                                    <w:rPr>
                                      <w:b/>
                                    </w:rPr>
                                    <w:t>Drug-related</w:t>
                                  </w:r>
                                  <w:r>
                                    <w:rPr>
                                      <w:b/>
                                    </w:rPr>
                                    <w:t xml:space="preserve"> TEAEs, </w:t>
                                  </w:r>
                                  <w:r w:rsidRPr="008A46CC">
                                    <w:rPr>
                                      <w:b/>
                                    </w:rPr>
                                    <w:t xml:space="preserve">n (%) of </w:t>
                                  </w:r>
                                  <w:r>
                                    <w:rPr>
                                      <w:b/>
                                    </w:rPr>
                                    <w:t>subjects</w:t>
                                  </w:r>
                                </w:p>
                              </w:tc>
                              <w:tc>
                                <w:tcPr>
                                  <w:tcW w:w="2661" w:type="dxa"/>
                                  <w:tcBorders>
                                    <w:top w:val="single" w:sz="4" w:space="0" w:color="auto"/>
                                    <w:bottom w:val="single" w:sz="4" w:space="0" w:color="auto"/>
                                  </w:tcBorders>
                                </w:tcPr>
                                <w:p w14:paraId="228E927B" w14:textId="21A3D478" w:rsidR="00572183" w:rsidRPr="008A46CC" w:rsidRDefault="00572183" w:rsidP="008A46CC">
                                  <w:pPr>
                                    <w:kinsoku w:val="0"/>
                                    <w:overflowPunct w:val="0"/>
                                    <w:spacing w:before="2" w:line="276" w:lineRule="exact"/>
                                    <w:ind w:left="923" w:right="491" w:hanging="411"/>
                                    <w:jc w:val="center"/>
                                    <w:rPr>
                                      <w:b/>
                                    </w:rPr>
                                  </w:pPr>
                                  <w:r w:rsidRPr="008A46CC">
                                    <w:rPr>
                                      <w:b/>
                                    </w:rPr>
                                    <w:t>Glycophos</w:t>
                                  </w:r>
                                  <w:r w:rsidRPr="00DC1809">
                                    <w:rPr>
                                      <w:rFonts w:cs="Arial"/>
                                      <w:b/>
                                      <w:vertAlign w:val="superscript"/>
                                      <w:lang w:val="en-GB"/>
                                    </w:rPr>
                                    <w:t>®</w:t>
                                  </w:r>
                                </w:p>
                                <w:p w14:paraId="45F23D83" w14:textId="4718EED1" w:rsidR="00572183" w:rsidRPr="008A46CC" w:rsidRDefault="00572183" w:rsidP="008A46CC">
                                  <w:pPr>
                                    <w:kinsoku w:val="0"/>
                                    <w:overflowPunct w:val="0"/>
                                    <w:spacing w:before="2" w:line="276" w:lineRule="exact"/>
                                    <w:ind w:left="923" w:right="491" w:hanging="411"/>
                                    <w:jc w:val="center"/>
                                    <w:rPr>
                                      <w:b/>
                                    </w:rPr>
                                  </w:pPr>
                                  <w:r w:rsidRPr="008A46CC">
                                    <w:rPr>
                                      <w:b/>
                                    </w:rPr>
                                    <w:t>(n=35)</w:t>
                                  </w:r>
                                </w:p>
                              </w:tc>
                              <w:tc>
                                <w:tcPr>
                                  <w:tcW w:w="2611" w:type="dxa"/>
                                  <w:tcBorders>
                                    <w:top w:val="single" w:sz="4" w:space="0" w:color="auto"/>
                                    <w:bottom w:val="single" w:sz="4" w:space="0" w:color="auto"/>
                                  </w:tcBorders>
                                </w:tcPr>
                                <w:p w14:paraId="792E98A9" w14:textId="77777777" w:rsidR="00572183" w:rsidRPr="008A46CC" w:rsidRDefault="00572183">
                                  <w:pPr>
                                    <w:kinsoku w:val="0"/>
                                    <w:overflowPunct w:val="0"/>
                                    <w:spacing w:before="2" w:line="276" w:lineRule="exact"/>
                                    <w:ind w:left="955" w:right="644" w:hanging="286"/>
                                    <w:rPr>
                                      <w:b/>
                                    </w:rPr>
                                  </w:pPr>
                                  <w:r w:rsidRPr="008A46CC">
                                    <w:rPr>
                                      <w:b/>
                                    </w:rPr>
                                    <w:t>Comparator (n=35)</w:t>
                                  </w:r>
                                </w:p>
                              </w:tc>
                            </w:tr>
                            <w:tr w:rsidR="00572183" w14:paraId="0576CF81" w14:textId="77777777" w:rsidTr="008A46CC">
                              <w:trPr>
                                <w:trHeight w:val="551"/>
                              </w:trPr>
                              <w:tc>
                                <w:tcPr>
                                  <w:tcW w:w="3969" w:type="dxa"/>
                                  <w:tcBorders>
                                    <w:top w:val="single" w:sz="4" w:space="0" w:color="auto"/>
                                    <w:bottom w:val="single" w:sz="4" w:space="0" w:color="auto"/>
                                  </w:tcBorders>
                                </w:tcPr>
                                <w:p w14:paraId="1DBBEC7C" w14:textId="77777777" w:rsidR="00572183" w:rsidRDefault="00572183">
                                  <w:pPr>
                                    <w:kinsoku w:val="0"/>
                                    <w:overflowPunct w:val="0"/>
                                    <w:spacing w:line="272" w:lineRule="exact"/>
                                    <w:rPr>
                                      <w:i/>
                                      <w:iCs/>
                                    </w:rPr>
                                  </w:pPr>
                                  <w:r>
                                    <w:rPr>
                                      <w:i/>
                                      <w:iCs/>
                                    </w:rPr>
                                    <w:t>Metabolism and nutrition disorders</w:t>
                                  </w:r>
                                </w:p>
                                <w:p w14:paraId="4D6C11C9" w14:textId="77777777" w:rsidR="00572183" w:rsidRDefault="00572183">
                                  <w:pPr>
                                    <w:kinsoku w:val="0"/>
                                    <w:overflowPunct w:val="0"/>
                                    <w:spacing w:before="2" w:line="258" w:lineRule="exact"/>
                                  </w:pPr>
                                  <w:r>
                                    <w:t>Hypocalcaemia</w:t>
                                  </w:r>
                                </w:p>
                              </w:tc>
                              <w:tc>
                                <w:tcPr>
                                  <w:tcW w:w="2661" w:type="dxa"/>
                                  <w:tcBorders>
                                    <w:top w:val="single" w:sz="4" w:space="0" w:color="auto"/>
                                    <w:bottom w:val="single" w:sz="4" w:space="0" w:color="auto"/>
                                  </w:tcBorders>
                                  <w:vAlign w:val="center"/>
                                </w:tcPr>
                                <w:p w14:paraId="1BA43EBC" w14:textId="77777777" w:rsidR="00572183" w:rsidRDefault="00572183">
                                  <w:pPr>
                                    <w:kinsoku w:val="0"/>
                                    <w:overflowPunct w:val="0"/>
                                    <w:spacing w:line="260" w:lineRule="exact"/>
                                    <w:ind w:left="835" w:right="828"/>
                                    <w:jc w:val="center"/>
                                  </w:pPr>
                                  <w:r>
                                    <w:t>4 (11%)</w:t>
                                  </w:r>
                                </w:p>
                              </w:tc>
                              <w:tc>
                                <w:tcPr>
                                  <w:tcW w:w="2611" w:type="dxa"/>
                                  <w:tcBorders>
                                    <w:top w:val="single" w:sz="4" w:space="0" w:color="auto"/>
                                    <w:bottom w:val="single" w:sz="4" w:space="0" w:color="auto"/>
                                  </w:tcBorders>
                                  <w:vAlign w:val="center"/>
                                </w:tcPr>
                                <w:p w14:paraId="444AD269" w14:textId="77777777" w:rsidR="00572183" w:rsidRDefault="00572183">
                                  <w:pPr>
                                    <w:kinsoku w:val="0"/>
                                    <w:overflowPunct w:val="0"/>
                                    <w:spacing w:line="260" w:lineRule="exact"/>
                                    <w:ind w:left="864" w:right="856"/>
                                    <w:jc w:val="center"/>
                                  </w:pPr>
                                  <w:r>
                                    <w:t>5 (14%)</w:t>
                                  </w:r>
                                </w:p>
                              </w:tc>
                            </w:tr>
                            <w:tr w:rsidR="00572183" w14:paraId="5456B5FE" w14:textId="77777777" w:rsidTr="008A46CC">
                              <w:trPr>
                                <w:trHeight w:val="554"/>
                              </w:trPr>
                              <w:tc>
                                <w:tcPr>
                                  <w:tcW w:w="3969" w:type="dxa"/>
                                  <w:tcBorders>
                                    <w:top w:val="single" w:sz="4" w:space="0" w:color="auto"/>
                                    <w:bottom w:val="single" w:sz="4" w:space="0" w:color="auto"/>
                                  </w:tcBorders>
                                </w:tcPr>
                                <w:p w14:paraId="3A0334AC" w14:textId="77777777" w:rsidR="00572183" w:rsidRDefault="00572183">
                                  <w:pPr>
                                    <w:kinsoku w:val="0"/>
                                    <w:overflowPunct w:val="0"/>
                                    <w:spacing w:line="274" w:lineRule="exact"/>
                                    <w:rPr>
                                      <w:i/>
                                      <w:iCs/>
                                    </w:rPr>
                                  </w:pPr>
                                  <w:r>
                                    <w:rPr>
                                      <w:i/>
                                      <w:iCs/>
                                    </w:rPr>
                                    <w:t>Nervous system disorders</w:t>
                                  </w:r>
                                </w:p>
                                <w:p w14:paraId="280875CA" w14:textId="77777777" w:rsidR="00572183" w:rsidRDefault="00572183">
                                  <w:pPr>
                                    <w:kinsoku w:val="0"/>
                                    <w:overflowPunct w:val="0"/>
                                    <w:spacing w:before="2" w:line="258" w:lineRule="exact"/>
                                  </w:pPr>
                                  <w:r>
                                    <w:t>Headache</w:t>
                                  </w:r>
                                </w:p>
                              </w:tc>
                              <w:tc>
                                <w:tcPr>
                                  <w:tcW w:w="2661" w:type="dxa"/>
                                  <w:tcBorders>
                                    <w:top w:val="single" w:sz="4" w:space="0" w:color="auto"/>
                                    <w:bottom w:val="single" w:sz="4" w:space="0" w:color="auto"/>
                                  </w:tcBorders>
                                  <w:vAlign w:val="center"/>
                                </w:tcPr>
                                <w:p w14:paraId="55C67A41" w14:textId="77777777" w:rsidR="00572183" w:rsidRDefault="00572183">
                                  <w:pPr>
                                    <w:kinsoku w:val="0"/>
                                    <w:overflowPunct w:val="0"/>
                                    <w:spacing w:line="260" w:lineRule="exact"/>
                                    <w:ind w:left="835" w:right="828"/>
                                    <w:jc w:val="center"/>
                                  </w:pPr>
                                  <w:r>
                                    <w:t>1 (3%)</w:t>
                                  </w:r>
                                </w:p>
                              </w:tc>
                              <w:tc>
                                <w:tcPr>
                                  <w:tcW w:w="2611" w:type="dxa"/>
                                  <w:tcBorders>
                                    <w:top w:val="single" w:sz="4" w:space="0" w:color="auto"/>
                                    <w:bottom w:val="single" w:sz="4" w:space="0" w:color="auto"/>
                                  </w:tcBorders>
                                  <w:vAlign w:val="center"/>
                                </w:tcPr>
                                <w:p w14:paraId="328285E0" w14:textId="77777777" w:rsidR="00572183" w:rsidRDefault="00572183">
                                  <w:pPr>
                                    <w:kinsoku w:val="0"/>
                                    <w:overflowPunct w:val="0"/>
                                    <w:spacing w:line="260" w:lineRule="exact"/>
                                    <w:ind w:left="8"/>
                                    <w:jc w:val="center"/>
                                    <w:rPr>
                                      <w:w w:val="99"/>
                                    </w:rPr>
                                  </w:pPr>
                                  <w:r>
                                    <w:rPr>
                                      <w:w w:val="99"/>
                                    </w:rPr>
                                    <w:t>-</w:t>
                                  </w:r>
                                </w:p>
                              </w:tc>
                            </w:tr>
                          </w:tbl>
                          <w:p w14:paraId="1D90C664" w14:textId="77777777" w:rsidR="00572183" w:rsidRDefault="00572183" w:rsidP="000954F1">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4E37E6FF" id="_x0000_t202" coordsize="21600,21600" o:spt="202" path="m,l,21600r21600,l21600,xe">
                <v:stroke joinstyle="miter"/>
                <v:path gradientshapeok="t" o:connecttype="rect"/>
              </v:shapetype>
              <v:shape id="Text Box 11" o:spid="_x0000_s1026" type="#_x0000_t202" style="width:462.85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PKrwIAAKw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969"/>
                        <w:gridCol w:w="2661"/>
                        <w:gridCol w:w="2611"/>
                      </w:tblGrid>
                      <w:tr w:rsidR="00572183" w14:paraId="0BA395F1" w14:textId="77777777" w:rsidTr="008A46CC">
                        <w:trPr>
                          <w:trHeight w:val="552"/>
                        </w:trPr>
                        <w:tc>
                          <w:tcPr>
                            <w:tcW w:w="3969" w:type="dxa"/>
                            <w:tcBorders>
                              <w:top w:val="single" w:sz="4" w:space="0" w:color="auto"/>
                              <w:bottom w:val="single" w:sz="4" w:space="0" w:color="auto"/>
                            </w:tcBorders>
                          </w:tcPr>
                          <w:p w14:paraId="5AE2B2CD" w14:textId="01FA9ED1" w:rsidR="00572183" w:rsidRPr="008A46CC" w:rsidRDefault="00572183" w:rsidP="008A46CC">
                            <w:pPr>
                              <w:kinsoku w:val="0"/>
                              <w:overflowPunct w:val="0"/>
                              <w:spacing w:before="2" w:line="276" w:lineRule="exact"/>
                              <w:ind w:right="1724"/>
                              <w:jc w:val="left"/>
                              <w:rPr>
                                <w:b/>
                              </w:rPr>
                            </w:pPr>
                            <w:r w:rsidRPr="008A46CC">
                              <w:rPr>
                                <w:b/>
                              </w:rPr>
                              <w:t>Drug-related</w:t>
                            </w:r>
                            <w:r>
                              <w:rPr>
                                <w:b/>
                              </w:rPr>
                              <w:t xml:space="preserve"> TEAEs, </w:t>
                            </w:r>
                            <w:r w:rsidRPr="008A46CC">
                              <w:rPr>
                                <w:b/>
                              </w:rPr>
                              <w:t xml:space="preserve">n (%) of </w:t>
                            </w:r>
                            <w:r>
                              <w:rPr>
                                <w:b/>
                              </w:rPr>
                              <w:t>subjects</w:t>
                            </w:r>
                          </w:p>
                        </w:tc>
                        <w:tc>
                          <w:tcPr>
                            <w:tcW w:w="2661" w:type="dxa"/>
                            <w:tcBorders>
                              <w:top w:val="single" w:sz="4" w:space="0" w:color="auto"/>
                              <w:bottom w:val="single" w:sz="4" w:space="0" w:color="auto"/>
                            </w:tcBorders>
                          </w:tcPr>
                          <w:p w14:paraId="228E927B" w14:textId="21A3D478" w:rsidR="00572183" w:rsidRPr="008A46CC" w:rsidRDefault="00572183" w:rsidP="008A46CC">
                            <w:pPr>
                              <w:kinsoku w:val="0"/>
                              <w:overflowPunct w:val="0"/>
                              <w:spacing w:before="2" w:line="276" w:lineRule="exact"/>
                              <w:ind w:left="923" w:right="491" w:hanging="411"/>
                              <w:jc w:val="center"/>
                              <w:rPr>
                                <w:b/>
                              </w:rPr>
                            </w:pPr>
                            <w:r w:rsidRPr="008A46CC">
                              <w:rPr>
                                <w:b/>
                              </w:rPr>
                              <w:t>Glycophos</w:t>
                            </w:r>
                            <w:r w:rsidRPr="00DC1809">
                              <w:rPr>
                                <w:rFonts w:cs="Arial"/>
                                <w:b/>
                                <w:vertAlign w:val="superscript"/>
                                <w:lang w:val="en-GB"/>
                              </w:rPr>
                              <w:t>®</w:t>
                            </w:r>
                          </w:p>
                          <w:p w14:paraId="45F23D83" w14:textId="4718EED1" w:rsidR="00572183" w:rsidRPr="008A46CC" w:rsidRDefault="00572183" w:rsidP="008A46CC">
                            <w:pPr>
                              <w:kinsoku w:val="0"/>
                              <w:overflowPunct w:val="0"/>
                              <w:spacing w:before="2" w:line="276" w:lineRule="exact"/>
                              <w:ind w:left="923" w:right="491" w:hanging="411"/>
                              <w:jc w:val="center"/>
                              <w:rPr>
                                <w:b/>
                              </w:rPr>
                            </w:pPr>
                            <w:r w:rsidRPr="008A46CC">
                              <w:rPr>
                                <w:b/>
                              </w:rPr>
                              <w:t>(n=35)</w:t>
                            </w:r>
                          </w:p>
                        </w:tc>
                        <w:tc>
                          <w:tcPr>
                            <w:tcW w:w="2611" w:type="dxa"/>
                            <w:tcBorders>
                              <w:top w:val="single" w:sz="4" w:space="0" w:color="auto"/>
                              <w:bottom w:val="single" w:sz="4" w:space="0" w:color="auto"/>
                            </w:tcBorders>
                          </w:tcPr>
                          <w:p w14:paraId="792E98A9" w14:textId="77777777" w:rsidR="00572183" w:rsidRPr="008A46CC" w:rsidRDefault="00572183">
                            <w:pPr>
                              <w:kinsoku w:val="0"/>
                              <w:overflowPunct w:val="0"/>
                              <w:spacing w:before="2" w:line="276" w:lineRule="exact"/>
                              <w:ind w:left="955" w:right="644" w:hanging="286"/>
                              <w:rPr>
                                <w:b/>
                              </w:rPr>
                            </w:pPr>
                            <w:r w:rsidRPr="008A46CC">
                              <w:rPr>
                                <w:b/>
                              </w:rPr>
                              <w:t>Comparator (n=35)</w:t>
                            </w:r>
                          </w:p>
                        </w:tc>
                      </w:tr>
                      <w:tr w:rsidR="00572183" w14:paraId="0576CF81" w14:textId="77777777" w:rsidTr="008A46CC">
                        <w:trPr>
                          <w:trHeight w:val="551"/>
                        </w:trPr>
                        <w:tc>
                          <w:tcPr>
                            <w:tcW w:w="3969" w:type="dxa"/>
                            <w:tcBorders>
                              <w:top w:val="single" w:sz="4" w:space="0" w:color="auto"/>
                              <w:bottom w:val="single" w:sz="4" w:space="0" w:color="auto"/>
                            </w:tcBorders>
                          </w:tcPr>
                          <w:p w14:paraId="1DBBEC7C" w14:textId="77777777" w:rsidR="00572183" w:rsidRDefault="00572183">
                            <w:pPr>
                              <w:kinsoku w:val="0"/>
                              <w:overflowPunct w:val="0"/>
                              <w:spacing w:line="272" w:lineRule="exact"/>
                              <w:rPr>
                                <w:i/>
                                <w:iCs/>
                              </w:rPr>
                            </w:pPr>
                            <w:r>
                              <w:rPr>
                                <w:i/>
                                <w:iCs/>
                              </w:rPr>
                              <w:t>Metabolism and nutrition disorders</w:t>
                            </w:r>
                          </w:p>
                          <w:p w14:paraId="4D6C11C9" w14:textId="77777777" w:rsidR="00572183" w:rsidRDefault="00572183">
                            <w:pPr>
                              <w:kinsoku w:val="0"/>
                              <w:overflowPunct w:val="0"/>
                              <w:spacing w:before="2" w:line="258" w:lineRule="exact"/>
                            </w:pPr>
                            <w:r>
                              <w:t>Hypocalcaemia</w:t>
                            </w:r>
                          </w:p>
                        </w:tc>
                        <w:tc>
                          <w:tcPr>
                            <w:tcW w:w="2661" w:type="dxa"/>
                            <w:tcBorders>
                              <w:top w:val="single" w:sz="4" w:space="0" w:color="auto"/>
                              <w:bottom w:val="single" w:sz="4" w:space="0" w:color="auto"/>
                            </w:tcBorders>
                            <w:vAlign w:val="center"/>
                          </w:tcPr>
                          <w:p w14:paraId="1BA43EBC" w14:textId="77777777" w:rsidR="00572183" w:rsidRDefault="00572183">
                            <w:pPr>
                              <w:kinsoku w:val="0"/>
                              <w:overflowPunct w:val="0"/>
                              <w:spacing w:line="260" w:lineRule="exact"/>
                              <w:ind w:left="835" w:right="828"/>
                              <w:jc w:val="center"/>
                            </w:pPr>
                            <w:r>
                              <w:t>4 (11%)</w:t>
                            </w:r>
                          </w:p>
                        </w:tc>
                        <w:tc>
                          <w:tcPr>
                            <w:tcW w:w="2611" w:type="dxa"/>
                            <w:tcBorders>
                              <w:top w:val="single" w:sz="4" w:space="0" w:color="auto"/>
                              <w:bottom w:val="single" w:sz="4" w:space="0" w:color="auto"/>
                            </w:tcBorders>
                            <w:vAlign w:val="center"/>
                          </w:tcPr>
                          <w:p w14:paraId="444AD269" w14:textId="77777777" w:rsidR="00572183" w:rsidRDefault="00572183">
                            <w:pPr>
                              <w:kinsoku w:val="0"/>
                              <w:overflowPunct w:val="0"/>
                              <w:spacing w:line="260" w:lineRule="exact"/>
                              <w:ind w:left="864" w:right="856"/>
                              <w:jc w:val="center"/>
                            </w:pPr>
                            <w:r>
                              <w:t>5 (14%)</w:t>
                            </w:r>
                          </w:p>
                        </w:tc>
                      </w:tr>
                      <w:tr w:rsidR="00572183" w14:paraId="5456B5FE" w14:textId="77777777" w:rsidTr="008A46CC">
                        <w:trPr>
                          <w:trHeight w:val="554"/>
                        </w:trPr>
                        <w:tc>
                          <w:tcPr>
                            <w:tcW w:w="3969" w:type="dxa"/>
                            <w:tcBorders>
                              <w:top w:val="single" w:sz="4" w:space="0" w:color="auto"/>
                              <w:bottom w:val="single" w:sz="4" w:space="0" w:color="auto"/>
                            </w:tcBorders>
                          </w:tcPr>
                          <w:p w14:paraId="3A0334AC" w14:textId="77777777" w:rsidR="00572183" w:rsidRDefault="00572183">
                            <w:pPr>
                              <w:kinsoku w:val="0"/>
                              <w:overflowPunct w:val="0"/>
                              <w:spacing w:line="274" w:lineRule="exact"/>
                              <w:rPr>
                                <w:i/>
                                <w:iCs/>
                              </w:rPr>
                            </w:pPr>
                            <w:r>
                              <w:rPr>
                                <w:i/>
                                <w:iCs/>
                              </w:rPr>
                              <w:t>Nervous system disorders</w:t>
                            </w:r>
                          </w:p>
                          <w:p w14:paraId="280875CA" w14:textId="77777777" w:rsidR="00572183" w:rsidRDefault="00572183">
                            <w:pPr>
                              <w:kinsoku w:val="0"/>
                              <w:overflowPunct w:val="0"/>
                              <w:spacing w:before="2" w:line="258" w:lineRule="exact"/>
                            </w:pPr>
                            <w:r>
                              <w:t>Headache</w:t>
                            </w:r>
                          </w:p>
                        </w:tc>
                        <w:tc>
                          <w:tcPr>
                            <w:tcW w:w="2661" w:type="dxa"/>
                            <w:tcBorders>
                              <w:top w:val="single" w:sz="4" w:space="0" w:color="auto"/>
                              <w:bottom w:val="single" w:sz="4" w:space="0" w:color="auto"/>
                            </w:tcBorders>
                            <w:vAlign w:val="center"/>
                          </w:tcPr>
                          <w:p w14:paraId="55C67A41" w14:textId="77777777" w:rsidR="00572183" w:rsidRDefault="00572183">
                            <w:pPr>
                              <w:kinsoku w:val="0"/>
                              <w:overflowPunct w:val="0"/>
                              <w:spacing w:line="260" w:lineRule="exact"/>
                              <w:ind w:left="835" w:right="828"/>
                              <w:jc w:val="center"/>
                            </w:pPr>
                            <w:r>
                              <w:t>1 (3%)</w:t>
                            </w:r>
                          </w:p>
                        </w:tc>
                        <w:tc>
                          <w:tcPr>
                            <w:tcW w:w="2611" w:type="dxa"/>
                            <w:tcBorders>
                              <w:top w:val="single" w:sz="4" w:space="0" w:color="auto"/>
                              <w:bottom w:val="single" w:sz="4" w:space="0" w:color="auto"/>
                            </w:tcBorders>
                            <w:vAlign w:val="center"/>
                          </w:tcPr>
                          <w:p w14:paraId="328285E0" w14:textId="77777777" w:rsidR="00572183" w:rsidRDefault="00572183">
                            <w:pPr>
                              <w:kinsoku w:val="0"/>
                              <w:overflowPunct w:val="0"/>
                              <w:spacing w:line="260" w:lineRule="exact"/>
                              <w:ind w:left="8"/>
                              <w:jc w:val="center"/>
                              <w:rPr>
                                <w:w w:val="99"/>
                              </w:rPr>
                            </w:pPr>
                            <w:r>
                              <w:rPr>
                                <w:w w:val="99"/>
                              </w:rPr>
                              <w:t>-</w:t>
                            </w:r>
                          </w:p>
                        </w:tc>
                      </w:tr>
                    </w:tbl>
                    <w:p w14:paraId="1D90C664" w14:textId="77777777" w:rsidR="00572183" w:rsidRDefault="00572183" w:rsidP="000954F1">
                      <w:pPr>
                        <w:pStyle w:val="BodyText"/>
                        <w:kinsoku w:val="0"/>
                        <w:overflowPunct w:val="0"/>
                        <w:rPr>
                          <w:rFonts w:ascii="Times New Roman" w:hAnsi="Times New Roman" w:cs="Times New Roman"/>
                        </w:rPr>
                      </w:pPr>
                    </w:p>
                  </w:txbxContent>
                </v:textbox>
                <w10:anchorlock/>
              </v:shape>
            </w:pict>
          </mc:Fallback>
        </mc:AlternateContent>
      </w:r>
    </w:p>
    <w:p w14:paraId="1D8D864D" w14:textId="55AB71DD" w:rsidR="000954F1" w:rsidRPr="000954F1" w:rsidRDefault="000954F1" w:rsidP="000954F1">
      <w:pPr>
        <w:jc w:val="left"/>
        <w:rPr>
          <w:lang w:val="en-AU"/>
        </w:rPr>
      </w:pPr>
      <w:r w:rsidRPr="000954F1">
        <w:rPr>
          <w:lang w:val="en-AU"/>
        </w:rPr>
        <w:t xml:space="preserve">No other adverse </w:t>
      </w:r>
      <w:r w:rsidR="00AA05ED">
        <w:rPr>
          <w:lang w:val="en-AU"/>
        </w:rPr>
        <w:t>reactions have been reported</w:t>
      </w:r>
      <w:r w:rsidRPr="000954F1">
        <w:rPr>
          <w:lang w:val="en-AU"/>
        </w:rPr>
        <w:t xml:space="preserve"> with glycerophosphate.</w:t>
      </w:r>
    </w:p>
    <w:p w14:paraId="63CF6AA6" w14:textId="57A2D13A" w:rsidR="00EC02F8" w:rsidRDefault="00EC02F8" w:rsidP="00235817">
      <w:pPr>
        <w:jc w:val="left"/>
      </w:pPr>
    </w:p>
    <w:p w14:paraId="6026794C" w14:textId="06EB9F99" w:rsidR="00720488" w:rsidRPr="00EC02F8" w:rsidRDefault="00720488" w:rsidP="00720488">
      <w:pPr>
        <w:pStyle w:val="Heading3"/>
        <w:jc w:val="left"/>
      </w:pPr>
      <w:r>
        <w:t>Post marketing</w:t>
      </w:r>
    </w:p>
    <w:p w14:paraId="1C417FDB" w14:textId="76CCFFC7" w:rsidR="0009415F" w:rsidRDefault="00720488" w:rsidP="00235817">
      <w:pPr>
        <w:jc w:val="left"/>
        <w:rPr>
          <w:rFonts w:cs="Arial"/>
        </w:rPr>
      </w:pPr>
      <w:r w:rsidRPr="00720488">
        <w:rPr>
          <w:rFonts w:cs="Arial"/>
        </w:rPr>
        <w:t xml:space="preserve">From 1993 until June 2017, 98 adverse drug reactions (ADRs) were reported in 46 patients. These included 4 serious listed ADRs in 2 patients (central line infection, blood pressure decreased, tremor, and rash), all from spontaneous or regulatory authority reports, and 28 serious unlisted ADRs in 13 patients; 5 serious unlisted ADRs in 2 patients were from clinical studies (body temperature increase, sweating, sepsis, chills, malaise), and 23 serious unlisted ADRs in 11 patients were from spontaneous or regulatory authority reports (cardiac arrest, tachycardia, lip oedema, vomiting, administration site reaction, fever [2 cases], hyperpyrexia, chills, allergic reaction, </w:t>
      </w:r>
      <w:proofErr w:type="spellStart"/>
      <w:r w:rsidRPr="00720488">
        <w:rPr>
          <w:rFonts w:cs="Arial"/>
        </w:rPr>
        <w:t>Pantoea</w:t>
      </w:r>
      <w:proofErr w:type="spellEnd"/>
      <w:r w:rsidRPr="00720488">
        <w:rPr>
          <w:rFonts w:cs="Arial"/>
        </w:rPr>
        <w:t xml:space="preserve"> </w:t>
      </w:r>
      <w:proofErr w:type="spellStart"/>
      <w:r w:rsidRPr="00720488">
        <w:rPr>
          <w:rFonts w:cs="Arial"/>
        </w:rPr>
        <w:t>agglomerans</w:t>
      </w:r>
      <w:proofErr w:type="spellEnd"/>
      <w:r w:rsidRPr="00720488">
        <w:rPr>
          <w:rFonts w:cs="Arial"/>
        </w:rPr>
        <w:t xml:space="preserve"> infection [3 cases], salmonella infection, oxygen saturation decreased, hypernatremia, hypoglycaemia, tremor, unresponsive to stimuli, respiratory symptoms (includes dyspnoea) [2 cases], rash, petechial).</w:t>
      </w:r>
    </w:p>
    <w:p w14:paraId="317D5E1E" w14:textId="77777777" w:rsidR="00720488" w:rsidRPr="00EC02F8" w:rsidRDefault="00720488" w:rsidP="00235817">
      <w:pPr>
        <w:jc w:val="left"/>
      </w:pPr>
    </w:p>
    <w:p w14:paraId="210862D3" w14:textId="2EF4E7DD" w:rsidR="00E854BA" w:rsidRPr="00EC02F8" w:rsidRDefault="00457A8F" w:rsidP="00235817">
      <w:pPr>
        <w:pStyle w:val="Heading3"/>
        <w:jc w:val="left"/>
      </w:pPr>
      <w:r w:rsidRPr="00EC02F8">
        <w:t>Reporting of suspected adverse effects</w:t>
      </w:r>
    </w:p>
    <w:p w14:paraId="25918CFE" w14:textId="7E8A1B2F" w:rsidR="00C11691" w:rsidRDefault="00C11691" w:rsidP="00235817">
      <w:pPr>
        <w:jc w:val="left"/>
        <w:rPr>
          <w:rFonts w:cs="Arial"/>
        </w:rPr>
      </w:pPr>
      <w:r w:rsidRPr="00EC02F8">
        <w:rPr>
          <w:rFonts w:cs="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EC02F8">
          <w:rPr>
            <w:rStyle w:val="Hyperlink"/>
            <w:rFonts w:cs="Arial"/>
          </w:rPr>
          <w:t>https://www.tga.gov.au/reporting-problems</w:t>
        </w:r>
      </w:hyperlink>
      <w:r w:rsidRPr="00EC02F8">
        <w:rPr>
          <w:rFonts w:cs="Arial"/>
        </w:rPr>
        <w:t>.</w:t>
      </w:r>
    </w:p>
    <w:p w14:paraId="7B385C9C" w14:textId="77777777" w:rsidR="00257C86" w:rsidRPr="007A6848" w:rsidRDefault="00257C86" w:rsidP="00235817">
      <w:pPr>
        <w:jc w:val="left"/>
        <w:rPr>
          <w:rFonts w:cs="Arial"/>
        </w:rPr>
      </w:pPr>
    </w:p>
    <w:p w14:paraId="7C6BBACA" w14:textId="286E212D" w:rsidR="0032608A" w:rsidRPr="007A6848" w:rsidRDefault="001A1ABD" w:rsidP="00235817">
      <w:pPr>
        <w:pStyle w:val="Heading2"/>
        <w:jc w:val="left"/>
      </w:pPr>
      <w:r w:rsidRPr="007A6848">
        <w:t>4</w:t>
      </w:r>
      <w:r w:rsidR="00BC3590" w:rsidRPr="007A6848">
        <w:t>.9</w:t>
      </w:r>
      <w:r w:rsidR="00BC3590" w:rsidRPr="007A6848">
        <w:tab/>
      </w:r>
      <w:r w:rsidR="0032608A" w:rsidRPr="007A6848">
        <w:t>Overdose</w:t>
      </w:r>
      <w:r w:rsidR="00245127" w:rsidRPr="007A6848">
        <w:t xml:space="preserve"> </w:t>
      </w:r>
    </w:p>
    <w:p w14:paraId="6263BB5F" w14:textId="7613FD52" w:rsidR="00C669AE" w:rsidRDefault="00EC02F8" w:rsidP="00235817">
      <w:pPr>
        <w:jc w:val="left"/>
        <w:rPr>
          <w:rFonts w:cs="Arial"/>
          <w:lang w:val="en-GB" w:eastAsia="en-AU"/>
        </w:rPr>
      </w:pPr>
      <w:r w:rsidRPr="00EC02F8">
        <w:rPr>
          <w:rFonts w:cs="Arial"/>
          <w:lang w:val="en-GB" w:eastAsia="en-AU"/>
        </w:rPr>
        <w:t>No adverse effects of an overdose have been reported. Most patients in need of intravenous nutrition have an increased capacity to handle glycero</w:t>
      </w:r>
      <w:r>
        <w:rPr>
          <w:rFonts w:cs="Arial"/>
          <w:lang w:val="en-GB" w:eastAsia="en-AU"/>
        </w:rPr>
        <w:t xml:space="preserve">phosphate. See also </w:t>
      </w:r>
      <w:r w:rsidRPr="002302F8">
        <w:rPr>
          <w:rFonts w:cs="Arial"/>
          <w:lang w:val="en-GB" w:eastAsia="en-AU"/>
        </w:rPr>
        <w:t>Section 4.3 Contraindications</w:t>
      </w:r>
      <w:r w:rsidRPr="00913C97">
        <w:rPr>
          <w:rFonts w:cs="Arial"/>
          <w:lang w:val="en-GB" w:eastAsia="en-AU"/>
        </w:rPr>
        <w:t>.</w:t>
      </w:r>
    </w:p>
    <w:p w14:paraId="0FDB0CF7" w14:textId="77777777" w:rsidR="00EC02F8" w:rsidRDefault="00EC02F8" w:rsidP="00235817">
      <w:pPr>
        <w:jc w:val="left"/>
        <w:rPr>
          <w:rFonts w:cs="Arial"/>
          <w:highlight w:val="yellow"/>
          <w:lang w:val="en-GB" w:eastAsia="en-AU"/>
        </w:rPr>
      </w:pPr>
    </w:p>
    <w:p w14:paraId="22A8B5B0" w14:textId="3BFBD537" w:rsidR="007C3A76" w:rsidRDefault="00C11691" w:rsidP="00235817">
      <w:pPr>
        <w:jc w:val="left"/>
        <w:rPr>
          <w:rFonts w:cs="Arial"/>
          <w:lang w:val="en-GB" w:eastAsia="en-AU"/>
        </w:rPr>
      </w:pPr>
      <w:r w:rsidRPr="00EC02F8">
        <w:rPr>
          <w:rFonts w:cs="Arial"/>
          <w:lang w:val="en-GB" w:eastAsia="en-AU"/>
        </w:rPr>
        <w:t>For information on the management of overdose, contact the Poison Information Centre on 131126</w:t>
      </w:r>
      <w:r w:rsidR="00924F71" w:rsidRPr="00EC02F8">
        <w:rPr>
          <w:rFonts w:cs="Arial"/>
          <w:lang w:val="en-GB" w:eastAsia="en-AU"/>
        </w:rPr>
        <w:t xml:space="preserve"> (Australia)</w:t>
      </w:r>
      <w:r w:rsidR="004960D6">
        <w:rPr>
          <w:rFonts w:cs="Arial"/>
          <w:lang w:val="en-GB" w:eastAsia="en-AU"/>
        </w:rPr>
        <w:t xml:space="preserve"> or 0800 764 766 (New Zealand)</w:t>
      </w:r>
      <w:r w:rsidRPr="00EC02F8">
        <w:rPr>
          <w:rFonts w:cs="Arial"/>
          <w:lang w:val="en-GB" w:eastAsia="en-AU"/>
        </w:rPr>
        <w:t>.</w:t>
      </w:r>
    </w:p>
    <w:p w14:paraId="6E8E6D8C" w14:textId="227B693D" w:rsidR="00637F67" w:rsidRPr="007A6848" w:rsidRDefault="00637F67" w:rsidP="00235817">
      <w:pPr>
        <w:jc w:val="left"/>
        <w:rPr>
          <w:rFonts w:cs="Arial"/>
        </w:rPr>
      </w:pPr>
    </w:p>
    <w:p w14:paraId="690D7E8E" w14:textId="0D22D8B5" w:rsidR="00A801E5" w:rsidRPr="007A6848" w:rsidRDefault="00BC3590" w:rsidP="00235817">
      <w:pPr>
        <w:pStyle w:val="Heading1"/>
        <w:jc w:val="left"/>
      </w:pPr>
      <w:r w:rsidRPr="007A6848">
        <w:t>5</w:t>
      </w:r>
      <w:r w:rsidR="003642F0" w:rsidRPr="007A6848">
        <w:t>.</w:t>
      </w:r>
      <w:r w:rsidRPr="007A6848">
        <w:tab/>
      </w:r>
      <w:r w:rsidR="0032608A" w:rsidRPr="007A6848">
        <w:t>PHARMACOLOGICAL PROPERTIES</w:t>
      </w:r>
    </w:p>
    <w:p w14:paraId="45BD009A" w14:textId="24358A14" w:rsidR="00D413D8" w:rsidRPr="007A6848" w:rsidRDefault="00BC3590" w:rsidP="00235817">
      <w:pPr>
        <w:pStyle w:val="Heading2"/>
        <w:jc w:val="left"/>
      </w:pPr>
      <w:r w:rsidRPr="007A6848">
        <w:t>5.1</w:t>
      </w:r>
      <w:r w:rsidRPr="007A6848">
        <w:tab/>
      </w:r>
      <w:r w:rsidR="0032608A" w:rsidRPr="007A6848">
        <w:t>Pharmacodynamic properties</w:t>
      </w:r>
    </w:p>
    <w:p w14:paraId="51AD2338" w14:textId="77777777" w:rsidR="002736D7" w:rsidRPr="007A6848" w:rsidRDefault="002736D7" w:rsidP="00235817">
      <w:pPr>
        <w:pStyle w:val="Heading3"/>
        <w:jc w:val="left"/>
      </w:pPr>
      <w:r w:rsidRPr="007A6848">
        <w:t>Mechanism of action</w:t>
      </w:r>
    </w:p>
    <w:p w14:paraId="156F21F2" w14:textId="2D3C19CE" w:rsidR="006F306B" w:rsidRDefault="00787FE1" w:rsidP="00235817">
      <w:pPr>
        <w:jc w:val="left"/>
      </w:pPr>
      <w:r w:rsidRPr="00787FE1">
        <w:t>Glycerophosphate is a metabolic intermediate in fat metabolism.</w:t>
      </w:r>
    </w:p>
    <w:p w14:paraId="54FD38D0" w14:textId="77777777" w:rsidR="00787FE1" w:rsidRDefault="00787FE1" w:rsidP="00235817">
      <w:pPr>
        <w:jc w:val="left"/>
      </w:pPr>
    </w:p>
    <w:p w14:paraId="0FB2C0A1" w14:textId="77777777" w:rsidR="002736D7" w:rsidRPr="007A6848" w:rsidRDefault="002736D7" w:rsidP="00235817">
      <w:pPr>
        <w:pStyle w:val="Heading3"/>
        <w:jc w:val="left"/>
      </w:pPr>
      <w:r w:rsidRPr="007A6848">
        <w:t>Clinical trials</w:t>
      </w:r>
    </w:p>
    <w:p w14:paraId="64AFA50F" w14:textId="601F793B" w:rsidR="00B07C60" w:rsidRDefault="00202F8C" w:rsidP="00202F8C">
      <w:pPr>
        <w:jc w:val="left"/>
        <w:rPr>
          <w:lang w:val="en-AU"/>
        </w:rPr>
      </w:pPr>
      <w:r>
        <w:rPr>
          <w:lang w:val="en-AU"/>
        </w:rPr>
        <w:t xml:space="preserve">The efficacy and safety of </w:t>
      </w:r>
      <w:r w:rsidR="00093A53">
        <w:rPr>
          <w:lang w:val="en-AU"/>
        </w:rPr>
        <w:t>Glycophos</w:t>
      </w:r>
      <w:r w:rsidR="00756D18" w:rsidRPr="002302F8">
        <w:rPr>
          <w:vertAlign w:val="superscript"/>
          <w:lang w:val="en-AU"/>
        </w:rPr>
        <w:t>®</w:t>
      </w:r>
      <w:r w:rsidR="00093A53">
        <w:rPr>
          <w:lang w:val="en-AU"/>
        </w:rPr>
        <w:t xml:space="preserve"> </w:t>
      </w:r>
      <w:r>
        <w:rPr>
          <w:lang w:val="en-AU"/>
        </w:rPr>
        <w:t xml:space="preserve">as a supplement to parenteral nutrition to meet the daily requirements of phosphorus has been examined in one randomised, prospective, double-blind, parallel-group study in neonates. In the study 41 neonates aged &lt; 1 month were administered </w:t>
      </w:r>
    </w:p>
    <w:p w14:paraId="50E15895" w14:textId="0951383D" w:rsidR="00B07C60" w:rsidRDefault="00202F8C" w:rsidP="00202F8C">
      <w:pPr>
        <w:jc w:val="left"/>
        <w:rPr>
          <w:lang w:val="en-AU"/>
        </w:rPr>
      </w:pPr>
      <w:r>
        <w:rPr>
          <w:lang w:val="en-AU"/>
        </w:rPr>
        <w:t xml:space="preserve">1 mmol/kg/day phosphate from either </w:t>
      </w:r>
      <w:r w:rsidR="00093A53">
        <w:rPr>
          <w:lang w:val="en-AU"/>
        </w:rPr>
        <w:t>Glycophos</w:t>
      </w:r>
      <w:r w:rsidR="00756D18" w:rsidRPr="002302F8">
        <w:rPr>
          <w:vertAlign w:val="superscript"/>
          <w:lang w:val="en-AU"/>
        </w:rPr>
        <w:t>®</w:t>
      </w:r>
      <w:r w:rsidR="00CC7739">
        <w:rPr>
          <w:lang w:val="en-AU"/>
        </w:rPr>
        <w:t xml:space="preserve"> </w:t>
      </w:r>
      <w:r>
        <w:rPr>
          <w:lang w:val="en-AU"/>
        </w:rPr>
        <w:t xml:space="preserve">(19 patients) or inorganic phosphate </w:t>
      </w:r>
    </w:p>
    <w:p w14:paraId="6E4A4230" w14:textId="3527C767" w:rsidR="000F1682" w:rsidRDefault="00202F8C" w:rsidP="00202F8C">
      <w:pPr>
        <w:jc w:val="left"/>
        <w:rPr>
          <w:lang w:val="en-AU"/>
        </w:rPr>
      </w:pPr>
      <w:r>
        <w:rPr>
          <w:lang w:val="en-AU"/>
        </w:rPr>
        <w:lastRenderedPageBreak/>
        <w:t xml:space="preserve">(22 patients), administered as part of each </w:t>
      </w:r>
      <w:r w:rsidR="00B134C1">
        <w:rPr>
          <w:lang w:val="en-AU"/>
        </w:rPr>
        <w:t>patient’s</w:t>
      </w:r>
      <w:r>
        <w:rPr>
          <w:lang w:val="en-AU"/>
        </w:rPr>
        <w:t xml:space="preserve"> parenteral nutrition regimen over </w:t>
      </w:r>
    </w:p>
    <w:p w14:paraId="5424477B" w14:textId="3D350C4F" w:rsidR="00202F8C" w:rsidRPr="00202F8C" w:rsidRDefault="00202F8C" w:rsidP="00202F8C">
      <w:pPr>
        <w:jc w:val="left"/>
        <w:rPr>
          <w:rFonts w:ascii="Calibri" w:hAnsi="Calibri"/>
          <w:lang w:val="en-AU"/>
        </w:rPr>
      </w:pPr>
      <w:r>
        <w:rPr>
          <w:lang w:val="en-AU"/>
        </w:rPr>
        <w:t xml:space="preserve">24 hours/day for up to 7 days. </w:t>
      </w:r>
    </w:p>
    <w:p w14:paraId="0ED72463" w14:textId="372610E3" w:rsidR="00202F8C" w:rsidRDefault="00202F8C" w:rsidP="00202F8C">
      <w:pPr>
        <w:jc w:val="left"/>
        <w:rPr>
          <w:lang w:val="en-AU"/>
        </w:rPr>
      </w:pPr>
    </w:p>
    <w:p w14:paraId="1FA5E82E" w14:textId="30BF760F" w:rsidR="007406F5" w:rsidRDefault="007406F5" w:rsidP="00202F8C">
      <w:pPr>
        <w:jc w:val="left"/>
        <w:rPr>
          <w:lang w:val="en-AU"/>
        </w:rPr>
      </w:pPr>
      <w:r>
        <w:rPr>
          <w:lang w:val="en-AU"/>
        </w:rPr>
        <w:t>Premature discontinuation of the study, due to the unforeseen difficulties in the timely recruitment of patients resulted in 18 on inorganic phosphate and 17 on glycerophosphate completing the study.</w:t>
      </w:r>
    </w:p>
    <w:p w14:paraId="32D7C83F" w14:textId="3C20DCC4" w:rsidR="007406F5" w:rsidRDefault="007406F5" w:rsidP="00202F8C">
      <w:pPr>
        <w:jc w:val="left"/>
        <w:rPr>
          <w:lang w:val="en-AU"/>
        </w:rPr>
      </w:pPr>
    </w:p>
    <w:p w14:paraId="6E9B9040" w14:textId="48D043D6" w:rsidR="00202F8C" w:rsidRDefault="00202F8C" w:rsidP="00202F8C">
      <w:pPr>
        <w:jc w:val="left"/>
        <w:rPr>
          <w:lang w:val="en-AU"/>
        </w:rPr>
      </w:pPr>
      <w:r>
        <w:rPr>
          <w:lang w:val="en-AU"/>
        </w:rPr>
        <w:t xml:space="preserve">In the study the primary efficacy variables were AUC for serum phosphate and serum calcium with secondary variables accumulated urinary phosphate and urinary calcium. The ratio of AUCs for serum phosphate and serum calcium for patients who received </w:t>
      </w:r>
      <w:r w:rsidR="00093A53">
        <w:rPr>
          <w:lang w:val="en-AU"/>
        </w:rPr>
        <w:t>Glycophos</w:t>
      </w:r>
      <w:r w:rsidR="00756D18" w:rsidRPr="002302F8">
        <w:rPr>
          <w:vertAlign w:val="superscript"/>
          <w:lang w:val="en-AU"/>
        </w:rPr>
        <w:t>®</w:t>
      </w:r>
      <w:r w:rsidR="00093A53">
        <w:rPr>
          <w:lang w:val="en-AU"/>
        </w:rPr>
        <w:t xml:space="preserve"> </w:t>
      </w:r>
      <w:r>
        <w:rPr>
          <w:lang w:val="en-AU"/>
        </w:rPr>
        <w:t xml:space="preserve">to those who received inorganic phosphate were 2.15 for serum phosphate and 1.21 for serum calcium. </w:t>
      </w:r>
      <w:r w:rsidR="00D108F2">
        <w:rPr>
          <w:lang w:val="en-AU"/>
        </w:rPr>
        <w:t xml:space="preserve">Statistical significance for the difference could not be shown </w:t>
      </w:r>
      <w:r>
        <w:rPr>
          <w:lang w:val="en-AU"/>
        </w:rPr>
        <w:t>between the two groups</w:t>
      </w:r>
      <w:r w:rsidR="00D108F2">
        <w:rPr>
          <w:lang w:val="en-AU"/>
        </w:rPr>
        <w:t xml:space="preserve"> for the primary efficacy variables</w:t>
      </w:r>
      <w:r w:rsidR="00D108F2" w:rsidRPr="00D108F2">
        <w:rPr>
          <w:lang w:val="en-AU"/>
        </w:rPr>
        <w:t xml:space="preserve"> </w:t>
      </w:r>
      <w:r w:rsidR="00D108F2">
        <w:rPr>
          <w:lang w:val="en-AU"/>
        </w:rPr>
        <w:t>(AUCs for serum calcium and serum phosphate)</w:t>
      </w:r>
      <w:r w:rsidR="00756D18" w:rsidRPr="002302F8">
        <w:rPr>
          <w:vertAlign w:val="superscript"/>
          <w:lang w:val="en-AU"/>
        </w:rPr>
        <w:t>®</w:t>
      </w:r>
      <w:r>
        <w:rPr>
          <w:lang w:val="en-AU"/>
        </w:rPr>
        <w:t>. For the secondary efficacy variables, accumulated urinary phosphate (</w:t>
      </w:r>
      <w:proofErr w:type="spellStart"/>
      <w:r>
        <w:rPr>
          <w:lang w:val="en-AU"/>
        </w:rPr>
        <w:t>A</w:t>
      </w:r>
      <w:r>
        <w:rPr>
          <w:vertAlign w:val="subscript"/>
          <w:lang w:val="en-AU"/>
        </w:rPr>
        <w:t>e</w:t>
      </w:r>
      <w:r>
        <w:rPr>
          <w:lang w:val="en-AU"/>
        </w:rPr>
        <w:t>P</w:t>
      </w:r>
      <w:proofErr w:type="spellEnd"/>
      <w:r>
        <w:rPr>
          <w:lang w:val="en-AU"/>
        </w:rPr>
        <w:t>) and urinary calcium (</w:t>
      </w:r>
      <w:proofErr w:type="spellStart"/>
      <w:r>
        <w:rPr>
          <w:lang w:val="en-AU"/>
        </w:rPr>
        <w:t>A</w:t>
      </w:r>
      <w:r>
        <w:rPr>
          <w:vertAlign w:val="subscript"/>
          <w:lang w:val="en-AU"/>
        </w:rPr>
        <w:t>e</w:t>
      </w:r>
      <w:r>
        <w:rPr>
          <w:lang w:val="en-AU"/>
        </w:rPr>
        <w:t>Ca</w:t>
      </w:r>
      <w:proofErr w:type="spellEnd"/>
      <w:r>
        <w:rPr>
          <w:lang w:val="en-AU"/>
        </w:rPr>
        <w:t xml:space="preserve">) ratios for patients who received </w:t>
      </w:r>
      <w:r w:rsidR="00093A53">
        <w:rPr>
          <w:lang w:val="en-AU"/>
        </w:rPr>
        <w:t>Glycophos</w:t>
      </w:r>
      <w:r w:rsidR="00756D18" w:rsidRPr="002302F8">
        <w:rPr>
          <w:vertAlign w:val="superscript"/>
          <w:lang w:val="en-AU"/>
        </w:rPr>
        <w:t>®</w:t>
      </w:r>
      <w:r w:rsidR="00093A53">
        <w:rPr>
          <w:lang w:val="en-AU"/>
        </w:rPr>
        <w:t xml:space="preserve"> </w:t>
      </w:r>
      <w:r>
        <w:rPr>
          <w:lang w:val="en-AU"/>
        </w:rPr>
        <w:t>to those who received inorganic phosphate were 1.10 for serum phosphate and 0.61 for serum calcium. There were no differences in adverse events between the two treatment groups, and no adverse events were considered to be related to treatment.</w:t>
      </w:r>
    </w:p>
    <w:p w14:paraId="40683A81" w14:textId="646CF33B" w:rsidR="00202F8C" w:rsidRDefault="00202F8C" w:rsidP="00202F8C">
      <w:pPr>
        <w:jc w:val="left"/>
        <w:rPr>
          <w:lang w:val="en-AU"/>
        </w:rPr>
      </w:pPr>
    </w:p>
    <w:p w14:paraId="07ACF06D" w14:textId="08B36982" w:rsidR="00F17E98" w:rsidRDefault="007B16C0" w:rsidP="00202F8C">
      <w:pPr>
        <w:jc w:val="left"/>
        <w:rPr>
          <w:lang w:val="en-AU"/>
        </w:rPr>
      </w:pPr>
      <w:r>
        <w:rPr>
          <w:lang w:val="en-AU"/>
        </w:rPr>
        <w:t>A</w:t>
      </w:r>
      <w:r w:rsidR="00202F8C">
        <w:rPr>
          <w:lang w:val="en-AU"/>
        </w:rPr>
        <w:t xml:space="preserve"> study comparing bioavailability of phosphate from a parenteral all-in-one solution (Kabiven Peripheral) with that from </w:t>
      </w:r>
      <w:r w:rsidR="00093A53">
        <w:rPr>
          <w:lang w:val="en-AU"/>
        </w:rPr>
        <w:t>Glycophos</w:t>
      </w:r>
      <w:r w:rsidR="00756D18" w:rsidRPr="002302F8">
        <w:rPr>
          <w:vertAlign w:val="superscript"/>
          <w:lang w:val="en-AU"/>
        </w:rPr>
        <w:t>®</w:t>
      </w:r>
      <w:r w:rsidR="00093A53">
        <w:rPr>
          <w:lang w:val="en-AU"/>
        </w:rPr>
        <w:t xml:space="preserve"> </w:t>
      </w:r>
      <w:r w:rsidR="00202F8C">
        <w:rPr>
          <w:lang w:val="en-AU"/>
        </w:rPr>
        <w:t xml:space="preserve">was a double blind, randomised </w:t>
      </w:r>
      <w:r>
        <w:rPr>
          <w:lang w:val="en-AU"/>
        </w:rPr>
        <w:t xml:space="preserve">two sequence, two treatment crossover </w:t>
      </w:r>
      <w:r w:rsidR="00202F8C">
        <w:rPr>
          <w:lang w:val="en-AU"/>
        </w:rPr>
        <w:t xml:space="preserve">study in 10 healthy adults. </w:t>
      </w:r>
      <w:r>
        <w:rPr>
          <w:lang w:val="en-AU"/>
        </w:rPr>
        <w:t>S</w:t>
      </w:r>
      <w:r w:rsidR="00202F8C">
        <w:rPr>
          <w:lang w:val="en-AU"/>
        </w:rPr>
        <w:t xml:space="preserve">ubjects received </w:t>
      </w:r>
      <w:r w:rsidR="00093A53">
        <w:rPr>
          <w:lang w:val="en-AU"/>
        </w:rPr>
        <w:t>Glycophos</w:t>
      </w:r>
      <w:r w:rsidR="00756D18" w:rsidRPr="002302F8">
        <w:rPr>
          <w:vertAlign w:val="superscript"/>
          <w:lang w:val="en-AU"/>
        </w:rPr>
        <w:t>®</w:t>
      </w:r>
      <w:r w:rsidR="00093A53">
        <w:rPr>
          <w:lang w:val="en-AU"/>
        </w:rPr>
        <w:t xml:space="preserve"> </w:t>
      </w:r>
      <w:r w:rsidR="00202F8C">
        <w:rPr>
          <w:lang w:val="en-AU"/>
        </w:rPr>
        <w:t>and  Kabiven Peripheral providing equimolar amounts of phosphate (0.101 mmol/kg). The primary PK variables were AUC</w:t>
      </w:r>
      <w:r w:rsidR="00202F8C">
        <w:rPr>
          <w:vertAlign w:val="subscript"/>
          <w:lang w:val="en-AU"/>
        </w:rPr>
        <w:t>0-36h</w:t>
      </w:r>
      <w:r w:rsidR="00202F8C">
        <w:rPr>
          <w:lang w:val="en-AU"/>
        </w:rPr>
        <w:t xml:space="preserve">, </w:t>
      </w:r>
      <w:proofErr w:type="spellStart"/>
      <w:r w:rsidR="00202F8C">
        <w:rPr>
          <w:lang w:val="en-AU"/>
        </w:rPr>
        <w:t>C</w:t>
      </w:r>
      <w:r w:rsidR="00202F8C">
        <w:rPr>
          <w:vertAlign w:val="subscript"/>
          <w:lang w:val="en-AU"/>
        </w:rPr>
        <w:t>max</w:t>
      </w:r>
      <w:proofErr w:type="spellEnd"/>
      <w:r w:rsidR="00202F8C">
        <w:rPr>
          <w:lang w:val="en-AU"/>
        </w:rPr>
        <w:t xml:space="preserve">, and </w:t>
      </w:r>
      <w:proofErr w:type="spellStart"/>
      <w:r w:rsidR="00202F8C">
        <w:rPr>
          <w:lang w:val="en-AU"/>
        </w:rPr>
        <w:t>C</w:t>
      </w:r>
      <w:r w:rsidR="00202F8C">
        <w:rPr>
          <w:vertAlign w:val="subscript"/>
          <w:lang w:val="en-AU"/>
        </w:rPr>
        <w:t>ss</w:t>
      </w:r>
      <w:proofErr w:type="spellEnd"/>
      <w:r w:rsidR="00202F8C">
        <w:rPr>
          <w:lang w:val="en-AU"/>
        </w:rPr>
        <w:t xml:space="preserve">, and secondary variables included </w:t>
      </w:r>
      <w:proofErr w:type="spellStart"/>
      <w:r w:rsidR="00202F8C">
        <w:rPr>
          <w:lang w:val="en-AU"/>
        </w:rPr>
        <w:t>t</w:t>
      </w:r>
      <w:r w:rsidR="00202F8C">
        <w:rPr>
          <w:vertAlign w:val="subscript"/>
          <w:lang w:val="en-AU"/>
        </w:rPr>
        <w:t>max</w:t>
      </w:r>
      <w:proofErr w:type="spellEnd"/>
      <w:r w:rsidR="00202F8C">
        <w:rPr>
          <w:lang w:val="en-AU"/>
        </w:rPr>
        <w:t xml:space="preserve">, </w:t>
      </w:r>
      <w:proofErr w:type="spellStart"/>
      <w:r w:rsidR="00202F8C">
        <w:rPr>
          <w:lang w:val="en-AU"/>
        </w:rPr>
        <w:t>λ</w:t>
      </w:r>
      <w:r w:rsidR="00202F8C">
        <w:rPr>
          <w:vertAlign w:val="subscript"/>
          <w:lang w:val="en-AU"/>
        </w:rPr>
        <w:t>z</w:t>
      </w:r>
      <w:proofErr w:type="spellEnd"/>
      <w:r w:rsidR="00202F8C">
        <w:rPr>
          <w:lang w:val="en-AU"/>
        </w:rPr>
        <w:t>, t</w:t>
      </w:r>
      <w:r w:rsidR="00202F8C">
        <w:rPr>
          <w:vertAlign w:val="subscript"/>
          <w:lang w:val="en-AU"/>
        </w:rPr>
        <w:t>1/2</w:t>
      </w:r>
      <w:r w:rsidR="00202F8C">
        <w:rPr>
          <w:lang w:val="en-AU"/>
        </w:rPr>
        <w:t>, and A</w:t>
      </w:r>
      <w:r w:rsidR="00202F8C">
        <w:rPr>
          <w:vertAlign w:val="subscript"/>
          <w:lang w:val="en-AU"/>
        </w:rPr>
        <w:t>e</w:t>
      </w:r>
      <w:r w:rsidR="00202F8C">
        <w:rPr>
          <w:lang w:val="en-AU"/>
        </w:rPr>
        <w:t>. Additionally, the areas under the serum concentration-time curves during the infusion (from Hour 0 to Hour 8; AUC</w:t>
      </w:r>
      <w:r w:rsidR="00202F8C">
        <w:rPr>
          <w:vertAlign w:val="subscript"/>
          <w:lang w:val="en-AU"/>
        </w:rPr>
        <w:t>0-8h</w:t>
      </w:r>
      <w:r w:rsidR="00202F8C">
        <w:rPr>
          <w:lang w:val="en-AU"/>
        </w:rPr>
        <w:t>), the 8 hours immediately following the infusion (from Hour 8 to Hour 16; AUC</w:t>
      </w:r>
      <w:r w:rsidR="00202F8C">
        <w:rPr>
          <w:vertAlign w:val="subscript"/>
          <w:lang w:val="en-AU"/>
        </w:rPr>
        <w:t>8-16h</w:t>
      </w:r>
      <w:r w:rsidR="00202F8C">
        <w:rPr>
          <w:lang w:val="en-AU"/>
        </w:rPr>
        <w:t>), and the last hours of the observation period (from Hour 16 through Hour 36; AUC</w:t>
      </w:r>
      <w:r w:rsidR="00202F8C">
        <w:rPr>
          <w:vertAlign w:val="subscript"/>
          <w:lang w:val="en-AU"/>
        </w:rPr>
        <w:t>16-36h</w:t>
      </w:r>
      <w:r w:rsidR="00202F8C">
        <w:rPr>
          <w:lang w:val="en-AU"/>
        </w:rPr>
        <w:t>) were also</w:t>
      </w:r>
      <w:r w:rsidR="00913C97">
        <w:rPr>
          <w:lang w:val="en-AU"/>
        </w:rPr>
        <w:t xml:space="preserve"> </w:t>
      </w:r>
      <w:r w:rsidR="00202F8C">
        <w:rPr>
          <w:lang w:val="en-AU"/>
        </w:rPr>
        <w:t xml:space="preserve">calculated. </w:t>
      </w:r>
      <w:r w:rsidR="0030255B">
        <w:rPr>
          <w:lang w:val="en-AU"/>
        </w:rPr>
        <w:t>The 90% CI of the ratio for Kabiven Peripheral/Glycophos</w:t>
      </w:r>
      <w:r w:rsidR="00823196" w:rsidRPr="002302F8">
        <w:rPr>
          <w:rFonts w:cs="Arial"/>
          <w:vertAlign w:val="superscript"/>
          <w:lang w:val="en-AU"/>
        </w:rPr>
        <w:t>®</w:t>
      </w:r>
      <w:r w:rsidR="0030255B">
        <w:rPr>
          <w:lang w:val="en-AU"/>
        </w:rPr>
        <w:t xml:space="preserve"> for all primary parameters (AUC</w:t>
      </w:r>
      <w:r w:rsidR="0030255B">
        <w:rPr>
          <w:vertAlign w:val="subscript"/>
          <w:lang w:val="en-AU"/>
        </w:rPr>
        <w:t>0-36h</w:t>
      </w:r>
      <w:r w:rsidR="0030255B">
        <w:rPr>
          <w:lang w:val="en-AU"/>
        </w:rPr>
        <w:t xml:space="preserve">, </w:t>
      </w:r>
      <w:proofErr w:type="spellStart"/>
      <w:r w:rsidR="0030255B">
        <w:rPr>
          <w:lang w:val="en-AU"/>
        </w:rPr>
        <w:t>C</w:t>
      </w:r>
      <w:r w:rsidR="0030255B">
        <w:rPr>
          <w:vertAlign w:val="subscript"/>
          <w:lang w:val="en-AU"/>
        </w:rPr>
        <w:t>max</w:t>
      </w:r>
      <w:proofErr w:type="spellEnd"/>
      <w:r w:rsidR="0030255B">
        <w:rPr>
          <w:lang w:val="en-AU"/>
        </w:rPr>
        <w:t xml:space="preserve">, and </w:t>
      </w:r>
      <w:proofErr w:type="spellStart"/>
      <w:r w:rsidR="0030255B">
        <w:rPr>
          <w:lang w:val="en-AU"/>
        </w:rPr>
        <w:t>C</w:t>
      </w:r>
      <w:r w:rsidR="0030255B">
        <w:rPr>
          <w:vertAlign w:val="subscript"/>
          <w:lang w:val="en-AU"/>
        </w:rPr>
        <w:t>ss</w:t>
      </w:r>
      <w:proofErr w:type="spellEnd"/>
      <w:r w:rsidR="0030255B">
        <w:rPr>
          <w:lang w:val="en-AU"/>
        </w:rPr>
        <w:t xml:space="preserve">) were within the range of 0.8 to 1.25; thus, bioequivalence for inorganic phosphate concentration in serum of both treatments was accepted. The </w:t>
      </w:r>
      <w:r w:rsidR="00202F8C">
        <w:rPr>
          <w:lang w:val="en-AU"/>
        </w:rPr>
        <w:t>A</w:t>
      </w:r>
      <w:r w:rsidR="00202F8C" w:rsidRPr="00202F8C">
        <w:rPr>
          <w:vertAlign w:val="subscript"/>
          <w:lang w:val="en-AU"/>
        </w:rPr>
        <w:t>e</w:t>
      </w:r>
      <w:r w:rsidR="00202F8C">
        <w:rPr>
          <w:lang w:val="en-AU"/>
        </w:rPr>
        <w:t xml:space="preserve"> of inorganic phosphate was greater with administration of </w:t>
      </w:r>
      <w:r w:rsidR="00093A53">
        <w:rPr>
          <w:lang w:val="en-AU"/>
        </w:rPr>
        <w:t>Glycophos</w:t>
      </w:r>
      <w:r w:rsidR="00756D18" w:rsidRPr="002302F8">
        <w:rPr>
          <w:vertAlign w:val="superscript"/>
          <w:lang w:val="en-AU"/>
        </w:rPr>
        <w:t>®</w:t>
      </w:r>
      <w:r w:rsidR="00093A53">
        <w:rPr>
          <w:lang w:val="en-AU"/>
        </w:rPr>
        <w:t xml:space="preserve"> </w:t>
      </w:r>
      <w:r w:rsidR="00202F8C">
        <w:rPr>
          <w:lang w:val="en-AU"/>
        </w:rPr>
        <w:t>compared to Kabiven Peripheral</w:t>
      </w:r>
      <w:r w:rsidR="00F17E98">
        <w:rPr>
          <w:lang w:val="en-AU"/>
        </w:rPr>
        <w:t xml:space="preserve"> </w:t>
      </w:r>
      <w:r w:rsidR="0030255B">
        <w:rPr>
          <w:lang w:val="en-AU"/>
        </w:rPr>
        <w:t>(the lower limit of the 90% CI</w:t>
      </w:r>
      <w:r w:rsidR="00F17E98">
        <w:rPr>
          <w:lang w:val="en-AU"/>
        </w:rPr>
        <w:t xml:space="preserve"> (0.6266) was below 0.8, rejecting bioequivalence between both investigational products). Also, statistical significance for the difference was not shown (p = 0.0694). </w:t>
      </w:r>
    </w:p>
    <w:p w14:paraId="65E34C22" w14:textId="77777777" w:rsidR="00867D0E" w:rsidRDefault="00867D0E" w:rsidP="00202F8C">
      <w:pPr>
        <w:jc w:val="left"/>
        <w:rPr>
          <w:lang w:val="en-AU"/>
        </w:rPr>
      </w:pPr>
    </w:p>
    <w:p w14:paraId="3626C72A" w14:textId="77777777" w:rsidR="00867D0E" w:rsidRDefault="00867D0E" w:rsidP="00867D0E">
      <w:pPr>
        <w:jc w:val="left"/>
        <w:rPr>
          <w:lang w:val="en-AU"/>
        </w:rPr>
      </w:pPr>
      <w:r>
        <w:rPr>
          <w:lang w:val="en-AU"/>
        </w:rPr>
        <w:t xml:space="preserve">There is limited clinical trial data available on the use of </w:t>
      </w:r>
      <w:r w:rsidRPr="00AE04A9">
        <w:rPr>
          <w:lang w:val="en-AU"/>
        </w:rPr>
        <w:t>Glycophos</w:t>
      </w:r>
      <w:r w:rsidRPr="00266F0F">
        <w:rPr>
          <w:vertAlign w:val="superscript"/>
          <w:lang w:val="en-AU"/>
        </w:rPr>
        <w:t>®</w:t>
      </w:r>
      <w:r w:rsidRPr="00AE04A9">
        <w:rPr>
          <w:lang w:val="en-AU"/>
        </w:rPr>
        <w:t xml:space="preserve"> </w:t>
      </w:r>
      <w:r>
        <w:rPr>
          <w:lang w:val="en-AU"/>
        </w:rPr>
        <w:t>but there is considerable postmarketing experience on the use of glycerophosphate.</w:t>
      </w:r>
    </w:p>
    <w:p w14:paraId="757AC91D" w14:textId="4286DC60" w:rsidR="0068417E" w:rsidRDefault="0068417E" w:rsidP="00235817">
      <w:pPr>
        <w:jc w:val="left"/>
        <w:rPr>
          <w:rFonts w:cs="Arial"/>
        </w:rPr>
      </w:pPr>
    </w:p>
    <w:p w14:paraId="60410951" w14:textId="2B0B890D" w:rsidR="00A801E5" w:rsidRPr="007A6848" w:rsidRDefault="00BC3590" w:rsidP="00235817">
      <w:pPr>
        <w:pStyle w:val="Heading2"/>
        <w:jc w:val="left"/>
      </w:pPr>
      <w:r w:rsidRPr="007A6848">
        <w:t>5.2</w:t>
      </w:r>
      <w:r w:rsidRPr="007A6848">
        <w:tab/>
      </w:r>
      <w:r w:rsidR="0032608A" w:rsidRPr="007A6848">
        <w:t>Pharmacokinetic properties</w:t>
      </w:r>
      <w:r w:rsidR="00245127" w:rsidRPr="007A6848">
        <w:t xml:space="preserve"> </w:t>
      </w:r>
    </w:p>
    <w:p w14:paraId="23653FDD" w14:textId="77777777" w:rsidR="00913C97" w:rsidRDefault="009D462C" w:rsidP="00235817">
      <w:pPr>
        <w:jc w:val="left"/>
      </w:pPr>
      <w:r>
        <w:t>To become bio-available,</w:t>
      </w:r>
      <w:r w:rsidR="0093462C">
        <w:t xml:space="preserve"> it is necessary for the phosphate group to be hydrolysed from the glycerophosphate molecule. The hydrolysis occurs maximally at a plasma concentration of </w:t>
      </w:r>
    </w:p>
    <w:p w14:paraId="32452D5E" w14:textId="77777777" w:rsidR="00B07C60" w:rsidRDefault="0093462C" w:rsidP="00235817">
      <w:pPr>
        <w:jc w:val="left"/>
      </w:pPr>
      <w:r>
        <w:t xml:space="preserve">&gt;0.7 mmol/L. </w:t>
      </w:r>
      <w:r w:rsidR="00F17E98">
        <w:t xml:space="preserve">The release of phosphate into the incubation medium over a 2-hour period corresponded to a hydrolysis rate of 0.12 mmol/L/h for glycerophosphate. Subsequent studies on </w:t>
      </w:r>
    </w:p>
    <w:p w14:paraId="36F1859E" w14:textId="66219B06" w:rsidR="0093462C" w:rsidRDefault="00F17E98" w:rsidP="00235817">
      <w:pPr>
        <w:jc w:val="left"/>
      </w:pPr>
      <w:r>
        <w:t xml:space="preserve">3 other samples using lower glycerophosphate concentrations gave a mean hydrolysis rate of approximately 0.09 mmol/L/h. </w:t>
      </w:r>
      <w:r w:rsidR="0093462C">
        <w:t>Assuming that all hydrolysis of glycerophosphate takes place in plasma, about 12-15 mmol of sodium glycerophosphate will be hydrolysed each day in individuals with normal serum alkaline phosphatase.</w:t>
      </w:r>
      <w:r>
        <w:t xml:space="preserve"> The accuracy of these kinetic rates of hydrolysis </w:t>
      </w:r>
      <w:r w:rsidRPr="002302F8">
        <w:rPr>
          <w:i/>
        </w:rPr>
        <w:t>in vitro</w:t>
      </w:r>
      <w:r>
        <w:t xml:space="preserve"> in relation to the rates </w:t>
      </w:r>
      <w:r w:rsidRPr="002302F8">
        <w:rPr>
          <w:i/>
        </w:rPr>
        <w:t>in vivo</w:t>
      </w:r>
      <w:r>
        <w:t xml:space="preserve"> has not been established.</w:t>
      </w:r>
    </w:p>
    <w:p w14:paraId="6A9FC3A1" w14:textId="77777777" w:rsidR="0093462C" w:rsidRDefault="0093462C" w:rsidP="00235817">
      <w:pPr>
        <w:jc w:val="left"/>
      </w:pPr>
    </w:p>
    <w:p w14:paraId="53937791" w14:textId="3EBEBB9F" w:rsidR="009244F6" w:rsidRDefault="0093462C" w:rsidP="00235817">
      <w:pPr>
        <w:jc w:val="left"/>
      </w:pPr>
      <w:r>
        <w:t>No pharmacokinetic data is available for infants</w:t>
      </w:r>
      <w:r w:rsidR="00F17E98">
        <w:t>.</w:t>
      </w:r>
    </w:p>
    <w:p w14:paraId="440DB58F" w14:textId="77777777" w:rsidR="00B12B64" w:rsidRDefault="00B12B64" w:rsidP="00235817">
      <w:pPr>
        <w:jc w:val="left"/>
      </w:pPr>
    </w:p>
    <w:p w14:paraId="53176A5B" w14:textId="25425FA5" w:rsidR="00A801E5" w:rsidRPr="007A6848" w:rsidRDefault="00BC3590" w:rsidP="00235817">
      <w:pPr>
        <w:pStyle w:val="Heading2"/>
        <w:jc w:val="left"/>
      </w:pPr>
      <w:r w:rsidRPr="007A6848">
        <w:lastRenderedPageBreak/>
        <w:t>5.3</w:t>
      </w:r>
      <w:r w:rsidRPr="007A6848">
        <w:tab/>
      </w:r>
      <w:r w:rsidR="0032608A" w:rsidRPr="007A6848">
        <w:t>Preclinical safety data</w:t>
      </w:r>
    </w:p>
    <w:p w14:paraId="0B323A85" w14:textId="6685B57F" w:rsidR="00722A91" w:rsidRDefault="000C4CF0" w:rsidP="00235817">
      <w:pPr>
        <w:jc w:val="left"/>
      </w:pPr>
      <w:r>
        <w:t>N</w:t>
      </w:r>
      <w:r w:rsidR="000E2296">
        <w:t>o data</w:t>
      </w:r>
      <w:r>
        <w:t xml:space="preserve"> </w:t>
      </w:r>
      <w:r w:rsidR="00541A9C">
        <w:t xml:space="preserve">is </w:t>
      </w:r>
      <w:r>
        <w:t>available</w:t>
      </w:r>
      <w:r w:rsidR="000E2296">
        <w:t>.</w:t>
      </w:r>
    </w:p>
    <w:p w14:paraId="21776E29" w14:textId="77777777" w:rsidR="00722A91" w:rsidRDefault="00722A91" w:rsidP="00235817">
      <w:pPr>
        <w:jc w:val="left"/>
      </w:pPr>
    </w:p>
    <w:p w14:paraId="2949C879" w14:textId="1A88BFC9" w:rsidR="005037CC" w:rsidRPr="007A6848" w:rsidRDefault="005037CC" w:rsidP="00235817">
      <w:pPr>
        <w:pStyle w:val="Heading3"/>
        <w:jc w:val="left"/>
      </w:pPr>
      <w:r w:rsidRPr="007A6848">
        <w:t>Genotoxicity</w:t>
      </w:r>
    </w:p>
    <w:p w14:paraId="6649E8C0" w14:textId="4B826685" w:rsidR="006F306B" w:rsidRDefault="00722A91" w:rsidP="00235817">
      <w:pPr>
        <w:jc w:val="left"/>
      </w:pPr>
      <w:r>
        <w:t xml:space="preserve">No data </w:t>
      </w:r>
      <w:r w:rsidR="00541A9C">
        <w:t xml:space="preserve">is </w:t>
      </w:r>
      <w:r>
        <w:t>available</w:t>
      </w:r>
      <w:r w:rsidR="006F306B">
        <w:t>.</w:t>
      </w:r>
    </w:p>
    <w:p w14:paraId="5E2A6F9A" w14:textId="77777777" w:rsidR="00257C86" w:rsidRPr="007A6848" w:rsidRDefault="00257C86" w:rsidP="00235817">
      <w:pPr>
        <w:jc w:val="left"/>
        <w:rPr>
          <w:rFonts w:cs="Arial"/>
        </w:rPr>
      </w:pPr>
    </w:p>
    <w:p w14:paraId="33F9B3EB" w14:textId="77777777" w:rsidR="00D413D8" w:rsidRPr="007A6848" w:rsidRDefault="005E77AE" w:rsidP="00235817">
      <w:pPr>
        <w:pStyle w:val="Heading3"/>
        <w:jc w:val="left"/>
      </w:pPr>
      <w:r w:rsidRPr="007A6848">
        <w:t>Carcinogenicity</w:t>
      </w:r>
    </w:p>
    <w:p w14:paraId="6E30AB29" w14:textId="099DD92B" w:rsidR="00F619D4" w:rsidRPr="007A6848" w:rsidRDefault="005037CC" w:rsidP="00235817">
      <w:pPr>
        <w:jc w:val="left"/>
        <w:rPr>
          <w:rFonts w:cs="Arial"/>
        </w:rPr>
      </w:pPr>
      <w:r>
        <w:rPr>
          <w:rFonts w:cs="Arial"/>
        </w:rPr>
        <w:t>No data</w:t>
      </w:r>
      <w:r w:rsidR="00541A9C">
        <w:rPr>
          <w:rFonts w:cs="Arial"/>
        </w:rPr>
        <w:t xml:space="preserve"> is</w:t>
      </w:r>
      <w:r>
        <w:rPr>
          <w:rFonts w:cs="Arial"/>
        </w:rPr>
        <w:t xml:space="preserve"> available.</w:t>
      </w:r>
    </w:p>
    <w:p w14:paraId="545994DF" w14:textId="77777777" w:rsidR="00945691" w:rsidRPr="007A6848" w:rsidRDefault="00945691" w:rsidP="00235817">
      <w:pPr>
        <w:jc w:val="left"/>
        <w:rPr>
          <w:rFonts w:cs="Arial"/>
        </w:rPr>
      </w:pPr>
    </w:p>
    <w:p w14:paraId="0BB122C8" w14:textId="0CE05AD1" w:rsidR="00A801E5" w:rsidRPr="007A6848" w:rsidRDefault="00BC3590" w:rsidP="00235817">
      <w:pPr>
        <w:pStyle w:val="Heading1"/>
        <w:jc w:val="left"/>
      </w:pPr>
      <w:r w:rsidRPr="007A6848">
        <w:t>6</w:t>
      </w:r>
      <w:r w:rsidR="003642F0" w:rsidRPr="007A6848">
        <w:t>.</w:t>
      </w:r>
      <w:r w:rsidRPr="007A6848">
        <w:tab/>
      </w:r>
      <w:r w:rsidR="001A1ABD" w:rsidRPr="007A6848">
        <w:t>P</w:t>
      </w:r>
      <w:r w:rsidR="0032608A" w:rsidRPr="007A6848">
        <w:t>HARMACEUTICAL PARTICULARS</w:t>
      </w:r>
    </w:p>
    <w:p w14:paraId="258FF81F" w14:textId="17A15F8A" w:rsidR="00A801E5" w:rsidRPr="007A6848" w:rsidRDefault="00BC3590" w:rsidP="00235817">
      <w:pPr>
        <w:pStyle w:val="Heading2"/>
        <w:jc w:val="left"/>
      </w:pPr>
      <w:r w:rsidRPr="007A6848">
        <w:t>6.1</w:t>
      </w:r>
      <w:r w:rsidRPr="007A6848">
        <w:tab/>
      </w:r>
      <w:r w:rsidR="0032608A" w:rsidRPr="007A6848">
        <w:t>List of excipients</w:t>
      </w:r>
    </w:p>
    <w:p w14:paraId="02ECD035" w14:textId="77777777" w:rsidR="00AB2092" w:rsidRPr="002E3CD0" w:rsidRDefault="00AB2092" w:rsidP="00235817">
      <w:pPr>
        <w:pStyle w:val="ListParagraph"/>
        <w:numPr>
          <w:ilvl w:val="0"/>
          <w:numId w:val="32"/>
        </w:numPr>
        <w:spacing w:after="60"/>
        <w:ind w:left="284" w:hanging="284"/>
        <w:contextualSpacing w:val="0"/>
        <w:jc w:val="left"/>
        <w:rPr>
          <w:rFonts w:cs="Arial"/>
        </w:rPr>
      </w:pPr>
      <w:r w:rsidRPr="002E3CD0">
        <w:rPr>
          <w:rFonts w:cs="Arial"/>
        </w:rPr>
        <w:t>Hydrochloric acid (pH adjuster)</w:t>
      </w:r>
    </w:p>
    <w:p w14:paraId="30B82759" w14:textId="51FC3793" w:rsidR="00AB2092" w:rsidRPr="002E3CD0" w:rsidRDefault="00AB2092" w:rsidP="00235817">
      <w:pPr>
        <w:pStyle w:val="ListParagraph"/>
        <w:numPr>
          <w:ilvl w:val="0"/>
          <w:numId w:val="32"/>
        </w:numPr>
        <w:ind w:left="284" w:hanging="284"/>
        <w:jc w:val="left"/>
        <w:rPr>
          <w:rFonts w:cs="Arial"/>
        </w:rPr>
      </w:pPr>
      <w:r w:rsidRPr="002E3CD0">
        <w:rPr>
          <w:rFonts w:cs="Arial"/>
        </w:rPr>
        <w:t>Water for injections</w:t>
      </w:r>
    </w:p>
    <w:p w14:paraId="585F1E04" w14:textId="70E61894" w:rsidR="00A801E5" w:rsidRPr="007A6848" w:rsidRDefault="00BC3590" w:rsidP="00235817">
      <w:pPr>
        <w:pStyle w:val="Heading2"/>
        <w:jc w:val="left"/>
      </w:pPr>
      <w:r w:rsidRPr="007A6848">
        <w:t>6.2</w:t>
      </w:r>
      <w:r w:rsidRPr="007A6848">
        <w:tab/>
      </w:r>
      <w:r w:rsidR="0032608A" w:rsidRPr="007A6848">
        <w:t>Incompatibilities</w:t>
      </w:r>
    </w:p>
    <w:p w14:paraId="60D3FB37" w14:textId="0F054F1B" w:rsidR="000E11E8" w:rsidRPr="00342704" w:rsidRDefault="00093A53" w:rsidP="00235817">
      <w:pPr>
        <w:jc w:val="left"/>
        <w:rPr>
          <w:rFonts w:cs="Arial"/>
        </w:rPr>
      </w:pPr>
      <w:r>
        <w:rPr>
          <w:rFonts w:cs="Arial"/>
        </w:rPr>
        <w:t>Glycophos</w:t>
      </w:r>
      <w:r w:rsidR="00756D18" w:rsidRPr="002302F8">
        <w:rPr>
          <w:rFonts w:cs="Arial"/>
          <w:vertAlign w:val="superscript"/>
        </w:rPr>
        <w:t>®</w:t>
      </w:r>
      <w:r>
        <w:rPr>
          <w:rFonts w:cs="Arial"/>
        </w:rPr>
        <w:t xml:space="preserve"> </w:t>
      </w:r>
      <w:r w:rsidR="007136C8" w:rsidRPr="007136C8">
        <w:rPr>
          <w:rFonts w:cs="Arial"/>
        </w:rPr>
        <w:t xml:space="preserve">may only be added to or mixed with other medicinal products for which compatibility has been documented. </w:t>
      </w:r>
      <w:r w:rsidR="00F269BB">
        <w:rPr>
          <w:rFonts w:cs="Arial"/>
        </w:rPr>
        <w:t>For compatibility information, p</w:t>
      </w:r>
      <w:r w:rsidR="007136C8">
        <w:rPr>
          <w:rFonts w:cs="Arial"/>
        </w:rPr>
        <w:t xml:space="preserve">lease </w:t>
      </w:r>
      <w:r w:rsidR="00F269BB">
        <w:rPr>
          <w:rFonts w:cs="Arial"/>
        </w:rPr>
        <w:t>refer to</w:t>
      </w:r>
      <w:r w:rsidR="00F269BB" w:rsidRPr="00342704">
        <w:rPr>
          <w:rFonts w:cs="Arial"/>
        </w:rPr>
        <w:t xml:space="preserve"> </w:t>
      </w:r>
      <w:r w:rsidR="00F269BB">
        <w:rPr>
          <w:rFonts w:cs="Arial"/>
        </w:rPr>
        <w:t>s</w:t>
      </w:r>
      <w:r w:rsidR="00AB2092" w:rsidRPr="002302F8">
        <w:rPr>
          <w:rFonts w:cs="Arial"/>
        </w:rPr>
        <w:t xml:space="preserve">ection </w:t>
      </w:r>
      <w:r w:rsidR="00F269BB">
        <w:rPr>
          <w:rFonts w:cs="Arial"/>
        </w:rPr>
        <w:t>4.2</w:t>
      </w:r>
      <w:r w:rsidR="00C9063F" w:rsidRPr="002302F8">
        <w:rPr>
          <w:rFonts w:cs="Arial"/>
        </w:rPr>
        <w:t xml:space="preserve"> </w:t>
      </w:r>
      <w:r w:rsidR="00F269BB">
        <w:rPr>
          <w:rFonts w:cs="Arial"/>
        </w:rPr>
        <w:t>Dose and method of administration.</w:t>
      </w:r>
    </w:p>
    <w:p w14:paraId="0D00C573" w14:textId="77777777" w:rsidR="00DC4612" w:rsidRPr="007A6848" w:rsidRDefault="00DC4612" w:rsidP="00235817">
      <w:pPr>
        <w:jc w:val="left"/>
        <w:rPr>
          <w:rFonts w:cs="Arial"/>
        </w:rPr>
      </w:pPr>
    </w:p>
    <w:p w14:paraId="529BBAFA" w14:textId="2EEA60A1" w:rsidR="00A801E5" w:rsidRPr="007A6848" w:rsidRDefault="00BC3590" w:rsidP="00235817">
      <w:pPr>
        <w:pStyle w:val="Heading2"/>
        <w:jc w:val="left"/>
      </w:pPr>
      <w:r w:rsidRPr="007A6848">
        <w:t>6.3</w:t>
      </w:r>
      <w:r w:rsidRPr="007A6848">
        <w:tab/>
      </w:r>
      <w:r w:rsidR="0032608A" w:rsidRPr="007A6848">
        <w:t>S</w:t>
      </w:r>
      <w:r w:rsidR="00494E8C" w:rsidRPr="007A6848">
        <w:t>helf life</w:t>
      </w:r>
    </w:p>
    <w:p w14:paraId="2933D00C" w14:textId="77777777" w:rsidR="00CC2E0A" w:rsidRPr="00CC2E0A" w:rsidRDefault="00CC2E0A" w:rsidP="00235817">
      <w:pPr>
        <w:jc w:val="left"/>
        <w:rPr>
          <w:rFonts w:cs="Arial"/>
          <w:i/>
        </w:rPr>
      </w:pPr>
      <w:r w:rsidRPr="00CC2E0A">
        <w:rPr>
          <w:rFonts w:cs="Arial"/>
          <w:i/>
        </w:rPr>
        <w:t>Shelf Life before mixing</w:t>
      </w:r>
    </w:p>
    <w:p w14:paraId="39E24CB9" w14:textId="5D7E33EB" w:rsidR="00CC2E0A" w:rsidRDefault="007136C8" w:rsidP="00CC2E0A">
      <w:pPr>
        <w:jc w:val="left"/>
        <w:rPr>
          <w:rFonts w:cs="Arial"/>
        </w:rPr>
      </w:pPr>
      <w:r>
        <w:rPr>
          <w:rFonts w:cs="Arial"/>
        </w:rPr>
        <w:t>3</w:t>
      </w:r>
      <w:r w:rsidR="00C870D6" w:rsidRPr="00AB2092">
        <w:rPr>
          <w:rFonts w:cs="Arial"/>
        </w:rPr>
        <w:t xml:space="preserve"> years</w:t>
      </w:r>
      <w:r w:rsidR="00DE514D" w:rsidRPr="00AB2092">
        <w:rPr>
          <w:rFonts w:cs="Arial"/>
        </w:rPr>
        <w:t>.</w:t>
      </w:r>
      <w:r w:rsidR="00CC2E0A">
        <w:rPr>
          <w:rFonts w:cs="Arial"/>
        </w:rPr>
        <w:t xml:space="preserve"> </w:t>
      </w:r>
      <w:r w:rsidR="00CC2E0A" w:rsidRPr="002A7911">
        <w:rPr>
          <w:rFonts w:cs="Arial"/>
        </w:rPr>
        <w:t>The expiry date can be found on the packaging.</w:t>
      </w:r>
    </w:p>
    <w:p w14:paraId="20F84470" w14:textId="77777777" w:rsidR="00CC2E0A" w:rsidRDefault="00CC2E0A" w:rsidP="00235817">
      <w:pPr>
        <w:jc w:val="left"/>
        <w:rPr>
          <w:rFonts w:cs="Arial"/>
        </w:rPr>
      </w:pPr>
    </w:p>
    <w:p w14:paraId="5D3B3D59" w14:textId="5D2C58E8" w:rsidR="00CC2E0A" w:rsidRPr="00CC2E0A" w:rsidRDefault="00CC2E0A" w:rsidP="00235817">
      <w:pPr>
        <w:jc w:val="left"/>
        <w:rPr>
          <w:rFonts w:cs="Arial"/>
          <w:i/>
        </w:rPr>
      </w:pPr>
      <w:r w:rsidRPr="00CC2E0A">
        <w:rPr>
          <w:rFonts w:cs="Arial"/>
          <w:i/>
        </w:rPr>
        <w:t>Shelf Life after mixing</w:t>
      </w:r>
    </w:p>
    <w:p w14:paraId="095BA6FC" w14:textId="49FA390F" w:rsidR="00CC2E0A" w:rsidRDefault="00CC2E0A" w:rsidP="00235817">
      <w:pPr>
        <w:jc w:val="left"/>
        <w:rPr>
          <w:rFonts w:cs="Arial"/>
        </w:rPr>
      </w:pPr>
      <w:r>
        <w:rPr>
          <w:rFonts w:cs="Arial"/>
        </w:rPr>
        <w:t>Chemical and physical in-use stability of the mixed product has been demonstrated for 24 hours at 20-25°C.</w:t>
      </w:r>
    </w:p>
    <w:p w14:paraId="1F6BD961" w14:textId="50FDC26E" w:rsidR="00033124" w:rsidRDefault="00033124" w:rsidP="00235817">
      <w:pPr>
        <w:jc w:val="left"/>
        <w:rPr>
          <w:rFonts w:cs="Arial"/>
          <w:iCs/>
          <w:lang w:val="en-US"/>
        </w:rPr>
      </w:pPr>
      <w:r w:rsidRPr="002302F8">
        <w:rPr>
          <w:rFonts w:cs="Arial"/>
          <w:iCs/>
          <w:lang w:val="en-US"/>
        </w:rPr>
        <w:t>To reduce microbiological hazard, use as soon as practicable after dilution. If storage is necessary, hold at 2°-8°C for not more than 24 hours or 6 hours at room temperature</w:t>
      </w:r>
      <w:r>
        <w:rPr>
          <w:rFonts w:cs="Arial"/>
          <w:iCs/>
          <w:lang w:val="en-US"/>
        </w:rPr>
        <w:t>.</w:t>
      </w:r>
    </w:p>
    <w:p w14:paraId="3218DE6A" w14:textId="77777777" w:rsidR="00033124" w:rsidRPr="00033124" w:rsidRDefault="00033124" w:rsidP="00235817">
      <w:pPr>
        <w:jc w:val="left"/>
        <w:rPr>
          <w:rFonts w:cs="Arial"/>
        </w:rPr>
      </w:pPr>
    </w:p>
    <w:p w14:paraId="6D4AB312" w14:textId="391669A0" w:rsidR="00A801E5" w:rsidRPr="00AB2092" w:rsidRDefault="00BC3590" w:rsidP="00235817">
      <w:pPr>
        <w:pStyle w:val="Heading2"/>
        <w:jc w:val="left"/>
      </w:pPr>
      <w:r w:rsidRPr="00AB2092">
        <w:t>6.4</w:t>
      </w:r>
      <w:r w:rsidRPr="00AB2092">
        <w:tab/>
      </w:r>
      <w:r w:rsidR="0032608A" w:rsidRPr="00AB2092">
        <w:t>Special precautions for storage</w:t>
      </w:r>
    </w:p>
    <w:p w14:paraId="647F1A78" w14:textId="7FD26A2F" w:rsidR="0047501D" w:rsidRDefault="005A75AE" w:rsidP="00235817">
      <w:pPr>
        <w:jc w:val="left"/>
        <w:rPr>
          <w:rFonts w:cs="Arial"/>
          <w:lang w:val="en-GB"/>
        </w:rPr>
      </w:pPr>
      <w:r w:rsidRPr="00AB2092">
        <w:rPr>
          <w:rFonts w:cs="Arial"/>
          <w:lang w:val="en-GB"/>
        </w:rPr>
        <w:t>Store below 25</w:t>
      </w:r>
      <w:r w:rsidR="00DE514D" w:rsidRPr="00AB2092">
        <w:rPr>
          <w:rFonts w:cs="Arial"/>
          <w:lang w:val="en-GB"/>
        </w:rPr>
        <w:t>°</w:t>
      </w:r>
      <w:r w:rsidRPr="00AB2092">
        <w:rPr>
          <w:rFonts w:cs="Arial"/>
          <w:lang w:val="en-GB"/>
        </w:rPr>
        <w:t xml:space="preserve">C. </w:t>
      </w:r>
    </w:p>
    <w:p w14:paraId="69EBBAAD" w14:textId="55517691" w:rsidR="00CC2E0A" w:rsidRDefault="00CC2E0A" w:rsidP="00235817">
      <w:pPr>
        <w:jc w:val="left"/>
        <w:rPr>
          <w:rFonts w:cs="Arial"/>
          <w:lang w:val="en-GB"/>
        </w:rPr>
      </w:pPr>
      <w:r>
        <w:rPr>
          <w:rFonts w:cs="Arial"/>
          <w:lang w:val="en-GB"/>
        </w:rPr>
        <w:t>Do not use after the expiry date stated on the label.</w:t>
      </w:r>
    </w:p>
    <w:p w14:paraId="084F8957" w14:textId="40BF8B82" w:rsidR="001660A2" w:rsidRDefault="001660A2" w:rsidP="001660A2">
      <w:pPr>
        <w:jc w:val="left"/>
        <w:rPr>
          <w:rFonts w:cs="Arial"/>
          <w:lang w:val="en-GB"/>
        </w:rPr>
      </w:pPr>
      <w:r>
        <w:rPr>
          <w:rFonts w:cs="Arial"/>
          <w:lang w:val="en-GB"/>
        </w:rPr>
        <w:t>Product is for single use in one patient only. Discard any residue.</w:t>
      </w:r>
    </w:p>
    <w:p w14:paraId="4BEEC6BD" w14:textId="37C31428" w:rsidR="00A112A0" w:rsidRDefault="00A112A0" w:rsidP="00235817">
      <w:pPr>
        <w:jc w:val="left"/>
        <w:rPr>
          <w:rFonts w:cs="Arial"/>
          <w:lang w:val="en-GB"/>
        </w:rPr>
      </w:pPr>
    </w:p>
    <w:p w14:paraId="2F8A0D95" w14:textId="56D0BF81" w:rsidR="00A801E5" w:rsidRPr="007A6848" w:rsidRDefault="007F2E67" w:rsidP="00235817">
      <w:pPr>
        <w:pStyle w:val="Heading2"/>
        <w:tabs>
          <w:tab w:val="left" w:pos="426"/>
        </w:tabs>
        <w:ind w:left="0" w:firstLine="0"/>
        <w:jc w:val="left"/>
      </w:pPr>
      <w:r w:rsidRPr="007A6848">
        <w:t>6.5</w:t>
      </w:r>
      <w:r w:rsidRPr="007A6848">
        <w:tab/>
      </w:r>
      <w:r w:rsidR="0032608A" w:rsidRPr="007A6848">
        <w:t xml:space="preserve">Nature and contents of container </w:t>
      </w:r>
    </w:p>
    <w:p w14:paraId="7A7E1122" w14:textId="20091BCB" w:rsidR="00942EE6" w:rsidRDefault="00923A56" w:rsidP="00235817">
      <w:pPr>
        <w:jc w:val="left"/>
      </w:pPr>
      <w:r>
        <w:t>The product is contained in a 20 mL polypropylene ampoule.</w:t>
      </w:r>
    </w:p>
    <w:p w14:paraId="1BB87508" w14:textId="77777777" w:rsidR="00942EE6" w:rsidRDefault="00942EE6" w:rsidP="00235817">
      <w:pPr>
        <w:jc w:val="left"/>
      </w:pPr>
    </w:p>
    <w:p w14:paraId="6E1BBE9B" w14:textId="5866AF8D" w:rsidR="005A75AE" w:rsidRPr="007A6848" w:rsidRDefault="009453B5" w:rsidP="00235817">
      <w:pPr>
        <w:pStyle w:val="Heading3"/>
        <w:jc w:val="left"/>
      </w:pPr>
      <w:r>
        <w:t>Pack size</w:t>
      </w:r>
    </w:p>
    <w:p w14:paraId="6E401941" w14:textId="786AC93D" w:rsidR="00157DE2" w:rsidRDefault="00923A56" w:rsidP="00235817">
      <w:pPr>
        <w:jc w:val="left"/>
        <w:rPr>
          <w:rFonts w:cs="Arial"/>
          <w:lang w:val="en-GB"/>
        </w:rPr>
      </w:pPr>
      <w:r>
        <w:rPr>
          <w:rFonts w:cs="Arial"/>
          <w:lang w:val="en-GB"/>
        </w:rPr>
        <w:t xml:space="preserve">Box of </w:t>
      </w:r>
      <w:r w:rsidR="009453B5">
        <w:rPr>
          <w:rFonts w:cs="Arial"/>
          <w:lang w:val="en-GB"/>
        </w:rPr>
        <w:t>20 x 20 mL</w:t>
      </w:r>
      <w:r>
        <w:rPr>
          <w:rFonts w:cs="Arial"/>
          <w:lang w:val="en-GB"/>
        </w:rPr>
        <w:t xml:space="preserve"> ampoules</w:t>
      </w:r>
      <w:r w:rsidR="00913C97">
        <w:rPr>
          <w:rFonts w:cs="Arial"/>
          <w:lang w:val="en-GB"/>
        </w:rPr>
        <w:t xml:space="preserve">, </w:t>
      </w:r>
      <w:r w:rsidR="009453B5">
        <w:rPr>
          <w:rFonts w:cs="Arial"/>
          <w:lang w:val="en-GB"/>
        </w:rPr>
        <w:t xml:space="preserve">AUST R </w:t>
      </w:r>
      <w:r w:rsidR="004E5A67">
        <w:rPr>
          <w:rFonts w:cs="Arial"/>
          <w:lang w:val="en-GB"/>
        </w:rPr>
        <w:t>312021</w:t>
      </w:r>
    </w:p>
    <w:p w14:paraId="02075E89" w14:textId="77777777" w:rsidR="009453B5" w:rsidRDefault="009453B5" w:rsidP="00235817">
      <w:pPr>
        <w:jc w:val="left"/>
        <w:rPr>
          <w:rFonts w:cs="Arial"/>
          <w:lang w:val="en-GB"/>
        </w:rPr>
      </w:pPr>
    </w:p>
    <w:p w14:paraId="434FC7E0" w14:textId="5B3FBCDE" w:rsidR="00C42FD5" w:rsidRPr="007A6848" w:rsidRDefault="001A1ABD" w:rsidP="00235817">
      <w:pPr>
        <w:pStyle w:val="Heading2"/>
        <w:jc w:val="left"/>
      </w:pPr>
      <w:r w:rsidRPr="007A6848">
        <w:t>6.6</w:t>
      </w:r>
      <w:r w:rsidR="007F2E67" w:rsidRPr="007A6848">
        <w:tab/>
      </w:r>
      <w:r w:rsidR="0032608A" w:rsidRPr="007A6848">
        <w:t>S</w:t>
      </w:r>
      <w:r w:rsidR="00F379E6">
        <w:t>pecial precautions for disposal</w:t>
      </w:r>
    </w:p>
    <w:p w14:paraId="4D1C9FC2" w14:textId="52199BD3" w:rsidR="003962BF" w:rsidRDefault="00A84FF8" w:rsidP="003962BF">
      <w:pPr>
        <w:tabs>
          <w:tab w:val="left" w:pos="426"/>
        </w:tabs>
        <w:spacing w:line="240" w:lineRule="auto"/>
        <w:rPr>
          <w:rFonts w:cs="Arial"/>
        </w:rPr>
      </w:pPr>
      <w:bookmarkStart w:id="4" w:name="_Hlk24534733"/>
      <w:r>
        <w:rPr>
          <w:rFonts w:cs="Arial"/>
        </w:rPr>
        <w:t xml:space="preserve">For single use </w:t>
      </w:r>
      <w:r w:rsidR="00913C97">
        <w:rPr>
          <w:rFonts w:cs="Arial"/>
        </w:rPr>
        <w:t xml:space="preserve">in one patient </w:t>
      </w:r>
      <w:r>
        <w:rPr>
          <w:rFonts w:cs="Arial"/>
        </w:rPr>
        <w:t xml:space="preserve">only. </w:t>
      </w:r>
      <w:r w:rsidR="003962BF" w:rsidRPr="003962BF">
        <w:rPr>
          <w:rFonts w:cs="Arial"/>
        </w:rPr>
        <w:t xml:space="preserve">Any excess </w:t>
      </w:r>
      <w:r>
        <w:rPr>
          <w:rFonts w:cs="Arial"/>
        </w:rPr>
        <w:t xml:space="preserve">infusion </w:t>
      </w:r>
      <w:r w:rsidR="003962BF" w:rsidRPr="003962BF">
        <w:rPr>
          <w:rFonts w:cs="Arial"/>
        </w:rPr>
        <w:t>solution in an opened package must be discarded and must not be</w:t>
      </w:r>
      <w:r w:rsidR="00492521">
        <w:rPr>
          <w:rFonts w:cs="Arial"/>
        </w:rPr>
        <w:t xml:space="preserve"> kept</w:t>
      </w:r>
      <w:r w:rsidR="003962BF" w:rsidRPr="003962BF">
        <w:rPr>
          <w:rFonts w:cs="Arial"/>
        </w:rPr>
        <w:t xml:space="preserve"> for later use.</w:t>
      </w:r>
    </w:p>
    <w:bookmarkEnd w:id="4"/>
    <w:p w14:paraId="6CD2278D" w14:textId="77777777" w:rsidR="003962BF" w:rsidRPr="00325010" w:rsidRDefault="003962BF" w:rsidP="003962BF">
      <w:pPr>
        <w:tabs>
          <w:tab w:val="left" w:pos="426"/>
        </w:tabs>
        <w:spacing w:line="240" w:lineRule="auto"/>
        <w:rPr>
          <w:rFonts w:cs="Arial"/>
        </w:rPr>
      </w:pPr>
    </w:p>
    <w:p w14:paraId="686D929C" w14:textId="77777777" w:rsidR="00075557" w:rsidRPr="00075557" w:rsidRDefault="00075557" w:rsidP="00235817">
      <w:pPr>
        <w:pStyle w:val="Heading3"/>
        <w:jc w:val="left"/>
      </w:pPr>
      <w:r w:rsidRPr="00075557">
        <w:t>Disposal</w:t>
      </w:r>
    </w:p>
    <w:p w14:paraId="4E9E5B4A" w14:textId="160FF8B8" w:rsidR="00075557" w:rsidRDefault="00CE14E1" w:rsidP="00235817">
      <w:pPr>
        <w:tabs>
          <w:tab w:val="left" w:pos="426"/>
        </w:tabs>
        <w:spacing w:line="240" w:lineRule="auto"/>
        <w:jc w:val="left"/>
        <w:rPr>
          <w:rFonts w:cs="Arial"/>
        </w:rPr>
      </w:pPr>
      <w:r w:rsidRPr="009453B5">
        <w:rPr>
          <w:rFonts w:cs="Arial"/>
        </w:rPr>
        <w:t>In Australia, a</w:t>
      </w:r>
      <w:r w:rsidR="00075557" w:rsidRPr="009453B5">
        <w:rPr>
          <w:rFonts w:cs="Arial"/>
        </w:rPr>
        <w:t>ny unused medicinal product or waste material should be disposed in accordance with local requirement.</w:t>
      </w:r>
    </w:p>
    <w:p w14:paraId="728F04A1" w14:textId="73B804B2" w:rsidR="00537D07" w:rsidRDefault="00537D07" w:rsidP="00235817">
      <w:pPr>
        <w:tabs>
          <w:tab w:val="left" w:pos="426"/>
        </w:tabs>
        <w:spacing w:line="240" w:lineRule="auto"/>
        <w:jc w:val="left"/>
        <w:rPr>
          <w:rFonts w:cs="Arial"/>
        </w:rPr>
      </w:pPr>
    </w:p>
    <w:p w14:paraId="1D02B41D" w14:textId="773F0924" w:rsidR="00A801E5" w:rsidRPr="0020497B" w:rsidRDefault="007F2E67" w:rsidP="00235817">
      <w:pPr>
        <w:pStyle w:val="Heading2"/>
        <w:jc w:val="left"/>
      </w:pPr>
      <w:r w:rsidRPr="0020497B">
        <w:t>6.7</w:t>
      </w:r>
      <w:r w:rsidRPr="0020497B">
        <w:tab/>
      </w:r>
      <w:r w:rsidR="00C42FD5" w:rsidRPr="0020497B">
        <w:t>Physicochemical properties</w:t>
      </w:r>
    </w:p>
    <w:p w14:paraId="0BC48C56" w14:textId="77777777" w:rsidR="00C42FD5" w:rsidRPr="0020497B" w:rsidRDefault="00C42FD5" w:rsidP="00235817">
      <w:pPr>
        <w:pStyle w:val="Heading3"/>
        <w:jc w:val="left"/>
      </w:pPr>
      <w:r w:rsidRPr="0020497B">
        <w:t>Chemical structure</w:t>
      </w:r>
    </w:p>
    <w:p w14:paraId="609B22DA" w14:textId="6CC34FE0" w:rsidR="005F63C8" w:rsidRDefault="005F63C8" w:rsidP="00537D07">
      <w:r w:rsidRPr="0020497B">
        <w:t>Sodium glycerophosphate</w:t>
      </w:r>
      <w:r w:rsidR="003F110E" w:rsidRPr="0020497B">
        <w:t xml:space="preserve"> hydrate</w:t>
      </w:r>
    </w:p>
    <w:p w14:paraId="1BDC4541" w14:textId="25AE2453" w:rsidR="004E5A67" w:rsidRPr="0020497B" w:rsidRDefault="004E5A67" w:rsidP="00537D07">
      <w:r>
        <w:rPr>
          <w:noProof/>
          <w:lang w:val="en-AU" w:eastAsia="en-AU"/>
        </w:rPr>
        <w:drawing>
          <wp:inline distT="0" distB="0" distL="0" distR="0" wp14:anchorId="24B441AC" wp14:editId="090C813E">
            <wp:extent cx="3571059" cy="1131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7886" cy="1133733"/>
                    </a:xfrm>
                    <a:prstGeom prst="rect">
                      <a:avLst/>
                    </a:prstGeom>
                  </pic:spPr>
                </pic:pic>
              </a:graphicData>
            </a:graphic>
          </wp:inline>
        </w:drawing>
      </w:r>
    </w:p>
    <w:p w14:paraId="276C8992" w14:textId="6BB8EE4E" w:rsidR="000677B8" w:rsidRPr="0020497B" w:rsidRDefault="000677B8" w:rsidP="00235817">
      <w:pPr>
        <w:tabs>
          <w:tab w:val="left" w:pos="426"/>
        </w:tabs>
        <w:spacing w:line="240" w:lineRule="auto"/>
        <w:jc w:val="left"/>
        <w:rPr>
          <w:rFonts w:cs="Arial"/>
        </w:rPr>
      </w:pPr>
      <w:r w:rsidRPr="0020497B">
        <w:rPr>
          <w:rFonts w:cs="Arial"/>
        </w:rPr>
        <w:t>Empirical formula:</w:t>
      </w:r>
      <w:r w:rsidR="003D3250" w:rsidRPr="0020497B">
        <w:rPr>
          <w:rFonts w:cs="Arial"/>
        </w:rPr>
        <w:tab/>
      </w:r>
      <w:r w:rsidR="004C7774" w:rsidRPr="0020497B">
        <w:rPr>
          <w:rFonts w:cs="Arial"/>
          <w:color w:val="000000"/>
        </w:rPr>
        <w:t>C</w:t>
      </w:r>
      <w:r w:rsidR="004C7774" w:rsidRPr="0020497B">
        <w:rPr>
          <w:rFonts w:cs="Arial"/>
          <w:color w:val="000000"/>
          <w:vertAlign w:val="subscript"/>
        </w:rPr>
        <w:t>3</w:t>
      </w:r>
      <w:r w:rsidR="004C7774" w:rsidRPr="0020497B">
        <w:rPr>
          <w:rFonts w:cs="Arial"/>
          <w:color w:val="000000"/>
        </w:rPr>
        <w:t>H</w:t>
      </w:r>
      <w:r w:rsidR="00EF08BD">
        <w:rPr>
          <w:rFonts w:cs="Arial"/>
          <w:color w:val="000000"/>
          <w:vertAlign w:val="subscript"/>
        </w:rPr>
        <w:t>7</w:t>
      </w:r>
      <w:r w:rsidR="004C7774" w:rsidRPr="0020497B">
        <w:rPr>
          <w:rFonts w:cs="Arial"/>
          <w:color w:val="000000"/>
        </w:rPr>
        <w:t>Na</w:t>
      </w:r>
      <w:r w:rsidR="004C7774" w:rsidRPr="0020497B">
        <w:rPr>
          <w:rFonts w:cs="Arial"/>
          <w:color w:val="000000"/>
          <w:vertAlign w:val="subscript"/>
        </w:rPr>
        <w:t>2</w:t>
      </w:r>
      <w:r w:rsidR="004C7774" w:rsidRPr="0020497B">
        <w:rPr>
          <w:rFonts w:cs="Arial"/>
          <w:color w:val="000000"/>
        </w:rPr>
        <w:t>O</w:t>
      </w:r>
      <w:r w:rsidR="00EF08BD">
        <w:rPr>
          <w:rFonts w:cs="Arial"/>
          <w:color w:val="000000"/>
          <w:vertAlign w:val="subscript"/>
        </w:rPr>
        <w:t>6</w:t>
      </w:r>
      <w:r w:rsidR="004C7774" w:rsidRPr="0020497B">
        <w:rPr>
          <w:rFonts w:cs="Arial"/>
          <w:color w:val="000000"/>
        </w:rPr>
        <w:t>P</w:t>
      </w:r>
      <w:r w:rsidR="00EF08BD">
        <w:rPr>
          <w:rFonts w:cs="Arial"/>
          <w:color w:val="000000"/>
        </w:rPr>
        <w:t>, x H</w:t>
      </w:r>
      <w:r w:rsidR="00EF08BD" w:rsidRPr="002302F8">
        <w:rPr>
          <w:rFonts w:cs="Arial"/>
          <w:color w:val="000000"/>
          <w:vertAlign w:val="subscript"/>
        </w:rPr>
        <w:t>2</w:t>
      </w:r>
      <w:r w:rsidR="00EF08BD">
        <w:rPr>
          <w:rFonts w:cs="Arial"/>
          <w:color w:val="000000"/>
        </w:rPr>
        <w:t>O where the degree of hydration (x) = 4 to 6</w:t>
      </w:r>
    </w:p>
    <w:p w14:paraId="09E66E80" w14:textId="56CB1EB3" w:rsidR="000677B8" w:rsidRPr="0020497B" w:rsidRDefault="000677B8" w:rsidP="00235817">
      <w:pPr>
        <w:tabs>
          <w:tab w:val="left" w:pos="426"/>
        </w:tabs>
        <w:spacing w:line="240" w:lineRule="auto"/>
        <w:jc w:val="left"/>
        <w:rPr>
          <w:rFonts w:cs="Arial"/>
        </w:rPr>
      </w:pPr>
      <w:r w:rsidRPr="0020497B">
        <w:rPr>
          <w:rFonts w:cs="Arial"/>
        </w:rPr>
        <w:t>Molecular weight:</w:t>
      </w:r>
      <w:r w:rsidR="003D3250" w:rsidRPr="0020497B">
        <w:rPr>
          <w:rFonts w:cs="Arial"/>
        </w:rPr>
        <w:tab/>
      </w:r>
      <w:r w:rsidR="005A68EC" w:rsidRPr="0020497B">
        <w:rPr>
          <w:rFonts w:cs="Arial"/>
        </w:rPr>
        <w:t>234.05</w:t>
      </w:r>
      <w:r w:rsidR="004C7774" w:rsidRPr="0020497B">
        <w:rPr>
          <w:rFonts w:eastAsia="Times New Roman" w:cs="Arial"/>
          <w:color w:val="222222"/>
          <w:lang w:val="en-AU" w:eastAsia="en-AU"/>
        </w:rPr>
        <w:t xml:space="preserve"> g/mol</w:t>
      </w:r>
      <w:r w:rsidR="005D6978">
        <w:rPr>
          <w:rFonts w:eastAsia="Times New Roman" w:cs="Arial"/>
          <w:color w:val="222222"/>
          <w:lang w:val="en-AU" w:eastAsia="en-AU"/>
        </w:rPr>
        <w:t xml:space="preserve"> (hydrated); 216.05 g/mol (anhydrous)</w:t>
      </w:r>
    </w:p>
    <w:p w14:paraId="3CC02A6F" w14:textId="77777777" w:rsidR="000677B8" w:rsidRPr="0020497B" w:rsidRDefault="000677B8" w:rsidP="00235817">
      <w:pPr>
        <w:tabs>
          <w:tab w:val="left" w:pos="426"/>
        </w:tabs>
        <w:spacing w:line="240" w:lineRule="auto"/>
        <w:jc w:val="left"/>
        <w:rPr>
          <w:rFonts w:cs="Arial"/>
        </w:rPr>
      </w:pPr>
    </w:p>
    <w:p w14:paraId="0EF810E7" w14:textId="706785D5" w:rsidR="00C42FD5" w:rsidRPr="0020497B" w:rsidRDefault="00C42FD5" w:rsidP="00235817">
      <w:pPr>
        <w:pStyle w:val="Heading3"/>
        <w:jc w:val="left"/>
      </w:pPr>
      <w:r w:rsidRPr="0020497B">
        <w:t>CAS number</w:t>
      </w:r>
    </w:p>
    <w:p w14:paraId="1EA8C7C8" w14:textId="06450FA4" w:rsidR="00B00767" w:rsidRPr="0020497B" w:rsidRDefault="00B00767" w:rsidP="00235817">
      <w:pPr>
        <w:jc w:val="left"/>
        <w:rPr>
          <w:rFonts w:cs="Arial"/>
        </w:rPr>
      </w:pPr>
      <w:r w:rsidRPr="0020497B">
        <w:rPr>
          <w:rFonts w:cs="Arial"/>
        </w:rPr>
        <w:t>55074-41-1 (hydrated)</w:t>
      </w:r>
    </w:p>
    <w:p w14:paraId="278F8E4B" w14:textId="4E8EC706" w:rsidR="008F45D7" w:rsidRDefault="005A68EC" w:rsidP="00235817">
      <w:pPr>
        <w:jc w:val="left"/>
        <w:rPr>
          <w:rFonts w:cs="Arial"/>
        </w:rPr>
      </w:pPr>
      <w:r w:rsidRPr="0020497B">
        <w:rPr>
          <w:rFonts w:cs="Arial"/>
        </w:rPr>
        <w:t>1334-74-3</w:t>
      </w:r>
      <w:r w:rsidR="00B00767" w:rsidRPr="0020497B">
        <w:rPr>
          <w:rFonts w:cs="Arial"/>
        </w:rPr>
        <w:t xml:space="preserve"> (anhydrous)</w:t>
      </w:r>
    </w:p>
    <w:p w14:paraId="7C3715E5" w14:textId="77777777" w:rsidR="005A68EC" w:rsidRPr="007A6848" w:rsidRDefault="005A68EC" w:rsidP="00235817">
      <w:pPr>
        <w:jc w:val="left"/>
        <w:rPr>
          <w:rFonts w:cs="Arial"/>
        </w:rPr>
      </w:pPr>
    </w:p>
    <w:p w14:paraId="5822F7A0" w14:textId="32818F48" w:rsidR="00A801E5" w:rsidRPr="008E75D2" w:rsidRDefault="007F2E67" w:rsidP="00235817">
      <w:pPr>
        <w:pStyle w:val="Heading1"/>
        <w:jc w:val="left"/>
      </w:pPr>
      <w:r w:rsidRPr="008E75D2">
        <w:t>7</w:t>
      </w:r>
      <w:r w:rsidR="003642F0" w:rsidRPr="008E75D2">
        <w:t>.</w:t>
      </w:r>
      <w:r w:rsidRPr="008E75D2">
        <w:tab/>
      </w:r>
      <w:r w:rsidR="00584696" w:rsidRPr="008E75D2">
        <w:t>MEDICINE SCHEDULE</w:t>
      </w:r>
      <w:r w:rsidR="00164B93" w:rsidRPr="008E75D2">
        <w:t xml:space="preserve"> (POISONS STANDARD) </w:t>
      </w:r>
    </w:p>
    <w:p w14:paraId="3F3722EC" w14:textId="7E26AE04" w:rsidR="005B0C42" w:rsidRPr="007A6848" w:rsidRDefault="00B12B64" w:rsidP="00235817">
      <w:pPr>
        <w:jc w:val="left"/>
        <w:rPr>
          <w:rFonts w:cs="Arial"/>
        </w:rPr>
      </w:pPr>
      <w:r>
        <w:rPr>
          <w:rFonts w:cs="Arial"/>
        </w:rPr>
        <w:t xml:space="preserve">Australia: </w:t>
      </w:r>
      <w:r w:rsidR="00164B93" w:rsidRPr="008E75D2">
        <w:rPr>
          <w:rFonts w:cs="Arial"/>
        </w:rPr>
        <w:t>Not S</w:t>
      </w:r>
      <w:r w:rsidR="00C11691" w:rsidRPr="008E75D2">
        <w:rPr>
          <w:rFonts w:cs="Arial"/>
        </w:rPr>
        <w:t>cheduled.</w:t>
      </w:r>
      <w:r w:rsidR="00257C86" w:rsidRPr="00257C86">
        <w:rPr>
          <w:rFonts w:cs="Arial"/>
        </w:rPr>
        <w:t xml:space="preserve"> </w:t>
      </w:r>
    </w:p>
    <w:p w14:paraId="2B38D827" w14:textId="31936E75" w:rsidR="008F45D7" w:rsidRDefault="00B12B64" w:rsidP="00235817">
      <w:pPr>
        <w:jc w:val="left"/>
        <w:rPr>
          <w:rFonts w:cs="Arial"/>
        </w:rPr>
      </w:pPr>
      <w:r w:rsidRPr="00B12B64">
        <w:rPr>
          <w:rFonts w:cs="Arial"/>
        </w:rPr>
        <w:t>New Zealand: General Sale Medicine</w:t>
      </w:r>
    </w:p>
    <w:p w14:paraId="00014038" w14:textId="77777777" w:rsidR="007037EC" w:rsidRPr="007A6848" w:rsidRDefault="007037EC" w:rsidP="00235817">
      <w:pPr>
        <w:jc w:val="left"/>
        <w:rPr>
          <w:rFonts w:cs="Arial"/>
        </w:rPr>
      </w:pPr>
    </w:p>
    <w:p w14:paraId="5A4E0DE4" w14:textId="4117C884" w:rsidR="00A801E5" w:rsidRPr="007A6848" w:rsidRDefault="007F2E67" w:rsidP="00235817">
      <w:pPr>
        <w:pStyle w:val="Heading1"/>
        <w:jc w:val="left"/>
      </w:pPr>
      <w:r w:rsidRPr="007A6848">
        <w:t>8</w:t>
      </w:r>
      <w:r w:rsidR="003642F0" w:rsidRPr="007A6848">
        <w:t>.</w:t>
      </w:r>
      <w:r w:rsidRPr="007A6848">
        <w:tab/>
      </w:r>
      <w:r w:rsidR="00584696" w:rsidRPr="007A6848">
        <w:t>SPONSOR</w:t>
      </w:r>
    </w:p>
    <w:p w14:paraId="100F2B6F" w14:textId="77777777" w:rsidR="00C11691" w:rsidRPr="008E75D2" w:rsidRDefault="00C11691" w:rsidP="00235817">
      <w:pPr>
        <w:jc w:val="left"/>
        <w:rPr>
          <w:rFonts w:cs="Arial"/>
        </w:rPr>
      </w:pPr>
      <w:r w:rsidRPr="008E75D2">
        <w:rPr>
          <w:rFonts w:cs="Arial"/>
        </w:rPr>
        <w:t>Fresenius Kabi Australia Pty Limited</w:t>
      </w:r>
    </w:p>
    <w:p w14:paraId="3101F1E1" w14:textId="77777777" w:rsidR="00C11691" w:rsidRPr="008E75D2" w:rsidRDefault="00C11691" w:rsidP="00235817">
      <w:pPr>
        <w:jc w:val="left"/>
        <w:rPr>
          <w:rFonts w:cs="Arial"/>
        </w:rPr>
      </w:pPr>
      <w:r w:rsidRPr="008E75D2">
        <w:rPr>
          <w:rFonts w:cs="Arial"/>
        </w:rPr>
        <w:t xml:space="preserve">Level 2, 2 Woodland Way </w:t>
      </w:r>
    </w:p>
    <w:p w14:paraId="32A91330" w14:textId="77777777" w:rsidR="00C11691" w:rsidRPr="008E75D2" w:rsidRDefault="00C11691" w:rsidP="00235817">
      <w:pPr>
        <w:jc w:val="left"/>
        <w:rPr>
          <w:rFonts w:cs="Arial"/>
        </w:rPr>
      </w:pPr>
      <w:r w:rsidRPr="008E75D2">
        <w:rPr>
          <w:rFonts w:cs="Arial"/>
        </w:rPr>
        <w:t xml:space="preserve">Mount Kuring-gai, NSW 2080 </w:t>
      </w:r>
    </w:p>
    <w:p w14:paraId="1B51F919" w14:textId="3BD32124" w:rsidR="00C11691" w:rsidRPr="008E75D2" w:rsidRDefault="00C11691" w:rsidP="00235817">
      <w:pPr>
        <w:jc w:val="left"/>
        <w:rPr>
          <w:rFonts w:cs="Arial"/>
        </w:rPr>
      </w:pPr>
      <w:r w:rsidRPr="008E75D2">
        <w:rPr>
          <w:rFonts w:cs="Arial"/>
        </w:rPr>
        <w:t>Australia</w:t>
      </w:r>
      <w:r w:rsidR="00EF08BD">
        <w:rPr>
          <w:rFonts w:cs="Arial"/>
        </w:rPr>
        <w:t>.</w:t>
      </w:r>
    </w:p>
    <w:p w14:paraId="565F6CF8" w14:textId="50D06392" w:rsidR="008F45D7" w:rsidRDefault="008F45D7" w:rsidP="00235817">
      <w:pPr>
        <w:jc w:val="left"/>
        <w:rPr>
          <w:rFonts w:cs="Arial"/>
        </w:rPr>
      </w:pPr>
    </w:p>
    <w:p w14:paraId="7A499EF7" w14:textId="77777777" w:rsidR="00B12B64" w:rsidRPr="00322BB0" w:rsidRDefault="00B12B64" w:rsidP="00B12B64">
      <w:pPr>
        <w:rPr>
          <w:rFonts w:cs="Helvetica"/>
        </w:rPr>
      </w:pPr>
      <w:r w:rsidRPr="00322BB0">
        <w:rPr>
          <w:rFonts w:cs="Helvetica"/>
        </w:rPr>
        <w:t xml:space="preserve">Fresenius Kabi New Zealand Limited </w:t>
      </w:r>
    </w:p>
    <w:p w14:paraId="7564613D" w14:textId="77777777" w:rsidR="00B12B64" w:rsidRPr="00322BB0" w:rsidRDefault="00B12B64" w:rsidP="00B12B64">
      <w:pPr>
        <w:rPr>
          <w:rFonts w:cs="Helvetica"/>
        </w:rPr>
      </w:pPr>
      <w:r w:rsidRPr="00322BB0">
        <w:rPr>
          <w:rFonts w:cs="Helvetica"/>
        </w:rPr>
        <w:t>60 Pavilion Drive</w:t>
      </w:r>
    </w:p>
    <w:p w14:paraId="26F35693" w14:textId="77777777" w:rsidR="00B12B64" w:rsidRPr="00322BB0" w:rsidRDefault="00B12B64" w:rsidP="00B12B64">
      <w:pPr>
        <w:rPr>
          <w:rFonts w:cs="Helvetica"/>
        </w:rPr>
      </w:pPr>
      <w:r>
        <w:rPr>
          <w:rFonts w:cs="Helvetica"/>
        </w:rPr>
        <w:t>Mangere</w:t>
      </w:r>
      <w:r w:rsidRPr="00322BB0">
        <w:rPr>
          <w:rFonts w:cs="Helvetica"/>
        </w:rPr>
        <w:t>, Auckland 2022</w:t>
      </w:r>
    </w:p>
    <w:p w14:paraId="604D1127" w14:textId="77777777" w:rsidR="00B12B64" w:rsidRPr="00322BB0" w:rsidRDefault="00B12B64" w:rsidP="00B12B64">
      <w:pPr>
        <w:rPr>
          <w:rFonts w:cs="Helvetica"/>
        </w:rPr>
      </w:pPr>
      <w:r w:rsidRPr="00322BB0">
        <w:rPr>
          <w:rFonts w:cs="Helvetica"/>
        </w:rPr>
        <w:t>New Zealand</w:t>
      </w:r>
      <w:r>
        <w:rPr>
          <w:rFonts w:cs="Helvetica"/>
        </w:rPr>
        <w:t>.</w:t>
      </w:r>
    </w:p>
    <w:p w14:paraId="6588AD75" w14:textId="4864ED6F" w:rsidR="00B12B64" w:rsidRPr="008E75D2" w:rsidRDefault="00B12B64" w:rsidP="00235817">
      <w:pPr>
        <w:jc w:val="left"/>
        <w:rPr>
          <w:rFonts w:cs="Arial"/>
        </w:rPr>
      </w:pPr>
    </w:p>
    <w:p w14:paraId="0DAD06F5" w14:textId="48744D63" w:rsidR="00A801E5" w:rsidRPr="008E75D2" w:rsidRDefault="007F2E67" w:rsidP="00235817">
      <w:pPr>
        <w:pStyle w:val="Heading1"/>
        <w:jc w:val="left"/>
      </w:pPr>
      <w:r w:rsidRPr="008E75D2">
        <w:t>9</w:t>
      </w:r>
      <w:r w:rsidR="003642F0" w:rsidRPr="008E75D2">
        <w:t>.</w:t>
      </w:r>
      <w:r w:rsidRPr="008E75D2">
        <w:tab/>
      </w:r>
      <w:r w:rsidR="00584696" w:rsidRPr="008E75D2">
        <w:t>DATE OF FIRST APPROVAL</w:t>
      </w:r>
    </w:p>
    <w:p w14:paraId="6D13D559" w14:textId="69E80131" w:rsidR="008F45D7" w:rsidRPr="008E75D2" w:rsidRDefault="00B674A8" w:rsidP="00235817">
      <w:pPr>
        <w:jc w:val="left"/>
        <w:rPr>
          <w:rFonts w:cs="Arial"/>
        </w:rPr>
      </w:pPr>
      <w:r>
        <w:rPr>
          <w:rFonts w:cs="Arial"/>
        </w:rPr>
        <w:t>14 November 2019</w:t>
      </w:r>
    </w:p>
    <w:p w14:paraId="7D68951C" w14:textId="77777777" w:rsidR="004D2121" w:rsidRPr="008E75D2" w:rsidRDefault="004D2121" w:rsidP="00235817">
      <w:pPr>
        <w:jc w:val="left"/>
        <w:rPr>
          <w:rFonts w:cs="Arial"/>
        </w:rPr>
      </w:pPr>
    </w:p>
    <w:p w14:paraId="454781AB" w14:textId="29CF902C" w:rsidR="00A801E5" w:rsidRPr="008E75D2" w:rsidRDefault="007F2E67" w:rsidP="00235817">
      <w:pPr>
        <w:pStyle w:val="Heading1"/>
        <w:jc w:val="left"/>
      </w:pPr>
      <w:r w:rsidRPr="008E75D2">
        <w:t>10</w:t>
      </w:r>
      <w:r w:rsidR="003642F0" w:rsidRPr="008E75D2">
        <w:t>.</w:t>
      </w:r>
      <w:r w:rsidRPr="008E75D2">
        <w:tab/>
      </w:r>
      <w:r w:rsidR="00187E1A" w:rsidRPr="008E75D2">
        <w:t>DATE OF REVISION</w:t>
      </w:r>
    </w:p>
    <w:p w14:paraId="4EE6B59B" w14:textId="0482B4B5" w:rsidR="00C11691" w:rsidRPr="008E75D2" w:rsidRDefault="004D2121" w:rsidP="00235817">
      <w:pPr>
        <w:jc w:val="left"/>
        <w:rPr>
          <w:rFonts w:cs="Arial"/>
        </w:rPr>
      </w:pPr>
      <w:r w:rsidRPr="008E75D2">
        <w:rPr>
          <w:rFonts w:cs="Arial"/>
        </w:rPr>
        <w:t>Not applicable</w:t>
      </w:r>
    </w:p>
    <w:p w14:paraId="0ACFFDBA" w14:textId="77777777" w:rsidR="00097FD0" w:rsidRPr="008E75D2" w:rsidRDefault="00097FD0" w:rsidP="008F45D7">
      <w:pPr>
        <w:rPr>
          <w:rFonts w:cs="Arial"/>
        </w:rPr>
      </w:pPr>
    </w:p>
    <w:p w14:paraId="75D95508" w14:textId="2399FEC8" w:rsidR="002E18E1" w:rsidRPr="008E75D2" w:rsidRDefault="002E18E1" w:rsidP="00325010">
      <w:pPr>
        <w:keepNext/>
        <w:keepLines/>
        <w:tabs>
          <w:tab w:val="left" w:pos="426"/>
        </w:tabs>
        <w:spacing w:before="120" w:after="120"/>
        <w:rPr>
          <w:rFonts w:cs="Arial"/>
          <w:b/>
        </w:rPr>
      </w:pPr>
      <w:r w:rsidRPr="008E75D2">
        <w:rPr>
          <w:rFonts w:cs="Arial"/>
          <w:b/>
        </w:rPr>
        <w:lastRenderedPageBreak/>
        <w:t>Summary table of changes</w:t>
      </w:r>
      <w:r w:rsidR="00EF430A" w:rsidRPr="008E75D2">
        <w:rPr>
          <w:rFonts w:cs="Arial"/>
          <w:b/>
        </w:rPr>
        <w:t>:</w:t>
      </w:r>
    </w:p>
    <w:tbl>
      <w:tblPr>
        <w:tblStyle w:val="TableGrid"/>
        <w:tblW w:w="9634" w:type="dxa"/>
        <w:tblLook w:val="04A0" w:firstRow="1" w:lastRow="0" w:firstColumn="1" w:lastColumn="0" w:noHBand="0" w:noVBand="1"/>
      </w:tblPr>
      <w:tblGrid>
        <w:gridCol w:w="2198"/>
        <w:gridCol w:w="7436"/>
      </w:tblGrid>
      <w:tr w:rsidR="002E18E1" w:rsidRPr="008E75D2" w14:paraId="589C5021" w14:textId="77777777" w:rsidTr="004D2121">
        <w:trPr>
          <w:trHeight w:val="340"/>
          <w:tblHeader/>
        </w:trPr>
        <w:tc>
          <w:tcPr>
            <w:tcW w:w="2198" w:type="dxa"/>
            <w:vAlign w:val="center"/>
          </w:tcPr>
          <w:p w14:paraId="2DA00DAB" w14:textId="1C58BFB6" w:rsidR="002E18E1" w:rsidRPr="008E75D2" w:rsidRDefault="002E18E1" w:rsidP="00325010">
            <w:pPr>
              <w:keepNext/>
              <w:keepLines/>
              <w:tabs>
                <w:tab w:val="left" w:pos="426"/>
              </w:tabs>
              <w:jc w:val="left"/>
              <w:rPr>
                <w:rFonts w:cs="Arial"/>
                <w:b/>
              </w:rPr>
            </w:pPr>
            <w:r w:rsidRPr="008E75D2">
              <w:rPr>
                <w:rFonts w:cs="Arial"/>
                <w:b/>
              </w:rPr>
              <w:t xml:space="preserve">Section </w:t>
            </w:r>
            <w:r w:rsidR="004D2121" w:rsidRPr="008E75D2">
              <w:rPr>
                <w:rFonts w:cs="Arial"/>
                <w:b/>
              </w:rPr>
              <w:t>c</w:t>
            </w:r>
            <w:r w:rsidRPr="008E75D2">
              <w:rPr>
                <w:rFonts w:cs="Arial"/>
                <w:b/>
              </w:rPr>
              <w:t>hanged</w:t>
            </w:r>
          </w:p>
        </w:tc>
        <w:tc>
          <w:tcPr>
            <w:tcW w:w="7436" w:type="dxa"/>
            <w:vAlign w:val="center"/>
          </w:tcPr>
          <w:p w14:paraId="7039130A" w14:textId="77777777" w:rsidR="002E18E1" w:rsidRPr="008E75D2" w:rsidRDefault="002E18E1" w:rsidP="00325010">
            <w:pPr>
              <w:keepNext/>
              <w:keepLines/>
              <w:tabs>
                <w:tab w:val="left" w:pos="426"/>
              </w:tabs>
              <w:jc w:val="left"/>
              <w:rPr>
                <w:rFonts w:cs="Arial"/>
                <w:b/>
              </w:rPr>
            </w:pPr>
            <w:r w:rsidRPr="008E75D2">
              <w:rPr>
                <w:rFonts w:cs="Arial"/>
                <w:b/>
              </w:rPr>
              <w:t>Summary of new information</w:t>
            </w:r>
          </w:p>
        </w:tc>
      </w:tr>
      <w:tr w:rsidR="002E18E1" w:rsidRPr="007A6848" w14:paraId="24A1807E" w14:textId="77777777" w:rsidTr="004D2121">
        <w:trPr>
          <w:trHeight w:val="340"/>
        </w:trPr>
        <w:tc>
          <w:tcPr>
            <w:tcW w:w="2198" w:type="dxa"/>
            <w:vAlign w:val="center"/>
          </w:tcPr>
          <w:p w14:paraId="7FBAF899" w14:textId="6BFBAB24" w:rsidR="002E18E1" w:rsidRPr="008E75D2" w:rsidRDefault="009B0158" w:rsidP="00325010">
            <w:pPr>
              <w:keepNext/>
              <w:keepLines/>
              <w:jc w:val="left"/>
              <w:rPr>
                <w:rFonts w:cs="Arial"/>
                <w:b/>
              </w:rPr>
            </w:pPr>
            <w:r w:rsidRPr="008E75D2">
              <w:rPr>
                <w:rFonts w:cs="Arial"/>
                <w:b/>
              </w:rPr>
              <w:t>N/A</w:t>
            </w:r>
          </w:p>
        </w:tc>
        <w:tc>
          <w:tcPr>
            <w:tcW w:w="7436" w:type="dxa"/>
            <w:vAlign w:val="center"/>
          </w:tcPr>
          <w:p w14:paraId="42DFF407" w14:textId="1797087A" w:rsidR="002E18E1" w:rsidRPr="008E75D2" w:rsidRDefault="009B0158" w:rsidP="00325010">
            <w:pPr>
              <w:keepNext/>
              <w:keepLines/>
              <w:jc w:val="left"/>
              <w:rPr>
                <w:rFonts w:cs="Arial"/>
              </w:rPr>
            </w:pPr>
            <w:r w:rsidRPr="008E75D2">
              <w:rPr>
                <w:rFonts w:cs="Arial"/>
              </w:rPr>
              <w:t xml:space="preserve">New </w:t>
            </w:r>
            <w:r w:rsidR="004D2121" w:rsidRPr="008E75D2">
              <w:rPr>
                <w:rFonts w:cs="Arial"/>
              </w:rPr>
              <w:t xml:space="preserve">Australian </w:t>
            </w:r>
            <w:r w:rsidRPr="008E75D2">
              <w:rPr>
                <w:rFonts w:cs="Arial"/>
              </w:rPr>
              <w:t>Product Information</w:t>
            </w:r>
          </w:p>
        </w:tc>
      </w:tr>
    </w:tbl>
    <w:p w14:paraId="7487D0B0" w14:textId="49AE818F" w:rsidR="00CF3F89" w:rsidRPr="00F379E6" w:rsidRDefault="00CF3F89" w:rsidP="00F379E6">
      <w:pPr>
        <w:tabs>
          <w:tab w:val="left" w:pos="426"/>
        </w:tabs>
        <w:rPr>
          <w:rFonts w:cs="Arial"/>
          <w:lang w:val="en-GB"/>
        </w:rPr>
      </w:pPr>
      <w:bookmarkStart w:id="5" w:name="_GoBack"/>
      <w:bookmarkEnd w:id="5"/>
    </w:p>
    <w:sectPr w:rsidR="00CF3F89" w:rsidRPr="00F379E6" w:rsidSect="008459BC">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276"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2E749" w14:textId="77777777" w:rsidR="00572183" w:rsidRDefault="00572183" w:rsidP="00245127">
      <w:pPr>
        <w:spacing w:line="240" w:lineRule="auto"/>
      </w:pPr>
      <w:r>
        <w:separator/>
      </w:r>
    </w:p>
    <w:p w14:paraId="466FC312" w14:textId="77777777" w:rsidR="00572183" w:rsidRDefault="00572183"/>
  </w:endnote>
  <w:endnote w:type="continuationSeparator" w:id="0">
    <w:p w14:paraId="0C6E4FD8" w14:textId="77777777" w:rsidR="00572183" w:rsidRDefault="00572183" w:rsidP="00245127">
      <w:pPr>
        <w:spacing w:line="240" w:lineRule="auto"/>
      </w:pPr>
      <w:r>
        <w:continuationSeparator/>
      </w:r>
    </w:p>
    <w:p w14:paraId="7EF9CF48" w14:textId="77777777" w:rsidR="00572183" w:rsidRDefault="00572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0039" w14:textId="77777777" w:rsidR="005A0CC5" w:rsidRDefault="005A0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07B9" w14:textId="1240C454" w:rsidR="00572183" w:rsidRPr="0096738D" w:rsidRDefault="00572183" w:rsidP="00B05526">
    <w:pPr>
      <w:pStyle w:val="Footer"/>
      <w:pBdr>
        <w:top w:val="single" w:sz="4" w:space="1" w:color="auto"/>
      </w:pBdr>
      <w:tabs>
        <w:tab w:val="clear" w:pos="4513"/>
        <w:tab w:val="clear" w:pos="9026"/>
        <w:tab w:val="right" w:pos="9638"/>
      </w:tabs>
      <w:rPr>
        <w:rFonts w:cs="Arial"/>
      </w:rPr>
    </w:pPr>
    <w:r w:rsidRPr="0096738D">
      <w:rPr>
        <w:rFonts w:cs="Arial"/>
        <w:sz w:val="20"/>
        <w:szCs w:val="20"/>
      </w:rPr>
      <w:tab/>
      <w:t xml:space="preserve">Page </w:t>
    </w:r>
    <w:r w:rsidRPr="0096738D">
      <w:rPr>
        <w:rFonts w:cs="Arial"/>
        <w:b/>
        <w:bCs/>
        <w:sz w:val="20"/>
        <w:szCs w:val="20"/>
      </w:rPr>
      <w:fldChar w:fldCharType="begin"/>
    </w:r>
    <w:r w:rsidRPr="0096738D">
      <w:rPr>
        <w:rFonts w:cs="Arial"/>
        <w:b/>
        <w:bCs/>
        <w:sz w:val="20"/>
        <w:szCs w:val="20"/>
      </w:rPr>
      <w:instrText xml:space="preserve"> PAGE  \* Arabic  \* MERGEFORMAT </w:instrText>
    </w:r>
    <w:r w:rsidRPr="0096738D">
      <w:rPr>
        <w:rFonts w:cs="Arial"/>
        <w:b/>
        <w:bCs/>
        <w:sz w:val="20"/>
        <w:szCs w:val="20"/>
      </w:rPr>
      <w:fldChar w:fldCharType="separate"/>
    </w:r>
    <w:r w:rsidR="005A0CC5">
      <w:rPr>
        <w:rFonts w:cs="Arial"/>
        <w:b/>
        <w:bCs/>
        <w:noProof/>
        <w:sz w:val="20"/>
        <w:szCs w:val="20"/>
      </w:rPr>
      <w:t>9</w:t>
    </w:r>
    <w:r w:rsidRPr="0096738D">
      <w:rPr>
        <w:rFonts w:cs="Arial"/>
        <w:b/>
        <w:bCs/>
        <w:sz w:val="20"/>
        <w:szCs w:val="20"/>
      </w:rPr>
      <w:fldChar w:fldCharType="end"/>
    </w:r>
    <w:r w:rsidRPr="0096738D">
      <w:rPr>
        <w:rFonts w:cs="Arial"/>
        <w:sz w:val="20"/>
        <w:szCs w:val="20"/>
      </w:rPr>
      <w:t xml:space="preserve"> of </w:t>
    </w:r>
    <w:r w:rsidRPr="0096738D">
      <w:rPr>
        <w:rFonts w:cs="Arial"/>
        <w:b/>
        <w:bCs/>
        <w:sz w:val="20"/>
        <w:szCs w:val="20"/>
      </w:rPr>
      <w:fldChar w:fldCharType="begin"/>
    </w:r>
    <w:r w:rsidRPr="0096738D">
      <w:rPr>
        <w:rFonts w:cs="Arial"/>
        <w:b/>
        <w:bCs/>
        <w:sz w:val="20"/>
        <w:szCs w:val="20"/>
      </w:rPr>
      <w:instrText xml:space="preserve"> NUMPAGES  \* Arabic  \* MERGEFORMAT </w:instrText>
    </w:r>
    <w:r w:rsidRPr="0096738D">
      <w:rPr>
        <w:rFonts w:cs="Arial"/>
        <w:b/>
        <w:bCs/>
        <w:sz w:val="20"/>
        <w:szCs w:val="20"/>
      </w:rPr>
      <w:fldChar w:fldCharType="separate"/>
    </w:r>
    <w:r w:rsidR="005A0CC5">
      <w:rPr>
        <w:rFonts w:cs="Arial"/>
        <w:b/>
        <w:bCs/>
        <w:noProof/>
        <w:sz w:val="20"/>
        <w:szCs w:val="20"/>
      </w:rPr>
      <w:t>9</w:t>
    </w:r>
    <w:r w:rsidRPr="0096738D">
      <w:rPr>
        <w:rFonts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DA50" w14:textId="326D8440" w:rsidR="00572183" w:rsidRPr="00F2590B" w:rsidRDefault="00572183" w:rsidP="00F2590B">
    <w:pPr>
      <w:pBdr>
        <w:top w:val="single" w:sz="4" w:space="1" w:color="auto"/>
      </w:pBdr>
      <w:tabs>
        <w:tab w:val="right" w:pos="9638"/>
      </w:tabs>
      <w:spacing w:line="240" w:lineRule="auto"/>
      <w:rPr>
        <w:rFonts w:cs="Arial"/>
      </w:rPr>
    </w:pPr>
    <w:r w:rsidRPr="00F2590B">
      <w:rPr>
        <w:rFonts w:cs="Arial"/>
        <w:sz w:val="20"/>
        <w:szCs w:val="20"/>
      </w:rPr>
      <w:tab/>
      <w:t xml:space="preserve">Page </w:t>
    </w:r>
    <w:r w:rsidRPr="00F2590B">
      <w:rPr>
        <w:rFonts w:cs="Arial"/>
        <w:b/>
        <w:bCs/>
        <w:sz w:val="20"/>
        <w:szCs w:val="20"/>
      </w:rPr>
      <w:fldChar w:fldCharType="begin"/>
    </w:r>
    <w:r w:rsidRPr="00F2590B">
      <w:rPr>
        <w:rFonts w:cs="Arial"/>
        <w:b/>
        <w:bCs/>
        <w:sz w:val="20"/>
        <w:szCs w:val="20"/>
      </w:rPr>
      <w:instrText xml:space="preserve"> PAGE  \* Arabic  \* MERGEFORMAT </w:instrText>
    </w:r>
    <w:r w:rsidRPr="00F2590B">
      <w:rPr>
        <w:rFonts w:cs="Arial"/>
        <w:b/>
        <w:bCs/>
        <w:sz w:val="20"/>
        <w:szCs w:val="20"/>
      </w:rPr>
      <w:fldChar w:fldCharType="separate"/>
    </w:r>
    <w:r w:rsidR="005A0CC5">
      <w:rPr>
        <w:rFonts w:cs="Arial"/>
        <w:b/>
        <w:bCs/>
        <w:noProof/>
        <w:sz w:val="20"/>
        <w:szCs w:val="20"/>
      </w:rPr>
      <w:t>1</w:t>
    </w:r>
    <w:r w:rsidRPr="00F2590B">
      <w:rPr>
        <w:rFonts w:cs="Arial"/>
        <w:b/>
        <w:bCs/>
        <w:sz w:val="20"/>
        <w:szCs w:val="20"/>
      </w:rPr>
      <w:fldChar w:fldCharType="end"/>
    </w:r>
    <w:r w:rsidRPr="00F2590B">
      <w:rPr>
        <w:rFonts w:cs="Arial"/>
        <w:sz w:val="20"/>
        <w:szCs w:val="20"/>
      </w:rPr>
      <w:t xml:space="preserve"> of </w:t>
    </w:r>
    <w:r w:rsidRPr="00F2590B">
      <w:rPr>
        <w:rFonts w:cs="Arial"/>
        <w:b/>
        <w:bCs/>
        <w:sz w:val="20"/>
        <w:szCs w:val="20"/>
      </w:rPr>
      <w:fldChar w:fldCharType="begin"/>
    </w:r>
    <w:r w:rsidRPr="00F2590B">
      <w:rPr>
        <w:rFonts w:cs="Arial"/>
        <w:b/>
        <w:bCs/>
        <w:sz w:val="20"/>
        <w:szCs w:val="20"/>
      </w:rPr>
      <w:instrText xml:space="preserve"> NUMPAGES  \* Arabic  \* MERGEFORMAT </w:instrText>
    </w:r>
    <w:r w:rsidRPr="00F2590B">
      <w:rPr>
        <w:rFonts w:cs="Arial"/>
        <w:b/>
        <w:bCs/>
        <w:sz w:val="20"/>
        <w:szCs w:val="20"/>
      </w:rPr>
      <w:fldChar w:fldCharType="separate"/>
    </w:r>
    <w:r w:rsidR="005A0CC5">
      <w:rPr>
        <w:rFonts w:cs="Arial"/>
        <w:b/>
        <w:bCs/>
        <w:noProof/>
        <w:sz w:val="20"/>
        <w:szCs w:val="20"/>
      </w:rPr>
      <w:t>9</w:t>
    </w:r>
    <w:r w:rsidRPr="00F2590B">
      <w:rPr>
        <w:rFont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C9C3E" w14:textId="77777777" w:rsidR="00572183" w:rsidRDefault="00572183" w:rsidP="00245127">
      <w:pPr>
        <w:spacing w:line="240" w:lineRule="auto"/>
      </w:pPr>
      <w:r>
        <w:separator/>
      </w:r>
    </w:p>
    <w:p w14:paraId="43E2F048" w14:textId="77777777" w:rsidR="00572183" w:rsidRDefault="00572183"/>
  </w:footnote>
  <w:footnote w:type="continuationSeparator" w:id="0">
    <w:p w14:paraId="5E4E0450" w14:textId="77777777" w:rsidR="00572183" w:rsidRDefault="00572183" w:rsidP="00245127">
      <w:pPr>
        <w:spacing w:line="240" w:lineRule="auto"/>
      </w:pPr>
      <w:r>
        <w:continuationSeparator/>
      </w:r>
    </w:p>
    <w:p w14:paraId="72086BDE" w14:textId="77777777" w:rsidR="00572183" w:rsidRDefault="005721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3C351" w14:textId="77777777" w:rsidR="005A0CC5" w:rsidRDefault="005A0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5A0CC5" w:rsidRPr="002E7F61" w14:paraId="52A3ACD1" w14:textId="77777777" w:rsidTr="008432EE">
      <w:trPr>
        <w:trHeight w:val="590"/>
      </w:trPr>
      <w:tc>
        <w:tcPr>
          <w:tcW w:w="8720" w:type="dxa"/>
          <w:shd w:val="clear" w:color="auto" w:fill="E4F2E0"/>
        </w:tcPr>
        <w:p w14:paraId="671603FB" w14:textId="77777777" w:rsidR="005A0CC5" w:rsidRPr="002E7F61" w:rsidRDefault="005A0CC5" w:rsidP="005A0CC5">
          <w:pPr>
            <w:pStyle w:val="Footer"/>
            <w:rPr>
              <w:b/>
              <w:sz w:val="18"/>
              <w:szCs w:val="18"/>
            </w:rPr>
          </w:pPr>
          <w:r w:rsidRPr="002E7F61">
            <w:rPr>
              <w:b/>
              <w:sz w:val="18"/>
              <w:szCs w:val="18"/>
            </w:rPr>
            <w:t xml:space="preserve">Attachment 1: </w:t>
          </w:r>
          <w:r w:rsidRPr="008004F6">
            <w:rPr>
              <w:b/>
              <w:sz w:val="18"/>
              <w:szCs w:val="18"/>
            </w:rPr>
            <w:t xml:space="preserve">AusPAR - GLYCOPHOS - Sodium </w:t>
          </w:r>
          <w:proofErr w:type="spellStart"/>
          <w:r w:rsidRPr="008004F6">
            <w:rPr>
              <w:b/>
              <w:sz w:val="18"/>
              <w:szCs w:val="18"/>
            </w:rPr>
            <w:t>glycerophosphate</w:t>
          </w:r>
          <w:proofErr w:type="spellEnd"/>
          <w:r w:rsidRPr="008004F6">
            <w:rPr>
              <w:b/>
              <w:sz w:val="18"/>
              <w:szCs w:val="18"/>
            </w:rPr>
            <w:t xml:space="preserve"> (as hydrate) - Fresenius </w:t>
          </w:r>
          <w:proofErr w:type="spellStart"/>
          <w:r w:rsidRPr="008004F6">
            <w:rPr>
              <w:b/>
              <w:sz w:val="18"/>
              <w:szCs w:val="18"/>
            </w:rPr>
            <w:t>Kabi</w:t>
          </w:r>
          <w:proofErr w:type="spellEnd"/>
          <w:r w:rsidRPr="008004F6">
            <w:rPr>
              <w:b/>
              <w:sz w:val="18"/>
              <w:szCs w:val="18"/>
            </w:rPr>
            <w:t xml:space="preserve"> Australia Pty Ltd - PM-2018-04249-1-1</w:t>
          </w:r>
          <w:r>
            <w:rPr>
              <w:b/>
              <w:sz w:val="18"/>
              <w:szCs w:val="18"/>
            </w:rPr>
            <w:t xml:space="preserve"> </w:t>
          </w:r>
          <w:r w:rsidRPr="008004F6">
            <w:rPr>
              <w:b/>
              <w:sz w:val="18"/>
              <w:szCs w:val="18"/>
            </w:rPr>
            <w:t>FINAL 13 February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14:paraId="7C7AC379" w14:textId="2641F24B" w:rsidR="00572183" w:rsidRPr="003114A0" w:rsidRDefault="00572183" w:rsidP="005A0C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5A0CC5" w:rsidRPr="002E7F61" w14:paraId="69A0F582" w14:textId="77777777" w:rsidTr="008432EE">
      <w:trPr>
        <w:trHeight w:val="590"/>
      </w:trPr>
      <w:tc>
        <w:tcPr>
          <w:tcW w:w="8720" w:type="dxa"/>
          <w:shd w:val="clear" w:color="auto" w:fill="E4F2E0"/>
        </w:tcPr>
        <w:p w14:paraId="4A6A4334" w14:textId="77777777" w:rsidR="005A0CC5" w:rsidRPr="002E7F61" w:rsidRDefault="005A0CC5" w:rsidP="005A0CC5">
          <w:pPr>
            <w:pStyle w:val="Footer"/>
            <w:rPr>
              <w:b/>
              <w:sz w:val="18"/>
              <w:szCs w:val="18"/>
            </w:rPr>
          </w:pPr>
          <w:bookmarkStart w:id="6" w:name="_Hlk521576880"/>
          <w:bookmarkStart w:id="7" w:name="_Hlk521576881"/>
          <w:bookmarkStart w:id="8" w:name="_Hlk521576882"/>
          <w:bookmarkStart w:id="9" w:name="_Hlk521576883"/>
          <w:bookmarkStart w:id="10" w:name="_Hlk521576884"/>
          <w:bookmarkStart w:id="11" w:name="_Hlk521576885"/>
          <w:bookmarkStart w:id="12" w:name="_Hlk521576886"/>
          <w:bookmarkStart w:id="13" w:name="_Hlk521576887"/>
          <w:bookmarkStart w:id="14" w:name="_Hlk521576888"/>
          <w:bookmarkStart w:id="15" w:name="_Hlk521576889"/>
          <w:bookmarkStart w:id="16" w:name="_Hlk521576890"/>
          <w:bookmarkStart w:id="17" w:name="_Hlk521576891"/>
          <w:bookmarkStart w:id="18" w:name="_Hlk521576892"/>
          <w:bookmarkStart w:id="19" w:name="_Hlk521576893"/>
          <w:bookmarkStart w:id="20" w:name="_Hlk521576894"/>
          <w:r w:rsidRPr="002E7F61">
            <w:rPr>
              <w:b/>
              <w:sz w:val="18"/>
              <w:szCs w:val="18"/>
            </w:rPr>
            <w:t xml:space="preserve">Attachment 1: </w:t>
          </w:r>
          <w:r w:rsidRPr="008004F6">
            <w:rPr>
              <w:b/>
              <w:sz w:val="18"/>
              <w:szCs w:val="18"/>
            </w:rPr>
            <w:t xml:space="preserve">AusPAR - GLYCOPHOS - Sodium </w:t>
          </w:r>
          <w:proofErr w:type="spellStart"/>
          <w:r w:rsidRPr="008004F6">
            <w:rPr>
              <w:b/>
              <w:sz w:val="18"/>
              <w:szCs w:val="18"/>
            </w:rPr>
            <w:t>glycerophosphate</w:t>
          </w:r>
          <w:proofErr w:type="spellEnd"/>
          <w:r w:rsidRPr="008004F6">
            <w:rPr>
              <w:b/>
              <w:sz w:val="18"/>
              <w:szCs w:val="18"/>
            </w:rPr>
            <w:t xml:space="preserve"> (as hydrate) - Fresenius </w:t>
          </w:r>
          <w:proofErr w:type="spellStart"/>
          <w:r w:rsidRPr="008004F6">
            <w:rPr>
              <w:b/>
              <w:sz w:val="18"/>
              <w:szCs w:val="18"/>
            </w:rPr>
            <w:t>Kabi</w:t>
          </w:r>
          <w:proofErr w:type="spellEnd"/>
          <w:r w:rsidRPr="008004F6">
            <w:rPr>
              <w:b/>
              <w:sz w:val="18"/>
              <w:szCs w:val="18"/>
            </w:rPr>
            <w:t xml:space="preserve"> Australia Pty Ltd - PM-2018-04249-1-1</w:t>
          </w:r>
          <w:r>
            <w:rPr>
              <w:b/>
              <w:sz w:val="18"/>
              <w:szCs w:val="18"/>
            </w:rPr>
            <w:t xml:space="preserve"> </w:t>
          </w:r>
          <w:r w:rsidRPr="008004F6">
            <w:rPr>
              <w:b/>
              <w:sz w:val="18"/>
              <w:szCs w:val="18"/>
            </w:rPr>
            <w:t>FINAL 13 February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14:paraId="237423BC" w14:textId="77777777" w:rsidR="005A0CC5" w:rsidRDefault="005A0CC5" w:rsidP="005A0CC5">
    <w:pPr>
      <w:pStyle w:val="Heading1"/>
      <w:pBdr>
        <w:bottom w:val="single" w:sz="12" w:space="1" w:color="auto"/>
      </w:pBdr>
      <w:spacing w:before="0" w:line="240" w:lineRule="auto"/>
      <w:ind w:left="0" w:firstLine="0"/>
      <w:jc w:val="left"/>
      <w:rPr>
        <w:rFonts w:cs="Arial"/>
        <w:sz w:val="28"/>
      </w:rPr>
    </w:pPr>
  </w:p>
  <w:p w14:paraId="25C3E87D" w14:textId="388A0F27" w:rsidR="00572183" w:rsidRPr="005969D9" w:rsidRDefault="00572183" w:rsidP="005969D9">
    <w:pPr>
      <w:pStyle w:val="Heading1"/>
      <w:pBdr>
        <w:bottom w:val="single" w:sz="12" w:space="1" w:color="auto"/>
      </w:pBdr>
      <w:spacing w:before="0" w:line="240" w:lineRule="auto"/>
      <w:ind w:left="0" w:firstLine="0"/>
      <w:jc w:val="center"/>
      <w:rPr>
        <w:rFonts w:cs="Arial"/>
        <w:sz w:val="28"/>
      </w:rPr>
    </w:pPr>
    <w:r w:rsidRPr="005969D9">
      <w:rPr>
        <w:rFonts w:cs="Arial"/>
        <w:sz w:val="28"/>
      </w:rPr>
      <w:t>AUSTRALIAN PRODUCT INFORMATION – GLYCOPHOS</w:t>
    </w:r>
    <w:r w:rsidRPr="002302F8">
      <w:rPr>
        <w:rFonts w:cs="Arial"/>
        <w:sz w:val="28"/>
        <w:vertAlign w:val="superscript"/>
      </w:rPr>
      <w:t>®</w:t>
    </w:r>
  </w:p>
  <w:p w14:paraId="71FB20C6" w14:textId="0F5552D1" w:rsidR="00572183" w:rsidRPr="005969D9" w:rsidRDefault="00572183" w:rsidP="005969D9">
    <w:pPr>
      <w:pStyle w:val="Heading1"/>
      <w:pBdr>
        <w:bottom w:val="single" w:sz="12" w:space="1" w:color="auto"/>
      </w:pBdr>
      <w:spacing w:before="0" w:line="240" w:lineRule="auto"/>
      <w:ind w:left="0" w:firstLine="0"/>
      <w:jc w:val="center"/>
      <w:rPr>
        <w:rFonts w:ascii="Helvetica" w:hAnsi="Helvetica" w:cs="Helvetica"/>
        <w:caps/>
        <w:sz w:val="32"/>
      </w:rPr>
    </w:pPr>
    <w:r w:rsidRPr="005969D9">
      <w:rPr>
        <w:rFonts w:cs="Arial"/>
        <w:sz w:val="28"/>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541A9C">
      <w:rPr>
        <w:rFonts w:cs="Arial"/>
        <w:sz w:val="28"/>
      </w:rPr>
      <w:t>SODIUM GLYCEROPHOSPHATE</w:t>
    </w:r>
    <w:r w:rsidRPr="005969D9">
      <w:rPr>
        <w:rFonts w:cs="Arial"/>
        <w:sz w:val="28"/>
      </w:rPr>
      <w:t>)</w:t>
    </w:r>
    <w:r>
      <w:rPr>
        <w:rFonts w:cs="Arial"/>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3E22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9806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BCEF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D6CA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8C81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E66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9CB9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5259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6E16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0483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DB0C5D"/>
    <w:multiLevelType w:val="hybridMultilevel"/>
    <w:tmpl w:val="983836C8"/>
    <w:lvl w:ilvl="0" w:tplc="0A48E3F4">
      <w:numFmt w:val="bullet"/>
      <w:lvlText w:val="•"/>
      <w:lvlJc w:val="left"/>
      <w:pPr>
        <w:ind w:left="792" w:hanging="432"/>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011C3"/>
    <w:multiLevelType w:val="hybridMultilevel"/>
    <w:tmpl w:val="2BAA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D47AB"/>
    <w:multiLevelType w:val="hybridMultilevel"/>
    <w:tmpl w:val="535E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585291"/>
    <w:multiLevelType w:val="hybridMultilevel"/>
    <w:tmpl w:val="8D72E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0A400D"/>
    <w:multiLevelType w:val="hybridMultilevel"/>
    <w:tmpl w:val="C246924E"/>
    <w:lvl w:ilvl="0" w:tplc="6910E180">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3F68F4"/>
    <w:multiLevelType w:val="hybridMultilevel"/>
    <w:tmpl w:val="9D507384"/>
    <w:lvl w:ilvl="0" w:tplc="1409000F">
      <w:start w:val="1"/>
      <w:numFmt w:val="decimal"/>
      <w:lvlText w:val="%1."/>
      <w:lvlJc w:val="left"/>
      <w:pPr>
        <w:ind w:left="720" w:hanging="360"/>
      </w:pPr>
      <w:rPr>
        <w:rFonts w:hint="default"/>
      </w:rPr>
    </w:lvl>
    <w:lvl w:ilvl="1" w:tplc="1409000F">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DD320E5"/>
    <w:multiLevelType w:val="hybridMultilevel"/>
    <w:tmpl w:val="6B3EB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B1599D"/>
    <w:multiLevelType w:val="hybridMultilevel"/>
    <w:tmpl w:val="2F227F10"/>
    <w:lvl w:ilvl="0" w:tplc="78B657F8">
      <w:start w:val="2"/>
      <w:numFmt w:val="bullet"/>
      <w:lvlText w:val="•"/>
      <w:lvlJc w:val="left"/>
      <w:pPr>
        <w:ind w:left="1080" w:hanging="72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6D0D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2603E69"/>
    <w:multiLevelType w:val="hybridMultilevel"/>
    <w:tmpl w:val="0428EBB4"/>
    <w:lvl w:ilvl="0" w:tplc="6910E180">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154D2C"/>
    <w:multiLevelType w:val="hybridMultilevel"/>
    <w:tmpl w:val="2D5EEA80"/>
    <w:lvl w:ilvl="0" w:tplc="78B657F8">
      <w:numFmt w:val="bullet"/>
      <w:lvlText w:val="•"/>
      <w:lvlJc w:val="left"/>
      <w:pPr>
        <w:ind w:left="1080" w:hanging="72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860561"/>
    <w:multiLevelType w:val="multilevel"/>
    <w:tmpl w:val="B548345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374462A4"/>
    <w:multiLevelType w:val="hybridMultilevel"/>
    <w:tmpl w:val="F8185D4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38054A41"/>
    <w:multiLevelType w:val="hybridMultilevel"/>
    <w:tmpl w:val="B80C36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87A5A22"/>
    <w:multiLevelType w:val="hybridMultilevel"/>
    <w:tmpl w:val="2C261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8A17E8"/>
    <w:multiLevelType w:val="hybridMultilevel"/>
    <w:tmpl w:val="A28A0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8522FD"/>
    <w:multiLevelType w:val="hybridMultilevel"/>
    <w:tmpl w:val="CB588C8E"/>
    <w:lvl w:ilvl="0" w:tplc="0C090001">
      <w:start w:val="1"/>
      <w:numFmt w:val="bullet"/>
      <w:lvlText w:val=""/>
      <w:lvlJc w:val="left"/>
      <w:pPr>
        <w:ind w:left="1080" w:hanging="720"/>
      </w:pPr>
      <w:rPr>
        <w:rFonts w:ascii="Symbol" w:hAnsi="Symbol" w:hint="default"/>
      </w:rPr>
    </w:lvl>
    <w:lvl w:ilvl="1" w:tplc="AC1C1BE0">
      <w:start w:val="2"/>
      <w:numFmt w:val="bullet"/>
      <w:lvlText w:val="•"/>
      <w:lvlJc w:val="left"/>
      <w:pPr>
        <w:ind w:left="1800" w:hanging="720"/>
      </w:pPr>
      <w:rPr>
        <w:rFonts w:ascii="Helvetica" w:eastAsiaTheme="minorHAnsi" w:hAnsi="Helvetica" w:cs="Helvetic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B375C9"/>
    <w:multiLevelType w:val="hybridMultilevel"/>
    <w:tmpl w:val="F7DEA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CF27E3"/>
    <w:multiLevelType w:val="hybridMultilevel"/>
    <w:tmpl w:val="C1BA7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604B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105BAE"/>
    <w:multiLevelType w:val="hybridMultilevel"/>
    <w:tmpl w:val="6FDE0848"/>
    <w:lvl w:ilvl="0" w:tplc="937C766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3D4D47"/>
    <w:multiLevelType w:val="hybridMultilevel"/>
    <w:tmpl w:val="8BA47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17AFC"/>
    <w:multiLevelType w:val="hybridMultilevel"/>
    <w:tmpl w:val="AD6454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AE343B"/>
    <w:multiLevelType w:val="hybridMultilevel"/>
    <w:tmpl w:val="DC0EB828"/>
    <w:lvl w:ilvl="0" w:tplc="6910E180">
      <w:start w:val="1"/>
      <w:numFmt w:val="bullet"/>
      <w:lvlText w:val="-"/>
      <w:lvlJc w:val="left"/>
      <w:pPr>
        <w:ind w:left="1778"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CF7CD4"/>
    <w:multiLevelType w:val="hybridMultilevel"/>
    <w:tmpl w:val="3CFE4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386A59"/>
    <w:multiLevelType w:val="hybridMultilevel"/>
    <w:tmpl w:val="2A24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CF0119"/>
    <w:multiLevelType w:val="hybridMultilevel"/>
    <w:tmpl w:val="7E36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2700D4"/>
    <w:multiLevelType w:val="hybridMultilevel"/>
    <w:tmpl w:val="D90C64F0"/>
    <w:lvl w:ilvl="0" w:tplc="78B657F8">
      <w:numFmt w:val="bullet"/>
      <w:lvlText w:val="•"/>
      <w:lvlJc w:val="left"/>
      <w:pPr>
        <w:ind w:left="1080" w:hanging="72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DF7296"/>
    <w:multiLevelType w:val="hybridMultilevel"/>
    <w:tmpl w:val="5CAEE062"/>
    <w:lvl w:ilvl="0" w:tplc="78B657F8">
      <w:numFmt w:val="bullet"/>
      <w:lvlText w:val="•"/>
      <w:lvlJc w:val="left"/>
      <w:pPr>
        <w:ind w:left="1080" w:hanging="72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0D5081"/>
    <w:multiLevelType w:val="hybridMultilevel"/>
    <w:tmpl w:val="4DD097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717602A4"/>
    <w:multiLevelType w:val="hybridMultilevel"/>
    <w:tmpl w:val="7ACA0CD6"/>
    <w:lvl w:ilvl="0" w:tplc="BBAEAB98">
      <w:start w:val="9"/>
      <w:numFmt w:val="bullet"/>
      <w:lvlText w:val="-"/>
      <w:lvlJc w:val="left"/>
      <w:pPr>
        <w:ind w:left="564" w:hanging="360"/>
      </w:pPr>
      <w:rPr>
        <w:rFonts w:ascii="Arial" w:eastAsiaTheme="minorHAnsi" w:hAnsi="Arial" w:cs="Arial" w:hint="default"/>
      </w:rPr>
    </w:lvl>
    <w:lvl w:ilvl="1" w:tplc="0C090003" w:tentative="1">
      <w:start w:val="1"/>
      <w:numFmt w:val="bullet"/>
      <w:lvlText w:val="o"/>
      <w:lvlJc w:val="left"/>
      <w:pPr>
        <w:ind w:left="1284" w:hanging="360"/>
      </w:pPr>
      <w:rPr>
        <w:rFonts w:ascii="Courier New" w:hAnsi="Courier New" w:cs="Courier New" w:hint="default"/>
      </w:rPr>
    </w:lvl>
    <w:lvl w:ilvl="2" w:tplc="0C090005" w:tentative="1">
      <w:start w:val="1"/>
      <w:numFmt w:val="bullet"/>
      <w:lvlText w:val=""/>
      <w:lvlJc w:val="left"/>
      <w:pPr>
        <w:ind w:left="2004" w:hanging="360"/>
      </w:pPr>
      <w:rPr>
        <w:rFonts w:ascii="Wingdings" w:hAnsi="Wingdings" w:hint="default"/>
      </w:rPr>
    </w:lvl>
    <w:lvl w:ilvl="3" w:tplc="0C090001" w:tentative="1">
      <w:start w:val="1"/>
      <w:numFmt w:val="bullet"/>
      <w:lvlText w:val=""/>
      <w:lvlJc w:val="left"/>
      <w:pPr>
        <w:ind w:left="2724" w:hanging="360"/>
      </w:pPr>
      <w:rPr>
        <w:rFonts w:ascii="Symbol" w:hAnsi="Symbol" w:hint="default"/>
      </w:rPr>
    </w:lvl>
    <w:lvl w:ilvl="4" w:tplc="0C090003" w:tentative="1">
      <w:start w:val="1"/>
      <w:numFmt w:val="bullet"/>
      <w:lvlText w:val="o"/>
      <w:lvlJc w:val="left"/>
      <w:pPr>
        <w:ind w:left="3444" w:hanging="360"/>
      </w:pPr>
      <w:rPr>
        <w:rFonts w:ascii="Courier New" w:hAnsi="Courier New" w:cs="Courier New" w:hint="default"/>
      </w:rPr>
    </w:lvl>
    <w:lvl w:ilvl="5" w:tplc="0C090005" w:tentative="1">
      <w:start w:val="1"/>
      <w:numFmt w:val="bullet"/>
      <w:lvlText w:val=""/>
      <w:lvlJc w:val="left"/>
      <w:pPr>
        <w:ind w:left="4164" w:hanging="360"/>
      </w:pPr>
      <w:rPr>
        <w:rFonts w:ascii="Wingdings" w:hAnsi="Wingdings" w:hint="default"/>
      </w:rPr>
    </w:lvl>
    <w:lvl w:ilvl="6" w:tplc="0C090001" w:tentative="1">
      <w:start w:val="1"/>
      <w:numFmt w:val="bullet"/>
      <w:lvlText w:val=""/>
      <w:lvlJc w:val="left"/>
      <w:pPr>
        <w:ind w:left="4884" w:hanging="360"/>
      </w:pPr>
      <w:rPr>
        <w:rFonts w:ascii="Symbol" w:hAnsi="Symbol" w:hint="default"/>
      </w:rPr>
    </w:lvl>
    <w:lvl w:ilvl="7" w:tplc="0C090003" w:tentative="1">
      <w:start w:val="1"/>
      <w:numFmt w:val="bullet"/>
      <w:lvlText w:val="o"/>
      <w:lvlJc w:val="left"/>
      <w:pPr>
        <w:ind w:left="5604" w:hanging="360"/>
      </w:pPr>
      <w:rPr>
        <w:rFonts w:ascii="Courier New" w:hAnsi="Courier New" w:cs="Courier New" w:hint="default"/>
      </w:rPr>
    </w:lvl>
    <w:lvl w:ilvl="8" w:tplc="0C090005" w:tentative="1">
      <w:start w:val="1"/>
      <w:numFmt w:val="bullet"/>
      <w:lvlText w:val=""/>
      <w:lvlJc w:val="left"/>
      <w:pPr>
        <w:ind w:left="6324" w:hanging="360"/>
      </w:pPr>
      <w:rPr>
        <w:rFonts w:ascii="Wingdings" w:hAnsi="Wingdings" w:hint="default"/>
      </w:rPr>
    </w:lvl>
  </w:abstractNum>
  <w:abstractNum w:abstractNumId="42" w15:restartNumberingAfterBreak="0">
    <w:nsid w:val="7511686A"/>
    <w:multiLevelType w:val="hybridMultilevel"/>
    <w:tmpl w:val="09E628D2"/>
    <w:lvl w:ilvl="0" w:tplc="78B657F8">
      <w:numFmt w:val="bullet"/>
      <w:lvlText w:val="•"/>
      <w:lvlJc w:val="left"/>
      <w:pPr>
        <w:ind w:left="1080" w:hanging="72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AA0F93"/>
    <w:multiLevelType w:val="hybridMultilevel"/>
    <w:tmpl w:val="7E527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176A73"/>
    <w:multiLevelType w:val="hybridMultilevel"/>
    <w:tmpl w:val="32ECF672"/>
    <w:lvl w:ilvl="0" w:tplc="78B657F8">
      <w:numFmt w:val="bullet"/>
      <w:lvlText w:val="•"/>
      <w:lvlJc w:val="left"/>
      <w:pPr>
        <w:ind w:left="1080" w:hanging="72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29719A"/>
    <w:multiLevelType w:val="hybridMultilevel"/>
    <w:tmpl w:val="F21CBD66"/>
    <w:lvl w:ilvl="0" w:tplc="6910E180">
      <w:start w:val="1"/>
      <w:numFmt w:val="bullet"/>
      <w:lvlText w:val="-"/>
      <w:lvlJc w:val="left"/>
      <w:pPr>
        <w:tabs>
          <w:tab w:val="num" w:pos="720"/>
        </w:tabs>
        <w:ind w:left="72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7663E"/>
    <w:multiLevelType w:val="hybridMultilevel"/>
    <w:tmpl w:val="3E1040DA"/>
    <w:lvl w:ilvl="0" w:tplc="BD0CFBA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7C4464"/>
    <w:multiLevelType w:val="hybridMultilevel"/>
    <w:tmpl w:val="C2502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5"/>
  </w:num>
  <w:num w:numId="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30"/>
  </w:num>
  <w:num w:numId="6">
    <w:abstractNumId w:val="19"/>
  </w:num>
  <w:num w:numId="7">
    <w:abstractNumId w:val="28"/>
  </w:num>
  <w:num w:numId="8">
    <w:abstractNumId w:val="21"/>
  </w:num>
  <w:num w:numId="9">
    <w:abstractNumId w:val="36"/>
  </w:num>
  <w:num w:numId="10">
    <w:abstractNumId w:val="46"/>
  </w:num>
  <w:num w:numId="11">
    <w:abstractNumId w:val="25"/>
  </w:num>
  <w:num w:numId="12">
    <w:abstractNumId w:val="18"/>
  </w:num>
  <w:num w:numId="13">
    <w:abstractNumId w:val="38"/>
  </w:num>
  <w:num w:numId="14">
    <w:abstractNumId w:val="44"/>
  </w:num>
  <w:num w:numId="15">
    <w:abstractNumId w:val="42"/>
  </w:num>
  <w:num w:numId="16">
    <w:abstractNumId w:val="39"/>
  </w:num>
  <w:num w:numId="17">
    <w:abstractNumId w:val="27"/>
  </w:num>
  <w:num w:numId="18">
    <w:abstractNumId w:val="32"/>
  </w:num>
  <w:num w:numId="19">
    <w:abstractNumId w:val="12"/>
  </w:num>
  <w:num w:numId="20">
    <w:abstractNumId w:val="43"/>
  </w:num>
  <w:num w:numId="21">
    <w:abstractNumId w:val="26"/>
  </w:num>
  <w:num w:numId="22">
    <w:abstractNumId w:val="33"/>
  </w:num>
  <w:num w:numId="23">
    <w:abstractNumId w:val="29"/>
  </w:num>
  <w:num w:numId="24">
    <w:abstractNumId w:val="17"/>
  </w:num>
  <w:num w:numId="25">
    <w:abstractNumId w:val="35"/>
  </w:num>
  <w:num w:numId="26">
    <w:abstractNumId w:val="40"/>
  </w:num>
  <w:num w:numId="27">
    <w:abstractNumId w:val="23"/>
  </w:num>
  <w:num w:numId="28">
    <w:abstractNumId w:val="24"/>
  </w:num>
  <w:num w:numId="29">
    <w:abstractNumId w:val="20"/>
  </w:num>
  <w:num w:numId="30">
    <w:abstractNumId w:val="31"/>
  </w:num>
  <w:num w:numId="31">
    <w:abstractNumId w:val="41"/>
  </w:num>
  <w:num w:numId="32">
    <w:abstractNumId w:val="34"/>
  </w:num>
  <w:num w:numId="33">
    <w:abstractNumId w:val="15"/>
  </w:num>
  <w:num w:numId="34">
    <w:abstractNumId w:val="14"/>
  </w:num>
  <w:num w:numId="35">
    <w:abstractNumId w:val="47"/>
  </w:num>
  <w:num w:numId="36">
    <w:abstractNumId w:val="37"/>
  </w:num>
  <w:num w:numId="37">
    <w:abstractNumId w:val="13"/>
  </w:num>
  <w:num w:numId="38">
    <w:abstractNumId w:val="11"/>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8A"/>
    <w:rsid w:val="00001D90"/>
    <w:rsid w:val="000025F0"/>
    <w:rsid w:val="00006C9F"/>
    <w:rsid w:val="0001238C"/>
    <w:rsid w:val="00014D8B"/>
    <w:rsid w:val="00015DBE"/>
    <w:rsid w:val="00016FDD"/>
    <w:rsid w:val="00022488"/>
    <w:rsid w:val="00022683"/>
    <w:rsid w:val="000315E6"/>
    <w:rsid w:val="00031B40"/>
    <w:rsid w:val="00033124"/>
    <w:rsid w:val="00037163"/>
    <w:rsid w:val="000408CF"/>
    <w:rsid w:val="00053A45"/>
    <w:rsid w:val="000552D1"/>
    <w:rsid w:val="0006003F"/>
    <w:rsid w:val="000677B8"/>
    <w:rsid w:val="00070604"/>
    <w:rsid w:val="000723F0"/>
    <w:rsid w:val="00075557"/>
    <w:rsid w:val="00077CF9"/>
    <w:rsid w:val="00081F10"/>
    <w:rsid w:val="00082971"/>
    <w:rsid w:val="000842A3"/>
    <w:rsid w:val="000938CC"/>
    <w:rsid w:val="00093A53"/>
    <w:rsid w:val="00093C1C"/>
    <w:rsid w:val="0009415F"/>
    <w:rsid w:val="000945AF"/>
    <w:rsid w:val="0009548D"/>
    <w:rsid w:val="000954F1"/>
    <w:rsid w:val="00097FD0"/>
    <w:rsid w:val="000A1106"/>
    <w:rsid w:val="000A1BCE"/>
    <w:rsid w:val="000B0469"/>
    <w:rsid w:val="000B57C1"/>
    <w:rsid w:val="000C014F"/>
    <w:rsid w:val="000C4CF0"/>
    <w:rsid w:val="000C5E94"/>
    <w:rsid w:val="000C784A"/>
    <w:rsid w:val="000C7A5F"/>
    <w:rsid w:val="000E11E8"/>
    <w:rsid w:val="000E1A27"/>
    <w:rsid w:val="000E2296"/>
    <w:rsid w:val="000E23BB"/>
    <w:rsid w:val="000F075A"/>
    <w:rsid w:val="000F1682"/>
    <w:rsid w:val="000F1CF0"/>
    <w:rsid w:val="000F2E47"/>
    <w:rsid w:val="000F3D04"/>
    <w:rsid w:val="00111730"/>
    <w:rsid w:val="00113C65"/>
    <w:rsid w:val="00114880"/>
    <w:rsid w:val="00121143"/>
    <w:rsid w:val="00124600"/>
    <w:rsid w:val="00124DDF"/>
    <w:rsid w:val="001325F7"/>
    <w:rsid w:val="00143EDE"/>
    <w:rsid w:val="001450A4"/>
    <w:rsid w:val="00146A8A"/>
    <w:rsid w:val="00153F54"/>
    <w:rsid w:val="00154218"/>
    <w:rsid w:val="00157DE2"/>
    <w:rsid w:val="001619CB"/>
    <w:rsid w:val="00164B93"/>
    <w:rsid w:val="001660A2"/>
    <w:rsid w:val="0018316E"/>
    <w:rsid w:val="00187E1A"/>
    <w:rsid w:val="001934EB"/>
    <w:rsid w:val="001947C5"/>
    <w:rsid w:val="001966E2"/>
    <w:rsid w:val="001A0288"/>
    <w:rsid w:val="001A1ABD"/>
    <w:rsid w:val="001A7DE1"/>
    <w:rsid w:val="001B5840"/>
    <w:rsid w:val="001C15D7"/>
    <w:rsid w:val="001C5C29"/>
    <w:rsid w:val="001C72DD"/>
    <w:rsid w:val="001D3971"/>
    <w:rsid w:val="001E2C46"/>
    <w:rsid w:val="001E5BCD"/>
    <w:rsid w:val="001F0529"/>
    <w:rsid w:val="00202F8C"/>
    <w:rsid w:val="0020497B"/>
    <w:rsid w:val="00205B32"/>
    <w:rsid w:val="00214B13"/>
    <w:rsid w:val="00225818"/>
    <w:rsid w:val="002302F8"/>
    <w:rsid w:val="00234F3D"/>
    <w:rsid w:val="00235817"/>
    <w:rsid w:val="002360D3"/>
    <w:rsid w:val="00245127"/>
    <w:rsid w:val="002479E5"/>
    <w:rsid w:val="00250808"/>
    <w:rsid w:val="00252D4D"/>
    <w:rsid w:val="00254304"/>
    <w:rsid w:val="00256305"/>
    <w:rsid w:val="00257C86"/>
    <w:rsid w:val="002621DF"/>
    <w:rsid w:val="0026387D"/>
    <w:rsid w:val="00270D95"/>
    <w:rsid w:val="002736D7"/>
    <w:rsid w:val="00274F0E"/>
    <w:rsid w:val="0027696E"/>
    <w:rsid w:val="00280B5D"/>
    <w:rsid w:val="00287155"/>
    <w:rsid w:val="00294902"/>
    <w:rsid w:val="00295792"/>
    <w:rsid w:val="002964A1"/>
    <w:rsid w:val="002A3E71"/>
    <w:rsid w:val="002A712A"/>
    <w:rsid w:val="002A7911"/>
    <w:rsid w:val="002B709C"/>
    <w:rsid w:val="002D2AC3"/>
    <w:rsid w:val="002D3240"/>
    <w:rsid w:val="002D7406"/>
    <w:rsid w:val="002E18E1"/>
    <w:rsid w:val="002E3CD0"/>
    <w:rsid w:val="002F0A15"/>
    <w:rsid w:val="002F47E9"/>
    <w:rsid w:val="0030255B"/>
    <w:rsid w:val="003114A0"/>
    <w:rsid w:val="003179A6"/>
    <w:rsid w:val="00320FB1"/>
    <w:rsid w:val="00325010"/>
    <w:rsid w:val="00325927"/>
    <w:rsid w:val="0032608A"/>
    <w:rsid w:val="00330FE5"/>
    <w:rsid w:val="00331476"/>
    <w:rsid w:val="0033620D"/>
    <w:rsid w:val="003369D5"/>
    <w:rsid w:val="00337129"/>
    <w:rsid w:val="00342704"/>
    <w:rsid w:val="00345761"/>
    <w:rsid w:val="00350431"/>
    <w:rsid w:val="0035428C"/>
    <w:rsid w:val="0035678B"/>
    <w:rsid w:val="00356C52"/>
    <w:rsid w:val="003642F0"/>
    <w:rsid w:val="00365110"/>
    <w:rsid w:val="00365D99"/>
    <w:rsid w:val="00380DD8"/>
    <w:rsid w:val="00383EA8"/>
    <w:rsid w:val="00385C89"/>
    <w:rsid w:val="003931CC"/>
    <w:rsid w:val="00394557"/>
    <w:rsid w:val="003962BF"/>
    <w:rsid w:val="003A3E85"/>
    <w:rsid w:val="003A4DB2"/>
    <w:rsid w:val="003A7DB8"/>
    <w:rsid w:val="003B00B5"/>
    <w:rsid w:val="003B6F79"/>
    <w:rsid w:val="003C2E76"/>
    <w:rsid w:val="003C6B86"/>
    <w:rsid w:val="003C74E7"/>
    <w:rsid w:val="003C782F"/>
    <w:rsid w:val="003D057C"/>
    <w:rsid w:val="003D3250"/>
    <w:rsid w:val="003D3F02"/>
    <w:rsid w:val="003E4E91"/>
    <w:rsid w:val="003F110E"/>
    <w:rsid w:val="003F2107"/>
    <w:rsid w:val="003F2C0F"/>
    <w:rsid w:val="00421F1B"/>
    <w:rsid w:val="0042552A"/>
    <w:rsid w:val="00432F98"/>
    <w:rsid w:val="004334CB"/>
    <w:rsid w:val="0043749D"/>
    <w:rsid w:val="004376C6"/>
    <w:rsid w:val="00443456"/>
    <w:rsid w:val="00445E15"/>
    <w:rsid w:val="0045133D"/>
    <w:rsid w:val="00451C0A"/>
    <w:rsid w:val="00457A8F"/>
    <w:rsid w:val="004607E8"/>
    <w:rsid w:val="004612FF"/>
    <w:rsid w:val="00467262"/>
    <w:rsid w:val="004719FD"/>
    <w:rsid w:val="00471E75"/>
    <w:rsid w:val="004743FC"/>
    <w:rsid w:val="0047501D"/>
    <w:rsid w:val="00475F2C"/>
    <w:rsid w:val="004767F5"/>
    <w:rsid w:val="0048488F"/>
    <w:rsid w:val="00492521"/>
    <w:rsid w:val="00494634"/>
    <w:rsid w:val="00494E8C"/>
    <w:rsid w:val="004959B9"/>
    <w:rsid w:val="004960D6"/>
    <w:rsid w:val="00497B3F"/>
    <w:rsid w:val="004A0730"/>
    <w:rsid w:val="004A1EE3"/>
    <w:rsid w:val="004A54ED"/>
    <w:rsid w:val="004B170B"/>
    <w:rsid w:val="004B2848"/>
    <w:rsid w:val="004B4613"/>
    <w:rsid w:val="004B4EFA"/>
    <w:rsid w:val="004B5C19"/>
    <w:rsid w:val="004B7D12"/>
    <w:rsid w:val="004C010A"/>
    <w:rsid w:val="004C0AFC"/>
    <w:rsid w:val="004C1B11"/>
    <w:rsid w:val="004C2595"/>
    <w:rsid w:val="004C7774"/>
    <w:rsid w:val="004D1224"/>
    <w:rsid w:val="004D1E82"/>
    <w:rsid w:val="004D2121"/>
    <w:rsid w:val="004E1622"/>
    <w:rsid w:val="004E44B6"/>
    <w:rsid w:val="004E5A67"/>
    <w:rsid w:val="004F03D3"/>
    <w:rsid w:val="004F25C1"/>
    <w:rsid w:val="004F639B"/>
    <w:rsid w:val="00503418"/>
    <w:rsid w:val="005037CC"/>
    <w:rsid w:val="005070EA"/>
    <w:rsid w:val="0051081C"/>
    <w:rsid w:val="00511C25"/>
    <w:rsid w:val="00513FB4"/>
    <w:rsid w:val="00521D10"/>
    <w:rsid w:val="005279F5"/>
    <w:rsid w:val="00532CB3"/>
    <w:rsid w:val="00537D07"/>
    <w:rsid w:val="00541A9C"/>
    <w:rsid w:val="005456AA"/>
    <w:rsid w:val="00561EC3"/>
    <w:rsid w:val="00572183"/>
    <w:rsid w:val="00574670"/>
    <w:rsid w:val="00575BDD"/>
    <w:rsid w:val="00584696"/>
    <w:rsid w:val="0059017C"/>
    <w:rsid w:val="0059275D"/>
    <w:rsid w:val="00594503"/>
    <w:rsid w:val="005969D9"/>
    <w:rsid w:val="00597EBD"/>
    <w:rsid w:val="005A0CC5"/>
    <w:rsid w:val="005A1D4D"/>
    <w:rsid w:val="005A3173"/>
    <w:rsid w:val="005A35BF"/>
    <w:rsid w:val="005A4FB1"/>
    <w:rsid w:val="005A5DC6"/>
    <w:rsid w:val="005A6195"/>
    <w:rsid w:val="005A68EC"/>
    <w:rsid w:val="005A75AE"/>
    <w:rsid w:val="005B064E"/>
    <w:rsid w:val="005B0C42"/>
    <w:rsid w:val="005B0EF2"/>
    <w:rsid w:val="005B56B9"/>
    <w:rsid w:val="005B5A24"/>
    <w:rsid w:val="005B6141"/>
    <w:rsid w:val="005B7752"/>
    <w:rsid w:val="005C1766"/>
    <w:rsid w:val="005C4FB3"/>
    <w:rsid w:val="005C5E1F"/>
    <w:rsid w:val="005D40CA"/>
    <w:rsid w:val="005D6462"/>
    <w:rsid w:val="005D6978"/>
    <w:rsid w:val="005D6E00"/>
    <w:rsid w:val="005E0C80"/>
    <w:rsid w:val="005E1146"/>
    <w:rsid w:val="005E77AE"/>
    <w:rsid w:val="005F1F78"/>
    <w:rsid w:val="005F63C8"/>
    <w:rsid w:val="00605043"/>
    <w:rsid w:val="00611886"/>
    <w:rsid w:val="0061376D"/>
    <w:rsid w:val="006156A9"/>
    <w:rsid w:val="006156AF"/>
    <w:rsid w:val="006179A1"/>
    <w:rsid w:val="0062074F"/>
    <w:rsid w:val="00621057"/>
    <w:rsid w:val="0062149E"/>
    <w:rsid w:val="006250E6"/>
    <w:rsid w:val="00626DB3"/>
    <w:rsid w:val="00632638"/>
    <w:rsid w:val="00635193"/>
    <w:rsid w:val="006378BF"/>
    <w:rsid w:val="00637F67"/>
    <w:rsid w:val="00640183"/>
    <w:rsid w:val="00641CAA"/>
    <w:rsid w:val="00643D4A"/>
    <w:rsid w:val="00644896"/>
    <w:rsid w:val="0064517D"/>
    <w:rsid w:val="0064619E"/>
    <w:rsid w:val="006470D5"/>
    <w:rsid w:val="00651F26"/>
    <w:rsid w:val="0065348B"/>
    <w:rsid w:val="006538F1"/>
    <w:rsid w:val="00657FD2"/>
    <w:rsid w:val="006617DE"/>
    <w:rsid w:val="00674C8B"/>
    <w:rsid w:val="006777BD"/>
    <w:rsid w:val="00677C9D"/>
    <w:rsid w:val="00682082"/>
    <w:rsid w:val="006838CE"/>
    <w:rsid w:val="0068417E"/>
    <w:rsid w:val="00685221"/>
    <w:rsid w:val="00687520"/>
    <w:rsid w:val="006A1A3E"/>
    <w:rsid w:val="006A2937"/>
    <w:rsid w:val="006B0A37"/>
    <w:rsid w:val="006B41B2"/>
    <w:rsid w:val="006B6E6C"/>
    <w:rsid w:val="006B7B49"/>
    <w:rsid w:val="006C6F61"/>
    <w:rsid w:val="006C7758"/>
    <w:rsid w:val="006C79F9"/>
    <w:rsid w:val="006D3EA7"/>
    <w:rsid w:val="006D6FDF"/>
    <w:rsid w:val="006E0644"/>
    <w:rsid w:val="006E11A7"/>
    <w:rsid w:val="006E24AB"/>
    <w:rsid w:val="006E3B68"/>
    <w:rsid w:val="006E6C5E"/>
    <w:rsid w:val="006E734D"/>
    <w:rsid w:val="006F02AE"/>
    <w:rsid w:val="006F23E1"/>
    <w:rsid w:val="006F27F5"/>
    <w:rsid w:val="006F2B31"/>
    <w:rsid w:val="006F306B"/>
    <w:rsid w:val="00701B1F"/>
    <w:rsid w:val="00703598"/>
    <w:rsid w:val="007037EC"/>
    <w:rsid w:val="007062CD"/>
    <w:rsid w:val="00713026"/>
    <w:rsid w:val="007136C8"/>
    <w:rsid w:val="00720343"/>
    <w:rsid w:val="00720488"/>
    <w:rsid w:val="00722A91"/>
    <w:rsid w:val="00724B31"/>
    <w:rsid w:val="007406F5"/>
    <w:rsid w:val="00743ABA"/>
    <w:rsid w:val="00746B61"/>
    <w:rsid w:val="00746D2F"/>
    <w:rsid w:val="0075082D"/>
    <w:rsid w:val="007515FF"/>
    <w:rsid w:val="00756D18"/>
    <w:rsid w:val="0078467F"/>
    <w:rsid w:val="00784BC5"/>
    <w:rsid w:val="00787FE1"/>
    <w:rsid w:val="00792CE4"/>
    <w:rsid w:val="00793159"/>
    <w:rsid w:val="007966BE"/>
    <w:rsid w:val="007A00C3"/>
    <w:rsid w:val="007A5C45"/>
    <w:rsid w:val="007A6848"/>
    <w:rsid w:val="007B0CDC"/>
    <w:rsid w:val="007B1181"/>
    <w:rsid w:val="007B16C0"/>
    <w:rsid w:val="007B21D5"/>
    <w:rsid w:val="007B260F"/>
    <w:rsid w:val="007B31C4"/>
    <w:rsid w:val="007C0337"/>
    <w:rsid w:val="007C24D1"/>
    <w:rsid w:val="007C3A76"/>
    <w:rsid w:val="007C758E"/>
    <w:rsid w:val="007D0551"/>
    <w:rsid w:val="007D0E69"/>
    <w:rsid w:val="007D19C6"/>
    <w:rsid w:val="007D71AF"/>
    <w:rsid w:val="007E23DC"/>
    <w:rsid w:val="007E46EF"/>
    <w:rsid w:val="007E74A9"/>
    <w:rsid w:val="007E7C3C"/>
    <w:rsid w:val="007F00FF"/>
    <w:rsid w:val="007F0339"/>
    <w:rsid w:val="007F2E67"/>
    <w:rsid w:val="007F519B"/>
    <w:rsid w:val="007F6522"/>
    <w:rsid w:val="0080011F"/>
    <w:rsid w:val="00800E78"/>
    <w:rsid w:val="00812962"/>
    <w:rsid w:val="00816546"/>
    <w:rsid w:val="00823196"/>
    <w:rsid w:val="008236E8"/>
    <w:rsid w:val="00825BA2"/>
    <w:rsid w:val="008316DC"/>
    <w:rsid w:val="00835CED"/>
    <w:rsid w:val="00836EF2"/>
    <w:rsid w:val="008373AC"/>
    <w:rsid w:val="00842B0E"/>
    <w:rsid w:val="00843E98"/>
    <w:rsid w:val="008459BC"/>
    <w:rsid w:val="00850105"/>
    <w:rsid w:val="008504EA"/>
    <w:rsid w:val="00853F7E"/>
    <w:rsid w:val="00857D01"/>
    <w:rsid w:val="008627DC"/>
    <w:rsid w:val="0086494B"/>
    <w:rsid w:val="008652BE"/>
    <w:rsid w:val="00867D0E"/>
    <w:rsid w:val="008704B2"/>
    <w:rsid w:val="0087059B"/>
    <w:rsid w:val="008757C0"/>
    <w:rsid w:val="008771D2"/>
    <w:rsid w:val="0088377E"/>
    <w:rsid w:val="008838D1"/>
    <w:rsid w:val="00883CDD"/>
    <w:rsid w:val="00885293"/>
    <w:rsid w:val="0088748D"/>
    <w:rsid w:val="00887BA7"/>
    <w:rsid w:val="008A218A"/>
    <w:rsid w:val="008A46CC"/>
    <w:rsid w:val="008A5787"/>
    <w:rsid w:val="008B2D1B"/>
    <w:rsid w:val="008C4386"/>
    <w:rsid w:val="008C4552"/>
    <w:rsid w:val="008C4FCB"/>
    <w:rsid w:val="008C52DC"/>
    <w:rsid w:val="008C6E8F"/>
    <w:rsid w:val="008C7122"/>
    <w:rsid w:val="008D1B99"/>
    <w:rsid w:val="008D460A"/>
    <w:rsid w:val="008D6223"/>
    <w:rsid w:val="008E068C"/>
    <w:rsid w:val="008E29A7"/>
    <w:rsid w:val="008E75D2"/>
    <w:rsid w:val="008F3DAA"/>
    <w:rsid w:val="008F45D7"/>
    <w:rsid w:val="009043F5"/>
    <w:rsid w:val="00907B48"/>
    <w:rsid w:val="00913C97"/>
    <w:rsid w:val="009175EE"/>
    <w:rsid w:val="00923A56"/>
    <w:rsid w:val="009244F6"/>
    <w:rsid w:val="00924F71"/>
    <w:rsid w:val="00926130"/>
    <w:rsid w:val="0092732A"/>
    <w:rsid w:val="00930008"/>
    <w:rsid w:val="0093462C"/>
    <w:rsid w:val="00942948"/>
    <w:rsid w:val="00942EE6"/>
    <w:rsid w:val="00944FC7"/>
    <w:rsid w:val="009453B5"/>
    <w:rsid w:val="00945691"/>
    <w:rsid w:val="00947BD7"/>
    <w:rsid w:val="00950E11"/>
    <w:rsid w:val="00951641"/>
    <w:rsid w:val="009556C7"/>
    <w:rsid w:val="0096738D"/>
    <w:rsid w:val="00974441"/>
    <w:rsid w:val="009805F5"/>
    <w:rsid w:val="0098211B"/>
    <w:rsid w:val="00982231"/>
    <w:rsid w:val="00984CC4"/>
    <w:rsid w:val="00984DB2"/>
    <w:rsid w:val="00997A5C"/>
    <w:rsid w:val="009A1B99"/>
    <w:rsid w:val="009A1C3C"/>
    <w:rsid w:val="009A3E66"/>
    <w:rsid w:val="009B0158"/>
    <w:rsid w:val="009B24B2"/>
    <w:rsid w:val="009C06E7"/>
    <w:rsid w:val="009C26E0"/>
    <w:rsid w:val="009C5EC8"/>
    <w:rsid w:val="009D462C"/>
    <w:rsid w:val="009D7592"/>
    <w:rsid w:val="009D779C"/>
    <w:rsid w:val="009E0F1D"/>
    <w:rsid w:val="009E0F71"/>
    <w:rsid w:val="009E28B3"/>
    <w:rsid w:val="009E40B9"/>
    <w:rsid w:val="009E724D"/>
    <w:rsid w:val="009E7B5E"/>
    <w:rsid w:val="009F1985"/>
    <w:rsid w:val="009F3FF8"/>
    <w:rsid w:val="00A069FD"/>
    <w:rsid w:val="00A112A0"/>
    <w:rsid w:val="00A1183E"/>
    <w:rsid w:val="00A22209"/>
    <w:rsid w:val="00A22CB6"/>
    <w:rsid w:val="00A26D54"/>
    <w:rsid w:val="00A31951"/>
    <w:rsid w:val="00A351A5"/>
    <w:rsid w:val="00A43FB7"/>
    <w:rsid w:val="00A46293"/>
    <w:rsid w:val="00A513CA"/>
    <w:rsid w:val="00A518A3"/>
    <w:rsid w:val="00A54574"/>
    <w:rsid w:val="00A54884"/>
    <w:rsid w:val="00A56789"/>
    <w:rsid w:val="00A633B5"/>
    <w:rsid w:val="00A64264"/>
    <w:rsid w:val="00A64527"/>
    <w:rsid w:val="00A65D6D"/>
    <w:rsid w:val="00A736B9"/>
    <w:rsid w:val="00A801E5"/>
    <w:rsid w:val="00A839E0"/>
    <w:rsid w:val="00A84FF8"/>
    <w:rsid w:val="00A904D5"/>
    <w:rsid w:val="00A9093E"/>
    <w:rsid w:val="00A90BD3"/>
    <w:rsid w:val="00A97CF9"/>
    <w:rsid w:val="00AA05ED"/>
    <w:rsid w:val="00AB0E23"/>
    <w:rsid w:val="00AB2092"/>
    <w:rsid w:val="00AB321E"/>
    <w:rsid w:val="00AB38A2"/>
    <w:rsid w:val="00AB3B44"/>
    <w:rsid w:val="00AB4E62"/>
    <w:rsid w:val="00AC2AE5"/>
    <w:rsid w:val="00AD4845"/>
    <w:rsid w:val="00AD5033"/>
    <w:rsid w:val="00AD5EF9"/>
    <w:rsid w:val="00AE04A9"/>
    <w:rsid w:val="00AE3C38"/>
    <w:rsid w:val="00AF1792"/>
    <w:rsid w:val="00AF7179"/>
    <w:rsid w:val="00B00767"/>
    <w:rsid w:val="00B05526"/>
    <w:rsid w:val="00B07C60"/>
    <w:rsid w:val="00B114B9"/>
    <w:rsid w:val="00B122D8"/>
    <w:rsid w:val="00B12B64"/>
    <w:rsid w:val="00B12EC1"/>
    <w:rsid w:val="00B134C1"/>
    <w:rsid w:val="00B14EF7"/>
    <w:rsid w:val="00B15A4D"/>
    <w:rsid w:val="00B20FD4"/>
    <w:rsid w:val="00B21DA6"/>
    <w:rsid w:val="00B22765"/>
    <w:rsid w:val="00B2288A"/>
    <w:rsid w:val="00B32418"/>
    <w:rsid w:val="00B35715"/>
    <w:rsid w:val="00B36F33"/>
    <w:rsid w:val="00B4326C"/>
    <w:rsid w:val="00B5279F"/>
    <w:rsid w:val="00B54CF4"/>
    <w:rsid w:val="00B554BA"/>
    <w:rsid w:val="00B674A8"/>
    <w:rsid w:val="00B74887"/>
    <w:rsid w:val="00B74DCC"/>
    <w:rsid w:val="00B7542E"/>
    <w:rsid w:val="00B80EB8"/>
    <w:rsid w:val="00B83AA4"/>
    <w:rsid w:val="00B86AD3"/>
    <w:rsid w:val="00B91B54"/>
    <w:rsid w:val="00B922B4"/>
    <w:rsid w:val="00BA1C8E"/>
    <w:rsid w:val="00BA79F8"/>
    <w:rsid w:val="00BA7A13"/>
    <w:rsid w:val="00BB6193"/>
    <w:rsid w:val="00BB61C9"/>
    <w:rsid w:val="00BC14FB"/>
    <w:rsid w:val="00BC3590"/>
    <w:rsid w:val="00BC7439"/>
    <w:rsid w:val="00BD70E1"/>
    <w:rsid w:val="00BE319C"/>
    <w:rsid w:val="00BF21E3"/>
    <w:rsid w:val="00BF2EF5"/>
    <w:rsid w:val="00BF4A5E"/>
    <w:rsid w:val="00BF5C25"/>
    <w:rsid w:val="00C05164"/>
    <w:rsid w:val="00C05D88"/>
    <w:rsid w:val="00C11691"/>
    <w:rsid w:val="00C16F3B"/>
    <w:rsid w:val="00C20BA8"/>
    <w:rsid w:val="00C26F7A"/>
    <w:rsid w:val="00C27298"/>
    <w:rsid w:val="00C308F6"/>
    <w:rsid w:val="00C405BD"/>
    <w:rsid w:val="00C42FD5"/>
    <w:rsid w:val="00C466FF"/>
    <w:rsid w:val="00C506C3"/>
    <w:rsid w:val="00C5482F"/>
    <w:rsid w:val="00C5596D"/>
    <w:rsid w:val="00C56E35"/>
    <w:rsid w:val="00C57EB6"/>
    <w:rsid w:val="00C60AB7"/>
    <w:rsid w:val="00C62CDC"/>
    <w:rsid w:val="00C63905"/>
    <w:rsid w:val="00C669AE"/>
    <w:rsid w:val="00C82BCB"/>
    <w:rsid w:val="00C82FAB"/>
    <w:rsid w:val="00C8667D"/>
    <w:rsid w:val="00C870D6"/>
    <w:rsid w:val="00C9063F"/>
    <w:rsid w:val="00C9521F"/>
    <w:rsid w:val="00C9610C"/>
    <w:rsid w:val="00C9718E"/>
    <w:rsid w:val="00C97B39"/>
    <w:rsid w:val="00CA359F"/>
    <w:rsid w:val="00CA5290"/>
    <w:rsid w:val="00CA7841"/>
    <w:rsid w:val="00CA7BD0"/>
    <w:rsid w:val="00CB1CE9"/>
    <w:rsid w:val="00CB2DD4"/>
    <w:rsid w:val="00CB3C5D"/>
    <w:rsid w:val="00CB57E1"/>
    <w:rsid w:val="00CC2E0A"/>
    <w:rsid w:val="00CC707C"/>
    <w:rsid w:val="00CC72F2"/>
    <w:rsid w:val="00CC7739"/>
    <w:rsid w:val="00CE14E1"/>
    <w:rsid w:val="00CF3F89"/>
    <w:rsid w:val="00CF6528"/>
    <w:rsid w:val="00CF684E"/>
    <w:rsid w:val="00D00747"/>
    <w:rsid w:val="00D01141"/>
    <w:rsid w:val="00D069C5"/>
    <w:rsid w:val="00D06FE1"/>
    <w:rsid w:val="00D07242"/>
    <w:rsid w:val="00D073E4"/>
    <w:rsid w:val="00D108F2"/>
    <w:rsid w:val="00D16C1B"/>
    <w:rsid w:val="00D174DA"/>
    <w:rsid w:val="00D22761"/>
    <w:rsid w:val="00D228DC"/>
    <w:rsid w:val="00D23323"/>
    <w:rsid w:val="00D23660"/>
    <w:rsid w:val="00D2442E"/>
    <w:rsid w:val="00D358F6"/>
    <w:rsid w:val="00D40696"/>
    <w:rsid w:val="00D40FA0"/>
    <w:rsid w:val="00D413D8"/>
    <w:rsid w:val="00D45F84"/>
    <w:rsid w:val="00D527B5"/>
    <w:rsid w:val="00D54279"/>
    <w:rsid w:val="00D5612F"/>
    <w:rsid w:val="00D564CE"/>
    <w:rsid w:val="00D622E5"/>
    <w:rsid w:val="00D64873"/>
    <w:rsid w:val="00D665FA"/>
    <w:rsid w:val="00D701E2"/>
    <w:rsid w:val="00D724CE"/>
    <w:rsid w:val="00D84845"/>
    <w:rsid w:val="00D86404"/>
    <w:rsid w:val="00D86BA3"/>
    <w:rsid w:val="00D90EE1"/>
    <w:rsid w:val="00D93FF4"/>
    <w:rsid w:val="00D94AA9"/>
    <w:rsid w:val="00DA1FE7"/>
    <w:rsid w:val="00DA655A"/>
    <w:rsid w:val="00DA72C4"/>
    <w:rsid w:val="00DA755B"/>
    <w:rsid w:val="00DA7990"/>
    <w:rsid w:val="00DB3563"/>
    <w:rsid w:val="00DB77E1"/>
    <w:rsid w:val="00DC4612"/>
    <w:rsid w:val="00DC5458"/>
    <w:rsid w:val="00DD2006"/>
    <w:rsid w:val="00DD6974"/>
    <w:rsid w:val="00DE4E29"/>
    <w:rsid w:val="00DE514D"/>
    <w:rsid w:val="00DF5A90"/>
    <w:rsid w:val="00E01130"/>
    <w:rsid w:val="00E05B56"/>
    <w:rsid w:val="00E11047"/>
    <w:rsid w:val="00E13798"/>
    <w:rsid w:val="00E147EF"/>
    <w:rsid w:val="00E148AB"/>
    <w:rsid w:val="00E17C7F"/>
    <w:rsid w:val="00E20F7D"/>
    <w:rsid w:val="00E26583"/>
    <w:rsid w:val="00E26DCC"/>
    <w:rsid w:val="00E32D2C"/>
    <w:rsid w:val="00E33D14"/>
    <w:rsid w:val="00E34D90"/>
    <w:rsid w:val="00E357F6"/>
    <w:rsid w:val="00E4070D"/>
    <w:rsid w:val="00E432EB"/>
    <w:rsid w:val="00E56DFA"/>
    <w:rsid w:val="00E61279"/>
    <w:rsid w:val="00E72C5A"/>
    <w:rsid w:val="00E72F55"/>
    <w:rsid w:val="00E76D62"/>
    <w:rsid w:val="00E777A6"/>
    <w:rsid w:val="00E83B73"/>
    <w:rsid w:val="00E854BA"/>
    <w:rsid w:val="00E859FB"/>
    <w:rsid w:val="00E92A52"/>
    <w:rsid w:val="00E94E55"/>
    <w:rsid w:val="00EA37E5"/>
    <w:rsid w:val="00EB03D8"/>
    <w:rsid w:val="00EB3D29"/>
    <w:rsid w:val="00EB443F"/>
    <w:rsid w:val="00EB476E"/>
    <w:rsid w:val="00EB7F15"/>
    <w:rsid w:val="00EC025F"/>
    <w:rsid w:val="00EC02F8"/>
    <w:rsid w:val="00EC41B5"/>
    <w:rsid w:val="00EC5461"/>
    <w:rsid w:val="00EC59AB"/>
    <w:rsid w:val="00EC5B0E"/>
    <w:rsid w:val="00EC7C12"/>
    <w:rsid w:val="00ED0069"/>
    <w:rsid w:val="00ED1164"/>
    <w:rsid w:val="00ED177E"/>
    <w:rsid w:val="00ED3706"/>
    <w:rsid w:val="00ED5546"/>
    <w:rsid w:val="00ED6FA9"/>
    <w:rsid w:val="00ED7DB4"/>
    <w:rsid w:val="00EE5B09"/>
    <w:rsid w:val="00EF068E"/>
    <w:rsid w:val="00EF08BD"/>
    <w:rsid w:val="00EF0925"/>
    <w:rsid w:val="00EF2B7F"/>
    <w:rsid w:val="00EF430A"/>
    <w:rsid w:val="00EF43B4"/>
    <w:rsid w:val="00F017ED"/>
    <w:rsid w:val="00F0421D"/>
    <w:rsid w:val="00F054E5"/>
    <w:rsid w:val="00F054FA"/>
    <w:rsid w:val="00F0613E"/>
    <w:rsid w:val="00F123B2"/>
    <w:rsid w:val="00F12DD0"/>
    <w:rsid w:val="00F17E98"/>
    <w:rsid w:val="00F21AEB"/>
    <w:rsid w:val="00F242B0"/>
    <w:rsid w:val="00F24E3D"/>
    <w:rsid w:val="00F257E9"/>
    <w:rsid w:val="00F2590B"/>
    <w:rsid w:val="00F269BB"/>
    <w:rsid w:val="00F34EF4"/>
    <w:rsid w:val="00F356CE"/>
    <w:rsid w:val="00F36F4C"/>
    <w:rsid w:val="00F379E6"/>
    <w:rsid w:val="00F42348"/>
    <w:rsid w:val="00F453B6"/>
    <w:rsid w:val="00F56EB0"/>
    <w:rsid w:val="00F619D4"/>
    <w:rsid w:val="00F62957"/>
    <w:rsid w:val="00F7305C"/>
    <w:rsid w:val="00F7357B"/>
    <w:rsid w:val="00F74F7E"/>
    <w:rsid w:val="00F825B0"/>
    <w:rsid w:val="00F84439"/>
    <w:rsid w:val="00F8794B"/>
    <w:rsid w:val="00F907CC"/>
    <w:rsid w:val="00F9616C"/>
    <w:rsid w:val="00FB18CC"/>
    <w:rsid w:val="00FC5B2E"/>
    <w:rsid w:val="00FD0D43"/>
    <w:rsid w:val="00FE00AB"/>
    <w:rsid w:val="00FE0223"/>
    <w:rsid w:val="00FE5B6A"/>
    <w:rsid w:val="00FF187A"/>
    <w:rsid w:val="00FF20BA"/>
    <w:rsid w:val="00FF3477"/>
    <w:rsid w:val="00FF55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EA22DC"/>
  <w15:docId w15:val="{74BC0610-B557-4A0F-9CA8-06069C47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A24"/>
    <w:pPr>
      <w:spacing w:after="0"/>
      <w:jc w:val="both"/>
    </w:pPr>
    <w:rPr>
      <w:rFonts w:ascii="Arial" w:hAnsi="Arial"/>
    </w:rPr>
  </w:style>
  <w:style w:type="paragraph" w:styleId="Heading1">
    <w:name w:val="heading 1"/>
    <w:basedOn w:val="Normal"/>
    <w:next w:val="Normal"/>
    <w:link w:val="Heading1Char"/>
    <w:uiPriority w:val="9"/>
    <w:qFormat/>
    <w:rsid w:val="00325010"/>
    <w:pPr>
      <w:keepNext/>
      <w:keepLines/>
      <w:widowControl w:val="0"/>
      <w:spacing w:before="120" w:after="120"/>
      <w:ind w:left="425" w:hanging="425"/>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25010"/>
    <w:pPr>
      <w:keepNext/>
      <w:keepLines/>
      <w:widowControl w:val="0"/>
      <w:spacing w:before="120" w:after="120"/>
      <w:ind w:left="425" w:hanging="425"/>
      <w:outlineLvl w:val="1"/>
    </w:pPr>
    <w:rPr>
      <w:rFonts w:eastAsiaTheme="majorEastAsia" w:cs="Arial"/>
      <w:b/>
      <w:sz w:val="24"/>
      <w:szCs w:val="26"/>
    </w:rPr>
  </w:style>
  <w:style w:type="paragraph" w:styleId="Heading3">
    <w:name w:val="heading 3"/>
    <w:basedOn w:val="Normal"/>
    <w:next w:val="Normal"/>
    <w:link w:val="Heading3Char"/>
    <w:uiPriority w:val="9"/>
    <w:unhideWhenUsed/>
    <w:qFormat/>
    <w:rsid w:val="00325010"/>
    <w:pPr>
      <w:keepNext/>
      <w:keepLines/>
      <w:widowControl w:val="0"/>
      <w:spacing w:after="120"/>
      <w:outlineLvl w:val="2"/>
    </w:pPr>
    <w:rPr>
      <w:rFonts w:eastAsiaTheme="majorEastAsia" w:cs="Arial"/>
      <w:szCs w:val="24"/>
      <w:u w:val="single"/>
    </w:rPr>
  </w:style>
  <w:style w:type="paragraph" w:styleId="Heading4">
    <w:name w:val="heading 4"/>
    <w:basedOn w:val="Normal"/>
    <w:next w:val="Normal"/>
    <w:link w:val="Heading4Char"/>
    <w:uiPriority w:val="9"/>
    <w:unhideWhenUsed/>
    <w:qFormat/>
    <w:rsid w:val="00325010"/>
    <w:pPr>
      <w:keepNext/>
      <w:keepLines/>
      <w:widowControl w:val="0"/>
      <w:spacing w:before="40"/>
      <w:outlineLvl w:val="3"/>
    </w:pPr>
    <w:rPr>
      <w:rFonts w:eastAsiaTheme="majorEastAsia" w:cs="Arial"/>
      <w:b/>
      <w:iCs/>
    </w:rPr>
  </w:style>
  <w:style w:type="paragraph" w:styleId="Heading5">
    <w:name w:val="heading 5"/>
    <w:basedOn w:val="Heading4"/>
    <w:next w:val="Normal"/>
    <w:link w:val="Heading5Char"/>
    <w:uiPriority w:val="9"/>
    <w:unhideWhenUsed/>
    <w:qFormat/>
    <w:rsid w:val="0033620D"/>
    <w:pPr>
      <w:spacing w:after="120"/>
      <w:outlineLvl w:val="4"/>
    </w:pPr>
  </w:style>
  <w:style w:type="paragraph" w:styleId="Heading6">
    <w:name w:val="heading 6"/>
    <w:basedOn w:val="Normal"/>
    <w:next w:val="Normal"/>
    <w:link w:val="Heading6Char"/>
    <w:uiPriority w:val="9"/>
    <w:unhideWhenUsed/>
    <w:qFormat/>
    <w:rsid w:val="00BF5C2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93C1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93C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3C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08A"/>
    <w:pPr>
      <w:ind w:left="720"/>
      <w:contextualSpacing/>
    </w:pPr>
  </w:style>
  <w:style w:type="character" w:customStyle="1" w:styleId="Heading1Char">
    <w:name w:val="Heading 1 Char"/>
    <w:basedOn w:val="DefaultParagraphFont"/>
    <w:link w:val="Heading1"/>
    <w:uiPriority w:val="9"/>
    <w:rsid w:val="00325010"/>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325010"/>
    <w:rPr>
      <w:rFonts w:ascii="Arial" w:eastAsiaTheme="majorEastAsia" w:hAnsi="Arial" w:cs="Arial"/>
      <w:b/>
      <w:sz w:val="24"/>
      <w:szCs w:val="26"/>
    </w:rPr>
  </w:style>
  <w:style w:type="character" w:customStyle="1" w:styleId="Heading3Char">
    <w:name w:val="Heading 3 Char"/>
    <w:basedOn w:val="DefaultParagraphFont"/>
    <w:link w:val="Heading3"/>
    <w:uiPriority w:val="9"/>
    <w:rsid w:val="00325010"/>
    <w:rPr>
      <w:rFonts w:ascii="Arial" w:eastAsiaTheme="majorEastAsia" w:hAnsi="Arial" w:cs="Arial"/>
      <w:szCs w:val="24"/>
      <w:u w:val="single"/>
    </w:rPr>
  </w:style>
  <w:style w:type="paragraph" w:styleId="Header">
    <w:name w:val="header"/>
    <w:basedOn w:val="Normal"/>
    <w:link w:val="HeaderChar"/>
    <w:uiPriority w:val="99"/>
    <w:unhideWhenUsed/>
    <w:rsid w:val="00245127"/>
    <w:pPr>
      <w:tabs>
        <w:tab w:val="center" w:pos="4513"/>
        <w:tab w:val="right" w:pos="9026"/>
      </w:tabs>
      <w:spacing w:line="240" w:lineRule="auto"/>
    </w:pPr>
  </w:style>
  <w:style w:type="character" w:customStyle="1" w:styleId="HeaderChar">
    <w:name w:val="Header Char"/>
    <w:basedOn w:val="DefaultParagraphFont"/>
    <w:link w:val="Header"/>
    <w:uiPriority w:val="99"/>
    <w:rsid w:val="00245127"/>
  </w:style>
  <w:style w:type="paragraph" w:styleId="Footer">
    <w:name w:val="footer"/>
    <w:basedOn w:val="Normal"/>
    <w:link w:val="FooterChar"/>
    <w:unhideWhenUsed/>
    <w:rsid w:val="00245127"/>
    <w:pPr>
      <w:tabs>
        <w:tab w:val="center" w:pos="4513"/>
        <w:tab w:val="right" w:pos="9026"/>
      </w:tabs>
      <w:spacing w:line="240" w:lineRule="auto"/>
    </w:pPr>
  </w:style>
  <w:style w:type="character" w:customStyle="1" w:styleId="FooterChar">
    <w:name w:val="Footer Char"/>
    <w:basedOn w:val="DefaultParagraphFont"/>
    <w:link w:val="Footer"/>
    <w:rsid w:val="00245127"/>
  </w:style>
  <w:style w:type="paragraph" w:styleId="BalloonText">
    <w:name w:val="Balloon Text"/>
    <w:basedOn w:val="Normal"/>
    <w:link w:val="BalloonTextChar"/>
    <w:uiPriority w:val="99"/>
    <w:semiHidden/>
    <w:unhideWhenUsed/>
    <w:rsid w:val="00E76D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D62"/>
    <w:rPr>
      <w:rFonts w:ascii="Segoe UI" w:hAnsi="Segoe UI" w:cs="Segoe UI"/>
      <w:sz w:val="18"/>
      <w:szCs w:val="18"/>
    </w:rPr>
  </w:style>
  <w:style w:type="character" w:styleId="Hyperlink">
    <w:name w:val="Hyperlink"/>
    <w:basedOn w:val="DefaultParagraphFont"/>
    <w:uiPriority w:val="99"/>
    <w:unhideWhenUsed/>
    <w:rsid w:val="00584696"/>
    <w:rPr>
      <w:color w:val="0563C1" w:themeColor="hyperlink"/>
      <w:u w:val="single"/>
    </w:rPr>
  </w:style>
  <w:style w:type="table" w:styleId="TableGrid">
    <w:name w:val="Table Grid"/>
    <w:basedOn w:val="TableNormal"/>
    <w:uiPriority w:val="59"/>
    <w:rsid w:val="00C4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93FF4"/>
    <w:rPr>
      <w:sz w:val="16"/>
      <w:szCs w:val="16"/>
    </w:rPr>
  </w:style>
  <w:style w:type="paragraph" w:styleId="CommentText">
    <w:name w:val="annotation text"/>
    <w:basedOn w:val="Normal"/>
    <w:link w:val="CommentTextChar"/>
    <w:uiPriority w:val="99"/>
    <w:semiHidden/>
    <w:unhideWhenUsed/>
    <w:rsid w:val="00D93FF4"/>
    <w:pPr>
      <w:spacing w:line="240" w:lineRule="auto"/>
    </w:pPr>
    <w:rPr>
      <w:sz w:val="20"/>
      <w:szCs w:val="20"/>
    </w:rPr>
  </w:style>
  <w:style w:type="character" w:customStyle="1" w:styleId="CommentTextChar">
    <w:name w:val="Comment Text Char"/>
    <w:basedOn w:val="DefaultParagraphFont"/>
    <w:link w:val="CommentText"/>
    <w:uiPriority w:val="99"/>
    <w:semiHidden/>
    <w:rsid w:val="00D93FF4"/>
    <w:rPr>
      <w:sz w:val="20"/>
      <w:szCs w:val="20"/>
    </w:rPr>
  </w:style>
  <w:style w:type="paragraph" w:styleId="CommentSubject">
    <w:name w:val="annotation subject"/>
    <w:basedOn w:val="CommentText"/>
    <w:next w:val="CommentText"/>
    <w:link w:val="CommentSubjectChar"/>
    <w:uiPriority w:val="99"/>
    <w:semiHidden/>
    <w:unhideWhenUsed/>
    <w:rsid w:val="00D93FF4"/>
    <w:rPr>
      <w:b/>
      <w:bCs/>
    </w:rPr>
  </w:style>
  <w:style w:type="character" w:customStyle="1" w:styleId="CommentSubjectChar">
    <w:name w:val="Comment Subject Char"/>
    <w:basedOn w:val="CommentTextChar"/>
    <w:link w:val="CommentSubject"/>
    <w:uiPriority w:val="99"/>
    <w:semiHidden/>
    <w:rsid w:val="00D93FF4"/>
    <w:rPr>
      <w:b/>
      <w:bCs/>
      <w:sz w:val="20"/>
      <w:szCs w:val="20"/>
    </w:rPr>
  </w:style>
  <w:style w:type="character" w:customStyle="1" w:styleId="Heading4Char">
    <w:name w:val="Heading 4 Char"/>
    <w:basedOn w:val="DefaultParagraphFont"/>
    <w:link w:val="Heading4"/>
    <w:uiPriority w:val="9"/>
    <w:rsid w:val="00325010"/>
    <w:rPr>
      <w:rFonts w:ascii="Arial" w:eastAsiaTheme="majorEastAsia" w:hAnsi="Arial" w:cs="Arial"/>
      <w:b/>
      <w:iCs/>
    </w:rPr>
  </w:style>
  <w:style w:type="character" w:customStyle="1" w:styleId="Heading5Char">
    <w:name w:val="Heading 5 Char"/>
    <w:basedOn w:val="DefaultParagraphFont"/>
    <w:link w:val="Heading5"/>
    <w:uiPriority w:val="9"/>
    <w:rsid w:val="0033620D"/>
    <w:rPr>
      <w:rFonts w:ascii="Arial" w:eastAsiaTheme="majorEastAsia" w:hAnsi="Arial" w:cs="Arial"/>
      <w:b/>
      <w:iCs/>
    </w:rPr>
  </w:style>
  <w:style w:type="character" w:customStyle="1" w:styleId="UnresolvedMention1">
    <w:name w:val="Unresolved Mention1"/>
    <w:basedOn w:val="DefaultParagraphFont"/>
    <w:uiPriority w:val="99"/>
    <w:semiHidden/>
    <w:unhideWhenUsed/>
    <w:rsid w:val="00014D8B"/>
    <w:rPr>
      <w:color w:val="808080"/>
      <w:shd w:val="clear" w:color="auto" w:fill="E6E6E6"/>
    </w:rPr>
  </w:style>
  <w:style w:type="character" w:customStyle="1" w:styleId="subsm1">
    <w:name w:val="subsm1"/>
    <w:basedOn w:val="DefaultParagraphFont"/>
    <w:rsid w:val="000938CC"/>
    <w:rPr>
      <w:i w:val="0"/>
      <w:iCs w:val="0"/>
      <w:sz w:val="15"/>
      <w:szCs w:val="15"/>
      <w:vertAlign w:val="subscript"/>
    </w:rPr>
  </w:style>
  <w:style w:type="character" w:customStyle="1" w:styleId="Heading6Char">
    <w:name w:val="Heading 6 Char"/>
    <w:basedOn w:val="DefaultParagraphFont"/>
    <w:link w:val="Heading6"/>
    <w:uiPriority w:val="9"/>
    <w:rsid w:val="00BF5C25"/>
    <w:rPr>
      <w:rFonts w:asciiTheme="majorHAnsi" w:eastAsiaTheme="majorEastAsia" w:hAnsiTheme="majorHAnsi" w:cstheme="majorBidi"/>
      <w:color w:val="1F4D78" w:themeColor="accent1" w:themeShade="7F"/>
    </w:rPr>
  </w:style>
  <w:style w:type="table" w:customStyle="1" w:styleId="TableGrid1">
    <w:name w:val="Table Grid1"/>
    <w:basedOn w:val="TableNormal"/>
    <w:next w:val="TableGrid"/>
    <w:uiPriority w:val="39"/>
    <w:rsid w:val="00157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KColHead12L">
    <w:name w:val="FK ColHead 12L"/>
    <w:basedOn w:val="Normal"/>
    <w:qFormat/>
    <w:rsid w:val="00235817"/>
    <w:pPr>
      <w:keepNext/>
      <w:keepLines/>
      <w:spacing w:before="60" w:after="60" w:line="240" w:lineRule="auto"/>
      <w:jc w:val="left"/>
    </w:pPr>
    <w:rPr>
      <w:rFonts w:ascii="Times New Roman" w:hAnsi="Times New Roman" w:cs="Times New Roman"/>
      <w:b/>
      <w:sz w:val="24"/>
      <w:szCs w:val="24"/>
      <w:lang w:val="en-GB"/>
    </w:rPr>
  </w:style>
  <w:style w:type="paragraph" w:customStyle="1" w:styleId="FKTableText12L">
    <w:name w:val="FK TableText 12L"/>
    <w:basedOn w:val="Normal"/>
    <w:qFormat/>
    <w:rsid w:val="00235817"/>
    <w:pPr>
      <w:keepNext/>
      <w:keepLines/>
      <w:spacing w:before="60" w:after="60" w:line="240" w:lineRule="auto"/>
      <w:jc w:val="left"/>
    </w:pPr>
    <w:rPr>
      <w:rFonts w:ascii="Times New Roman" w:hAnsi="Times New Roman" w:cs="Times New Roman"/>
      <w:sz w:val="24"/>
      <w:szCs w:val="24"/>
      <w:lang w:val="en-GB"/>
    </w:rPr>
  </w:style>
  <w:style w:type="paragraph" w:customStyle="1" w:styleId="FKColHead12C">
    <w:name w:val="FK ColHead 12C"/>
    <w:basedOn w:val="Normal"/>
    <w:qFormat/>
    <w:rsid w:val="00235817"/>
    <w:pPr>
      <w:keepNext/>
      <w:keepLines/>
      <w:spacing w:before="60" w:after="60" w:line="240" w:lineRule="auto"/>
      <w:jc w:val="center"/>
    </w:pPr>
    <w:rPr>
      <w:rFonts w:ascii="Times New Roman" w:hAnsi="Times New Roman" w:cs="Times New Roman"/>
      <w:b/>
      <w:sz w:val="24"/>
      <w:szCs w:val="24"/>
      <w:lang w:val="en-GB"/>
    </w:rPr>
  </w:style>
  <w:style w:type="paragraph" w:customStyle="1" w:styleId="FKTableText12C">
    <w:name w:val="FK TableText 12C"/>
    <w:basedOn w:val="Normal"/>
    <w:qFormat/>
    <w:rsid w:val="00235817"/>
    <w:pPr>
      <w:keepNext/>
      <w:keepLines/>
      <w:spacing w:before="60" w:after="60" w:line="240" w:lineRule="auto"/>
      <w:jc w:val="center"/>
    </w:pPr>
    <w:rPr>
      <w:rFonts w:ascii="Times New Roman" w:hAnsi="Times New Roman" w:cs="Times New Roman"/>
      <w:sz w:val="24"/>
      <w:szCs w:val="24"/>
      <w:lang w:val="en-GB"/>
    </w:rPr>
  </w:style>
  <w:style w:type="paragraph" w:customStyle="1" w:styleId="FKFootnote">
    <w:name w:val="FK Footnote"/>
    <w:basedOn w:val="Normal"/>
    <w:qFormat/>
    <w:rsid w:val="00235817"/>
    <w:pPr>
      <w:spacing w:before="20" w:after="20" w:line="240" w:lineRule="auto"/>
      <w:ind w:left="360" w:hanging="360"/>
      <w:jc w:val="left"/>
    </w:pPr>
    <w:rPr>
      <w:rFonts w:ascii="Times New Roman" w:hAnsi="Times New Roman" w:cs="Times New Roman"/>
      <w:sz w:val="20"/>
      <w:szCs w:val="20"/>
      <w:lang w:val="en-GB"/>
    </w:rPr>
  </w:style>
  <w:style w:type="paragraph" w:customStyle="1" w:styleId="FKBodyText">
    <w:name w:val="FK Body Text"/>
    <w:basedOn w:val="Normal"/>
    <w:link w:val="FKBodyTextChar"/>
    <w:qFormat/>
    <w:rsid w:val="00235817"/>
    <w:pPr>
      <w:spacing w:before="240" w:line="240" w:lineRule="auto"/>
      <w:jc w:val="left"/>
    </w:pPr>
    <w:rPr>
      <w:rFonts w:ascii="Times New Roman" w:hAnsi="Times New Roman" w:cs="Times New Roman"/>
      <w:sz w:val="24"/>
      <w:szCs w:val="24"/>
      <w:lang w:val="en-GB"/>
    </w:rPr>
  </w:style>
  <w:style w:type="character" w:customStyle="1" w:styleId="FKBodyTextChar">
    <w:name w:val="FK Body Text Char"/>
    <w:basedOn w:val="DefaultParagraphFont"/>
    <w:link w:val="FKBodyText"/>
    <w:rsid w:val="00235817"/>
    <w:rPr>
      <w:rFonts w:ascii="Times New Roman" w:hAnsi="Times New Roman" w:cs="Times New Roman"/>
      <w:sz w:val="24"/>
      <w:szCs w:val="24"/>
      <w:lang w:val="en-GB"/>
    </w:rPr>
  </w:style>
  <w:style w:type="paragraph" w:customStyle="1" w:styleId="FKBodyTextLinkBlue">
    <w:name w:val="FK Body Text Link Blue"/>
    <w:basedOn w:val="FKBodyText"/>
    <w:next w:val="FKBodyText"/>
    <w:link w:val="FKBodyTextLinkBlueZchn"/>
    <w:qFormat/>
    <w:rsid w:val="00984CC4"/>
    <w:rPr>
      <w:color w:val="0000FF"/>
    </w:rPr>
  </w:style>
  <w:style w:type="character" w:customStyle="1" w:styleId="FKBodyTextLinkBlueZchn">
    <w:name w:val="FK Body Text Link Blue Zchn"/>
    <w:basedOn w:val="FKBodyTextChar"/>
    <w:link w:val="FKBodyTextLinkBlue"/>
    <w:rsid w:val="00984CC4"/>
    <w:rPr>
      <w:rFonts w:ascii="Times New Roman" w:hAnsi="Times New Roman" w:cs="Times New Roman"/>
      <w:color w:val="0000FF"/>
      <w:sz w:val="24"/>
      <w:szCs w:val="24"/>
      <w:lang w:val="en-GB"/>
    </w:rPr>
  </w:style>
  <w:style w:type="paragraph" w:customStyle="1" w:styleId="FKColHead11L">
    <w:name w:val="FK ColHead 11L"/>
    <w:basedOn w:val="FKBodyText"/>
    <w:qFormat/>
    <w:rsid w:val="008459BC"/>
    <w:pPr>
      <w:keepNext/>
      <w:keepLines/>
      <w:spacing w:before="60" w:after="60"/>
    </w:pPr>
    <w:rPr>
      <w:b/>
      <w:sz w:val="22"/>
      <w:szCs w:val="22"/>
    </w:rPr>
  </w:style>
  <w:style w:type="paragraph" w:customStyle="1" w:styleId="FKTableText11L">
    <w:name w:val="FK TableText 11L"/>
    <w:basedOn w:val="FKBodyText"/>
    <w:qFormat/>
    <w:rsid w:val="008459BC"/>
    <w:pPr>
      <w:keepNext/>
      <w:keepLines/>
      <w:spacing w:before="60" w:after="60"/>
    </w:pPr>
    <w:rPr>
      <w:sz w:val="22"/>
      <w:szCs w:val="22"/>
    </w:rPr>
  </w:style>
  <w:style w:type="paragraph" w:customStyle="1" w:styleId="FKColHead11C">
    <w:name w:val="FK ColHead 11C"/>
    <w:basedOn w:val="FKBodyText"/>
    <w:qFormat/>
    <w:rsid w:val="008459BC"/>
    <w:pPr>
      <w:keepNext/>
      <w:keepLines/>
      <w:spacing w:before="60" w:after="60"/>
      <w:jc w:val="center"/>
    </w:pPr>
    <w:rPr>
      <w:b/>
      <w:sz w:val="22"/>
      <w:szCs w:val="22"/>
    </w:rPr>
  </w:style>
  <w:style w:type="paragraph" w:customStyle="1" w:styleId="FKTableText11C">
    <w:name w:val="FK TableText 11C"/>
    <w:basedOn w:val="FKBodyText"/>
    <w:qFormat/>
    <w:rsid w:val="008459BC"/>
    <w:pPr>
      <w:keepNext/>
      <w:keepLines/>
      <w:spacing w:before="60" w:after="60"/>
      <w:jc w:val="center"/>
    </w:pPr>
    <w:rPr>
      <w:sz w:val="22"/>
      <w:szCs w:val="22"/>
    </w:rPr>
  </w:style>
  <w:style w:type="paragraph" w:styleId="BodyText">
    <w:name w:val="Body Text"/>
    <w:basedOn w:val="Normal"/>
    <w:link w:val="BodyTextChar"/>
    <w:uiPriority w:val="99"/>
    <w:semiHidden/>
    <w:unhideWhenUsed/>
    <w:rsid w:val="000954F1"/>
    <w:pPr>
      <w:spacing w:after="120"/>
    </w:pPr>
  </w:style>
  <w:style w:type="character" w:customStyle="1" w:styleId="BodyTextChar">
    <w:name w:val="Body Text Char"/>
    <w:basedOn w:val="DefaultParagraphFont"/>
    <w:link w:val="BodyText"/>
    <w:uiPriority w:val="99"/>
    <w:semiHidden/>
    <w:rsid w:val="000954F1"/>
    <w:rPr>
      <w:rFonts w:ascii="Arial" w:hAnsi="Arial"/>
    </w:rPr>
  </w:style>
  <w:style w:type="paragraph" w:styleId="Revision">
    <w:name w:val="Revision"/>
    <w:hidden/>
    <w:uiPriority w:val="99"/>
    <w:semiHidden/>
    <w:rsid w:val="006F23E1"/>
    <w:pPr>
      <w:spacing w:after="0" w:line="240" w:lineRule="auto"/>
    </w:pPr>
    <w:rPr>
      <w:rFonts w:ascii="Arial" w:hAnsi="Arial"/>
    </w:rPr>
  </w:style>
  <w:style w:type="paragraph" w:styleId="Bibliography">
    <w:name w:val="Bibliography"/>
    <w:basedOn w:val="Normal"/>
    <w:next w:val="Normal"/>
    <w:uiPriority w:val="37"/>
    <w:semiHidden/>
    <w:unhideWhenUsed/>
    <w:rsid w:val="00093C1C"/>
  </w:style>
  <w:style w:type="paragraph" w:styleId="BlockText">
    <w:name w:val="Block Text"/>
    <w:basedOn w:val="Normal"/>
    <w:uiPriority w:val="99"/>
    <w:semiHidden/>
    <w:unhideWhenUsed/>
    <w:rsid w:val="00093C1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
    <w:uiPriority w:val="99"/>
    <w:semiHidden/>
    <w:unhideWhenUsed/>
    <w:rsid w:val="00093C1C"/>
    <w:pPr>
      <w:spacing w:after="120" w:line="480" w:lineRule="auto"/>
    </w:pPr>
  </w:style>
  <w:style w:type="character" w:customStyle="1" w:styleId="BodyText2Char">
    <w:name w:val="Body Text 2 Char"/>
    <w:basedOn w:val="DefaultParagraphFont"/>
    <w:link w:val="BodyText2"/>
    <w:uiPriority w:val="99"/>
    <w:semiHidden/>
    <w:rsid w:val="00093C1C"/>
    <w:rPr>
      <w:rFonts w:ascii="Arial" w:hAnsi="Arial"/>
    </w:rPr>
  </w:style>
  <w:style w:type="paragraph" w:styleId="BodyText3">
    <w:name w:val="Body Text 3"/>
    <w:basedOn w:val="Normal"/>
    <w:link w:val="BodyText3Char"/>
    <w:uiPriority w:val="99"/>
    <w:semiHidden/>
    <w:unhideWhenUsed/>
    <w:rsid w:val="00093C1C"/>
    <w:pPr>
      <w:spacing w:after="120"/>
    </w:pPr>
    <w:rPr>
      <w:sz w:val="16"/>
      <w:szCs w:val="16"/>
    </w:rPr>
  </w:style>
  <w:style w:type="character" w:customStyle="1" w:styleId="BodyText3Char">
    <w:name w:val="Body Text 3 Char"/>
    <w:basedOn w:val="DefaultParagraphFont"/>
    <w:link w:val="BodyText3"/>
    <w:uiPriority w:val="99"/>
    <w:semiHidden/>
    <w:rsid w:val="00093C1C"/>
    <w:rPr>
      <w:rFonts w:ascii="Arial" w:hAnsi="Arial"/>
      <w:sz w:val="16"/>
      <w:szCs w:val="16"/>
    </w:rPr>
  </w:style>
  <w:style w:type="paragraph" w:styleId="BodyTextFirstIndent">
    <w:name w:val="Body Text First Indent"/>
    <w:basedOn w:val="BodyText"/>
    <w:link w:val="BodyTextFirstIndentChar"/>
    <w:uiPriority w:val="99"/>
    <w:semiHidden/>
    <w:unhideWhenUsed/>
    <w:rsid w:val="00093C1C"/>
    <w:pPr>
      <w:spacing w:after="0"/>
      <w:ind w:firstLine="360"/>
    </w:pPr>
  </w:style>
  <w:style w:type="character" w:customStyle="1" w:styleId="BodyTextFirstIndentChar">
    <w:name w:val="Body Text First Indent Char"/>
    <w:basedOn w:val="BodyTextChar"/>
    <w:link w:val="BodyTextFirstIndent"/>
    <w:uiPriority w:val="99"/>
    <w:semiHidden/>
    <w:rsid w:val="00093C1C"/>
    <w:rPr>
      <w:rFonts w:ascii="Arial" w:hAnsi="Arial"/>
    </w:rPr>
  </w:style>
  <w:style w:type="paragraph" w:styleId="BodyTextIndent">
    <w:name w:val="Body Text Indent"/>
    <w:basedOn w:val="Normal"/>
    <w:link w:val="BodyTextIndentChar"/>
    <w:uiPriority w:val="99"/>
    <w:semiHidden/>
    <w:unhideWhenUsed/>
    <w:rsid w:val="00093C1C"/>
    <w:pPr>
      <w:spacing w:after="120"/>
      <w:ind w:left="283"/>
    </w:pPr>
  </w:style>
  <w:style w:type="character" w:customStyle="1" w:styleId="BodyTextIndentChar">
    <w:name w:val="Body Text Indent Char"/>
    <w:basedOn w:val="DefaultParagraphFont"/>
    <w:link w:val="BodyTextIndent"/>
    <w:uiPriority w:val="99"/>
    <w:semiHidden/>
    <w:rsid w:val="00093C1C"/>
    <w:rPr>
      <w:rFonts w:ascii="Arial" w:hAnsi="Arial"/>
    </w:rPr>
  </w:style>
  <w:style w:type="paragraph" w:styleId="BodyTextFirstIndent2">
    <w:name w:val="Body Text First Indent 2"/>
    <w:basedOn w:val="BodyTextIndent"/>
    <w:link w:val="BodyTextFirstIndent2Char"/>
    <w:uiPriority w:val="99"/>
    <w:semiHidden/>
    <w:unhideWhenUsed/>
    <w:rsid w:val="00093C1C"/>
    <w:pPr>
      <w:spacing w:after="0"/>
      <w:ind w:left="360" w:firstLine="360"/>
    </w:pPr>
  </w:style>
  <w:style w:type="character" w:customStyle="1" w:styleId="BodyTextFirstIndent2Char">
    <w:name w:val="Body Text First Indent 2 Char"/>
    <w:basedOn w:val="BodyTextIndentChar"/>
    <w:link w:val="BodyTextFirstIndent2"/>
    <w:uiPriority w:val="99"/>
    <w:semiHidden/>
    <w:rsid w:val="00093C1C"/>
    <w:rPr>
      <w:rFonts w:ascii="Arial" w:hAnsi="Arial"/>
    </w:rPr>
  </w:style>
  <w:style w:type="paragraph" w:styleId="BodyTextIndent2">
    <w:name w:val="Body Text Indent 2"/>
    <w:basedOn w:val="Normal"/>
    <w:link w:val="BodyTextIndent2Char"/>
    <w:uiPriority w:val="99"/>
    <w:semiHidden/>
    <w:unhideWhenUsed/>
    <w:rsid w:val="00093C1C"/>
    <w:pPr>
      <w:spacing w:after="120" w:line="480" w:lineRule="auto"/>
      <w:ind w:left="283"/>
    </w:pPr>
  </w:style>
  <w:style w:type="character" w:customStyle="1" w:styleId="BodyTextIndent2Char">
    <w:name w:val="Body Text Indent 2 Char"/>
    <w:basedOn w:val="DefaultParagraphFont"/>
    <w:link w:val="BodyTextIndent2"/>
    <w:uiPriority w:val="99"/>
    <w:semiHidden/>
    <w:rsid w:val="00093C1C"/>
    <w:rPr>
      <w:rFonts w:ascii="Arial" w:hAnsi="Arial"/>
    </w:rPr>
  </w:style>
  <w:style w:type="paragraph" w:styleId="BodyTextIndent3">
    <w:name w:val="Body Text Indent 3"/>
    <w:basedOn w:val="Normal"/>
    <w:link w:val="BodyTextIndent3Char"/>
    <w:uiPriority w:val="99"/>
    <w:semiHidden/>
    <w:unhideWhenUsed/>
    <w:rsid w:val="00093C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3C1C"/>
    <w:rPr>
      <w:rFonts w:ascii="Arial" w:hAnsi="Arial"/>
      <w:sz w:val="16"/>
      <w:szCs w:val="16"/>
    </w:rPr>
  </w:style>
  <w:style w:type="paragraph" w:styleId="Caption">
    <w:name w:val="caption"/>
    <w:basedOn w:val="Normal"/>
    <w:next w:val="Normal"/>
    <w:uiPriority w:val="35"/>
    <w:semiHidden/>
    <w:unhideWhenUsed/>
    <w:qFormat/>
    <w:rsid w:val="00093C1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93C1C"/>
    <w:pPr>
      <w:spacing w:line="240" w:lineRule="auto"/>
      <w:ind w:left="4252"/>
    </w:pPr>
  </w:style>
  <w:style w:type="character" w:customStyle="1" w:styleId="ClosingChar">
    <w:name w:val="Closing Char"/>
    <w:basedOn w:val="DefaultParagraphFont"/>
    <w:link w:val="Closing"/>
    <w:uiPriority w:val="99"/>
    <w:semiHidden/>
    <w:rsid w:val="00093C1C"/>
    <w:rPr>
      <w:rFonts w:ascii="Arial" w:hAnsi="Arial"/>
    </w:rPr>
  </w:style>
  <w:style w:type="paragraph" w:styleId="Date">
    <w:name w:val="Date"/>
    <w:basedOn w:val="Normal"/>
    <w:next w:val="Normal"/>
    <w:link w:val="DateChar"/>
    <w:uiPriority w:val="99"/>
    <w:semiHidden/>
    <w:unhideWhenUsed/>
    <w:rsid w:val="00093C1C"/>
  </w:style>
  <w:style w:type="character" w:customStyle="1" w:styleId="DateChar">
    <w:name w:val="Date Char"/>
    <w:basedOn w:val="DefaultParagraphFont"/>
    <w:link w:val="Date"/>
    <w:uiPriority w:val="99"/>
    <w:semiHidden/>
    <w:rsid w:val="00093C1C"/>
    <w:rPr>
      <w:rFonts w:ascii="Arial" w:hAnsi="Arial"/>
    </w:rPr>
  </w:style>
  <w:style w:type="paragraph" w:styleId="DocumentMap">
    <w:name w:val="Document Map"/>
    <w:basedOn w:val="Normal"/>
    <w:link w:val="DocumentMapChar"/>
    <w:uiPriority w:val="99"/>
    <w:semiHidden/>
    <w:unhideWhenUsed/>
    <w:rsid w:val="00093C1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93C1C"/>
    <w:rPr>
      <w:rFonts w:ascii="Segoe UI" w:hAnsi="Segoe UI" w:cs="Segoe UI"/>
      <w:sz w:val="16"/>
      <w:szCs w:val="16"/>
    </w:rPr>
  </w:style>
  <w:style w:type="paragraph" w:styleId="E-mailSignature">
    <w:name w:val="E-mail Signature"/>
    <w:basedOn w:val="Normal"/>
    <w:link w:val="E-mailSignatureChar"/>
    <w:uiPriority w:val="99"/>
    <w:semiHidden/>
    <w:unhideWhenUsed/>
    <w:rsid w:val="00093C1C"/>
    <w:pPr>
      <w:spacing w:line="240" w:lineRule="auto"/>
    </w:pPr>
  </w:style>
  <w:style w:type="character" w:customStyle="1" w:styleId="E-mailSignatureChar">
    <w:name w:val="E-mail Signature Char"/>
    <w:basedOn w:val="DefaultParagraphFont"/>
    <w:link w:val="E-mailSignature"/>
    <w:uiPriority w:val="99"/>
    <w:semiHidden/>
    <w:rsid w:val="00093C1C"/>
    <w:rPr>
      <w:rFonts w:ascii="Arial" w:hAnsi="Arial"/>
    </w:rPr>
  </w:style>
  <w:style w:type="paragraph" w:styleId="EndnoteText">
    <w:name w:val="endnote text"/>
    <w:basedOn w:val="Normal"/>
    <w:link w:val="EndnoteTextChar"/>
    <w:uiPriority w:val="99"/>
    <w:semiHidden/>
    <w:unhideWhenUsed/>
    <w:rsid w:val="00093C1C"/>
    <w:pPr>
      <w:spacing w:line="240" w:lineRule="auto"/>
    </w:pPr>
    <w:rPr>
      <w:sz w:val="20"/>
      <w:szCs w:val="20"/>
    </w:rPr>
  </w:style>
  <w:style w:type="character" w:customStyle="1" w:styleId="EndnoteTextChar">
    <w:name w:val="Endnote Text Char"/>
    <w:basedOn w:val="DefaultParagraphFont"/>
    <w:link w:val="EndnoteText"/>
    <w:uiPriority w:val="99"/>
    <w:semiHidden/>
    <w:rsid w:val="00093C1C"/>
    <w:rPr>
      <w:rFonts w:ascii="Arial" w:hAnsi="Arial"/>
      <w:sz w:val="20"/>
      <w:szCs w:val="20"/>
    </w:rPr>
  </w:style>
  <w:style w:type="paragraph" w:styleId="EnvelopeAddress">
    <w:name w:val="envelope address"/>
    <w:basedOn w:val="Normal"/>
    <w:uiPriority w:val="99"/>
    <w:semiHidden/>
    <w:unhideWhenUsed/>
    <w:rsid w:val="00093C1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93C1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93C1C"/>
    <w:pPr>
      <w:spacing w:line="240" w:lineRule="auto"/>
    </w:pPr>
    <w:rPr>
      <w:sz w:val="20"/>
      <w:szCs w:val="20"/>
    </w:rPr>
  </w:style>
  <w:style w:type="character" w:customStyle="1" w:styleId="FootnoteTextChar">
    <w:name w:val="Footnote Text Char"/>
    <w:basedOn w:val="DefaultParagraphFont"/>
    <w:link w:val="FootnoteText"/>
    <w:uiPriority w:val="99"/>
    <w:semiHidden/>
    <w:rsid w:val="00093C1C"/>
    <w:rPr>
      <w:rFonts w:ascii="Arial" w:hAnsi="Arial"/>
      <w:sz w:val="20"/>
      <w:szCs w:val="20"/>
    </w:rPr>
  </w:style>
  <w:style w:type="character" w:customStyle="1" w:styleId="Heading7Char">
    <w:name w:val="Heading 7 Char"/>
    <w:basedOn w:val="DefaultParagraphFont"/>
    <w:link w:val="Heading7"/>
    <w:uiPriority w:val="9"/>
    <w:semiHidden/>
    <w:rsid w:val="00093C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93C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3C1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93C1C"/>
    <w:pPr>
      <w:spacing w:line="240" w:lineRule="auto"/>
    </w:pPr>
    <w:rPr>
      <w:i/>
      <w:iCs/>
    </w:rPr>
  </w:style>
  <w:style w:type="character" w:customStyle="1" w:styleId="HTMLAddressChar">
    <w:name w:val="HTML Address Char"/>
    <w:basedOn w:val="DefaultParagraphFont"/>
    <w:link w:val="HTMLAddress"/>
    <w:uiPriority w:val="99"/>
    <w:semiHidden/>
    <w:rsid w:val="00093C1C"/>
    <w:rPr>
      <w:rFonts w:ascii="Arial" w:hAnsi="Arial"/>
      <w:i/>
      <w:iCs/>
    </w:rPr>
  </w:style>
  <w:style w:type="paragraph" w:styleId="HTMLPreformatted">
    <w:name w:val="HTML Preformatted"/>
    <w:basedOn w:val="Normal"/>
    <w:link w:val="HTMLPreformattedChar"/>
    <w:uiPriority w:val="99"/>
    <w:semiHidden/>
    <w:unhideWhenUsed/>
    <w:rsid w:val="00093C1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3C1C"/>
    <w:rPr>
      <w:rFonts w:ascii="Consolas" w:hAnsi="Consolas"/>
      <w:sz w:val="20"/>
      <w:szCs w:val="20"/>
    </w:rPr>
  </w:style>
  <w:style w:type="paragraph" w:styleId="Index1">
    <w:name w:val="index 1"/>
    <w:basedOn w:val="Normal"/>
    <w:next w:val="Normal"/>
    <w:autoRedefine/>
    <w:uiPriority w:val="99"/>
    <w:semiHidden/>
    <w:unhideWhenUsed/>
    <w:rsid w:val="00093C1C"/>
    <w:pPr>
      <w:spacing w:line="240" w:lineRule="auto"/>
      <w:ind w:left="220" w:hanging="220"/>
    </w:pPr>
  </w:style>
  <w:style w:type="paragraph" w:styleId="Index2">
    <w:name w:val="index 2"/>
    <w:basedOn w:val="Normal"/>
    <w:next w:val="Normal"/>
    <w:autoRedefine/>
    <w:uiPriority w:val="99"/>
    <w:semiHidden/>
    <w:unhideWhenUsed/>
    <w:rsid w:val="00093C1C"/>
    <w:pPr>
      <w:spacing w:line="240" w:lineRule="auto"/>
      <w:ind w:left="440" w:hanging="220"/>
    </w:pPr>
  </w:style>
  <w:style w:type="paragraph" w:styleId="Index3">
    <w:name w:val="index 3"/>
    <w:basedOn w:val="Normal"/>
    <w:next w:val="Normal"/>
    <w:autoRedefine/>
    <w:uiPriority w:val="99"/>
    <w:semiHidden/>
    <w:unhideWhenUsed/>
    <w:rsid w:val="00093C1C"/>
    <w:pPr>
      <w:spacing w:line="240" w:lineRule="auto"/>
      <w:ind w:left="660" w:hanging="220"/>
    </w:pPr>
  </w:style>
  <w:style w:type="paragraph" w:styleId="Index4">
    <w:name w:val="index 4"/>
    <w:basedOn w:val="Normal"/>
    <w:next w:val="Normal"/>
    <w:autoRedefine/>
    <w:uiPriority w:val="99"/>
    <w:semiHidden/>
    <w:unhideWhenUsed/>
    <w:rsid w:val="00093C1C"/>
    <w:pPr>
      <w:spacing w:line="240" w:lineRule="auto"/>
      <w:ind w:left="880" w:hanging="220"/>
    </w:pPr>
  </w:style>
  <w:style w:type="paragraph" w:styleId="Index5">
    <w:name w:val="index 5"/>
    <w:basedOn w:val="Normal"/>
    <w:next w:val="Normal"/>
    <w:autoRedefine/>
    <w:uiPriority w:val="99"/>
    <w:semiHidden/>
    <w:unhideWhenUsed/>
    <w:rsid w:val="00093C1C"/>
    <w:pPr>
      <w:spacing w:line="240" w:lineRule="auto"/>
      <w:ind w:left="1100" w:hanging="220"/>
    </w:pPr>
  </w:style>
  <w:style w:type="paragraph" w:styleId="Index6">
    <w:name w:val="index 6"/>
    <w:basedOn w:val="Normal"/>
    <w:next w:val="Normal"/>
    <w:autoRedefine/>
    <w:uiPriority w:val="99"/>
    <w:semiHidden/>
    <w:unhideWhenUsed/>
    <w:rsid w:val="00093C1C"/>
    <w:pPr>
      <w:spacing w:line="240" w:lineRule="auto"/>
      <w:ind w:left="1320" w:hanging="220"/>
    </w:pPr>
  </w:style>
  <w:style w:type="paragraph" w:styleId="Index7">
    <w:name w:val="index 7"/>
    <w:basedOn w:val="Normal"/>
    <w:next w:val="Normal"/>
    <w:autoRedefine/>
    <w:uiPriority w:val="99"/>
    <w:semiHidden/>
    <w:unhideWhenUsed/>
    <w:rsid w:val="00093C1C"/>
    <w:pPr>
      <w:spacing w:line="240" w:lineRule="auto"/>
      <w:ind w:left="1540" w:hanging="220"/>
    </w:pPr>
  </w:style>
  <w:style w:type="paragraph" w:styleId="Index8">
    <w:name w:val="index 8"/>
    <w:basedOn w:val="Normal"/>
    <w:next w:val="Normal"/>
    <w:autoRedefine/>
    <w:uiPriority w:val="99"/>
    <w:semiHidden/>
    <w:unhideWhenUsed/>
    <w:rsid w:val="00093C1C"/>
    <w:pPr>
      <w:spacing w:line="240" w:lineRule="auto"/>
      <w:ind w:left="1760" w:hanging="220"/>
    </w:pPr>
  </w:style>
  <w:style w:type="paragraph" w:styleId="Index9">
    <w:name w:val="index 9"/>
    <w:basedOn w:val="Normal"/>
    <w:next w:val="Normal"/>
    <w:autoRedefine/>
    <w:uiPriority w:val="99"/>
    <w:semiHidden/>
    <w:unhideWhenUsed/>
    <w:rsid w:val="00093C1C"/>
    <w:pPr>
      <w:spacing w:line="240" w:lineRule="auto"/>
      <w:ind w:left="1980" w:hanging="220"/>
    </w:pPr>
  </w:style>
  <w:style w:type="paragraph" w:styleId="IndexHeading">
    <w:name w:val="index heading"/>
    <w:basedOn w:val="Normal"/>
    <w:next w:val="Index1"/>
    <w:uiPriority w:val="99"/>
    <w:semiHidden/>
    <w:unhideWhenUsed/>
    <w:rsid w:val="00093C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3C1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93C1C"/>
    <w:rPr>
      <w:rFonts w:ascii="Arial" w:hAnsi="Arial"/>
      <w:i/>
      <w:iCs/>
      <w:color w:val="5B9BD5" w:themeColor="accent1"/>
    </w:rPr>
  </w:style>
  <w:style w:type="paragraph" w:styleId="List">
    <w:name w:val="List"/>
    <w:basedOn w:val="Normal"/>
    <w:uiPriority w:val="99"/>
    <w:semiHidden/>
    <w:unhideWhenUsed/>
    <w:rsid w:val="00093C1C"/>
    <w:pPr>
      <w:ind w:left="283" w:hanging="283"/>
      <w:contextualSpacing/>
    </w:pPr>
  </w:style>
  <w:style w:type="paragraph" w:styleId="List2">
    <w:name w:val="List 2"/>
    <w:basedOn w:val="Normal"/>
    <w:uiPriority w:val="99"/>
    <w:semiHidden/>
    <w:unhideWhenUsed/>
    <w:rsid w:val="00093C1C"/>
    <w:pPr>
      <w:ind w:left="566" w:hanging="283"/>
      <w:contextualSpacing/>
    </w:pPr>
  </w:style>
  <w:style w:type="paragraph" w:styleId="List3">
    <w:name w:val="List 3"/>
    <w:basedOn w:val="Normal"/>
    <w:uiPriority w:val="99"/>
    <w:semiHidden/>
    <w:unhideWhenUsed/>
    <w:rsid w:val="00093C1C"/>
    <w:pPr>
      <w:ind w:left="849" w:hanging="283"/>
      <w:contextualSpacing/>
    </w:pPr>
  </w:style>
  <w:style w:type="paragraph" w:styleId="List4">
    <w:name w:val="List 4"/>
    <w:basedOn w:val="Normal"/>
    <w:uiPriority w:val="99"/>
    <w:semiHidden/>
    <w:unhideWhenUsed/>
    <w:rsid w:val="00093C1C"/>
    <w:pPr>
      <w:ind w:left="1132" w:hanging="283"/>
      <w:contextualSpacing/>
    </w:pPr>
  </w:style>
  <w:style w:type="paragraph" w:styleId="List5">
    <w:name w:val="List 5"/>
    <w:basedOn w:val="Normal"/>
    <w:uiPriority w:val="99"/>
    <w:semiHidden/>
    <w:unhideWhenUsed/>
    <w:rsid w:val="00093C1C"/>
    <w:pPr>
      <w:ind w:left="1415" w:hanging="283"/>
      <w:contextualSpacing/>
    </w:pPr>
  </w:style>
  <w:style w:type="paragraph" w:styleId="ListBullet">
    <w:name w:val="List Bullet"/>
    <w:basedOn w:val="Normal"/>
    <w:uiPriority w:val="99"/>
    <w:semiHidden/>
    <w:unhideWhenUsed/>
    <w:rsid w:val="00093C1C"/>
    <w:pPr>
      <w:numPr>
        <w:numId w:val="39"/>
      </w:numPr>
      <w:contextualSpacing/>
    </w:pPr>
  </w:style>
  <w:style w:type="paragraph" w:styleId="ListBullet2">
    <w:name w:val="List Bullet 2"/>
    <w:basedOn w:val="Normal"/>
    <w:uiPriority w:val="99"/>
    <w:semiHidden/>
    <w:unhideWhenUsed/>
    <w:rsid w:val="00093C1C"/>
    <w:pPr>
      <w:numPr>
        <w:numId w:val="40"/>
      </w:numPr>
      <w:contextualSpacing/>
    </w:pPr>
  </w:style>
  <w:style w:type="paragraph" w:styleId="ListBullet3">
    <w:name w:val="List Bullet 3"/>
    <w:basedOn w:val="Normal"/>
    <w:uiPriority w:val="99"/>
    <w:semiHidden/>
    <w:unhideWhenUsed/>
    <w:rsid w:val="00093C1C"/>
    <w:pPr>
      <w:numPr>
        <w:numId w:val="41"/>
      </w:numPr>
      <w:contextualSpacing/>
    </w:pPr>
  </w:style>
  <w:style w:type="paragraph" w:styleId="ListBullet4">
    <w:name w:val="List Bullet 4"/>
    <w:basedOn w:val="Normal"/>
    <w:uiPriority w:val="99"/>
    <w:semiHidden/>
    <w:unhideWhenUsed/>
    <w:rsid w:val="00093C1C"/>
    <w:pPr>
      <w:numPr>
        <w:numId w:val="42"/>
      </w:numPr>
      <w:contextualSpacing/>
    </w:pPr>
  </w:style>
  <w:style w:type="paragraph" w:styleId="ListBullet5">
    <w:name w:val="List Bullet 5"/>
    <w:basedOn w:val="Normal"/>
    <w:uiPriority w:val="99"/>
    <w:semiHidden/>
    <w:unhideWhenUsed/>
    <w:rsid w:val="00093C1C"/>
    <w:pPr>
      <w:numPr>
        <w:numId w:val="43"/>
      </w:numPr>
      <w:contextualSpacing/>
    </w:pPr>
  </w:style>
  <w:style w:type="paragraph" w:styleId="ListContinue">
    <w:name w:val="List Continue"/>
    <w:basedOn w:val="Normal"/>
    <w:uiPriority w:val="99"/>
    <w:semiHidden/>
    <w:unhideWhenUsed/>
    <w:rsid w:val="00093C1C"/>
    <w:pPr>
      <w:spacing w:after="120"/>
      <w:ind w:left="283"/>
      <w:contextualSpacing/>
    </w:pPr>
  </w:style>
  <w:style w:type="paragraph" w:styleId="ListContinue2">
    <w:name w:val="List Continue 2"/>
    <w:basedOn w:val="Normal"/>
    <w:uiPriority w:val="99"/>
    <w:semiHidden/>
    <w:unhideWhenUsed/>
    <w:rsid w:val="00093C1C"/>
    <w:pPr>
      <w:spacing w:after="120"/>
      <w:ind w:left="566"/>
      <w:contextualSpacing/>
    </w:pPr>
  </w:style>
  <w:style w:type="paragraph" w:styleId="ListContinue3">
    <w:name w:val="List Continue 3"/>
    <w:basedOn w:val="Normal"/>
    <w:uiPriority w:val="99"/>
    <w:semiHidden/>
    <w:unhideWhenUsed/>
    <w:rsid w:val="00093C1C"/>
    <w:pPr>
      <w:spacing w:after="120"/>
      <w:ind w:left="849"/>
      <w:contextualSpacing/>
    </w:pPr>
  </w:style>
  <w:style w:type="paragraph" w:styleId="ListContinue4">
    <w:name w:val="List Continue 4"/>
    <w:basedOn w:val="Normal"/>
    <w:uiPriority w:val="99"/>
    <w:semiHidden/>
    <w:unhideWhenUsed/>
    <w:rsid w:val="00093C1C"/>
    <w:pPr>
      <w:spacing w:after="120"/>
      <w:ind w:left="1132"/>
      <w:contextualSpacing/>
    </w:pPr>
  </w:style>
  <w:style w:type="paragraph" w:styleId="ListContinue5">
    <w:name w:val="List Continue 5"/>
    <w:basedOn w:val="Normal"/>
    <w:uiPriority w:val="99"/>
    <w:semiHidden/>
    <w:unhideWhenUsed/>
    <w:rsid w:val="00093C1C"/>
    <w:pPr>
      <w:spacing w:after="120"/>
      <w:ind w:left="1415"/>
      <w:contextualSpacing/>
    </w:pPr>
  </w:style>
  <w:style w:type="paragraph" w:styleId="ListNumber">
    <w:name w:val="List Number"/>
    <w:basedOn w:val="Normal"/>
    <w:uiPriority w:val="99"/>
    <w:semiHidden/>
    <w:unhideWhenUsed/>
    <w:rsid w:val="00093C1C"/>
    <w:pPr>
      <w:numPr>
        <w:numId w:val="44"/>
      </w:numPr>
      <w:contextualSpacing/>
    </w:pPr>
  </w:style>
  <w:style w:type="paragraph" w:styleId="ListNumber2">
    <w:name w:val="List Number 2"/>
    <w:basedOn w:val="Normal"/>
    <w:uiPriority w:val="99"/>
    <w:semiHidden/>
    <w:unhideWhenUsed/>
    <w:rsid w:val="00093C1C"/>
    <w:pPr>
      <w:numPr>
        <w:numId w:val="45"/>
      </w:numPr>
      <w:contextualSpacing/>
    </w:pPr>
  </w:style>
  <w:style w:type="paragraph" w:styleId="ListNumber3">
    <w:name w:val="List Number 3"/>
    <w:basedOn w:val="Normal"/>
    <w:uiPriority w:val="99"/>
    <w:semiHidden/>
    <w:unhideWhenUsed/>
    <w:rsid w:val="00093C1C"/>
    <w:pPr>
      <w:numPr>
        <w:numId w:val="46"/>
      </w:numPr>
      <w:contextualSpacing/>
    </w:pPr>
  </w:style>
  <w:style w:type="paragraph" w:styleId="ListNumber4">
    <w:name w:val="List Number 4"/>
    <w:basedOn w:val="Normal"/>
    <w:uiPriority w:val="99"/>
    <w:semiHidden/>
    <w:unhideWhenUsed/>
    <w:rsid w:val="00093C1C"/>
    <w:pPr>
      <w:numPr>
        <w:numId w:val="47"/>
      </w:numPr>
      <w:contextualSpacing/>
    </w:pPr>
  </w:style>
  <w:style w:type="paragraph" w:styleId="ListNumber5">
    <w:name w:val="List Number 5"/>
    <w:basedOn w:val="Normal"/>
    <w:uiPriority w:val="99"/>
    <w:semiHidden/>
    <w:unhideWhenUsed/>
    <w:rsid w:val="00093C1C"/>
    <w:pPr>
      <w:numPr>
        <w:numId w:val="48"/>
      </w:numPr>
      <w:contextualSpacing/>
    </w:pPr>
  </w:style>
  <w:style w:type="paragraph" w:styleId="MacroText">
    <w:name w:val="macro"/>
    <w:link w:val="MacroTextChar"/>
    <w:uiPriority w:val="99"/>
    <w:semiHidden/>
    <w:unhideWhenUsed/>
    <w:rsid w:val="00093C1C"/>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093C1C"/>
    <w:rPr>
      <w:rFonts w:ascii="Consolas" w:hAnsi="Consolas"/>
      <w:sz w:val="20"/>
      <w:szCs w:val="20"/>
    </w:rPr>
  </w:style>
  <w:style w:type="paragraph" w:styleId="MessageHeader">
    <w:name w:val="Message Header"/>
    <w:basedOn w:val="Normal"/>
    <w:link w:val="MessageHeaderChar"/>
    <w:uiPriority w:val="99"/>
    <w:semiHidden/>
    <w:unhideWhenUsed/>
    <w:rsid w:val="00093C1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93C1C"/>
    <w:rPr>
      <w:rFonts w:asciiTheme="majorHAnsi" w:eastAsiaTheme="majorEastAsia" w:hAnsiTheme="majorHAnsi" w:cstheme="majorBidi"/>
      <w:sz w:val="24"/>
      <w:szCs w:val="24"/>
      <w:shd w:val="pct20" w:color="auto" w:fill="auto"/>
    </w:rPr>
  </w:style>
  <w:style w:type="paragraph" w:styleId="NoSpacing">
    <w:name w:val="No Spacing"/>
    <w:uiPriority w:val="1"/>
    <w:rsid w:val="00093C1C"/>
    <w:pPr>
      <w:spacing w:after="0" w:line="240" w:lineRule="auto"/>
      <w:jc w:val="both"/>
    </w:pPr>
    <w:rPr>
      <w:rFonts w:ascii="Arial" w:hAnsi="Arial"/>
    </w:rPr>
  </w:style>
  <w:style w:type="paragraph" w:styleId="NormalWeb">
    <w:name w:val="Normal (Web)"/>
    <w:basedOn w:val="Normal"/>
    <w:uiPriority w:val="99"/>
    <w:semiHidden/>
    <w:unhideWhenUsed/>
    <w:rsid w:val="00093C1C"/>
    <w:rPr>
      <w:rFonts w:ascii="Times New Roman" w:hAnsi="Times New Roman" w:cs="Times New Roman"/>
      <w:sz w:val="24"/>
      <w:szCs w:val="24"/>
    </w:rPr>
  </w:style>
  <w:style w:type="paragraph" w:styleId="NormalIndent">
    <w:name w:val="Normal Indent"/>
    <w:basedOn w:val="Normal"/>
    <w:uiPriority w:val="99"/>
    <w:semiHidden/>
    <w:unhideWhenUsed/>
    <w:rsid w:val="00093C1C"/>
    <w:pPr>
      <w:ind w:left="720"/>
    </w:pPr>
  </w:style>
  <w:style w:type="paragraph" w:styleId="NoteHeading">
    <w:name w:val="Note Heading"/>
    <w:basedOn w:val="Normal"/>
    <w:next w:val="Normal"/>
    <w:link w:val="NoteHeadingChar"/>
    <w:uiPriority w:val="99"/>
    <w:semiHidden/>
    <w:unhideWhenUsed/>
    <w:rsid w:val="00093C1C"/>
    <w:pPr>
      <w:spacing w:line="240" w:lineRule="auto"/>
    </w:pPr>
  </w:style>
  <w:style w:type="character" w:customStyle="1" w:styleId="NoteHeadingChar">
    <w:name w:val="Note Heading Char"/>
    <w:basedOn w:val="DefaultParagraphFont"/>
    <w:link w:val="NoteHeading"/>
    <w:uiPriority w:val="99"/>
    <w:semiHidden/>
    <w:rsid w:val="00093C1C"/>
    <w:rPr>
      <w:rFonts w:ascii="Arial" w:hAnsi="Arial"/>
    </w:rPr>
  </w:style>
  <w:style w:type="paragraph" w:styleId="PlainText">
    <w:name w:val="Plain Text"/>
    <w:basedOn w:val="Normal"/>
    <w:link w:val="PlainTextChar"/>
    <w:uiPriority w:val="99"/>
    <w:semiHidden/>
    <w:unhideWhenUsed/>
    <w:rsid w:val="00093C1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3C1C"/>
    <w:rPr>
      <w:rFonts w:ascii="Consolas" w:hAnsi="Consolas"/>
      <w:sz w:val="21"/>
      <w:szCs w:val="21"/>
    </w:rPr>
  </w:style>
  <w:style w:type="paragraph" w:styleId="Quote">
    <w:name w:val="Quote"/>
    <w:basedOn w:val="Normal"/>
    <w:next w:val="Normal"/>
    <w:link w:val="QuoteChar"/>
    <w:uiPriority w:val="29"/>
    <w:qFormat/>
    <w:rsid w:val="00093C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3C1C"/>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093C1C"/>
  </w:style>
  <w:style w:type="character" w:customStyle="1" w:styleId="SalutationChar">
    <w:name w:val="Salutation Char"/>
    <w:basedOn w:val="DefaultParagraphFont"/>
    <w:link w:val="Salutation"/>
    <w:uiPriority w:val="99"/>
    <w:semiHidden/>
    <w:rsid w:val="00093C1C"/>
    <w:rPr>
      <w:rFonts w:ascii="Arial" w:hAnsi="Arial"/>
    </w:rPr>
  </w:style>
  <w:style w:type="paragraph" w:styleId="Signature">
    <w:name w:val="Signature"/>
    <w:basedOn w:val="Normal"/>
    <w:link w:val="SignatureChar"/>
    <w:uiPriority w:val="99"/>
    <w:semiHidden/>
    <w:unhideWhenUsed/>
    <w:rsid w:val="00093C1C"/>
    <w:pPr>
      <w:spacing w:line="240" w:lineRule="auto"/>
      <w:ind w:left="4252"/>
    </w:pPr>
  </w:style>
  <w:style w:type="character" w:customStyle="1" w:styleId="SignatureChar">
    <w:name w:val="Signature Char"/>
    <w:basedOn w:val="DefaultParagraphFont"/>
    <w:link w:val="Signature"/>
    <w:uiPriority w:val="99"/>
    <w:semiHidden/>
    <w:rsid w:val="00093C1C"/>
    <w:rPr>
      <w:rFonts w:ascii="Arial" w:hAnsi="Arial"/>
    </w:rPr>
  </w:style>
  <w:style w:type="paragraph" w:styleId="Subtitle">
    <w:name w:val="Subtitle"/>
    <w:basedOn w:val="Normal"/>
    <w:next w:val="Normal"/>
    <w:link w:val="SubtitleChar"/>
    <w:uiPriority w:val="11"/>
    <w:qFormat/>
    <w:rsid w:val="00093C1C"/>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93C1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93C1C"/>
    <w:pPr>
      <w:ind w:left="220" w:hanging="220"/>
    </w:pPr>
  </w:style>
  <w:style w:type="paragraph" w:styleId="TableofFigures">
    <w:name w:val="table of figures"/>
    <w:basedOn w:val="Normal"/>
    <w:next w:val="Normal"/>
    <w:uiPriority w:val="99"/>
    <w:semiHidden/>
    <w:unhideWhenUsed/>
    <w:rsid w:val="00093C1C"/>
  </w:style>
  <w:style w:type="paragraph" w:styleId="Title">
    <w:name w:val="Title"/>
    <w:basedOn w:val="Normal"/>
    <w:next w:val="Normal"/>
    <w:link w:val="TitleChar"/>
    <w:uiPriority w:val="10"/>
    <w:qFormat/>
    <w:rsid w:val="00093C1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C1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93C1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93C1C"/>
    <w:pPr>
      <w:spacing w:after="100"/>
    </w:pPr>
  </w:style>
  <w:style w:type="paragraph" w:styleId="TOC2">
    <w:name w:val="toc 2"/>
    <w:basedOn w:val="Normal"/>
    <w:next w:val="Normal"/>
    <w:autoRedefine/>
    <w:uiPriority w:val="39"/>
    <w:semiHidden/>
    <w:unhideWhenUsed/>
    <w:rsid w:val="00093C1C"/>
    <w:pPr>
      <w:spacing w:after="100"/>
      <w:ind w:left="220"/>
    </w:pPr>
  </w:style>
  <w:style w:type="paragraph" w:styleId="TOC3">
    <w:name w:val="toc 3"/>
    <w:basedOn w:val="Normal"/>
    <w:next w:val="Normal"/>
    <w:autoRedefine/>
    <w:uiPriority w:val="39"/>
    <w:semiHidden/>
    <w:unhideWhenUsed/>
    <w:rsid w:val="00093C1C"/>
    <w:pPr>
      <w:spacing w:after="100"/>
      <w:ind w:left="440"/>
    </w:pPr>
  </w:style>
  <w:style w:type="paragraph" w:styleId="TOC4">
    <w:name w:val="toc 4"/>
    <w:basedOn w:val="Normal"/>
    <w:next w:val="Normal"/>
    <w:autoRedefine/>
    <w:uiPriority w:val="39"/>
    <w:semiHidden/>
    <w:unhideWhenUsed/>
    <w:rsid w:val="00093C1C"/>
    <w:pPr>
      <w:spacing w:after="100"/>
      <w:ind w:left="660"/>
    </w:pPr>
  </w:style>
  <w:style w:type="paragraph" w:styleId="TOC5">
    <w:name w:val="toc 5"/>
    <w:basedOn w:val="Normal"/>
    <w:next w:val="Normal"/>
    <w:autoRedefine/>
    <w:uiPriority w:val="39"/>
    <w:semiHidden/>
    <w:unhideWhenUsed/>
    <w:rsid w:val="00093C1C"/>
    <w:pPr>
      <w:spacing w:after="100"/>
      <w:ind w:left="880"/>
    </w:pPr>
  </w:style>
  <w:style w:type="paragraph" w:styleId="TOC6">
    <w:name w:val="toc 6"/>
    <w:basedOn w:val="Normal"/>
    <w:next w:val="Normal"/>
    <w:autoRedefine/>
    <w:uiPriority w:val="39"/>
    <w:semiHidden/>
    <w:unhideWhenUsed/>
    <w:rsid w:val="00093C1C"/>
    <w:pPr>
      <w:spacing w:after="100"/>
      <w:ind w:left="1100"/>
    </w:pPr>
  </w:style>
  <w:style w:type="paragraph" w:styleId="TOC7">
    <w:name w:val="toc 7"/>
    <w:basedOn w:val="Normal"/>
    <w:next w:val="Normal"/>
    <w:autoRedefine/>
    <w:uiPriority w:val="39"/>
    <w:semiHidden/>
    <w:unhideWhenUsed/>
    <w:rsid w:val="00093C1C"/>
    <w:pPr>
      <w:spacing w:after="100"/>
      <w:ind w:left="1320"/>
    </w:pPr>
  </w:style>
  <w:style w:type="paragraph" w:styleId="TOC8">
    <w:name w:val="toc 8"/>
    <w:basedOn w:val="Normal"/>
    <w:next w:val="Normal"/>
    <w:autoRedefine/>
    <w:uiPriority w:val="39"/>
    <w:semiHidden/>
    <w:unhideWhenUsed/>
    <w:rsid w:val="00093C1C"/>
    <w:pPr>
      <w:spacing w:after="100"/>
      <w:ind w:left="1540"/>
    </w:pPr>
  </w:style>
  <w:style w:type="paragraph" w:styleId="TOC9">
    <w:name w:val="toc 9"/>
    <w:basedOn w:val="Normal"/>
    <w:next w:val="Normal"/>
    <w:autoRedefine/>
    <w:uiPriority w:val="39"/>
    <w:semiHidden/>
    <w:unhideWhenUsed/>
    <w:rsid w:val="00093C1C"/>
    <w:pPr>
      <w:spacing w:after="100"/>
      <w:ind w:left="1760"/>
    </w:pPr>
  </w:style>
  <w:style w:type="paragraph" w:styleId="TOCHeading">
    <w:name w:val="TOC Heading"/>
    <w:basedOn w:val="Heading1"/>
    <w:next w:val="Normal"/>
    <w:uiPriority w:val="39"/>
    <w:semiHidden/>
    <w:unhideWhenUsed/>
    <w:qFormat/>
    <w:rsid w:val="00093C1C"/>
    <w:pPr>
      <w:widowControl/>
      <w:spacing w:before="240" w:after="0"/>
      <w:ind w:left="0" w:firstLine="0"/>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4488">
      <w:bodyDiv w:val="1"/>
      <w:marLeft w:val="0"/>
      <w:marRight w:val="0"/>
      <w:marTop w:val="0"/>
      <w:marBottom w:val="0"/>
      <w:divBdr>
        <w:top w:val="none" w:sz="0" w:space="0" w:color="auto"/>
        <w:left w:val="none" w:sz="0" w:space="0" w:color="auto"/>
        <w:bottom w:val="none" w:sz="0" w:space="0" w:color="auto"/>
        <w:right w:val="none" w:sz="0" w:space="0" w:color="auto"/>
      </w:divBdr>
    </w:div>
    <w:div w:id="1011834278">
      <w:bodyDiv w:val="1"/>
      <w:marLeft w:val="0"/>
      <w:marRight w:val="0"/>
      <w:marTop w:val="0"/>
      <w:marBottom w:val="0"/>
      <w:divBdr>
        <w:top w:val="none" w:sz="0" w:space="0" w:color="auto"/>
        <w:left w:val="none" w:sz="0" w:space="0" w:color="auto"/>
        <w:bottom w:val="none" w:sz="0" w:space="0" w:color="auto"/>
        <w:right w:val="none" w:sz="0" w:space="0" w:color="auto"/>
      </w:divBdr>
    </w:div>
    <w:div w:id="20857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020D-1A5E-40C1-A210-B34BBC1F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2221</Words>
  <Characters>12884</Characters>
  <Application>Microsoft Office Word</Application>
  <DocSecurity>0</DocSecurity>
  <Lines>292</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Sodium glycerophosphate (as hydrate)</dc:title>
  <dc:subject>prescription medicines</dc:subject>
  <dc:creator>Jo Prankerd</dc:creator>
  <cp:lastPrinted>2019-11-14T22:30:00Z</cp:lastPrinted>
  <dcterms:created xsi:type="dcterms:W3CDTF">2020-02-18T00:08:00Z</dcterms:created>
  <dcterms:modified xsi:type="dcterms:W3CDTF">2020-02-18T00:11:00Z</dcterms:modified>
</cp:coreProperties>
</file>