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1BC" w:rsidRPr="000301BB" w:rsidRDefault="00A35095" w:rsidP="00D565FE">
      <w:pPr>
        <w:pStyle w:val="Heading"/>
        <w:spacing w:after="100" w:afterAutospacing="1"/>
      </w:pPr>
      <w:r w:rsidRPr="000301BB">
        <w:t>Product inf</w:t>
      </w:r>
      <w:r w:rsidR="00DC01BC" w:rsidRPr="000301BB">
        <w:t>ormation</w:t>
      </w:r>
    </w:p>
    <w:p w:rsidR="00DC01BC" w:rsidRPr="000301BB" w:rsidRDefault="00DC01BC" w:rsidP="00D565FE">
      <w:pPr>
        <w:pStyle w:val="Heading2"/>
        <w:rPr>
          <w:vertAlign w:val="superscript"/>
        </w:rPr>
      </w:pPr>
      <w:r w:rsidRPr="00D565FE">
        <w:t>JUVICOR</w:t>
      </w:r>
      <w:r w:rsidR="00745685" w:rsidRPr="000301BB">
        <w:rPr>
          <w:vertAlign w:val="superscript"/>
        </w:rPr>
        <w:t>®</w:t>
      </w:r>
    </w:p>
    <w:p w:rsidR="00DC01BC" w:rsidRPr="000301BB" w:rsidRDefault="00DC01BC" w:rsidP="00DC01BC">
      <w:r w:rsidRPr="000301BB">
        <w:t>(</w:t>
      </w:r>
      <w:proofErr w:type="gramStart"/>
      <w:r w:rsidRPr="000301BB">
        <w:t>sitagliptin</w:t>
      </w:r>
      <w:proofErr w:type="gramEnd"/>
      <w:r w:rsidRPr="000301BB">
        <w:t xml:space="preserve"> phosphate</w:t>
      </w:r>
      <w:r w:rsidR="00C60CD7" w:rsidRPr="000301BB">
        <w:t xml:space="preserve"> monohydrate</w:t>
      </w:r>
      <w:r w:rsidRPr="000301BB">
        <w:t>/simvastatin</w:t>
      </w:r>
      <w:r w:rsidR="00F46A00" w:rsidRPr="000301BB">
        <w:t>, MSD</w:t>
      </w:r>
      <w:r w:rsidRPr="000301BB">
        <w:t>)</w:t>
      </w:r>
    </w:p>
    <w:p w:rsidR="00DC01BC" w:rsidRPr="000301BB" w:rsidRDefault="000D4DF6" w:rsidP="00B00036">
      <w:pPr>
        <w:spacing w:after="0"/>
      </w:pPr>
      <w:r w:rsidRPr="000301BB">
        <w:t>JUVICOR 100/10 mg</w:t>
      </w:r>
    </w:p>
    <w:p w:rsidR="000D4DF6" w:rsidRPr="000301BB" w:rsidRDefault="000D4DF6" w:rsidP="00B00036">
      <w:pPr>
        <w:spacing w:after="0"/>
      </w:pPr>
      <w:r w:rsidRPr="000301BB">
        <w:t>JUVICOR 100/20 mg</w:t>
      </w:r>
    </w:p>
    <w:p w:rsidR="000D4DF6" w:rsidRPr="000301BB" w:rsidRDefault="000D4DF6" w:rsidP="00B00036">
      <w:pPr>
        <w:spacing w:after="0"/>
      </w:pPr>
      <w:r w:rsidRPr="000301BB">
        <w:t>JUVICOR 100/40 mg</w:t>
      </w:r>
    </w:p>
    <w:p w:rsidR="00D448D2" w:rsidRPr="000301BB" w:rsidRDefault="00AC643E" w:rsidP="00F006A0">
      <w:pPr>
        <w:pStyle w:val="Heading2"/>
      </w:pPr>
      <w:r w:rsidRPr="000301BB">
        <w:t>Name of the medicine</w:t>
      </w:r>
    </w:p>
    <w:p w:rsidR="00323CED" w:rsidRPr="000301BB" w:rsidRDefault="00CE2C71" w:rsidP="00F006A0">
      <w:pPr>
        <w:spacing w:after="100" w:afterAutospacing="1"/>
        <w:rPr>
          <w:iCs/>
        </w:rPr>
      </w:pPr>
      <w:r w:rsidRPr="000301BB">
        <w:rPr>
          <w:iCs/>
        </w:rPr>
        <w:t>JUVICOR</w:t>
      </w:r>
      <w:r w:rsidRPr="000301BB">
        <w:t xml:space="preserve"> </w:t>
      </w:r>
      <w:r w:rsidR="00323CED" w:rsidRPr="000301BB">
        <w:rPr>
          <w:iCs/>
        </w:rPr>
        <w:t>tablets contain sitagliptin (as phosphate monohydrate) and simvastatin.</w:t>
      </w:r>
    </w:p>
    <w:p w:rsidR="00CE2C71" w:rsidRPr="000301BB" w:rsidRDefault="00CE2C71" w:rsidP="00F006A0">
      <w:pPr>
        <w:spacing w:after="100" w:afterAutospacing="1"/>
      </w:pPr>
      <w:r w:rsidRPr="000301BB">
        <w:rPr>
          <w:b/>
          <w:iCs/>
        </w:rPr>
        <w:t>Sitagliptin</w:t>
      </w:r>
      <w:r w:rsidRPr="000301BB">
        <w:t xml:space="preserve"> phosphate</w:t>
      </w:r>
      <w:r w:rsidR="00C61842" w:rsidRPr="000301BB">
        <w:t xml:space="preserve"> monohydrate</w:t>
      </w:r>
      <w:r w:rsidR="00E26644" w:rsidRPr="000301BB">
        <w:t xml:space="preserve"> (CAS no.: 654671-77-9)</w:t>
      </w:r>
      <w:r w:rsidRPr="000301BB">
        <w:t xml:space="preserve">, is described chemically as: </w:t>
      </w:r>
      <w:r w:rsidR="005D0412" w:rsidRPr="000301BB">
        <w:br/>
      </w:r>
      <w:r w:rsidRPr="000301BB">
        <w:t>7-[(3</w:t>
      </w:r>
      <w:r w:rsidRPr="000301BB">
        <w:rPr>
          <w:i/>
          <w:iCs/>
        </w:rPr>
        <w:t>R</w:t>
      </w:r>
      <w:r w:rsidRPr="000301BB">
        <w:t>)-3-amino-1-oxo-4-(2,4,5-trifluorophenyl)butyl]-5,6,7,8-tetrahydro-3-(trifluoromethyl)-1,2,4-triazolo[4,3-</w:t>
      </w:r>
      <w:r w:rsidRPr="000301BB">
        <w:rPr>
          <w:i/>
          <w:iCs/>
        </w:rPr>
        <w:t>a</w:t>
      </w:r>
      <w:r w:rsidRPr="000301BB">
        <w:t>]pyrazine phosphate (1:1) monohydrate.</w:t>
      </w:r>
      <w:r w:rsidR="00D8415E" w:rsidRPr="000301BB">
        <w:t xml:space="preserve"> </w:t>
      </w:r>
      <w:r w:rsidR="0059430E" w:rsidRPr="000301BB">
        <w:t xml:space="preserve"> </w:t>
      </w:r>
      <w:r w:rsidRPr="000301BB">
        <w:t>The empirical formula is C</w:t>
      </w:r>
      <w:r w:rsidRPr="000301BB">
        <w:rPr>
          <w:vertAlign w:val="subscript"/>
        </w:rPr>
        <w:t>16</w:t>
      </w:r>
      <w:r w:rsidRPr="000301BB">
        <w:t>H</w:t>
      </w:r>
      <w:r w:rsidRPr="000301BB">
        <w:rPr>
          <w:vertAlign w:val="subscript"/>
        </w:rPr>
        <w:t>15</w:t>
      </w:r>
      <w:r w:rsidRPr="000301BB">
        <w:t>F</w:t>
      </w:r>
      <w:r w:rsidRPr="000301BB">
        <w:rPr>
          <w:vertAlign w:val="subscript"/>
        </w:rPr>
        <w:t>6</w:t>
      </w:r>
      <w:r w:rsidRPr="000301BB">
        <w:t>N</w:t>
      </w:r>
      <w:r w:rsidRPr="000301BB">
        <w:rPr>
          <w:vertAlign w:val="subscript"/>
        </w:rPr>
        <w:t>5</w:t>
      </w:r>
      <w:r w:rsidRPr="000301BB">
        <w:t>O•H</w:t>
      </w:r>
      <w:r w:rsidRPr="000301BB">
        <w:rPr>
          <w:vertAlign w:val="subscript"/>
        </w:rPr>
        <w:t>3</w:t>
      </w:r>
      <w:r w:rsidRPr="000301BB">
        <w:t>PO</w:t>
      </w:r>
      <w:r w:rsidRPr="000301BB">
        <w:rPr>
          <w:vertAlign w:val="subscript"/>
        </w:rPr>
        <w:t>4</w:t>
      </w:r>
      <w:r w:rsidRPr="000301BB">
        <w:t>•H</w:t>
      </w:r>
      <w:r w:rsidRPr="000301BB">
        <w:rPr>
          <w:vertAlign w:val="subscript"/>
        </w:rPr>
        <w:t>2</w:t>
      </w:r>
      <w:r w:rsidRPr="000301BB">
        <w:t xml:space="preserve">O and the molecular weight is 523.32. </w:t>
      </w:r>
      <w:r w:rsidR="009204C7" w:rsidRPr="000301BB">
        <w:t xml:space="preserve"> </w:t>
      </w:r>
      <w:r w:rsidRPr="000301BB">
        <w:t>The structural formula is:</w:t>
      </w:r>
    </w:p>
    <w:p w:rsidR="00CE2C71" w:rsidRPr="000301BB" w:rsidRDefault="00F006A0" w:rsidP="00CE2C71">
      <w:pPr>
        <w:jc w:val="center"/>
      </w:pPr>
      <w:r w:rsidRPr="000301BB">
        <w:object w:dxaOrig="7913" w:dyaOrig="3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of sitagliptin" style="width:269.65pt;height:103pt" o:ole="">
            <v:imagedata r:id="rId8" o:title=""/>
          </v:shape>
          <o:OLEObject Type="Embed" ProgID="ChemDraw.Document.6.0" ShapeID="_x0000_i1025" DrawAspect="Content" ObjectID="_1440351254" r:id="rId9"/>
        </w:object>
      </w:r>
    </w:p>
    <w:p w:rsidR="00510883" w:rsidRPr="000301BB" w:rsidRDefault="00CE2C71" w:rsidP="00F006A0">
      <w:pPr>
        <w:spacing w:before="100" w:beforeAutospacing="1" w:after="100" w:afterAutospacing="1"/>
      </w:pPr>
      <w:r w:rsidRPr="000301BB">
        <w:rPr>
          <w:b/>
          <w:iCs/>
        </w:rPr>
        <w:t>Simvastatin</w:t>
      </w:r>
      <w:r w:rsidRPr="000301BB">
        <w:t xml:space="preserve"> </w:t>
      </w:r>
      <w:r w:rsidR="00E26644" w:rsidRPr="000301BB">
        <w:t xml:space="preserve">(CAS no.: 79902-63-9), </w:t>
      </w:r>
      <w:r w:rsidRPr="000301BB">
        <w:t xml:space="preserve">is described chemically as </w:t>
      </w:r>
      <w:r w:rsidR="005D0412" w:rsidRPr="000301BB">
        <w:br/>
      </w:r>
      <w:r w:rsidRPr="000301BB">
        <w:t>[1</w:t>
      </w:r>
      <w:r w:rsidRPr="000301BB">
        <w:rPr>
          <w:i/>
        </w:rPr>
        <w:t>S</w:t>
      </w:r>
      <w:r w:rsidRPr="000301BB">
        <w:t>-[1</w:t>
      </w:r>
      <w:r w:rsidRPr="000301BB">
        <w:sym w:font="Symbol" w:char="F061"/>
      </w:r>
      <w:r w:rsidRPr="000301BB">
        <w:t>,3</w:t>
      </w:r>
      <w:r w:rsidRPr="000301BB">
        <w:sym w:font="Symbol" w:char="F061"/>
      </w:r>
      <w:r w:rsidRPr="000301BB">
        <w:t>,7</w:t>
      </w:r>
      <w:r w:rsidRPr="000301BB">
        <w:sym w:font="Symbol" w:char="F062"/>
      </w:r>
      <w:r w:rsidRPr="000301BB">
        <w:t>,8</w:t>
      </w:r>
      <w:r w:rsidRPr="000301BB">
        <w:sym w:font="Symbol" w:char="F062"/>
      </w:r>
      <w:r w:rsidRPr="000301BB">
        <w:t>(2</w:t>
      </w:r>
      <w:r w:rsidRPr="000301BB">
        <w:rPr>
          <w:i/>
        </w:rPr>
        <w:t>S</w:t>
      </w:r>
      <w:r w:rsidRPr="000301BB">
        <w:t>*,4</w:t>
      </w:r>
      <w:r w:rsidRPr="000301BB">
        <w:rPr>
          <w:i/>
        </w:rPr>
        <w:t>S</w:t>
      </w:r>
      <w:r w:rsidRPr="000301BB">
        <w:t>*),8</w:t>
      </w:r>
      <w:r w:rsidRPr="000301BB">
        <w:sym w:font="Symbol" w:char="F061"/>
      </w:r>
      <w:r w:rsidRPr="000301BB">
        <w:sym w:font="Symbol" w:char="F062"/>
      </w:r>
      <w:r w:rsidRPr="000301BB">
        <w:t> ]]-1,2,3,7,8,8a-hexahydro-3,7-dimethyl-8-[2-(tetrahydro-4-hydroxy-6-oxo-2</w:t>
      </w:r>
      <w:r w:rsidRPr="000301BB">
        <w:rPr>
          <w:i/>
        </w:rPr>
        <w:t>H</w:t>
      </w:r>
      <w:r w:rsidRPr="000301BB">
        <w:t>-pyran-2-yl)ethyl]-1-naphthalenyl 2,2-dimethylbutanoate.</w:t>
      </w:r>
      <w:r w:rsidR="0059430E" w:rsidRPr="000301BB">
        <w:t xml:space="preserve">  </w:t>
      </w:r>
      <w:r w:rsidRPr="000301BB">
        <w:t>The empirical formula is C</w:t>
      </w:r>
      <w:r w:rsidRPr="000301BB">
        <w:rPr>
          <w:vertAlign w:val="subscript"/>
        </w:rPr>
        <w:t>25</w:t>
      </w:r>
      <w:r w:rsidRPr="000301BB">
        <w:t>H</w:t>
      </w:r>
      <w:r w:rsidRPr="000301BB">
        <w:rPr>
          <w:vertAlign w:val="subscript"/>
        </w:rPr>
        <w:t>38</w:t>
      </w:r>
      <w:r w:rsidRPr="000301BB">
        <w:t>O</w:t>
      </w:r>
      <w:r w:rsidRPr="000301BB">
        <w:rPr>
          <w:vertAlign w:val="subscript"/>
        </w:rPr>
        <w:t>5</w:t>
      </w:r>
      <w:r w:rsidRPr="000301BB">
        <w:t xml:space="preserve"> and the molecular weight is 418.57.</w:t>
      </w:r>
      <w:r w:rsidR="009204C7" w:rsidRPr="000301BB">
        <w:t xml:space="preserve">  </w:t>
      </w:r>
      <w:r w:rsidRPr="000301BB">
        <w:t>The structural formula is:</w:t>
      </w:r>
    </w:p>
    <w:p w:rsidR="00CE2C71" w:rsidRPr="000301BB" w:rsidRDefault="00DF3075" w:rsidP="00CE2C71">
      <w:pPr>
        <w:jc w:val="center"/>
      </w:pPr>
      <w:r>
        <w:rPr>
          <w:noProof/>
          <w:lang w:eastAsia="en-AU"/>
        </w:rPr>
        <w:drawing>
          <wp:inline distT="0" distB="0" distL="0" distR="0">
            <wp:extent cx="2057400" cy="1666875"/>
            <wp:effectExtent l="19050" t="0" r="0" b="0"/>
            <wp:docPr id="2" name="Picture 2" descr="Chemical structure of simvast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057400" cy="1666875"/>
                    </a:xfrm>
                    <a:prstGeom prst="rect">
                      <a:avLst/>
                    </a:prstGeom>
                    <a:noFill/>
                    <a:ln w="9525">
                      <a:noFill/>
                      <a:miter lim="800000"/>
                      <a:headEnd/>
                      <a:tailEnd/>
                    </a:ln>
                  </pic:spPr>
                </pic:pic>
              </a:graphicData>
            </a:graphic>
          </wp:inline>
        </w:drawing>
      </w:r>
    </w:p>
    <w:p w:rsidR="00B318B5" w:rsidRPr="000301BB" w:rsidRDefault="00B318B5" w:rsidP="00F006A0">
      <w:pPr>
        <w:pStyle w:val="Heading2"/>
      </w:pPr>
      <w:r w:rsidRPr="000301BB">
        <w:t>Description</w:t>
      </w:r>
    </w:p>
    <w:p w:rsidR="0040489B" w:rsidRPr="000301BB" w:rsidRDefault="0040489B" w:rsidP="0040489B">
      <w:r w:rsidRPr="000301BB">
        <w:rPr>
          <w:b/>
          <w:iCs/>
        </w:rPr>
        <w:t>Sitagliptin</w:t>
      </w:r>
      <w:r w:rsidRPr="000301BB">
        <w:t xml:space="preserve"> phosphate monohydrate is a white to off-white, crystalline, non-hygroscopic powder. </w:t>
      </w:r>
      <w:r w:rsidR="009204C7" w:rsidRPr="000301BB">
        <w:t xml:space="preserve"> </w:t>
      </w:r>
      <w:r w:rsidRPr="000301BB">
        <w:t xml:space="preserve">It is soluble in water </w:t>
      </w:r>
      <w:r w:rsidRPr="000301BB">
        <w:rPr>
          <w:color w:val="000000"/>
        </w:rPr>
        <w:t xml:space="preserve">and </w:t>
      </w:r>
      <w:r w:rsidRPr="000301BB">
        <w:rPr>
          <w:i/>
          <w:iCs/>
          <w:color w:val="000000"/>
        </w:rPr>
        <w:t>N</w:t>
      </w:r>
      <w:proofErr w:type="gramStart"/>
      <w:r w:rsidRPr="000301BB">
        <w:rPr>
          <w:color w:val="000000"/>
        </w:rPr>
        <w:t>,</w:t>
      </w:r>
      <w:r w:rsidRPr="000301BB">
        <w:rPr>
          <w:i/>
          <w:iCs/>
          <w:color w:val="000000"/>
        </w:rPr>
        <w:t>N</w:t>
      </w:r>
      <w:proofErr w:type="gramEnd"/>
      <w:r w:rsidRPr="000301BB">
        <w:rPr>
          <w:color w:val="000000"/>
        </w:rPr>
        <w:t>-dimethyl formamide; slightly soluble in methanol; very slightly soluble in ethanol, acetone, and acetonitrile; and insoluble in isopropanol and isopropyl acetate</w:t>
      </w:r>
      <w:r w:rsidRPr="000301BB">
        <w:t>.</w:t>
      </w:r>
      <w:r w:rsidR="00924050" w:rsidRPr="000301BB">
        <w:t xml:space="preserve">  </w:t>
      </w:r>
      <w:r w:rsidR="006E61D1" w:rsidRPr="000301BB">
        <w:t>The pH of a saturated water solution of sitagliptin phosphate monohydrate is 4.4.  The partition coefficient is 1.8 and the pK</w:t>
      </w:r>
      <w:r w:rsidR="006E61D1" w:rsidRPr="000301BB">
        <w:rPr>
          <w:vertAlign w:val="subscript"/>
        </w:rPr>
        <w:t>a</w:t>
      </w:r>
      <w:r w:rsidR="006E61D1" w:rsidRPr="000301BB">
        <w:t xml:space="preserve"> is 7.7.  </w:t>
      </w:r>
      <w:r w:rsidRPr="000301BB">
        <w:rPr>
          <w:b/>
          <w:iCs/>
        </w:rPr>
        <w:t>Simvastatin</w:t>
      </w:r>
      <w:r w:rsidRPr="000301BB">
        <w:t xml:space="preserve"> is a white crystalline powder, practically insoluble in water and freely soluble in chloroform, methanol and ethanol.</w:t>
      </w:r>
      <w:r w:rsidR="006E61D1" w:rsidRPr="000301BB">
        <w:t xml:space="preserve">  The partition coefficient is &gt;1995.  Simvastatin exhibits no acid/base dissociation constants.</w:t>
      </w:r>
    </w:p>
    <w:p w:rsidR="00A33F77" w:rsidRPr="000301BB" w:rsidRDefault="00A33F77" w:rsidP="006E61D1">
      <w:r w:rsidRPr="000301BB">
        <w:rPr>
          <w:iCs/>
        </w:rPr>
        <w:lastRenderedPageBreak/>
        <w:t>JUVICOR</w:t>
      </w:r>
      <w:r w:rsidRPr="000301BB">
        <w:t xml:space="preserve"> </w:t>
      </w:r>
      <w:r w:rsidR="003A2837" w:rsidRPr="000301BB">
        <w:t>is available for oral use as film</w:t>
      </w:r>
      <w:r w:rsidR="00C314B8" w:rsidRPr="000301BB">
        <w:t>-</w:t>
      </w:r>
      <w:r w:rsidR="003A2837" w:rsidRPr="000301BB">
        <w:t xml:space="preserve">coated bilayer tablets </w:t>
      </w:r>
      <w:r w:rsidRPr="000301BB">
        <w:t>contain</w:t>
      </w:r>
      <w:r w:rsidR="003A2837" w:rsidRPr="000301BB">
        <w:t>ing</w:t>
      </w:r>
      <w:r w:rsidRPr="000301BB">
        <w:t xml:space="preserve"> </w:t>
      </w:r>
      <w:r w:rsidRPr="000301BB">
        <w:rPr>
          <w:rFonts w:eastAsia="MS Mincho"/>
          <w:lang w:eastAsia="ja-JP" w:bidi="th-TH"/>
        </w:rPr>
        <w:t xml:space="preserve">128.5 mg of </w:t>
      </w:r>
      <w:r w:rsidRPr="000301BB">
        <w:t>sitagliptin phosphate monohydrate</w:t>
      </w:r>
      <w:r w:rsidRPr="000301BB">
        <w:rPr>
          <w:rFonts w:eastAsia="MS Mincho"/>
          <w:lang w:eastAsia="ja-JP" w:bidi="th-TH"/>
        </w:rPr>
        <w:t xml:space="preserve"> </w:t>
      </w:r>
      <w:r w:rsidR="003A2837" w:rsidRPr="000301BB">
        <w:rPr>
          <w:rFonts w:eastAsia="MS Mincho"/>
          <w:lang w:eastAsia="ja-JP" w:bidi="th-TH"/>
        </w:rPr>
        <w:t>(</w:t>
      </w:r>
      <w:r w:rsidRPr="000301BB">
        <w:rPr>
          <w:rFonts w:eastAsia="MS Mincho"/>
          <w:lang w:eastAsia="ja-JP" w:bidi="th-TH"/>
        </w:rPr>
        <w:t>equivalent to 100 mg of free base</w:t>
      </w:r>
      <w:r w:rsidR="003A2837" w:rsidRPr="000301BB">
        <w:rPr>
          <w:rFonts w:eastAsia="MS Mincho"/>
          <w:lang w:eastAsia="ja-JP" w:bidi="th-TH"/>
        </w:rPr>
        <w:t>)</w:t>
      </w:r>
      <w:r w:rsidRPr="000301BB">
        <w:rPr>
          <w:rFonts w:eastAsia="MS Mincho"/>
          <w:lang w:eastAsia="ja-JP" w:bidi="th-TH"/>
        </w:rPr>
        <w:t xml:space="preserve">, and </w:t>
      </w:r>
      <w:proofErr w:type="gramStart"/>
      <w:r w:rsidRPr="000301BB">
        <w:rPr>
          <w:rFonts w:eastAsia="MS Mincho"/>
          <w:lang w:eastAsia="ja-JP" w:bidi="th-TH"/>
        </w:rPr>
        <w:t>either 10</w:t>
      </w:r>
      <w:proofErr w:type="gramEnd"/>
      <w:r w:rsidRPr="000301BB">
        <w:rPr>
          <w:rFonts w:eastAsia="MS Mincho"/>
          <w:lang w:eastAsia="ja-JP" w:bidi="th-TH"/>
        </w:rPr>
        <w:t xml:space="preserve"> mg, 20 mg, or 40 mg of simvastatin.  </w:t>
      </w:r>
      <w:r w:rsidRPr="000301BB">
        <w:t xml:space="preserve">Each bilayer tablet of </w:t>
      </w:r>
      <w:r w:rsidRPr="000301BB">
        <w:rPr>
          <w:iCs/>
        </w:rPr>
        <w:t>JUVICOR</w:t>
      </w:r>
      <w:r w:rsidRPr="000301BB">
        <w:t xml:space="preserve"> </w:t>
      </w:r>
      <w:r w:rsidR="003A2837" w:rsidRPr="000301BB">
        <w:t xml:space="preserve">also </w:t>
      </w:r>
      <w:r w:rsidRPr="000301BB">
        <w:t xml:space="preserve">contains the following inactive ingredients: anhydrous calcium </w:t>
      </w:r>
      <w:r w:rsidR="001243CE" w:rsidRPr="000301BB">
        <w:t xml:space="preserve">hydrogen </w:t>
      </w:r>
      <w:r w:rsidRPr="000301BB">
        <w:t>phosphate, microcrystalline cellulose, croscarmellose sodium, sodium stearylfumarate, magnesium stearate, ascorbic acid, citric acid</w:t>
      </w:r>
      <w:r w:rsidR="001243CE" w:rsidRPr="000301BB">
        <w:t xml:space="preserve"> monohydrate</w:t>
      </w:r>
      <w:r w:rsidRPr="000301BB">
        <w:t xml:space="preserve">, lactose, and </w:t>
      </w:r>
      <w:r w:rsidR="00F71F87" w:rsidRPr="000301BB">
        <w:t xml:space="preserve">pregelatinised </w:t>
      </w:r>
      <w:r w:rsidR="00737259" w:rsidRPr="000301BB">
        <w:t>maize</w:t>
      </w:r>
      <w:r w:rsidR="00E37E1B" w:rsidRPr="000301BB">
        <w:t xml:space="preserve"> </w:t>
      </w:r>
      <w:r w:rsidRPr="000301BB">
        <w:t xml:space="preserve">starch. </w:t>
      </w:r>
      <w:r w:rsidR="008E2B57" w:rsidRPr="000301BB">
        <w:t xml:space="preserve"> </w:t>
      </w:r>
      <w:r w:rsidRPr="000301BB">
        <w:t>In addition, the film coating contains the following inactive ingredients: polyvinyl alcohol, macrogol</w:t>
      </w:r>
      <w:r w:rsidR="002A7193" w:rsidRPr="000301BB">
        <w:t xml:space="preserve"> </w:t>
      </w:r>
      <w:r w:rsidR="00A21ABA" w:rsidRPr="000301BB">
        <w:t>3350</w:t>
      </w:r>
      <w:r w:rsidRPr="000301BB">
        <w:t xml:space="preserve">, </w:t>
      </w:r>
      <w:r w:rsidR="000C6D73" w:rsidRPr="000301BB">
        <w:t xml:space="preserve">purified </w:t>
      </w:r>
      <w:r w:rsidRPr="000301BB">
        <w:t>talc, titanium dioxide, iron oxide</w:t>
      </w:r>
      <w:r w:rsidR="001243CE" w:rsidRPr="000301BB">
        <w:t xml:space="preserve"> red CI77491</w:t>
      </w:r>
      <w:r w:rsidRPr="000301BB">
        <w:t>, iron oxide</w:t>
      </w:r>
      <w:r w:rsidR="001243CE" w:rsidRPr="000301BB">
        <w:t xml:space="preserve"> yellow </w:t>
      </w:r>
      <w:proofErr w:type="gramStart"/>
      <w:r w:rsidR="001243CE" w:rsidRPr="000301BB">
        <w:t>CI77492</w:t>
      </w:r>
      <w:r w:rsidRPr="000301BB">
        <w:t>,</w:t>
      </w:r>
      <w:proofErr w:type="gramEnd"/>
      <w:r w:rsidRPr="000301BB">
        <w:t xml:space="preserve"> and iron oxide</w:t>
      </w:r>
      <w:r w:rsidR="001243CE" w:rsidRPr="000301BB">
        <w:t xml:space="preserve"> </w:t>
      </w:r>
      <w:r w:rsidR="00031B1C" w:rsidRPr="000301BB">
        <w:t xml:space="preserve">black </w:t>
      </w:r>
      <w:r w:rsidR="001243CE" w:rsidRPr="000301BB">
        <w:t>CI77499</w:t>
      </w:r>
      <w:r w:rsidRPr="000301BB">
        <w:t xml:space="preserve">. </w:t>
      </w:r>
      <w:r w:rsidR="005D0412" w:rsidRPr="000301BB">
        <w:t xml:space="preserve"> </w:t>
      </w:r>
      <w:r w:rsidRPr="000301BB">
        <w:t>Butylated hydroxyanisole is added as a</w:t>
      </w:r>
      <w:r w:rsidR="006E61D1" w:rsidRPr="000301BB">
        <w:t>n antioxidant</w:t>
      </w:r>
      <w:r w:rsidRPr="000301BB">
        <w:t>.</w:t>
      </w:r>
    </w:p>
    <w:p w:rsidR="00B318B5" w:rsidRPr="000301BB" w:rsidRDefault="00B318B5" w:rsidP="00F006A0">
      <w:pPr>
        <w:pStyle w:val="Heading2"/>
      </w:pPr>
      <w:r w:rsidRPr="000301BB">
        <w:t>Pharmacology</w:t>
      </w:r>
    </w:p>
    <w:p w:rsidR="00794C05" w:rsidRPr="000301BB" w:rsidRDefault="00E73213" w:rsidP="00F006A0">
      <w:pPr>
        <w:pStyle w:val="Heading3"/>
      </w:pPr>
      <w:r w:rsidRPr="00F006A0">
        <w:t>Pharmacod</w:t>
      </w:r>
      <w:r w:rsidRPr="000301BB">
        <w:t>ynamics</w:t>
      </w:r>
    </w:p>
    <w:p w:rsidR="00673ED4" w:rsidRPr="00F006A0" w:rsidRDefault="00673ED4" w:rsidP="00F006A0">
      <w:pPr>
        <w:pStyle w:val="Heading4"/>
      </w:pPr>
      <w:r w:rsidRPr="00F006A0">
        <w:t>Sitagliptin</w:t>
      </w:r>
    </w:p>
    <w:p w:rsidR="00AB3ABF" w:rsidRPr="000301BB" w:rsidRDefault="00323CED" w:rsidP="00323CED">
      <w:pPr>
        <w:rPr>
          <w:rFonts w:cs="TimesNewRoman+1"/>
        </w:rPr>
      </w:pPr>
      <w:r w:rsidRPr="000301BB">
        <w:rPr>
          <w:rFonts w:cs="TimesNewRoman+1"/>
        </w:rPr>
        <w:t xml:space="preserve">Sitagliptin phosphate </w:t>
      </w:r>
      <w:r w:rsidR="00BD733A" w:rsidRPr="000301BB">
        <w:rPr>
          <w:rFonts w:cs="TimesNewRoman+1"/>
        </w:rPr>
        <w:t xml:space="preserve">monohydrate </w:t>
      </w:r>
      <w:r w:rsidRPr="000301BB">
        <w:rPr>
          <w:rFonts w:cs="TimesNewRoman+1"/>
        </w:rPr>
        <w:t>is an orally-active inhibitor of the dipeptidyl peptidase 4 (DPP</w:t>
      </w:r>
      <w:r w:rsidRPr="000301BB">
        <w:rPr>
          <w:rFonts w:cs="TimesNewRoman+1"/>
        </w:rPr>
        <w:noBreakHyphen/>
        <w:t xml:space="preserve">4) </w:t>
      </w:r>
      <w:proofErr w:type="gramStart"/>
      <w:r w:rsidRPr="000301BB">
        <w:rPr>
          <w:rFonts w:cs="TimesNewRoman+1"/>
        </w:rPr>
        <w:t>enzyme</w:t>
      </w:r>
      <w:proofErr w:type="gramEnd"/>
      <w:r w:rsidRPr="000301BB">
        <w:rPr>
          <w:rFonts w:cs="TimesNewRoman+1"/>
        </w:rPr>
        <w:t xml:space="preserve"> for the treatment of </w:t>
      </w:r>
      <w:r w:rsidR="00897CEA" w:rsidRPr="000301BB">
        <w:rPr>
          <w:rFonts w:cs="TimesNewRoman+1"/>
        </w:rPr>
        <w:t>type 2</w:t>
      </w:r>
      <w:r w:rsidRPr="000301BB">
        <w:rPr>
          <w:rFonts w:cs="TimesNewRoman+1"/>
        </w:rPr>
        <w:t xml:space="preserve"> diabetes</w:t>
      </w:r>
      <w:r w:rsidR="00F5499B" w:rsidRPr="000301BB">
        <w:rPr>
          <w:rFonts w:cs="TimesNewRoman+1"/>
        </w:rPr>
        <w:t xml:space="preserve"> mellitus</w:t>
      </w:r>
      <w:r w:rsidRPr="000301BB">
        <w:rPr>
          <w:rFonts w:cs="TimesNewRoman+1"/>
        </w:rPr>
        <w:t xml:space="preserve">. </w:t>
      </w:r>
      <w:r w:rsidR="008E2B57" w:rsidRPr="000301BB">
        <w:rPr>
          <w:rFonts w:cs="TimesNewRoman+1"/>
        </w:rPr>
        <w:t xml:space="preserve"> </w:t>
      </w:r>
      <w:r w:rsidRPr="000301BB">
        <w:rPr>
          <w:rFonts w:cs="TimesNewRoman+1"/>
        </w:rPr>
        <w:t>The DPP</w:t>
      </w:r>
      <w:r w:rsidRPr="000301BB">
        <w:rPr>
          <w:rFonts w:cs="TimesNewRoman+1"/>
        </w:rPr>
        <w:noBreakHyphen/>
        <w:t xml:space="preserve">4 inhibitors are a class of agents that act as incretin enhancers. </w:t>
      </w:r>
      <w:r w:rsidR="006F76DC" w:rsidRPr="000301BB">
        <w:rPr>
          <w:rFonts w:cs="TimesNewRoman+1"/>
        </w:rPr>
        <w:t xml:space="preserve"> </w:t>
      </w:r>
      <w:r w:rsidRPr="000301BB">
        <w:rPr>
          <w:rFonts w:cs="TimesNewRoman+1"/>
        </w:rPr>
        <w:t>By inhibiting the DPP</w:t>
      </w:r>
      <w:r w:rsidRPr="000301BB">
        <w:rPr>
          <w:rFonts w:cs="TimesNewRoman+1"/>
        </w:rPr>
        <w:noBreakHyphen/>
        <w:t>4 enzyme, sitagliptin increases the levels of two known active incretin hormones, glucagon-like peptide</w:t>
      </w:r>
      <w:r w:rsidRPr="000301BB">
        <w:rPr>
          <w:rFonts w:cs="TimesNewRoman+1"/>
        </w:rPr>
        <w:noBreakHyphen/>
        <w:t>1 (GLP</w:t>
      </w:r>
      <w:r w:rsidRPr="000301BB">
        <w:rPr>
          <w:rFonts w:cs="TimesNewRoman+1"/>
        </w:rPr>
        <w:noBreakHyphen/>
        <w:t xml:space="preserve">1) and glucose-dependent insulinotropic polypeptide (GIP). </w:t>
      </w:r>
      <w:r w:rsidR="008E2B57" w:rsidRPr="000301BB">
        <w:rPr>
          <w:rFonts w:cs="TimesNewRoman+1"/>
        </w:rPr>
        <w:t xml:space="preserve"> </w:t>
      </w:r>
      <w:r w:rsidRPr="000301BB">
        <w:rPr>
          <w:rFonts w:cs="TimesNewRoman+1"/>
        </w:rPr>
        <w:t>The incretins are part of an endogenous system involved in the physiologic</w:t>
      </w:r>
      <w:r w:rsidR="000D3637" w:rsidRPr="000301BB">
        <w:rPr>
          <w:rFonts w:cs="TimesNewRoman+1"/>
        </w:rPr>
        <w:t>al</w:t>
      </w:r>
      <w:r w:rsidRPr="000301BB">
        <w:rPr>
          <w:rFonts w:cs="TimesNewRoman+1"/>
        </w:rPr>
        <w:t xml:space="preserve"> regulation of glucose homeostasis.</w:t>
      </w:r>
      <w:r w:rsidR="00B4108B" w:rsidRPr="000301BB">
        <w:rPr>
          <w:rFonts w:cs="TimesNewRoman+1"/>
        </w:rPr>
        <w:t xml:space="preserve"> </w:t>
      </w:r>
      <w:r w:rsidRPr="000301BB">
        <w:rPr>
          <w:rFonts w:cs="TimesNewRoman+1"/>
        </w:rPr>
        <w:t xml:space="preserve"> When blood glucose concentrations are normal or elevated, GLP</w:t>
      </w:r>
      <w:r w:rsidRPr="000301BB">
        <w:rPr>
          <w:rFonts w:cs="TimesNewRoman+1"/>
        </w:rPr>
        <w:noBreakHyphen/>
        <w:t xml:space="preserve">1 and GIP increase insulin synthesis and release from pancreatic beta cells. </w:t>
      </w:r>
      <w:r w:rsidR="00B4108B" w:rsidRPr="000301BB">
        <w:rPr>
          <w:rFonts w:cs="TimesNewRoman+1"/>
        </w:rPr>
        <w:t xml:space="preserve"> </w:t>
      </w:r>
      <w:r w:rsidRPr="000301BB">
        <w:rPr>
          <w:rFonts w:cs="TimesNewRoman+1"/>
        </w:rPr>
        <w:t>GLP</w:t>
      </w:r>
      <w:r w:rsidRPr="000301BB">
        <w:rPr>
          <w:rFonts w:cs="TimesNewRoman+1"/>
        </w:rPr>
        <w:noBreakHyphen/>
        <w:t xml:space="preserve">1 also lowers glucagon secretion from pancreatic alpha cells, leading to reduced hepatic glucose production. </w:t>
      </w:r>
      <w:r w:rsidR="008E2B57" w:rsidRPr="000301BB">
        <w:rPr>
          <w:rFonts w:cs="TimesNewRoman+1"/>
        </w:rPr>
        <w:t xml:space="preserve"> </w:t>
      </w:r>
      <w:r w:rsidRPr="000301BB">
        <w:rPr>
          <w:rFonts w:cs="TimesNewRoman+1"/>
        </w:rPr>
        <w:t>This mechanism is unlike the mechanism seen with sulfonylureas; sulfonylureas cause insulin release even when glucose levels are low, which can lead to sulfonylurea-induced hypoglyc</w:t>
      </w:r>
      <w:r w:rsidR="00A778EF" w:rsidRPr="000301BB">
        <w:rPr>
          <w:rFonts w:cs="TimesNewRoman+1"/>
        </w:rPr>
        <w:t>a</w:t>
      </w:r>
      <w:r w:rsidRPr="000301BB">
        <w:rPr>
          <w:rFonts w:cs="TimesNewRoman+1"/>
        </w:rPr>
        <w:t xml:space="preserve">emia in patients with </w:t>
      </w:r>
      <w:r w:rsidR="00897CEA" w:rsidRPr="000301BB">
        <w:rPr>
          <w:rFonts w:cs="TimesNewRoman+1"/>
        </w:rPr>
        <w:t>type 2</w:t>
      </w:r>
      <w:r w:rsidRPr="000301BB">
        <w:rPr>
          <w:rFonts w:cs="TimesNewRoman+1"/>
        </w:rPr>
        <w:t xml:space="preserve"> diabetes and in normal subjects. </w:t>
      </w:r>
      <w:r w:rsidR="00B4108B" w:rsidRPr="000301BB">
        <w:rPr>
          <w:rFonts w:cs="TimesNewRoman+1"/>
        </w:rPr>
        <w:t xml:space="preserve"> </w:t>
      </w:r>
      <w:r w:rsidRPr="000301BB">
        <w:rPr>
          <w:rFonts w:cs="TimesNewRoman+1"/>
        </w:rPr>
        <w:t>Sitagliptin inhibit</w:t>
      </w:r>
      <w:r w:rsidR="000D3637" w:rsidRPr="000301BB">
        <w:rPr>
          <w:rFonts w:cs="TimesNewRoman+1"/>
        </w:rPr>
        <w:t>s</w:t>
      </w:r>
      <w:r w:rsidRPr="000301BB">
        <w:rPr>
          <w:rFonts w:cs="TimesNewRoman+1"/>
        </w:rPr>
        <w:t xml:space="preserve"> DPP</w:t>
      </w:r>
      <w:r w:rsidRPr="000301BB">
        <w:rPr>
          <w:rFonts w:cs="TimesNewRoman+1"/>
        </w:rPr>
        <w:noBreakHyphen/>
        <w:t xml:space="preserve">4 </w:t>
      </w:r>
      <w:r w:rsidR="000D3637" w:rsidRPr="000301BB">
        <w:rPr>
          <w:rFonts w:cs="TimesNewRoman+1"/>
        </w:rPr>
        <w:t xml:space="preserve">with nanomolar potency </w:t>
      </w:r>
      <w:r w:rsidR="000D3637" w:rsidRPr="000301BB">
        <w:t>(IC</w:t>
      </w:r>
      <w:r w:rsidR="000D3637" w:rsidRPr="000301BB">
        <w:rPr>
          <w:vertAlign w:val="subscript"/>
        </w:rPr>
        <w:t>50</w:t>
      </w:r>
      <w:r w:rsidR="000D3637" w:rsidRPr="000301BB">
        <w:t xml:space="preserve"> 18 nM).  </w:t>
      </w:r>
      <w:r w:rsidR="000D3637" w:rsidRPr="000301BB">
        <w:rPr>
          <w:rFonts w:cs="TimesNewRoman+1"/>
        </w:rPr>
        <w:t>It</w:t>
      </w:r>
      <w:r w:rsidRPr="000301BB">
        <w:rPr>
          <w:rFonts w:cs="TimesNewRoman+1"/>
        </w:rPr>
        <w:t xml:space="preserve"> does not inhibit the closely-related enzymes DPP</w:t>
      </w:r>
      <w:r w:rsidRPr="000301BB">
        <w:rPr>
          <w:rFonts w:cs="TimesNewRoman+1"/>
        </w:rPr>
        <w:noBreakHyphen/>
        <w:t>8 or DPP</w:t>
      </w:r>
      <w:r w:rsidRPr="000301BB">
        <w:rPr>
          <w:rFonts w:cs="TimesNewRoman+1"/>
        </w:rPr>
        <w:noBreakHyphen/>
        <w:t>9 at therapeutic concentrations.</w:t>
      </w:r>
    </w:p>
    <w:p w:rsidR="00323CED" w:rsidRPr="000301BB" w:rsidRDefault="00323CED" w:rsidP="00F006A0">
      <w:pPr>
        <w:spacing w:before="100" w:beforeAutospacing="1" w:after="100" w:afterAutospacing="1"/>
        <w:rPr>
          <w:rFonts w:cs="TimesNewRoman+1"/>
        </w:rPr>
      </w:pPr>
      <w:r w:rsidRPr="000301BB">
        <w:rPr>
          <w:rFonts w:cs="TimesNewRoman+1"/>
        </w:rPr>
        <w:t>Sitagliptin differs in chemical structure and pharmacological action from GLP</w:t>
      </w:r>
      <w:r w:rsidRPr="000301BB">
        <w:rPr>
          <w:rFonts w:cs="TimesNewRoman+1"/>
        </w:rPr>
        <w:noBreakHyphen/>
        <w:t>1 analogues, insulin, sulfonylureas or meglitinides, biguanides, peroxisome proliferator-activated receptor gamma (PPAR</w:t>
      </w:r>
      <w:r w:rsidRPr="000301BB">
        <w:rPr>
          <w:rFonts w:cs="TimesNewRoman+1"/>
        </w:rPr>
        <w:sym w:font="Symbol" w:char="F067"/>
      </w:r>
      <w:r w:rsidRPr="000301BB">
        <w:rPr>
          <w:rFonts w:cs="TimesNewRoman+1"/>
        </w:rPr>
        <w:t xml:space="preserve">) agonists, alpha-glucosidase inhibitors, and </w:t>
      </w:r>
      <w:bookmarkStart w:id="0" w:name="OLE_LINK1"/>
      <w:bookmarkStart w:id="1" w:name="OLE_LINK2"/>
      <w:r w:rsidRPr="000301BB">
        <w:rPr>
          <w:rFonts w:cs="TimesNewRoman+1"/>
        </w:rPr>
        <w:t>amylin analogues</w:t>
      </w:r>
      <w:bookmarkEnd w:id="0"/>
      <w:bookmarkEnd w:id="1"/>
      <w:r w:rsidRPr="000301BB">
        <w:rPr>
          <w:rFonts w:cs="TimesNewRoman+1"/>
        </w:rPr>
        <w:t>.</w:t>
      </w:r>
    </w:p>
    <w:p w:rsidR="008D39EB" w:rsidRPr="000301BB" w:rsidRDefault="008D39EB" w:rsidP="008D39EB">
      <w:pPr>
        <w:tabs>
          <w:tab w:val="left" w:pos="540"/>
        </w:tabs>
      </w:pPr>
      <w:r w:rsidRPr="000301BB">
        <w:t xml:space="preserve">In patients with </w:t>
      </w:r>
      <w:r w:rsidR="00897CEA" w:rsidRPr="000301BB">
        <w:t>type 2</w:t>
      </w:r>
      <w:r w:rsidRPr="000301BB">
        <w:t xml:space="preserve"> diabetes, administration of single oral doses of sitagliptin leads to inhibition of DPP</w:t>
      </w:r>
      <w:r w:rsidRPr="000301BB">
        <w:noBreakHyphen/>
        <w:t>4 enzyme activity for a 24</w:t>
      </w:r>
      <w:r w:rsidRPr="000301BB">
        <w:noBreakHyphen/>
        <w:t>hour period, resulting in a 2</w:t>
      </w:r>
      <w:r w:rsidRPr="000301BB">
        <w:noBreakHyphen/>
        <w:t xml:space="preserve"> to 3</w:t>
      </w:r>
      <w:r w:rsidRPr="000301BB">
        <w:noBreakHyphen/>
        <w:t>fold increase in circulating levels of active GLP</w:t>
      </w:r>
      <w:r w:rsidRPr="000301BB">
        <w:noBreakHyphen/>
        <w:t xml:space="preserve">1 and GIP, increased plasma levels of insulin and C-peptide, decreased glucagon concentrations, reduced fasting glucose, and reduced glucose excursion following an oral glucose load or a meal.  In a study of patients with </w:t>
      </w:r>
      <w:r w:rsidR="00897CEA" w:rsidRPr="000301BB">
        <w:t>type 2</w:t>
      </w:r>
      <w:r w:rsidRPr="000301BB">
        <w:t xml:space="preserve"> diabetes inadequately controlled on metformin monotherapy, glucose levels monitored throughout the day were significantly lower in patients who received sitagliptin 100 mg per day (50 mg twice daily) in combination with metformin compared with patients who received placebo with metformin (see Figure 1).</w:t>
      </w:r>
    </w:p>
    <w:p w:rsidR="00AE371A" w:rsidRPr="000301BB" w:rsidRDefault="00AE371A" w:rsidP="00496D84">
      <w:pPr>
        <w:pageBreakBefore/>
        <w:tabs>
          <w:tab w:val="left" w:pos="540"/>
        </w:tabs>
        <w:rPr>
          <w:b/>
          <w:sz w:val="20"/>
          <w:szCs w:val="20"/>
        </w:rPr>
      </w:pPr>
      <w:r w:rsidRPr="000301BB">
        <w:rPr>
          <w:b/>
          <w:sz w:val="20"/>
          <w:szCs w:val="20"/>
        </w:rPr>
        <w:lastRenderedPageBreak/>
        <w:t>Figure 1: 24</w:t>
      </w:r>
      <w:r w:rsidRPr="000301BB">
        <w:rPr>
          <w:b/>
          <w:sz w:val="20"/>
          <w:szCs w:val="20"/>
        </w:rPr>
        <w:noBreakHyphen/>
        <w:t>hour Plasma Glucose Profile after 4</w:t>
      </w:r>
      <w:r w:rsidRPr="000301BB">
        <w:rPr>
          <w:b/>
          <w:sz w:val="20"/>
          <w:szCs w:val="20"/>
        </w:rPr>
        <w:noBreakHyphen/>
        <w:t>Week Treatment with Sitagliptin 50 mg BID with Metformin or Placebo with Metformin</w:t>
      </w:r>
    </w:p>
    <w:p w:rsidR="00AE371A" w:rsidRPr="000301BB" w:rsidRDefault="00DF3075" w:rsidP="00AE371A">
      <w:pPr>
        <w:keepNext/>
        <w:keepLines/>
        <w:tabs>
          <w:tab w:val="left" w:pos="540"/>
        </w:tabs>
        <w:jc w:val="center"/>
      </w:pPr>
      <w:r>
        <w:rPr>
          <w:noProof/>
          <w:lang w:eastAsia="en-AU"/>
        </w:rPr>
        <w:drawing>
          <wp:inline distT="0" distB="0" distL="0" distR="0">
            <wp:extent cx="4371975" cy="2924175"/>
            <wp:effectExtent l="0" t="0" r="0" b="0"/>
            <wp:docPr id="3" name="Picture 3" descr="Figure 1: 24 hour Plasma Glucose Profile after 4 Week Treatment with Sitagliptin 50 mg BID with Metformin or Placebo with Metfo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t="3838" b="9833"/>
                    <a:stretch>
                      <a:fillRect/>
                    </a:stretch>
                  </pic:blipFill>
                  <pic:spPr bwMode="auto">
                    <a:xfrm>
                      <a:off x="0" y="0"/>
                      <a:ext cx="4371975" cy="2924175"/>
                    </a:xfrm>
                    <a:prstGeom prst="rect">
                      <a:avLst/>
                    </a:prstGeom>
                    <a:noFill/>
                    <a:ln w="9525">
                      <a:noFill/>
                      <a:miter lim="800000"/>
                      <a:headEnd/>
                      <a:tailEnd/>
                    </a:ln>
                  </pic:spPr>
                </pic:pic>
              </a:graphicData>
            </a:graphic>
          </wp:inline>
        </w:drawing>
      </w:r>
    </w:p>
    <w:p w:rsidR="00673ED4" w:rsidRPr="000301BB" w:rsidRDefault="00673ED4" w:rsidP="00F006A0">
      <w:pPr>
        <w:spacing w:before="100" w:beforeAutospacing="1" w:after="100" w:afterAutospacing="1"/>
        <w:rPr>
          <w:noProof/>
        </w:rPr>
      </w:pPr>
      <w:r w:rsidRPr="000301BB">
        <w:rPr>
          <w:noProof/>
        </w:rPr>
        <w:t>In Phase III clinical studies of 18</w:t>
      </w:r>
      <w:r w:rsidR="00FA279F" w:rsidRPr="000301BB">
        <w:rPr>
          <w:noProof/>
        </w:rPr>
        <w:noBreakHyphen/>
      </w:r>
      <w:r w:rsidRPr="000301BB">
        <w:rPr>
          <w:noProof/>
        </w:rPr>
        <w:t xml:space="preserve"> and 24</w:t>
      </w:r>
      <w:r w:rsidRPr="000301BB">
        <w:rPr>
          <w:noProof/>
        </w:rPr>
        <w:noBreakHyphen/>
        <w:t xml:space="preserve">week duration, treatment with sitagliptin 100 mg daily in patients with </w:t>
      </w:r>
      <w:r w:rsidR="00897CEA" w:rsidRPr="000301BB">
        <w:rPr>
          <w:noProof/>
        </w:rPr>
        <w:t>type 2</w:t>
      </w:r>
      <w:r w:rsidRPr="000301BB">
        <w:rPr>
          <w:noProof/>
        </w:rPr>
        <w:t xml:space="preserve"> diabetes significantly improved beta cell function, as assessed by several markers, including HOMA</w:t>
      </w:r>
      <w:r w:rsidRPr="000301BB">
        <w:rPr>
          <w:noProof/>
        </w:rPr>
        <w:noBreakHyphen/>
        <w:t>β (Homeostasis Model Assessment</w:t>
      </w:r>
      <w:r w:rsidRPr="000301BB">
        <w:rPr>
          <w:noProof/>
        </w:rPr>
        <w:noBreakHyphen/>
        <w:t>β), proinsulin to insulin ratio, and measures of beta cell responsiveness from the frequently-sampled meal tolerance test.</w:t>
      </w:r>
      <w:r w:rsidR="00CA7070" w:rsidRPr="000301BB">
        <w:rPr>
          <w:noProof/>
        </w:rPr>
        <w:t xml:space="preserve">  </w:t>
      </w:r>
      <w:r w:rsidR="004636C2" w:rsidRPr="000301BB">
        <w:rPr>
          <w:bCs w:val="0"/>
        </w:rPr>
        <w:t>There are no clinical studies that demonstrate that sitagliptin alters the natural history of impair</w:t>
      </w:r>
      <w:r w:rsidR="006F76DC" w:rsidRPr="000301BB">
        <w:rPr>
          <w:bCs w:val="0"/>
        </w:rPr>
        <w:t xml:space="preserve">ed glucose tolerance or </w:t>
      </w:r>
      <w:r w:rsidR="00897CEA" w:rsidRPr="000301BB">
        <w:rPr>
          <w:bCs w:val="0"/>
        </w:rPr>
        <w:t>type 2</w:t>
      </w:r>
      <w:r w:rsidR="004636C2" w:rsidRPr="000301BB">
        <w:rPr>
          <w:bCs w:val="0"/>
        </w:rPr>
        <w:t xml:space="preserve"> diabetes mellitus. </w:t>
      </w:r>
      <w:r w:rsidR="00D23087" w:rsidRPr="000301BB">
        <w:rPr>
          <w:bCs w:val="0"/>
        </w:rPr>
        <w:t xml:space="preserve"> </w:t>
      </w:r>
      <w:r w:rsidR="004636C2" w:rsidRPr="000301BB">
        <w:rPr>
          <w:bCs w:val="0"/>
        </w:rPr>
        <w:t>The durability of efficacy requires further study.</w:t>
      </w:r>
    </w:p>
    <w:p w:rsidR="00673ED4" w:rsidRPr="000301BB" w:rsidRDefault="00673ED4" w:rsidP="00F006A0">
      <w:pPr>
        <w:spacing w:before="100" w:beforeAutospacing="1" w:after="100" w:afterAutospacing="1"/>
      </w:pPr>
      <w:r w:rsidRPr="000301BB">
        <w:rPr>
          <w:rFonts w:cs="TimesNewRoman+1"/>
        </w:rPr>
        <w:t xml:space="preserve">In Phase II studies, sitagliptin </w:t>
      </w:r>
      <w:r w:rsidRPr="000301BB">
        <w:t>50 mg twice daily provided no additional glycaemic efficacy compared to 100 mg once daily.</w:t>
      </w:r>
    </w:p>
    <w:p w:rsidR="00510883" w:rsidRPr="000301BB" w:rsidRDefault="00673ED4" w:rsidP="00F006A0">
      <w:pPr>
        <w:tabs>
          <w:tab w:val="left" w:pos="540"/>
        </w:tabs>
        <w:spacing w:before="100" w:beforeAutospacing="1" w:after="100" w:afterAutospacing="1"/>
      </w:pPr>
      <w:r w:rsidRPr="000301BB">
        <w:t xml:space="preserve">In studies with healthy subjects, sitagliptin did not lower blood glucose or cause hypoglycaemia, suggesting that the insulinotropic and glucagon suppressive actions of </w:t>
      </w:r>
      <w:r w:rsidR="007A7434" w:rsidRPr="000301BB">
        <w:t xml:space="preserve">sitagliptin </w:t>
      </w:r>
      <w:r w:rsidRPr="000301BB">
        <w:t>are glucose dependent</w:t>
      </w:r>
      <w:r w:rsidR="004631A3" w:rsidRPr="000301BB">
        <w:t xml:space="preserve"> (</w:t>
      </w:r>
      <w:r w:rsidR="007A3E13" w:rsidRPr="000301BB">
        <w:t>s</w:t>
      </w:r>
      <w:r w:rsidR="00C83AD4" w:rsidRPr="000301BB">
        <w:t xml:space="preserve">ee </w:t>
      </w:r>
      <w:r w:rsidR="00C83AD4" w:rsidRPr="000301BB">
        <w:rPr>
          <w:b/>
        </w:rPr>
        <w:t>PRECAUTIONS</w:t>
      </w:r>
      <w:r w:rsidR="00C83AD4" w:rsidRPr="000301BB">
        <w:t xml:space="preserve">, </w:t>
      </w:r>
      <w:r w:rsidR="00C83AD4" w:rsidRPr="000301BB">
        <w:rPr>
          <w:i/>
        </w:rPr>
        <w:t xml:space="preserve">Hypoglycaemia in Combination with a Sulfonylurea or </w:t>
      </w:r>
      <w:r w:rsidR="004631A3" w:rsidRPr="000301BB">
        <w:rPr>
          <w:i/>
        </w:rPr>
        <w:t xml:space="preserve">with </w:t>
      </w:r>
      <w:r w:rsidR="00C83AD4" w:rsidRPr="000301BB">
        <w:rPr>
          <w:i/>
        </w:rPr>
        <w:t>insu</w:t>
      </w:r>
      <w:r w:rsidR="00DB53B1" w:rsidRPr="000301BB">
        <w:rPr>
          <w:i/>
        </w:rPr>
        <w:t>l</w:t>
      </w:r>
      <w:r w:rsidR="00C83AD4" w:rsidRPr="000301BB">
        <w:rPr>
          <w:i/>
        </w:rPr>
        <w:t>in;</w:t>
      </w:r>
      <w:r w:rsidR="00C83AD4" w:rsidRPr="000301BB">
        <w:t xml:space="preserve"> </w:t>
      </w:r>
      <w:r w:rsidR="00C83AD4" w:rsidRPr="000301BB">
        <w:rPr>
          <w:b/>
        </w:rPr>
        <w:t>ADVERSE EFFECTS</w:t>
      </w:r>
      <w:r w:rsidR="00C83AD4" w:rsidRPr="000301BB">
        <w:t>)</w:t>
      </w:r>
      <w:r w:rsidR="007A3E13" w:rsidRPr="000301BB">
        <w:t>.</w:t>
      </w:r>
    </w:p>
    <w:p w:rsidR="00673ED4" w:rsidRPr="000301BB" w:rsidRDefault="00673ED4" w:rsidP="00F006A0">
      <w:pPr>
        <w:pStyle w:val="Heading4"/>
      </w:pPr>
      <w:r w:rsidRPr="000301BB">
        <w:t>Effects on blood pressure</w:t>
      </w:r>
    </w:p>
    <w:p w:rsidR="00673ED4" w:rsidRPr="000301BB" w:rsidRDefault="00673ED4" w:rsidP="00F006A0">
      <w:pPr>
        <w:spacing w:after="100" w:afterAutospacing="1"/>
      </w:pPr>
      <w:r w:rsidRPr="000301BB">
        <w:t xml:space="preserve">In a randomised, placebo-controlled crossover study in hypertensive patients on one or more anti-hypertensive </w:t>
      </w:r>
      <w:r w:rsidR="008770D8" w:rsidRPr="000301BB">
        <w:t xml:space="preserve">medicines </w:t>
      </w:r>
      <w:r w:rsidRPr="000301BB">
        <w:t>(including angiotensin-converting enzyme [ACE] inhibitors, angiotensin</w:t>
      </w:r>
      <w:r w:rsidRPr="000301BB">
        <w:noBreakHyphen/>
        <w:t>II antagonists, calcium-channel blockers, beta-blockers and diuretics), co</w:t>
      </w:r>
      <w:r w:rsidR="00325730" w:rsidRPr="000301BB">
        <w:t>-</w:t>
      </w:r>
      <w:r w:rsidRPr="000301BB">
        <w:t xml:space="preserve">administration with sitagliptin was generally well tolerated. </w:t>
      </w:r>
      <w:r w:rsidR="00C41D2F" w:rsidRPr="000301BB">
        <w:t xml:space="preserve"> </w:t>
      </w:r>
      <w:r w:rsidRPr="000301BB">
        <w:t>In these patients, sitagliptin had a modest blood pressure lowering effect; 100 mg per day of sitagliptin reduced 24</w:t>
      </w:r>
      <w:r w:rsidRPr="000301BB">
        <w:noBreakHyphen/>
        <w:t>hour mean ambulatory systolic blood pressure by approximately 2 mmHg, as compared to placebo. Reductions have not been observed in subjects with normal blood pressure.</w:t>
      </w:r>
    </w:p>
    <w:p w:rsidR="00673ED4" w:rsidRPr="000301BB" w:rsidRDefault="00673ED4" w:rsidP="00F006A0">
      <w:pPr>
        <w:pStyle w:val="Heading4"/>
      </w:pPr>
      <w:r w:rsidRPr="000301BB">
        <w:t xml:space="preserve">Cardiac </w:t>
      </w:r>
      <w:r w:rsidR="00E82D75" w:rsidRPr="000301BB">
        <w:t>e</w:t>
      </w:r>
      <w:r w:rsidRPr="000301BB">
        <w:t>lectrophysiology</w:t>
      </w:r>
    </w:p>
    <w:p w:rsidR="00673ED4" w:rsidRPr="000301BB" w:rsidRDefault="00673ED4" w:rsidP="00F006A0">
      <w:pPr>
        <w:spacing w:after="100" w:afterAutospacing="1"/>
      </w:pPr>
      <w:r w:rsidRPr="000301BB">
        <w:t xml:space="preserve">In a randomised, placebo-controlled crossover study, 79 healthy subjects were administered a single oral dose of sitagliptin 100 mg, sitagliptin 800 mg (8 times the recommended dose), and placebo. </w:t>
      </w:r>
      <w:r w:rsidR="00C41D2F" w:rsidRPr="000301BB">
        <w:t xml:space="preserve"> </w:t>
      </w:r>
      <w:r w:rsidRPr="000301BB">
        <w:t>At the recommended dose of 100 mg, there was no effect on the QTc interval obtained at the peak plasma concentration, or at any other time during the study.</w:t>
      </w:r>
      <w:r w:rsidR="00C41D2F" w:rsidRPr="000301BB">
        <w:t xml:space="preserve"> </w:t>
      </w:r>
      <w:r w:rsidRPr="000301BB">
        <w:t xml:space="preserve"> Following the 800 mg dose, the maximum increase in the </w:t>
      </w:r>
      <w:bookmarkStart w:id="2" w:name="OLE_LINK20"/>
      <w:r w:rsidRPr="000301BB">
        <w:t xml:space="preserve">placebo-corrected mean change </w:t>
      </w:r>
      <w:bookmarkEnd w:id="2"/>
      <w:r w:rsidRPr="000301BB">
        <w:t xml:space="preserve">in QTc from </w:t>
      </w:r>
      <w:r w:rsidRPr="000301BB">
        <w:lastRenderedPageBreak/>
        <w:t>baseline at 3 hours post</w:t>
      </w:r>
      <w:r w:rsidR="00FA5BB4" w:rsidRPr="000301BB">
        <w:t>-</w:t>
      </w:r>
      <w:r w:rsidRPr="000301BB">
        <w:t xml:space="preserve">dose was 8.0 msec. </w:t>
      </w:r>
      <w:r w:rsidR="00C41D2F" w:rsidRPr="000301BB">
        <w:t xml:space="preserve"> </w:t>
      </w:r>
      <w:r w:rsidRPr="000301BB">
        <w:t xml:space="preserve">This small increase was not considered to be clinically significant. </w:t>
      </w:r>
      <w:r w:rsidR="00E82D75" w:rsidRPr="000301BB">
        <w:t xml:space="preserve"> </w:t>
      </w:r>
      <w:r w:rsidRPr="000301BB">
        <w:t>At the 800 mg dose, peak sitagliptin plasma concentrations were approximately 11 times higher than the peak concentrations following a 100 mg dose.</w:t>
      </w:r>
      <w:r w:rsidR="00E82D75" w:rsidRPr="000301BB">
        <w:t xml:space="preserve">  </w:t>
      </w:r>
      <w:r w:rsidRPr="000301BB">
        <w:t xml:space="preserve">In patients with </w:t>
      </w:r>
      <w:r w:rsidR="00897CEA" w:rsidRPr="000301BB">
        <w:t>type 2</w:t>
      </w:r>
      <w:r w:rsidRPr="000301BB">
        <w:t xml:space="preserve"> diabetes administered sitagliptin 100 mg (N=81) or sitagliptin 200 mg (N=63) daily, there were no meaningful changes in QTc interval based on ECG data obtained at the time of expected peak plasma concentration.</w:t>
      </w:r>
    </w:p>
    <w:p w:rsidR="00673ED4" w:rsidRPr="000301BB" w:rsidRDefault="00323CED" w:rsidP="00DB135E">
      <w:pPr>
        <w:ind w:right="43"/>
      </w:pPr>
      <w:r w:rsidRPr="000301BB">
        <w:rPr>
          <w:b/>
          <w:i/>
        </w:rPr>
        <w:t>Simvastatin</w:t>
      </w:r>
    </w:p>
    <w:p w:rsidR="00DB135E" w:rsidRPr="000301BB" w:rsidRDefault="00673ED4" w:rsidP="00DB135E">
      <w:pPr>
        <w:ind w:right="43"/>
      </w:pPr>
      <w:r w:rsidRPr="000301BB">
        <w:t xml:space="preserve">Simvastatin </w:t>
      </w:r>
      <w:r w:rsidR="00323CED" w:rsidRPr="000301BB">
        <w:t xml:space="preserve">is a lipid-lowering agent derived synthetically from a fermentation product of </w:t>
      </w:r>
      <w:r w:rsidR="00323CED" w:rsidRPr="000301BB">
        <w:rPr>
          <w:i/>
        </w:rPr>
        <w:t>Aspergillus terreus</w:t>
      </w:r>
      <w:r w:rsidR="00323CED" w:rsidRPr="000301BB">
        <w:t xml:space="preserve">. </w:t>
      </w:r>
      <w:r w:rsidR="0077172E" w:rsidRPr="000301BB">
        <w:t xml:space="preserve"> </w:t>
      </w:r>
      <w:r w:rsidR="00615D6A" w:rsidRPr="000301BB">
        <w:t>After oral ingestion, s</w:t>
      </w:r>
      <w:r w:rsidR="00323CED" w:rsidRPr="000301BB">
        <w:t>imvastatin</w:t>
      </w:r>
      <w:r w:rsidR="00615D6A" w:rsidRPr="000301BB">
        <w:t>, which is an inactive lactone</w:t>
      </w:r>
      <w:r w:rsidR="00D82F99" w:rsidRPr="000301BB">
        <w:t>,</w:t>
      </w:r>
      <w:r w:rsidR="00323CED" w:rsidRPr="000301BB">
        <w:t xml:space="preserve"> is hydroly</w:t>
      </w:r>
      <w:r w:rsidR="00A778EF" w:rsidRPr="000301BB">
        <w:t>s</w:t>
      </w:r>
      <w:r w:rsidR="00323CED" w:rsidRPr="000301BB">
        <w:t xml:space="preserve">ed to </w:t>
      </w:r>
      <w:r w:rsidR="00D82F99" w:rsidRPr="000301BB">
        <w:t>the corresponding</w:t>
      </w:r>
      <w:r w:rsidR="00323CED" w:rsidRPr="000301BB">
        <w:t xml:space="preserve"> </w:t>
      </w:r>
      <w:r w:rsidR="00323CED" w:rsidRPr="000301BB">
        <w:rPr>
          <w:rFonts w:ascii="Symbol" w:hAnsi="Symbol"/>
        </w:rPr>
        <w:t></w:t>
      </w:r>
      <w:r w:rsidR="00323CED" w:rsidRPr="000301BB">
        <w:t xml:space="preserve">-hydroxyacid form. </w:t>
      </w:r>
      <w:r w:rsidR="00444060" w:rsidRPr="000301BB">
        <w:t xml:space="preserve"> </w:t>
      </w:r>
      <w:r w:rsidR="00633720" w:rsidRPr="000301BB">
        <w:t xml:space="preserve">This is a principal metabolite and an </w:t>
      </w:r>
      <w:r w:rsidR="00323CED" w:rsidRPr="000301BB">
        <w:t>inhibitor of 3-hydroxy-3-methylglutaryl-coenzyme A (HMG</w:t>
      </w:r>
      <w:r w:rsidR="00323CED" w:rsidRPr="000301BB">
        <w:noBreakHyphen/>
        <w:t xml:space="preserve">CoA) reductase, </w:t>
      </w:r>
      <w:r w:rsidR="00633720" w:rsidRPr="000301BB">
        <w:t xml:space="preserve">an </w:t>
      </w:r>
      <w:r w:rsidR="00323CED" w:rsidRPr="000301BB">
        <w:t xml:space="preserve">enzyme </w:t>
      </w:r>
      <w:r w:rsidR="00633720" w:rsidRPr="000301BB">
        <w:t xml:space="preserve">which </w:t>
      </w:r>
      <w:r w:rsidR="00323CED" w:rsidRPr="000301BB">
        <w:t>cataly</w:t>
      </w:r>
      <w:r w:rsidR="00A778EF" w:rsidRPr="000301BB">
        <w:t>s</w:t>
      </w:r>
      <w:r w:rsidR="00323CED" w:rsidRPr="000301BB">
        <w:t>es an early and rate-limiting step in the biosynthe</w:t>
      </w:r>
      <w:r w:rsidR="00633720" w:rsidRPr="000301BB">
        <w:t>sis</w:t>
      </w:r>
      <w:r w:rsidR="00E23607" w:rsidRPr="000301BB">
        <w:t xml:space="preserve"> </w:t>
      </w:r>
      <w:r w:rsidR="00633720" w:rsidRPr="000301BB">
        <w:t>of</w:t>
      </w:r>
      <w:r w:rsidR="00323CED" w:rsidRPr="000301BB">
        <w:t xml:space="preserve"> cholesterol.</w:t>
      </w:r>
      <w:r w:rsidR="003922F5" w:rsidRPr="000301BB">
        <w:t xml:space="preserve"> </w:t>
      </w:r>
      <w:r w:rsidR="00323CED" w:rsidRPr="000301BB">
        <w:t xml:space="preserve"> </w:t>
      </w:r>
      <w:r w:rsidR="003922F5" w:rsidRPr="000301BB">
        <w:t>As a result, in c</w:t>
      </w:r>
      <w:r w:rsidR="00323CED" w:rsidRPr="000301BB">
        <w:t>linical studies</w:t>
      </w:r>
      <w:r w:rsidR="003922F5" w:rsidRPr="000301BB">
        <w:t>,</w:t>
      </w:r>
      <w:r w:rsidR="00323CED" w:rsidRPr="000301BB">
        <w:t xml:space="preserve"> simvastatin reduc</w:t>
      </w:r>
      <w:r w:rsidR="003922F5" w:rsidRPr="000301BB">
        <w:t>ed</w:t>
      </w:r>
      <w:r w:rsidR="00323CED" w:rsidRPr="000301BB">
        <w:t xml:space="preserve"> total plasma cholesterol (total</w:t>
      </w:r>
      <w:r w:rsidR="00323CED" w:rsidRPr="000301BB">
        <w:noBreakHyphen/>
        <w:t>C), low-density lipoprotein cholesterol (LDL</w:t>
      </w:r>
      <w:r w:rsidR="00323CED" w:rsidRPr="000301BB">
        <w:noBreakHyphen/>
        <w:t>C), and very-low-density lipoprotein cholesterol (VLDL</w:t>
      </w:r>
      <w:r w:rsidR="00323CED" w:rsidRPr="000301BB">
        <w:noBreakHyphen/>
        <w:t>C) concentrations</w:t>
      </w:r>
      <w:r w:rsidR="003922F5" w:rsidRPr="000301BB">
        <w:t>.</w:t>
      </w:r>
      <w:r w:rsidR="00323CED" w:rsidRPr="000301BB">
        <w:t xml:space="preserve"> </w:t>
      </w:r>
      <w:r w:rsidR="003922F5" w:rsidRPr="000301BB">
        <w:t xml:space="preserve"> In addition, simvastatin </w:t>
      </w:r>
      <w:r w:rsidR="00323CED" w:rsidRPr="000301BB">
        <w:t>increas</w:t>
      </w:r>
      <w:r w:rsidR="003922F5" w:rsidRPr="000301BB">
        <w:t>es</w:t>
      </w:r>
      <w:r w:rsidR="00323CED" w:rsidRPr="000301BB">
        <w:t xml:space="preserve"> high-density lipoprotein cholesterol (HDL</w:t>
      </w:r>
      <w:r w:rsidR="00323CED" w:rsidRPr="000301BB">
        <w:noBreakHyphen/>
        <w:t>C)</w:t>
      </w:r>
      <w:r w:rsidR="003922F5" w:rsidRPr="000301BB">
        <w:t xml:space="preserve"> and reduces plasma triglycerides (TG).</w:t>
      </w:r>
    </w:p>
    <w:p w:rsidR="00BF45F5" w:rsidRPr="000301BB" w:rsidRDefault="00BF45F5" w:rsidP="00F006A0">
      <w:pPr>
        <w:spacing w:before="100" w:beforeAutospacing="1" w:after="100" w:afterAutospacing="1"/>
      </w:pPr>
      <w:r w:rsidRPr="000301BB">
        <w:t>Simvastatin has been shown to reduce both normal and elevated LDL</w:t>
      </w:r>
      <w:r w:rsidRPr="000301BB">
        <w:noBreakHyphen/>
        <w:t>C concentrations.  LDL is formed from VLDL and is catabolised predominantly by the high affinity LDL receptor.  The mechanism of the LDL</w:t>
      </w:r>
      <w:r w:rsidRPr="000301BB">
        <w:noBreakHyphen/>
        <w:t>lowering effect of simvastatin may involve both reduction of VLDL</w:t>
      </w:r>
      <w:r w:rsidRPr="000301BB">
        <w:noBreakHyphen/>
        <w:t>C concentration and induction of the LDL receptor, leading to reduced production and increased catabolism of LDL</w:t>
      </w:r>
      <w:r w:rsidRPr="000301BB">
        <w:noBreakHyphen/>
        <w:t xml:space="preserve">C.  Apolipoprotein B (Apo B) also falls substantially during treatment with </w:t>
      </w:r>
      <w:r w:rsidR="00C540F7" w:rsidRPr="000301BB">
        <w:t>simvastatin</w:t>
      </w:r>
      <w:r w:rsidRPr="000301BB">
        <w:t xml:space="preserve">.  Since each LDL particle contains one molecule of Apo B, and since little Apo B is found in other lipoproteins, this strongly suggests that </w:t>
      </w:r>
      <w:r w:rsidR="00C540F7" w:rsidRPr="000301BB">
        <w:t>simvastatin</w:t>
      </w:r>
      <w:r w:rsidRPr="000301BB">
        <w:t xml:space="preserve"> does not merely cause cholesterol to be lost from LDL, but also reduces the concentration of circulating LDL particles.  As a result of these changes, the ratios of total-C to HDL</w:t>
      </w:r>
      <w:r w:rsidRPr="000301BB">
        <w:noBreakHyphen/>
        <w:t>C and LDL-C to HDL</w:t>
      </w:r>
      <w:r w:rsidRPr="000301BB">
        <w:noBreakHyphen/>
        <w:t>C are reduced.</w:t>
      </w:r>
    </w:p>
    <w:p w:rsidR="00BF45F5" w:rsidRPr="000301BB" w:rsidRDefault="00BF45F5" w:rsidP="00F006A0">
      <w:pPr>
        <w:spacing w:before="100" w:beforeAutospacing="1" w:after="100" w:afterAutospacing="1"/>
      </w:pPr>
      <w:r w:rsidRPr="000301BB">
        <w:t xml:space="preserve">Even though </w:t>
      </w:r>
      <w:r w:rsidR="00C540F7" w:rsidRPr="000301BB">
        <w:t>simvastatin</w:t>
      </w:r>
      <w:r w:rsidRPr="000301BB">
        <w:t xml:space="preserve"> is a specific inhibitor of HMG</w:t>
      </w:r>
      <w:r w:rsidRPr="000301BB">
        <w:noBreakHyphen/>
        <w:t>CoA reductase, the enzyme which catalyses the conversion of HMG</w:t>
      </w:r>
      <w:r w:rsidRPr="000301BB">
        <w:noBreakHyphen/>
        <w:t>CoA to mevalonate is not completely blocked at therapeutic doses, therefore</w:t>
      </w:r>
      <w:r w:rsidRPr="000301BB">
        <w:rPr>
          <w:b/>
        </w:rPr>
        <w:t xml:space="preserve"> </w:t>
      </w:r>
      <w:r w:rsidRPr="000301BB">
        <w:t>it allows the necessary amounts of mevalonate to be available for biological functions.  Because the conversion of HMG</w:t>
      </w:r>
      <w:r w:rsidRPr="000301BB">
        <w:noBreakHyphen/>
        <w:t xml:space="preserve">CoA to mevalonate is an early step in the biosynthetic pathway of cholesterol, therapy with </w:t>
      </w:r>
      <w:r w:rsidR="00C540F7" w:rsidRPr="000301BB">
        <w:t>simvastatin</w:t>
      </w:r>
      <w:r w:rsidRPr="000301BB">
        <w:t xml:space="preserve"> would not be expected to cause an accumulation of potentially toxic sterols.  In addition, HMG</w:t>
      </w:r>
      <w:r w:rsidRPr="000301BB">
        <w:noBreakHyphen/>
        <w:t xml:space="preserve">CoA is metabolised readily back to </w:t>
      </w:r>
      <w:proofErr w:type="gramStart"/>
      <w:r w:rsidRPr="000301BB">
        <w:t>acetyl</w:t>
      </w:r>
      <w:r w:rsidRPr="000301BB">
        <w:noBreakHyphen/>
        <w:t>CoA</w:t>
      </w:r>
      <w:proofErr w:type="gramEnd"/>
      <w:r w:rsidRPr="000301BB">
        <w:t>, which participates in many biosynthetic processes in the body.</w:t>
      </w:r>
    </w:p>
    <w:p w:rsidR="00673ED4" w:rsidRPr="000301BB" w:rsidRDefault="00673ED4" w:rsidP="00673ED4">
      <w:r w:rsidRPr="000301BB">
        <w:t>Epidemiological studies have demonstrated that elevated levels of total</w:t>
      </w:r>
      <w:r w:rsidRPr="000301BB">
        <w:noBreakHyphen/>
        <w:t>C, LDL</w:t>
      </w:r>
      <w:r w:rsidRPr="000301BB">
        <w:noBreakHyphen/>
        <w:t>C, as well as decreased levels of HDL</w:t>
      </w:r>
      <w:r w:rsidRPr="000301BB">
        <w:noBreakHyphen/>
        <w:t>C are associated with the development of atherosclerosis and increased cardiovascular risk.</w:t>
      </w:r>
      <w:r w:rsidR="00633720" w:rsidRPr="000301BB">
        <w:t xml:space="preserve"> </w:t>
      </w:r>
      <w:r w:rsidRPr="000301BB">
        <w:t xml:space="preserve"> Lowering LDL</w:t>
      </w:r>
      <w:r w:rsidRPr="000301BB">
        <w:noBreakHyphen/>
        <w:t xml:space="preserve">C decreases this risk. </w:t>
      </w:r>
      <w:r w:rsidR="00633720" w:rsidRPr="000301BB">
        <w:t xml:space="preserve"> </w:t>
      </w:r>
      <w:r w:rsidRPr="000301BB">
        <w:t>However, the independent effect of raising HDL</w:t>
      </w:r>
      <w:r w:rsidRPr="000301BB">
        <w:noBreakHyphen/>
        <w:t>C or lowering TG on the risk of coronary and cardiovascular morbidity and mortality has not been determined.</w:t>
      </w:r>
    </w:p>
    <w:p w:rsidR="000321EF" w:rsidRPr="000301BB" w:rsidRDefault="000321EF" w:rsidP="00F006A0">
      <w:pPr>
        <w:pStyle w:val="Heading3"/>
      </w:pPr>
      <w:r w:rsidRPr="000301BB">
        <w:t>Pharmacokinetics</w:t>
      </w:r>
    </w:p>
    <w:p w:rsidR="00377E73" w:rsidRPr="000301BB" w:rsidRDefault="00377E73" w:rsidP="00F006A0">
      <w:pPr>
        <w:pStyle w:val="Heading4"/>
      </w:pPr>
      <w:r w:rsidRPr="000301BB">
        <w:t>Absorption</w:t>
      </w:r>
    </w:p>
    <w:p w:rsidR="00005850" w:rsidRPr="000301BB" w:rsidRDefault="001E5F1F" w:rsidP="00005850">
      <w:r w:rsidRPr="000301BB">
        <w:t xml:space="preserve">An </w:t>
      </w:r>
      <w:r w:rsidR="00F4152B" w:rsidRPr="000301BB">
        <w:t>increase in simvastatin acid</w:t>
      </w:r>
      <w:r w:rsidR="00EB5299" w:rsidRPr="000301BB">
        <w:t xml:space="preserve"> mean peak plasma concentration (C</w:t>
      </w:r>
      <w:r w:rsidR="00EB5299" w:rsidRPr="000301BB">
        <w:rPr>
          <w:vertAlign w:val="subscript"/>
        </w:rPr>
        <w:t>max</w:t>
      </w:r>
      <w:r w:rsidR="00EB5299" w:rsidRPr="000301BB">
        <w:t>)</w:t>
      </w:r>
      <w:r w:rsidR="00F4152B" w:rsidRPr="000301BB">
        <w:t xml:space="preserve"> was observed</w:t>
      </w:r>
      <w:r w:rsidRPr="000301BB">
        <w:t xml:space="preserve"> following co-administration of JUVICOR with a high-fat meal</w:t>
      </w:r>
      <w:r w:rsidR="00F4152B" w:rsidRPr="000301BB">
        <w:t xml:space="preserve">. </w:t>
      </w:r>
      <w:r w:rsidR="00BB0003" w:rsidRPr="000301BB">
        <w:t xml:space="preserve"> </w:t>
      </w:r>
      <w:r w:rsidRPr="000301BB">
        <w:t xml:space="preserve">The pharmacokinetics of sitagliptin </w:t>
      </w:r>
      <w:proofErr w:type="gramStart"/>
      <w:r w:rsidRPr="000301BB">
        <w:t>were</w:t>
      </w:r>
      <w:proofErr w:type="gramEnd"/>
      <w:r w:rsidRPr="000301BB">
        <w:t xml:space="preserve"> not affected under the same conditions. </w:t>
      </w:r>
      <w:r w:rsidR="00BB0003" w:rsidRPr="000301BB">
        <w:t xml:space="preserve"> </w:t>
      </w:r>
      <w:r w:rsidR="00B71F8E" w:rsidRPr="000301BB">
        <w:t xml:space="preserve">However, relative to the fasting state, the plasma profile of </w:t>
      </w:r>
      <w:r w:rsidR="00054194" w:rsidRPr="000301BB">
        <w:t xml:space="preserve">HMG-CoA reductase </w:t>
      </w:r>
      <w:r w:rsidR="00B71F8E" w:rsidRPr="000301BB">
        <w:t xml:space="preserve">inhibitors was not affected when simvastatin was administered immediately before a </w:t>
      </w:r>
      <w:r w:rsidR="00054194" w:rsidRPr="000301BB">
        <w:t>test (i.e., non-high-fat)</w:t>
      </w:r>
      <w:r w:rsidR="00B71F8E" w:rsidRPr="000301BB">
        <w:t xml:space="preserve"> meal.  </w:t>
      </w:r>
      <w:r w:rsidR="00005850" w:rsidRPr="000301BB">
        <w:rPr>
          <w:iCs/>
        </w:rPr>
        <w:t>JUVICOR</w:t>
      </w:r>
      <w:r w:rsidR="00005850" w:rsidRPr="000301BB">
        <w:t xml:space="preserve"> </w:t>
      </w:r>
      <w:r w:rsidR="00005850" w:rsidRPr="000301BB">
        <w:lastRenderedPageBreak/>
        <w:t xml:space="preserve">may </w:t>
      </w:r>
      <w:r w:rsidR="00EB5299" w:rsidRPr="000301BB">
        <w:t xml:space="preserve">therefore </w:t>
      </w:r>
      <w:r w:rsidR="00005850" w:rsidRPr="000301BB">
        <w:t>be administered with or without food</w:t>
      </w:r>
      <w:r w:rsidRPr="000301BB">
        <w:t>, however co-administration with a high-fat meal is not recommended</w:t>
      </w:r>
      <w:r w:rsidR="00005850" w:rsidRPr="000301BB">
        <w:t>.</w:t>
      </w:r>
    </w:p>
    <w:p w:rsidR="00005850" w:rsidRPr="000301BB" w:rsidRDefault="00005850" w:rsidP="00F006A0">
      <w:pPr>
        <w:spacing w:before="100" w:beforeAutospacing="1" w:after="100" w:afterAutospacing="1"/>
      </w:pPr>
      <w:r w:rsidRPr="000301BB">
        <w:t xml:space="preserve">The pharmacokinetics of </w:t>
      </w:r>
      <w:r w:rsidRPr="000301BB">
        <w:rPr>
          <w:i/>
        </w:rPr>
        <w:t>sitagliptin</w:t>
      </w:r>
      <w:r w:rsidRPr="000301BB">
        <w:t xml:space="preserve"> </w:t>
      </w:r>
      <w:r w:rsidR="00AD3CC0" w:rsidRPr="000301BB">
        <w:t xml:space="preserve">have </w:t>
      </w:r>
      <w:r w:rsidRPr="000301BB">
        <w:t>been extensively characteri</w:t>
      </w:r>
      <w:r w:rsidR="00487BBE" w:rsidRPr="000301BB">
        <w:t>s</w:t>
      </w:r>
      <w:r w:rsidRPr="000301BB">
        <w:t xml:space="preserve">ed in healthy subjects and patients with </w:t>
      </w:r>
      <w:r w:rsidR="00897CEA" w:rsidRPr="000301BB">
        <w:t>type 2</w:t>
      </w:r>
      <w:r w:rsidRPr="000301BB">
        <w:t xml:space="preserve"> diabetes. </w:t>
      </w:r>
      <w:r w:rsidR="003F101F" w:rsidRPr="000301BB">
        <w:t xml:space="preserve"> </w:t>
      </w:r>
      <w:r w:rsidRPr="000301BB">
        <w:t>After oral administration of a 100 mg dose to healthy subjects, sitagliptin was rapidly absorbed, with peak plasma concentrations (median T</w:t>
      </w:r>
      <w:r w:rsidRPr="000301BB">
        <w:rPr>
          <w:vertAlign w:val="subscript"/>
        </w:rPr>
        <w:t>max</w:t>
      </w:r>
      <w:r w:rsidRPr="000301BB">
        <w:t>) occurring 1 to 4 hours post</w:t>
      </w:r>
      <w:r w:rsidR="00FA5BB4" w:rsidRPr="000301BB">
        <w:t>-</w:t>
      </w:r>
      <w:r w:rsidRPr="000301BB">
        <w:t xml:space="preserve">dose. </w:t>
      </w:r>
      <w:r w:rsidR="003F101F" w:rsidRPr="000301BB">
        <w:t xml:space="preserve"> </w:t>
      </w:r>
      <w:r w:rsidRPr="000301BB">
        <w:t xml:space="preserve">Plasma </w:t>
      </w:r>
      <w:r w:rsidR="00736A18" w:rsidRPr="000301BB">
        <w:t>area under the curve (</w:t>
      </w:r>
      <w:r w:rsidRPr="000301BB">
        <w:t>AUC</w:t>
      </w:r>
      <w:r w:rsidR="00736A18" w:rsidRPr="000301BB">
        <w:t>)</w:t>
      </w:r>
      <w:r w:rsidRPr="000301BB">
        <w:t xml:space="preserve"> of sitagliptin increased in a dose</w:t>
      </w:r>
      <w:r w:rsidR="004560C7" w:rsidRPr="000301BB">
        <w:t>-</w:t>
      </w:r>
      <w:r w:rsidRPr="000301BB">
        <w:t>proportional manner.</w:t>
      </w:r>
      <w:r w:rsidR="003F101F" w:rsidRPr="000301BB">
        <w:t xml:space="preserve"> </w:t>
      </w:r>
      <w:r w:rsidRPr="000301BB">
        <w:t xml:space="preserve"> Following a single oral 100 mg dose to healthy volunteers, mean plasma AUC of sitagliptin was 8.52 </w:t>
      </w:r>
      <w:r w:rsidRPr="000301BB">
        <w:sym w:font="Symbol" w:char="F06D"/>
      </w:r>
      <w:r w:rsidRPr="000301BB">
        <w:t xml:space="preserve">M•hr, </w:t>
      </w:r>
      <w:r w:rsidR="00736A18" w:rsidRPr="000301BB">
        <w:t xml:space="preserve">mean </w:t>
      </w:r>
      <w:r w:rsidR="007A7434" w:rsidRPr="000301BB">
        <w:t>plasma</w:t>
      </w:r>
      <w:r w:rsidR="00736A18" w:rsidRPr="000301BB">
        <w:t xml:space="preserve"> </w:t>
      </w:r>
      <w:r w:rsidRPr="000301BB">
        <w:t>C</w:t>
      </w:r>
      <w:r w:rsidRPr="000301BB">
        <w:rPr>
          <w:vertAlign w:val="subscript"/>
        </w:rPr>
        <w:t>max</w:t>
      </w:r>
      <w:r w:rsidRPr="000301BB">
        <w:t xml:space="preserve"> was 950 nM, and apparent terminal half</w:t>
      </w:r>
      <w:r w:rsidRPr="000301BB">
        <w:noBreakHyphen/>
        <w:t>life (t</w:t>
      </w:r>
      <w:r w:rsidRPr="000301BB">
        <w:rPr>
          <w:vertAlign w:val="subscript"/>
        </w:rPr>
        <w:t>1/2</w:t>
      </w:r>
      <w:r w:rsidRPr="000301BB">
        <w:t xml:space="preserve">) was 12.4 hours. </w:t>
      </w:r>
      <w:r w:rsidR="003F101F" w:rsidRPr="000301BB">
        <w:t xml:space="preserve"> </w:t>
      </w:r>
      <w:r w:rsidRPr="000301BB">
        <w:t xml:space="preserve">Plasma AUC of sitagliptin increased approximately 14% following 100 mg doses at steady-state compared to the first dose. </w:t>
      </w:r>
      <w:r w:rsidR="003F101F" w:rsidRPr="000301BB">
        <w:t xml:space="preserve"> </w:t>
      </w:r>
      <w:r w:rsidRPr="000301BB">
        <w:t>The intra-subject and inter-subject coefficients of variation for sitagliptin AUC were small (5.8% and 15.1%).</w:t>
      </w:r>
      <w:r w:rsidR="003F101F" w:rsidRPr="000301BB">
        <w:t xml:space="preserve"> </w:t>
      </w:r>
      <w:r w:rsidR="0035615F" w:rsidRPr="000301BB">
        <w:t xml:space="preserve"> </w:t>
      </w:r>
      <w:r w:rsidRPr="000301BB">
        <w:t xml:space="preserve">The pharmacokinetics of sitagliptin was generally similar in healthy subjects and in patients with </w:t>
      </w:r>
      <w:r w:rsidR="00897CEA" w:rsidRPr="000301BB">
        <w:t>type 2</w:t>
      </w:r>
      <w:r w:rsidRPr="000301BB">
        <w:t xml:space="preserve"> diabetes.</w:t>
      </w:r>
      <w:r w:rsidR="003F101F" w:rsidRPr="000301BB">
        <w:t xml:space="preserve"> </w:t>
      </w:r>
      <w:r w:rsidR="004C2802" w:rsidRPr="000301BB">
        <w:t xml:space="preserve"> </w:t>
      </w:r>
      <w:r w:rsidRPr="000301BB">
        <w:t>The absolute bioavailability of sitagliptin is approximately 87%.</w:t>
      </w:r>
    </w:p>
    <w:p w:rsidR="006A68A1" w:rsidRPr="000301BB" w:rsidRDefault="00005850" w:rsidP="00F006A0">
      <w:pPr>
        <w:spacing w:after="100" w:afterAutospacing="1"/>
      </w:pPr>
      <w:r w:rsidRPr="000301BB">
        <w:t xml:space="preserve">Peak plasma concentrations of </w:t>
      </w:r>
      <w:r w:rsidRPr="000301BB">
        <w:rPr>
          <w:i/>
        </w:rPr>
        <w:t>simvastatin</w:t>
      </w:r>
      <w:r w:rsidRPr="000301BB">
        <w:t xml:space="preserve"> and </w:t>
      </w:r>
      <w:r w:rsidR="003244D9" w:rsidRPr="000301BB">
        <w:t>β-hydroxy</w:t>
      </w:r>
      <w:r w:rsidRPr="000301BB">
        <w:t>acid were attained within 1.5 and 4-6 hours post</w:t>
      </w:r>
      <w:r w:rsidR="0066571E" w:rsidRPr="000301BB">
        <w:t>-</w:t>
      </w:r>
      <w:r w:rsidRPr="000301BB">
        <w:t xml:space="preserve">dose, respectively. </w:t>
      </w:r>
      <w:r w:rsidR="008F4634" w:rsidRPr="000301BB">
        <w:t xml:space="preserve"> </w:t>
      </w:r>
      <w:r w:rsidRPr="000301BB">
        <w:t>Based on assays of HMG</w:t>
      </w:r>
      <w:r w:rsidR="002843BA" w:rsidRPr="000301BB">
        <w:noBreakHyphen/>
      </w:r>
      <w:r w:rsidRPr="000301BB">
        <w:t>CoA inhibition, no substantial deviation from linearity of AUC of inhibitors in the general circulation was observed at doses up to 120 mg.</w:t>
      </w:r>
      <w:r w:rsidR="006A68A1" w:rsidRPr="000301BB">
        <w:t xml:space="preserve">  The pharmacokinetic effects of calcium channel blockers on simvastatin and HMG-CoA reductase inhibitors are summarised in Table 1.  The data show increases in simvastatin acid exposure (AUC) with calcium channel blockers (see </w:t>
      </w:r>
      <w:r w:rsidR="006A68A1" w:rsidRPr="000301BB">
        <w:rPr>
          <w:b/>
        </w:rPr>
        <w:t>PRECAUTIONS</w:t>
      </w:r>
      <w:r w:rsidR="006A68A1" w:rsidRPr="000301BB">
        <w:t xml:space="preserve">, </w:t>
      </w:r>
      <w:r w:rsidR="006A68A1" w:rsidRPr="000301BB">
        <w:rPr>
          <w:i/>
        </w:rPr>
        <w:t>Myopathy/Rhabdomyolysis</w:t>
      </w:r>
      <w:r w:rsidR="006A68A1" w:rsidRPr="000301BB">
        <w:t>).</w:t>
      </w:r>
    </w:p>
    <w:p w:rsidR="00DB3029" w:rsidRPr="000301BB" w:rsidRDefault="00DB3029" w:rsidP="00263C5B">
      <w:pPr>
        <w:spacing w:before="20" w:after="20"/>
        <w:rPr>
          <w:b/>
          <w:sz w:val="20"/>
          <w:szCs w:val="20"/>
        </w:rPr>
      </w:pPr>
      <w:r w:rsidRPr="000301BB">
        <w:rPr>
          <w:b/>
          <w:sz w:val="20"/>
          <w:szCs w:val="20"/>
        </w:rPr>
        <w:t xml:space="preserve">Table </w:t>
      </w:r>
      <w:proofErr w:type="gramStart"/>
      <w:r w:rsidRPr="000301BB">
        <w:rPr>
          <w:b/>
          <w:sz w:val="20"/>
          <w:szCs w:val="20"/>
        </w:rPr>
        <w:t>1  Effect</w:t>
      </w:r>
      <w:proofErr w:type="gramEnd"/>
      <w:r w:rsidRPr="000301BB">
        <w:rPr>
          <w:b/>
          <w:sz w:val="20"/>
          <w:szCs w:val="20"/>
        </w:rPr>
        <w:t xml:space="preserve"> of Co</w:t>
      </w:r>
      <w:r w:rsidR="00CA2981" w:rsidRPr="000301BB">
        <w:rPr>
          <w:b/>
          <w:sz w:val="20"/>
          <w:szCs w:val="20"/>
        </w:rPr>
        <w:t>-</w:t>
      </w:r>
      <w:r w:rsidRPr="000301BB">
        <w:rPr>
          <w:b/>
          <w:sz w:val="20"/>
          <w:szCs w:val="20"/>
        </w:rPr>
        <w:t>administered Calcium Channel Blockers on Simvastatin Systemic Exposure and HMG</w:t>
      </w:r>
      <w:r w:rsidRPr="000301BB">
        <w:rPr>
          <w:b/>
          <w:sz w:val="20"/>
          <w:szCs w:val="20"/>
        </w:rPr>
        <w:noBreakHyphen/>
        <w:t>CoA Reductase Inhibitory Activity</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2243"/>
        <w:gridCol w:w="1980"/>
        <w:gridCol w:w="900"/>
        <w:gridCol w:w="900"/>
      </w:tblGrid>
      <w:tr w:rsidR="00DB3029" w:rsidRPr="000301BB" w:rsidTr="000F4A8D">
        <w:trPr>
          <w:trHeight w:val="502"/>
        </w:trPr>
        <w:tc>
          <w:tcPr>
            <w:tcW w:w="2977" w:type="dxa"/>
            <w:shd w:val="clear" w:color="auto" w:fill="auto"/>
          </w:tcPr>
          <w:p w:rsidR="00DB3029" w:rsidRPr="000301BB" w:rsidRDefault="00DB3029" w:rsidP="000F4A8D">
            <w:pPr>
              <w:spacing w:before="20" w:after="20"/>
              <w:rPr>
                <w:sz w:val="20"/>
                <w:szCs w:val="20"/>
              </w:rPr>
            </w:pPr>
          </w:p>
        </w:tc>
        <w:tc>
          <w:tcPr>
            <w:tcW w:w="2243" w:type="dxa"/>
            <w:shd w:val="clear" w:color="auto" w:fill="auto"/>
          </w:tcPr>
          <w:p w:rsidR="00DB3029" w:rsidRPr="000301BB" w:rsidRDefault="00DB3029" w:rsidP="000F4A8D">
            <w:pPr>
              <w:spacing w:before="20" w:after="20"/>
              <w:rPr>
                <w:sz w:val="20"/>
                <w:szCs w:val="20"/>
              </w:rPr>
            </w:pPr>
          </w:p>
        </w:tc>
        <w:tc>
          <w:tcPr>
            <w:tcW w:w="3780" w:type="dxa"/>
            <w:gridSpan w:val="3"/>
            <w:shd w:val="clear" w:color="auto" w:fill="auto"/>
          </w:tcPr>
          <w:p w:rsidR="00DB3029" w:rsidRPr="000301BB" w:rsidRDefault="00DB3029" w:rsidP="000F4A8D">
            <w:pPr>
              <w:spacing w:before="20" w:after="20"/>
              <w:jc w:val="center"/>
              <w:rPr>
                <w:b/>
                <w:sz w:val="20"/>
                <w:szCs w:val="20"/>
              </w:rPr>
            </w:pPr>
            <w:r w:rsidRPr="000301BB">
              <w:rPr>
                <w:b/>
                <w:sz w:val="20"/>
                <w:szCs w:val="20"/>
              </w:rPr>
              <w:t xml:space="preserve">Geometric mean ratio (Ratio* with / without co-administered </w:t>
            </w:r>
            <w:r w:rsidR="0081202E" w:rsidRPr="000301BB">
              <w:rPr>
                <w:b/>
                <w:sz w:val="20"/>
                <w:szCs w:val="20"/>
              </w:rPr>
              <w:t>medicine</w:t>
            </w:r>
            <w:r w:rsidRPr="000301BB">
              <w:rPr>
                <w:b/>
                <w:sz w:val="20"/>
                <w:szCs w:val="20"/>
              </w:rPr>
              <w:t>) No Effect = 1.00</w:t>
            </w:r>
          </w:p>
        </w:tc>
      </w:tr>
      <w:tr w:rsidR="00DB3029" w:rsidRPr="000301BB" w:rsidTr="000F4A8D">
        <w:trPr>
          <w:trHeight w:val="502"/>
        </w:trPr>
        <w:tc>
          <w:tcPr>
            <w:tcW w:w="2977" w:type="dxa"/>
            <w:shd w:val="clear" w:color="auto" w:fill="auto"/>
          </w:tcPr>
          <w:p w:rsidR="00DB3029" w:rsidRPr="000301BB" w:rsidRDefault="00DB3029" w:rsidP="000F4A8D">
            <w:pPr>
              <w:spacing w:before="20" w:after="20"/>
              <w:rPr>
                <w:b/>
                <w:sz w:val="20"/>
                <w:szCs w:val="20"/>
              </w:rPr>
            </w:pPr>
            <w:r w:rsidRPr="000301BB">
              <w:rPr>
                <w:b/>
                <w:sz w:val="20"/>
                <w:szCs w:val="20"/>
              </w:rPr>
              <w:t xml:space="preserve">Co-administered </w:t>
            </w:r>
            <w:r w:rsidR="007A7434" w:rsidRPr="000301BB">
              <w:rPr>
                <w:b/>
                <w:sz w:val="20"/>
                <w:szCs w:val="20"/>
              </w:rPr>
              <w:t>medic</w:t>
            </w:r>
            <w:r w:rsidR="0081202E" w:rsidRPr="000301BB">
              <w:rPr>
                <w:b/>
                <w:sz w:val="20"/>
                <w:szCs w:val="20"/>
              </w:rPr>
              <w:t>ine</w:t>
            </w:r>
            <w:r w:rsidRPr="000301BB">
              <w:rPr>
                <w:b/>
                <w:sz w:val="20"/>
                <w:szCs w:val="20"/>
              </w:rPr>
              <w:t xml:space="preserve"> and dosing regimen</w:t>
            </w:r>
          </w:p>
        </w:tc>
        <w:tc>
          <w:tcPr>
            <w:tcW w:w="2243" w:type="dxa"/>
            <w:shd w:val="clear" w:color="auto" w:fill="auto"/>
          </w:tcPr>
          <w:p w:rsidR="00DB3029" w:rsidRPr="000301BB" w:rsidRDefault="00DB3029" w:rsidP="000F4A8D">
            <w:pPr>
              <w:spacing w:before="20" w:after="20"/>
              <w:rPr>
                <w:b/>
                <w:sz w:val="20"/>
                <w:szCs w:val="20"/>
              </w:rPr>
            </w:pPr>
            <w:r w:rsidRPr="000301BB">
              <w:rPr>
                <w:b/>
                <w:sz w:val="20"/>
                <w:szCs w:val="20"/>
              </w:rPr>
              <w:t>Dosing of Simvastatin</w:t>
            </w:r>
          </w:p>
        </w:tc>
        <w:tc>
          <w:tcPr>
            <w:tcW w:w="1980" w:type="dxa"/>
            <w:shd w:val="clear" w:color="auto" w:fill="auto"/>
          </w:tcPr>
          <w:p w:rsidR="00DB3029" w:rsidRPr="000301BB" w:rsidRDefault="00DB3029" w:rsidP="003A4113">
            <w:pPr>
              <w:spacing w:before="20" w:after="20"/>
              <w:rPr>
                <w:sz w:val="20"/>
                <w:szCs w:val="20"/>
              </w:rPr>
            </w:pPr>
          </w:p>
        </w:tc>
        <w:tc>
          <w:tcPr>
            <w:tcW w:w="900" w:type="dxa"/>
            <w:shd w:val="clear" w:color="auto" w:fill="auto"/>
            <w:vAlign w:val="center"/>
          </w:tcPr>
          <w:p w:rsidR="00DB3029" w:rsidRPr="000301BB" w:rsidRDefault="00DB3029" w:rsidP="000F4A8D">
            <w:pPr>
              <w:spacing w:before="20" w:after="20"/>
              <w:jc w:val="center"/>
              <w:rPr>
                <w:b/>
                <w:sz w:val="20"/>
                <w:szCs w:val="20"/>
              </w:rPr>
            </w:pPr>
            <w:r w:rsidRPr="000301BB">
              <w:rPr>
                <w:b/>
                <w:sz w:val="20"/>
                <w:szCs w:val="20"/>
              </w:rPr>
              <w:t>AUC</w:t>
            </w:r>
          </w:p>
        </w:tc>
        <w:tc>
          <w:tcPr>
            <w:tcW w:w="900" w:type="dxa"/>
            <w:shd w:val="clear" w:color="auto" w:fill="auto"/>
            <w:vAlign w:val="center"/>
          </w:tcPr>
          <w:p w:rsidR="00DB3029" w:rsidRPr="000301BB" w:rsidRDefault="00DB3029" w:rsidP="000F4A8D">
            <w:pPr>
              <w:spacing w:before="20" w:after="20"/>
              <w:jc w:val="center"/>
              <w:rPr>
                <w:b/>
                <w:sz w:val="20"/>
                <w:szCs w:val="20"/>
              </w:rPr>
            </w:pPr>
            <w:r w:rsidRPr="000301BB">
              <w:rPr>
                <w:b/>
                <w:sz w:val="20"/>
                <w:szCs w:val="20"/>
              </w:rPr>
              <w:t>C</w:t>
            </w:r>
            <w:r w:rsidRPr="000301BB">
              <w:rPr>
                <w:b/>
                <w:sz w:val="20"/>
                <w:szCs w:val="20"/>
                <w:vertAlign w:val="subscript"/>
              </w:rPr>
              <w:t>max</w:t>
            </w:r>
          </w:p>
        </w:tc>
      </w:tr>
      <w:tr w:rsidR="00DB3029" w:rsidRPr="000301BB" w:rsidTr="000F4A8D">
        <w:trPr>
          <w:trHeight w:val="392"/>
        </w:trPr>
        <w:tc>
          <w:tcPr>
            <w:tcW w:w="2977" w:type="dxa"/>
            <w:shd w:val="clear" w:color="auto" w:fill="auto"/>
          </w:tcPr>
          <w:p w:rsidR="00DB3029" w:rsidRPr="000301BB" w:rsidRDefault="00DB3029" w:rsidP="000F4A8D">
            <w:pPr>
              <w:spacing w:before="20" w:after="20"/>
              <w:rPr>
                <w:sz w:val="20"/>
                <w:szCs w:val="20"/>
              </w:rPr>
            </w:pPr>
            <w:r w:rsidRPr="000301BB">
              <w:rPr>
                <w:sz w:val="20"/>
                <w:szCs w:val="20"/>
              </w:rPr>
              <w:t xml:space="preserve">Verapamil SR </w:t>
            </w:r>
          </w:p>
          <w:p w:rsidR="00DB3029" w:rsidRPr="000301BB" w:rsidRDefault="00DB3029" w:rsidP="000F4A8D">
            <w:pPr>
              <w:spacing w:before="20" w:after="20"/>
              <w:rPr>
                <w:sz w:val="20"/>
                <w:szCs w:val="20"/>
              </w:rPr>
            </w:pPr>
            <w:r w:rsidRPr="000301BB">
              <w:rPr>
                <w:sz w:val="20"/>
                <w:szCs w:val="20"/>
              </w:rPr>
              <w:t>240 mg QD Days 1-7 then 240 mg BID on Days 8-10</w:t>
            </w:r>
          </w:p>
        </w:tc>
        <w:tc>
          <w:tcPr>
            <w:tcW w:w="2243" w:type="dxa"/>
            <w:shd w:val="clear" w:color="auto" w:fill="auto"/>
          </w:tcPr>
          <w:p w:rsidR="00DB3029" w:rsidRPr="000301BB" w:rsidRDefault="00DB3029" w:rsidP="000F4A8D">
            <w:pPr>
              <w:spacing w:before="20" w:after="20"/>
              <w:rPr>
                <w:sz w:val="20"/>
                <w:szCs w:val="20"/>
              </w:rPr>
            </w:pPr>
            <w:r w:rsidRPr="000301BB">
              <w:rPr>
                <w:sz w:val="20"/>
                <w:szCs w:val="20"/>
              </w:rPr>
              <w:t>80 mg on Day 10</w:t>
            </w:r>
          </w:p>
        </w:tc>
        <w:tc>
          <w:tcPr>
            <w:tcW w:w="1980" w:type="dxa"/>
            <w:shd w:val="clear" w:color="auto" w:fill="auto"/>
          </w:tcPr>
          <w:p w:rsidR="00DB3029" w:rsidRPr="000301BB" w:rsidRDefault="00DB3029" w:rsidP="000F4A8D">
            <w:pPr>
              <w:spacing w:before="20" w:after="20"/>
              <w:rPr>
                <w:sz w:val="20"/>
                <w:szCs w:val="20"/>
                <w:vertAlign w:val="superscript"/>
              </w:rPr>
            </w:pPr>
            <w:r w:rsidRPr="000301BB">
              <w:rPr>
                <w:sz w:val="20"/>
                <w:szCs w:val="20"/>
              </w:rPr>
              <w:t>Simvastatin acid</w:t>
            </w:r>
            <w:r w:rsidRPr="000301BB">
              <w:rPr>
                <w:sz w:val="20"/>
                <w:szCs w:val="20"/>
                <w:vertAlign w:val="superscript"/>
              </w:rPr>
              <w:t>†</w:t>
            </w:r>
          </w:p>
          <w:p w:rsidR="00DB3029" w:rsidRPr="000301BB" w:rsidRDefault="00DB3029" w:rsidP="000F4A8D">
            <w:pPr>
              <w:spacing w:before="20" w:after="20"/>
              <w:rPr>
                <w:sz w:val="20"/>
                <w:szCs w:val="20"/>
              </w:rPr>
            </w:pPr>
            <w:r w:rsidRPr="000301BB">
              <w:rPr>
                <w:sz w:val="20"/>
                <w:szCs w:val="20"/>
              </w:rPr>
              <w:t>Simvastatin</w:t>
            </w:r>
          </w:p>
          <w:p w:rsidR="00DB3029" w:rsidRPr="000301BB" w:rsidRDefault="00DB3029" w:rsidP="000F4A8D">
            <w:pPr>
              <w:spacing w:before="20" w:after="20"/>
              <w:rPr>
                <w:sz w:val="20"/>
                <w:szCs w:val="20"/>
              </w:rPr>
            </w:pPr>
            <w:r w:rsidRPr="000301BB">
              <w:rPr>
                <w:sz w:val="20"/>
                <w:szCs w:val="20"/>
              </w:rPr>
              <w:t>Active inhibitors</w:t>
            </w:r>
          </w:p>
          <w:p w:rsidR="00DB3029" w:rsidRPr="000301BB" w:rsidRDefault="00DB3029" w:rsidP="000F4A8D">
            <w:pPr>
              <w:spacing w:before="20" w:after="20"/>
              <w:rPr>
                <w:sz w:val="20"/>
                <w:szCs w:val="20"/>
              </w:rPr>
            </w:pPr>
            <w:r w:rsidRPr="000301BB">
              <w:rPr>
                <w:sz w:val="20"/>
                <w:szCs w:val="20"/>
              </w:rPr>
              <w:t>Total inhibitors</w:t>
            </w:r>
          </w:p>
        </w:tc>
        <w:tc>
          <w:tcPr>
            <w:tcW w:w="900" w:type="dxa"/>
            <w:shd w:val="clear" w:color="auto" w:fill="auto"/>
          </w:tcPr>
          <w:p w:rsidR="00DB3029" w:rsidRPr="000301BB" w:rsidRDefault="00DB3029" w:rsidP="000F4A8D">
            <w:pPr>
              <w:spacing w:before="20" w:after="20"/>
              <w:jc w:val="center"/>
              <w:rPr>
                <w:sz w:val="20"/>
                <w:szCs w:val="20"/>
              </w:rPr>
            </w:pPr>
            <w:r w:rsidRPr="000301BB">
              <w:rPr>
                <w:sz w:val="20"/>
                <w:szCs w:val="20"/>
              </w:rPr>
              <w:t>2.3</w:t>
            </w:r>
          </w:p>
          <w:p w:rsidR="00DB3029" w:rsidRPr="000301BB" w:rsidRDefault="00DB3029" w:rsidP="000F4A8D">
            <w:pPr>
              <w:spacing w:before="20" w:after="20"/>
              <w:jc w:val="center"/>
              <w:rPr>
                <w:sz w:val="20"/>
                <w:szCs w:val="20"/>
              </w:rPr>
            </w:pPr>
            <w:r w:rsidRPr="000301BB">
              <w:rPr>
                <w:sz w:val="20"/>
                <w:szCs w:val="20"/>
              </w:rPr>
              <w:t>2.5</w:t>
            </w:r>
          </w:p>
          <w:p w:rsidR="00DB3029" w:rsidRPr="000301BB" w:rsidRDefault="00DB3029" w:rsidP="000F4A8D">
            <w:pPr>
              <w:spacing w:before="20" w:after="20"/>
              <w:jc w:val="center"/>
              <w:rPr>
                <w:sz w:val="20"/>
                <w:szCs w:val="20"/>
              </w:rPr>
            </w:pPr>
            <w:r w:rsidRPr="000301BB">
              <w:rPr>
                <w:sz w:val="20"/>
                <w:szCs w:val="20"/>
              </w:rPr>
              <w:t>1.8</w:t>
            </w:r>
          </w:p>
          <w:p w:rsidR="00DB3029" w:rsidRPr="000301BB" w:rsidRDefault="00DB3029" w:rsidP="000F4A8D">
            <w:pPr>
              <w:spacing w:before="20" w:after="20"/>
              <w:jc w:val="center"/>
              <w:rPr>
                <w:sz w:val="20"/>
                <w:szCs w:val="20"/>
              </w:rPr>
            </w:pPr>
            <w:r w:rsidRPr="000301BB">
              <w:rPr>
                <w:sz w:val="20"/>
                <w:szCs w:val="20"/>
              </w:rPr>
              <w:t>1.8</w:t>
            </w:r>
          </w:p>
        </w:tc>
        <w:tc>
          <w:tcPr>
            <w:tcW w:w="900" w:type="dxa"/>
            <w:shd w:val="clear" w:color="auto" w:fill="auto"/>
          </w:tcPr>
          <w:p w:rsidR="00DB3029" w:rsidRPr="000301BB" w:rsidRDefault="00DB3029" w:rsidP="000F4A8D">
            <w:pPr>
              <w:spacing w:before="20" w:after="20"/>
              <w:jc w:val="center"/>
              <w:rPr>
                <w:sz w:val="20"/>
                <w:szCs w:val="20"/>
              </w:rPr>
            </w:pPr>
            <w:r w:rsidRPr="000301BB">
              <w:rPr>
                <w:sz w:val="20"/>
                <w:szCs w:val="20"/>
              </w:rPr>
              <w:t>2.4</w:t>
            </w:r>
          </w:p>
          <w:p w:rsidR="00DB3029" w:rsidRPr="000301BB" w:rsidRDefault="00DB3029" w:rsidP="000F4A8D">
            <w:pPr>
              <w:spacing w:before="20" w:after="20"/>
              <w:jc w:val="center"/>
              <w:rPr>
                <w:sz w:val="20"/>
                <w:szCs w:val="20"/>
              </w:rPr>
            </w:pPr>
            <w:r w:rsidRPr="000301BB">
              <w:rPr>
                <w:sz w:val="20"/>
                <w:szCs w:val="20"/>
              </w:rPr>
              <w:t>2.1</w:t>
            </w:r>
          </w:p>
          <w:p w:rsidR="00DB3029" w:rsidRPr="000301BB" w:rsidRDefault="00DB3029" w:rsidP="000F4A8D">
            <w:pPr>
              <w:spacing w:before="20" w:after="20"/>
              <w:jc w:val="center"/>
              <w:rPr>
                <w:sz w:val="20"/>
                <w:szCs w:val="20"/>
              </w:rPr>
            </w:pPr>
            <w:r w:rsidRPr="000301BB">
              <w:rPr>
                <w:sz w:val="20"/>
                <w:szCs w:val="20"/>
              </w:rPr>
              <w:t>1.3</w:t>
            </w:r>
          </w:p>
          <w:p w:rsidR="00DB3029" w:rsidRPr="000301BB" w:rsidRDefault="00DB3029" w:rsidP="000F4A8D">
            <w:pPr>
              <w:spacing w:before="20" w:after="20"/>
              <w:jc w:val="center"/>
              <w:rPr>
                <w:sz w:val="20"/>
                <w:szCs w:val="20"/>
              </w:rPr>
            </w:pPr>
            <w:r w:rsidRPr="000301BB">
              <w:rPr>
                <w:sz w:val="20"/>
                <w:szCs w:val="20"/>
              </w:rPr>
              <w:t>1.4</w:t>
            </w:r>
          </w:p>
        </w:tc>
      </w:tr>
      <w:tr w:rsidR="00DB3029" w:rsidRPr="000301BB" w:rsidTr="000F4A8D">
        <w:trPr>
          <w:trHeight w:val="658"/>
        </w:trPr>
        <w:tc>
          <w:tcPr>
            <w:tcW w:w="2977" w:type="dxa"/>
            <w:shd w:val="clear" w:color="auto" w:fill="auto"/>
          </w:tcPr>
          <w:p w:rsidR="00DB3029" w:rsidRPr="000301BB" w:rsidRDefault="00DB3029" w:rsidP="000F4A8D">
            <w:pPr>
              <w:spacing w:before="20" w:after="20"/>
              <w:rPr>
                <w:sz w:val="20"/>
                <w:szCs w:val="20"/>
              </w:rPr>
            </w:pPr>
            <w:r w:rsidRPr="000301BB">
              <w:rPr>
                <w:sz w:val="20"/>
                <w:szCs w:val="20"/>
              </w:rPr>
              <w:t>Diltiazem</w:t>
            </w:r>
          </w:p>
          <w:p w:rsidR="00DB3029" w:rsidRPr="000301BB" w:rsidRDefault="00DB3029" w:rsidP="000F4A8D">
            <w:pPr>
              <w:spacing w:before="20" w:after="20"/>
              <w:rPr>
                <w:sz w:val="20"/>
                <w:szCs w:val="20"/>
              </w:rPr>
            </w:pPr>
            <w:r w:rsidRPr="000301BB">
              <w:rPr>
                <w:sz w:val="20"/>
                <w:szCs w:val="20"/>
              </w:rPr>
              <w:t>120 mg BID for 10 Days</w:t>
            </w:r>
          </w:p>
        </w:tc>
        <w:tc>
          <w:tcPr>
            <w:tcW w:w="2243" w:type="dxa"/>
            <w:shd w:val="clear" w:color="auto" w:fill="auto"/>
          </w:tcPr>
          <w:p w:rsidR="00DB3029" w:rsidRPr="000301BB" w:rsidRDefault="00DB3029" w:rsidP="000F4A8D">
            <w:pPr>
              <w:spacing w:before="20" w:after="20"/>
              <w:rPr>
                <w:sz w:val="20"/>
                <w:szCs w:val="20"/>
              </w:rPr>
            </w:pPr>
            <w:r w:rsidRPr="000301BB">
              <w:rPr>
                <w:sz w:val="20"/>
                <w:szCs w:val="20"/>
              </w:rPr>
              <w:t>80 mg on Day 10</w:t>
            </w:r>
          </w:p>
        </w:tc>
        <w:tc>
          <w:tcPr>
            <w:tcW w:w="1980" w:type="dxa"/>
            <w:shd w:val="clear" w:color="auto" w:fill="auto"/>
          </w:tcPr>
          <w:p w:rsidR="00DB3029" w:rsidRPr="000301BB" w:rsidRDefault="00DB3029" w:rsidP="000F4A8D">
            <w:pPr>
              <w:spacing w:before="20" w:after="20"/>
              <w:rPr>
                <w:sz w:val="20"/>
                <w:szCs w:val="20"/>
              </w:rPr>
            </w:pPr>
            <w:r w:rsidRPr="000301BB">
              <w:rPr>
                <w:sz w:val="20"/>
                <w:szCs w:val="20"/>
              </w:rPr>
              <w:t>Simvastatin acid</w:t>
            </w:r>
            <w:r w:rsidRPr="000301BB">
              <w:rPr>
                <w:sz w:val="20"/>
                <w:szCs w:val="20"/>
                <w:vertAlign w:val="superscript"/>
              </w:rPr>
              <w:t>†</w:t>
            </w:r>
          </w:p>
          <w:p w:rsidR="00DB3029" w:rsidRPr="000301BB" w:rsidRDefault="00DB3029" w:rsidP="000F4A8D">
            <w:pPr>
              <w:spacing w:before="20" w:after="20"/>
              <w:rPr>
                <w:sz w:val="20"/>
                <w:szCs w:val="20"/>
              </w:rPr>
            </w:pPr>
            <w:r w:rsidRPr="000301BB">
              <w:rPr>
                <w:sz w:val="20"/>
                <w:szCs w:val="20"/>
              </w:rPr>
              <w:t>Simvastatin</w:t>
            </w:r>
          </w:p>
          <w:p w:rsidR="00DB3029" w:rsidRPr="000301BB" w:rsidRDefault="00DB3029" w:rsidP="000F4A8D">
            <w:pPr>
              <w:spacing w:before="20" w:after="20"/>
              <w:rPr>
                <w:sz w:val="20"/>
                <w:szCs w:val="20"/>
              </w:rPr>
            </w:pPr>
            <w:r w:rsidRPr="000301BB">
              <w:rPr>
                <w:sz w:val="20"/>
                <w:szCs w:val="20"/>
              </w:rPr>
              <w:t>Active inhibitors</w:t>
            </w:r>
          </w:p>
          <w:p w:rsidR="00DB3029" w:rsidRPr="000301BB" w:rsidRDefault="00DB3029" w:rsidP="000F4A8D">
            <w:pPr>
              <w:spacing w:before="20" w:after="20"/>
              <w:rPr>
                <w:sz w:val="20"/>
                <w:szCs w:val="20"/>
              </w:rPr>
            </w:pPr>
            <w:r w:rsidRPr="000301BB">
              <w:rPr>
                <w:sz w:val="20"/>
                <w:szCs w:val="20"/>
              </w:rPr>
              <w:t>Total inhibitors</w:t>
            </w:r>
          </w:p>
        </w:tc>
        <w:tc>
          <w:tcPr>
            <w:tcW w:w="900" w:type="dxa"/>
            <w:shd w:val="clear" w:color="auto" w:fill="auto"/>
          </w:tcPr>
          <w:p w:rsidR="00DB3029" w:rsidRPr="000301BB" w:rsidRDefault="00DB3029" w:rsidP="000F4A8D">
            <w:pPr>
              <w:spacing w:before="20" w:after="20"/>
              <w:jc w:val="center"/>
              <w:rPr>
                <w:sz w:val="20"/>
                <w:szCs w:val="20"/>
              </w:rPr>
            </w:pPr>
            <w:r w:rsidRPr="000301BB">
              <w:rPr>
                <w:sz w:val="20"/>
                <w:szCs w:val="20"/>
              </w:rPr>
              <w:t>2.7</w:t>
            </w:r>
          </w:p>
          <w:p w:rsidR="00DB3029" w:rsidRPr="000301BB" w:rsidRDefault="00DB3029" w:rsidP="000F4A8D">
            <w:pPr>
              <w:spacing w:before="20" w:after="20"/>
              <w:jc w:val="center"/>
              <w:rPr>
                <w:sz w:val="20"/>
                <w:szCs w:val="20"/>
              </w:rPr>
            </w:pPr>
            <w:r w:rsidRPr="000301BB">
              <w:rPr>
                <w:sz w:val="20"/>
                <w:szCs w:val="20"/>
              </w:rPr>
              <w:t>3.1</w:t>
            </w:r>
          </w:p>
          <w:p w:rsidR="00DB3029" w:rsidRPr="000301BB" w:rsidRDefault="00DB3029" w:rsidP="000F4A8D">
            <w:pPr>
              <w:spacing w:before="20" w:after="20"/>
              <w:jc w:val="center"/>
              <w:rPr>
                <w:sz w:val="20"/>
                <w:szCs w:val="20"/>
              </w:rPr>
            </w:pPr>
            <w:r w:rsidRPr="000301BB">
              <w:rPr>
                <w:sz w:val="20"/>
                <w:szCs w:val="20"/>
              </w:rPr>
              <w:t>2.0</w:t>
            </w:r>
          </w:p>
          <w:p w:rsidR="00DB3029" w:rsidRPr="000301BB" w:rsidRDefault="00DB3029" w:rsidP="000F4A8D">
            <w:pPr>
              <w:spacing w:before="20" w:after="20"/>
              <w:jc w:val="center"/>
              <w:rPr>
                <w:sz w:val="20"/>
                <w:szCs w:val="20"/>
              </w:rPr>
            </w:pPr>
            <w:r w:rsidRPr="000301BB">
              <w:rPr>
                <w:sz w:val="20"/>
                <w:szCs w:val="20"/>
              </w:rPr>
              <w:t>1.7</w:t>
            </w:r>
          </w:p>
        </w:tc>
        <w:tc>
          <w:tcPr>
            <w:tcW w:w="900" w:type="dxa"/>
            <w:shd w:val="clear" w:color="auto" w:fill="auto"/>
          </w:tcPr>
          <w:p w:rsidR="00DB3029" w:rsidRPr="000301BB" w:rsidRDefault="00DB3029" w:rsidP="000F4A8D">
            <w:pPr>
              <w:spacing w:before="20" w:after="20"/>
              <w:jc w:val="center"/>
              <w:rPr>
                <w:sz w:val="20"/>
                <w:szCs w:val="20"/>
              </w:rPr>
            </w:pPr>
            <w:r w:rsidRPr="000301BB">
              <w:rPr>
                <w:sz w:val="20"/>
                <w:szCs w:val="20"/>
              </w:rPr>
              <w:t>2.7</w:t>
            </w:r>
          </w:p>
          <w:p w:rsidR="00DB3029" w:rsidRPr="000301BB" w:rsidRDefault="00DB3029" w:rsidP="000F4A8D">
            <w:pPr>
              <w:spacing w:before="20" w:after="20"/>
              <w:jc w:val="center"/>
              <w:rPr>
                <w:sz w:val="20"/>
                <w:szCs w:val="20"/>
              </w:rPr>
            </w:pPr>
            <w:r w:rsidRPr="000301BB">
              <w:rPr>
                <w:sz w:val="20"/>
                <w:szCs w:val="20"/>
              </w:rPr>
              <w:t>2.9</w:t>
            </w:r>
          </w:p>
          <w:p w:rsidR="00DB3029" w:rsidRPr="000301BB" w:rsidRDefault="00DB3029" w:rsidP="000F4A8D">
            <w:pPr>
              <w:spacing w:before="20" w:after="20"/>
              <w:jc w:val="center"/>
              <w:rPr>
                <w:sz w:val="20"/>
                <w:szCs w:val="20"/>
              </w:rPr>
            </w:pPr>
            <w:r w:rsidRPr="000301BB">
              <w:rPr>
                <w:sz w:val="20"/>
                <w:szCs w:val="20"/>
              </w:rPr>
              <w:t>1.6</w:t>
            </w:r>
          </w:p>
          <w:p w:rsidR="00DB3029" w:rsidRPr="000301BB" w:rsidRDefault="00DB3029" w:rsidP="000F4A8D">
            <w:pPr>
              <w:spacing w:before="20" w:after="20"/>
              <w:jc w:val="center"/>
              <w:rPr>
                <w:sz w:val="20"/>
                <w:szCs w:val="20"/>
              </w:rPr>
            </w:pPr>
            <w:r w:rsidRPr="000301BB">
              <w:rPr>
                <w:sz w:val="20"/>
                <w:szCs w:val="20"/>
              </w:rPr>
              <w:t>1.5</w:t>
            </w:r>
          </w:p>
        </w:tc>
      </w:tr>
      <w:tr w:rsidR="00DB3029" w:rsidRPr="000301BB" w:rsidTr="000F4A8D">
        <w:trPr>
          <w:trHeight w:val="70"/>
        </w:trPr>
        <w:tc>
          <w:tcPr>
            <w:tcW w:w="2977" w:type="dxa"/>
            <w:shd w:val="clear" w:color="auto" w:fill="auto"/>
          </w:tcPr>
          <w:p w:rsidR="00DB3029" w:rsidRPr="000301BB" w:rsidRDefault="00DB3029" w:rsidP="000F4A8D">
            <w:pPr>
              <w:spacing w:before="20" w:after="20"/>
              <w:rPr>
                <w:sz w:val="20"/>
                <w:szCs w:val="20"/>
              </w:rPr>
            </w:pPr>
            <w:r w:rsidRPr="000301BB">
              <w:rPr>
                <w:sz w:val="20"/>
                <w:szCs w:val="20"/>
              </w:rPr>
              <w:t>Amlodipine</w:t>
            </w:r>
          </w:p>
          <w:p w:rsidR="00DB3029" w:rsidRPr="000301BB" w:rsidRDefault="00DB3029" w:rsidP="000F4A8D">
            <w:pPr>
              <w:spacing w:before="20" w:after="20"/>
              <w:rPr>
                <w:sz w:val="20"/>
                <w:szCs w:val="20"/>
              </w:rPr>
            </w:pPr>
            <w:r w:rsidRPr="000301BB">
              <w:rPr>
                <w:sz w:val="20"/>
                <w:szCs w:val="20"/>
              </w:rPr>
              <w:t>10 mg QD x 10 Days</w:t>
            </w:r>
          </w:p>
        </w:tc>
        <w:tc>
          <w:tcPr>
            <w:tcW w:w="2243" w:type="dxa"/>
            <w:shd w:val="clear" w:color="auto" w:fill="auto"/>
          </w:tcPr>
          <w:p w:rsidR="00DB3029" w:rsidRPr="000301BB" w:rsidRDefault="00DB3029" w:rsidP="000F4A8D">
            <w:pPr>
              <w:spacing w:before="20" w:after="20"/>
              <w:rPr>
                <w:sz w:val="20"/>
                <w:szCs w:val="20"/>
              </w:rPr>
            </w:pPr>
            <w:r w:rsidRPr="000301BB">
              <w:rPr>
                <w:sz w:val="20"/>
                <w:szCs w:val="20"/>
              </w:rPr>
              <w:t>80 mg on Day 10</w:t>
            </w:r>
          </w:p>
        </w:tc>
        <w:tc>
          <w:tcPr>
            <w:tcW w:w="1980" w:type="dxa"/>
            <w:shd w:val="clear" w:color="auto" w:fill="auto"/>
          </w:tcPr>
          <w:p w:rsidR="00DB3029" w:rsidRPr="000301BB" w:rsidRDefault="00DB3029" w:rsidP="000F4A8D">
            <w:pPr>
              <w:spacing w:before="20" w:after="20"/>
              <w:rPr>
                <w:sz w:val="20"/>
                <w:szCs w:val="20"/>
                <w:vertAlign w:val="superscript"/>
              </w:rPr>
            </w:pPr>
            <w:r w:rsidRPr="000301BB">
              <w:rPr>
                <w:sz w:val="20"/>
                <w:szCs w:val="20"/>
              </w:rPr>
              <w:t>Simvastatin acid</w:t>
            </w:r>
            <w:r w:rsidRPr="000301BB">
              <w:rPr>
                <w:sz w:val="20"/>
                <w:szCs w:val="20"/>
                <w:vertAlign w:val="superscript"/>
              </w:rPr>
              <w:t>†</w:t>
            </w:r>
          </w:p>
          <w:p w:rsidR="00DB3029" w:rsidRPr="000301BB" w:rsidRDefault="00DB3029" w:rsidP="000F4A8D">
            <w:pPr>
              <w:spacing w:before="20" w:after="20"/>
              <w:rPr>
                <w:sz w:val="20"/>
                <w:szCs w:val="20"/>
              </w:rPr>
            </w:pPr>
            <w:r w:rsidRPr="000301BB">
              <w:rPr>
                <w:sz w:val="20"/>
                <w:szCs w:val="20"/>
              </w:rPr>
              <w:t>Simvastatin</w:t>
            </w:r>
          </w:p>
          <w:p w:rsidR="00DB3029" w:rsidRPr="000301BB" w:rsidRDefault="00DB3029" w:rsidP="000F4A8D">
            <w:pPr>
              <w:spacing w:before="20" w:after="20"/>
              <w:rPr>
                <w:sz w:val="20"/>
                <w:szCs w:val="20"/>
              </w:rPr>
            </w:pPr>
            <w:r w:rsidRPr="000301BB">
              <w:rPr>
                <w:sz w:val="20"/>
                <w:szCs w:val="20"/>
              </w:rPr>
              <w:t>Active inhibitors</w:t>
            </w:r>
          </w:p>
          <w:p w:rsidR="00DB3029" w:rsidRPr="000301BB" w:rsidRDefault="00DB3029" w:rsidP="000F4A8D">
            <w:pPr>
              <w:spacing w:before="20" w:after="20"/>
              <w:rPr>
                <w:sz w:val="20"/>
                <w:szCs w:val="20"/>
              </w:rPr>
            </w:pPr>
            <w:r w:rsidRPr="000301BB">
              <w:rPr>
                <w:sz w:val="20"/>
                <w:szCs w:val="20"/>
              </w:rPr>
              <w:t>Total inhibitors</w:t>
            </w:r>
          </w:p>
        </w:tc>
        <w:tc>
          <w:tcPr>
            <w:tcW w:w="900" w:type="dxa"/>
            <w:shd w:val="clear" w:color="auto" w:fill="auto"/>
          </w:tcPr>
          <w:p w:rsidR="00DB3029" w:rsidRPr="000301BB" w:rsidRDefault="00DB3029" w:rsidP="000F4A8D">
            <w:pPr>
              <w:spacing w:before="20" w:after="20"/>
              <w:jc w:val="center"/>
              <w:rPr>
                <w:sz w:val="20"/>
                <w:szCs w:val="20"/>
              </w:rPr>
            </w:pPr>
            <w:r w:rsidRPr="000301BB">
              <w:rPr>
                <w:sz w:val="20"/>
                <w:szCs w:val="20"/>
              </w:rPr>
              <w:t>1.6</w:t>
            </w:r>
          </w:p>
          <w:p w:rsidR="00DB3029" w:rsidRPr="000301BB" w:rsidRDefault="00DB3029" w:rsidP="000F4A8D">
            <w:pPr>
              <w:spacing w:before="20" w:after="20"/>
              <w:jc w:val="center"/>
              <w:rPr>
                <w:sz w:val="20"/>
                <w:szCs w:val="20"/>
              </w:rPr>
            </w:pPr>
            <w:r w:rsidRPr="000301BB">
              <w:rPr>
                <w:sz w:val="20"/>
                <w:szCs w:val="20"/>
              </w:rPr>
              <w:t>1.8</w:t>
            </w:r>
          </w:p>
          <w:p w:rsidR="00DB3029" w:rsidRPr="000301BB" w:rsidRDefault="00DB3029" w:rsidP="000F4A8D">
            <w:pPr>
              <w:spacing w:before="20" w:after="20"/>
              <w:jc w:val="center"/>
              <w:rPr>
                <w:sz w:val="20"/>
                <w:szCs w:val="20"/>
              </w:rPr>
            </w:pPr>
            <w:r w:rsidRPr="000301BB">
              <w:rPr>
                <w:sz w:val="20"/>
                <w:szCs w:val="20"/>
              </w:rPr>
              <w:t>1.3</w:t>
            </w:r>
          </w:p>
          <w:p w:rsidR="00DB3029" w:rsidRPr="000301BB" w:rsidRDefault="00DB3029" w:rsidP="000F4A8D">
            <w:pPr>
              <w:spacing w:before="20" w:after="20"/>
              <w:jc w:val="center"/>
              <w:rPr>
                <w:sz w:val="20"/>
                <w:szCs w:val="20"/>
              </w:rPr>
            </w:pPr>
            <w:r w:rsidRPr="000301BB">
              <w:rPr>
                <w:sz w:val="20"/>
                <w:szCs w:val="20"/>
              </w:rPr>
              <w:t>1.3</w:t>
            </w:r>
          </w:p>
        </w:tc>
        <w:tc>
          <w:tcPr>
            <w:tcW w:w="900" w:type="dxa"/>
            <w:shd w:val="clear" w:color="auto" w:fill="auto"/>
          </w:tcPr>
          <w:p w:rsidR="00DB3029" w:rsidRPr="000301BB" w:rsidRDefault="00DB3029" w:rsidP="000F4A8D">
            <w:pPr>
              <w:spacing w:before="20" w:after="20"/>
              <w:jc w:val="center"/>
              <w:rPr>
                <w:sz w:val="20"/>
                <w:szCs w:val="20"/>
              </w:rPr>
            </w:pPr>
            <w:r w:rsidRPr="000301BB">
              <w:rPr>
                <w:sz w:val="20"/>
                <w:szCs w:val="20"/>
              </w:rPr>
              <w:t>1.6</w:t>
            </w:r>
          </w:p>
          <w:p w:rsidR="00DB3029" w:rsidRPr="000301BB" w:rsidRDefault="00DB3029" w:rsidP="000F4A8D">
            <w:pPr>
              <w:spacing w:before="20" w:after="20"/>
              <w:jc w:val="center"/>
              <w:rPr>
                <w:sz w:val="20"/>
                <w:szCs w:val="20"/>
              </w:rPr>
            </w:pPr>
            <w:r w:rsidRPr="000301BB">
              <w:rPr>
                <w:sz w:val="20"/>
                <w:szCs w:val="20"/>
              </w:rPr>
              <w:t>1.5</w:t>
            </w:r>
          </w:p>
          <w:p w:rsidR="00DB3029" w:rsidRPr="000301BB" w:rsidRDefault="00DB3029" w:rsidP="000F4A8D">
            <w:pPr>
              <w:spacing w:before="20" w:after="20"/>
              <w:jc w:val="center"/>
              <w:rPr>
                <w:sz w:val="20"/>
                <w:szCs w:val="20"/>
              </w:rPr>
            </w:pPr>
            <w:r w:rsidRPr="000301BB">
              <w:rPr>
                <w:sz w:val="20"/>
                <w:szCs w:val="20"/>
              </w:rPr>
              <w:t>0.9</w:t>
            </w:r>
          </w:p>
          <w:p w:rsidR="00DB3029" w:rsidRPr="000301BB" w:rsidRDefault="00DB3029" w:rsidP="000F4A8D">
            <w:pPr>
              <w:spacing w:before="20" w:after="20"/>
              <w:jc w:val="center"/>
              <w:rPr>
                <w:sz w:val="20"/>
                <w:szCs w:val="20"/>
              </w:rPr>
            </w:pPr>
            <w:r w:rsidRPr="000301BB">
              <w:rPr>
                <w:sz w:val="20"/>
                <w:szCs w:val="20"/>
              </w:rPr>
              <w:t>1.0</w:t>
            </w:r>
          </w:p>
        </w:tc>
      </w:tr>
    </w:tbl>
    <w:p w:rsidR="00DB3029" w:rsidRPr="000301BB" w:rsidRDefault="00DB3029" w:rsidP="006309F0">
      <w:pPr>
        <w:spacing w:before="20" w:after="20"/>
        <w:ind w:left="181" w:right="28" w:hanging="181"/>
        <w:rPr>
          <w:sz w:val="20"/>
          <w:szCs w:val="20"/>
        </w:rPr>
      </w:pPr>
      <w:r w:rsidRPr="000301BB">
        <w:rPr>
          <w:sz w:val="20"/>
          <w:szCs w:val="20"/>
        </w:rPr>
        <w:t>*</w:t>
      </w:r>
      <w:r w:rsidR="006309F0" w:rsidRPr="000301BB">
        <w:rPr>
          <w:sz w:val="20"/>
          <w:szCs w:val="20"/>
        </w:rPr>
        <w:tab/>
      </w:r>
      <w:r w:rsidRPr="000301BB">
        <w:rPr>
          <w:sz w:val="20"/>
          <w:szCs w:val="20"/>
        </w:rPr>
        <w:t>Results based on a chemical assay</w:t>
      </w:r>
    </w:p>
    <w:p w:rsidR="00DB3029" w:rsidRPr="000301BB" w:rsidRDefault="00DB3029" w:rsidP="006309F0">
      <w:pPr>
        <w:spacing w:before="20" w:after="20"/>
        <w:ind w:left="181" w:right="28" w:hanging="181"/>
        <w:rPr>
          <w:sz w:val="20"/>
          <w:szCs w:val="20"/>
        </w:rPr>
      </w:pPr>
      <w:r w:rsidRPr="000301BB">
        <w:rPr>
          <w:sz w:val="20"/>
          <w:szCs w:val="20"/>
          <w:vertAlign w:val="superscript"/>
        </w:rPr>
        <w:t>†</w:t>
      </w:r>
      <w:r w:rsidR="006309F0" w:rsidRPr="000301BB">
        <w:rPr>
          <w:sz w:val="20"/>
          <w:szCs w:val="20"/>
        </w:rPr>
        <w:tab/>
      </w:r>
      <w:r w:rsidRPr="000301BB">
        <w:rPr>
          <w:sz w:val="20"/>
          <w:szCs w:val="20"/>
        </w:rPr>
        <w:t>Simvastatin acid refers to the β-hydroxyacid of simvastatin</w:t>
      </w:r>
    </w:p>
    <w:p w:rsidR="00B71048" w:rsidRPr="000301BB" w:rsidRDefault="00DB3029" w:rsidP="00A71F5A">
      <w:pPr>
        <w:spacing w:before="100" w:beforeAutospacing="1" w:after="100" w:afterAutospacing="1"/>
      </w:pPr>
      <w:r w:rsidRPr="000301BB">
        <w:t>A single dose of 2</w:t>
      </w:r>
      <w:r w:rsidR="006F3F9C" w:rsidRPr="000301BB">
        <w:t> </w:t>
      </w:r>
      <w:r w:rsidRPr="000301BB">
        <w:t>g niacin extended-release co-administered with 20 mg simvastatin increased the AUC and C</w:t>
      </w:r>
      <w:r w:rsidRPr="000301BB">
        <w:rPr>
          <w:vertAlign w:val="subscript"/>
        </w:rPr>
        <w:t xml:space="preserve">max </w:t>
      </w:r>
      <w:r w:rsidRPr="000301BB">
        <w:t>of simvastatin acid by approximately 60% and 84%, respectively, compared to administration of 20 mg simvastatin alone.  In this study, the effect of simvastatin on niacin pharmacokinetics was not measured.</w:t>
      </w:r>
    </w:p>
    <w:p w:rsidR="00DB3029" w:rsidRPr="000301BB" w:rsidRDefault="00DB3029" w:rsidP="002B5830">
      <w:pPr>
        <w:spacing w:before="100" w:beforeAutospacing="1" w:after="100" w:afterAutospacing="1"/>
      </w:pPr>
      <w:r w:rsidRPr="000301BB">
        <w:t xml:space="preserve">The risk of myopathy is increased by high levels of HMG-CoA reductase inhibitory activity in plasma.  Potent inhibitors of CYP3A4 can raise the plasma levels of HMG-CoA reductase </w:t>
      </w:r>
      <w:r w:rsidRPr="000301BB">
        <w:lastRenderedPageBreak/>
        <w:t xml:space="preserve">inhibitory activity and increase the risk of myopathy (see </w:t>
      </w:r>
      <w:r w:rsidRPr="000301BB">
        <w:rPr>
          <w:b/>
        </w:rPr>
        <w:t>PRECAUTIONS</w:t>
      </w:r>
      <w:r w:rsidR="006F3F9C" w:rsidRPr="000301BB">
        <w:t>,</w:t>
      </w:r>
      <w:r w:rsidRPr="000301BB">
        <w:t xml:space="preserve"> Myopathy/Rhabdomyolysis</w:t>
      </w:r>
      <w:r w:rsidR="006F3F9C" w:rsidRPr="000301BB">
        <w:t>;</w:t>
      </w:r>
      <w:r w:rsidRPr="000301BB">
        <w:t xml:space="preserve"> </w:t>
      </w:r>
      <w:r w:rsidRPr="000301BB">
        <w:rPr>
          <w:b/>
        </w:rPr>
        <w:t>INTERACTIONS</w:t>
      </w:r>
      <w:r w:rsidR="008770D8" w:rsidRPr="000301BB">
        <w:rPr>
          <w:b/>
        </w:rPr>
        <w:t xml:space="preserve"> WITH OTHER MEDICINES</w:t>
      </w:r>
      <w:r w:rsidRPr="000301BB">
        <w:t>).</w:t>
      </w:r>
    </w:p>
    <w:p w:rsidR="006A68A1" w:rsidRPr="000301BB" w:rsidRDefault="006A68A1" w:rsidP="002B5830">
      <w:pPr>
        <w:pStyle w:val="Heading4"/>
      </w:pPr>
      <w:r w:rsidRPr="000301BB">
        <w:t>Distribution</w:t>
      </w:r>
    </w:p>
    <w:p w:rsidR="006A68A1" w:rsidRPr="000301BB" w:rsidRDefault="006A68A1" w:rsidP="00333DE6">
      <w:pPr>
        <w:spacing w:after="100" w:afterAutospacing="1"/>
      </w:pPr>
      <w:r w:rsidRPr="000301BB">
        <w:t xml:space="preserve">The mean volume of distribution at steady state following a single 100 mg intravenous dose of </w:t>
      </w:r>
      <w:r w:rsidRPr="000301BB">
        <w:rPr>
          <w:i/>
        </w:rPr>
        <w:t>sitagliptin</w:t>
      </w:r>
      <w:r w:rsidRPr="000301BB">
        <w:t xml:space="preserve"> to healthy subjects is approximately 198 litres.  The fraction of sitagliptin reversibly bound to plasma proteins is low (38%).</w:t>
      </w:r>
    </w:p>
    <w:p w:rsidR="006A68A1" w:rsidRPr="000301BB" w:rsidRDefault="006A68A1" w:rsidP="00333DE6">
      <w:pPr>
        <w:spacing w:after="100" w:afterAutospacing="1"/>
      </w:pPr>
      <w:r w:rsidRPr="000301BB">
        <w:t xml:space="preserve">Both </w:t>
      </w:r>
      <w:r w:rsidRPr="000301BB">
        <w:rPr>
          <w:i/>
        </w:rPr>
        <w:t>simvastatin</w:t>
      </w:r>
      <w:r w:rsidRPr="000301BB">
        <w:t xml:space="preserve"> and β</w:t>
      </w:r>
      <w:r w:rsidRPr="000301BB">
        <w:noBreakHyphen/>
        <w:t>hydroxyacid are bound t</w:t>
      </w:r>
      <w:r w:rsidR="00333DE6">
        <w:t>o human plasma proteins (95%).</w:t>
      </w:r>
    </w:p>
    <w:p w:rsidR="006A68A1" w:rsidRPr="000301BB" w:rsidRDefault="006A68A1" w:rsidP="00333DE6">
      <w:pPr>
        <w:pStyle w:val="Heading4"/>
      </w:pPr>
      <w:r w:rsidRPr="000301BB">
        <w:t>Metabolism</w:t>
      </w:r>
    </w:p>
    <w:p w:rsidR="006A68A1" w:rsidRPr="000301BB" w:rsidRDefault="006A68A1" w:rsidP="00A86490">
      <w:pPr>
        <w:spacing w:after="100" w:afterAutospacing="1"/>
      </w:pPr>
      <w:r w:rsidRPr="000301BB">
        <w:t xml:space="preserve">Approximately 79% of </w:t>
      </w:r>
      <w:r w:rsidRPr="000301BB">
        <w:rPr>
          <w:i/>
        </w:rPr>
        <w:t>sitagliptin</w:t>
      </w:r>
      <w:r w:rsidRPr="000301BB">
        <w:t xml:space="preserve"> is excreted unchanged in the urine with metabolism being a minor pathway of elimination.  Following a </w:t>
      </w:r>
      <w:r w:rsidRPr="000301BB">
        <w:rPr>
          <w:vertAlign w:val="superscript"/>
        </w:rPr>
        <w:t>14</w:t>
      </w:r>
      <w:r w:rsidRPr="000301BB">
        <w:t xml:space="preserve">C </w:t>
      </w:r>
      <w:r w:rsidRPr="000301BB">
        <w:noBreakHyphen/>
        <w:t>labelled sitagliptin oral dose, approximately 16% of the radioactivity was excreted as metabolites of sitagliptin.  Six metabolites were detected at trace levels and are not expected to contribute to the plasma DPP</w:t>
      </w:r>
      <w:r w:rsidRPr="000301BB">
        <w:noBreakHyphen/>
        <w:t xml:space="preserve">4 inhibitory activity of sitagliptin.  </w:t>
      </w:r>
      <w:r w:rsidRPr="000301BB">
        <w:rPr>
          <w:i/>
        </w:rPr>
        <w:t>In vitro</w:t>
      </w:r>
      <w:r w:rsidRPr="000301BB">
        <w:t xml:space="preserve"> studies indicated that the primary enzyme responsible for the limited metabolism of sitagliptin was CYP3A4, with contribution from CYP2C8.</w:t>
      </w:r>
    </w:p>
    <w:p w:rsidR="006A68A1" w:rsidRPr="000301BB" w:rsidRDefault="006A68A1" w:rsidP="00A86490">
      <w:pPr>
        <w:spacing w:after="100" w:afterAutospacing="1"/>
      </w:pPr>
      <w:r w:rsidRPr="000301BB">
        <w:t xml:space="preserve">The major metabolites of </w:t>
      </w:r>
      <w:r w:rsidRPr="000301BB">
        <w:rPr>
          <w:i/>
        </w:rPr>
        <w:t>simvastatin</w:t>
      </w:r>
      <w:r w:rsidRPr="000301BB">
        <w:t xml:space="preserve"> present in human plasma are β</w:t>
      </w:r>
      <w:r w:rsidRPr="000301BB">
        <w:noBreakHyphen/>
        <w:t>hydroxyacid and four additional active metabolites.  Simvastatin and other HMG</w:t>
      </w:r>
      <w:r w:rsidRPr="000301BB">
        <w:noBreakHyphen/>
        <w:t xml:space="preserve">CoA reductase inhibitors are metabolised by CYP 3A4 (see </w:t>
      </w:r>
      <w:r w:rsidRPr="000301BB">
        <w:rPr>
          <w:b/>
        </w:rPr>
        <w:t>PRECAUTIONS</w:t>
      </w:r>
      <w:r w:rsidRPr="000301BB">
        <w:t xml:space="preserve">, </w:t>
      </w:r>
      <w:r w:rsidRPr="000301BB">
        <w:rPr>
          <w:i/>
        </w:rPr>
        <w:t>Myopathy/Rhabdomyolysis</w:t>
      </w:r>
      <w:r w:rsidRPr="000301BB">
        <w:t xml:space="preserve">).  Although the mechanism is not fully understood, cyclosporin has been shown to increase the AUC of HMG-CoA reductase inhibitors.  The increase in AUC for simvastatin acid is presumably due, in part, to inhibition of CYP3A4.  Since simvastatin undergoes extensive first-pass extraction in the liver, the availability of </w:t>
      </w:r>
      <w:r w:rsidR="007A7434" w:rsidRPr="000301BB">
        <w:t>simvastatin</w:t>
      </w:r>
      <w:r w:rsidRPr="000301BB">
        <w:t xml:space="preserve"> to the general circulation is low.  The availability of β-hydroxyacid to the systemic circulation following an oral dose of simvastatin was estimated using an I.V. reference dose of β-hydroxyacid; the value was found to be less than 5% of the dose.</w:t>
      </w:r>
    </w:p>
    <w:p w:rsidR="006A68A1" w:rsidRPr="000301BB" w:rsidRDefault="006A68A1" w:rsidP="00A86490">
      <w:pPr>
        <w:pStyle w:val="Heading4"/>
      </w:pPr>
      <w:r w:rsidRPr="000301BB">
        <w:t>Excretion</w:t>
      </w:r>
    </w:p>
    <w:p w:rsidR="006A68A1" w:rsidRPr="000301BB" w:rsidRDefault="006A68A1" w:rsidP="00A86490">
      <w:pPr>
        <w:spacing w:after="100" w:afterAutospacing="1"/>
        <w:ind w:right="-74"/>
      </w:pPr>
      <w:r w:rsidRPr="000301BB">
        <w:t xml:space="preserve">Following administration of an oral </w:t>
      </w:r>
      <w:r w:rsidRPr="000301BB">
        <w:rPr>
          <w:vertAlign w:val="superscript"/>
        </w:rPr>
        <w:t>14</w:t>
      </w:r>
      <w:r w:rsidRPr="000301BB">
        <w:t xml:space="preserve">C </w:t>
      </w:r>
      <w:r w:rsidRPr="000301BB">
        <w:noBreakHyphen/>
        <w:t xml:space="preserve">labelled </w:t>
      </w:r>
      <w:r w:rsidRPr="000301BB">
        <w:rPr>
          <w:i/>
        </w:rPr>
        <w:t>sitagliptin</w:t>
      </w:r>
      <w:r w:rsidRPr="000301BB">
        <w:t xml:space="preserve"> dose to healthy subjects, approximately 100% of the administered radioactivity was eliminated in faeces (13%) or urine (87%) within one week of dosing.  The apparent terminal t</w:t>
      </w:r>
      <w:r w:rsidRPr="000301BB">
        <w:rPr>
          <w:vertAlign w:val="subscript"/>
        </w:rPr>
        <w:t xml:space="preserve">1/2 </w:t>
      </w:r>
      <w:r w:rsidRPr="000301BB">
        <w:t xml:space="preserve">following a 100 mg oral dose of sitagliptin was approximately 12.4 hours and </w:t>
      </w:r>
      <w:bookmarkStart w:id="3" w:name="OLE_LINK11"/>
      <w:r w:rsidRPr="000301BB">
        <w:t>renal clearance was approximately 350 mL/min</w:t>
      </w:r>
      <w:bookmarkEnd w:id="3"/>
      <w:r w:rsidRPr="000301BB">
        <w:t>.  Elimination of sitagliptin occurs primarily via renal excretion and involves active tubular secretion.  Sitagliptin is a substrate for human organic anion transporter</w:t>
      </w:r>
      <w:r w:rsidRPr="000301BB">
        <w:noBreakHyphen/>
        <w:t>3 (hOAT</w:t>
      </w:r>
      <w:r w:rsidRPr="000301BB">
        <w:noBreakHyphen/>
        <w:t>3), which may be involved in the renal elimination of sitagliptin.  The clinical relevance of hOAT</w:t>
      </w:r>
      <w:r w:rsidRPr="000301BB">
        <w:noBreakHyphen/>
        <w:t xml:space="preserve">3 in sitagliptin transport has not been established.  Sitagliptin is also a substrate of p-glycoprotein, which may also be involved in mediating the renal elimination of sitagliptin.  </w:t>
      </w:r>
      <w:r w:rsidR="008B2836" w:rsidRPr="000301BB">
        <w:t>However, cyclosporin</w:t>
      </w:r>
      <w:r w:rsidRPr="000301BB">
        <w:t>, a p-glycoprotein inhibitor, did not reduce the renal clearance of sitagliptin.</w:t>
      </w:r>
    </w:p>
    <w:p w:rsidR="006A68A1" w:rsidRPr="000301BB" w:rsidRDefault="006A68A1" w:rsidP="00A86490">
      <w:pPr>
        <w:spacing w:after="100" w:afterAutospacing="1"/>
        <w:ind w:right="-74"/>
      </w:pPr>
      <w:r w:rsidRPr="000301BB">
        <w:t xml:space="preserve">Following a 100 mg oral dose of </w:t>
      </w:r>
      <w:r w:rsidRPr="000301BB">
        <w:rPr>
          <w:vertAlign w:val="superscript"/>
        </w:rPr>
        <w:t>14</w:t>
      </w:r>
      <w:r w:rsidRPr="000301BB">
        <w:t>C</w:t>
      </w:r>
      <w:r w:rsidRPr="000301BB">
        <w:noBreakHyphen/>
        <w:t xml:space="preserve">labelled </w:t>
      </w:r>
      <w:r w:rsidRPr="000301BB">
        <w:rPr>
          <w:i/>
        </w:rPr>
        <w:t>simvastatin</w:t>
      </w:r>
      <w:r w:rsidRPr="000301BB">
        <w:t xml:space="preserve"> in man, 13% of the radioactivity was recovered in urine and 60% in faeces.  The latter represents absorbed </w:t>
      </w:r>
      <w:r w:rsidR="007A7434" w:rsidRPr="000301BB">
        <w:t>simvastatin</w:t>
      </w:r>
      <w:r w:rsidRPr="000301BB">
        <w:t xml:space="preserve"> equivalents excreted in bile as well as unabsorbed </w:t>
      </w:r>
      <w:r w:rsidR="007A7434" w:rsidRPr="000301BB">
        <w:t>simvastatin</w:t>
      </w:r>
      <w:r w:rsidRPr="000301BB">
        <w:t>.  Less than 0.5% of the dose was recovered in urine as HMG</w:t>
      </w:r>
      <w:r w:rsidRPr="000301BB">
        <w:noBreakHyphen/>
        <w:t xml:space="preserve">CoA reductase inhibitors.  In plasma, the inhibitors account for 14% and 28% (active and total inhibitors) of the AUC of total radioactivity, indicating that the majority of chemical species present were inactive or weak inhibitors.  </w:t>
      </w:r>
      <w:r w:rsidR="006E61D1" w:rsidRPr="000301BB">
        <w:t xml:space="preserve">Following an intravenous injection of the </w:t>
      </w:r>
      <w:r w:rsidR="00106889" w:rsidRPr="000301BB">
        <w:t>β</w:t>
      </w:r>
      <w:r w:rsidR="006E61D1" w:rsidRPr="000301BB">
        <w:t>-hydroxyacid metabolite, its half-life averaged 1.9 hours.</w:t>
      </w:r>
    </w:p>
    <w:p w:rsidR="0068607E" w:rsidRDefault="0068607E">
      <w:pPr>
        <w:spacing w:after="0"/>
        <w:rPr>
          <w:b/>
          <w:caps/>
        </w:rPr>
      </w:pPr>
      <w:r>
        <w:br w:type="page"/>
      </w:r>
    </w:p>
    <w:p w:rsidR="00B318B5" w:rsidRPr="00A86490" w:rsidRDefault="00B318B5" w:rsidP="00A86490">
      <w:pPr>
        <w:pStyle w:val="Heading2"/>
      </w:pPr>
      <w:r w:rsidRPr="00A86490">
        <w:lastRenderedPageBreak/>
        <w:t>Clinical Trials</w:t>
      </w:r>
    </w:p>
    <w:p w:rsidR="0082412B" w:rsidRPr="00A86490" w:rsidRDefault="0082412B" w:rsidP="00A86490">
      <w:pPr>
        <w:pStyle w:val="Heading3"/>
      </w:pPr>
      <w:bookmarkStart w:id="4" w:name="OLE_LINK7"/>
      <w:bookmarkStart w:id="5" w:name="OLE_LINK16"/>
      <w:r w:rsidRPr="00A86490">
        <w:t>Sitagliptin</w:t>
      </w:r>
    </w:p>
    <w:p w:rsidR="00D22FD0" w:rsidRPr="000301BB" w:rsidRDefault="00D22FD0" w:rsidP="00D22FD0">
      <w:r w:rsidRPr="000301BB">
        <w:t xml:space="preserve">Results from long-term studies of </w:t>
      </w:r>
      <w:r w:rsidR="00C05C17" w:rsidRPr="000301BB">
        <w:t>sitagliptin</w:t>
      </w:r>
      <w:r w:rsidRPr="000301BB">
        <w:t xml:space="preserve"> on overall morbidity and mortality outcomes are not available.</w:t>
      </w:r>
    </w:p>
    <w:bookmarkEnd w:id="4"/>
    <w:bookmarkEnd w:id="5"/>
    <w:p w:rsidR="0082412B" w:rsidRPr="000301BB" w:rsidRDefault="002131BE" w:rsidP="00A86490">
      <w:pPr>
        <w:spacing w:before="100" w:beforeAutospacing="1" w:after="100" w:afterAutospacing="1"/>
      </w:pPr>
      <w:r w:rsidRPr="000301BB">
        <w:rPr>
          <w:bCs w:val="0"/>
        </w:rPr>
        <w:t>There were 2</w:t>
      </w:r>
      <w:r w:rsidR="00625272" w:rsidRPr="000301BB">
        <w:rPr>
          <w:bCs w:val="0"/>
        </w:rPr>
        <w:t>,</w:t>
      </w:r>
      <w:r w:rsidRPr="000301BB">
        <w:rPr>
          <w:bCs w:val="0"/>
        </w:rPr>
        <w:t xml:space="preserve">757 patients with </w:t>
      </w:r>
      <w:r w:rsidR="00897CEA" w:rsidRPr="000301BB">
        <w:rPr>
          <w:bCs w:val="0"/>
        </w:rPr>
        <w:t>type 2</w:t>
      </w:r>
      <w:r w:rsidRPr="000301BB">
        <w:rPr>
          <w:bCs w:val="0"/>
        </w:rPr>
        <w:t xml:space="preserve"> diabetes randomised in five double-blind, placebo-controlled Phase III clinical studies conducted to evaluate the effects of sitagliptin on glycaemic control as monotherapy and in combination with metformin, pioglitazone, glimepiride, and glimepiride+metformin. </w:t>
      </w:r>
      <w:r w:rsidR="00C74BBF" w:rsidRPr="000301BB">
        <w:rPr>
          <w:bCs w:val="0"/>
        </w:rPr>
        <w:t xml:space="preserve"> </w:t>
      </w:r>
      <w:r w:rsidRPr="000301BB">
        <w:rPr>
          <w:bCs w:val="0"/>
        </w:rPr>
        <w:t xml:space="preserve">Co-morbid diseases were common in the patients studied: 58% had hypertension, 54% had dyslipidaemia, and more than 50% were obese (BMI </w:t>
      </w:r>
      <w:r w:rsidRPr="000301BB">
        <w:rPr>
          <w:bCs w:val="0"/>
        </w:rPr>
        <w:sym w:font="Symbol" w:char="F0B3"/>
      </w:r>
      <w:r w:rsidRPr="000301BB">
        <w:rPr>
          <w:bCs w:val="0"/>
        </w:rPr>
        <w:t xml:space="preserve">30 kg/m2). </w:t>
      </w:r>
      <w:r w:rsidR="00C74BBF" w:rsidRPr="000301BB">
        <w:rPr>
          <w:bCs w:val="0"/>
        </w:rPr>
        <w:t xml:space="preserve"> </w:t>
      </w:r>
      <w:r w:rsidRPr="000301BB">
        <w:rPr>
          <w:bCs w:val="0"/>
        </w:rPr>
        <w:t xml:space="preserve">The majority of patients (51.6% to 65.8%) met National Cholesterol </w:t>
      </w:r>
      <w:smartTag w:uri="urn:schemas-microsoft-com:office:smarttags" w:element="PersonName">
        <w:r w:rsidRPr="000301BB">
          <w:rPr>
            <w:bCs w:val="0"/>
          </w:rPr>
          <w:t>Ed</w:t>
        </w:r>
      </w:smartTag>
      <w:r w:rsidRPr="000301BB">
        <w:rPr>
          <w:bCs w:val="0"/>
        </w:rPr>
        <w:t xml:space="preserve">ucation Program (NCEP) criteria for metabolic syndrome. </w:t>
      </w:r>
      <w:r w:rsidR="00C74BBF" w:rsidRPr="000301BB">
        <w:rPr>
          <w:bCs w:val="0"/>
        </w:rPr>
        <w:t xml:space="preserve"> </w:t>
      </w:r>
      <w:r w:rsidRPr="000301BB">
        <w:rPr>
          <w:bCs w:val="0"/>
        </w:rPr>
        <w:t xml:space="preserve">In these studies, the mean age of patients was 55.0 years, and 62% of patients were white, 18% were Hispanic, 6% were black, 9% were Asian, and 4% were of other racial groups.  </w:t>
      </w:r>
      <w:r w:rsidR="00AC7624" w:rsidRPr="000301BB">
        <w:t xml:space="preserve">The studies that support registration in general used the reduction in haemoglobin </w:t>
      </w:r>
      <w:proofErr w:type="gramStart"/>
      <w:r w:rsidR="00AC7624" w:rsidRPr="000301BB">
        <w:t>A</w:t>
      </w:r>
      <w:r w:rsidR="00AC7624" w:rsidRPr="000301BB">
        <w:rPr>
          <w:vertAlign w:val="subscript"/>
        </w:rPr>
        <w:t>1c</w:t>
      </w:r>
      <w:proofErr w:type="gramEnd"/>
      <w:r w:rsidR="00AC7624" w:rsidRPr="000301BB">
        <w:t xml:space="preserve"> (HbA</w:t>
      </w:r>
      <w:r w:rsidR="00AC7624" w:rsidRPr="000301BB">
        <w:rPr>
          <w:vertAlign w:val="subscript"/>
        </w:rPr>
        <w:t>1c</w:t>
      </w:r>
      <w:r w:rsidR="00AC7624" w:rsidRPr="000301BB">
        <w:t xml:space="preserve">) as the primary outcome variable. </w:t>
      </w:r>
      <w:r w:rsidR="00493243" w:rsidRPr="000301BB">
        <w:t xml:space="preserve"> </w:t>
      </w:r>
      <w:r w:rsidR="00AC7624" w:rsidRPr="000301BB">
        <w:t xml:space="preserve">Pre-specified secondary endpoints included </w:t>
      </w:r>
      <w:r w:rsidR="00817D64" w:rsidRPr="000301BB">
        <w:t>fasting plasma glucose (</w:t>
      </w:r>
      <w:r w:rsidR="00AC7624" w:rsidRPr="000301BB">
        <w:t>FPG</w:t>
      </w:r>
      <w:r w:rsidR="00817D64" w:rsidRPr="000301BB">
        <w:t>)</w:t>
      </w:r>
      <w:r w:rsidR="00AC7624" w:rsidRPr="000301BB">
        <w:t xml:space="preserve"> and 2-hour </w:t>
      </w:r>
      <w:r w:rsidR="00817D64" w:rsidRPr="000301BB">
        <w:t>post-prandial glucose (</w:t>
      </w:r>
      <w:r w:rsidR="00AC7624" w:rsidRPr="000301BB">
        <w:t>PPG</w:t>
      </w:r>
      <w:r w:rsidR="00817D64" w:rsidRPr="000301BB">
        <w:t>)</w:t>
      </w:r>
      <w:r w:rsidR="00A86490">
        <w:t>.</w:t>
      </w:r>
    </w:p>
    <w:p w:rsidR="0082412B" w:rsidRPr="000301BB" w:rsidRDefault="0082412B" w:rsidP="00060879">
      <w:r w:rsidRPr="000301BB">
        <w:t>An active (glipizide)-controlled study of 52</w:t>
      </w:r>
      <w:r w:rsidRPr="000301BB">
        <w:noBreakHyphen/>
        <w:t>weeks duration was conducted in 1</w:t>
      </w:r>
      <w:r w:rsidR="00625272" w:rsidRPr="000301BB">
        <w:t>,</w:t>
      </w:r>
      <w:r w:rsidRPr="000301BB">
        <w:t xml:space="preserve">172 patients with </w:t>
      </w:r>
      <w:r w:rsidR="00897CEA" w:rsidRPr="000301BB">
        <w:t>type 2</w:t>
      </w:r>
      <w:r w:rsidRPr="000301BB">
        <w:t xml:space="preserve"> diabetes who had inadequate glyc</w:t>
      </w:r>
      <w:r w:rsidR="002F0B1E" w:rsidRPr="000301BB">
        <w:t>a</w:t>
      </w:r>
      <w:r w:rsidRPr="000301BB">
        <w:t>emic control on metformin.</w:t>
      </w:r>
      <w:r w:rsidR="00D22FD0" w:rsidRPr="000301BB">
        <w:t xml:space="preserve"> </w:t>
      </w:r>
      <w:r w:rsidRPr="000301BB">
        <w:t xml:space="preserve"> In patients with </w:t>
      </w:r>
      <w:r w:rsidR="00897CEA" w:rsidRPr="000301BB">
        <w:t>type 2</w:t>
      </w:r>
      <w:r w:rsidRPr="000301BB">
        <w:t xml:space="preserve"> diabetes, treatment with sitagliptin produced </w:t>
      </w:r>
      <w:r w:rsidR="00667337" w:rsidRPr="000301BB">
        <w:t xml:space="preserve">statistically </w:t>
      </w:r>
      <w:r w:rsidRPr="000301BB">
        <w:t>significant improvements in HbA</w:t>
      </w:r>
      <w:r w:rsidRPr="000301BB">
        <w:rPr>
          <w:vertAlign w:val="subscript"/>
        </w:rPr>
        <w:t>1c</w:t>
      </w:r>
      <w:r w:rsidRPr="000301BB">
        <w:t xml:space="preserve">. </w:t>
      </w:r>
      <w:r w:rsidR="00D22FD0" w:rsidRPr="000301BB">
        <w:t xml:space="preserve"> </w:t>
      </w:r>
      <w:r w:rsidR="00111024" w:rsidRPr="000301BB">
        <w:t>C</w:t>
      </w:r>
      <w:r w:rsidRPr="000301BB">
        <w:t xml:space="preserve">linically significant improvements in </w:t>
      </w:r>
      <w:r w:rsidR="00111024" w:rsidRPr="000301BB">
        <w:t>HbA</w:t>
      </w:r>
      <w:r w:rsidR="00111024" w:rsidRPr="000301BB">
        <w:rPr>
          <w:vertAlign w:val="subscript"/>
        </w:rPr>
        <w:t>1c</w:t>
      </w:r>
      <w:r w:rsidRPr="000301BB">
        <w:t xml:space="preserve"> were maintained for 52 weeks. </w:t>
      </w:r>
      <w:r w:rsidR="00493243" w:rsidRPr="000301BB">
        <w:t xml:space="preserve"> </w:t>
      </w:r>
      <w:r w:rsidR="00111024" w:rsidRPr="000301BB">
        <w:t>Treatment with s</w:t>
      </w:r>
      <w:r w:rsidRPr="000301BB">
        <w:t xml:space="preserve">itagliptin </w:t>
      </w:r>
      <w:r w:rsidR="00111024" w:rsidRPr="000301BB">
        <w:t xml:space="preserve">showed suggestions of </w:t>
      </w:r>
      <w:r w:rsidRPr="000301BB">
        <w:t xml:space="preserve">improvement in measures of beta cell function (see </w:t>
      </w:r>
      <w:r w:rsidRPr="000301BB">
        <w:rPr>
          <w:b/>
        </w:rPr>
        <w:t>PHARMACOLOGY</w:t>
      </w:r>
      <w:r w:rsidRPr="000301BB">
        <w:t xml:space="preserve">, </w:t>
      </w:r>
      <w:r w:rsidRPr="000301BB">
        <w:rPr>
          <w:bCs w:val="0"/>
          <w:i/>
        </w:rPr>
        <w:t>Pharmacodynamics</w:t>
      </w:r>
      <w:r w:rsidRPr="000301BB">
        <w:t>).</w:t>
      </w:r>
    </w:p>
    <w:p w:rsidR="00C43AFD" w:rsidRPr="000301BB" w:rsidRDefault="00C43AFD" w:rsidP="0068607E">
      <w:pPr>
        <w:spacing w:before="100" w:beforeAutospacing="1"/>
        <w:rPr>
          <w:b/>
          <w:bCs w:val="0"/>
          <w:i/>
        </w:rPr>
      </w:pPr>
      <w:r w:rsidRPr="000301BB">
        <w:rPr>
          <w:b/>
          <w:bCs w:val="0"/>
          <w:i/>
        </w:rPr>
        <w:t>Add-on Therapy to Metformin</w:t>
      </w:r>
    </w:p>
    <w:p w:rsidR="00C43AFD" w:rsidRPr="000301BB" w:rsidRDefault="00C43AFD" w:rsidP="0068607E">
      <w:pPr>
        <w:spacing w:after="100" w:afterAutospacing="1"/>
      </w:pPr>
      <w:r w:rsidRPr="000301BB">
        <w:t xml:space="preserve">A total of 701 patients with </w:t>
      </w:r>
      <w:r w:rsidR="00897CEA" w:rsidRPr="000301BB">
        <w:t>type 2</w:t>
      </w:r>
      <w:r w:rsidRPr="000301BB">
        <w:t xml:space="preserve"> diabetes with inadequate glycaemic control on metformin alone</w:t>
      </w:r>
      <w:r w:rsidRPr="000301BB">
        <w:rPr>
          <w:rFonts w:cs="Times New Roman"/>
          <w:sz w:val="20"/>
          <w:szCs w:val="20"/>
        </w:rPr>
        <w:t xml:space="preserve"> </w:t>
      </w:r>
      <w:r w:rsidRPr="000301BB">
        <w:t>participated in a 24</w:t>
      </w:r>
      <w:r w:rsidRPr="000301BB">
        <w:noBreakHyphen/>
        <w:t xml:space="preserve">week, randomised, double-blind, placebo-controlled study designed to assess the efficacy of sitagliptin in combination with metformin (Hb </w:t>
      </w:r>
      <w:proofErr w:type="gramStart"/>
      <w:r w:rsidRPr="000301BB">
        <w:t>A</w:t>
      </w:r>
      <w:r w:rsidRPr="000301BB">
        <w:rPr>
          <w:vertAlign w:val="subscript"/>
        </w:rPr>
        <w:t>1c</w:t>
      </w:r>
      <w:proofErr w:type="gramEnd"/>
      <w:r w:rsidRPr="000301BB">
        <w:t xml:space="preserve"> 7% to 10%).  All patients were started on metformin monotherapy and the dose increased to at least 1</w:t>
      </w:r>
      <w:r w:rsidR="00625272" w:rsidRPr="000301BB">
        <w:t>,</w:t>
      </w:r>
      <w:r w:rsidRPr="000301BB">
        <w:t>500 mg per day.  Patients were randomised to the addition of either 100 mg of sitagliptin or placebo, administered once daily.</w:t>
      </w:r>
    </w:p>
    <w:p w:rsidR="0082412B" w:rsidRPr="000301BB" w:rsidRDefault="0082412B" w:rsidP="0068607E">
      <w:pPr>
        <w:keepNext/>
        <w:rPr>
          <w:b/>
          <w:sz w:val="20"/>
          <w:szCs w:val="20"/>
        </w:rPr>
      </w:pPr>
      <w:r w:rsidRPr="000301BB">
        <w:rPr>
          <w:b/>
          <w:sz w:val="20"/>
          <w:szCs w:val="20"/>
        </w:rPr>
        <w:lastRenderedPageBreak/>
        <w:t>Table </w:t>
      </w:r>
      <w:proofErr w:type="gramStart"/>
      <w:r w:rsidR="00260C62" w:rsidRPr="000301BB">
        <w:rPr>
          <w:b/>
          <w:sz w:val="20"/>
          <w:szCs w:val="20"/>
        </w:rPr>
        <w:t>2</w:t>
      </w:r>
      <w:r w:rsidR="00DB42AA" w:rsidRPr="000301BB">
        <w:rPr>
          <w:b/>
          <w:sz w:val="20"/>
          <w:szCs w:val="20"/>
        </w:rPr>
        <w:t xml:space="preserve">  </w:t>
      </w:r>
      <w:r w:rsidRPr="000301BB">
        <w:rPr>
          <w:b/>
          <w:sz w:val="20"/>
          <w:szCs w:val="20"/>
        </w:rPr>
        <w:t>Glyc</w:t>
      </w:r>
      <w:r w:rsidR="00D03879" w:rsidRPr="000301BB">
        <w:rPr>
          <w:b/>
          <w:sz w:val="20"/>
          <w:szCs w:val="20"/>
        </w:rPr>
        <w:t>a</w:t>
      </w:r>
      <w:r w:rsidRPr="000301BB">
        <w:rPr>
          <w:b/>
          <w:sz w:val="20"/>
          <w:szCs w:val="20"/>
        </w:rPr>
        <w:t>emic</w:t>
      </w:r>
      <w:proofErr w:type="gramEnd"/>
      <w:r w:rsidRPr="000301BB">
        <w:rPr>
          <w:b/>
          <w:sz w:val="20"/>
          <w:szCs w:val="20"/>
        </w:rPr>
        <w:t xml:space="preserve"> Parameters and Body Weight at Final Visit (24</w:t>
      </w:r>
      <w:r w:rsidRPr="000301BB">
        <w:rPr>
          <w:b/>
          <w:sz w:val="20"/>
          <w:szCs w:val="20"/>
        </w:rPr>
        <w:noBreakHyphen/>
        <w:t>Week Study)</w:t>
      </w:r>
      <w:r w:rsidR="001B2B4E" w:rsidRPr="000301BB">
        <w:rPr>
          <w:b/>
          <w:sz w:val="20"/>
          <w:szCs w:val="20"/>
        </w:rPr>
        <w:t xml:space="preserve"> </w:t>
      </w:r>
      <w:r w:rsidRPr="000301BB">
        <w:rPr>
          <w:b/>
          <w:sz w:val="20"/>
          <w:szCs w:val="20"/>
        </w:rPr>
        <w:t>for Sitagliptin</w:t>
      </w:r>
      <w:r w:rsidRPr="000301BB">
        <w:rPr>
          <w:sz w:val="20"/>
          <w:szCs w:val="20"/>
        </w:rPr>
        <w:t xml:space="preserve"> </w:t>
      </w:r>
      <w:r w:rsidR="00490B17" w:rsidRPr="000301BB">
        <w:rPr>
          <w:b/>
          <w:sz w:val="20"/>
          <w:szCs w:val="20"/>
        </w:rPr>
        <w:t xml:space="preserve">in </w:t>
      </w:r>
      <w:r w:rsidRPr="000301BB">
        <w:rPr>
          <w:b/>
          <w:sz w:val="20"/>
          <w:szCs w:val="20"/>
        </w:rPr>
        <w:t>Combination with Metformin</w:t>
      </w:r>
      <w:r w:rsidRPr="000301BB">
        <w:rPr>
          <w:b/>
          <w:sz w:val="20"/>
          <w:szCs w:val="20"/>
          <w:vertAlign w:val="superscript"/>
        </w:rPr>
        <w:t>†</w:t>
      </w:r>
      <w:r w:rsidR="00490B17" w:rsidRPr="000301BB">
        <w:rPr>
          <w:b/>
          <w:sz w:val="20"/>
          <w:szCs w:val="20"/>
        </w:rPr>
        <w:t xml:space="preserve"> - Primary (HbA</w:t>
      </w:r>
      <w:r w:rsidR="00490B17" w:rsidRPr="000301BB">
        <w:rPr>
          <w:b/>
          <w:sz w:val="20"/>
          <w:szCs w:val="20"/>
          <w:vertAlign w:val="subscript"/>
        </w:rPr>
        <w:t>1c</w:t>
      </w:r>
      <w:r w:rsidR="00490B17" w:rsidRPr="000301BB">
        <w:rPr>
          <w:b/>
          <w:sz w:val="20"/>
          <w:szCs w:val="20"/>
        </w:rPr>
        <w:t>) and Secondary Outcomes</w:t>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198"/>
        <w:gridCol w:w="2581"/>
        <w:gridCol w:w="2221"/>
      </w:tblGrid>
      <w:tr w:rsidR="0082412B" w:rsidRPr="000301BB" w:rsidTr="003D68EE">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Sitagliptin 100 mg +</w:t>
            </w:r>
            <w:r w:rsidR="00405E70" w:rsidRPr="000301BB">
              <w:rPr>
                <w:b/>
                <w:sz w:val="20"/>
                <w:szCs w:val="20"/>
              </w:rPr>
              <w:t xml:space="preserve"> </w:t>
            </w:r>
            <w:r w:rsidRPr="000301BB">
              <w:rPr>
                <w:b/>
                <w:sz w:val="20"/>
                <w:szCs w:val="20"/>
              </w:rPr>
              <w:t>Metformin</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Placebo +</w:t>
            </w:r>
            <w:r w:rsidR="00405E70" w:rsidRPr="000301BB">
              <w:rPr>
                <w:b/>
                <w:sz w:val="20"/>
                <w:szCs w:val="20"/>
              </w:rPr>
              <w:t xml:space="preserve"> </w:t>
            </w:r>
            <w:r w:rsidR="003D68EE" w:rsidRPr="000301BB">
              <w:rPr>
                <w:b/>
                <w:sz w:val="20"/>
                <w:szCs w:val="20"/>
              </w:rPr>
              <w:br/>
            </w:r>
            <w:r w:rsidRPr="000301BB">
              <w:rPr>
                <w:b/>
                <w:sz w:val="20"/>
                <w:szCs w:val="20"/>
              </w:rPr>
              <w:t>Metformin</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sz w:val="20"/>
                <w:szCs w:val="20"/>
              </w:rPr>
            </w:pPr>
            <w:r w:rsidRPr="000301BB">
              <w:rPr>
                <w:b/>
                <w:sz w:val="20"/>
                <w:szCs w:val="20"/>
              </w:rPr>
              <w:t>HbA</w:t>
            </w:r>
            <w:r w:rsidRPr="000301BB">
              <w:rPr>
                <w:b/>
                <w:sz w:val="20"/>
                <w:szCs w:val="20"/>
                <w:vertAlign w:val="subscript"/>
              </w:rPr>
              <w:t>1c</w:t>
            </w:r>
            <w:r w:rsidRPr="000301BB">
              <w:rPr>
                <w:b/>
                <w:sz w:val="20"/>
                <w:szCs w:val="20"/>
              </w:rPr>
              <w:t xml:space="preserve"> (%)</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453</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224</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Baseline (mean)</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7.96</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8.03</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Change from baseline (adjusted mean</w:t>
            </w:r>
            <w:r w:rsidRPr="000301BB">
              <w:rPr>
                <w:sz w:val="20"/>
                <w:szCs w:val="20"/>
                <w:vertAlign w:val="superscript"/>
              </w:rPr>
              <w:t>‡</w:t>
            </w:r>
            <w:r w:rsidRPr="000301BB">
              <w:rPr>
                <w:sz w:val="20"/>
                <w:szCs w:val="20"/>
              </w:rPr>
              <w:t>)</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-0.67</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-0.02</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Difference from placebo + metformin (adjusted mean</w:t>
            </w:r>
            <w:r w:rsidRPr="000301BB">
              <w:rPr>
                <w:sz w:val="20"/>
                <w:szCs w:val="20"/>
                <w:vertAlign w:val="superscript"/>
              </w:rPr>
              <w:t>‡</w:t>
            </w:r>
            <w:r w:rsidRPr="000301BB">
              <w:rPr>
                <w:sz w:val="20"/>
                <w:szCs w:val="20"/>
              </w:rPr>
              <w:t>)</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-0.65</w:t>
            </w:r>
            <w:r w:rsidRPr="000301BB">
              <w:rPr>
                <w:sz w:val="20"/>
                <w:szCs w:val="20"/>
                <w:vertAlign w:val="superscript"/>
              </w:rPr>
              <w:t>§</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 xml:space="preserve">Patients (%) achieving </w:t>
            </w:r>
            <w:r w:rsidRPr="000301BB">
              <w:rPr>
                <w:color w:val="000000"/>
                <w:sz w:val="20"/>
                <w:szCs w:val="20"/>
              </w:rPr>
              <w:t>HbA</w:t>
            </w:r>
            <w:r w:rsidRPr="000301BB">
              <w:rPr>
                <w:color w:val="000000"/>
                <w:sz w:val="20"/>
                <w:szCs w:val="20"/>
                <w:vertAlign w:val="subscript"/>
              </w:rPr>
              <w:t>1c</w:t>
            </w:r>
            <w:r w:rsidRPr="000301BB">
              <w:rPr>
                <w:sz w:val="20"/>
                <w:szCs w:val="20"/>
              </w:rPr>
              <w:t xml:space="preserve"> &lt;7%</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numPr>
                <w:ilvl w:val="12"/>
                <w:numId w:val="0"/>
              </w:numPr>
              <w:spacing w:before="20" w:after="20"/>
              <w:jc w:val="center"/>
              <w:rPr>
                <w:color w:val="000000"/>
                <w:sz w:val="20"/>
                <w:szCs w:val="20"/>
              </w:rPr>
            </w:pPr>
            <w:r w:rsidRPr="000301BB">
              <w:rPr>
                <w:color w:val="000000"/>
                <w:sz w:val="20"/>
                <w:szCs w:val="20"/>
              </w:rPr>
              <w:t>213 (47.0)</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numPr>
                <w:ilvl w:val="12"/>
                <w:numId w:val="0"/>
              </w:numPr>
              <w:spacing w:before="20" w:after="20"/>
              <w:jc w:val="center"/>
              <w:rPr>
                <w:color w:val="000000"/>
                <w:sz w:val="20"/>
                <w:szCs w:val="20"/>
              </w:rPr>
            </w:pPr>
            <w:r w:rsidRPr="000301BB">
              <w:rPr>
                <w:color w:val="000000"/>
                <w:sz w:val="20"/>
                <w:szCs w:val="20"/>
              </w:rPr>
              <w:t>41 (18.3)</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sz w:val="20"/>
                <w:szCs w:val="20"/>
              </w:rPr>
            </w:pPr>
            <w:r w:rsidRPr="000301BB">
              <w:rPr>
                <w:b/>
                <w:sz w:val="20"/>
                <w:szCs w:val="20"/>
              </w:rPr>
              <w:t>FPG (m</w:t>
            </w:r>
            <w:r w:rsidR="0016497D" w:rsidRPr="000301BB">
              <w:rPr>
                <w:b/>
                <w:sz w:val="20"/>
                <w:szCs w:val="20"/>
              </w:rPr>
              <w:t>mol</w:t>
            </w:r>
            <w:r w:rsidRPr="000301BB">
              <w:rPr>
                <w:b/>
                <w:sz w:val="20"/>
                <w:szCs w:val="20"/>
              </w:rPr>
              <w:t xml:space="preserve">/L) </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454</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226</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 xml:space="preserve">Baseline (mean) </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16497D" w:rsidP="00263C5B">
            <w:pPr>
              <w:keepNext/>
              <w:keepLines/>
              <w:spacing w:before="20" w:after="20"/>
              <w:jc w:val="center"/>
              <w:rPr>
                <w:sz w:val="20"/>
                <w:szCs w:val="20"/>
              </w:rPr>
            </w:pPr>
            <w:r w:rsidRPr="000301BB">
              <w:rPr>
                <w:sz w:val="20"/>
                <w:szCs w:val="20"/>
              </w:rPr>
              <w:t>9.44</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16497D" w:rsidP="00263C5B">
            <w:pPr>
              <w:keepNext/>
              <w:keepLines/>
              <w:spacing w:before="20" w:after="20"/>
              <w:jc w:val="center"/>
              <w:rPr>
                <w:sz w:val="20"/>
                <w:szCs w:val="20"/>
              </w:rPr>
            </w:pPr>
            <w:r w:rsidRPr="000301BB">
              <w:rPr>
                <w:sz w:val="20"/>
                <w:szCs w:val="20"/>
              </w:rPr>
              <w:t>9.63</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Change from baseline (adjusted mean</w:t>
            </w:r>
            <w:r w:rsidRPr="000301BB">
              <w:rPr>
                <w:sz w:val="20"/>
                <w:szCs w:val="20"/>
                <w:vertAlign w:val="superscript"/>
              </w:rPr>
              <w:t>‡</w:t>
            </w:r>
            <w:r w:rsidRPr="000301BB">
              <w:rPr>
                <w:sz w:val="20"/>
                <w:szCs w:val="20"/>
              </w:rPr>
              <w:t>)</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w:t>
            </w:r>
            <w:r w:rsidR="0016497D" w:rsidRPr="000301BB">
              <w:rPr>
                <w:sz w:val="20"/>
                <w:szCs w:val="20"/>
              </w:rPr>
              <w:t>0.94</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16497D" w:rsidP="00263C5B">
            <w:pPr>
              <w:keepNext/>
              <w:keepLines/>
              <w:spacing w:before="20" w:after="20"/>
              <w:jc w:val="center"/>
              <w:rPr>
                <w:sz w:val="20"/>
                <w:szCs w:val="20"/>
              </w:rPr>
            </w:pPr>
            <w:r w:rsidRPr="000301BB">
              <w:rPr>
                <w:sz w:val="20"/>
                <w:szCs w:val="20"/>
              </w:rPr>
              <w:t>0.47</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Difference from placebo + metformin (adjusted mean</w:t>
            </w:r>
            <w:r w:rsidRPr="000301BB">
              <w:rPr>
                <w:sz w:val="20"/>
                <w:szCs w:val="20"/>
                <w:vertAlign w:val="superscript"/>
              </w:rPr>
              <w:t>‡</w:t>
            </w:r>
            <w:r w:rsidRPr="000301BB">
              <w:rPr>
                <w:sz w:val="20"/>
                <w:szCs w:val="20"/>
              </w:rPr>
              <w:t xml:space="preserve">) </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w:t>
            </w:r>
            <w:r w:rsidR="0016497D" w:rsidRPr="000301BB">
              <w:rPr>
                <w:sz w:val="20"/>
                <w:szCs w:val="20"/>
              </w:rPr>
              <w:t>1.41</w:t>
            </w:r>
            <w:r w:rsidRPr="000301BB">
              <w:rPr>
                <w:sz w:val="20"/>
                <w:szCs w:val="20"/>
                <w:vertAlign w:val="superscript"/>
              </w:rPr>
              <w:t>§</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sz w:val="20"/>
                <w:szCs w:val="20"/>
              </w:rPr>
            </w:pPr>
            <w:r w:rsidRPr="000301BB">
              <w:rPr>
                <w:b/>
                <w:sz w:val="20"/>
                <w:szCs w:val="20"/>
              </w:rPr>
              <w:t>2-hour PPG (m</w:t>
            </w:r>
            <w:r w:rsidR="0016497D" w:rsidRPr="000301BB">
              <w:rPr>
                <w:b/>
                <w:sz w:val="20"/>
                <w:szCs w:val="20"/>
              </w:rPr>
              <w:t>mol</w:t>
            </w:r>
            <w:r w:rsidRPr="000301BB">
              <w:rPr>
                <w:b/>
                <w:sz w:val="20"/>
                <w:szCs w:val="20"/>
              </w:rPr>
              <w:t>/L)</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387</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182</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 xml:space="preserve">Baseline (mean) </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16497D" w:rsidP="00263C5B">
            <w:pPr>
              <w:keepNext/>
              <w:keepLines/>
              <w:spacing w:before="20" w:after="20"/>
              <w:jc w:val="center"/>
              <w:rPr>
                <w:sz w:val="20"/>
                <w:szCs w:val="20"/>
              </w:rPr>
            </w:pPr>
            <w:r w:rsidRPr="000301BB">
              <w:rPr>
                <w:sz w:val="20"/>
                <w:szCs w:val="20"/>
              </w:rPr>
              <w:t>15.24</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16497D" w:rsidP="00263C5B">
            <w:pPr>
              <w:keepNext/>
              <w:keepLines/>
              <w:spacing w:before="20" w:after="20"/>
              <w:jc w:val="center"/>
              <w:rPr>
                <w:sz w:val="20"/>
                <w:szCs w:val="20"/>
              </w:rPr>
            </w:pPr>
            <w:r w:rsidRPr="000301BB">
              <w:rPr>
                <w:sz w:val="20"/>
                <w:szCs w:val="20"/>
              </w:rPr>
              <w:t>15.12</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Change from baseline (adjusted mean</w:t>
            </w:r>
            <w:r w:rsidRPr="000301BB">
              <w:rPr>
                <w:sz w:val="20"/>
                <w:szCs w:val="20"/>
                <w:vertAlign w:val="superscript"/>
              </w:rPr>
              <w:t>‡</w:t>
            </w:r>
            <w:r w:rsidRPr="000301BB">
              <w:rPr>
                <w:sz w:val="20"/>
                <w:szCs w:val="20"/>
              </w:rPr>
              <w:t>)</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w:t>
            </w:r>
            <w:r w:rsidR="0016497D" w:rsidRPr="000301BB">
              <w:rPr>
                <w:sz w:val="20"/>
                <w:szCs w:val="20"/>
              </w:rPr>
              <w:t>3.44</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w:t>
            </w:r>
            <w:r w:rsidR="0016497D" w:rsidRPr="000301BB">
              <w:rPr>
                <w:sz w:val="20"/>
                <w:szCs w:val="20"/>
              </w:rPr>
              <w:t>0.63</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Difference from placebo + metformin (adjusted mean</w:t>
            </w:r>
            <w:r w:rsidRPr="000301BB">
              <w:rPr>
                <w:sz w:val="20"/>
                <w:szCs w:val="20"/>
                <w:vertAlign w:val="superscript"/>
              </w:rPr>
              <w:t>‡</w:t>
            </w:r>
            <w:r w:rsidRPr="000301BB">
              <w:rPr>
                <w:sz w:val="20"/>
                <w:szCs w:val="20"/>
              </w:rPr>
              <w:t xml:space="preserve">) </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w:t>
            </w:r>
            <w:r w:rsidR="0016497D" w:rsidRPr="000301BB">
              <w:rPr>
                <w:sz w:val="20"/>
                <w:szCs w:val="20"/>
              </w:rPr>
              <w:t>2.81</w:t>
            </w:r>
            <w:r w:rsidRPr="000301BB">
              <w:rPr>
                <w:sz w:val="20"/>
                <w:szCs w:val="20"/>
                <w:vertAlign w:val="superscript"/>
              </w:rPr>
              <w:t>§</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84" w:hanging="184"/>
              <w:rPr>
                <w:b/>
                <w:sz w:val="20"/>
                <w:szCs w:val="20"/>
              </w:rPr>
            </w:pPr>
            <w:r w:rsidRPr="000301BB">
              <w:rPr>
                <w:b/>
                <w:sz w:val="20"/>
                <w:szCs w:val="20"/>
              </w:rPr>
              <w:t>Body Weight (kg)</w:t>
            </w:r>
            <w:r w:rsidRPr="000301BB">
              <w:rPr>
                <w:sz w:val="20"/>
                <w:szCs w:val="20"/>
                <w:vertAlign w:val="superscript"/>
              </w:rPr>
              <w:t xml:space="preserve"> </w:t>
            </w:r>
            <w:r w:rsidRPr="000301BB">
              <w:rPr>
                <w:sz w:val="20"/>
                <w:szCs w:val="20"/>
                <w:vertAlign w:val="superscript"/>
              </w:rPr>
              <w:sym w:font="Math Ext" w:char="F025"/>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399</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169</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Baseline (mean)</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86.9</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87.6</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Change from baseline (adjusted mean</w:t>
            </w:r>
            <w:r w:rsidRPr="000301BB">
              <w:rPr>
                <w:sz w:val="20"/>
                <w:szCs w:val="20"/>
                <w:vertAlign w:val="superscript"/>
              </w:rPr>
              <w:t>‡</w:t>
            </w:r>
            <w:r w:rsidRPr="000301BB">
              <w:rPr>
                <w:sz w:val="20"/>
                <w:szCs w:val="20"/>
              </w:rPr>
              <w:t>)</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-0.7</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-0.6</w:t>
            </w:r>
          </w:p>
        </w:tc>
      </w:tr>
      <w:tr w:rsidR="0082412B" w:rsidRPr="000301BB" w:rsidTr="003D68EE">
        <w:trPr>
          <w:trHeight w:hRule="exact" w:val="288"/>
        </w:trPr>
        <w:tc>
          <w:tcPr>
            <w:tcW w:w="419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Difference from placebo + metformin (adjusted mean</w:t>
            </w:r>
            <w:r w:rsidRPr="000301BB">
              <w:rPr>
                <w:sz w:val="20"/>
                <w:szCs w:val="20"/>
                <w:vertAlign w:val="superscript"/>
              </w:rPr>
              <w:t>‡</w:t>
            </w:r>
            <w:r w:rsidRPr="000301BB">
              <w:rPr>
                <w:sz w:val="20"/>
                <w:szCs w:val="20"/>
              </w:rPr>
              <w:t>)</w:t>
            </w:r>
          </w:p>
        </w:tc>
        <w:tc>
          <w:tcPr>
            <w:tcW w:w="258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-0.1</w:t>
            </w:r>
            <w:r w:rsidRPr="000301BB">
              <w:rPr>
                <w:sz w:val="20"/>
                <w:szCs w:val="20"/>
                <w:vertAlign w:val="superscript"/>
              </w:rPr>
              <w:t>¶</w:t>
            </w:r>
          </w:p>
        </w:tc>
        <w:tc>
          <w:tcPr>
            <w:tcW w:w="2221"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bl>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t>†</w:t>
      </w:r>
      <w:r w:rsidR="00BD7D99" w:rsidRPr="000301BB">
        <w:rPr>
          <w:bCs w:val="0"/>
          <w:sz w:val="20"/>
          <w:szCs w:val="20"/>
        </w:rPr>
        <w:tab/>
      </w:r>
      <w:r w:rsidRPr="000301BB">
        <w:rPr>
          <w:bCs w:val="0"/>
          <w:sz w:val="20"/>
          <w:szCs w:val="20"/>
        </w:rPr>
        <w:t>All Patients Treated Population (an intention-to-treat analysis).</w:t>
      </w:r>
    </w:p>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t>‡</w:t>
      </w:r>
      <w:r w:rsidR="00BD7D99" w:rsidRPr="000301BB">
        <w:rPr>
          <w:bCs w:val="0"/>
          <w:sz w:val="20"/>
          <w:szCs w:val="20"/>
        </w:rPr>
        <w:tab/>
      </w:r>
      <w:r w:rsidRPr="000301BB">
        <w:rPr>
          <w:bCs w:val="0"/>
          <w:sz w:val="20"/>
          <w:szCs w:val="20"/>
        </w:rPr>
        <w:t>Least squares means adjusted for prior antihyperglyc</w:t>
      </w:r>
      <w:r w:rsidR="00D21F45">
        <w:rPr>
          <w:bCs w:val="0"/>
          <w:sz w:val="20"/>
          <w:szCs w:val="20"/>
        </w:rPr>
        <w:t>a</w:t>
      </w:r>
      <w:r w:rsidRPr="000301BB">
        <w:rPr>
          <w:bCs w:val="0"/>
          <w:sz w:val="20"/>
          <w:szCs w:val="20"/>
        </w:rPr>
        <w:t>emic therapy and baseline value.</w:t>
      </w:r>
    </w:p>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t>§</w:t>
      </w:r>
      <w:r w:rsidR="00BD7D99" w:rsidRPr="000301BB">
        <w:rPr>
          <w:bCs w:val="0"/>
          <w:sz w:val="20"/>
          <w:szCs w:val="20"/>
        </w:rPr>
        <w:tab/>
      </w:r>
      <w:r w:rsidRPr="000301BB">
        <w:rPr>
          <w:bCs w:val="0"/>
          <w:sz w:val="20"/>
          <w:szCs w:val="20"/>
        </w:rPr>
        <w:t>p&lt;0.001 compared to placebo + metformin.</w:t>
      </w:r>
    </w:p>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sym w:font="Math Ext" w:char="F025"/>
      </w:r>
      <w:r w:rsidR="00BD7D99" w:rsidRPr="000301BB">
        <w:rPr>
          <w:bCs w:val="0"/>
          <w:sz w:val="20"/>
          <w:szCs w:val="20"/>
          <w:vertAlign w:val="superscript"/>
        </w:rPr>
        <w:tab/>
      </w:r>
      <w:r w:rsidRPr="000301BB">
        <w:rPr>
          <w:bCs w:val="0"/>
          <w:sz w:val="20"/>
          <w:szCs w:val="20"/>
        </w:rPr>
        <w:t>All Patients as Treated (APaT) population, excluding patients given glyc</w:t>
      </w:r>
      <w:r w:rsidR="00F33A28" w:rsidRPr="000301BB">
        <w:rPr>
          <w:bCs w:val="0"/>
          <w:sz w:val="20"/>
          <w:szCs w:val="20"/>
        </w:rPr>
        <w:t>a</w:t>
      </w:r>
      <w:r w:rsidRPr="000301BB">
        <w:rPr>
          <w:bCs w:val="0"/>
          <w:sz w:val="20"/>
          <w:szCs w:val="20"/>
        </w:rPr>
        <w:t>emic rescue therapy.</w:t>
      </w:r>
    </w:p>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t>¶</w:t>
      </w:r>
      <w:r w:rsidR="00BD7D99" w:rsidRPr="000301BB">
        <w:rPr>
          <w:bCs w:val="0"/>
          <w:sz w:val="20"/>
          <w:szCs w:val="20"/>
          <w:vertAlign w:val="superscript"/>
        </w:rPr>
        <w:tab/>
      </w:r>
      <w:proofErr w:type="gramStart"/>
      <w:r w:rsidRPr="000301BB">
        <w:rPr>
          <w:bCs w:val="0"/>
          <w:sz w:val="20"/>
          <w:szCs w:val="20"/>
        </w:rPr>
        <w:t>Not</w:t>
      </w:r>
      <w:proofErr w:type="gramEnd"/>
      <w:r w:rsidRPr="000301BB">
        <w:rPr>
          <w:bCs w:val="0"/>
          <w:sz w:val="20"/>
          <w:szCs w:val="20"/>
        </w:rPr>
        <w:t xml:space="preserve"> statistically significant (p</w:t>
      </w:r>
      <w:r w:rsidRPr="000301BB">
        <w:rPr>
          <w:bCs w:val="0"/>
          <w:sz w:val="20"/>
          <w:szCs w:val="20"/>
        </w:rPr>
        <w:sym w:font="Symbol" w:char="F0B3"/>
      </w:r>
      <w:r w:rsidRPr="000301BB">
        <w:rPr>
          <w:bCs w:val="0"/>
          <w:sz w:val="20"/>
          <w:szCs w:val="20"/>
        </w:rPr>
        <w:t>0.05) compared to placebo + metformin.</w:t>
      </w:r>
    </w:p>
    <w:p w:rsidR="00260C62" w:rsidRPr="000301BB" w:rsidRDefault="00260C62" w:rsidP="00782CB0">
      <w:pPr>
        <w:spacing w:before="100" w:beforeAutospacing="1" w:after="100" w:afterAutospacing="1"/>
      </w:pPr>
      <w:r w:rsidRPr="000301BB">
        <w:t>In combination with metformin, sitagliptin provided significant improvements in HbA</w:t>
      </w:r>
      <w:r w:rsidRPr="000301BB">
        <w:rPr>
          <w:vertAlign w:val="subscript"/>
        </w:rPr>
        <w:t xml:space="preserve">1c </w:t>
      </w:r>
      <w:r w:rsidRPr="000301BB">
        <w:t>(the primary endpoint), FPG, and 2</w:t>
      </w:r>
      <w:r w:rsidRPr="000301BB">
        <w:noBreakHyphen/>
        <w:t>hour PPG compared to placebo with metformin (Table </w:t>
      </w:r>
      <w:r w:rsidR="00753CCD" w:rsidRPr="000301BB">
        <w:t>2</w:t>
      </w:r>
      <w:r w:rsidRPr="000301BB">
        <w:t xml:space="preserve">).  A pre-specified secondary endpoint was the number of patients in each group who required therapeutic "rescue" with pioglitazone.  Twenty-one of 464 patients (5%) randomised to </w:t>
      </w:r>
      <w:r w:rsidR="00C05C17" w:rsidRPr="000301BB">
        <w:t>sitagliptin</w:t>
      </w:r>
      <w:r w:rsidRPr="000301BB">
        <w:t xml:space="preserve"> and 32 of 237 patients (14%) randomised to placebo required pioglitazone "rescue".  The improvement in HbA</w:t>
      </w:r>
      <w:r w:rsidRPr="000301BB">
        <w:rPr>
          <w:vertAlign w:val="subscript"/>
        </w:rPr>
        <w:t>1c</w:t>
      </w:r>
      <w:r w:rsidRPr="000301BB">
        <w:t xml:space="preserve"> compared to placebo was not affected by baseline HbA</w:t>
      </w:r>
      <w:r w:rsidRPr="000301BB">
        <w:rPr>
          <w:vertAlign w:val="subscript"/>
        </w:rPr>
        <w:t>1c</w:t>
      </w:r>
      <w:r w:rsidRPr="000301BB">
        <w:t>, prior antihyperglycaemic therapy, gender, age, baseline BMI, length of time since diagnosis of diabetes, presence of metabolic syndrome, or standard indices of insulin resistance (HOMA</w:t>
      </w:r>
      <w:r w:rsidRPr="000301BB">
        <w:noBreakHyphen/>
        <w:t>IR) or insulin secretion (HOMA</w:t>
      </w:r>
      <w:r w:rsidRPr="000301BB">
        <w:noBreakHyphen/>
        <w:t>β).</w:t>
      </w:r>
      <w:r w:rsidRPr="000301BB">
        <w:rPr>
          <w:noProof/>
        </w:rPr>
        <w:t xml:space="preserve">  Compared to pati</w:t>
      </w:r>
      <w:r w:rsidR="00AF129C" w:rsidRPr="000301BB">
        <w:rPr>
          <w:noProof/>
        </w:rPr>
        <w:t>e</w:t>
      </w:r>
      <w:r w:rsidRPr="000301BB">
        <w:rPr>
          <w:noProof/>
        </w:rPr>
        <w:t>nts taking placebo, patients taking sitagliptin demonstrated slight decreases in total chol</w:t>
      </w:r>
      <w:r w:rsidR="00543091" w:rsidRPr="000301BB">
        <w:rPr>
          <w:noProof/>
        </w:rPr>
        <w:t>e</w:t>
      </w:r>
      <w:r w:rsidRPr="000301BB">
        <w:rPr>
          <w:noProof/>
        </w:rPr>
        <w:t xml:space="preserve">sterol, non-HDL choelsterol and </w:t>
      </w:r>
      <w:r w:rsidR="00590BD9" w:rsidRPr="000301BB">
        <w:rPr>
          <w:noProof/>
        </w:rPr>
        <w:t>TG</w:t>
      </w:r>
      <w:r w:rsidRPr="000301BB">
        <w:rPr>
          <w:noProof/>
        </w:rPr>
        <w:t xml:space="preserve">.  </w:t>
      </w:r>
      <w:r w:rsidRPr="000301BB">
        <w:t>A similar decrease in body weight was observed for both treatment groups.</w:t>
      </w:r>
    </w:p>
    <w:p w:rsidR="0082412B" w:rsidRPr="000301BB" w:rsidRDefault="0082412B" w:rsidP="00782CB0">
      <w:pPr>
        <w:pStyle w:val="Heading4"/>
      </w:pPr>
      <w:r w:rsidRPr="000301BB">
        <w:t xml:space="preserve">Active-Controlled Study </w:t>
      </w:r>
      <w:proofErr w:type="gramStart"/>
      <w:r w:rsidR="002736CD" w:rsidRPr="000301BB">
        <w:t>Against</w:t>
      </w:r>
      <w:proofErr w:type="gramEnd"/>
      <w:r w:rsidR="002736CD" w:rsidRPr="000301BB">
        <w:t xml:space="preserve"> </w:t>
      </w:r>
      <w:r w:rsidRPr="000301BB">
        <w:t>Glipizide</w:t>
      </w:r>
      <w:r w:rsidR="002736CD" w:rsidRPr="000301BB">
        <w:t xml:space="preserve"> as Add-on Therapy to Metformin</w:t>
      </w:r>
    </w:p>
    <w:p w:rsidR="0082412B" w:rsidRPr="000301BB" w:rsidRDefault="0082412B" w:rsidP="0082412B">
      <w:r w:rsidRPr="000301BB">
        <w:t>Long-term maintenance of effect was evaluated in a 52</w:t>
      </w:r>
      <w:r w:rsidRPr="000301BB">
        <w:noBreakHyphen/>
        <w:t xml:space="preserve">week, double-blind, glipizide-controlled trial in patients with </w:t>
      </w:r>
      <w:r w:rsidR="00897CEA" w:rsidRPr="000301BB">
        <w:t>type 2</w:t>
      </w:r>
      <w:r w:rsidRPr="000301BB">
        <w:t xml:space="preserve"> diabetes</w:t>
      </w:r>
      <w:r w:rsidR="00DE00F9" w:rsidRPr="000301BB">
        <w:t>.  Patients with</w:t>
      </w:r>
      <w:r w:rsidRPr="000301BB">
        <w:t xml:space="preserve"> inadequate glyc</w:t>
      </w:r>
      <w:r w:rsidR="00D03879" w:rsidRPr="000301BB">
        <w:t>a</w:t>
      </w:r>
      <w:r w:rsidRPr="000301BB">
        <w:t>emic control on metformin at ≥1</w:t>
      </w:r>
      <w:r w:rsidR="00625272" w:rsidRPr="000301BB">
        <w:t>,</w:t>
      </w:r>
      <w:r w:rsidRPr="000301BB">
        <w:t>500 mg/day</w:t>
      </w:r>
      <w:r w:rsidR="00DE00F9" w:rsidRPr="000301BB">
        <w:t xml:space="preserve"> </w:t>
      </w:r>
      <w:r w:rsidRPr="000301BB">
        <w:t>were randomi</w:t>
      </w:r>
      <w:r w:rsidR="00675984" w:rsidRPr="000301BB">
        <w:t>s</w:t>
      </w:r>
      <w:r w:rsidRPr="000301BB">
        <w:t xml:space="preserve">ed to </w:t>
      </w:r>
      <w:r w:rsidR="00DE00F9" w:rsidRPr="000301BB">
        <w:t xml:space="preserve">treatment with </w:t>
      </w:r>
      <w:r w:rsidRPr="000301BB">
        <w:t xml:space="preserve">sitagliptin 100 mg daily (N=588) or glipizide (N=584) for 52 weeks. </w:t>
      </w:r>
      <w:r w:rsidR="009E2040" w:rsidRPr="000301BB">
        <w:t xml:space="preserve"> </w:t>
      </w:r>
      <w:r w:rsidRPr="000301BB">
        <w:t>Patients receiving glipizide were given an initial dosage of 5 mg/day and then electively titrated over the next 18 weeks</w:t>
      </w:r>
      <w:r w:rsidR="003B72F8" w:rsidRPr="000301BB">
        <w:t>, to a</w:t>
      </w:r>
      <w:r w:rsidRPr="000301BB">
        <w:t xml:space="preserve"> maximum dosage of 20 mg/day </w:t>
      </w:r>
      <w:r w:rsidR="003B72F8" w:rsidRPr="000301BB">
        <w:t>as needed</w:t>
      </w:r>
      <w:r w:rsidRPr="000301BB">
        <w:t xml:space="preserve"> to optimi</w:t>
      </w:r>
      <w:r w:rsidR="00487BBE" w:rsidRPr="000301BB">
        <w:t>s</w:t>
      </w:r>
      <w:r w:rsidRPr="000301BB">
        <w:t>e glyc</w:t>
      </w:r>
      <w:r w:rsidR="00D03879" w:rsidRPr="000301BB">
        <w:t>a</w:t>
      </w:r>
      <w:r w:rsidRPr="000301BB">
        <w:t xml:space="preserve">emic control. </w:t>
      </w:r>
      <w:r w:rsidR="006A1DF3" w:rsidRPr="000301BB">
        <w:t xml:space="preserve"> </w:t>
      </w:r>
      <w:r w:rsidRPr="000301BB">
        <w:t>Thereafter, the glipizide dose was to have been kept constant.</w:t>
      </w:r>
      <w:r w:rsidR="009E2040" w:rsidRPr="000301BB">
        <w:t xml:space="preserve"> </w:t>
      </w:r>
      <w:r w:rsidRPr="000301BB">
        <w:t xml:space="preserve"> The mean dose of glipizide after the titration period was 10.3 mg.</w:t>
      </w:r>
    </w:p>
    <w:p w:rsidR="0082412B" w:rsidRPr="000301BB" w:rsidRDefault="00D841E5" w:rsidP="00782CB0">
      <w:pPr>
        <w:spacing w:after="100" w:afterAutospacing="1"/>
      </w:pPr>
      <w:r w:rsidRPr="000301BB">
        <w:lastRenderedPageBreak/>
        <w:t>The objective of the study</w:t>
      </w:r>
      <w:r w:rsidR="00A424E4" w:rsidRPr="000301BB">
        <w:t xml:space="preserve"> was to test whether sitagliptin was not inferior to glipizide, at a non-inferiority margin of 0</w:t>
      </w:r>
      <w:r w:rsidR="00145A9C" w:rsidRPr="000301BB">
        <w:t>.3%.  A</w:t>
      </w:r>
      <w:r w:rsidR="00A424E4" w:rsidRPr="000301BB">
        <w:t>fter 52 weeks, b</w:t>
      </w:r>
      <w:r w:rsidR="0082412B" w:rsidRPr="000301BB">
        <w:t>oth treatments resulted in a statistically significant improvement in glyc</w:t>
      </w:r>
      <w:r w:rsidR="00D03879" w:rsidRPr="000301BB">
        <w:t>a</w:t>
      </w:r>
      <w:r w:rsidR="0082412B" w:rsidRPr="000301BB">
        <w:t>emic control from baseline.</w:t>
      </w:r>
      <w:r w:rsidR="009E2040" w:rsidRPr="000301BB">
        <w:t xml:space="preserve"> </w:t>
      </w:r>
      <w:r w:rsidR="0082412B" w:rsidRPr="000301BB">
        <w:t xml:space="preserve"> </w:t>
      </w:r>
      <w:r w:rsidR="00145A9C" w:rsidRPr="000301BB">
        <w:t>T</w:t>
      </w:r>
      <w:r w:rsidR="0082412B" w:rsidRPr="000301BB">
        <w:t>he reduction from baseline in HbA</w:t>
      </w:r>
      <w:r w:rsidR="0082412B" w:rsidRPr="000301BB">
        <w:rPr>
          <w:vertAlign w:val="subscript"/>
        </w:rPr>
        <w:t>1c</w:t>
      </w:r>
      <w:r w:rsidR="0082412B" w:rsidRPr="000301BB">
        <w:t xml:space="preserve"> </w:t>
      </w:r>
      <w:r w:rsidR="003B72F8" w:rsidRPr="000301BB">
        <w:t xml:space="preserve">(primary endpoint) </w:t>
      </w:r>
      <w:r w:rsidR="0082412B" w:rsidRPr="000301BB">
        <w:t xml:space="preserve">was </w:t>
      </w:r>
      <w:r w:rsidR="00204578" w:rsidRPr="000301BB">
        <w:noBreakHyphen/>
      </w:r>
      <w:r w:rsidR="0082412B" w:rsidRPr="000301BB">
        <w:t xml:space="preserve">0.67% for sitagliptin 100 mg daily and </w:t>
      </w:r>
      <w:r w:rsidR="00204578" w:rsidRPr="000301BB">
        <w:noBreakHyphen/>
      </w:r>
      <w:r w:rsidR="0082412B" w:rsidRPr="000301BB">
        <w:t xml:space="preserve">0.67% for glipizide, confirming </w:t>
      </w:r>
      <w:r w:rsidR="003B72F8" w:rsidRPr="000301BB">
        <w:t>the non-inferiority of sitagliptin compared to glipizide</w:t>
      </w:r>
      <w:r w:rsidR="0082412B" w:rsidRPr="000301BB">
        <w:t>.</w:t>
      </w:r>
      <w:r w:rsidR="00145A9C" w:rsidRPr="000301BB">
        <w:t xml:space="preserve"> </w:t>
      </w:r>
      <w:r w:rsidR="0082412B" w:rsidRPr="000301BB">
        <w:t xml:space="preserve"> </w:t>
      </w:r>
      <w:r w:rsidR="00145A9C" w:rsidRPr="000301BB">
        <w:t>With respect to other analyses, t</w:t>
      </w:r>
      <w:r w:rsidR="0082412B" w:rsidRPr="000301BB">
        <w:t xml:space="preserve">he reduction in FPG was </w:t>
      </w:r>
      <w:r w:rsidR="003F562A" w:rsidRPr="000301BB">
        <w:noBreakHyphen/>
      </w:r>
      <w:r w:rsidR="00145A9C" w:rsidRPr="000301BB">
        <w:t>0.56</w:t>
      </w:r>
      <w:r w:rsidR="0082412B" w:rsidRPr="000301BB">
        <w:t> m</w:t>
      </w:r>
      <w:r w:rsidR="00145A9C" w:rsidRPr="000301BB">
        <w:t>mol</w:t>
      </w:r>
      <w:r w:rsidR="0082412B" w:rsidRPr="000301BB">
        <w:t xml:space="preserve">/L for sitagliptin and </w:t>
      </w:r>
      <w:r w:rsidR="0073146C" w:rsidRPr="000301BB">
        <w:noBreakHyphen/>
      </w:r>
      <w:r w:rsidR="001D68EB" w:rsidRPr="000301BB">
        <w:t>0.42</w:t>
      </w:r>
      <w:r w:rsidR="0082412B" w:rsidRPr="000301BB">
        <w:t> m</w:t>
      </w:r>
      <w:r w:rsidR="00D82B03" w:rsidRPr="000301BB">
        <w:t>mol</w:t>
      </w:r>
      <w:r w:rsidR="0082412B" w:rsidRPr="000301BB">
        <w:t xml:space="preserve">/L for glipizide. </w:t>
      </w:r>
      <w:r w:rsidR="009E2040" w:rsidRPr="000301BB">
        <w:t xml:space="preserve"> </w:t>
      </w:r>
      <w:r w:rsidR="0082412B" w:rsidRPr="000301BB">
        <w:t>In a post-hoc analysis, patients with higher baseline HbA</w:t>
      </w:r>
      <w:r w:rsidR="0082412B" w:rsidRPr="000301BB">
        <w:rPr>
          <w:vertAlign w:val="subscript"/>
        </w:rPr>
        <w:t xml:space="preserve">1c </w:t>
      </w:r>
      <w:r w:rsidR="0082412B" w:rsidRPr="000301BB">
        <w:t>(≥9%) in both groups had greater reductions from baseline in HbA</w:t>
      </w:r>
      <w:r w:rsidR="0082412B" w:rsidRPr="000301BB">
        <w:rPr>
          <w:vertAlign w:val="subscript"/>
        </w:rPr>
        <w:t xml:space="preserve">1c </w:t>
      </w:r>
      <w:r w:rsidR="0082412B" w:rsidRPr="000301BB">
        <w:t xml:space="preserve">(sitagliptin, </w:t>
      </w:r>
      <w:r w:rsidR="0073146C" w:rsidRPr="000301BB">
        <w:noBreakHyphen/>
      </w:r>
      <w:r w:rsidR="0082412B" w:rsidRPr="000301BB">
        <w:t xml:space="preserve">1.68%; glipizide, </w:t>
      </w:r>
      <w:r w:rsidR="00BD2188" w:rsidRPr="000301BB">
        <w:noBreakHyphen/>
      </w:r>
      <w:r w:rsidR="0082412B" w:rsidRPr="000301BB">
        <w:t>1.76%).</w:t>
      </w:r>
      <w:r w:rsidR="009E2040" w:rsidRPr="000301BB">
        <w:t xml:space="preserve"> </w:t>
      </w:r>
      <w:r w:rsidR="0082412B" w:rsidRPr="000301BB">
        <w:t xml:space="preserve"> The incidence of hypoglyc</w:t>
      </w:r>
      <w:r w:rsidR="00D03879" w:rsidRPr="000301BB">
        <w:t>a</w:t>
      </w:r>
      <w:r w:rsidR="0082412B" w:rsidRPr="000301BB">
        <w:t xml:space="preserve">emia in the sitagliptin group (4.9%) was significantly lower than that in the glipizide group (32.0%). </w:t>
      </w:r>
      <w:r w:rsidR="00BD2188" w:rsidRPr="000301BB">
        <w:t xml:space="preserve"> </w:t>
      </w:r>
      <w:r w:rsidR="0082412B" w:rsidRPr="000301BB">
        <w:t>Patients treated with sitagliptin exhibited a significant mean decrease from baseline in body weight compared to a significant weight gain in patients administered glipizide (</w:t>
      </w:r>
      <w:r w:rsidR="00BD2188" w:rsidRPr="000301BB">
        <w:noBreakHyphen/>
      </w:r>
      <w:r w:rsidR="0082412B" w:rsidRPr="000301BB">
        <w:t>1.5 kg vs +1.1 kg).</w:t>
      </w:r>
    </w:p>
    <w:p w:rsidR="0082412B" w:rsidRPr="000301BB" w:rsidRDefault="0082412B" w:rsidP="00782CB0">
      <w:pPr>
        <w:pStyle w:val="Heading4"/>
      </w:pPr>
      <w:r w:rsidRPr="000301BB">
        <w:t xml:space="preserve">Add-on Therapy </w:t>
      </w:r>
      <w:r w:rsidR="003C3A6C" w:rsidRPr="000301BB">
        <w:t>to</w:t>
      </w:r>
      <w:r w:rsidRPr="000301BB">
        <w:t xml:space="preserve"> Pioglitazone</w:t>
      </w:r>
    </w:p>
    <w:p w:rsidR="0082412B" w:rsidRPr="000301BB" w:rsidRDefault="0082412B" w:rsidP="00782CB0">
      <w:pPr>
        <w:spacing w:after="100" w:afterAutospacing="1"/>
      </w:pPr>
      <w:r w:rsidRPr="000301BB">
        <w:t xml:space="preserve">A total of 353 patients with </w:t>
      </w:r>
      <w:r w:rsidR="00897CEA" w:rsidRPr="000301BB">
        <w:t>type 2</w:t>
      </w:r>
      <w:r w:rsidRPr="000301BB">
        <w:t xml:space="preserve"> diabetes </w:t>
      </w:r>
      <w:r w:rsidR="00660AF3" w:rsidRPr="000301BB">
        <w:t xml:space="preserve">inadequately controlled on pioglitazone alone </w:t>
      </w:r>
      <w:r w:rsidRPr="000301BB">
        <w:t>participated in a 24</w:t>
      </w:r>
      <w:r w:rsidRPr="000301BB">
        <w:noBreakHyphen/>
        <w:t>week, randomi</w:t>
      </w:r>
      <w:r w:rsidR="00675984" w:rsidRPr="000301BB">
        <w:t>s</w:t>
      </w:r>
      <w:r w:rsidRPr="000301BB">
        <w:t xml:space="preserve">ed, double-blind, placebo-controlled study designed to assess the efficacy of sitagliptin in combination with pioglitazone. All patients were started on pioglitazone monotherapy at a dose of 30-45 mg per day. </w:t>
      </w:r>
      <w:r w:rsidR="0075518F" w:rsidRPr="000301BB">
        <w:t xml:space="preserve"> </w:t>
      </w:r>
      <w:r w:rsidRPr="000301BB">
        <w:t>Patients were randomi</w:t>
      </w:r>
      <w:r w:rsidR="00675984" w:rsidRPr="000301BB">
        <w:t>s</w:t>
      </w:r>
      <w:r w:rsidRPr="000301BB">
        <w:t xml:space="preserve">ed to the addition of either 100 mg of sitagliptin or placebo, administered once daily. </w:t>
      </w:r>
      <w:r w:rsidR="0075518F" w:rsidRPr="000301BB">
        <w:t xml:space="preserve"> </w:t>
      </w:r>
      <w:r w:rsidRPr="000301BB">
        <w:t>Glyc</w:t>
      </w:r>
      <w:r w:rsidR="00F33A28" w:rsidRPr="000301BB">
        <w:t>a</w:t>
      </w:r>
      <w:r w:rsidRPr="000301BB">
        <w:t>emic endpoints measured included HbA</w:t>
      </w:r>
      <w:r w:rsidRPr="000301BB">
        <w:rPr>
          <w:vertAlign w:val="subscript"/>
        </w:rPr>
        <w:t>1c</w:t>
      </w:r>
      <w:r w:rsidRPr="000301BB">
        <w:t xml:space="preserve"> and fasting glucose.</w:t>
      </w:r>
      <w:r w:rsidR="0075518F" w:rsidRPr="000301BB">
        <w:t xml:space="preserve">  Another pre-specified secondary endpoint was the number of patients in each group who required therapeutic “rescue” with metformin.</w:t>
      </w:r>
    </w:p>
    <w:p w:rsidR="00D61C58" w:rsidRPr="000301BB" w:rsidRDefault="00D61C58" w:rsidP="00782CB0">
      <w:pPr>
        <w:autoSpaceDE w:val="0"/>
        <w:autoSpaceDN w:val="0"/>
        <w:adjustRightInd w:val="0"/>
        <w:spacing w:after="100" w:afterAutospacing="1"/>
      </w:pPr>
      <w:r w:rsidRPr="000301BB">
        <w:t>In combination with pioglitazone, sitagliptin provided significant improvements in HbA</w:t>
      </w:r>
      <w:r w:rsidRPr="000301BB">
        <w:rPr>
          <w:vertAlign w:val="subscript"/>
        </w:rPr>
        <w:t>1c</w:t>
      </w:r>
      <w:r w:rsidRPr="000301BB">
        <w:t xml:space="preserve"> and FPG compared to placebo with pioglitazone (Table </w:t>
      </w:r>
      <w:r w:rsidR="003C15D9" w:rsidRPr="000301BB">
        <w:t>3</w:t>
      </w:r>
      <w:r w:rsidRPr="000301BB">
        <w:t xml:space="preserve">). </w:t>
      </w:r>
      <w:r w:rsidR="007F36E0" w:rsidRPr="000301BB">
        <w:t xml:space="preserve"> </w:t>
      </w:r>
      <w:r w:rsidRPr="000301BB">
        <w:t>The improvement in HbA</w:t>
      </w:r>
      <w:r w:rsidRPr="000301BB">
        <w:rPr>
          <w:vertAlign w:val="subscript"/>
        </w:rPr>
        <w:t>1c</w:t>
      </w:r>
      <w:r w:rsidRPr="000301BB">
        <w:t xml:space="preserve"> compared to placebo was not affected by baseline HbA</w:t>
      </w:r>
      <w:r w:rsidRPr="000301BB">
        <w:rPr>
          <w:vertAlign w:val="subscript"/>
        </w:rPr>
        <w:t>1c</w:t>
      </w:r>
      <w:r w:rsidRPr="000301BB">
        <w:t>, prior antihyperglycaemic therapy, gender, age, race, baseline BMI, length of time since diagnosis of diabetes, presence of metabolic syndrome, or standard indices of insulin resistance (HOMA</w:t>
      </w:r>
      <w:r w:rsidRPr="000301BB">
        <w:noBreakHyphen/>
        <w:t>IR) or insulin secretion (HOMA</w:t>
      </w:r>
      <w:r w:rsidRPr="000301BB">
        <w:noBreakHyphen/>
        <w:t>β).</w:t>
      </w:r>
      <w:r w:rsidRPr="000301BB">
        <w:rPr>
          <w:lang w:eastAsia="ja-JP"/>
        </w:rPr>
        <w:t xml:space="preserve">  </w:t>
      </w:r>
      <w:r w:rsidRPr="000301BB">
        <w:t>Compared to patients taking placebo, patients taking sitagliptin demonstrated a slight decrease in TG.  There was no significant difference between sitagliptin and placebo in body weight change.  Twelve of 175 patients (7%) randomised to sitagliptin and 25 of 178 patients (14%) randomised to placebo required metformin “rescue”.</w:t>
      </w:r>
    </w:p>
    <w:p w:rsidR="0082412B" w:rsidRPr="000301BB" w:rsidRDefault="0082412B" w:rsidP="00263C5B">
      <w:pPr>
        <w:keepNext/>
        <w:keepLines/>
        <w:spacing w:before="20" w:after="20"/>
        <w:rPr>
          <w:b/>
          <w:sz w:val="20"/>
          <w:szCs w:val="20"/>
          <w:vertAlign w:val="superscript"/>
        </w:rPr>
      </w:pPr>
      <w:r w:rsidRPr="000301BB">
        <w:rPr>
          <w:b/>
          <w:sz w:val="20"/>
          <w:szCs w:val="20"/>
        </w:rPr>
        <w:t>Table </w:t>
      </w:r>
      <w:proofErr w:type="gramStart"/>
      <w:r w:rsidR="003C15D9" w:rsidRPr="000301BB">
        <w:rPr>
          <w:b/>
          <w:sz w:val="20"/>
          <w:szCs w:val="20"/>
        </w:rPr>
        <w:t xml:space="preserve">3  </w:t>
      </w:r>
      <w:r w:rsidRPr="000301BB">
        <w:rPr>
          <w:b/>
          <w:sz w:val="20"/>
          <w:szCs w:val="20"/>
        </w:rPr>
        <w:t>Glyc</w:t>
      </w:r>
      <w:r w:rsidR="00F33A28" w:rsidRPr="000301BB">
        <w:rPr>
          <w:b/>
          <w:sz w:val="20"/>
          <w:szCs w:val="20"/>
        </w:rPr>
        <w:t>a</w:t>
      </w:r>
      <w:r w:rsidRPr="000301BB">
        <w:rPr>
          <w:b/>
          <w:sz w:val="20"/>
          <w:szCs w:val="20"/>
        </w:rPr>
        <w:t>emic</w:t>
      </w:r>
      <w:proofErr w:type="gramEnd"/>
      <w:r w:rsidRPr="000301BB">
        <w:rPr>
          <w:b/>
          <w:sz w:val="20"/>
          <w:szCs w:val="20"/>
        </w:rPr>
        <w:t xml:space="preserve"> Parameters and Body Weight at Final Visit (24</w:t>
      </w:r>
      <w:r w:rsidRPr="000301BB">
        <w:rPr>
          <w:b/>
          <w:sz w:val="20"/>
          <w:szCs w:val="20"/>
        </w:rPr>
        <w:noBreakHyphen/>
        <w:t>Week Study)</w:t>
      </w:r>
      <w:r w:rsidR="00F33A28" w:rsidRPr="000301BB">
        <w:rPr>
          <w:b/>
          <w:sz w:val="20"/>
          <w:szCs w:val="20"/>
        </w:rPr>
        <w:t xml:space="preserve"> </w:t>
      </w:r>
      <w:r w:rsidRPr="000301BB">
        <w:rPr>
          <w:b/>
          <w:sz w:val="20"/>
          <w:szCs w:val="20"/>
        </w:rPr>
        <w:t xml:space="preserve">for Sitagliptin </w:t>
      </w:r>
      <w:r w:rsidR="0068149E" w:rsidRPr="000301BB">
        <w:rPr>
          <w:b/>
          <w:sz w:val="20"/>
          <w:szCs w:val="20"/>
        </w:rPr>
        <w:t>in</w:t>
      </w:r>
      <w:r w:rsidRPr="000301BB">
        <w:rPr>
          <w:b/>
          <w:sz w:val="20"/>
          <w:szCs w:val="20"/>
        </w:rPr>
        <w:t xml:space="preserve"> Combination with Pioglitazone</w:t>
      </w:r>
      <w:r w:rsidRPr="000301BB">
        <w:rPr>
          <w:b/>
          <w:sz w:val="20"/>
          <w:szCs w:val="20"/>
          <w:vertAlign w:val="superscript"/>
        </w:rPr>
        <w:t>†</w:t>
      </w:r>
      <w:r w:rsidR="0068149E" w:rsidRPr="000301BB">
        <w:rPr>
          <w:b/>
          <w:sz w:val="20"/>
          <w:szCs w:val="20"/>
        </w:rPr>
        <w:t xml:space="preserve"> - Primary (HbA</w:t>
      </w:r>
      <w:r w:rsidR="0068149E" w:rsidRPr="000301BB">
        <w:rPr>
          <w:b/>
          <w:sz w:val="20"/>
          <w:szCs w:val="20"/>
          <w:vertAlign w:val="subscript"/>
        </w:rPr>
        <w:t>1C</w:t>
      </w:r>
      <w:r w:rsidR="0068149E" w:rsidRPr="000301BB">
        <w:rPr>
          <w:b/>
          <w:sz w:val="20"/>
          <w:szCs w:val="20"/>
        </w:rPr>
        <w:t>) and Secondary Outcomes</w:t>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425"/>
        <w:gridCol w:w="2595"/>
        <w:gridCol w:w="1980"/>
      </w:tblGrid>
      <w:tr w:rsidR="0082412B" w:rsidRPr="000301BB" w:rsidTr="003D68EE">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Sitagliptin 100 mg +</w:t>
            </w:r>
            <w:r w:rsidR="00315E76" w:rsidRPr="000301BB">
              <w:rPr>
                <w:b/>
                <w:sz w:val="20"/>
                <w:szCs w:val="20"/>
              </w:rPr>
              <w:t xml:space="preserve"> </w:t>
            </w:r>
            <w:r w:rsidRPr="000301BB">
              <w:rPr>
                <w:b/>
                <w:sz w:val="20"/>
                <w:szCs w:val="20"/>
              </w:rPr>
              <w:t>Pioglitazone</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Placebo + Pioglitazone</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sz w:val="20"/>
                <w:szCs w:val="20"/>
              </w:rPr>
            </w:pPr>
            <w:r w:rsidRPr="000301BB">
              <w:rPr>
                <w:b/>
                <w:sz w:val="20"/>
                <w:szCs w:val="20"/>
              </w:rPr>
              <w:t>HbA</w:t>
            </w:r>
            <w:r w:rsidRPr="000301BB">
              <w:rPr>
                <w:b/>
                <w:sz w:val="20"/>
                <w:szCs w:val="20"/>
                <w:vertAlign w:val="subscript"/>
              </w:rPr>
              <w:t>1c</w:t>
            </w:r>
            <w:r w:rsidRPr="000301BB">
              <w:rPr>
                <w:b/>
                <w:sz w:val="20"/>
                <w:szCs w:val="20"/>
              </w:rPr>
              <w:t xml:space="preserve"> (%)</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163</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174</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Baseline (mean)</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8.05</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8.00</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Change from baseline (adjusted mean</w:t>
            </w:r>
            <w:r w:rsidRPr="000301BB">
              <w:rPr>
                <w:sz w:val="20"/>
                <w:szCs w:val="20"/>
                <w:vertAlign w:val="superscript"/>
              </w:rPr>
              <w:t>‡</w:t>
            </w:r>
            <w:r w:rsidRPr="000301BB">
              <w:rPr>
                <w:sz w:val="20"/>
                <w:szCs w:val="20"/>
              </w:rPr>
              <w:t>)</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-0.85</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-0.15</w:t>
            </w:r>
          </w:p>
        </w:tc>
      </w:tr>
      <w:tr w:rsidR="0082412B" w:rsidRPr="000301BB" w:rsidTr="003D68EE">
        <w:trPr>
          <w:trHeight w:hRule="exact" w:val="289"/>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Difference from placebo + pioglitazone (adjusted mean</w:t>
            </w:r>
            <w:r w:rsidRPr="000301BB">
              <w:rPr>
                <w:sz w:val="20"/>
                <w:szCs w:val="20"/>
                <w:vertAlign w:val="superscript"/>
              </w:rPr>
              <w:t>‡</w:t>
            </w:r>
            <w:r w:rsidRPr="000301BB">
              <w:rPr>
                <w:sz w:val="20"/>
                <w:szCs w:val="20"/>
              </w:rPr>
              <w:t>)</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-0.70</w:t>
            </w:r>
            <w:r w:rsidRPr="000301BB">
              <w:rPr>
                <w:sz w:val="20"/>
                <w:szCs w:val="20"/>
                <w:vertAlign w:val="superscript"/>
              </w:rPr>
              <w:t>§</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 xml:space="preserve">Patients (%) achieving </w:t>
            </w:r>
            <w:r w:rsidRPr="000301BB">
              <w:rPr>
                <w:color w:val="000000"/>
                <w:sz w:val="20"/>
                <w:szCs w:val="20"/>
              </w:rPr>
              <w:t>HbA</w:t>
            </w:r>
            <w:r w:rsidRPr="000301BB">
              <w:rPr>
                <w:color w:val="000000"/>
                <w:sz w:val="20"/>
                <w:szCs w:val="20"/>
                <w:vertAlign w:val="subscript"/>
              </w:rPr>
              <w:t>1c</w:t>
            </w:r>
            <w:r w:rsidRPr="000301BB">
              <w:rPr>
                <w:sz w:val="20"/>
                <w:szCs w:val="20"/>
              </w:rPr>
              <w:t xml:space="preserve"> &lt;7%</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color w:val="000000"/>
                <w:sz w:val="20"/>
                <w:szCs w:val="20"/>
              </w:rPr>
            </w:pPr>
            <w:r w:rsidRPr="000301BB">
              <w:rPr>
                <w:color w:val="000000"/>
                <w:sz w:val="20"/>
                <w:szCs w:val="20"/>
              </w:rPr>
              <w:t>74 (45.4)</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color w:val="000000"/>
                <w:sz w:val="20"/>
                <w:szCs w:val="20"/>
              </w:rPr>
            </w:pPr>
            <w:r w:rsidRPr="000301BB">
              <w:rPr>
                <w:color w:val="000000"/>
                <w:sz w:val="20"/>
                <w:szCs w:val="20"/>
              </w:rPr>
              <w:t>40 (23.0)</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sz w:val="20"/>
                <w:szCs w:val="20"/>
              </w:rPr>
            </w:pPr>
            <w:r w:rsidRPr="000301BB">
              <w:rPr>
                <w:b/>
                <w:sz w:val="20"/>
                <w:szCs w:val="20"/>
              </w:rPr>
              <w:t>FPG (m</w:t>
            </w:r>
            <w:r w:rsidR="00203A83" w:rsidRPr="000301BB">
              <w:rPr>
                <w:b/>
                <w:sz w:val="20"/>
                <w:szCs w:val="20"/>
              </w:rPr>
              <w:t>mol</w:t>
            </w:r>
            <w:r w:rsidRPr="000301BB">
              <w:rPr>
                <w:b/>
                <w:sz w:val="20"/>
                <w:szCs w:val="20"/>
              </w:rPr>
              <w:t xml:space="preserve">/L) </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163</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174</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 xml:space="preserve">Baseline (mean) </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203A83" w:rsidP="00263C5B">
            <w:pPr>
              <w:keepNext/>
              <w:keepLines/>
              <w:spacing w:before="20" w:after="20"/>
              <w:jc w:val="center"/>
              <w:rPr>
                <w:sz w:val="20"/>
                <w:szCs w:val="20"/>
              </w:rPr>
            </w:pPr>
            <w:r w:rsidRPr="000301BB">
              <w:rPr>
                <w:sz w:val="20"/>
                <w:szCs w:val="20"/>
              </w:rPr>
              <w:t>9.34</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203A83" w:rsidP="00263C5B">
            <w:pPr>
              <w:keepNext/>
              <w:keepLines/>
              <w:spacing w:before="20" w:after="20"/>
              <w:jc w:val="center"/>
              <w:rPr>
                <w:sz w:val="20"/>
                <w:szCs w:val="20"/>
              </w:rPr>
            </w:pPr>
            <w:r w:rsidRPr="000301BB">
              <w:rPr>
                <w:sz w:val="20"/>
                <w:szCs w:val="20"/>
              </w:rPr>
              <w:t>9.19</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Change from baseline (adjusted mean</w:t>
            </w:r>
            <w:r w:rsidRPr="000301BB">
              <w:rPr>
                <w:sz w:val="20"/>
                <w:szCs w:val="20"/>
                <w:vertAlign w:val="superscript"/>
              </w:rPr>
              <w:t>‡</w:t>
            </w:r>
            <w:r w:rsidRPr="000301BB">
              <w:rPr>
                <w:sz w:val="20"/>
                <w:szCs w:val="20"/>
              </w:rPr>
              <w:t>)</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w:t>
            </w:r>
            <w:r w:rsidR="00203A83" w:rsidRPr="000301BB">
              <w:rPr>
                <w:sz w:val="20"/>
                <w:szCs w:val="20"/>
              </w:rPr>
              <w:t>0.93</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203A83" w:rsidP="00263C5B">
            <w:pPr>
              <w:keepNext/>
              <w:keepLines/>
              <w:spacing w:before="20" w:after="20"/>
              <w:jc w:val="center"/>
              <w:rPr>
                <w:sz w:val="20"/>
                <w:szCs w:val="20"/>
              </w:rPr>
            </w:pPr>
            <w:r w:rsidRPr="000301BB">
              <w:rPr>
                <w:sz w:val="20"/>
                <w:szCs w:val="20"/>
              </w:rPr>
              <w:t>0.06</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Difference from placebo + pioglitazone (adjusted mean</w:t>
            </w:r>
            <w:r w:rsidRPr="000301BB">
              <w:rPr>
                <w:sz w:val="20"/>
                <w:szCs w:val="20"/>
                <w:vertAlign w:val="superscript"/>
              </w:rPr>
              <w:t>‡</w:t>
            </w:r>
            <w:r w:rsidRPr="000301BB">
              <w:rPr>
                <w:sz w:val="20"/>
                <w:szCs w:val="20"/>
              </w:rPr>
              <w:t>)</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w:t>
            </w:r>
            <w:r w:rsidR="00203A83" w:rsidRPr="000301BB">
              <w:rPr>
                <w:sz w:val="20"/>
                <w:szCs w:val="20"/>
              </w:rPr>
              <w:t>0.98</w:t>
            </w:r>
            <w:r w:rsidRPr="000301BB">
              <w:rPr>
                <w:sz w:val="20"/>
                <w:szCs w:val="20"/>
                <w:vertAlign w:val="superscript"/>
              </w:rPr>
              <w:t>§</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84" w:hanging="184"/>
              <w:rPr>
                <w:b/>
                <w:sz w:val="20"/>
                <w:szCs w:val="20"/>
              </w:rPr>
            </w:pPr>
            <w:r w:rsidRPr="000301BB">
              <w:rPr>
                <w:b/>
                <w:sz w:val="20"/>
                <w:szCs w:val="20"/>
              </w:rPr>
              <w:t>Body Weight (kg)</w:t>
            </w:r>
            <w:r w:rsidRPr="000301BB">
              <w:rPr>
                <w:sz w:val="20"/>
                <w:szCs w:val="20"/>
                <w:vertAlign w:val="superscript"/>
              </w:rPr>
              <w:sym w:font="Math Ext" w:char="F025"/>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133</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 = 136</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Baseline (mean)</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90.0</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85.6</w:t>
            </w:r>
          </w:p>
        </w:tc>
      </w:tr>
      <w:tr w:rsidR="0082412B" w:rsidRPr="000301BB" w:rsidTr="003D68EE">
        <w:trPr>
          <w:trHeight w:hRule="exact" w:val="288"/>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Change from baseline (adjusted mean</w:t>
            </w:r>
            <w:r w:rsidRPr="000301BB">
              <w:rPr>
                <w:sz w:val="20"/>
                <w:szCs w:val="20"/>
                <w:vertAlign w:val="superscript"/>
              </w:rPr>
              <w:t>‡</w:t>
            </w:r>
            <w:r w:rsidRPr="000301BB">
              <w:rPr>
                <w:sz w:val="20"/>
                <w:szCs w:val="20"/>
              </w:rPr>
              <w:t>)</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1.8</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1.5</w:t>
            </w:r>
          </w:p>
        </w:tc>
      </w:tr>
      <w:tr w:rsidR="0082412B" w:rsidRPr="000301BB" w:rsidTr="003D68EE">
        <w:trPr>
          <w:trHeight w:hRule="exact" w:val="289"/>
        </w:trPr>
        <w:tc>
          <w:tcPr>
            <w:tcW w:w="442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sz w:val="20"/>
                <w:szCs w:val="20"/>
              </w:rPr>
            </w:pPr>
            <w:r w:rsidRPr="000301BB">
              <w:rPr>
                <w:sz w:val="20"/>
                <w:szCs w:val="20"/>
              </w:rPr>
              <w:t>Difference from placebo + pioglitazone (adjusted mean</w:t>
            </w:r>
            <w:r w:rsidRPr="000301BB">
              <w:rPr>
                <w:sz w:val="20"/>
                <w:szCs w:val="20"/>
                <w:vertAlign w:val="superscript"/>
              </w:rPr>
              <w:t>‡</w:t>
            </w:r>
            <w:r w:rsidRPr="000301BB">
              <w:rPr>
                <w:sz w:val="20"/>
                <w:szCs w:val="20"/>
              </w:rPr>
              <w:t>)</w:t>
            </w:r>
          </w:p>
        </w:tc>
        <w:tc>
          <w:tcPr>
            <w:tcW w:w="2595"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0.2</w:t>
            </w:r>
            <w:r w:rsidRPr="000301BB">
              <w:rPr>
                <w:sz w:val="20"/>
                <w:szCs w:val="20"/>
                <w:vertAlign w:val="superscript"/>
              </w:rPr>
              <w:t>¶</w:t>
            </w:r>
          </w:p>
        </w:tc>
        <w:tc>
          <w:tcPr>
            <w:tcW w:w="198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bl>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t>†</w:t>
      </w:r>
      <w:r w:rsidR="00BD7D99" w:rsidRPr="000301BB">
        <w:rPr>
          <w:bCs w:val="0"/>
          <w:sz w:val="20"/>
          <w:szCs w:val="20"/>
        </w:rPr>
        <w:tab/>
      </w:r>
      <w:r w:rsidRPr="000301BB">
        <w:rPr>
          <w:bCs w:val="0"/>
          <w:sz w:val="20"/>
          <w:szCs w:val="20"/>
        </w:rPr>
        <w:t>All Patients Treated Population (an intention-to-treat analysis).</w:t>
      </w:r>
    </w:p>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lastRenderedPageBreak/>
        <w:t>‡</w:t>
      </w:r>
      <w:r w:rsidR="00BD7D99" w:rsidRPr="000301BB">
        <w:rPr>
          <w:bCs w:val="0"/>
          <w:sz w:val="20"/>
          <w:szCs w:val="20"/>
        </w:rPr>
        <w:tab/>
      </w:r>
      <w:r w:rsidRPr="000301BB">
        <w:rPr>
          <w:bCs w:val="0"/>
          <w:sz w:val="20"/>
          <w:szCs w:val="20"/>
        </w:rPr>
        <w:t>Least squares means adjusted for prior antihyperglyc</w:t>
      </w:r>
      <w:r w:rsidR="00F33A28" w:rsidRPr="000301BB">
        <w:rPr>
          <w:bCs w:val="0"/>
          <w:sz w:val="20"/>
          <w:szCs w:val="20"/>
        </w:rPr>
        <w:t>a</w:t>
      </w:r>
      <w:r w:rsidRPr="000301BB">
        <w:rPr>
          <w:bCs w:val="0"/>
          <w:sz w:val="20"/>
          <w:szCs w:val="20"/>
        </w:rPr>
        <w:t>emic therapy status and baseline value.</w:t>
      </w:r>
    </w:p>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t>§</w:t>
      </w:r>
      <w:r w:rsidR="00BD7D99" w:rsidRPr="000301BB">
        <w:rPr>
          <w:bCs w:val="0"/>
          <w:sz w:val="20"/>
          <w:szCs w:val="20"/>
        </w:rPr>
        <w:tab/>
      </w:r>
      <w:r w:rsidRPr="000301BB">
        <w:rPr>
          <w:bCs w:val="0"/>
          <w:sz w:val="20"/>
          <w:szCs w:val="20"/>
        </w:rPr>
        <w:t>p&lt;0.001 compared to placebo + pioglitazone.</w:t>
      </w:r>
    </w:p>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sym w:font="Math Ext" w:char="F025"/>
      </w:r>
      <w:r w:rsidR="00BD7D99" w:rsidRPr="000301BB">
        <w:rPr>
          <w:bCs w:val="0"/>
          <w:sz w:val="20"/>
          <w:szCs w:val="20"/>
        </w:rPr>
        <w:tab/>
      </w:r>
      <w:r w:rsidRPr="000301BB">
        <w:rPr>
          <w:bCs w:val="0"/>
          <w:sz w:val="20"/>
          <w:szCs w:val="20"/>
        </w:rPr>
        <w:t>All Patients as Treated (APaT) population, excluding data following</w:t>
      </w:r>
      <w:r w:rsidRPr="000301BB" w:rsidDel="00B45CA5">
        <w:rPr>
          <w:bCs w:val="0"/>
          <w:sz w:val="20"/>
          <w:szCs w:val="20"/>
        </w:rPr>
        <w:t xml:space="preserve"> </w:t>
      </w:r>
      <w:r w:rsidRPr="000301BB">
        <w:rPr>
          <w:bCs w:val="0"/>
          <w:sz w:val="20"/>
          <w:szCs w:val="20"/>
        </w:rPr>
        <w:t>glyc</w:t>
      </w:r>
      <w:r w:rsidR="00F33A28" w:rsidRPr="000301BB">
        <w:rPr>
          <w:bCs w:val="0"/>
          <w:sz w:val="20"/>
          <w:szCs w:val="20"/>
        </w:rPr>
        <w:t>a</w:t>
      </w:r>
      <w:r w:rsidRPr="000301BB">
        <w:rPr>
          <w:bCs w:val="0"/>
          <w:sz w:val="20"/>
          <w:szCs w:val="20"/>
        </w:rPr>
        <w:t>emic rescue therapy.</w:t>
      </w:r>
    </w:p>
    <w:p w:rsidR="0082412B" w:rsidRPr="000301BB" w:rsidRDefault="0082412B" w:rsidP="00BD7D99">
      <w:pPr>
        <w:spacing w:before="20" w:after="20"/>
        <w:ind w:left="181" w:right="28" w:hanging="181"/>
        <w:rPr>
          <w:bCs w:val="0"/>
          <w:sz w:val="20"/>
          <w:szCs w:val="20"/>
        </w:rPr>
      </w:pPr>
      <w:r w:rsidRPr="000301BB">
        <w:rPr>
          <w:bCs w:val="0"/>
          <w:sz w:val="20"/>
          <w:szCs w:val="20"/>
          <w:vertAlign w:val="superscript"/>
        </w:rPr>
        <w:t>¶</w:t>
      </w:r>
      <w:r w:rsidR="00BD7D99" w:rsidRPr="000301BB">
        <w:rPr>
          <w:bCs w:val="0"/>
          <w:sz w:val="20"/>
          <w:szCs w:val="20"/>
        </w:rPr>
        <w:tab/>
      </w:r>
      <w:proofErr w:type="gramStart"/>
      <w:r w:rsidRPr="000301BB">
        <w:rPr>
          <w:bCs w:val="0"/>
          <w:sz w:val="20"/>
          <w:szCs w:val="20"/>
        </w:rPr>
        <w:t>Not</w:t>
      </w:r>
      <w:proofErr w:type="gramEnd"/>
      <w:r w:rsidRPr="000301BB">
        <w:rPr>
          <w:bCs w:val="0"/>
          <w:sz w:val="20"/>
          <w:szCs w:val="20"/>
        </w:rPr>
        <w:t xml:space="preserve"> statistically significant (p</w:t>
      </w:r>
      <w:r w:rsidRPr="000301BB">
        <w:rPr>
          <w:bCs w:val="0"/>
          <w:sz w:val="20"/>
          <w:szCs w:val="20"/>
        </w:rPr>
        <w:sym w:font="Symbol" w:char="F0B3"/>
      </w:r>
      <w:r w:rsidRPr="000301BB">
        <w:rPr>
          <w:bCs w:val="0"/>
          <w:sz w:val="20"/>
          <w:szCs w:val="20"/>
        </w:rPr>
        <w:t>0.05) compared to placebo + pioglitazone.</w:t>
      </w:r>
    </w:p>
    <w:p w:rsidR="0082412B" w:rsidRPr="000301BB" w:rsidRDefault="0082412B" w:rsidP="00782CB0">
      <w:pPr>
        <w:pStyle w:val="Heading3"/>
      </w:pPr>
      <w:r w:rsidRPr="000301BB">
        <w:t>Simvastatin</w:t>
      </w:r>
    </w:p>
    <w:p w:rsidR="0082412B" w:rsidRPr="000301BB" w:rsidRDefault="0082412B" w:rsidP="00782CB0">
      <w:pPr>
        <w:pStyle w:val="Heading4"/>
      </w:pPr>
      <w:r w:rsidRPr="000301BB">
        <w:t>Coronary Heart Disease</w:t>
      </w:r>
      <w:r w:rsidR="00094F05" w:rsidRPr="000301BB">
        <w:t xml:space="preserve"> (CHD)</w:t>
      </w:r>
    </w:p>
    <w:p w:rsidR="0082412B" w:rsidRPr="000301BB" w:rsidRDefault="0082412B" w:rsidP="0082412B">
      <w:pPr>
        <w:ind w:right="43"/>
        <w:rPr>
          <w:iCs/>
        </w:rPr>
      </w:pPr>
      <w:r w:rsidRPr="000301BB">
        <w:rPr>
          <w:iCs/>
        </w:rPr>
        <w:t>In two large, placebo-controlled clinical trials, the Scandinavian Simvastatin Survival Study (</w:t>
      </w:r>
      <w:r w:rsidR="00753C2D" w:rsidRPr="000301BB">
        <w:rPr>
          <w:iCs/>
        </w:rPr>
        <w:t xml:space="preserve">4S, </w:t>
      </w:r>
      <w:r w:rsidRPr="000301BB">
        <w:rPr>
          <w:iCs/>
        </w:rPr>
        <w:t>N=4</w:t>
      </w:r>
      <w:r w:rsidR="00625272" w:rsidRPr="000301BB">
        <w:rPr>
          <w:iCs/>
        </w:rPr>
        <w:t>,</w:t>
      </w:r>
      <w:r w:rsidRPr="000301BB">
        <w:rPr>
          <w:iCs/>
        </w:rPr>
        <w:t>444 patients) and the Heart Protection Study (</w:t>
      </w:r>
      <w:r w:rsidR="00753C2D" w:rsidRPr="000301BB">
        <w:rPr>
          <w:iCs/>
        </w:rPr>
        <w:t xml:space="preserve">HPS, </w:t>
      </w:r>
      <w:r w:rsidRPr="000301BB">
        <w:rPr>
          <w:iCs/>
        </w:rPr>
        <w:t>N=20</w:t>
      </w:r>
      <w:r w:rsidR="00625272" w:rsidRPr="000301BB">
        <w:rPr>
          <w:iCs/>
        </w:rPr>
        <w:t>,</w:t>
      </w:r>
      <w:r w:rsidRPr="000301BB">
        <w:rPr>
          <w:iCs/>
        </w:rPr>
        <w:t>536 patients), the effects of treatment with simvastatin were assessed in patients at high risk of coronary events because of existing coronary heart disease, diabetes, peripheral vessel disease, history of stroke or other cerebrovascular disease.</w:t>
      </w:r>
      <w:r w:rsidR="001008C7" w:rsidRPr="000301BB">
        <w:rPr>
          <w:iCs/>
        </w:rPr>
        <w:t xml:space="preserve"> </w:t>
      </w:r>
      <w:r w:rsidRPr="000301BB">
        <w:rPr>
          <w:iCs/>
        </w:rPr>
        <w:t xml:space="preserve"> Simvastatin was proven to reduce: the risk of total mortality by reducing CHD deaths; the risk of non-fatal myocardial infarction</w:t>
      </w:r>
      <w:r w:rsidR="007E32F6" w:rsidRPr="000301BB">
        <w:rPr>
          <w:iCs/>
        </w:rPr>
        <w:t xml:space="preserve"> (MI)</w:t>
      </w:r>
      <w:r w:rsidRPr="000301BB">
        <w:rPr>
          <w:iCs/>
        </w:rPr>
        <w:t xml:space="preserve"> and stroke; and the need for coronary and non-coronary revasculari</w:t>
      </w:r>
      <w:r w:rsidR="00435B90" w:rsidRPr="000301BB">
        <w:rPr>
          <w:iCs/>
        </w:rPr>
        <w:t>s</w:t>
      </w:r>
      <w:r w:rsidRPr="000301BB">
        <w:rPr>
          <w:iCs/>
        </w:rPr>
        <w:t>ation procedures.</w:t>
      </w:r>
    </w:p>
    <w:p w:rsidR="0082412B" w:rsidRPr="000301BB" w:rsidRDefault="0082412B" w:rsidP="00782CB0">
      <w:pPr>
        <w:spacing w:before="100" w:beforeAutospacing="1" w:after="100" w:afterAutospacing="1"/>
        <w:ind w:right="45"/>
      </w:pPr>
      <w:r w:rsidRPr="000301BB">
        <w:t>In 4S, the effect of therapy with simvastatin on total mortality was assessed in 4</w:t>
      </w:r>
      <w:r w:rsidR="00625272" w:rsidRPr="000301BB">
        <w:t>,</w:t>
      </w:r>
      <w:r w:rsidRPr="000301BB">
        <w:t>444 patients with CHD and baseline total cholesterol 5.5</w:t>
      </w:r>
      <w:r w:rsidRPr="000301BB">
        <w:noBreakHyphen/>
        <w:t xml:space="preserve">8.0 mmol/L. </w:t>
      </w:r>
      <w:r w:rsidR="001008C7" w:rsidRPr="000301BB">
        <w:t xml:space="preserve"> </w:t>
      </w:r>
      <w:r w:rsidRPr="000301BB">
        <w:t>In this multicenter, randomi</w:t>
      </w:r>
      <w:r w:rsidR="00675984" w:rsidRPr="000301BB">
        <w:t>s</w:t>
      </w:r>
      <w:r w:rsidRPr="000301BB">
        <w:t>ed, double-blind, placebo-controlled study, patients with angina or a previous MI were treated with diet, standard care, and either simvastatin 20-40 mg/day (n=2</w:t>
      </w:r>
      <w:r w:rsidR="00625272" w:rsidRPr="000301BB">
        <w:t>,</w:t>
      </w:r>
      <w:r w:rsidRPr="000301BB">
        <w:t>221) or placebo (n=2</w:t>
      </w:r>
      <w:r w:rsidR="00625272" w:rsidRPr="000301BB">
        <w:t>,</w:t>
      </w:r>
      <w:r w:rsidRPr="000301BB">
        <w:t xml:space="preserve">223) for a median duration of 5.4 years. </w:t>
      </w:r>
      <w:r w:rsidR="001008C7" w:rsidRPr="000301BB">
        <w:t xml:space="preserve"> </w:t>
      </w:r>
      <w:r w:rsidR="00753C2D" w:rsidRPr="000301BB">
        <w:t xml:space="preserve">Eighty-two percent (82%) of the subjects were male.  </w:t>
      </w:r>
      <w:r w:rsidRPr="000301BB">
        <w:t>Over the course of the study, treatment with simvastatin led to mean reductions in total</w:t>
      </w:r>
      <w:r w:rsidRPr="000301BB">
        <w:noBreakHyphen/>
        <w:t>C, LDL</w:t>
      </w:r>
      <w:r w:rsidRPr="000301BB">
        <w:noBreakHyphen/>
        <w:t>C, and TG of 25%, 35%, and 10%, respectively, and a mean increase in HDL</w:t>
      </w:r>
      <w:r w:rsidRPr="000301BB">
        <w:noBreakHyphen/>
        <w:t xml:space="preserve">C of 8%. </w:t>
      </w:r>
      <w:r w:rsidR="001008C7" w:rsidRPr="000301BB">
        <w:t xml:space="preserve"> </w:t>
      </w:r>
      <w:r w:rsidRPr="000301BB">
        <w:t xml:space="preserve">Simvastatin reduced the risk of death by 30%, </w:t>
      </w:r>
      <w:r w:rsidR="00770954" w:rsidRPr="000301BB">
        <w:t>95% confidence interval</w:t>
      </w:r>
      <w:r w:rsidR="008E4835" w:rsidRPr="000301BB">
        <w:t xml:space="preserve"> (CI)</w:t>
      </w:r>
      <w:r w:rsidR="00770954" w:rsidRPr="000301BB">
        <w:t xml:space="preserve"> 15</w:t>
      </w:r>
      <w:r w:rsidR="00770954" w:rsidRPr="000301BB">
        <w:noBreakHyphen/>
        <w:t xml:space="preserve">42%, </w:t>
      </w:r>
      <w:r w:rsidRPr="000301BB">
        <w:t xml:space="preserve">p=0.0003 (182 deaths in the simvastatin group vs 256 deaths in the placebo group). </w:t>
      </w:r>
      <w:r w:rsidR="001008C7" w:rsidRPr="000301BB">
        <w:t xml:space="preserve"> </w:t>
      </w:r>
      <w:r w:rsidRPr="000301BB">
        <w:t xml:space="preserve">The risk of CHD death was reduced by 42%, </w:t>
      </w:r>
      <w:r w:rsidR="00202978" w:rsidRPr="000301BB">
        <w:t>95%</w:t>
      </w:r>
      <w:r w:rsidR="008E4835" w:rsidRPr="000301BB">
        <w:t xml:space="preserve"> CI 27-54%,</w:t>
      </w:r>
      <w:r w:rsidR="00202978" w:rsidRPr="000301BB">
        <w:t xml:space="preserve"> </w:t>
      </w:r>
      <w:r w:rsidRPr="000301BB">
        <w:t xml:space="preserve">p=0.00001 (111 vs 189 deaths). </w:t>
      </w:r>
      <w:r w:rsidR="001008C7" w:rsidRPr="000301BB">
        <w:t xml:space="preserve"> </w:t>
      </w:r>
      <w:r w:rsidRPr="000301BB">
        <w:t>Simvastatin also decreased the risk of having major coronary events (CHD death plus hospital-verified and silent non</w:t>
      </w:r>
      <w:r w:rsidR="007004F5" w:rsidRPr="000301BB">
        <w:t>-</w:t>
      </w:r>
      <w:r w:rsidRPr="000301BB">
        <w:t xml:space="preserve">fatal MI) by 34%, </w:t>
      </w:r>
      <w:r w:rsidR="007004F5" w:rsidRPr="000301BB">
        <w:t xml:space="preserve">95% CI 25-41%, </w:t>
      </w:r>
      <w:r w:rsidRPr="000301BB">
        <w:t xml:space="preserve">p&lt;0.00001 (431 vs 622 patients with one or more events). </w:t>
      </w:r>
      <w:r w:rsidR="001008C7" w:rsidRPr="000301BB">
        <w:t xml:space="preserve"> </w:t>
      </w:r>
      <w:r w:rsidRPr="000301BB">
        <w:t>The risk of having a hospital-verified non</w:t>
      </w:r>
      <w:r w:rsidR="008813D8" w:rsidRPr="000301BB">
        <w:t>-</w:t>
      </w:r>
      <w:r w:rsidRPr="000301BB">
        <w:t>fatal MI was reduced by 37%.</w:t>
      </w:r>
      <w:r w:rsidR="008813D8" w:rsidRPr="000301BB">
        <w:t xml:space="preserve"> </w:t>
      </w:r>
      <w:r w:rsidRPr="000301BB">
        <w:t xml:space="preserve"> Simvastatin reduced the risk for undergoing myocardial revasculari</w:t>
      </w:r>
      <w:r w:rsidR="00435B90" w:rsidRPr="000301BB">
        <w:t>s</w:t>
      </w:r>
      <w:r w:rsidRPr="000301BB">
        <w:t xml:space="preserve">ation procedures (coronary artery bypass grafting </w:t>
      </w:r>
      <w:r w:rsidR="002D0E64" w:rsidRPr="000301BB">
        <w:t xml:space="preserve">[CABG] </w:t>
      </w:r>
      <w:r w:rsidRPr="000301BB">
        <w:t>or percutaneous transluminal coronary angioplasty</w:t>
      </w:r>
      <w:r w:rsidR="002D0E64" w:rsidRPr="000301BB">
        <w:t xml:space="preserve"> [PTCA]</w:t>
      </w:r>
      <w:r w:rsidRPr="000301BB">
        <w:t xml:space="preserve">) by 37%, </w:t>
      </w:r>
      <w:r w:rsidR="008813D8" w:rsidRPr="000301BB">
        <w:t xml:space="preserve">95% CI 26-46%, </w:t>
      </w:r>
      <w:r w:rsidRPr="000301BB">
        <w:t xml:space="preserve">p&lt;0.00001 (252 vs 383 patients). </w:t>
      </w:r>
      <w:r w:rsidR="001008C7" w:rsidRPr="000301BB">
        <w:t xml:space="preserve"> </w:t>
      </w:r>
      <w:r w:rsidRPr="000301BB">
        <w:t>Furthermore, simvastatin significantly reduced the risk of fatal plus non</w:t>
      </w:r>
      <w:r w:rsidR="008813D8" w:rsidRPr="000301BB">
        <w:t>-</w:t>
      </w:r>
      <w:r w:rsidRPr="000301BB">
        <w:t>fatal cerebrovascular events (stroke and transient ischemic attacks</w:t>
      </w:r>
      <w:r w:rsidR="00F06322" w:rsidRPr="000301BB">
        <w:t xml:space="preserve"> [TIAs]</w:t>
      </w:r>
      <w:r w:rsidRPr="000301BB">
        <w:t xml:space="preserve">) by 28%, </w:t>
      </w:r>
      <w:r w:rsidR="008813D8" w:rsidRPr="000301BB">
        <w:t xml:space="preserve">95% CI 3-46%, </w:t>
      </w:r>
      <w:r w:rsidRPr="000301BB">
        <w:t xml:space="preserve">p=0.033 (75 vs 102 patients). </w:t>
      </w:r>
      <w:r w:rsidR="001008C7" w:rsidRPr="000301BB">
        <w:t xml:space="preserve"> </w:t>
      </w:r>
      <w:r w:rsidRPr="000301BB">
        <w:t xml:space="preserve">There was no statistically significant difference between groups in non-cardiovascular mortality. </w:t>
      </w:r>
      <w:r w:rsidR="001008C7" w:rsidRPr="000301BB">
        <w:t xml:space="preserve"> </w:t>
      </w:r>
      <w:r w:rsidRPr="000301BB">
        <w:t>Simvastatin reduced the risk of major coronary events to a similar extent across the range of baseline total and LDL</w:t>
      </w:r>
      <w:r w:rsidRPr="000301BB">
        <w:noBreakHyphen/>
        <w:t xml:space="preserve">C levels. </w:t>
      </w:r>
      <w:r w:rsidR="008813D8" w:rsidRPr="000301BB">
        <w:t xml:space="preserve"> </w:t>
      </w:r>
      <w:r w:rsidRPr="000301BB">
        <w:t xml:space="preserve">The risk of death in patients </w:t>
      </w:r>
      <w:r w:rsidRPr="000301BB">
        <w:sym w:font="Symbol" w:char="F0B3"/>
      </w:r>
      <w:r w:rsidRPr="000301BB">
        <w:t xml:space="preserve">60 years of age was decreased by 27%, and in patients </w:t>
      </w:r>
      <w:r w:rsidRPr="000301BB">
        <w:sym w:font="Symbol" w:char="F03C"/>
      </w:r>
      <w:r w:rsidRPr="000301BB">
        <w:t>60 years of age by 37%</w:t>
      </w:r>
      <w:r w:rsidR="007F36E0" w:rsidRPr="000301BB">
        <w:t>,</w:t>
      </w:r>
      <w:r w:rsidRPr="000301BB">
        <w:t xml:space="preserve"> </w:t>
      </w:r>
      <w:r w:rsidR="00461473" w:rsidRPr="000301BB">
        <w:t xml:space="preserve">95% CI 12-55% </w:t>
      </w:r>
      <w:r w:rsidRPr="000301BB">
        <w:t xml:space="preserve">(p&lt;0.01 in both age groups). </w:t>
      </w:r>
      <w:r w:rsidR="001008C7" w:rsidRPr="000301BB">
        <w:t xml:space="preserve"> </w:t>
      </w:r>
      <w:r w:rsidRPr="000301BB">
        <w:t xml:space="preserve">Because there were only 53 female deaths, the effect of simvastatin on mortality in women could not be adequately assessed. </w:t>
      </w:r>
      <w:r w:rsidR="001008C7" w:rsidRPr="000301BB">
        <w:t xml:space="preserve"> </w:t>
      </w:r>
      <w:r w:rsidRPr="000301BB">
        <w:t xml:space="preserve">However, simvastatin lessened the risk of having major coronary events by 34%, </w:t>
      </w:r>
      <w:r w:rsidR="00461473" w:rsidRPr="000301BB">
        <w:t xml:space="preserve">95% CI 9-52%, </w:t>
      </w:r>
      <w:r w:rsidRPr="000301BB">
        <w:t xml:space="preserve">p=0.012 (60 vs 91 women with one or more event). </w:t>
      </w:r>
      <w:r w:rsidR="001008C7" w:rsidRPr="000301BB">
        <w:t xml:space="preserve"> </w:t>
      </w:r>
      <w:r w:rsidR="00461473" w:rsidRPr="000301BB">
        <w:t>In a post-hoc analysis i</w:t>
      </w:r>
      <w:r w:rsidRPr="000301BB">
        <w:t>n patients with diabetes mellitus</w:t>
      </w:r>
      <w:r w:rsidR="00461473" w:rsidRPr="000301BB">
        <w:t xml:space="preserve"> and CHD,</w:t>
      </w:r>
      <w:r w:rsidRPr="000301BB">
        <w:t xml:space="preserve"> the risk of major coronary events was reduced by 55%, </w:t>
      </w:r>
      <w:r w:rsidR="00461473" w:rsidRPr="000301BB">
        <w:t xml:space="preserve">95% CI 24-73%, </w:t>
      </w:r>
      <w:r w:rsidRPr="000301BB">
        <w:t>p=0.002 (24 patients vs 44 patients).</w:t>
      </w:r>
      <w:r w:rsidR="00461473" w:rsidRPr="000301BB">
        <w:t xml:space="preserve">  Since there were only 39 deaths among diabetic patients (15 among simvastatin-treated patients and 24 among placebo treated patients), the effect of simvastatin on mortality in diabetic patients could not be adequately assessed.  It should be noted that 4S excluded patients with triglycerides &gt;2.5 mmol/L or with severe cardiac or renal disease.</w:t>
      </w:r>
    </w:p>
    <w:p w:rsidR="004B2670" w:rsidRPr="000301BB" w:rsidRDefault="004B2670" w:rsidP="00782CB0">
      <w:pPr>
        <w:spacing w:after="100" w:afterAutospacing="1"/>
      </w:pPr>
      <w:r w:rsidRPr="000301BB">
        <w:t>In the Multicenter Anti-Atheroma Study (MAAS)</w:t>
      </w:r>
      <w:r w:rsidRPr="000301BB">
        <w:rPr>
          <w:b/>
        </w:rPr>
        <w:t>,</w:t>
      </w:r>
      <w:r w:rsidRPr="000301BB">
        <w:t xml:space="preserve"> the effect of therapy with simvastatin on coronary atherosclerosis was assessed by quantitative coronary angiography in hypercholesterolaemic men and women with coronary heart disease.  In this randomised, </w:t>
      </w:r>
      <w:r w:rsidRPr="000301BB">
        <w:lastRenderedPageBreak/>
        <w:t>double-blind, controlled clinical trial, 404</w:t>
      </w:r>
      <w:r w:rsidR="00173419" w:rsidRPr="000301BB">
        <w:t> </w:t>
      </w:r>
      <w:r w:rsidRPr="000301BB">
        <w:t>patients with total-C values of 5.5 to 8.0</w:t>
      </w:r>
      <w:r w:rsidR="00173419" w:rsidRPr="000301BB">
        <w:t> </w:t>
      </w:r>
      <w:r w:rsidRPr="000301BB">
        <w:t>mmol/L and a mean baseline LDL-C value of 4.4</w:t>
      </w:r>
      <w:r w:rsidR="00173419" w:rsidRPr="000301BB">
        <w:t> </w:t>
      </w:r>
      <w:r w:rsidRPr="000301BB">
        <w:t>mmol/L were treated with conventional measures and with simvastatin 20</w:t>
      </w:r>
      <w:r w:rsidR="00173419" w:rsidRPr="000301BB">
        <w:t> </w:t>
      </w:r>
      <w:r w:rsidRPr="000301BB">
        <w:t>mg/d or placebo.  Eighty-nine percent (89%) of the subjects were male. Angiograms were evaluated at baseline, two and four years.  A total of 347</w:t>
      </w:r>
      <w:r w:rsidR="00173419" w:rsidRPr="000301BB">
        <w:t> </w:t>
      </w:r>
      <w:r w:rsidRPr="000301BB">
        <w:t xml:space="preserve">patients had a baseline angiogram and at least one follow-up angiogram.  In the patients who received placebo, coronary atherosclerotic lesions worsened in a near-linear manner.  In contrast, simvastatin significantly slowed the progression of lesions as measured in the final angiogram by the mean change per-patient in minimum (p=0.005) and mean (p=0.026) lumen diameters (co-primary endpoints, indicating focal and diffuse disease, respectively), as well as in percent diameter stenosis (p=0.003).  Simvastatin also significantly decreased the proportion of patients with new lesions (13% simvastatin vs 24% placebo, p=0.009) and with new total occlusions (5% vs 11%, p=0.04). </w:t>
      </w:r>
      <w:r w:rsidRPr="000301BB">
        <w:rPr>
          <w:b/>
        </w:rPr>
        <w:t xml:space="preserve"> </w:t>
      </w:r>
      <w:r w:rsidRPr="000301BB">
        <w:t>In interpreting these results, it is important to be aware of the limitations of angiography, which may underestimate the extent and severity of atherosclerosis.  In addition, angiography cannot be used to predict the site of future coronary occlusion.  Acute ischaemic events tend to occur not at the site of severe stenoses but at lesser stenoses which are lipid-rich, soft and more prone to rupture.  In MAAS, simvastatin slowed the progression of coronary atherosclerosis and reduced the development of both new lesions and new total occlusions, whereas coronary atherosclerotic lesions steadily worsened over four years in pa</w:t>
      </w:r>
      <w:r w:rsidR="00782CB0">
        <w:t>tients receiving standard care.</w:t>
      </w:r>
    </w:p>
    <w:p w:rsidR="0082412B" w:rsidRPr="000301BB" w:rsidRDefault="0082412B" w:rsidP="00782CB0">
      <w:pPr>
        <w:pStyle w:val="Heading4"/>
      </w:pPr>
      <w:r w:rsidRPr="000301BB">
        <w:t xml:space="preserve">High Risk of CHD or Existing </w:t>
      </w:r>
      <w:r w:rsidR="00D059CD" w:rsidRPr="000301BB">
        <w:t>CHD</w:t>
      </w:r>
    </w:p>
    <w:p w:rsidR="00CE4373" w:rsidRPr="000301BB" w:rsidRDefault="0082412B" w:rsidP="00782CB0">
      <w:pPr>
        <w:spacing w:after="100" w:afterAutospacing="1"/>
      </w:pPr>
      <w:r w:rsidRPr="000301BB">
        <w:rPr>
          <w:snapToGrid w:val="0"/>
        </w:rPr>
        <w:t>HPS was a large, multicenter, randomi</w:t>
      </w:r>
      <w:r w:rsidR="00675984" w:rsidRPr="000301BB">
        <w:rPr>
          <w:snapToGrid w:val="0"/>
        </w:rPr>
        <w:t>s</w:t>
      </w:r>
      <w:r w:rsidRPr="000301BB">
        <w:rPr>
          <w:snapToGrid w:val="0"/>
        </w:rPr>
        <w:t>ed, placebo-controlled, double-blind study with a mean duration of 5</w:t>
      </w:r>
      <w:r w:rsidR="00130B2D" w:rsidRPr="000301BB">
        <w:rPr>
          <w:snapToGrid w:val="0"/>
        </w:rPr>
        <w:t>.3</w:t>
      </w:r>
      <w:r w:rsidRPr="000301BB">
        <w:rPr>
          <w:snapToGrid w:val="0"/>
        </w:rPr>
        <w:t> years conducted in 20</w:t>
      </w:r>
      <w:r w:rsidR="00625272" w:rsidRPr="000301BB">
        <w:rPr>
          <w:snapToGrid w:val="0"/>
        </w:rPr>
        <w:t>,</w:t>
      </w:r>
      <w:r w:rsidRPr="000301BB">
        <w:rPr>
          <w:snapToGrid w:val="0"/>
        </w:rPr>
        <w:t>536 patients (10</w:t>
      </w:r>
      <w:r w:rsidR="00625272" w:rsidRPr="000301BB">
        <w:rPr>
          <w:snapToGrid w:val="0"/>
        </w:rPr>
        <w:t>,</w:t>
      </w:r>
      <w:r w:rsidRPr="000301BB">
        <w:rPr>
          <w:snapToGrid w:val="0"/>
        </w:rPr>
        <w:t xml:space="preserve">269 on </w:t>
      </w:r>
      <w:r w:rsidRPr="000301BB">
        <w:t xml:space="preserve">simvastatin </w:t>
      </w:r>
      <w:r w:rsidRPr="000301BB">
        <w:rPr>
          <w:snapToGrid w:val="0"/>
        </w:rPr>
        <w:t>40 mg and 10</w:t>
      </w:r>
      <w:r w:rsidR="00625272" w:rsidRPr="000301BB">
        <w:rPr>
          <w:snapToGrid w:val="0"/>
        </w:rPr>
        <w:t>,</w:t>
      </w:r>
      <w:r w:rsidRPr="000301BB">
        <w:rPr>
          <w:snapToGrid w:val="0"/>
        </w:rPr>
        <w:t>267 on placebo), including 5</w:t>
      </w:r>
      <w:r w:rsidR="00625272" w:rsidRPr="000301BB">
        <w:rPr>
          <w:snapToGrid w:val="0"/>
        </w:rPr>
        <w:t>,</w:t>
      </w:r>
      <w:r w:rsidRPr="000301BB">
        <w:rPr>
          <w:snapToGrid w:val="0"/>
        </w:rPr>
        <w:t>963 patients with diabetes mellitus (2</w:t>
      </w:r>
      <w:r w:rsidR="00625272" w:rsidRPr="000301BB">
        <w:rPr>
          <w:snapToGrid w:val="0"/>
        </w:rPr>
        <w:t>,</w:t>
      </w:r>
      <w:r w:rsidRPr="000301BB">
        <w:rPr>
          <w:snapToGrid w:val="0"/>
        </w:rPr>
        <w:t>978 on simvastatin and 2</w:t>
      </w:r>
      <w:r w:rsidR="00625272" w:rsidRPr="000301BB">
        <w:rPr>
          <w:snapToGrid w:val="0"/>
        </w:rPr>
        <w:t>,</w:t>
      </w:r>
      <w:r w:rsidRPr="000301BB">
        <w:rPr>
          <w:snapToGrid w:val="0"/>
        </w:rPr>
        <w:t xml:space="preserve">985 on placebo). </w:t>
      </w:r>
      <w:r w:rsidR="001008C7" w:rsidRPr="000301BB">
        <w:rPr>
          <w:snapToGrid w:val="0"/>
        </w:rPr>
        <w:t xml:space="preserve"> </w:t>
      </w:r>
      <w:r w:rsidRPr="000301BB">
        <w:rPr>
          <w:snapToGrid w:val="0"/>
        </w:rPr>
        <w:t>Patients were 40-80 years of age and at high risk of developing a major coronary event</w:t>
      </w:r>
      <w:r w:rsidR="002D0E64" w:rsidRPr="000301BB">
        <w:rPr>
          <w:snapToGrid w:val="0"/>
        </w:rPr>
        <w:t xml:space="preserve"> based on 3 main categories of past medical history:</w:t>
      </w:r>
      <w:r w:rsidRPr="000301BB">
        <w:rPr>
          <w:snapToGrid w:val="0"/>
        </w:rPr>
        <w:t xml:space="preserve"> </w:t>
      </w:r>
      <w:r w:rsidR="002D0E64" w:rsidRPr="000301BB">
        <w:rPr>
          <w:i/>
          <w:snapToGrid w:val="0"/>
        </w:rPr>
        <w:t>c</w:t>
      </w:r>
      <w:r w:rsidR="002D0E64" w:rsidRPr="000301BB">
        <w:rPr>
          <w:i/>
        </w:rPr>
        <w:t>oronary disease</w:t>
      </w:r>
      <w:r w:rsidR="002D0E64" w:rsidRPr="000301BB">
        <w:t xml:space="preserve"> (definite or probable clinical diagnosis of MI, unstable angina, stable angina, PTCA or CABG); </w:t>
      </w:r>
      <w:r w:rsidR="002D0E64" w:rsidRPr="000301BB">
        <w:rPr>
          <w:i/>
        </w:rPr>
        <w:t>occlusive disease of non-coronary arteries</w:t>
      </w:r>
      <w:r w:rsidR="002D0E64" w:rsidRPr="000301BB">
        <w:t xml:space="preserve"> (clinical, angiographic or ultrasound diagnosis of carotid artery stenosis (e.g. TIA or non-disabling stroke not thought to be haemorrhagic), carotid endarterectomy, leg artery stenosis (e.g. intermittent claudication) or surgery); or </w:t>
      </w:r>
      <w:r w:rsidR="002D0E64" w:rsidRPr="000301BB">
        <w:rPr>
          <w:i/>
        </w:rPr>
        <w:t>diabetes mellitus</w:t>
      </w:r>
      <w:r w:rsidR="002D0E64" w:rsidRPr="000301BB">
        <w:t xml:space="preserve"> (clinical diagnosis of insulin-dependent or maturity-onset diabetes).  </w:t>
      </w:r>
      <w:r w:rsidRPr="000301BB">
        <w:t>LDL</w:t>
      </w:r>
      <w:r w:rsidRPr="000301BB">
        <w:noBreakHyphen/>
        <w:t>C levels were assayed using a direct method and collected without regard for meals (results are about 5% lower than fasting sample).</w:t>
      </w:r>
      <w:r w:rsidR="002D0E64" w:rsidRPr="000301BB">
        <w:t xml:space="preserve"> </w:t>
      </w:r>
      <w:r w:rsidRPr="000301BB">
        <w:t xml:space="preserve"> At baseline, 3</w:t>
      </w:r>
      <w:r w:rsidR="00625272" w:rsidRPr="000301BB">
        <w:t>,</w:t>
      </w:r>
      <w:r w:rsidRPr="000301BB">
        <w:t>421 patients (17%) had LDL</w:t>
      </w:r>
      <w:r w:rsidRPr="000301BB">
        <w:noBreakHyphen/>
        <w:t xml:space="preserve">C levels </w:t>
      </w:r>
      <w:proofErr w:type="gramStart"/>
      <w:r w:rsidRPr="000301BB">
        <w:t xml:space="preserve">below </w:t>
      </w:r>
      <w:r w:rsidR="00F06322" w:rsidRPr="000301BB">
        <w:t>2.6</w:t>
      </w:r>
      <w:r w:rsidRPr="000301BB">
        <w:t> m</w:t>
      </w:r>
      <w:r w:rsidR="00F06322" w:rsidRPr="000301BB">
        <w:t>mol</w:t>
      </w:r>
      <w:r w:rsidRPr="000301BB">
        <w:t>/L</w:t>
      </w:r>
      <w:proofErr w:type="gramEnd"/>
      <w:r w:rsidRPr="000301BB">
        <w:t>; 7</w:t>
      </w:r>
      <w:r w:rsidR="00625272" w:rsidRPr="000301BB">
        <w:t>,</w:t>
      </w:r>
      <w:r w:rsidRPr="000301BB">
        <w:t xml:space="preserve">068 patients (34%) had levels </w:t>
      </w:r>
      <w:r w:rsidR="00F06322" w:rsidRPr="000301BB">
        <w:t>greater than 2.6</w:t>
      </w:r>
      <w:r w:rsidR="00491B12" w:rsidRPr="000301BB">
        <w:t> </w:t>
      </w:r>
      <w:r w:rsidR="00F06322" w:rsidRPr="000301BB">
        <w:t>mmol/L and less than 3.4</w:t>
      </w:r>
      <w:r w:rsidR="00491B12" w:rsidRPr="000301BB">
        <w:t> </w:t>
      </w:r>
      <w:r w:rsidR="00F06322" w:rsidRPr="000301BB">
        <w:t>mmol/L</w:t>
      </w:r>
      <w:r w:rsidRPr="000301BB">
        <w:t>; and 10</w:t>
      </w:r>
      <w:r w:rsidR="00625272" w:rsidRPr="000301BB">
        <w:t>,</w:t>
      </w:r>
      <w:r w:rsidRPr="000301BB">
        <w:t xml:space="preserve">047 patients (49%) had levels greater than </w:t>
      </w:r>
      <w:r w:rsidR="00F06322" w:rsidRPr="000301BB">
        <w:t>or equal to 3.4</w:t>
      </w:r>
      <w:r w:rsidRPr="000301BB">
        <w:t> m</w:t>
      </w:r>
      <w:r w:rsidR="00F06322" w:rsidRPr="000301BB">
        <w:t>mol</w:t>
      </w:r>
      <w:r w:rsidRPr="000301BB">
        <w:t>/L.</w:t>
      </w:r>
      <w:r w:rsidR="00491B12" w:rsidRPr="000301BB">
        <w:t xml:space="preserve">  At baseline, 2</w:t>
      </w:r>
      <w:r w:rsidR="00625272" w:rsidRPr="000301BB">
        <w:t>,</w:t>
      </w:r>
      <w:r w:rsidR="00491B12" w:rsidRPr="000301BB">
        <w:t>030 (19.8%) patients in the simvastatin group and 2</w:t>
      </w:r>
      <w:r w:rsidR="00625272" w:rsidRPr="000301BB">
        <w:t>,</w:t>
      </w:r>
      <w:r w:rsidR="00491B12" w:rsidRPr="000301BB">
        <w:t>042 (19.9%) in the placebo group had total-C less than 5.0 mmol/L; 3</w:t>
      </w:r>
      <w:r w:rsidR="00625272" w:rsidRPr="000301BB">
        <w:t>,</w:t>
      </w:r>
      <w:r w:rsidR="00491B12" w:rsidRPr="000301BB">
        <w:t>942 (38.4%) patients in the simvastatin group and 3</w:t>
      </w:r>
      <w:r w:rsidR="00625272" w:rsidRPr="000301BB">
        <w:t>,</w:t>
      </w:r>
      <w:r w:rsidR="00491B12" w:rsidRPr="000301BB">
        <w:t>941 (38.4%) in the placebo group had levels greater than or equal to 5.0 mmol/L and less than 6.0 mmol/L; and 4</w:t>
      </w:r>
      <w:r w:rsidR="00625272" w:rsidRPr="000301BB">
        <w:t>,</w:t>
      </w:r>
      <w:r w:rsidR="00491B12" w:rsidRPr="000301BB">
        <w:t>297 (41.8%) patients in the simvastatin group and 4</w:t>
      </w:r>
      <w:r w:rsidR="00625272" w:rsidRPr="000301BB">
        <w:t>,</w:t>
      </w:r>
      <w:r w:rsidR="00491B12" w:rsidRPr="000301BB">
        <w:t>284 (41.7%) in the placebo group had levels greate</w:t>
      </w:r>
      <w:r w:rsidR="00782CB0">
        <w:t>r than or equal to 6.0 mmol/L.</w:t>
      </w:r>
    </w:p>
    <w:p w:rsidR="00CE4373" w:rsidRPr="000301BB" w:rsidRDefault="00CE4373" w:rsidP="00CE4373">
      <w:pPr>
        <w:pStyle w:val="Tablenormal0"/>
        <w:spacing w:before="20" w:after="20"/>
        <w:outlineLvl w:val="0"/>
        <w:rPr>
          <w:sz w:val="20"/>
          <w:lang w:val="en-AU"/>
        </w:rPr>
      </w:pPr>
      <w:r w:rsidRPr="000301BB">
        <w:rPr>
          <w:b/>
          <w:bCs/>
          <w:sz w:val="20"/>
          <w:lang w:val="en-AU"/>
        </w:rPr>
        <w:lastRenderedPageBreak/>
        <w:t>Table </w:t>
      </w:r>
      <w:proofErr w:type="gramStart"/>
      <w:r w:rsidR="001B3212" w:rsidRPr="000301BB">
        <w:rPr>
          <w:b/>
          <w:bCs/>
          <w:sz w:val="20"/>
          <w:lang w:val="en-AU"/>
        </w:rPr>
        <w:t>4</w:t>
      </w:r>
      <w:r w:rsidRPr="000301BB">
        <w:rPr>
          <w:b/>
          <w:bCs/>
          <w:sz w:val="20"/>
          <w:lang w:val="en-AU"/>
        </w:rPr>
        <w:t xml:space="preserve">  Summary</w:t>
      </w:r>
      <w:proofErr w:type="gramEnd"/>
      <w:r w:rsidRPr="000301BB">
        <w:rPr>
          <w:b/>
          <w:bCs/>
          <w:sz w:val="20"/>
          <w:lang w:val="en-AU"/>
        </w:rPr>
        <w:t xml:space="preserve"> of Risk Reductions in HPS </w:t>
      </w:r>
    </w:p>
    <w:tbl>
      <w:tblPr>
        <w:tblW w:w="90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340"/>
        <w:gridCol w:w="1426"/>
        <w:gridCol w:w="1440"/>
        <w:gridCol w:w="1440"/>
        <w:gridCol w:w="1274"/>
        <w:gridCol w:w="1080"/>
      </w:tblGrid>
      <w:tr w:rsidR="00CE4373" w:rsidRPr="000301BB" w:rsidTr="00625272">
        <w:tc>
          <w:tcPr>
            <w:tcW w:w="2340" w:type="dxa"/>
            <w:tcBorders>
              <w:bottom w:val="single" w:sz="18" w:space="0" w:color="auto"/>
            </w:tcBorders>
          </w:tcPr>
          <w:p w:rsidR="00CE4373" w:rsidRPr="000301BB" w:rsidRDefault="00CE4373" w:rsidP="00144428">
            <w:pPr>
              <w:pStyle w:val="Tablenormal0"/>
              <w:spacing w:before="20" w:after="20"/>
              <w:rPr>
                <w:b/>
                <w:sz w:val="20"/>
                <w:lang w:val="en-AU"/>
              </w:rPr>
            </w:pPr>
            <w:r w:rsidRPr="000301BB">
              <w:rPr>
                <w:b/>
                <w:sz w:val="20"/>
                <w:lang w:val="en-AU"/>
              </w:rPr>
              <w:t>Endpoint</w:t>
            </w:r>
            <w:r w:rsidRPr="000301BB">
              <w:rPr>
                <w:b/>
                <w:sz w:val="20"/>
                <w:lang w:val="en-AU"/>
              </w:rPr>
              <w:br/>
            </w:r>
          </w:p>
        </w:tc>
        <w:tc>
          <w:tcPr>
            <w:tcW w:w="1426" w:type="dxa"/>
            <w:tcBorders>
              <w:bottom w:val="single" w:sz="18" w:space="0" w:color="auto"/>
            </w:tcBorders>
          </w:tcPr>
          <w:p w:rsidR="00CE4373" w:rsidRPr="000301BB" w:rsidRDefault="00CE4373" w:rsidP="00863002">
            <w:pPr>
              <w:pStyle w:val="Tablenormal0"/>
              <w:spacing w:before="20" w:after="20"/>
              <w:jc w:val="center"/>
              <w:rPr>
                <w:b/>
                <w:sz w:val="20"/>
                <w:u w:val="single"/>
                <w:lang w:val="en-AU"/>
              </w:rPr>
            </w:pPr>
            <w:r w:rsidRPr="000301BB">
              <w:rPr>
                <w:b/>
                <w:sz w:val="20"/>
                <w:lang w:val="en-AU"/>
              </w:rPr>
              <w:t>Simvastatin</w:t>
            </w:r>
            <w:r w:rsidRPr="000301BB">
              <w:rPr>
                <w:sz w:val="20"/>
                <w:lang w:val="en-AU"/>
              </w:rPr>
              <w:t xml:space="preserve"> </w:t>
            </w:r>
            <w:r w:rsidRPr="000301BB">
              <w:rPr>
                <w:sz w:val="20"/>
                <w:lang w:val="en-AU"/>
              </w:rPr>
              <w:br/>
              <w:t>(N=10</w:t>
            </w:r>
            <w:r w:rsidR="00625272" w:rsidRPr="000301BB">
              <w:rPr>
                <w:sz w:val="20"/>
                <w:lang w:val="en-AU"/>
              </w:rPr>
              <w:t>,</w:t>
            </w:r>
            <w:r w:rsidRPr="000301BB">
              <w:rPr>
                <w:sz w:val="20"/>
                <w:lang w:val="en-AU"/>
              </w:rPr>
              <w:t>269)</w:t>
            </w:r>
          </w:p>
        </w:tc>
        <w:tc>
          <w:tcPr>
            <w:tcW w:w="1440" w:type="dxa"/>
            <w:tcBorders>
              <w:bottom w:val="single" w:sz="18" w:space="0" w:color="auto"/>
            </w:tcBorders>
          </w:tcPr>
          <w:p w:rsidR="00CE4373" w:rsidRPr="000301BB" w:rsidRDefault="00CE4373" w:rsidP="00863002">
            <w:pPr>
              <w:pStyle w:val="Tablenormal0"/>
              <w:spacing w:before="20" w:after="20"/>
              <w:jc w:val="center"/>
              <w:rPr>
                <w:b/>
                <w:sz w:val="20"/>
                <w:u w:val="single"/>
                <w:lang w:val="en-AU"/>
              </w:rPr>
            </w:pPr>
            <w:r w:rsidRPr="000301BB">
              <w:rPr>
                <w:b/>
                <w:sz w:val="20"/>
                <w:lang w:val="en-AU"/>
              </w:rPr>
              <w:t>Placebo</w:t>
            </w:r>
            <w:r w:rsidRPr="000301BB">
              <w:rPr>
                <w:sz w:val="20"/>
                <w:lang w:val="en-AU"/>
              </w:rPr>
              <w:t xml:space="preserve"> </w:t>
            </w:r>
            <w:r w:rsidRPr="000301BB">
              <w:rPr>
                <w:sz w:val="20"/>
                <w:lang w:val="en-AU"/>
              </w:rPr>
              <w:br/>
              <w:t>(N=10</w:t>
            </w:r>
            <w:r w:rsidR="00625272" w:rsidRPr="000301BB">
              <w:rPr>
                <w:sz w:val="20"/>
                <w:lang w:val="en-AU"/>
              </w:rPr>
              <w:t>,</w:t>
            </w:r>
            <w:r w:rsidRPr="000301BB">
              <w:rPr>
                <w:sz w:val="20"/>
                <w:lang w:val="en-AU"/>
              </w:rPr>
              <w:t>267)</w:t>
            </w:r>
          </w:p>
        </w:tc>
        <w:tc>
          <w:tcPr>
            <w:tcW w:w="1440" w:type="dxa"/>
            <w:tcBorders>
              <w:bottom w:val="single" w:sz="18" w:space="0" w:color="auto"/>
            </w:tcBorders>
          </w:tcPr>
          <w:p w:rsidR="00CE4373" w:rsidRPr="000301BB" w:rsidRDefault="00CE4373" w:rsidP="00863002">
            <w:pPr>
              <w:pStyle w:val="Tablenormal0"/>
              <w:spacing w:before="20" w:after="20"/>
              <w:jc w:val="center"/>
              <w:rPr>
                <w:b/>
                <w:sz w:val="20"/>
                <w:lang w:val="en-AU"/>
              </w:rPr>
            </w:pPr>
            <w:r w:rsidRPr="000301BB">
              <w:rPr>
                <w:b/>
                <w:sz w:val="20"/>
                <w:lang w:val="en-AU"/>
              </w:rPr>
              <w:t>Absolute Risk Reduction</w:t>
            </w:r>
            <w:r w:rsidRPr="000301BB">
              <w:rPr>
                <w:sz w:val="20"/>
                <w:vertAlign w:val="superscript"/>
                <w:lang w:val="en-AU"/>
              </w:rPr>
              <w:t>†</w:t>
            </w:r>
            <w:r w:rsidRPr="000301BB">
              <w:rPr>
                <w:b/>
                <w:sz w:val="20"/>
                <w:lang w:val="en-AU"/>
              </w:rPr>
              <w:t xml:space="preserve"> % (95% CI)</w:t>
            </w:r>
          </w:p>
        </w:tc>
        <w:tc>
          <w:tcPr>
            <w:tcW w:w="1274" w:type="dxa"/>
            <w:tcBorders>
              <w:bottom w:val="single" w:sz="18" w:space="0" w:color="auto"/>
            </w:tcBorders>
          </w:tcPr>
          <w:p w:rsidR="00CE4373" w:rsidRPr="000301BB" w:rsidRDefault="00CE4373" w:rsidP="00863002">
            <w:pPr>
              <w:pStyle w:val="Tablenormal0"/>
              <w:spacing w:before="20" w:after="20"/>
              <w:jc w:val="center"/>
              <w:rPr>
                <w:b/>
                <w:sz w:val="20"/>
                <w:u w:val="single"/>
                <w:lang w:val="en-AU"/>
              </w:rPr>
            </w:pPr>
            <w:r w:rsidRPr="000301BB">
              <w:rPr>
                <w:b/>
                <w:sz w:val="20"/>
                <w:lang w:val="en-AU"/>
              </w:rPr>
              <w:t>Relative Risk Reduction % (95% CI)</w:t>
            </w:r>
          </w:p>
        </w:tc>
        <w:tc>
          <w:tcPr>
            <w:tcW w:w="1080" w:type="dxa"/>
            <w:tcBorders>
              <w:bottom w:val="single" w:sz="18" w:space="0" w:color="auto"/>
            </w:tcBorders>
          </w:tcPr>
          <w:p w:rsidR="00CE4373" w:rsidRPr="000301BB" w:rsidRDefault="00CE4373" w:rsidP="00863002">
            <w:pPr>
              <w:pStyle w:val="Tablenormal0"/>
              <w:spacing w:before="20" w:after="20"/>
              <w:jc w:val="center"/>
              <w:rPr>
                <w:b/>
                <w:sz w:val="20"/>
                <w:lang w:val="en-AU"/>
              </w:rPr>
            </w:pPr>
            <w:r w:rsidRPr="000301BB">
              <w:rPr>
                <w:b/>
                <w:sz w:val="20"/>
                <w:lang w:val="en-AU"/>
              </w:rPr>
              <w:t>P value</w:t>
            </w:r>
          </w:p>
        </w:tc>
      </w:tr>
      <w:tr w:rsidR="00CE4373" w:rsidRPr="000301BB" w:rsidTr="00625272">
        <w:trPr>
          <w:trHeight w:val="226"/>
        </w:trPr>
        <w:tc>
          <w:tcPr>
            <w:tcW w:w="2340" w:type="dxa"/>
            <w:tcBorders>
              <w:top w:val="single" w:sz="18" w:space="0" w:color="auto"/>
              <w:bottom w:val="nil"/>
            </w:tcBorders>
          </w:tcPr>
          <w:p w:rsidR="00CE4373" w:rsidRPr="000301BB" w:rsidRDefault="00CE4373" w:rsidP="00144428">
            <w:pPr>
              <w:pStyle w:val="Tablenormal0"/>
              <w:spacing w:before="20" w:after="20"/>
              <w:rPr>
                <w:sz w:val="20"/>
                <w:lang w:val="en-AU"/>
              </w:rPr>
            </w:pPr>
            <w:r w:rsidRPr="000301BB">
              <w:rPr>
                <w:b/>
                <w:sz w:val="20"/>
                <w:lang w:val="en-AU"/>
              </w:rPr>
              <w:t>Primary</w:t>
            </w:r>
          </w:p>
        </w:tc>
        <w:tc>
          <w:tcPr>
            <w:tcW w:w="1426" w:type="dxa"/>
            <w:tcBorders>
              <w:top w:val="single" w:sz="18" w:space="0" w:color="auto"/>
              <w:bottom w:val="nil"/>
            </w:tcBorders>
          </w:tcPr>
          <w:p w:rsidR="00CE4373" w:rsidRPr="000301BB" w:rsidRDefault="00CE4373" w:rsidP="00863002">
            <w:pPr>
              <w:pStyle w:val="Tablenormal0"/>
              <w:spacing w:before="20" w:after="20"/>
              <w:jc w:val="center"/>
              <w:rPr>
                <w:sz w:val="20"/>
                <w:lang w:val="en-AU"/>
              </w:rPr>
            </w:pPr>
          </w:p>
        </w:tc>
        <w:tc>
          <w:tcPr>
            <w:tcW w:w="1440" w:type="dxa"/>
            <w:tcBorders>
              <w:top w:val="single" w:sz="18" w:space="0" w:color="auto"/>
              <w:bottom w:val="nil"/>
            </w:tcBorders>
          </w:tcPr>
          <w:p w:rsidR="00CE4373" w:rsidRPr="000301BB" w:rsidRDefault="00CE4373" w:rsidP="00863002">
            <w:pPr>
              <w:pStyle w:val="Tablenormal0"/>
              <w:spacing w:before="20" w:after="20"/>
              <w:jc w:val="center"/>
              <w:rPr>
                <w:sz w:val="20"/>
                <w:lang w:val="en-AU"/>
              </w:rPr>
            </w:pPr>
          </w:p>
        </w:tc>
        <w:tc>
          <w:tcPr>
            <w:tcW w:w="1440"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c>
          <w:tcPr>
            <w:tcW w:w="1274"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c>
          <w:tcPr>
            <w:tcW w:w="1080"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r>
      <w:tr w:rsidR="00CE4373" w:rsidRPr="000301BB" w:rsidTr="00625272">
        <w:trPr>
          <w:trHeight w:val="193"/>
        </w:trPr>
        <w:tc>
          <w:tcPr>
            <w:tcW w:w="2340" w:type="dxa"/>
            <w:tcBorders>
              <w:top w:val="nil"/>
              <w:bottom w:val="nil"/>
            </w:tcBorders>
          </w:tcPr>
          <w:p w:rsidR="00CE4373" w:rsidRPr="000301BB" w:rsidRDefault="00CE4373" w:rsidP="00144428">
            <w:pPr>
              <w:pStyle w:val="Tablenormal0"/>
              <w:spacing w:before="20" w:after="20"/>
              <w:ind w:left="113"/>
              <w:rPr>
                <w:b/>
                <w:sz w:val="20"/>
                <w:lang w:val="en-AU"/>
              </w:rPr>
            </w:pPr>
            <w:r w:rsidRPr="000301BB">
              <w:rPr>
                <w:sz w:val="20"/>
                <w:lang w:val="en-AU"/>
              </w:rPr>
              <w:t>Mortality</w:t>
            </w:r>
          </w:p>
        </w:tc>
        <w:tc>
          <w:tcPr>
            <w:tcW w:w="1426"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w:t>
            </w:r>
            <w:r w:rsidR="00625272" w:rsidRPr="000301BB">
              <w:rPr>
                <w:snapToGrid w:val="0"/>
                <w:sz w:val="20"/>
                <w:lang w:val="en-AU"/>
              </w:rPr>
              <w:t>,</w:t>
            </w:r>
            <w:r w:rsidRPr="000301BB">
              <w:rPr>
                <w:snapToGrid w:val="0"/>
                <w:sz w:val="20"/>
                <w:lang w:val="en-AU"/>
              </w:rPr>
              <w:t>328 (12.9%)</w:t>
            </w:r>
          </w:p>
        </w:tc>
        <w:tc>
          <w:tcPr>
            <w:tcW w:w="144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w:t>
            </w:r>
            <w:r w:rsidR="00625272" w:rsidRPr="000301BB">
              <w:rPr>
                <w:snapToGrid w:val="0"/>
                <w:sz w:val="20"/>
                <w:lang w:val="en-AU"/>
              </w:rPr>
              <w:t>,</w:t>
            </w:r>
            <w:r w:rsidRPr="000301BB">
              <w:rPr>
                <w:snapToGrid w:val="0"/>
                <w:sz w:val="20"/>
                <w:lang w:val="en-AU"/>
              </w:rPr>
              <w:t>504 (14.6%)</w:t>
            </w:r>
          </w:p>
        </w:tc>
        <w:tc>
          <w:tcPr>
            <w:tcW w:w="144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1.7 (0.8 to 2.7)</w:t>
            </w:r>
          </w:p>
        </w:tc>
        <w:tc>
          <w:tcPr>
            <w:tcW w:w="1274"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12  (6-19)</w:t>
            </w:r>
          </w:p>
        </w:tc>
        <w:tc>
          <w:tcPr>
            <w:tcW w:w="108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p&lt;0.001</w:t>
            </w:r>
          </w:p>
        </w:tc>
      </w:tr>
      <w:tr w:rsidR="00CE4373" w:rsidRPr="000301BB" w:rsidTr="00625272">
        <w:tc>
          <w:tcPr>
            <w:tcW w:w="2340" w:type="dxa"/>
            <w:tcBorders>
              <w:top w:val="nil"/>
              <w:bottom w:val="nil"/>
            </w:tcBorders>
          </w:tcPr>
          <w:p w:rsidR="00CE4373" w:rsidRPr="000301BB" w:rsidRDefault="00CE4373" w:rsidP="00144428">
            <w:pPr>
              <w:pStyle w:val="Tablenormal0"/>
              <w:spacing w:before="20" w:after="20"/>
              <w:ind w:left="113"/>
              <w:rPr>
                <w:sz w:val="20"/>
                <w:lang w:val="en-AU"/>
              </w:rPr>
            </w:pPr>
            <w:r w:rsidRPr="000301BB">
              <w:rPr>
                <w:sz w:val="20"/>
                <w:lang w:val="en-AU"/>
              </w:rPr>
              <w:t>CHD mortality</w:t>
            </w:r>
          </w:p>
        </w:tc>
        <w:tc>
          <w:tcPr>
            <w:tcW w:w="1426" w:type="dxa"/>
            <w:tcBorders>
              <w:top w:val="nil"/>
              <w:bottom w:val="nil"/>
            </w:tcBorders>
          </w:tcPr>
          <w:p w:rsidR="00CE4373" w:rsidRPr="000301BB" w:rsidRDefault="00CE4373" w:rsidP="00863002">
            <w:pPr>
              <w:pStyle w:val="Tablenormal0"/>
              <w:spacing w:before="20" w:after="20"/>
              <w:jc w:val="center"/>
              <w:rPr>
                <w:sz w:val="20"/>
                <w:lang w:val="en-AU"/>
              </w:rPr>
            </w:pPr>
            <w:r w:rsidRPr="000301BB">
              <w:rPr>
                <w:snapToGrid w:val="0"/>
                <w:sz w:val="20"/>
                <w:lang w:val="en-AU"/>
              </w:rPr>
              <w:t>571 (5.6%)</w:t>
            </w:r>
          </w:p>
        </w:tc>
        <w:tc>
          <w:tcPr>
            <w:tcW w:w="1440" w:type="dxa"/>
            <w:tcBorders>
              <w:top w:val="nil"/>
              <w:bottom w:val="nil"/>
            </w:tcBorders>
          </w:tcPr>
          <w:p w:rsidR="00CE4373" w:rsidRPr="000301BB" w:rsidRDefault="00CE4373" w:rsidP="00863002">
            <w:pPr>
              <w:pStyle w:val="Tablenormal0"/>
              <w:spacing w:before="20" w:after="20"/>
              <w:jc w:val="center"/>
              <w:rPr>
                <w:sz w:val="20"/>
                <w:lang w:val="en-AU"/>
              </w:rPr>
            </w:pPr>
            <w:r w:rsidRPr="000301BB">
              <w:rPr>
                <w:snapToGrid w:val="0"/>
                <w:sz w:val="20"/>
                <w:lang w:val="en-AU"/>
              </w:rPr>
              <w:t>689 (6.7%)</w:t>
            </w:r>
          </w:p>
        </w:tc>
        <w:tc>
          <w:tcPr>
            <w:tcW w:w="144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1.2 (0.5 to 1.8)</w:t>
            </w:r>
          </w:p>
        </w:tc>
        <w:tc>
          <w:tcPr>
            <w:tcW w:w="1274"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18  (8-26)</w:t>
            </w:r>
          </w:p>
        </w:tc>
        <w:tc>
          <w:tcPr>
            <w:tcW w:w="108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p&lt;0.001</w:t>
            </w:r>
          </w:p>
        </w:tc>
      </w:tr>
      <w:tr w:rsidR="00CE4373" w:rsidRPr="000301BB" w:rsidTr="00625272">
        <w:tc>
          <w:tcPr>
            <w:tcW w:w="2340" w:type="dxa"/>
            <w:tcBorders>
              <w:top w:val="nil"/>
              <w:bottom w:val="single" w:sz="18" w:space="0" w:color="auto"/>
            </w:tcBorders>
          </w:tcPr>
          <w:p w:rsidR="00CE4373" w:rsidRPr="000301BB" w:rsidRDefault="00CE4373" w:rsidP="00144428">
            <w:pPr>
              <w:pStyle w:val="Tablenormal0"/>
              <w:spacing w:before="20" w:after="20"/>
              <w:ind w:left="113"/>
              <w:rPr>
                <w:sz w:val="20"/>
                <w:lang w:val="en-AU"/>
              </w:rPr>
            </w:pPr>
            <w:r w:rsidRPr="000301BB">
              <w:rPr>
                <w:sz w:val="20"/>
                <w:lang w:val="en-AU"/>
              </w:rPr>
              <w:t>Non-CHD mortality</w:t>
            </w:r>
          </w:p>
        </w:tc>
        <w:tc>
          <w:tcPr>
            <w:tcW w:w="1426" w:type="dxa"/>
            <w:tcBorders>
              <w:top w:val="nil"/>
              <w:bottom w:val="single" w:sz="18" w:space="0" w:color="auto"/>
            </w:tcBorders>
          </w:tcPr>
          <w:p w:rsidR="00CE4373" w:rsidRPr="000301BB" w:rsidDel="00442E70" w:rsidRDefault="00CE4373" w:rsidP="00863002">
            <w:pPr>
              <w:pStyle w:val="Tablenormal0"/>
              <w:spacing w:before="20" w:after="20"/>
              <w:jc w:val="center"/>
              <w:rPr>
                <w:snapToGrid w:val="0"/>
                <w:sz w:val="20"/>
                <w:lang w:val="en-AU"/>
              </w:rPr>
            </w:pPr>
            <w:r w:rsidRPr="000301BB">
              <w:rPr>
                <w:snapToGrid w:val="0"/>
                <w:sz w:val="20"/>
                <w:lang w:val="en-AU"/>
              </w:rPr>
              <w:t>757 (7.4%)</w:t>
            </w:r>
          </w:p>
        </w:tc>
        <w:tc>
          <w:tcPr>
            <w:tcW w:w="1440" w:type="dxa"/>
            <w:tcBorders>
              <w:top w:val="nil"/>
              <w:bottom w:val="single" w:sz="18" w:space="0" w:color="auto"/>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815 (7.9%)</w:t>
            </w:r>
          </w:p>
        </w:tc>
        <w:tc>
          <w:tcPr>
            <w:tcW w:w="1440" w:type="dxa"/>
            <w:tcBorders>
              <w:top w:val="nil"/>
              <w:bottom w:val="single" w:sz="18" w:space="0" w:color="auto"/>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0.6 (-0.2 to 1.3)</w:t>
            </w:r>
          </w:p>
        </w:tc>
        <w:tc>
          <w:tcPr>
            <w:tcW w:w="1274" w:type="dxa"/>
            <w:tcBorders>
              <w:top w:val="nil"/>
              <w:bottom w:val="single" w:sz="18" w:space="0" w:color="auto"/>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8  (-2 to 17)</w:t>
            </w:r>
          </w:p>
        </w:tc>
        <w:tc>
          <w:tcPr>
            <w:tcW w:w="1080" w:type="dxa"/>
            <w:tcBorders>
              <w:top w:val="nil"/>
              <w:bottom w:val="single" w:sz="18" w:space="0" w:color="auto"/>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NS</w:t>
            </w:r>
          </w:p>
        </w:tc>
      </w:tr>
      <w:tr w:rsidR="00CE4373" w:rsidRPr="000301BB" w:rsidTr="00625272">
        <w:trPr>
          <w:trHeight w:val="18"/>
        </w:trPr>
        <w:tc>
          <w:tcPr>
            <w:tcW w:w="2340" w:type="dxa"/>
            <w:tcBorders>
              <w:top w:val="single" w:sz="18" w:space="0" w:color="auto"/>
              <w:bottom w:val="nil"/>
            </w:tcBorders>
          </w:tcPr>
          <w:p w:rsidR="00CE4373" w:rsidRPr="000301BB" w:rsidRDefault="00CE4373" w:rsidP="00144428">
            <w:pPr>
              <w:pStyle w:val="Tablenormal0"/>
              <w:spacing w:before="20" w:after="20"/>
              <w:rPr>
                <w:sz w:val="20"/>
                <w:vertAlign w:val="superscript"/>
                <w:lang w:val="en-AU"/>
              </w:rPr>
            </w:pPr>
            <w:r w:rsidRPr="000301BB">
              <w:rPr>
                <w:b/>
                <w:sz w:val="20"/>
                <w:lang w:val="en-AU"/>
              </w:rPr>
              <w:t>Secondary</w:t>
            </w:r>
          </w:p>
        </w:tc>
        <w:tc>
          <w:tcPr>
            <w:tcW w:w="1426" w:type="dxa"/>
            <w:tcBorders>
              <w:top w:val="single" w:sz="18" w:space="0" w:color="auto"/>
              <w:bottom w:val="nil"/>
            </w:tcBorders>
          </w:tcPr>
          <w:p w:rsidR="00CE4373" w:rsidRPr="000301BB" w:rsidRDefault="00CE4373" w:rsidP="00863002">
            <w:pPr>
              <w:pStyle w:val="Tablenormal0"/>
              <w:spacing w:before="20" w:after="20"/>
              <w:jc w:val="center"/>
              <w:rPr>
                <w:sz w:val="20"/>
                <w:lang w:val="en-AU"/>
              </w:rPr>
            </w:pPr>
          </w:p>
        </w:tc>
        <w:tc>
          <w:tcPr>
            <w:tcW w:w="1440" w:type="dxa"/>
            <w:tcBorders>
              <w:top w:val="single" w:sz="18" w:space="0" w:color="auto"/>
              <w:bottom w:val="nil"/>
            </w:tcBorders>
          </w:tcPr>
          <w:p w:rsidR="00CE4373" w:rsidRPr="000301BB" w:rsidRDefault="00CE4373" w:rsidP="00863002">
            <w:pPr>
              <w:pStyle w:val="Tablenormal0"/>
              <w:spacing w:before="20" w:after="20"/>
              <w:jc w:val="center"/>
              <w:rPr>
                <w:sz w:val="20"/>
                <w:lang w:val="en-AU"/>
              </w:rPr>
            </w:pPr>
          </w:p>
        </w:tc>
        <w:tc>
          <w:tcPr>
            <w:tcW w:w="1440"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c>
          <w:tcPr>
            <w:tcW w:w="1274"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c>
          <w:tcPr>
            <w:tcW w:w="1080"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r>
      <w:tr w:rsidR="00CE4373" w:rsidRPr="000301BB" w:rsidTr="00625272">
        <w:trPr>
          <w:trHeight w:val="215"/>
        </w:trPr>
        <w:tc>
          <w:tcPr>
            <w:tcW w:w="2340" w:type="dxa"/>
            <w:tcBorders>
              <w:top w:val="nil"/>
              <w:bottom w:val="nil"/>
            </w:tcBorders>
          </w:tcPr>
          <w:p w:rsidR="00CE4373" w:rsidRPr="000301BB" w:rsidRDefault="00CE4373" w:rsidP="00144428">
            <w:pPr>
              <w:pStyle w:val="Tablenormal0"/>
              <w:spacing w:before="20" w:after="20"/>
              <w:ind w:left="113"/>
              <w:rPr>
                <w:b/>
                <w:sz w:val="20"/>
                <w:lang w:val="en-AU"/>
              </w:rPr>
            </w:pPr>
            <w:r w:rsidRPr="000301BB">
              <w:rPr>
                <w:sz w:val="20"/>
                <w:lang w:val="en-AU"/>
              </w:rPr>
              <w:t>Major vascular events</w:t>
            </w:r>
            <w:r w:rsidRPr="000301BB">
              <w:rPr>
                <w:sz w:val="20"/>
                <w:vertAlign w:val="superscript"/>
                <w:lang w:val="en-AU"/>
              </w:rPr>
              <w:t>‡</w:t>
            </w:r>
            <w:r w:rsidRPr="000301BB">
              <w:rPr>
                <w:b/>
                <w:sz w:val="20"/>
                <w:vertAlign w:val="superscript"/>
                <w:lang w:val="en-AU"/>
              </w:rPr>
              <w:t xml:space="preserve">, </w:t>
            </w:r>
            <w:r w:rsidRPr="000301BB">
              <w:rPr>
                <w:sz w:val="20"/>
                <w:vertAlign w:val="superscript"/>
                <w:lang w:val="en-AU"/>
              </w:rPr>
              <w:t>§</w:t>
            </w:r>
          </w:p>
        </w:tc>
        <w:tc>
          <w:tcPr>
            <w:tcW w:w="1426"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2</w:t>
            </w:r>
            <w:r w:rsidR="00625272" w:rsidRPr="000301BB">
              <w:rPr>
                <w:snapToGrid w:val="0"/>
                <w:sz w:val="20"/>
                <w:lang w:val="en-AU"/>
              </w:rPr>
              <w:t>,</w:t>
            </w:r>
            <w:r w:rsidRPr="000301BB">
              <w:rPr>
                <w:snapToGrid w:val="0"/>
                <w:sz w:val="20"/>
                <w:lang w:val="en-AU"/>
              </w:rPr>
              <w:t>026 (19.7%)</w:t>
            </w:r>
          </w:p>
        </w:tc>
        <w:tc>
          <w:tcPr>
            <w:tcW w:w="144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2</w:t>
            </w:r>
            <w:r w:rsidR="00625272" w:rsidRPr="000301BB">
              <w:rPr>
                <w:snapToGrid w:val="0"/>
                <w:sz w:val="20"/>
                <w:lang w:val="en-AU"/>
              </w:rPr>
              <w:t>,</w:t>
            </w:r>
            <w:r w:rsidRPr="000301BB">
              <w:rPr>
                <w:snapToGrid w:val="0"/>
                <w:sz w:val="20"/>
                <w:lang w:val="en-AU"/>
              </w:rPr>
              <w:t>575 (25.1%)</w:t>
            </w:r>
          </w:p>
        </w:tc>
        <w:tc>
          <w:tcPr>
            <w:tcW w:w="144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5.4 (4.2 to 6.5)</w:t>
            </w:r>
          </w:p>
        </w:tc>
        <w:tc>
          <w:tcPr>
            <w:tcW w:w="1274"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24  (19-28)</w:t>
            </w:r>
          </w:p>
        </w:tc>
        <w:tc>
          <w:tcPr>
            <w:tcW w:w="108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p&lt;0.000</w:t>
            </w:r>
            <w:r w:rsidR="005D68C3" w:rsidRPr="000301BB">
              <w:rPr>
                <w:snapToGrid w:val="0"/>
                <w:sz w:val="20"/>
                <w:lang w:val="en-AU"/>
              </w:rPr>
              <w:t>0</w:t>
            </w:r>
            <w:r w:rsidRPr="000301BB">
              <w:rPr>
                <w:snapToGrid w:val="0"/>
                <w:sz w:val="20"/>
                <w:lang w:val="en-AU"/>
              </w:rPr>
              <w:t>1</w:t>
            </w:r>
          </w:p>
        </w:tc>
      </w:tr>
      <w:tr w:rsidR="00CE4373" w:rsidRPr="000301BB" w:rsidTr="00625272">
        <w:tc>
          <w:tcPr>
            <w:tcW w:w="2340" w:type="dxa"/>
            <w:tcBorders>
              <w:top w:val="nil"/>
              <w:bottom w:val="nil"/>
            </w:tcBorders>
          </w:tcPr>
          <w:p w:rsidR="00CE4373" w:rsidRPr="000301BB" w:rsidRDefault="00CE4373" w:rsidP="00144428">
            <w:pPr>
              <w:pStyle w:val="Tablenormal0"/>
              <w:spacing w:before="20" w:after="20"/>
              <w:ind w:left="113"/>
              <w:rPr>
                <w:sz w:val="20"/>
                <w:vertAlign w:val="superscript"/>
                <w:lang w:val="en-AU"/>
              </w:rPr>
            </w:pPr>
            <w:r w:rsidRPr="000301BB">
              <w:rPr>
                <w:sz w:val="20"/>
                <w:lang w:val="en-AU"/>
              </w:rPr>
              <w:t>Major coronary events</w:t>
            </w:r>
            <w:r w:rsidRPr="000301BB">
              <w:rPr>
                <w:sz w:val="20"/>
                <w:vertAlign w:val="superscript"/>
                <w:lang w:val="en-AU"/>
              </w:rPr>
              <w:t>‡</w:t>
            </w:r>
            <w:r w:rsidRPr="000301BB">
              <w:rPr>
                <w:b/>
                <w:sz w:val="20"/>
                <w:vertAlign w:val="superscript"/>
                <w:lang w:val="en-AU"/>
              </w:rPr>
              <w:t xml:space="preserve">, </w:t>
            </w:r>
            <w:r w:rsidRPr="000301BB">
              <w:rPr>
                <w:sz w:val="20"/>
                <w:vertAlign w:val="superscript"/>
                <w:lang w:val="en-AU"/>
              </w:rPr>
              <w:sym w:font="Math Ext" w:char="F025"/>
            </w:r>
          </w:p>
        </w:tc>
        <w:tc>
          <w:tcPr>
            <w:tcW w:w="1426" w:type="dxa"/>
            <w:tcBorders>
              <w:top w:val="nil"/>
              <w:bottom w:val="nil"/>
            </w:tcBorders>
          </w:tcPr>
          <w:p w:rsidR="00CE4373" w:rsidRPr="000301BB" w:rsidRDefault="00CE4373" w:rsidP="00863002">
            <w:pPr>
              <w:pStyle w:val="Tablenormal0"/>
              <w:spacing w:before="20" w:after="20"/>
              <w:jc w:val="center"/>
              <w:rPr>
                <w:sz w:val="20"/>
                <w:lang w:val="en-AU"/>
              </w:rPr>
            </w:pPr>
            <w:r w:rsidRPr="000301BB">
              <w:rPr>
                <w:snapToGrid w:val="0"/>
                <w:sz w:val="20"/>
                <w:lang w:val="en-AU"/>
              </w:rPr>
              <w:t>892 (8.7%)</w:t>
            </w:r>
          </w:p>
        </w:tc>
        <w:tc>
          <w:tcPr>
            <w:tcW w:w="1440" w:type="dxa"/>
            <w:tcBorders>
              <w:top w:val="nil"/>
              <w:bottom w:val="nil"/>
            </w:tcBorders>
          </w:tcPr>
          <w:p w:rsidR="00CE4373" w:rsidRPr="000301BB" w:rsidRDefault="00CE4373" w:rsidP="00863002">
            <w:pPr>
              <w:pStyle w:val="Tablenormal0"/>
              <w:spacing w:before="20" w:after="20"/>
              <w:jc w:val="center"/>
              <w:rPr>
                <w:sz w:val="20"/>
                <w:lang w:val="en-AU"/>
              </w:rPr>
            </w:pPr>
            <w:r w:rsidRPr="000301BB">
              <w:rPr>
                <w:snapToGrid w:val="0"/>
                <w:sz w:val="20"/>
                <w:lang w:val="en-AU"/>
              </w:rPr>
              <w:t>1</w:t>
            </w:r>
            <w:r w:rsidR="00625272" w:rsidRPr="000301BB">
              <w:rPr>
                <w:snapToGrid w:val="0"/>
                <w:sz w:val="20"/>
                <w:lang w:val="en-AU"/>
              </w:rPr>
              <w:t>,</w:t>
            </w:r>
            <w:r w:rsidRPr="000301BB">
              <w:rPr>
                <w:snapToGrid w:val="0"/>
                <w:sz w:val="20"/>
                <w:lang w:val="en-AU"/>
              </w:rPr>
              <w:t>205 (11.7%)</w:t>
            </w:r>
          </w:p>
        </w:tc>
        <w:tc>
          <w:tcPr>
            <w:tcW w:w="144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3.1 (2.2 to 3.9)</w:t>
            </w:r>
          </w:p>
        </w:tc>
        <w:tc>
          <w:tcPr>
            <w:tcW w:w="1274"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27  (21-33)</w:t>
            </w:r>
          </w:p>
        </w:tc>
        <w:tc>
          <w:tcPr>
            <w:tcW w:w="108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p&lt;0.000</w:t>
            </w:r>
            <w:r w:rsidR="005D68C3" w:rsidRPr="000301BB">
              <w:rPr>
                <w:snapToGrid w:val="0"/>
                <w:sz w:val="20"/>
                <w:lang w:val="en-AU"/>
              </w:rPr>
              <w:t>0</w:t>
            </w:r>
            <w:r w:rsidRPr="000301BB">
              <w:rPr>
                <w:snapToGrid w:val="0"/>
                <w:sz w:val="20"/>
                <w:lang w:val="en-AU"/>
              </w:rPr>
              <w:t>1</w:t>
            </w:r>
          </w:p>
        </w:tc>
      </w:tr>
      <w:tr w:rsidR="00CE4373" w:rsidRPr="000301BB" w:rsidTr="00625272">
        <w:tc>
          <w:tcPr>
            <w:tcW w:w="2340" w:type="dxa"/>
            <w:tcBorders>
              <w:top w:val="nil"/>
              <w:bottom w:val="single" w:sz="18" w:space="0" w:color="auto"/>
            </w:tcBorders>
          </w:tcPr>
          <w:p w:rsidR="00CE4373" w:rsidRPr="000301BB" w:rsidRDefault="00CE4373" w:rsidP="00144428">
            <w:pPr>
              <w:pStyle w:val="Tablenormal0"/>
              <w:spacing w:before="20" w:after="20"/>
              <w:ind w:left="113"/>
              <w:rPr>
                <w:sz w:val="20"/>
                <w:lang w:val="en-AU"/>
              </w:rPr>
            </w:pPr>
            <w:r w:rsidRPr="000301BB">
              <w:rPr>
                <w:sz w:val="20"/>
                <w:lang w:val="en-AU"/>
              </w:rPr>
              <w:t>Stroke</w:t>
            </w:r>
          </w:p>
        </w:tc>
        <w:tc>
          <w:tcPr>
            <w:tcW w:w="1426" w:type="dxa"/>
            <w:tcBorders>
              <w:top w:val="nil"/>
              <w:bottom w:val="single" w:sz="18" w:space="0" w:color="auto"/>
            </w:tcBorders>
          </w:tcPr>
          <w:p w:rsidR="00CE4373" w:rsidRPr="000301BB" w:rsidRDefault="00CE4373" w:rsidP="00863002">
            <w:pPr>
              <w:pStyle w:val="Tablenormal0"/>
              <w:spacing w:before="20" w:after="20"/>
              <w:jc w:val="center"/>
              <w:rPr>
                <w:sz w:val="20"/>
                <w:lang w:val="en-AU"/>
              </w:rPr>
            </w:pPr>
            <w:r w:rsidRPr="000301BB">
              <w:rPr>
                <w:snapToGrid w:val="0"/>
                <w:sz w:val="20"/>
                <w:lang w:val="en-AU"/>
              </w:rPr>
              <w:t>448 (4.4%)</w:t>
            </w:r>
          </w:p>
        </w:tc>
        <w:tc>
          <w:tcPr>
            <w:tcW w:w="1440" w:type="dxa"/>
            <w:tcBorders>
              <w:top w:val="nil"/>
              <w:bottom w:val="single" w:sz="18" w:space="0" w:color="auto"/>
            </w:tcBorders>
          </w:tcPr>
          <w:p w:rsidR="00CE4373" w:rsidRPr="000301BB" w:rsidRDefault="00CE4373" w:rsidP="00863002">
            <w:pPr>
              <w:pStyle w:val="Tablenormal0"/>
              <w:spacing w:before="20" w:after="20"/>
              <w:jc w:val="center"/>
              <w:rPr>
                <w:sz w:val="20"/>
                <w:lang w:val="en-AU"/>
              </w:rPr>
            </w:pPr>
            <w:r w:rsidRPr="000301BB">
              <w:rPr>
                <w:snapToGrid w:val="0"/>
                <w:sz w:val="20"/>
                <w:lang w:val="en-AU"/>
              </w:rPr>
              <w:t>588 (5.7%)</w:t>
            </w:r>
          </w:p>
        </w:tc>
        <w:tc>
          <w:tcPr>
            <w:tcW w:w="1440" w:type="dxa"/>
            <w:tcBorders>
              <w:top w:val="nil"/>
              <w:bottom w:val="single" w:sz="18" w:space="0" w:color="auto"/>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1.4 (0.8 to 2.0)</w:t>
            </w:r>
          </w:p>
        </w:tc>
        <w:tc>
          <w:tcPr>
            <w:tcW w:w="1274" w:type="dxa"/>
            <w:tcBorders>
              <w:top w:val="nil"/>
              <w:bottom w:val="single" w:sz="18" w:space="0" w:color="auto"/>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25  (15-33)</w:t>
            </w:r>
          </w:p>
        </w:tc>
        <w:tc>
          <w:tcPr>
            <w:tcW w:w="1080" w:type="dxa"/>
            <w:tcBorders>
              <w:top w:val="nil"/>
              <w:bottom w:val="single" w:sz="18" w:space="0" w:color="auto"/>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p&lt;0.000</w:t>
            </w:r>
            <w:r w:rsidR="005D68C3" w:rsidRPr="000301BB">
              <w:rPr>
                <w:snapToGrid w:val="0"/>
                <w:sz w:val="20"/>
                <w:lang w:val="en-AU"/>
              </w:rPr>
              <w:t>0</w:t>
            </w:r>
            <w:r w:rsidRPr="000301BB">
              <w:rPr>
                <w:snapToGrid w:val="0"/>
                <w:sz w:val="20"/>
                <w:lang w:val="en-AU"/>
              </w:rPr>
              <w:t>1</w:t>
            </w:r>
          </w:p>
        </w:tc>
      </w:tr>
      <w:tr w:rsidR="00CE4373" w:rsidRPr="000301BB" w:rsidTr="00625272">
        <w:trPr>
          <w:trHeight w:val="129"/>
        </w:trPr>
        <w:tc>
          <w:tcPr>
            <w:tcW w:w="2340" w:type="dxa"/>
            <w:tcBorders>
              <w:top w:val="single" w:sz="18" w:space="0" w:color="auto"/>
              <w:bottom w:val="nil"/>
            </w:tcBorders>
          </w:tcPr>
          <w:p w:rsidR="00CE4373" w:rsidRPr="000301BB" w:rsidRDefault="00CE4373" w:rsidP="00144428">
            <w:pPr>
              <w:pStyle w:val="Tablenormal0"/>
              <w:spacing w:before="20" w:after="20"/>
              <w:rPr>
                <w:sz w:val="20"/>
                <w:lang w:val="en-AU"/>
              </w:rPr>
            </w:pPr>
            <w:r w:rsidRPr="000301BB">
              <w:rPr>
                <w:b/>
                <w:sz w:val="20"/>
                <w:lang w:val="en-AU"/>
              </w:rPr>
              <w:t>Key Tertiary</w:t>
            </w:r>
          </w:p>
        </w:tc>
        <w:tc>
          <w:tcPr>
            <w:tcW w:w="1426"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c>
          <w:tcPr>
            <w:tcW w:w="1440"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c>
          <w:tcPr>
            <w:tcW w:w="1440"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c>
          <w:tcPr>
            <w:tcW w:w="1274"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c>
          <w:tcPr>
            <w:tcW w:w="1080" w:type="dxa"/>
            <w:tcBorders>
              <w:top w:val="single" w:sz="18" w:space="0" w:color="auto"/>
              <w:bottom w:val="nil"/>
            </w:tcBorders>
          </w:tcPr>
          <w:p w:rsidR="00CE4373" w:rsidRPr="000301BB" w:rsidRDefault="00CE4373" w:rsidP="00863002">
            <w:pPr>
              <w:pStyle w:val="Tablenormal0"/>
              <w:spacing w:before="20" w:after="20"/>
              <w:jc w:val="center"/>
              <w:rPr>
                <w:snapToGrid w:val="0"/>
                <w:sz w:val="20"/>
                <w:lang w:val="en-AU"/>
              </w:rPr>
            </w:pPr>
          </w:p>
        </w:tc>
      </w:tr>
      <w:tr w:rsidR="00CE4373" w:rsidRPr="000301BB" w:rsidTr="00625272">
        <w:trPr>
          <w:trHeight w:val="63"/>
        </w:trPr>
        <w:tc>
          <w:tcPr>
            <w:tcW w:w="2340" w:type="dxa"/>
            <w:tcBorders>
              <w:top w:val="nil"/>
              <w:bottom w:val="nil"/>
            </w:tcBorders>
          </w:tcPr>
          <w:p w:rsidR="00CE4373" w:rsidRPr="000301BB" w:rsidRDefault="00CE4373" w:rsidP="00144428">
            <w:pPr>
              <w:pStyle w:val="Tablenormal0"/>
              <w:spacing w:before="20" w:after="20"/>
              <w:ind w:left="113"/>
              <w:rPr>
                <w:b/>
                <w:sz w:val="20"/>
                <w:lang w:val="en-AU"/>
              </w:rPr>
            </w:pPr>
            <w:r w:rsidRPr="000301BB">
              <w:rPr>
                <w:sz w:val="20"/>
                <w:lang w:val="en-AU"/>
              </w:rPr>
              <w:t>Coronary revascularisation</w:t>
            </w:r>
          </w:p>
        </w:tc>
        <w:tc>
          <w:tcPr>
            <w:tcW w:w="1426"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511 (5.0%)</w:t>
            </w:r>
          </w:p>
        </w:tc>
        <w:tc>
          <w:tcPr>
            <w:tcW w:w="144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729 (7.1%)</w:t>
            </w:r>
          </w:p>
        </w:tc>
        <w:tc>
          <w:tcPr>
            <w:tcW w:w="1440" w:type="dxa"/>
            <w:tcBorders>
              <w:top w:val="nil"/>
              <w:bottom w:val="nil"/>
            </w:tcBorders>
          </w:tcPr>
          <w:p w:rsidR="00CE4373" w:rsidRPr="000301BB" w:rsidDel="00596C61" w:rsidRDefault="00CE4373" w:rsidP="00863002">
            <w:pPr>
              <w:pStyle w:val="Tablenormal0"/>
              <w:spacing w:before="20" w:after="20"/>
              <w:jc w:val="center"/>
              <w:rPr>
                <w:snapToGrid w:val="0"/>
                <w:sz w:val="20"/>
                <w:lang w:val="en-AU"/>
              </w:rPr>
            </w:pPr>
            <w:r w:rsidRPr="000301BB">
              <w:rPr>
                <w:snapToGrid w:val="0"/>
                <w:sz w:val="20"/>
                <w:lang w:val="en-AU"/>
              </w:rPr>
              <w:t>2.1 (1.5 to 2.8)</w:t>
            </w:r>
          </w:p>
        </w:tc>
        <w:tc>
          <w:tcPr>
            <w:tcW w:w="1274"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31  (23-38)</w:t>
            </w:r>
          </w:p>
        </w:tc>
        <w:tc>
          <w:tcPr>
            <w:tcW w:w="1080" w:type="dxa"/>
            <w:tcBorders>
              <w:top w:val="nil"/>
              <w:bottom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p&lt;0.000</w:t>
            </w:r>
            <w:r w:rsidR="005D68C3" w:rsidRPr="000301BB">
              <w:rPr>
                <w:snapToGrid w:val="0"/>
                <w:sz w:val="20"/>
                <w:lang w:val="en-AU"/>
              </w:rPr>
              <w:t>0</w:t>
            </w:r>
            <w:r w:rsidRPr="000301BB">
              <w:rPr>
                <w:snapToGrid w:val="0"/>
                <w:sz w:val="20"/>
                <w:lang w:val="en-AU"/>
              </w:rPr>
              <w:t>1</w:t>
            </w:r>
          </w:p>
        </w:tc>
      </w:tr>
      <w:tr w:rsidR="00CE4373" w:rsidRPr="000301BB" w:rsidTr="00625272">
        <w:tc>
          <w:tcPr>
            <w:tcW w:w="2340" w:type="dxa"/>
            <w:tcBorders>
              <w:top w:val="nil"/>
            </w:tcBorders>
          </w:tcPr>
          <w:p w:rsidR="00CE4373" w:rsidRPr="000301BB" w:rsidRDefault="00CE4373" w:rsidP="00144428">
            <w:pPr>
              <w:pStyle w:val="Tablenormal0"/>
              <w:spacing w:before="20" w:after="20"/>
              <w:ind w:left="113"/>
              <w:rPr>
                <w:sz w:val="20"/>
                <w:lang w:val="en-AU"/>
              </w:rPr>
            </w:pPr>
            <w:r w:rsidRPr="000301BB">
              <w:rPr>
                <w:sz w:val="20"/>
                <w:lang w:val="en-AU"/>
              </w:rPr>
              <w:t>Hospitalisation for angina</w:t>
            </w:r>
          </w:p>
        </w:tc>
        <w:tc>
          <w:tcPr>
            <w:tcW w:w="1426" w:type="dxa"/>
            <w:tcBorders>
              <w:top w:val="nil"/>
            </w:tcBorders>
          </w:tcPr>
          <w:p w:rsidR="00CE4373" w:rsidRPr="000301BB" w:rsidRDefault="00CE4373" w:rsidP="00863002">
            <w:pPr>
              <w:pStyle w:val="Tablenormal0"/>
              <w:spacing w:before="20" w:after="20"/>
              <w:jc w:val="center"/>
              <w:rPr>
                <w:sz w:val="20"/>
                <w:lang w:val="en-AU"/>
              </w:rPr>
            </w:pPr>
            <w:r w:rsidRPr="000301BB">
              <w:rPr>
                <w:sz w:val="20"/>
                <w:lang w:val="en-AU"/>
              </w:rPr>
              <w:t>1</w:t>
            </w:r>
            <w:r w:rsidR="00625272" w:rsidRPr="000301BB">
              <w:rPr>
                <w:sz w:val="20"/>
                <w:lang w:val="en-AU"/>
              </w:rPr>
              <w:t>,</w:t>
            </w:r>
            <w:r w:rsidRPr="000301BB">
              <w:rPr>
                <w:sz w:val="20"/>
                <w:lang w:val="en-AU"/>
              </w:rPr>
              <w:t>036 (10.1%)</w:t>
            </w:r>
          </w:p>
        </w:tc>
        <w:tc>
          <w:tcPr>
            <w:tcW w:w="1440" w:type="dxa"/>
            <w:tcBorders>
              <w:top w:val="nil"/>
            </w:tcBorders>
          </w:tcPr>
          <w:p w:rsidR="00CE4373" w:rsidRPr="000301BB" w:rsidRDefault="00CE4373" w:rsidP="00863002">
            <w:pPr>
              <w:pStyle w:val="Tablenormal0"/>
              <w:spacing w:before="20" w:after="20"/>
              <w:jc w:val="center"/>
              <w:rPr>
                <w:sz w:val="20"/>
                <w:lang w:val="en-AU"/>
              </w:rPr>
            </w:pPr>
            <w:r w:rsidRPr="000301BB">
              <w:rPr>
                <w:snapToGrid w:val="0"/>
                <w:sz w:val="20"/>
                <w:lang w:val="en-AU"/>
              </w:rPr>
              <w:t>1</w:t>
            </w:r>
            <w:r w:rsidR="00625272" w:rsidRPr="000301BB">
              <w:rPr>
                <w:snapToGrid w:val="0"/>
                <w:sz w:val="20"/>
                <w:lang w:val="en-AU"/>
              </w:rPr>
              <w:t>,</w:t>
            </w:r>
            <w:r w:rsidRPr="000301BB">
              <w:rPr>
                <w:snapToGrid w:val="0"/>
                <w:sz w:val="20"/>
                <w:lang w:val="en-AU"/>
              </w:rPr>
              <w:t>221 (11.9%)</w:t>
            </w:r>
          </w:p>
        </w:tc>
        <w:tc>
          <w:tcPr>
            <w:tcW w:w="1440" w:type="dxa"/>
            <w:tcBorders>
              <w:top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1.8 (0.9 to 2.7)</w:t>
            </w:r>
          </w:p>
        </w:tc>
        <w:tc>
          <w:tcPr>
            <w:tcW w:w="1274" w:type="dxa"/>
            <w:tcBorders>
              <w:top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17  (9-23)</w:t>
            </w:r>
          </w:p>
        </w:tc>
        <w:tc>
          <w:tcPr>
            <w:tcW w:w="1080" w:type="dxa"/>
            <w:tcBorders>
              <w:top w:val="nil"/>
            </w:tcBorders>
          </w:tcPr>
          <w:p w:rsidR="00CE4373" w:rsidRPr="000301BB" w:rsidRDefault="00CE4373" w:rsidP="00863002">
            <w:pPr>
              <w:pStyle w:val="Tablenormal0"/>
              <w:spacing w:before="20" w:after="20"/>
              <w:jc w:val="center"/>
              <w:rPr>
                <w:snapToGrid w:val="0"/>
                <w:sz w:val="20"/>
                <w:lang w:val="en-AU"/>
              </w:rPr>
            </w:pPr>
            <w:r w:rsidRPr="000301BB">
              <w:rPr>
                <w:snapToGrid w:val="0"/>
                <w:sz w:val="20"/>
                <w:lang w:val="en-AU"/>
              </w:rPr>
              <w:t>p&lt;0.0001</w:t>
            </w:r>
          </w:p>
        </w:tc>
      </w:tr>
    </w:tbl>
    <w:p w:rsidR="00CE4373" w:rsidRPr="000301BB" w:rsidRDefault="00CE4373" w:rsidP="00CE4373">
      <w:pPr>
        <w:spacing w:before="20" w:after="20"/>
        <w:ind w:left="181" w:right="28" w:hanging="181"/>
        <w:rPr>
          <w:bCs w:val="0"/>
          <w:sz w:val="20"/>
          <w:szCs w:val="20"/>
          <w:vertAlign w:val="superscript"/>
        </w:rPr>
      </w:pPr>
      <w:r w:rsidRPr="000301BB">
        <w:rPr>
          <w:bCs w:val="0"/>
          <w:sz w:val="20"/>
          <w:szCs w:val="20"/>
          <w:vertAlign w:val="superscript"/>
        </w:rPr>
        <w:t>†</w:t>
      </w:r>
      <w:r w:rsidRPr="000301BB">
        <w:rPr>
          <w:bCs w:val="0"/>
          <w:sz w:val="20"/>
          <w:szCs w:val="20"/>
          <w:vertAlign w:val="superscript"/>
        </w:rPr>
        <w:tab/>
      </w:r>
      <w:r w:rsidRPr="000301BB">
        <w:rPr>
          <w:bCs w:val="0"/>
          <w:sz w:val="20"/>
          <w:szCs w:val="20"/>
        </w:rPr>
        <w:t>Based on difference in crude event rates</w:t>
      </w:r>
    </w:p>
    <w:p w:rsidR="00CE4373" w:rsidRPr="000301BB" w:rsidRDefault="00CE4373" w:rsidP="00CE4373">
      <w:pPr>
        <w:spacing w:before="20" w:after="20"/>
        <w:ind w:left="181" w:right="28" w:hanging="181"/>
        <w:rPr>
          <w:bCs w:val="0"/>
          <w:snapToGrid w:val="0"/>
          <w:sz w:val="20"/>
          <w:szCs w:val="20"/>
        </w:rPr>
      </w:pPr>
      <w:r w:rsidRPr="000301BB">
        <w:rPr>
          <w:bCs w:val="0"/>
          <w:sz w:val="20"/>
          <w:szCs w:val="20"/>
          <w:vertAlign w:val="superscript"/>
        </w:rPr>
        <w:t>‡</w:t>
      </w:r>
      <w:r w:rsidRPr="000301BB">
        <w:rPr>
          <w:bCs w:val="0"/>
          <w:sz w:val="20"/>
          <w:szCs w:val="20"/>
          <w:vertAlign w:val="superscript"/>
        </w:rPr>
        <w:tab/>
      </w:r>
      <w:r w:rsidRPr="000301BB">
        <w:rPr>
          <w:bCs w:val="0"/>
          <w:snapToGrid w:val="0"/>
          <w:sz w:val="20"/>
          <w:szCs w:val="20"/>
        </w:rPr>
        <w:t>See Figure </w:t>
      </w:r>
      <w:r w:rsidR="006179EE" w:rsidRPr="000301BB">
        <w:rPr>
          <w:bCs w:val="0"/>
          <w:snapToGrid w:val="0"/>
          <w:sz w:val="20"/>
          <w:szCs w:val="20"/>
        </w:rPr>
        <w:t xml:space="preserve">2 </w:t>
      </w:r>
      <w:r w:rsidRPr="000301BB">
        <w:rPr>
          <w:bCs w:val="0"/>
          <w:snapToGrid w:val="0"/>
          <w:sz w:val="20"/>
          <w:szCs w:val="20"/>
        </w:rPr>
        <w:t>(results by baseline characteristics)</w:t>
      </w:r>
    </w:p>
    <w:p w:rsidR="00CE4373" w:rsidRPr="000301BB" w:rsidRDefault="00CE4373" w:rsidP="00CE4373">
      <w:pPr>
        <w:spacing w:before="20" w:after="20"/>
        <w:ind w:left="181" w:right="28" w:hanging="181"/>
        <w:rPr>
          <w:bCs w:val="0"/>
          <w:sz w:val="20"/>
          <w:u w:val="double"/>
        </w:rPr>
      </w:pPr>
      <w:r w:rsidRPr="000301BB">
        <w:rPr>
          <w:bCs w:val="0"/>
          <w:sz w:val="20"/>
          <w:vertAlign w:val="superscript"/>
        </w:rPr>
        <w:t>§</w:t>
      </w:r>
      <w:r w:rsidRPr="000301BB">
        <w:rPr>
          <w:bCs w:val="0"/>
          <w:sz w:val="20"/>
          <w:vertAlign w:val="superscript"/>
        </w:rPr>
        <w:tab/>
      </w:r>
      <w:r w:rsidRPr="000301BB">
        <w:rPr>
          <w:bCs w:val="0"/>
          <w:sz w:val="20"/>
        </w:rPr>
        <w:t>A composite of</w:t>
      </w:r>
      <w:r w:rsidRPr="000301BB">
        <w:rPr>
          <w:b/>
          <w:bCs w:val="0"/>
          <w:sz w:val="20"/>
        </w:rPr>
        <w:t xml:space="preserve"> </w:t>
      </w:r>
      <w:r w:rsidRPr="000301BB">
        <w:rPr>
          <w:bCs w:val="0"/>
          <w:sz w:val="20"/>
        </w:rPr>
        <w:t>non-fatal myocardial infarction, CHD death, stroke, or revascularisation procedures</w:t>
      </w:r>
    </w:p>
    <w:p w:rsidR="00CE4373" w:rsidRPr="000301BB" w:rsidRDefault="00CE4373" w:rsidP="00CE4373">
      <w:pPr>
        <w:spacing w:before="20" w:after="20"/>
        <w:ind w:left="181" w:right="28" w:hanging="181"/>
        <w:rPr>
          <w:bCs w:val="0"/>
          <w:color w:val="000000"/>
          <w:sz w:val="20"/>
        </w:rPr>
      </w:pPr>
      <w:r w:rsidRPr="000301BB">
        <w:rPr>
          <w:bCs w:val="0"/>
          <w:sz w:val="20"/>
          <w:vertAlign w:val="superscript"/>
        </w:rPr>
        <w:sym w:font="Math Ext" w:char="F025"/>
      </w:r>
      <w:r w:rsidRPr="000301BB">
        <w:rPr>
          <w:bCs w:val="0"/>
          <w:sz w:val="20"/>
          <w:vertAlign w:val="superscript"/>
        </w:rPr>
        <w:tab/>
      </w:r>
      <w:r w:rsidRPr="000301BB">
        <w:rPr>
          <w:bCs w:val="0"/>
          <w:color w:val="000000"/>
          <w:sz w:val="20"/>
        </w:rPr>
        <w:t>A composite of</w:t>
      </w:r>
      <w:r w:rsidRPr="000301BB">
        <w:rPr>
          <w:b/>
          <w:bCs w:val="0"/>
          <w:color w:val="000000"/>
          <w:sz w:val="20"/>
        </w:rPr>
        <w:t xml:space="preserve"> </w:t>
      </w:r>
      <w:r w:rsidRPr="000301BB">
        <w:rPr>
          <w:bCs w:val="0"/>
          <w:color w:val="000000"/>
          <w:sz w:val="20"/>
        </w:rPr>
        <w:t>non-fatal myocardial infarction or CHD deaths</w:t>
      </w:r>
    </w:p>
    <w:p w:rsidR="00020968" w:rsidRPr="000301BB" w:rsidRDefault="00020968" w:rsidP="00CE4373">
      <w:pPr>
        <w:spacing w:before="20" w:after="20"/>
        <w:ind w:left="181" w:right="28" w:hanging="181"/>
        <w:rPr>
          <w:bCs w:val="0"/>
          <w:snapToGrid w:val="0"/>
          <w:sz w:val="20"/>
        </w:rPr>
      </w:pPr>
      <w:r w:rsidRPr="000301BB">
        <w:rPr>
          <w:bCs w:val="0"/>
          <w:snapToGrid w:val="0"/>
          <w:sz w:val="20"/>
        </w:rPr>
        <w:t>NS = not statistically significant</w:t>
      </w:r>
    </w:p>
    <w:p w:rsidR="0082412B" w:rsidRPr="000301BB" w:rsidRDefault="007F2E26" w:rsidP="00782CB0">
      <w:pPr>
        <w:spacing w:before="100" w:beforeAutospacing="1" w:after="100" w:afterAutospacing="1"/>
      </w:pPr>
      <w:r w:rsidRPr="000301BB">
        <w:t xml:space="preserve">The major cardiovascular events prevented were non-fatal myocardial infarction, CHD death, </w:t>
      </w:r>
      <w:proofErr w:type="gramStart"/>
      <w:r w:rsidRPr="000301BB">
        <w:t>stroke</w:t>
      </w:r>
      <w:proofErr w:type="gramEnd"/>
      <w:r w:rsidRPr="000301BB">
        <w:t xml:space="preserve"> and revascularisation procedures.  </w:t>
      </w:r>
      <w:r w:rsidR="00CE4373" w:rsidRPr="000301BB">
        <w:rPr>
          <w:snapToGrid w:val="0"/>
        </w:rPr>
        <w:t xml:space="preserve">The HPS results showed that </w:t>
      </w:r>
      <w:r w:rsidR="00CE4373" w:rsidRPr="000301BB">
        <w:t xml:space="preserve">simvastatin </w:t>
      </w:r>
      <w:r w:rsidR="00CE4373" w:rsidRPr="000301BB">
        <w:rPr>
          <w:snapToGrid w:val="0"/>
        </w:rPr>
        <w:t>40 mg/day significantly reduced: total and CHD mortality (with no evidence of any increase in non-CHD mortality); major coronary events (a composite endpoint comprised of non-fatal MI or CHD deaths); stroke; coronary revascularisation procedures; hospitalisation for angina; and major vascular events, a composite endpoint which was comprised of major coronary events, stroke, or revascularisation procedures (see Table </w:t>
      </w:r>
      <w:r w:rsidR="001B3212" w:rsidRPr="000301BB">
        <w:rPr>
          <w:snapToGrid w:val="0"/>
        </w:rPr>
        <w:t>4</w:t>
      </w:r>
      <w:r w:rsidR="00CE4373" w:rsidRPr="000301BB">
        <w:rPr>
          <w:snapToGrid w:val="0"/>
        </w:rPr>
        <w:t>).</w:t>
      </w:r>
      <w:r w:rsidR="00CE4373" w:rsidRPr="000301BB">
        <w:t xml:space="preserve">  </w:t>
      </w:r>
      <w:r w:rsidR="0082412B" w:rsidRPr="000301BB">
        <w:t xml:space="preserve">Risk reductions of approximately one-quarter were observed for major vascular events, major coronary events, and stroke. </w:t>
      </w:r>
      <w:r w:rsidR="001008C7" w:rsidRPr="000301BB">
        <w:t xml:space="preserve"> </w:t>
      </w:r>
      <w:r w:rsidR="0082412B" w:rsidRPr="000301BB">
        <w:t xml:space="preserve">These risk reductions are underestimates due to the fact that 33% of the patients in the intention-to-treat analysis did not comply with the study protocol (i.e., patients allocated placebo took a statin, or patients allocated simvastatin did not take the study </w:t>
      </w:r>
      <w:r w:rsidR="007A7434" w:rsidRPr="000301BB">
        <w:t>medication</w:t>
      </w:r>
      <w:r w:rsidR="0082412B" w:rsidRPr="000301BB">
        <w:t xml:space="preserve">). </w:t>
      </w:r>
      <w:r w:rsidR="001008C7" w:rsidRPr="000301BB">
        <w:t xml:space="preserve"> </w:t>
      </w:r>
      <w:r w:rsidR="0082412B" w:rsidRPr="000301BB">
        <w:t>Thus, by five years, simvastatin taken consistently would be expected to reduce the risk of these events by at least one-third.</w:t>
      </w:r>
    </w:p>
    <w:p w:rsidR="00173419" w:rsidRPr="000301BB" w:rsidRDefault="00173419" w:rsidP="00782CB0">
      <w:pPr>
        <w:spacing w:before="100" w:beforeAutospacing="1" w:after="100" w:afterAutospacing="1"/>
      </w:pPr>
      <w:r w:rsidRPr="000301BB">
        <w:t xml:space="preserve">Simvastatin </w:t>
      </w:r>
      <w:r w:rsidRPr="000301BB">
        <w:rPr>
          <w:snapToGrid w:val="0"/>
        </w:rPr>
        <w:t>also reduced the risk of peripheral macrovascular complications of diabetes, a composite endpoint comprised of peripheral revascularisation procedures, lower limb amputations or leg ulcers, by 21% (95% CI 2</w:t>
      </w:r>
      <w:r w:rsidRPr="000301BB">
        <w:rPr>
          <w:snapToGrid w:val="0"/>
        </w:rPr>
        <w:noBreakHyphen/>
        <w:t xml:space="preserve">36%, p=0.0293).  </w:t>
      </w:r>
      <w:r w:rsidRPr="000301BB">
        <w:t>The effects of simvastatin on major vascular events and major coronary events were similar in all subgroups of patients (see Figure </w:t>
      </w:r>
      <w:r w:rsidR="001B3212" w:rsidRPr="000301BB">
        <w:t>2</w:t>
      </w:r>
      <w:r w:rsidRPr="000301BB">
        <w:t>).  Among the diabetic participants, results for other endpoints measured were generally consistent with other high-risk individuals studied in HPS, including relative risk reductions of 20% for coronary mortality, 37% for non-fatal MI, 24% for stroke, and 17% for revascularisations (p</w:t>
      </w:r>
      <w:r w:rsidR="00D56049" w:rsidRPr="000301BB">
        <w:t xml:space="preserve"> </w:t>
      </w:r>
      <w:r w:rsidRPr="000301BB">
        <w:t>≤ 0.02).</w:t>
      </w:r>
      <w:r w:rsidR="00C33CCA">
        <w:pict>
          <v:line id="_x0000_s1037" style="position:absolute;flip:x y;z-index:251657728;mso-position-horizontal-relative:text;mso-position-vertical-relative:text" from="410.4pt,16.1pt" to="446.4pt,124.1pt" o:allowincell="f" stroked="f">
            <v:stroke startarrowwidth="narrow" startarrowlength="short" endarrow="block" endarrowwidth="narrow" endarrowlength="short"/>
          </v:line>
        </w:pict>
      </w:r>
      <w:r w:rsidRPr="000301BB">
        <w:t xml:space="preserve">  The risk reductions produced by simvastatin in both major coronary events and major vascular events were evident and consistent across all baseline characteristics shown in Figure </w:t>
      </w:r>
      <w:r w:rsidR="006179EE" w:rsidRPr="000301BB">
        <w:t>2</w:t>
      </w:r>
      <w:r w:rsidRPr="000301BB">
        <w:t xml:space="preserve">.  In addition, these risk reductions were evident and consistent regardless of prior treated hypertension, creatinine levels up to the entry limit of </w:t>
      </w:r>
      <w:r w:rsidR="00294AC2" w:rsidRPr="000301BB">
        <w:t>203 mmol/L</w:t>
      </w:r>
      <w:r w:rsidRPr="000301BB">
        <w:t>, apolipoprotein A</w:t>
      </w:r>
      <w:r w:rsidRPr="000301BB">
        <w:noBreakHyphen/>
        <w:t>I and B levels, baseline concomitant cardiovascular medications (i.e., ASA, beta blockers, ACE inhibitors, or calcium channel blockers), smoking status, alcohol intake, or obesity.</w:t>
      </w:r>
    </w:p>
    <w:p w:rsidR="0082412B" w:rsidRPr="000301BB" w:rsidRDefault="0082412B" w:rsidP="003A4113">
      <w:pPr>
        <w:pStyle w:val="CPCLH3"/>
        <w:tabs>
          <w:tab w:val="clear" w:pos="600"/>
          <w:tab w:val="clear" w:pos="1200"/>
          <w:tab w:val="clear" w:pos="1800"/>
          <w:tab w:val="clear" w:pos="2400"/>
          <w:tab w:val="clear" w:pos="3000"/>
          <w:tab w:val="clear" w:pos="3600"/>
          <w:tab w:val="clear" w:pos="4200"/>
          <w:tab w:val="clear" w:pos="4800"/>
          <w:tab w:val="clear" w:pos="5400"/>
          <w:tab w:val="clear" w:pos="6000"/>
          <w:tab w:val="clear" w:pos="6600"/>
        </w:tabs>
        <w:jc w:val="left"/>
        <w:rPr>
          <w:rFonts w:ascii="Arial" w:hAnsi="Arial" w:cs="Arial"/>
          <w:b/>
          <w:bCs/>
          <w:snapToGrid w:val="0"/>
          <w:lang w:val="en-AU"/>
        </w:rPr>
      </w:pPr>
      <w:r w:rsidRPr="000301BB">
        <w:rPr>
          <w:rFonts w:ascii="Arial" w:hAnsi="Arial" w:cs="Arial"/>
          <w:b/>
          <w:snapToGrid w:val="0"/>
          <w:lang w:val="en-AU"/>
        </w:rPr>
        <w:lastRenderedPageBreak/>
        <w:t>Figure </w:t>
      </w:r>
      <w:r w:rsidR="001B3212" w:rsidRPr="000301BB">
        <w:rPr>
          <w:rFonts w:ascii="Arial" w:hAnsi="Arial" w:cs="Arial"/>
          <w:b/>
          <w:snapToGrid w:val="0"/>
          <w:lang w:val="en-AU"/>
        </w:rPr>
        <w:t>2</w:t>
      </w:r>
      <w:r w:rsidR="009A00F7" w:rsidRPr="000301BB">
        <w:rPr>
          <w:rFonts w:ascii="Arial" w:hAnsi="Arial" w:cs="Arial"/>
          <w:b/>
          <w:snapToGrid w:val="0"/>
          <w:lang w:val="en-AU"/>
        </w:rPr>
        <w:t xml:space="preserve"> </w:t>
      </w:r>
      <w:proofErr w:type="gramStart"/>
      <w:r w:rsidRPr="000301BB">
        <w:rPr>
          <w:rFonts w:ascii="Arial" w:hAnsi="Arial" w:cs="Arial"/>
          <w:b/>
          <w:snapToGrid w:val="0"/>
          <w:lang w:val="en-AU"/>
        </w:rPr>
        <w:t>The</w:t>
      </w:r>
      <w:proofErr w:type="gramEnd"/>
      <w:r w:rsidRPr="000301BB">
        <w:rPr>
          <w:rFonts w:ascii="Arial" w:hAnsi="Arial" w:cs="Arial"/>
          <w:b/>
          <w:snapToGrid w:val="0"/>
          <w:lang w:val="en-AU"/>
        </w:rPr>
        <w:t xml:space="preserve"> Beneficial Effects of Treatment with Simvastatin on Major Vascular Events </w:t>
      </w:r>
      <w:r w:rsidRPr="000301BB">
        <w:rPr>
          <w:rFonts w:ascii="Arial" w:hAnsi="Arial" w:cs="Arial"/>
          <w:b/>
          <w:bCs/>
          <w:snapToGrid w:val="0"/>
          <w:lang w:val="en-AU"/>
        </w:rPr>
        <w:t>and Major Coronary Events in HPS</w:t>
      </w:r>
    </w:p>
    <w:p w:rsidR="0082412B" w:rsidRPr="000301BB" w:rsidRDefault="00DF3075" w:rsidP="003A4113">
      <w:pPr>
        <w:pStyle w:val="Body"/>
        <w:ind w:firstLine="0"/>
        <w:jc w:val="left"/>
        <w:rPr>
          <w:color w:val="000000"/>
          <w:lang w:val="en-AU"/>
        </w:rPr>
      </w:pPr>
      <w:r>
        <w:rPr>
          <w:noProof/>
          <w:lang w:val="en-AU" w:eastAsia="en-AU"/>
        </w:rPr>
        <w:drawing>
          <wp:inline distT="0" distB="0" distL="0" distR="0">
            <wp:extent cx="5715000" cy="3657600"/>
            <wp:effectExtent l="19050" t="0" r="0" b="0"/>
            <wp:docPr id="4" name="Picture 4" descr="Figure 2 The Beneficial Effects of Treatment with Simvastatin on Major Vascular Events and Major Coronary Events in H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a_47_C"/>
                    <pic:cNvPicPr>
                      <a:picLocks noChangeAspect="1" noChangeArrowheads="1"/>
                    </pic:cNvPicPr>
                  </pic:nvPicPr>
                  <pic:blipFill>
                    <a:blip r:embed="rId12" cstate="print"/>
                    <a:srcRect l="127" t="4558" r="11501" b="10669"/>
                    <a:stretch>
                      <a:fillRect/>
                    </a:stretch>
                  </pic:blipFill>
                  <pic:spPr bwMode="auto">
                    <a:xfrm>
                      <a:off x="0" y="0"/>
                      <a:ext cx="5715000" cy="3657600"/>
                    </a:xfrm>
                    <a:prstGeom prst="rect">
                      <a:avLst/>
                    </a:prstGeom>
                    <a:noFill/>
                    <a:ln w="9525">
                      <a:noFill/>
                      <a:miter lim="800000"/>
                      <a:headEnd/>
                      <a:tailEnd/>
                    </a:ln>
                  </pic:spPr>
                </pic:pic>
              </a:graphicData>
            </a:graphic>
          </wp:inline>
        </w:drawing>
      </w:r>
    </w:p>
    <w:p w:rsidR="0082412B" w:rsidRPr="000301BB" w:rsidRDefault="0082412B" w:rsidP="002B4359">
      <w:pPr>
        <w:pStyle w:val="Body"/>
        <w:spacing w:after="100" w:afterAutospacing="1"/>
        <w:ind w:firstLine="0"/>
        <w:jc w:val="left"/>
        <w:rPr>
          <w:color w:val="000000"/>
          <w:lang w:val="en-AU"/>
        </w:rPr>
      </w:pPr>
      <w:r w:rsidRPr="000301BB">
        <w:rPr>
          <w:color w:val="000000"/>
          <w:lang w:val="en-AU"/>
        </w:rPr>
        <w:t xml:space="preserve">N= number of patients in each subgroup. </w:t>
      </w:r>
      <w:r w:rsidR="00694454" w:rsidRPr="000301BB">
        <w:rPr>
          <w:color w:val="000000"/>
          <w:lang w:val="en-AU"/>
        </w:rPr>
        <w:t xml:space="preserve"> </w:t>
      </w:r>
      <w:r w:rsidRPr="000301BB">
        <w:rPr>
          <w:color w:val="000000"/>
          <w:lang w:val="en-AU"/>
        </w:rPr>
        <w:t xml:space="preserve">All subgroups were defined at baseline. </w:t>
      </w:r>
      <w:r w:rsidR="00694454" w:rsidRPr="000301BB">
        <w:rPr>
          <w:color w:val="000000"/>
          <w:lang w:val="en-AU"/>
        </w:rPr>
        <w:t xml:space="preserve"> </w:t>
      </w:r>
      <w:r w:rsidR="00694454" w:rsidRPr="000301BB">
        <w:rPr>
          <w:bCs/>
          <w:color w:val="000000"/>
          <w:lang w:val="en-AU"/>
        </w:rPr>
        <w:t xml:space="preserve">In this study, patients were classified with metabolic syndrome if they had abdominal obesity, elevated blood pressure, and low HDL-C; other factors such as fasting TG and insulin resistance were not measured.  </w:t>
      </w:r>
      <w:r w:rsidRPr="000301BB">
        <w:rPr>
          <w:color w:val="000000"/>
          <w:lang w:val="en-AU"/>
        </w:rPr>
        <w:t xml:space="preserve">Placebo incidence is the percentage of patients in the placebo group who had one or more MVE or MCE during the study. </w:t>
      </w:r>
      <w:r w:rsidR="00694454" w:rsidRPr="000301BB">
        <w:rPr>
          <w:color w:val="000000"/>
          <w:lang w:val="en-AU"/>
        </w:rPr>
        <w:t xml:space="preserve"> </w:t>
      </w:r>
      <w:r w:rsidRPr="000301BB">
        <w:rPr>
          <w:color w:val="000000"/>
          <w:lang w:val="en-AU"/>
        </w:rPr>
        <w:t xml:space="preserve">The inverted triangles are point estimates of the risk ratio in the simvastatin group, with their 95% confidence intervals represented as a line. </w:t>
      </w:r>
      <w:r w:rsidR="00694454" w:rsidRPr="000301BB">
        <w:rPr>
          <w:color w:val="000000"/>
          <w:lang w:val="en-AU"/>
        </w:rPr>
        <w:t xml:space="preserve"> </w:t>
      </w:r>
      <w:r w:rsidRPr="000301BB">
        <w:rPr>
          <w:color w:val="000000"/>
          <w:lang w:val="en-AU"/>
        </w:rPr>
        <w:t xml:space="preserve">If the point estimate fell on the left of the unity line, the observed outcome was better in </w:t>
      </w:r>
      <w:proofErr w:type="gramStart"/>
      <w:r w:rsidRPr="000301BB">
        <w:rPr>
          <w:color w:val="000000"/>
          <w:lang w:val="en-AU"/>
        </w:rPr>
        <w:t>patients</w:t>
      </w:r>
      <w:proofErr w:type="gramEnd"/>
      <w:r w:rsidRPr="000301BB">
        <w:rPr>
          <w:color w:val="000000"/>
          <w:lang w:val="en-AU"/>
        </w:rPr>
        <w:t xml:space="preserve"> allocated active simvastatin. </w:t>
      </w:r>
      <w:r w:rsidR="00694454" w:rsidRPr="000301BB">
        <w:rPr>
          <w:color w:val="000000"/>
          <w:lang w:val="en-AU"/>
        </w:rPr>
        <w:t xml:space="preserve"> </w:t>
      </w:r>
      <w:r w:rsidRPr="000301BB">
        <w:rPr>
          <w:color w:val="000000"/>
          <w:lang w:val="en-AU"/>
        </w:rPr>
        <w:t xml:space="preserve">Conversely, if it fell on the right, the observed outcome was better in </w:t>
      </w:r>
      <w:proofErr w:type="gramStart"/>
      <w:r w:rsidRPr="000301BB">
        <w:rPr>
          <w:color w:val="000000"/>
          <w:lang w:val="en-AU"/>
        </w:rPr>
        <w:t>patients</w:t>
      </w:r>
      <w:proofErr w:type="gramEnd"/>
      <w:r w:rsidRPr="000301BB">
        <w:rPr>
          <w:color w:val="000000"/>
          <w:lang w:val="en-AU"/>
        </w:rPr>
        <w:t xml:space="preserve"> allocated placebo. </w:t>
      </w:r>
      <w:r w:rsidR="00694454" w:rsidRPr="000301BB">
        <w:rPr>
          <w:color w:val="000000"/>
          <w:lang w:val="en-AU"/>
        </w:rPr>
        <w:t xml:space="preserve"> </w:t>
      </w:r>
      <w:r w:rsidRPr="000301BB">
        <w:rPr>
          <w:color w:val="000000"/>
          <w:lang w:val="en-AU"/>
        </w:rPr>
        <w:t xml:space="preserve">The areas of the triangles are proportional to the number of patients with the relative endpoint. </w:t>
      </w:r>
      <w:r w:rsidR="00694454" w:rsidRPr="000301BB">
        <w:rPr>
          <w:color w:val="000000"/>
          <w:lang w:val="en-AU"/>
        </w:rPr>
        <w:t xml:space="preserve"> </w:t>
      </w:r>
      <w:r w:rsidRPr="000301BB">
        <w:rPr>
          <w:color w:val="000000"/>
          <w:lang w:val="en-AU"/>
        </w:rPr>
        <w:t>The vertical dashed line represents the point estimate of relative risk in the entire study population.</w:t>
      </w:r>
      <w:r w:rsidR="00694454" w:rsidRPr="000301BB">
        <w:rPr>
          <w:color w:val="000000"/>
          <w:lang w:val="en-AU"/>
        </w:rPr>
        <w:t xml:space="preserve"> </w:t>
      </w:r>
      <w:r w:rsidRPr="000301BB">
        <w:rPr>
          <w:color w:val="000000"/>
          <w:lang w:val="en-AU"/>
        </w:rPr>
        <w:t xml:space="preserve"> </w:t>
      </w:r>
      <w:proofErr w:type="gramStart"/>
      <w:r w:rsidRPr="000301BB">
        <w:rPr>
          <w:color w:val="000000"/>
          <w:lang w:val="en-AU"/>
        </w:rPr>
        <w:t>RR(</w:t>
      </w:r>
      <w:proofErr w:type="gramEnd"/>
      <w:r w:rsidRPr="000301BB">
        <w:rPr>
          <w:color w:val="000000"/>
          <w:lang w:val="en-AU"/>
        </w:rPr>
        <w:t>%) represents risk reduction, i.e., (1</w:t>
      </w:r>
      <w:r w:rsidRPr="000301BB">
        <w:rPr>
          <w:color w:val="000000"/>
          <w:lang w:val="en-AU"/>
        </w:rPr>
        <w:sym w:font="Symbol" w:char="F02D"/>
      </w:r>
      <w:r w:rsidRPr="000301BB">
        <w:rPr>
          <w:color w:val="000000"/>
          <w:lang w:val="en-AU"/>
        </w:rPr>
        <w:t>risk ratio) x 100%.</w:t>
      </w:r>
    </w:p>
    <w:p w:rsidR="009D10B2" w:rsidRPr="000301BB" w:rsidRDefault="009D10B2" w:rsidP="002B4359">
      <w:pPr>
        <w:pStyle w:val="Heading4"/>
      </w:pPr>
      <w:r w:rsidRPr="000301BB">
        <w:t xml:space="preserve">Primary Hypercholesterolaemia and Combined Hyperlipidaemia (Fredrickson </w:t>
      </w:r>
      <w:r w:rsidR="00897CEA" w:rsidRPr="000301BB">
        <w:t>t</w:t>
      </w:r>
      <w:r w:rsidRPr="000301BB">
        <w:t>ype lla and llb)</w:t>
      </w:r>
    </w:p>
    <w:p w:rsidR="00423B5C" w:rsidRPr="000301BB" w:rsidRDefault="00423B5C" w:rsidP="002B4359">
      <w:pPr>
        <w:spacing w:after="100" w:afterAutospacing="1"/>
        <w:rPr>
          <w:u w:val="single"/>
        </w:rPr>
      </w:pPr>
      <w:r w:rsidRPr="000301BB">
        <w:t>Simvastatin has been studied in the treatment of primary hypercholesterolaemia where diet alone has been insufficient.  Simvastatin was highly effective in reducing total-C and LDL</w:t>
      </w:r>
      <w:r w:rsidRPr="000301BB">
        <w:noBreakHyphen/>
        <w:t>C in heterozygous familial (Fredrickson type IIa) and non</w:t>
      </w:r>
      <w:r w:rsidRPr="000301BB">
        <w:noBreakHyphen/>
        <w:t>familial forms of hypercholesterolaemia, and in mixed hyperlipidaemia (Fredrickson type IIb) when elevated cholesterol was a cause of concern.  A marked response was seen within 2 weeks, and the maximum therapeutic response occurred within 4</w:t>
      </w:r>
      <w:r w:rsidRPr="000301BB">
        <w:noBreakHyphen/>
        <w:t>6 weeks.  The response has been maintained during continuation of therapy.  In six controlled clinical studies involving approximately 1</w:t>
      </w:r>
      <w:r w:rsidR="0083174B" w:rsidRPr="000301BB">
        <w:t>,</w:t>
      </w:r>
      <w:r w:rsidRPr="000301BB">
        <w:t xml:space="preserve">700 patients with normal or slightly raised TG (mean 1.9 mmol/L), plasma TG, VLDL-C and Apo B decreased in all studies in a dose-dependent manner.  In two of these studies in patients with hypercholesterolaemia receiving </w:t>
      </w:r>
      <w:r w:rsidR="00C540F7" w:rsidRPr="000301BB">
        <w:t>simvastatin</w:t>
      </w:r>
      <w:r w:rsidRPr="000301BB">
        <w:t xml:space="preserve"> 20 or 40 mg/day for 12 weeks, the following results were observed.</w:t>
      </w:r>
    </w:p>
    <w:p w:rsidR="00423B5C" w:rsidRPr="000301BB" w:rsidRDefault="00423B5C" w:rsidP="008A02ED">
      <w:pPr>
        <w:pageBreakBefore/>
        <w:spacing w:before="20" w:after="20"/>
        <w:outlineLvl w:val="0"/>
        <w:rPr>
          <w:b/>
          <w:sz w:val="20"/>
          <w:szCs w:val="20"/>
        </w:rPr>
      </w:pPr>
      <w:r w:rsidRPr="000301BB">
        <w:rPr>
          <w:b/>
          <w:sz w:val="20"/>
          <w:szCs w:val="20"/>
        </w:rPr>
        <w:lastRenderedPageBreak/>
        <w:t xml:space="preserve">Table </w:t>
      </w:r>
      <w:proofErr w:type="gramStart"/>
      <w:r w:rsidR="001B3212" w:rsidRPr="000301BB">
        <w:rPr>
          <w:b/>
          <w:sz w:val="20"/>
          <w:szCs w:val="20"/>
        </w:rPr>
        <w:t xml:space="preserve">5  </w:t>
      </w:r>
      <w:r w:rsidRPr="000301BB">
        <w:rPr>
          <w:b/>
          <w:sz w:val="20"/>
          <w:szCs w:val="20"/>
        </w:rPr>
        <w:t>Effect</w:t>
      </w:r>
      <w:proofErr w:type="gramEnd"/>
      <w:r w:rsidRPr="000301BB">
        <w:rPr>
          <w:b/>
          <w:sz w:val="20"/>
          <w:szCs w:val="20"/>
        </w:rPr>
        <w:t xml:space="preserve"> of Simvastatin in Patients with Hypercholesterolaemia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620"/>
        <w:gridCol w:w="2700"/>
        <w:gridCol w:w="2520"/>
      </w:tblGrid>
      <w:tr w:rsidR="00423B5C" w:rsidRPr="000301BB" w:rsidTr="00E221EB">
        <w:tc>
          <w:tcPr>
            <w:tcW w:w="2160" w:type="dxa"/>
          </w:tcPr>
          <w:p w:rsidR="00423B5C" w:rsidRPr="000301BB" w:rsidRDefault="00423B5C" w:rsidP="00423B5C">
            <w:pPr>
              <w:spacing w:before="20" w:after="20"/>
              <w:rPr>
                <w:sz w:val="20"/>
                <w:szCs w:val="20"/>
              </w:rPr>
            </w:pPr>
          </w:p>
        </w:tc>
        <w:tc>
          <w:tcPr>
            <w:tcW w:w="1620" w:type="dxa"/>
          </w:tcPr>
          <w:p w:rsidR="00423B5C" w:rsidRPr="000301BB" w:rsidRDefault="00423B5C" w:rsidP="00423B5C">
            <w:pPr>
              <w:spacing w:before="20" w:after="20"/>
              <w:rPr>
                <w:sz w:val="20"/>
                <w:szCs w:val="20"/>
              </w:rPr>
            </w:pPr>
            <w:r w:rsidRPr="000301BB">
              <w:rPr>
                <w:sz w:val="20"/>
                <w:szCs w:val="20"/>
              </w:rPr>
              <w:t>Mean Baseline</w:t>
            </w:r>
          </w:p>
        </w:tc>
        <w:tc>
          <w:tcPr>
            <w:tcW w:w="5220" w:type="dxa"/>
            <w:gridSpan w:val="2"/>
          </w:tcPr>
          <w:p w:rsidR="00423B5C" w:rsidRPr="000301BB" w:rsidRDefault="00423B5C" w:rsidP="00423B5C">
            <w:pPr>
              <w:spacing w:before="20" w:after="20"/>
              <w:jc w:val="center"/>
              <w:rPr>
                <w:sz w:val="20"/>
                <w:szCs w:val="20"/>
              </w:rPr>
            </w:pPr>
            <w:r w:rsidRPr="000301BB">
              <w:rPr>
                <w:sz w:val="20"/>
                <w:szCs w:val="20"/>
              </w:rPr>
              <w:t xml:space="preserve">Mean Percent Change </w:t>
            </w:r>
          </w:p>
        </w:tc>
      </w:tr>
      <w:tr w:rsidR="00423B5C" w:rsidRPr="000301BB" w:rsidTr="00E221EB">
        <w:tc>
          <w:tcPr>
            <w:tcW w:w="2160" w:type="dxa"/>
          </w:tcPr>
          <w:p w:rsidR="00423B5C" w:rsidRPr="000301BB" w:rsidRDefault="00423B5C" w:rsidP="00423B5C">
            <w:pPr>
              <w:spacing w:before="20" w:after="20"/>
              <w:rPr>
                <w:sz w:val="20"/>
                <w:szCs w:val="20"/>
              </w:rPr>
            </w:pPr>
          </w:p>
        </w:tc>
        <w:tc>
          <w:tcPr>
            <w:tcW w:w="1620" w:type="dxa"/>
          </w:tcPr>
          <w:p w:rsidR="00423B5C" w:rsidRPr="000301BB" w:rsidRDefault="00423B5C" w:rsidP="00423B5C">
            <w:pPr>
              <w:spacing w:before="20" w:after="20"/>
              <w:rPr>
                <w:sz w:val="20"/>
                <w:szCs w:val="20"/>
              </w:rPr>
            </w:pPr>
          </w:p>
        </w:tc>
        <w:tc>
          <w:tcPr>
            <w:tcW w:w="2700" w:type="dxa"/>
          </w:tcPr>
          <w:p w:rsidR="00423B5C" w:rsidRPr="000301BB" w:rsidRDefault="00423B5C" w:rsidP="00423B5C">
            <w:pPr>
              <w:spacing w:before="20" w:after="20"/>
              <w:jc w:val="center"/>
              <w:rPr>
                <w:sz w:val="20"/>
                <w:szCs w:val="20"/>
              </w:rPr>
            </w:pPr>
            <w:r w:rsidRPr="000301BB">
              <w:rPr>
                <w:sz w:val="20"/>
                <w:szCs w:val="20"/>
              </w:rPr>
              <w:t>20 mg once daily (n=166)</w:t>
            </w:r>
          </w:p>
        </w:tc>
        <w:tc>
          <w:tcPr>
            <w:tcW w:w="2520" w:type="dxa"/>
          </w:tcPr>
          <w:p w:rsidR="00423B5C" w:rsidRPr="000301BB" w:rsidRDefault="00423B5C" w:rsidP="00423B5C">
            <w:pPr>
              <w:spacing w:before="20" w:after="20"/>
              <w:jc w:val="center"/>
              <w:rPr>
                <w:sz w:val="20"/>
                <w:szCs w:val="20"/>
              </w:rPr>
            </w:pPr>
            <w:r w:rsidRPr="000301BB">
              <w:rPr>
                <w:sz w:val="20"/>
                <w:szCs w:val="20"/>
              </w:rPr>
              <w:t>40 mg once daily (n=161)</w:t>
            </w:r>
          </w:p>
        </w:tc>
      </w:tr>
      <w:tr w:rsidR="00423B5C" w:rsidRPr="000301BB" w:rsidTr="00E221EB">
        <w:tc>
          <w:tcPr>
            <w:tcW w:w="2160" w:type="dxa"/>
          </w:tcPr>
          <w:p w:rsidR="00423B5C" w:rsidRPr="000301BB" w:rsidRDefault="00423B5C" w:rsidP="00423B5C">
            <w:pPr>
              <w:spacing w:before="20" w:after="20"/>
              <w:rPr>
                <w:sz w:val="20"/>
                <w:szCs w:val="20"/>
              </w:rPr>
            </w:pPr>
            <w:r w:rsidRPr="000301BB">
              <w:rPr>
                <w:sz w:val="20"/>
                <w:szCs w:val="20"/>
              </w:rPr>
              <w:t>Total Cholesterol</w:t>
            </w:r>
          </w:p>
        </w:tc>
        <w:tc>
          <w:tcPr>
            <w:tcW w:w="1620" w:type="dxa"/>
          </w:tcPr>
          <w:p w:rsidR="00423B5C" w:rsidRPr="000301BB" w:rsidRDefault="00423B5C" w:rsidP="00423B5C">
            <w:pPr>
              <w:spacing w:before="20" w:after="20"/>
              <w:rPr>
                <w:sz w:val="20"/>
                <w:szCs w:val="20"/>
              </w:rPr>
            </w:pPr>
            <w:r w:rsidRPr="000301BB">
              <w:rPr>
                <w:sz w:val="20"/>
                <w:szCs w:val="20"/>
              </w:rPr>
              <w:t>8.3 mmol/L</w:t>
            </w:r>
          </w:p>
        </w:tc>
        <w:tc>
          <w:tcPr>
            <w:tcW w:w="2700" w:type="dxa"/>
          </w:tcPr>
          <w:p w:rsidR="00423B5C" w:rsidRPr="000301BB" w:rsidRDefault="00423B5C" w:rsidP="00423B5C">
            <w:pPr>
              <w:spacing w:before="20" w:after="20"/>
              <w:jc w:val="center"/>
              <w:rPr>
                <w:sz w:val="20"/>
                <w:szCs w:val="20"/>
              </w:rPr>
            </w:pPr>
            <w:r w:rsidRPr="000301BB">
              <w:rPr>
                <w:sz w:val="20"/>
                <w:szCs w:val="20"/>
              </w:rPr>
              <w:t>-27: -27</w:t>
            </w:r>
          </w:p>
        </w:tc>
        <w:tc>
          <w:tcPr>
            <w:tcW w:w="2520" w:type="dxa"/>
          </w:tcPr>
          <w:p w:rsidR="00423B5C" w:rsidRPr="000301BB" w:rsidRDefault="00423B5C" w:rsidP="00423B5C">
            <w:pPr>
              <w:spacing w:before="20" w:after="20"/>
              <w:jc w:val="center"/>
              <w:rPr>
                <w:sz w:val="20"/>
                <w:szCs w:val="20"/>
              </w:rPr>
            </w:pPr>
            <w:r w:rsidRPr="000301BB">
              <w:rPr>
                <w:sz w:val="20"/>
                <w:szCs w:val="20"/>
              </w:rPr>
              <w:t>-30: -33</w:t>
            </w:r>
          </w:p>
        </w:tc>
      </w:tr>
      <w:tr w:rsidR="00423B5C" w:rsidRPr="000301BB" w:rsidTr="00E221EB">
        <w:tc>
          <w:tcPr>
            <w:tcW w:w="2160" w:type="dxa"/>
          </w:tcPr>
          <w:p w:rsidR="00423B5C" w:rsidRPr="000301BB" w:rsidRDefault="00423B5C" w:rsidP="00423B5C">
            <w:pPr>
              <w:spacing w:before="20" w:after="20"/>
              <w:rPr>
                <w:sz w:val="20"/>
                <w:szCs w:val="20"/>
              </w:rPr>
            </w:pPr>
            <w:r w:rsidRPr="000301BB">
              <w:rPr>
                <w:sz w:val="20"/>
                <w:szCs w:val="20"/>
              </w:rPr>
              <w:t>LDL-Cholesterol</w:t>
            </w:r>
          </w:p>
        </w:tc>
        <w:tc>
          <w:tcPr>
            <w:tcW w:w="1620" w:type="dxa"/>
          </w:tcPr>
          <w:p w:rsidR="00423B5C" w:rsidRPr="000301BB" w:rsidRDefault="00423B5C" w:rsidP="00423B5C">
            <w:pPr>
              <w:spacing w:before="20" w:after="20"/>
              <w:rPr>
                <w:sz w:val="20"/>
                <w:szCs w:val="20"/>
              </w:rPr>
            </w:pPr>
            <w:r w:rsidRPr="000301BB">
              <w:rPr>
                <w:sz w:val="20"/>
                <w:szCs w:val="20"/>
              </w:rPr>
              <w:t>6.4 mmol/L</w:t>
            </w:r>
          </w:p>
        </w:tc>
        <w:tc>
          <w:tcPr>
            <w:tcW w:w="2700" w:type="dxa"/>
          </w:tcPr>
          <w:p w:rsidR="00423B5C" w:rsidRPr="000301BB" w:rsidRDefault="00423B5C" w:rsidP="00423B5C">
            <w:pPr>
              <w:spacing w:before="20" w:after="20"/>
              <w:jc w:val="center"/>
              <w:rPr>
                <w:sz w:val="20"/>
                <w:szCs w:val="20"/>
              </w:rPr>
            </w:pPr>
            <w:r w:rsidRPr="000301BB">
              <w:rPr>
                <w:sz w:val="20"/>
                <w:szCs w:val="20"/>
              </w:rPr>
              <w:t xml:space="preserve"> -32: -34</w:t>
            </w:r>
          </w:p>
        </w:tc>
        <w:tc>
          <w:tcPr>
            <w:tcW w:w="2520" w:type="dxa"/>
          </w:tcPr>
          <w:p w:rsidR="00423B5C" w:rsidRPr="000301BB" w:rsidRDefault="00423B5C" w:rsidP="00423B5C">
            <w:pPr>
              <w:spacing w:before="20" w:after="20"/>
              <w:jc w:val="center"/>
              <w:rPr>
                <w:sz w:val="20"/>
                <w:szCs w:val="20"/>
              </w:rPr>
            </w:pPr>
            <w:r w:rsidRPr="000301BB">
              <w:rPr>
                <w:sz w:val="20"/>
                <w:szCs w:val="20"/>
              </w:rPr>
              <w:t>-40: -41</w:t>
            </w:r>
          </w:p>
        </w:tc>
      </w:tr>
      <w:tr w:rsidR="00423B5C" w:rsidRPr="000301BB" w:rsidTr="00E221EB">
        <w:tc>
          <w:tcPr>
            <w:tcW w:w="2160" w:type="dxa"/>
          </w:tcPr>
          <w:p w:rsidR="00423B5C" w:rsidRPr="000301BB" w:rsidRDefault="00423B5C" w:rsidP="00423B5C">
            <w:pPr>
              <w:spacing w:before="20" w:after="20"/>
              <w:rPr>
                <w:sz w:val="20"/>
                <w:szCs w:val="20"/>
              </w:rPr>
            </w:pPr>
            <w:r w:rsidRPr="000301BB">
              <w:rPr>
                <w:sz w:val="20"/>
                <w:szCs w:val="20"/>
              </w:rPr>
              <w:t>HDL-Cholesterol</w:t>
            </w:r>
          </w:p>
        </w:tc>
        <w:tc>
          <w:tcPr>
            <w:tcW w:w="1620" w:type="dxa"/>
          </w:tcPr>
          <w:p w:rsidR="00423B5C" w:rsidRPr="000301BB" w:rsidRDefault="00423B5C" w:rsidP="00423B5C">
            <w:pPr>
              <w:spacing w:before="20" w:after="20"/>
              <w:rPr>
                <w:sz w:val="20"/>
                <w:szCs w:val="20"/>
              </w:rPr>
            </w:pPr>
            <w:r w:rsidRPr="000301BB">
              <w:rPr>
                <w:sz w:val="20"/>
                <w:szCs w:val="20"/>
              </w:rPr>
              <w:t>1.2 mmol/L</w:t>
            </w:r>
          </w:p>
        </w:tc>
        <w:tc>
          <w:tcPr>
            <w:tcW w:w="2700" w:type="dxa"/>
          </w:tcPr>
          <w:p w:rsidR="00423B5C" w:rsidRPr="000301BB" w:rsidRDefault="00423B5C" w:rsidP="00423B5C">
            <w:pPr>
              <w:spacing w:before="20" w:after="20"/>
              <w:jc w:val="center"/>
              <w:rPr>
                <w:sz w:val="20"/>
                <w:szCs w:val="20"/>
              </w:rPr>
            </w:pPr>
            <w:r w:rsidRPr="000301BB">
              <w:rPr>
                <w:sz w:val="20"/>
                <w:szCs w:val="20"/>
              </w:rPr>
              <w:t>+10: +10</w:t>
            </w:r>
          </w:p>
        </w:tc>
        <w:tc>
          <w:tcPr>
            <w:tcW w:w="2520" w:type="dxa"/>
          </w:tcPr>
          <w:p w:rsidR="00423B5C" w:rsidRPr="000301BB" w:rsidRDefault="00423B5C" w:rsidP="00423B5C">
            <w:pPr>
              <w:spacing w:before="20" w:after="20"/>
              <w:jc w:val="center"/>
              <w:rPr>
                <w:sz w:val="20"/>
                <w:szCs w:val="20"/>
              </w:rPr>
            </w:pPr>
            <w:r w:rsidRPr="000301BB">
              <w:rPr>
                <w:sz w:val="20"/>
                <w:szCs w:val="20"/>
              </w:rPr>
              <w:t xml:space="preserve"> +10: +13</w:t>
            </w:r>
          </w:p>
        </w:tc>
      </w:tr>
      <w:tr w:rsidR="00423B5C" w:rsidRPr="000301BB" w:rsidTr="00E221EB">
        <w:tc>
          <w:tcPr>
            <w:tcW w:w="2160" w:type="dxa"/>
          </w:tcPr>
          <w:p w:rsidR="00423B5C" w:rsidRPr="000301BB" w:rsidRDefault="00423B5C" w:rsidP="00423B5C">
            <w:pPr>
              <w:spacing w:before="20" w:after="20"/>
              <w:rPr>
                <w:sz w:val="20"/>
                <w:szCs w:val="20"/>
              </w:rPr>
            </w:pPr>
            <w:r w:rsidRPr="000301BB">
              <w:rPr>
                <w:sz w:val="20"/>
                <w:szCs w:val="20"/>
              </w:rPr>
              <w:t>Triglycerides</w:t>
            </w:r>
          </w:p>
        </w:tc>
        <w:tc>
          <w:tcPr>
            <w:tcW w:w="1620" w:type="dxa"/>
          </w:tcPr>
          <w:p w:rsidR="00423B5C" w:rsidRPr="000301BB" w:rsidRDefault="00423B5C" w:rsidP="00423B5C">
            <w:pPr>
              <w:spacing w:before="20" w:after="20"/>
              <w:rPr>
                <w:sz w:val="20"/>
                <w:szCs w:val="20"/>
              </w:rPr>
            </w:pPr>
            <w:r w:rsidRPr="000301BB">
              <w:rPr>
                <w:sz w:val="20"/>
                <w:szCs w:val="20"/>
              </w:rPr>
              <w:t>1.9 mmol/L</w:t>
            </w:r>
          </w:p>
        </w:tc>
        <w:tc>
          <w:tcPr>
            <w:tcW w:w="2700" w:type="dxa"/>
          </w:tcPr>
          <w:p w:rsidR="00423B5C" w:rsidRPr="000301BB" w:rsidRDefault="00423B5C" w:rsidP="00423B5C">
            <w:pPr>
              <w:spacing w:before="20" w:after="20"/>
              <w:jc w:val="center"/>
              <w:rPr>
                <w:sz w:val="20"/>
                <w:szCs w:val="20"/>
              </w:rPr>
            </w:pPr>
            <w:r w:rsidRPr="000301BB">
              <w:rPr>
                <w:sz w:val="20"/>
                <w:szCs w:val="20"/>
              </w:rPr>
              <w:t xml:space="preserve"> -13: -17</w:t>
            </w:r>
          </w:p>
        </w:tc>
        <w:tc>
          <w:tcPr>
            <w:tcW w:w="2520" w:type="dxa"/>
          </w:tcPr>
          <w:p w:rsidR="00423B5C" w:rsidRPr="000301BB" w:rsidRDefault="00423B5C" w:rsidP="00423B5C">
            <w:pPr>
              <w:spacing w:before="20" w:after="20"/>
              <w:jc w:val="center"/>
              <w:rPr>
                <w:sz w:val="20"/>
                <w:szCs w:val="20"/>
              </w:rPr>
            </w:pPr>
            <w:r w:rsidRPr="000301BB">
              <w:rPr>
                <w:sz w:val="20"/>
                <w:szCs w:val="20"/>
              </w:rPr>
              <w:t>-19: -27</w:t>
            </w:r>
          </w:p>
        </w:tc>
      </w:tr>
      <w:tr w:rsidR="00423B5C" w:rsidRPr="000301BB" w:rsidTr="00E221EB">
        <w:tc>
          <w:tcPr>
            <w:tcW w:w="2160" w:type="dxa"/>
          </w:tcPr>
          <w:p w:rsidR="00423B5C" w:rsidRPr="000301BB" w:rsidRDefault="00423B5C" w:rsidP="00423B5C">
            <w:pPr>
              <w:spacing w:before="20" w:after="20"/>
              <w:rPr>
                <w:sz w:val="20"/>
                <w:szCs w:val="20"/>
              </w:rPr>
            </w:pPr>
            <w:r w:rsidRPr="000301BB">
              <w:rPr>
                <w:sz w:val="20"/>
                <w:szCs w:val="20"/>
              </w:rPr>
              <w:t>VLDL-Cholesterol</w:t>
            </w:r>
          </w:p>
        </w:tc>
        <w:tc>
          <w:tcPr>
            <w:tcW w:w="1620" w:type="dxa"/>
          </w:tcPr>
          <w:p w:rsidR="00423B5C" w:rsidRPr="000301BB" w:rsidRDefault="00423B5C" w:rsidP="00423B5C">
            <w:pPr>
              <w:spacing w:before="20" w:after="20"/>
              <w:rPr>
                <w:sz w:val="20"/>
                <w:szCs w:val="20"/>
              </w:rPr>
            </w:pPr>
            <w:r w:rsidRPr="000301BB">
              <w:rPr>
                <w:sz w:val="20"/>
                <w:szCs w:val="20"/>
              </w:rPr>
              <w:t>0.8 mmol/L</w:t>
            </w:r>
          </w:p>
        </w:tc>
        <w:tc>
          <w:tcPr>
            <w:tcW w:w="2700" w:type="dxa"/>
          </w:tcPr>
          <w:p w:rsidR="00423B5C" w:rsidRPr="000301BB" w:rsidRDefault="00423B5C" w:rsidP="00423B5C">
            <w:pPr>
              <w:spacing w:before="20" w:after="20"/>
              <w:jc w:val="center"/>
              <w:rPr>
                <w:sz w:val="20"/>
                <w:szCs w:val="20"/>
              </w:rPr>
            </w:pPr>
            <w:r w:rsidRPr="000301BB">
              <w:rPr>
                <w:sz w:val="20"/>
                <w:szCs w:val="20"/>
              </w:rPr>
              <w:t>-8</w:t>
            </w:r>
            <w:r w:rsidRPr="000301BB">
              <w:rPr>
                <w:sz w:val="20"/>
                <w:szCs w:val="20"/>
                <w:vertAlign w:val="superscript"/>
              </w:rPr>
              <w:sym w:font="Typographic Ext" w:char="F031"/>
            </w:r>
            <w:r w:rsidRPr="000301BB">
              <w:rPr>
                <w:sz w:val="20"/>
                <w:szCs w:val="20"/>
              </w:rPr>
              <w:t>*</w:t>
            </w:r>
          </w:p>
        </w:tc>
        <w:tc>
          <w:tcPr>
            <w:tcW w:w="2520" w:type="dxa"/>
          </w:tcPr>
          <w:p w:rsidR="00423B5C" w:rsidRPr="000301BB" w:rsidRDefault="00423B5C" w:rsidP="00423B5C">
            <w:pPr>
              <w:spacing w:before="20" w:after="20"/>
              <w:jc w:val="center"/>
              <w:rPr>
                <w:sz w:val="20"/>
                <w:szCs w:val="20"/>
              </w:rPr>
            </w:pPr>
            <w:r w:rsidRPr="000301BB">
              <w:rPr>
                <w:sz w:val="20"/>
                <w:szCs w:val="20"/>
              </w:rPr>
              <w:t>-28</w:t>
            </w:r>
            <w:r w:rsidRPr="000301BB">
              <w:rPr>
                <w:sz w:val="20"/>
                <w:szCs w:val="20"/>
                <w:vertAlign w:val="superscript"/>
              </w:rPr>
              <w:sym w:font="Typographic Ext" w:char="F032"/>
            </w:r>
            <w:r w:rsidRPr="000301BB">
              <w:rPr>
                <w:sz w:val="20"/>
                <w:szCs w:val="20"/>
              </w:rPr>
              <w:t>*</w:t>
            </w:r>
          </w:p>
        </w:tc>
      </w:tr>
      <w:tr w:rsidR="00423B5C" w:rsidRPr="000301BB" w:rsidTr="00E221EB">
        <w:tc>
          <w:tcPr>
            <w:tcW w:w="2160" w:type="dxa"/>
          </w:tcPr>
          <w:p w:rsidR="00423B5C" w:rsidRPr="000301BB" w:rsidRDefault="00423B5C" w:rsidP="00423B5C">
            <w:pPr>
              <w:spacing w:before="20" w:after="20"/>
              <w:rPr>
                <w:sz w:val="20"/>
                <w:szCs w:val="20"/>
              </w:rPr>
            </w:pPr>
            <w:r w:rsidRPr="000301BB">
              <w:rPr>
                <w:sz w:val="20"/>
                <w:szCs w:val="20"/>
              </w:rPr>
              <w:t>Apolipoprotein B</w:t>
            </w:r>
          </w:p>
        </w:tc>
        <w:tc>
          <w:tcPr>
            <w:tcW w:w="1620" w:type="dxa"/>
          </w:tcPr>
          <w:p w:rsidR="00423B5C" w:rsidRPr="000301BB" w:rsidRDefault="00423B5C" w:rsidP="00423B5C">
            <w:pPr>
              <w:spacing w:before="20" w:after="20"/>
              <w:rPr>
                <w:sz w:val="20"/>
                <w:szCs w:val="20"/>
              </w:rPr>
            </w:pPr>
            <w:r w:rsidRPr="000301BB">
              <w:rPr>
                <w:sz w:val="20"/>
                <w:szCs w:val="20"/>
              </w:rPr>
              <w:t>2000 mg/L</w:t>
            </w:r>
          </w:p>
        </w:tc>
        <w:tc>
          <w:tcPr>
            <w:tcW w:w="2700" w:type="dxa"/>
          </w:tcPr>
          <w:p w:rsidR="00423B5C" w:rsidRPr="000301BB" w:rsidRDefault="00423B5C" w:rsidP="00423B5C">
            <w:pPr>
              <w:spacing w:before="20" w:after="20"/>
              <w:jc w:val="center"/>
              <w:rPr>
                <w:sz w:val="20"/>
                <w:szCs w:val="20"/>
              </w:rPr>
            </w:pPr>
            <w:r w:rsidRPr="000301BB">
              <w:rPr>
                <w:sz w:val="20"/>
                <w:szCs w:val="20"/>
              </w:rPr>
              <w:t xml:space="preserve"> -28: -33</w:t>
            </w:r>
          </w:p>
        </w:tc>
        <w:tc>
          <w:tcPr>
            <w:tcW w:w="2520" w:type="dxa"/>
          </w:tcPr>
          <w:p w:rsidR="00423B5C" w:rsidRPr="000301BB" w:rsidRDefault="00423B5C" w:rsidP="00423B5C">
            <w:pPr>
              <w:spacing w:before="20" w:after="20"/>
              <w:jc w:val="center"/>
              <w:rPr>
                <w:sz w:val="20"/>
                <w:szCs w:val="20"/>
              </w:rPr>
            </w:pPr>
            <w:r w:rsidRPr="000301BB">
              <w:rPr>
                <w:sz w:val="20"/>
                <w:szCs w:val="20"/>
              </w:rPr>
              <w:t>-36: -38</w:t>
            </w:r>
          </w:p>
        </w:tc>
      </w:tr>
    </w:tbl>
    <w:p w:rsidR="00423B5C" w:rsidRPr="000301BB" w:rsidRDefault="00423B5C" w:rsidP="00377D64">
      <w:pPr>
        <w:spacing w:before="20" w:after="20"/>
        <w:ind w:left="181" w:right="28" w:hanging="181"/>
        <w:rPr>
          <w:bCs w:val="0"/>
          <w:sz w:val="20"/>
          <w:szCs w:val="20"/>
        </w:rPr>
      </w:pPr>
      <w:r w:rsidRPr="000301BB">
        <w:rPr>
          <w:bCs w:val="0"/>
          <w:sz w:val="20"/>
          <w:szCs w:val="20"/>
          <w:vertAlign w:val="superscript"/>
        </w:rPr>
        <w:sym w:font="Typographic Ext" w:char="F031"/>
      </w:r>
      <w:r w:rsidR="00377D64" w:rsidRPr="000301BB">
        <w:rPr>
          <w:bCs w:val="0"/>
          <w:sz w:val="20"/>
          <w:szCs w:val="20"/>
          <w:vertAlign w:val="superscript"/>
        </w:rPr>
        <w:tab/>
      </w:r>
      <w:r w:rsidRPr="000301BB">
        <w:rPr>
          <w:bCs w:val="0"/>
          <w:sz w:val="20"/>
          <w:szCs w:val="20"/>
        </w:rPr>
        <w:t>(n=84)</w:t>
      </w:r>
    </w:p>
    <w:p w:rsidR="00423B5C" w:rsidRPr="000301BB" w:rsidRDefault="00423B5C" w:rsidP="00377D64">
      <w:pPr>
        <w:spacing w:before="20" w:after="20"/>
        <w:ind w:left="181" w:right="28" w:hanging="181"/>
        <w:rPr>
          <w:bCs w:val="0"/>
          <w:sz w:val="20"/>
          <w:szCs w:val="20"/>
        </w:rPr>
      </w:pPr>
      <w:r w:rsidRPr="000301BB">
        <w:rPr>
          <w:bCs w:val="0"/>
          <w:sz w:val="20"/>
          <w:szCs w:val="20"/>
          <w:vertAlign w:val="superscript"/>
        </w:rPr>
        <w:sym w:font="Typographic Ext" w:char="F032"/>
      </w:r>
      <w:r w:rsidR="00377D64" w:rsidRPr="000301BB">
        <w:rPr>
          <w:bCs w:val="0"/>
          <w:sz w:val="20"/>
          <w:szCs w:val="20"/>
        </w:rPr>
        <w:tab/>
      </w:r>
      <w:r w:rsidRPr="000301BB">
        <w:rPr>
          <w:bCs w:val="0"/>
          <w:sz w:val="20"/>
          <w:szCs w:val="20"/>
        </w:rPr>
        <w:t>(n=81)</w:t>
      </w:r>
    </w:p>
    <w:p w:rsidR="00423B5C" w:rsidRPr="000301BB" w:rsidRDefault="00423B5C" w:rsidP="00377D64">
      <w:pPr>
        <w:spacing w:before="20" w:after="20"/>
        <w:ind w:left="181" w:right="28" w:hanging="181"/>
        <w:rPr>
          <w:bCs w:val="0"/>
          <w:sz w:val="20"/>
          <w:szCs w:val="20"/>
        </w:rPr>
      </w:pPr>
      <w:r w:rsidRPr="000301BB">
        <w:rPr>
          <w:bCs w:val="0"/>
          <w:sz w:val="20"/>
          <w:szCs w:val="20"/>
        </w:rPr>
        <w:t>*</w:t>
      </w:r>
      <w:r w:rsidR="00377D64" w:rsidRPr="000301BB">
        <w:rPr>
          <w:bCs w:val="0"/>
          <w:sz w:val="20"/>
          <w:szCs w:val="20"/>
        </w:rPr>
        <w:tab/>
      </w:r>
      <w:proofErr w:type="gramStart"/>
      <w:r w:rsidRPr="000301BB">
        <w:rPr>
          <w:bCs w:val="0"/>
          <w:sz w:val="20"/>
          <w:szCs w:val="20"/>
        </w:rPr>
        <w:t>only</w:t>
      </w:r>
      <w:proofErr w:type="gramEnd"/>
      <w:r w:rsidRPr="000301BB">
        <w:rPr>
          <w:bCs w:val="0"/>
          <w:sz w:val="20"/>
          <w:szCs w:val="20"/>
        </w:rPr>
        <w:t xml:space="preserve"> measured in one study</w:t>
      </w:r>
    </w:p>
    <w:p w:rsidR="00423B5C" w:rsidRPr="000301BB" w:rsidRDefault="00423B5C" w:rsidP="002B4359">
      <w:pPr>
        <w:spacing w:before="100" w:beforeAutospacing="1" w:after="100" w:afterAutospacing="1"/>
      </w:pPr>
      <w:r w:rsidRPr="000301BB">
        <w:t xml:space="preserve">In a separate study involving 180 patients with combined hyperlipidaemia, </w:t>
      </w:r>
      <w:r w:rsidR="008A5F7F" w:rsidRPr="000301BB">
        <w:t>simvastatin 10 </w:t>
      </w:r>
      <w:r w:rsidRPr="000301BB">
        <w:t>mg/day for 17 weeks was also shown to be effective in lowering total-C, LDL-C, VLDL-C, TGs and Apo B.</w:t>
      </w:r>
    </w:p>
    <w:p w:rsidR="00423B5C" w:rsidRPr="000301BB" w:rsidRDefault="00423B5C" w:rsidP="00303640">
      <w:pPr>
        <w:spacing w:before="20" w:after="20"/>
        <w:outlineLvl w:val="0"/>
        <w:rPr>
          <w:b/>
          <w:sz w:val="20"/>
          <w:szCs w:val="20"/>
        </w:rPr>
      </w:pPr>
      <w:r w:rsidRPr="000301BB">
        <w:rPr>
          <w:b/>
          <w:sz w:val="20"/>
          <w:szCs w:val="20"/>
        </w:rPr>
        <w:t xml:space="preserve">Table </w:t>
      </w:r>
      <w:proofErr w:type="gramStart"/>
      <w:r w:rsidR="001B3212" w:rsidRPr="000301BB">
        <w:rPr>
          <w:b/>
          <w:sz w:val="20"/>
          <w:szCs w:val="20"/>
        </w:rPr>
        <w:t xml:space="preserve">6  </w:t>
      </w:r>
      <w:r w:rsidRPr="000301BB">
        <w:rPr>
          <w:b/>
          <w:sz w:val="20"/>
          <w:szCs w:val="20"/>
        </w:rPr>
        <w:t>Effect</w:t>
      </w:r>
      <w:proofErr w:type="gramEnd"/>
      <w:r w:rsidRPr="000301BB">
        <w:rPr>
          <w:b/>
          <w:sz w:val="20"/>
          <w:szCs w:val="20"/>
        </w:rPr>
        <w:t xml:space="preserve"> of Simvastatin in Patients with Combined Hyperlipidaemia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620"/>
        <w:gridCol w:w="2700"/>
      </w:tblGrid>
      <w:tr w:rsidR="00423B5C" w:rsidRPr="000301BB" w:rsidTr="00303640">
        <w:tc>
          <w:tcPr>
            <w:tcW w:w="2160" w:type="dxa"/>
          </w:tcPr>
          <w:p w:rsidR="00423B5C" w:rsidRPr="000301BB" w:rsidRDefault="00423B5C" w:rsidP="00303640">
            <w:pPr>
              <w:spacing w:before="20" w:after="20"/>
              <w:rPr>
                <w:sz w:val="20"/>
                <w:szCs w:val="20"/>
              </w:rPr>
            </w:pPr>
          </w:p>
        </w:tc>
        <w:tc>
          <w:tcPr>
            <w:tcW w:w="1620" w:type="dxa"/>
          </w:tcPr>
          <w:p w:rsidR="00423B5C" w:rsidRPr="000301BB" w:rsidRDefault="00423B5C" w:rsidP="00303640">
            <w:pPr>
              <w:spacing w:before="20" w:after="20"/>
              <w:jc w:val="center"/>
              <w:rPr>
                <w:sz w:val="20"/>
                <w:szCs w:val="20"/>
              </w:rPr>
            </w:pPr>
            <w:r w:rsidRPr="000301BB">
              <w:rPr>
                <w:sz w:val="20"/>
                <w:szCs w:val="20"/>
              </w:rPr>
              <w:t>Mean Baseline</w:t>
            </w:r>
          </w:p>
        </w:tc>
        <w:tc>
          <w:tcPr>
            <w:tcW w:w="2700" w:type="dxa"/>
          </w:tcPr>
          <w:p w:rsidR="00423B5C" w:rsidRPr="000301BB" w:rsidRDefault="00423B5C" w:rsidP="00303640">
            <w:pPr>
              <w:spacing w:before="20" w:after="20"/>
              <w:jc w:val="center"/>
              <w:rPr>
                <w:sz w:val="20"/>
                <w:szCs w:val="20"/>
              </w:rPr>
            </w:pPr>
            <w:r w:rsidRPr="000301BB">
              <w:rPr>
                <w:sz w:val="20"/>
                <w:szCs w:val="20"/>
              </w:rPr>
              <w:t>Mean Percent Change</w:t>
            </w:r>
          </w:p>
        </w:tc>
      </w:tr>
      <w:tr w:rsidR="00423B5C" w:rsidRPr="000301BB" w:rsidTr="00303640">
        <w:tc>
          <w:tcPr>
            <w:tcW w:w="2160" w:type="dxa"/>
          </w:tcPr>
          <w:p w:rsidR="00423B5C" w:rsidRPr="000301BB" w:rsidRDefault="00423B5C" w:rsidP="00303640">
            <w:pPr>
              <w:spacing w:before="20" w:after="20"/>
              <w:rPr>
                <w:sz w:val="20"/>
                <w:szCs w:val="20"/>
              </w:rPr>
            </w:pPr>
          </w:p>
        </w:tc>
        <w:tc>
          <w:tcPr>
            <w:tcW w:w="1620" w:type="dxa"/>
          </w:tcPr>
          <w:p w:rsidR="00423B5C" w:rsidRPr="000301BB" w:rsidRDefault="00423B5C" w:rsidP="00303640">
            <w:pPr>
              <w:spacing w:before="20" w:after="20"/>
              <w:jc w:val="center"/>
              <w:rPr>
                <w:sz w:val="20"/>
                <w:szCs w:val="20"/>
              </w:rPr>
            </w:pPr>
          </w:p>
        </w:tc>
        <w:tc>
          <w:tcPr>
            <w:tcW w:w="2700" w:type="dxa"/>
          </w:tcPr>
          <w:p w:rsidR="00423B5C" w:rsidRPr="000301BB" w:rsidRDefault="00423B5C" w:rsidP="00303640">
            <w:pPr>
              <w:spacing w:before="20" w:after="20"/>
              <w:jc w:val="center"/>
              <w:rPr>
                <w:sz w:val="20"/>
                <w:szCs w:val="20"/>
              </w:rPr>
            </w:pPr>
            <w:r w:rsidRPr="000301BB">
              <w:rPr>
                <w:sz w:val="20"/>
                <w:szCs w:val="20"/>
              </w:rPr>
              <w:t>10 mg once daily</w:t>
            </w:r>
            <w:r w:rsidR="00303640" w:rsidRPr="000301BB">
              <w:rPr>
                <w:sz w:val="20"/>
                <w:szCs w:val="20"/>
              </w:rPr>
              <w:t xml:space="preserve"> </w:t>
            </w:r>
            <w:r w:rsidRPr="000301BB">
              <w:rPr>
                <w:sz w:val="20"/>
                <w:szCs w:val="20"/>
              </w:rPr>
              <w:t>(n=56)</w:t>
            </w:r>
          </w:p>
        </w:tc>
      </w:tr>
      <w:tr w:rsidR="00423B5C" w:rsidRPr="000301BB" w:rsidTr="00303640">
        <w:tc>
          <w:tcPr>
            <w:tcW w:w="2160" w:type="dxa"/>
          </w:tcPr>
          <w:p w:rsidR="00423B5C" w:rsidRPr="000301BB" w:rsidRDefault="00423B5C" w:rsidP="00303640">
            <w:pPr>
              <w:spacing w:before="20" w:after="20"/>
              <w:rPr>
                <w:sz w:val="20"/>
                <w:szCs w:val="20"/>
              </w:rPr>
            </w:pPr>
            <w:r w:rsidRPr="000301BB">
              <w:rPr>
                <w:sz w:val="20"/>
                <w:szCs w:val="20"/>
              </w:rPr>
              <w:t>Total Cholesterol</w:t>
            </w:r>
          </w:p>
        </w:tc>
        <w:tc>
          <w:tcPr>
            <w:tcW w:w="1620" w:type="dxa"/>
          </w:tcPr>
          <w:p w:rsidR="00423B5C" w:rsidRPr="000301BB" w:rsidRDefault="00423B5C" w:rsidP="00303640">
            <w:pPr>
              <w:spacing w:before="20" w:after="20"/>
              <w:jc w:val="center"/>
              <w:rPr>
                <w:sz w:val="20"/>
                <w:szCs w:val="20"/>
              </w:rPr>
            </w:pPr>
            <w:r w:rsidRPr="000301BB">
              <w:rPr>
                <w:sz w:val="20"/>
                <w:szCs w:val="20"/>
              </w:rPr>
              <w:t>7.0 mmol/L</w:t>
            </w:r>
          </w:p>
        </w:tc>
        <w:tc>
          <w:tcPr>
            <w:tcW w:w="2700" w:type="dxa"/>
          </w:tcPr>
          <w:p w:rsidR="00423B5C" w:rsidRPr="000301BB" w:rsidRDefault="00423B5C" w:rsidP="00303640">
            <w:pPr>
              <w:spacing w:before="20" w:after="20"/>
              <w:jc w:val="center"/>
              <w:rPr>
                <w:sz w:val="20"/>
                <w:szCs w:val="20"/>
              </w:rPr>
            </w:pPr>
            <w:r w:rsidRPr="000301BB">
              <w:rPr>
                <w:sz w:val="20"/>
                <w:szCs w:val="20"/>
              </w:rPr>
              <w:t>-23</w:t>
            </w:r>
          </w:p>
        </w:tc>
      </w:tr>
      <w:tr w:rsidR="00423B5C" w:rsidRPr="000301BB" w:rsidTr="00303640">
        <w:tc>
          <w:tcPr>
            <w:tcW w:w="2160" w:type="dxa"/>
          </w:tcPr>
          <w:p w:rsidR="00423B5C" w:rsidRPr="000301BB" w:rsidRDefault="00423B5C" w:rsidP="00303640">
            <w:pPr>
              <w:spacing w:before="20" w:after="20"/>
              <w:rPr>
                <w:sz w:val="20"/>
                <w:szCs w:val="20"/>
              </w:rPr>
            </w:pPr>
            <w:r w:rsidRPr="000301BB">
              <w:rPr>
                <w:sz w:val="20"/>
                <w:szCs w:val="20"/>
              </w:rPr>
              <w:t>LDL-Cholesterol</w:t>
            </w:r>
          </w:p>
        </w:tc>
        <w:tc>
          <w:tcPr>
            <w:tcW w:w="1620" w:type="dxa"/>
          </w:tcPr>
          <w:p w:rsidR="00423B5C" w:rsidRPr="000301BB" w:rsidRDefault="00423B5C" w:rsidP="00303640">
            <w:pPr>
              <w:spacing w:before="20" w:after="20"/>
              <w:jc w:val="center"/>
              <w:rPr>
                <w:sz w:val="20"/>
                <w:szCs w:val="20"/>
              </w:rPr>
            </w:pPr>
            <w:r w:rsidRPr="000301BB">
              <w:rPr>
                <w:sz w:val="20"/>
                <w:szCs w:val="20"/>
              </w:rPr>
              <w:t>4.5 mmol/L</w:t>
            </w:r>
          </w:p>
        </w:tc>
        <w:tc>
          <w:tcPr>
            <w:tcW w:w="2700" w:type="dxa"/>
          </w:tcPr>
          <w:p w:rsidR="00423B5C" w:rsidRPr="000301BB" w:rsidRDefault="00423B5C" w:rsidP="00303640">
            <w:pPr>
              <w:spacing w:before="20" w:after="20"/>
              <w:jc w:val="center"/>
              <w:rPr>
                <w:sz w:val="20"/>
                <w:szCs w:val="20"/>
              </w:rPr>
            </w:pPr>
            <w:r w:rsidRPr="000301BB">
              <w:rPr>
                <w:sz w:val="20"/>
                <w:szCs w:val="20"/>
              </w:rPr>
              <w:t>-27</w:t>
            </w:r>
          </w:p>
        </w:tc>
      </w:tr>
      <w:tr w:rsidR="00423B5C" w:rsidRPr="000301BB" w:rsidTr="00303640">
        <w:tc>
          <w:tcPr>
            <w:tcW w:w="2160" w:type="dxa"/>
          </w:tcPr>
          <w:p w:rsidR="00423B5C" w:rsidRPr="000301BB" w:rsidRDefault="00423B5C" w:rsidP="00303640">
            <w:pPr>
              <w:spacing w:before="20" w:after="20"/>
              <w:rPr>
                <w:sz w:val="20"/>
                <w:szCs w:val="20"/>
              </w:rPr>
            </w:pPr>
            <w:r w:rsidRPr="000301BB">
              <w:rPr>
                <w:sz w:val="20"/>
                <w:szCs w:val="20"/>
              </w:rPr>
              <w:t>HDL-Cholesterol</w:t>
            </w:r>
          </w:p>
        </w:tc>
        <w:tc>
          <w:tcPr>
            <w:tcW w:w="1620" w:type="dxa"/>
          </w:tcPr>
          <w:p w:rsidR="00423B5C" w:rsidRPr="000301BB" w:rsidRDefault="00423B5C" w:rsidP="00303640">
            <w:pPr>
              <w:spacing w:before="20" w:after="20"/>
              <w:jc w:val="center"/>
              <w:rPr>
                <w:sz w:val="20"/>
                <w:szCs w:val="20"/>
              </w:rPr>
            </w:pPr>
            <w:r w:rsidRPr="000301BB">
              <w:rPr>
                <w:sz w:val="20"/>
                <w:szCs w:val="20"/>
              </w:rPr>
              <w:t>1.0 mmol/L</w:t>
            </w:r>
          </w:p>
        </w:tc>
        <w:tc>
          <w:tcPr>
            <w:tcW w:w="2700" w:type="dxa"/>
          </w:tcPr>
          <w:p w:rsidR="00423B5C" w:rsidRPr="000301BB" w:rsidRDefault="00423B5C" w:rsidP="00303640">
            <w:pPr>
              <w:spacing w:before="20" w:after="20"/>
              <w:jc w:val="center"/>
              <w:rPr>
                <w:sz w:val="20"/>
                <w:szCs w:val="20"/>
              </w:rPr>
            </w:pPr>
            <w:r w:rsidRPr="000301BB">
              <w:rPr>
                <w:sz w:val="20"/>
                <w:szCs w:val="20"/>
              </w:rPr>
              <w:t>+13</w:t>
            </w:r>
          </w:p>
        </w:tc>
      </w:tr>
      <w:tr w:rsidR="00423B5C" w:rsidRPr="000301BB" w:rsidTr="00303640">
        <w:tc>
          <w:tcPr>
            <w:tcW w:w="2160" w:type="dxa"/>
          </w:tcPr>
          <w:p w:rsidR="00423B5C" w:rsidRPr="000301BB" w:rsidRDefault="00423B5C" w:rsidP="00303640">
            <w:pPr>
              <w:spacing w:before="20" w:after="20"/>
              <w:rPr>
                <w:sz w:val="20"/>
                <w:szCs w:val="20"/>
              </w:rPr>
            </w:pPr>
            <w:r w:rsidRPr="000301BB">
              <w:rPr>
                <w:sz w:val="20"/>
                <w:szCs w:val="20"/>
              </w:rPr>
              <w:t>Triglycerides</w:t>
            </w:r>
            <w:r w:rsidR="00E221EB" w:rsidRPr="000301BB">
              <w:rPr>
                <w:sz w:val="20"/>
                <w:szCs w:val="20"/>
                <w:vertAlign w:val="superscript"/>
              </w:rPr>
              <w:sym w:font="Typographic Ext" w:char="F031"/>
            </w:r>
          </w:p>
        </w:tc>
        <w:tc>
          <w:tcPr>
            <w:tcW w:w="1620" w:type="dxa"/>
          </w:tcPr>
          <w:p w:rsidR="00423B5C" w:rsidRPr="000301BB" w:rsidRDefault="00423B5C" w:rsidP="00303640">
            <w:pPr>
              <w:spacing w:before="20" w:after="20"/>
              <w:jc w:val="center"/>
              <w:rPr>
                <w:sz w:val="20"/>
                <w:szCs w:val="20"/>
              </w:rPr>
            </w:pPr>
            <w:r w:rsidRPr="000301BB">
              <w:rPr>
                <w:sz w:val="20"/>
                <w:szCs w:val="20"/>
              </w:rPr>
              <w:t>2.6 mmol/L</w:t>
            </w:r>
          </w:p>
        </w:tc>
        <w:tc>
          <w:tcPr>
            <w:tcW w:w="2700" w:type="dxa"/>
          </w:tcPr>
          <w:p w:rsidR="00423B5C" w:rsidRPr="000301BB" w:rsidRDefault="00423B5C" w:rsidP="00303640">
            <w:pPr>
              <w:spacing w:before="20" w:after="20"/>
              <w:jc w:val="center"/>
              <w:rPr>
                <w:sz w:val="20"/>
                <w:szCs w:val="20"/>
              </w:rPr>
            </w:pPr>
            <w:r w:rsidRPr="000301BB">
              <w:rPr>
                <w:sz w:val="20"/>
                <w:szCs w:val="20"/>
              </w:rPr>
              <w:t>-26</w:t>
            </w:r>
          </w:p>
        </w:tc>
      </w:tr>
      <w:tr w:rsidR="00423B5C" w:rsidRPr="000301BB" w:rsidTr="00303640">
        <w:tc>
          <w:tcPr>
            <w:tcW w:w="2160" w:type="dxa"/>
          </w:tcPr>
          <w:p w:rsidR="00423B5C" w:rsidRPr="000301BB" w:rsidRDefault="00423B5C" w:rsidP="00303640">
            <w:pPr>
              <w:spacing w:before="20" w:after="20"/>
              <w:rPr>
                <w:sz w:val="20"/>
                <w:szCs w:val="20"/>
              </w:rPr>
            </w:pPr>
            <w:r w:rsidRPr="000301BB">
              <w:rPr>
                <w:sz w:val="20"/>
                <w:szCs w:val="20"/>
              </w:rPr>
              <w:t>VLDL-Cholesterol</w:t>
            </w:r>
          </w:p>
        </w:tc>
        <w:tc>
          <w:tcPr>
            <w:tcW w:w="1620" w:type="dxa"/>
          </w:tcPr>
          <w:p w:rsidR="00423B5C" w:rsidRPr="000301BB" w:rsidRDefault="00423B5C" w:rsidP="00303640">
            <w:pPr>
              <w:spacing w:before="20" w:after="20"/>
              <w:jc w:val="center"/>
              <w:rPr>
                <w:sz w:val="20"/>
                <w:szCs w:val="20"/>
              </w:rPr>
            </w:pPr>
            <w:r w:rsidRPr="000301BB">
              <w:rPr>
                <w:sz w:val="20"/>
                <w:szCs w:val="20"/>
              </w:rPr>
              <w:t>1.3 mmol/L</w:t>
            </w:r>
          </w:p>
        </w:tc>
        <w:tc>
          <w:tcPr>
            <w:tcW w:w="2700" w:type="dxa"/>
          </w:tcPr>
          <w:p w:rsidR="00423B5C" w:rsidRPr="000301BB" w:rsidRDefault="00423B5C" w:rsidP="00303640">
            <w:pPr>
              <w:spacing w:before="20" w:after="20"/>
              <w:jc w:val="center"/>
              <w:rPr>
                <w:sz w:val="20"/>
                <w:szCs w:val="20"/>
              </w:rPr>
            </w:pPr>
            <w:r w:rsidRPr="000301BB">
              <w:rPr>
                <w:sz w:val="20"/>
                <w:szCs w:val="20"/>
              </w:rPr>
              <w:t>-28</w:t>
            </w:r>
          </w:p>
        </w:tc>
      </w:tr>
      <w:tr w:rsidR="00423B5C" w:rsidRPr="000301BB" w:rsidTr="00303640">
        <w:tc>
          <w:tcPr>
            <w:tcW w:w="2160" w:type="dxa"/>
          </w:tcPr>
          <w:p w:rsidR="00423B5C" w:rsidRPr="000301BB" w:rsidRDefault="00423B5C" w:rsidP="00303640">
            <w:pPr>
              <w:spacing w:before="20" w:after="20"/>
              <w:rPr>
                <w:sz w:val="20"/>
                <w:szCs w:val="20"/>
              </w:rPr>
            </w:pPr>
            <w:r w:rsidRPr="000301BB">
              <w:rPr>
                <w:sz w:val="20"/>
                <w:szCs w:val="20"/>
              </w:rPr>
              <w:t>Apolipoprotein</w:t>
            </w:r>
            <w:r w:rsidRPr="000301BB">
              <w:rPr>
                <w:sz w:val="20"/>
                <w:szCs w:val="20"/>
                <w:vertAlign w:val="superscript"/>
              </w:rPr>
              <w:t xml:space="preserve"> </w:t>
            </w:r>
            <w:r w:rsidRPr="000301BB">
              <w:rPr>
                <w:sz w:val="20"/>
                <w:szCs w:val="20"/>
              </w:rPr>
              <w:t>B</w:t>
            </w:r>
          </w:p>
        </w:tc>
        <w:tc>
          <w:tcPr>
            <w:tcW w:w="1620" w:type="dxa"/>
          </w:tcPr>
          <w:p w:rsidR="00423B5C" w:rsidRPr="000301BB" w:rsidRDefault="00423B5C" w:rsidP="00303640">
            <w:pPr>
              <w:spacing w:before="20" w:after="20"/>
              <w:jc w:val="center"/>
              <w:rPr>
                <w:sz w:val="20"/>
                <w:szCs w:val="20"/>
              </w:rPr>
            </w:pPr>
            <w:r w:rsidRPr="000301BB">
              <w:rPr>
                <w:sz w:val="20"/>
                <w:szCs w:val="20"/>
              </w:rPr>
              <w:t>1710 mg/L</w:t>
            </w:r>
          </w:p>
        </w:tc>
        <w:tc>
          <w:tcPr>
            <w:tcW w:w="2700" w:type="dxa"/>
          </w:tcPr>
          <w:p w:rsidR="00423B5C" w:rsidRPr="000301BB" w:rsidRDefault="00423B5C" w:rsidP="00303640">
            <w:pPr>
              <w:spacing w:before="20" w:after="20"/>
              <w:jc w:val="center"/>
              <w:rPr>
                <w:sz w:val="20"/>
                <w:szCs w:val="20"/>
              </w:rPr>
            </w:pPr>
            <w:r w:rsidRPr="000301BB">
              <w:rPr>
                <w:sz w:val="20"/>
                <w:szCs w:val="20"/>
              </w:rPr>
              <w:t>-21</w:t>
            </w:r>
          </w:p>
        </w:tc>
      </w:tr>
    </w:tbl>
    <w:p w:rsidR="00423B5C" w:rsidRPr="000301BB" w:rsidRDefault="00E221EB" w:rsidP="00377D64">
      <w:pPr>
        <w:spacing w:before="20" w:after="20"/>
        <w:ind w:left="181" w:right="28" w:hanging="181"/>
        <w:rPr>
          <w:bCs w:val="0"/>
          <w:sz w:val="20"/>
          <w:szCs w:val="20"/>
          <w:u w:val="double"/>
        </w:rPr>
      </w:pPr>
      <w:r w:rsidRPr="000301BB">
        <w:rPr>
          <w:bCs w:val="0"/>
          <w:sz w:val="20"/>
          <w:szCs w:val="20"/>
          <w:vertAlign w:val="superscript"/>
        </w:rPr>
        <w:sym w:font="Typographic Ext" w:char="F031"/>
      </w:r>
      <w:r w:rsidR="00377D64" w:rsidRPr="000301BB">
        <w:rPr>
          <w:bCs w:val="0"/>
          <w:sz w:val="20"/>
          <w:szCs w:val="20"/>
          <w:vertAlign w:val="superscript"/>
        </w:rPr>
        <w:tab/>
      </w:r>
      <w:proofErr w:type="gramStart"/>
      <w:r w:rsidR="00423B5C" w:rsidRPr="000301BB">
        <w:rPr>
          <w:bCs w:val="0"/>
          <w:sz w:val="20"/>
          <w:szCs w:val="20"/>
        </w:rPr>
        <w:t>median</w:t>
      </w:r>
      <w:proofErr w:type="gramEnd"/>
    </w:p>
    <w:p w:rsidR="00423B5C" w:rsidRPr="000301BB" w:rsidRDefault="00423B5C" w:rsidP="002B4359">
      <w:pPr>
        <w:spacing w:before="100" w:beforeAutospacing="1" w:after="100" w:afterAutospacing="1"/>
      </w:pPr>
      <w:r w:rsidRPr="000301BB">
        <w:t xml:space="preserve">The data from these studies demonstrate that in patients with hypercholesterolaemia and normal or slightly raised TG, </w:t>
      </w:r>
      <w:r w:rsidR="008A5F7F" w:rsidRPr="000301BB">
        <w:t>simvastatin</w:t>
      </w:r>
      <w:r w:rsidRPr="000301BB">
        <w:t xml:space="preserve"> consistently reduces total-C, LDL-C, TG, VLDL-C and Apo B in a dose dependent manner.</w:t>
      </w:r>
      <w:r w:rsidR="008A5F7F" w:rsidRPr="000301BB">
        <w:t xml:space="preserve">  </w:t>
      </w:r>
      <w:r w:rsidRPr="000301BB">
        <w:t xml:space="preserve">The results of 4 separate studies depicting the dose response to simvastatin in patients with primary hypercholesterolaemia are presented in Table </w:t>
      </w:r>
      <w:r w:rsidR="001B3212" w:rsidRPr="000301BB">
        <w:t>7</w:t>
      </w:r>
      <w:r w:rsidR="00AE5B24" w:rsidRPr="000301BB">
        <w:t>.</w:t>
      </w:r>
    </w:p>
    <w:p w:rsidR="00AE5B24" w:rsidRPr="000301BB" w:rsidRDefault="00AE5B24" w:rsidP="00AE5B24">
      <w:pPr>
        <w:ind w:right="43"/>
      </w:pPr>
      <w:r w:rsidRPr="000301BB">
        <w:t>In the Upper Dose Comparative Study, the percent reduction in LDL</w:t>
      </w:r>
      <w:r w:rsidRPr="000301BB">
        <w:noBreakHyphen/>
        <w:t>C was essentially independent of the baseline level.  In contrast, the percent reduction in TG was related to the baseline level of TG.  In this study, patients with TG &gt;</w:t>
      </w:r>
      <w:r w:rsidR="00D56049" w:rsidRPr="000301BB">
        <w:t xml:space="preserve"> </w:t>
      </w:r>
      <w:r w:rsidRPr="000301BB">
        <w:t>4.0 mmol/L were excluded.</w:t>
      </w:r>
    </w:p>
    <w:p w:rsidR="00AE5B24" w:rsidRPr="000301BB" w:rsidRDefault="00AE5B24" w:rsidP="00AE5B24">
      <w:pPr>
        <w:tabs>
          <w:tab w:val="left" w:pos="-720"/>
        </w:tabs>
      </w:pPr>
      <w:r w:rsidRPr="000301BB">
        <w:t>The value of medication</w:t>
      </w:r>
      <w:r w:rsidRPr="000301BB">
        <w:noBreakHyphen/>
        <w:t xml:space="preserve"> and/or diet</w:t>
      </w:r>
      <w:r w:rsidRPr="000301BB">
        <w:noBreakHyphen/>
        <w:t>induced reduction in plasma cholesterol is</w:t>
      </w:r>
      <w:r w:rsidRPr="000301BB">
        <w:rPr>
          <w:b/>
        </w:rPr>
        <w:t xml:space="preserve"> </w:t>
      </w:r>
      <w:r w:rsidRPr="000301BB">
        <w:t>no longer controversial.  The benefits of reducing LDL</w:t>
      </w:r>
      <w:r w:rsidRPr="000301BB">
        <w:noBreakHyphen/>
        <w:t>C on morbidity and mortality due to CHD have been established.  The Lipid Research Clinics Coronary Primary Prevention Trial (LRC</w:t>
      </w:r>
      <w:r w:rsidRPr="000301BB">
        <w:noBreakHyphen/>
        <w:t>CPPT) demonstrated in a seven</w:t>
      </w:r>
      <w:r w:rsidRPr="000301BB">
        <w:noBreakHyphen/>
        <w:t>year, double</w:t>
      </w:r>
      <w:r w:rsidRPr="000301BB">
        <w:noBreakHyphen/>
        <w:t>blind, placebo</w:t>
      </w:r>
      <w:r w:rsidRPr="000301BB">
        <w:noBreakHyphen/>
        <w:t>controlled study that lowering LDL</w:t>
      </w:r>
      <w:r w:rsidRPr="000301BB">
        <w:noBreakHyphen/>
        <w:t>C with diet and cholestyramine decreased the combined incidence of CHD death plus non</w:t>
      </w:r>
      <w:r w:rsidRPr="000301BB">
        <w:noBreakHyphen/>
        <w:t>fatal MI.</w:t>
      </w:r>
    </w:p>
    <w:p w:rsidR="004E5B5B" w:rsidRPr="000301BB" w:rsidRDefault="004E5B5B" w:rsidP="00496D84">
      <w:pPr>
        <w:pageBreakBefore/>
        <w:spacing w:before="20" w:after="20"/>
        <w:rPr>
          <w:sz w:val="20"/>
          <w:szCs w:val="20"/>
        </w:rPr>
      </w:pPr>
      <w:r w:rsidRPr="000301BB">
        <w:rPr>
          <w:b/>
          <w:bCs w:val="0"/>
          <w:sz w:val="20"/>
          <w:szCs w:val="20"/>
        </w:rPr>
        <w:lastRenderedPageBreak/>
        <w:t>Table </w:t>
      </w:r>
      <w:proofErr w:type="gramStart"/>
      <w:r w:rsidR="001B3212" w:rsidRPr="000301BB">
        <w:rPr>
          <w:b/>
          <w:bCs w:val="0"/>
          <w:sz w:val="20"/>
          <w:szCs w:val="20"/>
        </w:rPr>
        <w:t xml:space="preserve">7  </w:t>
      </w:r>
      <w:r w:rsidRPr="000301BB">
        <w:rPr>
          <w:b/>
          <w:bCs w:val="0"/>
          <w:sz w:val="20"/>
          <w:szCs w:val="20"/>
        </w:rPr>
        <w:t>Dose</w:t>
      </w:r>
      <w:proofErr w:type="gramEnd"/>
      <w:r w:rsidRPr="000301BB">
        <w:rPr>
          <w:b/>
          <w:bCs w:val="0"/>
          <w:sz w:val="20"/>
          <w:szCs w:val="20"/>
        </w:rPr>
        <w:t xml:space="preserve"> Response in Patients with Primary Hypercholesterol</w:t>
      </w:r>
      <w:r w:rsidR="003A1AFD" w:rsidRPr="000301BB">
        <w:rPr>
          <w:b/>
          <w:bCs w:val="0"/>
          <w:sz w:val="20"/>
          <w:szCs w:val="20"/>
        </w:rPr>
        <w:t>a</w:t>
      </w:r>
      <w:r w:rsidRPr="000301BB">
        <w:rPr>
          <w:b/>
          <w:bCs w:val="0"/>
          <w:sz w:val="20"/>
          <w:szCs w:val="20"/>
        </w:rPr>
        <w:t xml:space="preserve">emia </w:t>
      </w:r>
      <w:r w:rsidR="002F3B31" w:rsidRPr="000301BB">
        <w:rPr>
          <w:b/>
          <w:bCs w:val="0"/>
          <w:sz w:val="20"/>
          <w:szCs w:val="20"/>
        </w:rPr>
        <w:t xml:space="preserve">- </w:t>
      </w:r>
      <w:r w:rsidRPr="000301BB">
        <w:rPr>
          <w:b/>
          <w:bCs w:val="0"/>
          <w:sz w:val="20"/>
          <w:szCs w:val="20"/>
        </w:rPr>
        <w:t>Mean Percent Change from Baseline After 6 to 24 Weeks</w:t>
      </w:r>
    </w:p>
    <w:tbl>
      <w:tblPr>
        <w:tblW w:w="9000" w:type="dxa"/>
        <w:tblInd w:w="108" w:type="dxa"/>
        <w:tblLayout w:type="fixed"/>
        <w:tblLook w:val="0000"/>
      </w:tblPr>
      <w:tblGrid>
        <w:gridCol w:w="3600"/>
        <w:gridCol w:w="1977"/>
        <w:gridCol w:w="956"/>
        <w:gridCol w:w="928"/>
        <w:gridCol w:w="950"/>
        <w:gridCol w:w="589"/>
      </w:tblGrid>
      <w:tr w:rsidR="0082412B" w:rsidRPr="000301BB" w:rsidTr="00C43AFD">
        <w:trPr>
          <w:cantSplit/>
          <w:trHeight w:val="220"/>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b/>
                <w:sz w:val="20"/>
                <w:szCs w:val="20"/>
              </w:rPr>
            </w:pP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w:t>
            </w: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Total-C</w:t>
            </w: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LDL-C</w:t>
            </w: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HDL-C</w:t>
            </w: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TG*</w:t>
            </w: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b/>
                <w:sz w:val="20"/>
                <w:szCs w:val="20"/>
              </w:rPr>
            </w:pPr>
            <w:r w:rsidRPr="000301BB">
              <w:rPr>
                <w:b/>
                <w:sz w:val="20"/>
                <w:szCs w:val="20"/>
              </w:rPr>
              <w:t>Lower Dose Comparative Study</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227"/>
              <w:rPr>
                <w:sz w:val="20"/>
                <w:szCs w:val="20"/>
              </w:rPr>
            </w:pPr>
            <w:r w:rsidRPr="000301BB">
              <w:rPr>
                <w:sz w:val="20"/>
                <w:szCs w:val="20"/>
              </w:rPr>
              <w:t>Simvastatin</w:t>
            </w:r>
            <w:r w:rsidRPr="000301BB">
              <w:rPr>
                <w:b/>
                <w:sz w:val="20"/>
                <w:szCs w:val="20"/>
              </w:rPr>
              <w:t xml:space="preserve"> </w:t>
            </w:r>
            <w:r w:rsidRPr="000301BB">
              <w:rPr>
                <w:sz w:val="20"/>
                <w:szCs w:val="20"/>
              </w:rPr>
              <w:t>5 mg**</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109</w:t>
            </w: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-19</w:t>
            </w: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-26</w:t>
            </w: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10</w:t>
            </w: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-12</w:t>
            </w: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227"/>
              <w:rPr>
                <w:sz w:val="20"/>
                <w:szCs w:val="20"/>
              </w:rPr>
            </w:pPr>
            <w:r w:rsidRPr="000301BB">
              <w:rPr>
                <w:sz w:val="20"/>
                <w:szCs w:val="20"/>
              </w:rPr>
              <w:t>Simvastatin</w:t>
            </w:r>
            <w:r w:rsidRPr="000301BB">
              <w:rPr>
                <w:b/>
                <w:sz w:val="20"/>
                <w:szCs w:val="20"/>
              </w:rPr>
              <w:t xml:space="preserve"> </w:t>
            </w:r>
            <w:r w:rsidRPr="000301BB">
              <w:rPr>
                <w:sz w:val="20"/>
                <w:szCs w:val="20"/>
              </w:rPr>
              <w:t>10 mg**</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110</w:t>
            </w: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-23</w:t>
            </w: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-30</w:t>
            </w: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12</w:t>
            </w: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-15</w:t>
            </w: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b/>
                <w:sz w:val="20"/>
                <w:szCs w:val="20"/>
              </w:rPr>
            </w:pPr>
            <w:r w:rsidRPr="000301BB">
              <w:rPr>
                <w:b/>
                <w:sz w:val="20"/>
                <w:szCs w:val="20"/>
              </w:rPr>
              <w:t>Scandinavian Simvastatin Survival Study</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C43AFD">
        <w:trPr>
          <w:cantSplit/>
          <w:trHeight w:val="255"/>
        </w:trPr>
        <w:tc>
          <w:tcPr>
            <w:tcW w:w="3600" w:type="dxa"/>
            <w:tcBorders>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227"/>
              <w:rPr>
                <w:sz w:val="20"/>
                <w:szCs w:val="20"/>
              </w:rPr>
            </w:pPr>
            <w:r w:rsidRPr="000301BB">
              <w:rPr>
                <w:sz w:val="20"/>
                <w:szCs w:val="20"/>
              </w:rPr>
              <w:t>Placebo</w:t>
            </w:r>
          </w:p>
        </w:tc>
        <w:tc>
          <w:tcPr>
            <w:tcW w:w="1977" w:type="dxa"/>
            <w:tcBorders>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w:t>
            </w:r>
            <w:r w:rsidR="0083174B" w:rsidRPr="000301BB">
              <w:rPr>
                <w:sz w:val="20"/>
                <w:szCs w:val="20"/>
              </w:rPr>
              <w:t>,</w:t>
            </w:r>
            <w:r w:rsidRPr="000301BB">
              <w:rPr>
                <w:sz w:val="20"/>
                <w:szCs w:val="20"/>
              </w:rPr>
              <w:t>223</w:t>
            </w:r>
          </w:p>
        </w:tc>
        <w:tc>
          <w:tcPr>
            <w:tcW w:w="956" w:type="dxa"/>
            <w:tcBorders>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w:t>
            </w:r>
          </w:p>
        </w:tc>
        <w:tc>
          <w:tcPr>
            <w:tcW w:w="928" w:type="dxa"/>
            <w:tcBorders>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w:t>
            </w:r>
          </w:p>
        </w:tc>
        <w:tc>
          <w:tcPr>
            <w:tcW w:w="950" w:type="dxa"/>
            <w:tcBorders>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0</w:t>
            </w:r>
          </w:p>
        </w:tc>
        <w:tc>
          <w:tcPr>
            <w:tcW w:w="589" w:type="dxa"/>
            <w:tcBorders>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w:t>
            </w: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227"/>
              <w:rPr>
                <w:sz w:val="20"/>
                <w:szCs w:val="20"/>
              </w:rPr>
            </w:pPr>
            <w:r w:rsidRPr="000301BB">
              <w:rPr>
                <w:sz w:val="20"/>
                <w:szCs w:val="20"/>
              </w:rPr>
              <w:t>Simvastatin</w:t>
            </w:r>
            <w:r w:rsidRPr="000301BB">
              <w:rPr>
                <w:b/>
                <w:sz w:val="20"/>
                <w:szCs w:val="20"/>
              </w:rPr>
              <w:t xml:space="preserve"> </w:t>
            </w:r>
            <w:r w:rsidRPr="000301BB">
              <w:rPr>
                <w:sz w:val="20"/>
                <w:szCs w:val="20"/>
              </w:rPr>
              <w:t>20 mg**</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w:t>
            </w:r>
            <w:r w:rsidR="0083174B" w:rsidRPr="000301BB">
              <w:rPr>
                <w:sz w:val="20"/>
                <w:szCs w:val="20"/>
              </w:rPr>
              <w:t>,</w:t>
            </w:r>
            <w:r w:rsidRPr="000301BB">
              <w:rPr>
                <w:sz w:val="20"/>
                <w:szCs w:val="20"/>
              </w:rPr>
              <w:t>221</w:t>
            </w: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-28</w:t>
            </w: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-38</w:t>
            </w: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w:t>
            </w: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-19</w:t>
            </w: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b/>
                <w:sz w:val="20"/>
                <w:szCs w:val="20"/>
              </w:rPr>
            </w:pPr>
            <w:r w:rsidRPr="000301BB">
              <w:rPr>
                <w:b/>
                <w:sz w:val="20"/>
                <w:szCs w:val="20"/>
              </w:rPr>
              <w:t>Upper Dose Comparative Study</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227"/>
              <w:rPr>
                <w:sz w:val="20"/>
                <w:szCs w:val="20"/>
              </w:rPr>
            </w:pPr>
            <w:r w:rsidRPr="000301BB">
              <w:rPr>
                <w:sz w:val="20"/>
                <w:szCs w:val="20"/>
              </w:rPr>
              <w:t>Simvastatin</w:t>
            </w:r>
            <w:r w:rsidRPr="000301BB">
              <w:rPr>
                <w:b/>
                <w:sz w:val="20"/>
                <w:szCs w:val="20"/>
              </w:rPr>
              <w:t xml:space="preserve"> </w:t>
            </w:r>
            <w:r w:rsidRPr="000301BB">
              <w:rPr>
                <w:sz w:val="20"/>
                <w:szCs w:val="20"/>
              </w:rPr>
              <w:t>40 mg**</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433</w:t>
            </w: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-31</w:t>
            </w: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-41</w:t>
            </w: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9</w:t>
            </w: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-18</w:t>
            </w: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113"/>
              <w:rPr>
                <w:b/>
                <w:sz w:val="20"/>
                <w:szCs w:val="20"/>
              </w:rPr>
            </w:pPr>
            <w:r w:rsidRPr="000301BB">
              <w:rPr>
                <w:b/>
                <w:sz w:val="20"/>
                <w:szCs w:val="20"/>
              </w:rPr>
              <w:t>Multicenter Combined Hyperlipid</w:t>
            </w:r>
            <w:r w:rsidR="0027739F" w:rsidRPr="000301BB">
              <w:rPr>
                <w:b/>
                <w:sz w:val="20"/>
                <w:szCs w:val="20"/>
              </w:rPr>
              <w:t>a</w:t>
            </w:r>
            <w:r w:rsidRPr="000301BB">
              <w:rPr>
                <w:b/>
                <w:sz w:val="20"/>
                <w:szCs w:val="20"/>
              </w:rPr>
              <w:t>emia Study</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227"/>
              <w:rPr>
                <w:sz w:val="20"/>
                <w:szCs w:val="20"/>
              </w:rPr>
            </w:pPr>
            <w:r w:rsidRPr="000301BB">
              <w:rPr>
                <w:sz w:val="20"/>
                <w:szCs w:val="20"/>
              </w:rPr>
              <w:t>Placebo</w:t>
            </w:r>
          </w:p>
        </w:tc>
        <w:tc>
          <w:tcPr>
            <w:tcW w:w="1977" w:type="dxa"/>
            <w:tcBorders>
              <w:top w:val="single" w:sz="6" w:space="0" w:color="auto"/>
              <w:left w:val="single" w:sz="6" w:space="0" w:color="auto"/>
              <w:bottom w:val="single" w:sz="6" w:space="0" w:color="auto"/>
              <w:right w:val="single" w:sz="6" w:space="0" w:color="auto"/>
            </w:tcBorders>
          </w:tcPr>
          <w:p w:rsidR="0082412B" w:rsidRPr="000301BB" w:rsidRDefault="0041144D" w:rsidP="00263C5B">
            <w:pPr>
              <w:keepNext/>
              <w:keepLines/>
              <w:spacing w:before="20" w:after="20"/>
              <w:jc w:val="center"/>
              <w:rPr>
                <w:sz w:val="20"/>
                <w:szCs w:val="20"/>
              </w:rPr>
            </w:pPr>
            <w:r w:rsidRPr="000301BB">
              <w:rPr>
                <w:sz w:val="20"/>
                <w:szCs w:val="20"/>
              </w:rPr>
              <w:t>122</w:t>
            </w:r>
          </w:p>
          <w:p w:rsidR="00D07A1C" w:rsidRPr="000301BB" w:rsidRDefault="00D07A1C" w:rsidP="00263C5B">
            <w:pPr>
              <w:keepNext/>
              <w:keepLines/>
              <w:spacing w:before="20" w:after="20"/>
              <w:jc w:val="center"/>
              <w:rPr>
                <w:sz w:val="20"/>
                <w:szCs w:val="20"/>
              </w:rPr>
            </w:pPr>
            <w:r w:rsidRPr="000301BB">
              <w:rPr>
                <w:sz w:val="16"/>
              </w:rPr>
              <w:t>(except LDL</w:t>
            </w:r>
            <w:r w:rsidRPr="000301BB">
              <w:rPr>
                <w:sz w:val="16"/>
              </w:rPr>
              <w:noBreakHyphen/>
              <w:t>C, N=121)</w:t>
            </w: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w:t>
            </w: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w:t>
            </w: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3</w:t>
            </w: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-4</w:t>
            </w:r>
          </w:p>
        </w:tc>
      </w:tr>
      <w:tr w:rsidR="0082412B" w:rsidRPr="000301BB" w:rsidTr="00C43AFD">
        <w:trPr>
          <w:cantSplit/>
          <w:trHeight w:val="255"/>
        </w:trPr>
        <w:tc>
          <w:tcPr>
            <w:tcW w:w="360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ind w:left="227"/>
              <w:rPr>
                <w:b/>
                <w:sz w:val="20"/>
                <w:szCs w:val="20"/>
              </w:rPr>
            </w:pPr>
            <w:r w:rsidRPr="000301BB">
              <w:rPr>
                <w:sz w:val="20"/>
                <w:szCs w:val="20"/>
              </w:rPr>
              <w:t>Simvastatin</w:t>
            </w:r>
            <w:r w:rsidRPr="000301BB">
              <w:rPr>
                <w:b/>
                <w:sz w:val="20"/>
                <w:szCs w:val="20"/>
              </w:rPr>
              <w:t xml:space="preserve"> </w:t>
            </w:r>
            <w:r w:rsidRPr="000301BB">
              <w:rPr>
                <w:sz w:val="20"/>
                <w:szCs w:val="20"/>
              </w:rPr>
              <w:t>40 mg**</w:t>
            </w:r>
          </w:p>
        </w:tc>
        <w:tc>
          <w:tcPr>
            <w:tcW w:w="1977" w:type="dxa"/>
            <w:tcBorders>
              <w:top w:val="single" w:sz="6" w:space="0" w:color="auto"/>
              <w:left w:val="single" w:sz="6" w:space="0" w:color="auto"/>
              <w:bottom w:val="single" w:sz="6" w:space="0" w:color="auto"/>
              <w:right w:val="single" w:sz="6" w:space="0" w:color="auto"/>
            </w:tcBorders>
          </w:tcPr>
          <w:p w:rsidR="00D07A1C" w:rsidRPr="000301BB" w:rsidRDefault="0041144D" w:rsidP="00FC005E">
            <w:pPr>
              <w:keepNext/>
              <w:keepLines/>
              <w:spacing w:before="20" w:after="20"/>
              <w:jc w:val="center"/>
              <w:rPr>
                <w:sz w:val="20"/>
                <w:szCs w:val="20"/>
              </w:rPr>
            </w:pPr>
            <w:r w:rsidRPr="000301BB">
              <w:rPr>
                <w:sz w:val="20"/>
                <w:szCs w:val="20"/>
              </w:rPr>
              <w:t>122</w:t>
            </w:r>
          </w:p>
        </w:tc>
        <w:tc>
          <w:tcPr>
            <w:tcW w:w="95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-25</w:t>
            </w:r>
          </w:p>
        </w:tc>
        <w:tc>
          <w:tcPr>
            <w:tcW w:w="928"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-29</w:t>
            </w:r>
          </w:p>
        </w:tc>
        <w:tc>
          <w:tcPr>
            <w:tcW w:w="95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13</w:t>
            </w:r>
          </w:p>
        </w:tc>
        <w:tc>
          <w:tcPr>
            <w:tcW w:w="58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-28</w:t>
            </w:r>
          </w:p>
        </w:tc>
      </w:tr>
    </w:tbl>
    <w:p w:rsidR="0082412B" w:rsidRPr="000301BB" w:rsidRDefault="0082412B" w:rsidP="00377D64">
      <w:pPr>
        <w:spacing w:before="20" w:after="20"/>
        <w:ind w:left="181" w:right="28" w:hanging="181"/>
        <w:rPr>
          <w:bCs w:val="0"/>
          <w:sz w:val="20"/>
          <w:szCs w:val="20"/>
        </w:rPr>
      </w:pPr>
      <w:r w:rsidRPr="000301BB">
        <w:rPr>
          <w:bCs w:val="0"/>
          <w:sz w:val="20"/>
          <w:szCs w:val="20"/>
        </w:rPr>
        <w:t>*</w:t>
      </w:r>
      <w:r w:rsidR="00377D64" w:rsidRPr="000301BB">
        <w:rPr>
          <w:bCs w:val="0"/>
          <w:sz w:val="20"/>
          <w:szCs w:val="20"/>
        </w:rPr>
        <w:tab/>
      </w:r>
      <w:proofErr w:type="gramStart"/>
      <w:r w:rsidRPr="000301BB">
        <w:rPr>
          <w:bCs w:val="0"/>
          <w:sz w:val="20"/>
          <w:szCs w:val="20"/>
        </w:rPr>
        <w:t>median</w:t>
      </w:r>
      <w:proofErr w:type="gramEnd"/>
      <w:r w:rsidRPr="000301BB">
        <w:rPr>
          <w:bCs w:val="0"/>
          <w:sz w:val="20"/>
          <w:szCs w:val="20"/>
        </w:rPr>
        <w:t xml:space="preserve"> percent change</w:t>
      </w:r>
    </w:p>
    <w:p w:rsidR="0082412B" w:rsidRPr="000301BB" w:rsidRDefault="0082412B" w:rsidP="00377D64">
      <w:pPr>
        <w:spacing w:before="20" w:after="20"/>
        <w:ind w:left="181" w:right="28" w:hanging="181"/>
        <w:rPr>
          <w:bCs w:val="0"/>
          <w:sz w:val="20"/>
          <w:szCs w:val="20"/>
        </w:rPr>
      </w:pPr>
      <w:r w:rsidRPr="000301BB">
        <w:rPr>
          <w:bCs w:val="0"/>
          <w:sz w:val="20"/>
          <w:szCs w:val="20"/>
        </w:rPr>
        <w:t>**</w:t>
      </w:r>
      <w:r w:rsidR="00377D64" w:rsidRPr="000301BB">
        <w:rPr>
          <w:bCs w:val="0"/>
          <w:sz w:val="20"/>
          <w:szCs w:val="20"/>
        </w:rPr>
        <w:tab/>
      </w:r>
      <w:proofErr w:type="gramStart"/>
      <w:r w:rsidRPr="000301BB">
        <w:rPr>
          <w:bCs w:val="0"/>
          <w:sz w:val="20"/>
          <w:szCs w:val="20"/>
        </w:rPr>
        <w:t>in</w:t>
      </w:r>
      <w:proofErr w:type="gramEnd"/>
      <w:r w:rsidRPr="000301BB">
        <w:rPr>
          <w:bCs w:val="0"/>
          <w:sz w:val="20"/>
          <w:szCs w:val="20"/>
        </w:rPr>
        <w:t xml:space="preserve"> the evening</w:t>
      </w:r>
    </w:p>
    <w:p w:rsidR="0082412B" w:rsidRPr="000301BB" w:rsidRDefault="0082412B" w:rsidP="002B4359">
      <w:pPr>
        <w:pStyle w:val="Heading4"/>
      </w:pPr>
      <w:r w:rsidRPr="000301BB">
        <w:t>Hypertriglycerid</w:t>
      </w:r>
      <w:r w:rsidR="00C504DF" w:rsidRPr="000301BB">
        <w:t>a</w:t>
      </w:r>
      <w:r w:rsidRPr="000301BB">
        <w:t xml:space="preserve">emia (Fredrickson </w:t>
      </w:r>
      <w:r w:rsidR="00897CEA" w:rsidRPr="000301BB">
        <w:t>t</w:t>
      </w:r>
      <w:r w:rsidRPr="000301BB">
        <w:t>ype lV hyperlipid</w:t>
      </w:r>
      <w:r w:rsidR="00C504DF" w:rsidRPr="000301BB">
        <w:t>a</w:t>
      </w:r>
      <w:r w:rsidRPr="000301BB">
        <w:t>emia)</w:t>
      </w:r>
    </w:p>
    <w:p w:rsidR="0082412B" w:rsidRPr="000301BB" w:rsidRDefault="0082412B" w:rsidP="002B4359">
      <w:pPr>
        <w:spacing w:after="100" w:afterAutospacing="1"/>
      </w:pPr>
      <w:r w:rsidRPr="000301BB">
        <w:t xml:space="preserve">The results of subgroup analyses from </w:t>
      </w:r>
      <w:r w:rsidR="003479A6" w:rsidRPr="000301BB">
        <w:t xml:space="preserve">a </w:t>
      </w:r>
      <w:r w:rsidRPr="000301BB">
        <w:t>stud</w:t>
      </w:r>
      <w:r w:rsidR="003479A6" w:rsidRPr="000301BB">
        <w:t>y</w:t>
      </w:r>
      <w:r w:rsidRPr="000301BB">
        <w:t xml:space="preserve"> including </w:t>
      </w:r>
      <w:r w:rsidR="003479A6" w:rsidRPr="000301BB">
        <w:t xml:space="preserve">a total of 116 </w:t>
      </w:r>
      <w:r w:rsidRPr="000301BB">
        <w:t xml:space="preserve">patients with </w:t>
      </w:r>
      <w:r w:rsidR="003479A6" w:rsidRPr="000301BB">
        <w:t>hypertriglyeridaemia (</w:t>
      </w:r>
      <w:r w:rsidRPr="000301BB">
        <w:t xml:space="preserve">Fredrickson </w:t>
      </w:r>
      <w:r w:rsidR="00897CEA" w:rsidRPr="000301BB">
        <w:t>t</w:t>
      </w:r>
      <w:r w:rsidRPr="000301BB">
        <w:t>ype lV hyperlipid</w:t>
      </w:r>
      <w:r w:rsidR="0027739F" w:rsidRPr="000301BB">
        <w:t>a</w:t>
      </w:r>
      <w:r w:rsidRPr="000301BB">
        <w:t>emia</w:t>
      </w:r>
      <w:r w:rsidR="003479A6" w:rsidRPr="000301BB">
        <w:t>)</w:t>
      </w:r>
      <w:r w:rsidRPr="000301BB">
        <w:t xml:space="preserve"> are presented in Table </w:t>
      </w:r>
      <w:r w:rsidR="001B3212" w:rsidRPr="000301BB">
        <w:t>8</w:t>
      </w:r>
      <w:r w:rsidRPr="000301BB">
        <w:t xml:space="preserve">. </w:t>
      </w:r>
      <w:r w:rsidR="001008C7" w:rsidRPr="000301BB">
        <w:t xml:space="preserve"> </w:t>
      </w:r>
      <w:r w:rsidR="00DF4EE1" w:rsidRPr="000301BB">
        <w:t xml:space="preserve">This </w:t>
      </w:r>
      <w:r w:rsidRPr="000301BB">
        <w:t>stud</w:t>
      </w:r>
      <w:r w:rsidR="00DF4EE1" w:rsidRPr="000301BB">
        <w:t>y</w:t>
      </w:r>
      <w:r w:rsidRPr="000301BB">
        <w:t xml:space="preserve"> </w:t>
      </w:r>
      <w:r w:rsidR="00DF4EE1" w:rsidRPr="000301BB">
        <w:t xml:space="preserve">was a </w:t>
      </w:r>
      <w:r w:rsidRPr="000301BB">
        <w:t xml:space="preserve">double-blind and placebo-controlled parallel study. </w:t>
      </w:r>
      <w:r w:rsidR="00141D75" w:rsidRPr="000301BB">
        <w:t xml:space="preserve"> </w:t>
      </w:r>
      <w:r w:rsidRPr="000301BB">
        <w:t xml:space="preserve">Each treatment group included approximately 30 patients. </w:t>
      </w:r>
      <w:r w:rsidR="001008C7" w:rsidRPr="000301BB">
        <w:t xml:space="preserve"> </w:t>
      </w:r>
      <w:r w:rsidRPr="000301BB">
        <w:t xml:space="preserve">The respective baseline values for the </w:t>
      </w:r>
      <w:r w:rsidR="00897CEA" w:rsidRPr="000301BB">
        <w:t>t</w:t>
      </w:r>
      <w:r w:rsidRPr="000301BB">
        <w:t>ype lV patients were: total</w:t>
      </w:r>
      <w:r w:rsidRPr="000301BB">
        <w:noBreakHyphen/>
        <w:t>C = 6.04 mmol/L; LDL</w:t>
      </w:r>
      <w:r w:rsidRPr="000301BB">
        <w:noBreakHyphen/>
        <w:t>C = 2.59</w:t>
      </w:r>
      <w:r w:rsidR="00141D75" w:rsidRPr="000301BB">
        <w:t> mmol/L</w:t>
      </w:r>
      <w:r w:rsidRPr="000301BB">
        <w:t>; HDL</w:t>
      </w:r>
      <w:r w:rsidRPr="000301BB">
        <w:noBreakHyphen/>
        <w:t>C = 0.91</w:t>
      </w:r>
      <w:r w:rsidR="00141D75" w:rsidRPr="000301BB">
        <w:t> mmol/L</w:t>
      </w:r>
      <w:r w:rsidRPr="000301BB">
        <w:t>; TG = 5.01</w:t>
      </w:r>
      <w:r w:rsidR="00141D75" w:rsidRPr="000301BB">
        <w:t> mmol/L</w:t>
      </w:r>
      <w:r w:rsidRPr="000301BB">
        <w:t>; VLDL</w:t>
      </w:r>
      <w:r w:rsidRPr="000301BB">
        <w:noBreakHyphen/>
        <w:t>C = 2.44</w:t>
      </w:r>
      <w:r w:rsidR="00141D75" w:rsidRPr="000301BB">
        <w:t> mmol/L</w:t>
      </w:r>
      <w:r w:rsidRPr="000301BB">
        <w:t>; non</w:t>
      </w:r>
      <w:r w:rsidRPr="000301BB">
        <w:noBreakHyphen/>
        <w:t>HDL</w:t>
      </w:r>
      <w:r w:rsidRPr="000301BB">
        <w:noBreakHyphen/>
        <w:t xml:space="preserve">C = </w:t>
      </w:r>
      <w:proofErr w:type="gramStart"/>
      <w:r w:rsidRPr="000301BB">
        <w:t>5.13</w:t>
      </w:r>
      <w:r w:rsidR="00141D75" w:rsidRPr="000301BB">
        <w:t> mmol/L</w:t>
      </w:r>
      <w:r w:rsidRPr="000301BB">
        <w:t>.</w:t>
      </w:r>
      <w:proofErr w:type="gramEnd"/>
    </w:p>
    <w:p w:rsidR="0082412B" w:rsidRPr="000301BB" w:rsidRDefault="0082412B" w:rsidP="00263C5B">
      <w:pPr>
        <w:keepNext/>
        <w:keepLines/>
        <w:spacing w:before="20" w:after="20"/>
        <w:outlineLvl w:val="0"/>
        <w:rPr>
          <w:b/>
          <w:bCs w:val="0"/>
          <w:sz w:val="20"/>
          <w:szCs w:val="20"/>
        </w:rPr>
      </w:pPr>
      <w:r w:rsidRPr="000301BB">
        <w:rPr>
          <w:b/>
          <w:bCs w:val="0"/>
          <w:sz w:val="20"/>
          <w:szCs w:val="20"/>
        </w:rPr>
        <w:t>Table </w:t>
      </w:r>
      <w:proofErr w:type="gramStart"/>
      <w:r w:rsidR="001B3212" w:rsidRPr="000301BB">
        <w:rPr>
          <w:b/>
          <w:bCs w:val="0"/>
          <w:sz w:val="20"/>
          <w:szCs w:val="20"/>
        </w:rPr>
        <w:t xml:space="preserve">8  </w:t>
      </w:r>
      <w:r w:rsidR="00141D75" w:rsidRPr="000301BB">
        <w:rPr>
          <w:b/>
          <w:bCs w:val="0"/>
          <w:sz w:val="20"/>
          <w:szCs w:val="20"/>
        </w:rPr>
        <w:t>Six</w:t>
      </w:r>
      <w:proofErr w:type="gramEnd"/>
      <w:r w:rsidR="00141D75" w:rsidRPr="000301BB">
        <w:rPr>
          <w:b/>
          <w:bCs w:val="0"/>
          <w:sz w:val="20"/>
          <w:szCs w:val="20"/>
        </w:rPr>
        <w:t xml:space="preserve">-week, Lipid-lowering effects of Simvastatin in </w:t>
      </w:r>
      <w:r w:rsidRPr="000301BB">
        <w:rPr>
          <w:b/>
          <w:bCs w:val="0"/>
          <w:sz w:val="20"/>
          <w:szCs w:val="20"/>
        </w:rPr>
        <w:t>Type lV Hyperlipid</w:t>
      </w:r>
      <w:r w:rsidR="0027739F" w:rsidRPr="000301BB">
        <w:rPr>
          <w:b/>
          <w:bCs w:val="0"/>
          <w:sz w:val="20"/>
          <w:szCs w:val="20"/>
        </w:rPr>
        <w:t>a</w:t>
      </w:r>
      <w:r w:rsidRPr="000301BB">
        <w:rPr>
          <w:b/>
          <w:bCs w:val="0"/>
          <w:sz w:val="20"/>
          <w:szCs w:val="20"/>
        </w:rPr>
        <w:t>emia</w:t>
      </w:r>
      <w:r w:rsidR="00141D75" w:rsidRPr="000301BB">
        <w:rPr>
          <w:b/>
          <w:bCs w:val="0"/>
          <w:sz w:val="20"/>
          <w:szCs w:val="20"/>
        </w:rPr>
        <w:t>**</w:t>
      </w:r>
      <w:r w:rsidRPr="000301BB">
        <w:rPr>
          <w:b/>
          <w:bCs w:val="0"/>
          <w:sz w:val="20"/>
          <w:szCs w:val="20"/>
        </w:rPr>
        <w:t xml:space="preserve"> </w:t>
      </w:r>
      <w:r w:rsidR="002F3B31" w:rsidRPr="000301BB">
        <w:rPr>
          <w:b/>
          <w:bCs w:val="0"/>
          <w:sz w:val="20"/>
          <w:szCs w:val="20"/>
        </w:rPr>
        <w:t xml:space="preserve">- </w:t>
      </w:r>
      <w:r w:rsidRPr="000301BB">
        <w:rPr>
          <w:b/>
          <w:bCs w:val="0"/>
          <w:sz w:val="20"/>
          <w:szCs w:val="20"/>
        </w:rPr>
        <w:t>Mean Percent Change from Baseline</w:t>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30"/>
        <w:gridCol w:w="990"/>
        <w:gridCol w:w="1008"/>
        <w:gridCol w:w="1155"/>
        <w:gridCol w:w="763"/>
        <w:gridCol w:w="1219"/>
        <w:gridCol w:w="1435"/>
      </w:tblGrid>
      <w:tr w:rsidR="0082412B" w:rsidRPr="000301BB" w:rsidTr="00C43AFD">
        <w:trPr>
          <w:trHeight w:val="255"/>
        </w:trPr>
        <w:tc>
          <w:tcPr>
            <w:tcW w:w="2430" w:type="dxa"/>
          </w:tcPr>
          <w:p w:rsidR="0082412B" w:rsidRPr="000301BB" w:rsidRDefault="0082412B" w:rsidP="00263C5B">
            <w:pPr>
              <w:keepNext/>
              <w:keepLines/>
              <w:spacing w:before="20" w:after="20"/>
              <w:ind w:right="-1152"/>
              <w:rPr>
                <w:b/>
                <w:sz w:val="20"/>
                <w:szCs w:val="20"/>
              </w:rPr>
            </w:pPr>
          </w:p>
        </w:tc>
        <w:tc>
          <w:tcPr>
            <w:tcW w:w="990" w:type="dxa"/>
          </w:tcPr>
          <w:p w:rsidR="0082412B" w:rsidRPr="000301BB" w:rsidRDefault="0082412B" w:rsidP="00263C5B">
            <w:pPr>
              <w:keepNext/>
              <w:keepLines/>
              <w:spacing w:before="20" w:after="20"/>
              <w:ind w:right="80"/>
              <w:jc w:val="center"/>
              <w:rPr>
                <w:b/>
                <w:sz w:val="20"/>
                <w:szCs w:val="20"/>
              </w:rPr>
            </w:pPr>
            <w:r w:rsidRPr="000301BB">
              <w:rPr>
                <w:b/>
                <w:sz w:val="20"/>
                <w:szCs w:val="20"/>
              </w:rPr>
              <w:t>Total-C</w:t>
            </w:r>
          </w:p>
        </w:tc>
        <w:tc>
          <w:tcPr>
            <w:tcW w:w="1008" w:type="dxa"/>
          </w:tcPr>
          <w:p w:rsidR="0082412B" w:rsidRPr="000301BB" w:rsidRDefault="0082412B" w:rsidP="00263C5B">
            <w:pPr>
              <w:keepNext/>
              <w:keepLines/>
              <w:spacing w:before="20" w:after="20"/>
              <w:ind w:right="80"/>
              <w:jc w:val="center"/>
              <w:rPr>
                <w:b/>
                <w:sz w:val="20"/>
                <w:szCs w:val="20"/>
              </w:rPr>
            </w:pPr>
            <w:r w:rsidRPr="000301BB">
              <w:rPr>
                <w:b/>
                <w:sz w:val="20"/>
                <w:szCs w:val="20"/>
              </w:rPr>
              <w:t>LDL-C</w:t>
            </w:r>
          </w:p>
        </w:tc>
        <w:tc>
          <w:tcPr>
            <w:tcW w:w="1155" w:type="dxa"/>
          </w:tcPr>
          <w:p w:rsidR="0082412B" w:rsidRPr="000301BB" w:rsidRDefault="0082412B" w:rsidP="00263C5B">
            <w:pPr>
              <w:keepNext/>
              <w:keepLines/>
              <w:spacing w:before="20" w:after="20"/>
              <w:ind w:right="80"/>
              <w:jc w:val="center"/>
              <w:rPr>
                <w:b/>
                <w:sz w:val="20"/>
                <w:szCs w:val="20"/>
              </w:rPr>
            </w:pPr>
            <w:r w:rsidRPr="000301BB">
              <w:rPr>
                <w:b/>
                <w:sz w:val="20"/>
                <w:szCs w:val="20"/>
              </w:rPr>
              <w:t>HDL-C</w:t>
            </w:r>
          </w:p>
        </w:tc>
        <w:tc>
          <w:tcPr>
            <w:tcW w:w="763" w:type="dxa"/>
          </w:tcPr>
          <w:p w:rsidR="0082412B" w:rsidRPr="000301BB" w:rsidRDefault="0082412B" w:rsidP="00263C5B">
            <w:pPr>
              <w:keepNext/>
              <w:keepLines/>
              <w:spacing w:before="20" w:after="20"/>
              <w:ind w:right="80"/>
              <w:jc w:val="center"/>
              <w:rPr>
                <w:b/>
                <w:sz w:val="20"/>
                <w:szCs w:val="20"/>
              </w:rPr>
            </w:pPr>
            <w:r w:rsidRPr="000301BB">
              <w:rPr>
                <w:b/>
                <w:sz w:val="20"/>
                <w:szCs w:val="20"/>
              </w:rPr>
              <w:t>TG*</w:t>
            </w:r>
          </w:p>
        </w:tc>
        <w:tc>
          <w:tcPr>
            <w:tcW w:w="1219" w:type="dxa"/>
          </w:tcPr>
          <w:p w:rsidR="0082412B" w:rsidRPr="000301BB" w:rsidRDefault="0082412B" w:rsidP="00263C5B">
            <w:pPr>
              <w:keepNext/>
              <w:keepLines/>
              <w:spacing w:before="20" w:after="20"/>
              <w:ind w:right="80"/>
              <w:jc w:val="center"/>
              <w:rPr>
                <w:b/>
                <w:sz w:val="20"/>
                <w:szCs w:val="20"/>
              </w:rPr>
            </w:pPr>
            <w:r w:rsidRPr="000301BB">
              <w:rPr>
                <w:b/>
                <w:sz w:val="20"/>
                <w:szCs w:val="20"/>
              </w:rPr>
              <w:t>VLDL-C*</w:t>
            </w:r>
          </w:p>
        </w:tc>
        <w:tc>
          <w:tcPr>
            <w:tcW w:w="1435" w:type="dxa"/>
          </w:tcPr>
          <w:p w:rsidR="0082412B" w:rsidRPr="000301BB" w:rsidRDefault="0082412B" w:rsidP="00263C5B">
            <w:pPr>
              <w:keepNext/>
              <w:keepLines/>
              <w:spacing w:before="20" w:after="20"/>
              <w:ind w:right="80"/>
              <w:jc w:val="center"/>
              <w:rPr>
                <w:b/>
                <w:sz w:val="20"/>
                <w:szCs w:val="20"/>
              </w:rPr>
            </w:pPr>
            <w:r w:rsidRPr="000301BB">
              <w:rPr>
                <w:b/>
                <w:sz w:val="20"/>
                <w:szCs w:val="20"/>
              </w:rPr>
              <w:t>Non-HDL-C</w:t>
            </w:r>
          </w:p>
        </w:tc>
      </w:tr>
      <w:tr w:rsidR="0082412B" w:rsidRPr="000301BB" w:rsidTr="00C43AFD">
        <w:trPr>
          <w:trHeight w:val="255"/>
        </w:trPr>
        <w:tc>
          <w:tcPr>
            <w:tcW w:w="2430" w:type="dxa"/>
          </w:tcPr>
          <w:p w:rsidR="0082412B" w:rsidRPr="000301BB" w:rsidRDefault="0082412B" w:rsidP="00263C5B">
            <w:pPr>
              <w:keepNext/>
              <w:keepLines/>
              <w:spacing w:before="20" w:after="20"/>
              <w:ind w:left="113"/>
              <w:rPr>
                <w:sz w:val="20"/>
                <w:szCs w:val="20"/>
              </w:rPr>
            </w:pPr>
            <w:r w:rsidRPr="000301BB">
              <w:rPr>
                <w:sz w:val="20"/>
                <w:szCs w:val="20"/>
              </w:rPr>
              <w:t>Placebo</w:t>
            </w:r>
          </w:p>
        </w:tc>
        <w:tc>
          <w:tcPr>
            <w:tcW w:w="990" w:type="dxa"/>
          </w:tcPr>
          <w:p w:rsidR="0082412B" w:rsidRPr="000301BB" w:rsidRDefault="0082412B" w:rsidP="00263C5B">
            <w:pPr>
              <w:keepNext/>
              <w:keepLines/>
              <w:spacing w:before="20" w:after="20"/>
              <w:ind w:right="80"/>
              <w:jc w:val="center"/>
              <w:rPr>
                <w:sz w:val="20"/>
                <w:szCs w:val="20"/>
              </w:rPr>
            </w:pPr>
            <w:r w:rsidRPr="000301BB">
              <w:rPr>
                <w:sz w:val="20"/>
                <w:szCs w:val="20"/>
              </w:rPr>
              <w:t>0</w:t>
            </w:r>
          </w:p>
        </w:tc>
        <w:tc>
          <w:tcPr>
            <w:tcW w:w="1008" w:type="dxa"/>
          </w:tcPr>
          <w:p w:rsidR="0082412B" w:rsidRPr="000301BB" w:rsidRDefault="0082412B" w:rsidP="00263C5B">
            <w:pPr>
              <w:keepNext/>
              <w:keepLines/>
              <w:spacing w:before="20" w:after="20"/>
              <w:ind w:right="80"/>
              <w:jc w:val="center"/>
              <w:rPr>
                <w:sz w:val="20"/>
                <w:szCs w:val="20"/>
              </w:rPr>
            </w:pPr>
            <w:r w:rsidRPr="000301BB">
              <w:rPr>
                <w:sz w:val="20"/>
                <w:szCs w:val="20"/>
              </w:rPr>
              <w:t>3</w:t>
            </w:r>
          </w:p>
        </w:tc>
        <w:tc>
          <w:tcPr>
            <w:tcW w:w="1155" w:type="dxa"/>
          </w:tcPr>
          <w:p w:rsidR="0082412B" w:rsidRPr="000301BB" w:rsidRDefault="0082412B" w:rsidP="00263C5B">
            <w:pPr>
              <w:keepNext/>
              <w:keepLines/>
              <w:spacing w:before="20" w:after="20"/>
              <w:ind w:right="80"/>
              <w:jc w:val="center"/>
              <w:rPr>
                <w:sz w:val="20"/>
                <w:szCs w:val="20"/>
              </w:rPr>
            </w:pPr>
            <w:r w:rsidRPr="000301BB">
              <w:rPr>
                <w:sz w:val="20"/>
                <w:szCs w:val="20"/>
              </w:rPr>
              <w:t>3</w:t>
            </w:r>
          </w:p>
        </w:tc>
        <w:tc>
          <w:tcPr>
            <w:tcW w:w="763" w:type="dxa"/>
          </w:tcPr>
          <w:p w:rsidR="0082412B" w:rsidRPr="000301BB" w:rsidRDefault="0082412B" w:rsidP="00263C5B">
            <w:pPr>
              <w:keepNext/>
              <w:keepLines/>
              <w:spacing w:before="20" w:after="20"/>
              <w:ind w:right="80"/>
              <w:jc w:val="center"/>
              <w:rPr>
                <w:sz w:val="20"/>
                <w:szCs w:val="20"/>
              </w:rPr>
            </w:pPr>
            <w:r w:rsidRPr="000301BB">
              <w:rPr>
                <w:sz w:val="20"/>
                <w:szCs w:val="20"/>
              </w:rPr>
              <w:t>-13</w:t>
            </w:r>
          </w:p>
        </w:tc>
        <w:tc>
          <w:tcPr>
            <w:tcW w:w="1219" w:type="dxa"/>
          </w:tcPr>
          <w:p w:rsidR="0082412B" w:rsidRPr="000301BB" w:rsidRDefault="0082412B" w:rsidP="00263C5B">
            <w:pPr>
              <w:keepNext/>
              <w:keepLines/>
              <w:spacing w:before="20" w:after="20"/>
              <w:ind w:right="80"/>
              <w:jc w:val="center"/>
              <w:rPr>
                <w:sz w:val="20"/>
                <w:szCs w:val="20"/>
              </w:rPr>
            </w:pPr>
            <w:r w:rsidRPr="000301BB">
              <w:rPr>
                <w:sz w:val="20"/>
                <w:szCs w:val="20"/>
              </w:rPr>
              <w:t>-10</w:t>
            </w:r>
          </w:p>
        </w:tc>
        <w:tc>
          <w:tcPr>
            <w:tcW w:w="1435" w:type="dxa"/>
          </w:tcPr>
          <w:p w:rsidR="0082412B" w:rsidRPr="000301BB" w:rsidRDefault="0082412B" w:rsidP="00263C5B">
            <w:pPr>
              <w:keepNext/>
              <w:keepLines/>
              <w:spacing w:before="20" w:after="20"/>
              <w:ind w:right="80"/>
              <w:jc w:val="center"/>
              <w:rPr>
                <w:sz w:val="20"/>
                <w:szCs w:val="20"/>
              </w:rPr>
            </w:pPr>
            <w:r w:rsidRPr="000301BB">
              <w:rPr>
                <w:sz w:val="20"/>
                <w:szCs w:val="20"/>
              </w:rPr>
              <w:t>-1</w:t>
            </w:r>
          </w:p>
        </w:tc>
      </w:tr>
      <w:tr w:rsidR="0082412B" w:rsidRPr="000301BB" w:rsidTr="00C43AFD">
        <w:trPr>
          <w:trHeight w:val="255"/>
        </w:trPr>
        <w:tc>
          <w:tcPr>
            <w:tcW w:w="2430" w:type="dxa"/>
          </w:tcPr>
          <w:p w:rsidR="0082412B" w:rsidRPr="000301BB" w:rsidRDefault="0082412B" w:rsidP="00263C5B">
            <w:pPr>
              <w:keepNext/>
              <w:keepLines/>
              <w:spacing w:before="20" w:after="20"/>
              <w:ind w:left="113"/>
              <w:rPr>
                <w:sz w:val="20"/>
                <w:szCs w:val="20"/>
              </w:rPr>
            </w:pPr>
            <w:r w:rsidRPr="000301BB">
              <w:rPr>
                <w:sz w:val="20"/>
                <w:szCs w:val="20"/>
              </w:rPr>
              <w:t>Simvastatin 20 mg/day</w:t>
            </w:r>
          </w:p>
        </w:tc>
        <w:tc>
          <w:tcPr>
            <w:tcW w:w="990" w:type="dxa"/>
          </w:tcPr>
          <w:p w:rsidR="0082412B" w:rsidRPr="000301BB" w:rsidRDefault="0082412B" w:rsidP="00263C5B">
            <w:pPr>
              <w:keepNext/>
              <w:keepLines/>
              <w:spacing w:before="20" w:after="20"/>
              <w:ind w:right="80"/>
              <w:jc w:val="center"/>
              <w:rPr>
                <w:sz w:val="20"/>
                <w:szCs w:val="20"/>
              </w:rPr>
            </w:pPr>
            <w:r w:rsidRPr="000301BB">
              <w:rPr>
                <w:sz w:val="20"/>
                <w:szCs w:val="20"/>
              </w:rPr>
              <w:t>-21</w:t>
            </w:r>
          </w:p>
        </w:tc>
        <w:tc>
          <w:tcPr>
            <w:tcW w:w="1008" w:type="dxa"/>
          </w:tcPr>
          <w:p w:rsidR="0082412B" w:rsidRPr="000301BB" w:rsidRDefault="0082412B" w:rsidP="00263C5B">
            <w:pPr>
              <w:keepNext/>
              <w:keepLines/>
              <w:spacing w:before="20" w:after="20"/>
              <w:ind w:right="80"/>
              <w:jc w:val="center"/>
              <w:rPr>
                <w:sz w:val="20"/>
                <w:szCs w:val="20"/>
              </w:rPr>
            </w:pPr>
            <w:r w:rsidRPr="000301BB">
              <w:rPr>
                <w:sz w:val="20"/>
                <w:szCs w:val="20"/>
              </w:rPr>
              <w:t>-23</w:t>
            </w:r>
          </w:p>
        </w:tc>
        <w:tc>
          <w:tcPr>
            <w:tcW w:w="1155" w:type="dxa"/>
          </w:tcPr>
          <w:p w:rsidR="0082412B" w:rsidRPr="000301BB" w:rsidRDefault="0082412B" w:rsidP="00263C5B">
            <w:pPr>
              <w:keepNext/>
              <w:keepLines/>
              <w:spacing w:before="20" w:after="20"/>
              <w:ind w:right="80"/>
              <w:jc w:val="center"/>
              <w:rPr>
                <w:sz w:val="20"/>
                <w:szCs w:val="20"/>
              </w:rPr>
            </w:pPr>
            <w:r w:rsidRPr="000301BB">
              <w:rPr>
                <w:sz w:val="20"/>
                <w:szCs w:val="20"/>
              </w:rPr>
              <w:t>9</w:t>
            </w:r>
          </w:p>
        </w:tc>
        <w:tc>
          <w:tcPr>
            <w:tcW w:w="763" w:type="dxa"/>
          </w:tcPr>
          <w:p w:rsidR="0082412B" w:rsidRPr="000301BB" w:rsidRDefault="0082412B" w:rsidP="00263C5B">
            <w:pPr>
              <w:keepNext/>
              <w:keepLines/>
              <w:spacing w:before="20" w:after="20"/>
              <w:ind w:right="80"/>
              <w:jc w:val="center"/>
              <w:rPr>
                <w:sz w:val="20"/>
                <w:szCs w:val="20"/>
              </w:rPr>
            </w:pPr>
            <w:r w:rsidRPr="000301BB">
              <w:rPr>
                <w:sz w:val="20"/>
                <w:szCs w:val="20"/>
              </w:rPr>
              <w:t>-21</w:t>
            </w:r>
          </w:p>
        </w:tc>
        <w:tc>
          <w:tcPr>
            <w:tcW w:w="1219" w:type="dxa"/>
          </w:tcPr>
          <w:p w:rsidR="0082412B" w:rsidRPr="000301BB" w:rsidRDefault="0082412B" w:rsidP="00263C5B">
            <w:pPr>
              <w:keepNext/>
              <w:keepLines/>
              <w:spacing w:before="20" w:after="20"/>
              <w:ind w:right="80"/>
              <w:jc w:val="center"/>
              <w:rPr>
                <w:sz w:val="20"/>
                <w:szCs w:val="20"/>
              </w:rPr>
            </w:pPr>
            <w:r w:rsidRPr="000301BB">
              <w:rPr>
                <w:sz w:val="20"/>
                <w:szCs w:val="20"/>
              </w:rPr>
              <w:t>-33</w:t>
            </w:r>
          </w:p>
        </w:tc>
        <w:tc>
          <w:tcPr>
            <w:tcW w:w="1435" w:type="dxa"/>
          </w:tcPr>
          <w:p w:rsidR="0082412B" w:rsidRPr="000301BB" w:rsidRDefault="0082412B" w:rsidP="00263C5B">
            <w:pPr>
              <w:keepNext/>
              <w:keepLines/>
              <w:spacing w:before="20" w:after="20"/>
              <w:ind w:right="80"/>
              <w:jc w:val="center"/>
              <w:rPr>
                <w:sz w:val="20"/>
                <w:szCs w:val="20"/>
              </w:rPr>
            </w:pPr>
            <w:r w:rsidRPr="000301BB">
              <w:rPr>
                <w:sz w:val="20"/>
                <w:szCs w:val="20"/>
              </w:rPr>
              <w:t>-26</w:t>
            </w:r>
          </w:p>
        </w:tc>
      </w:tr>
      <w:tr w:rsidR="0082412B" w:rsidRPr="000301BB" w:rsidTr="00C43AFD">
        <w:trPr>
          <w:trHeight w:val="255"/>
        </w:trPr>
        <w:tc>
          <w:tcPr>
            <w:tcW w:w="2430" w:type="dxa"/>
          </w:tcPr>
          <w:p w:rsidR="0082412B" w:rsidRPr="000301BB" w:rsidRDefault="0082412B" w:rsidP="00263C5B">
            <w:pPr>
              <w:keepNext/>
              <w:keepLines/>
              <w:spacing w:before="20" w:after="20"/>
              <w:ind w:left="113"/>
              <w:rPr>
                <w:sz w:val="20"/>
                <w:szCs w:val="20"/>
              </w:rPr>
            </w:pPr>
            <w:r w:rsidRPr="000301BB">
              <w:rPr>
                <w:sz w:val="20"/>
                <w:szCs w:val="20"/>
              </w:rPr>
              <w:t>Simvastatin 40 mg/day</w:t>
            </w:r>
          </w:p>
        </w:tc>
        <w:tc>
          <w:tcPr>
            <w:tcW w:w="990" w:type="dxa"/>
          </w:tcPr>
          <w:p w:rsidR="0082412B" w:rsidRPr="000301BB" w:rsidRDefault="0082412B" w:rsidP="00263C5B">
            <w:pPr>
              <w:keepNext/>
              <w:keepLines/>
              <w:spacing w:before="20" w:after="20"/>
              <w:ind w:right="80"/>
              <w:jc w:val="center"/>
              <w:rPr>
                <w:sz w:val="20"/>
                <w:szCs w:val="20"/>
              </w:rPr>
            </w:pPr>
            <w:r w:rsidRPr="000301BB">
              <w:rPr>
                <w:sz w:val="20"/>
                <w:szCs w:val="20"/>
              </w:rPr>
              <w:t>-26</w:t>
            </w:r>
          </w:p>
        </w:tc>
        <w:tc>
          <w:tcPr>
            <w:tcW w:w="1008" w:type="dxa"/>
          </w:tcPr>
          <w:p w:rsidR="0082412B" w:rsidRPr="000301BB" w:rsidRDefault="0082412B" w:rsidP="00263C5B">
            <w:pPr>
              <w:keepNext/>
              <w:keepLines/>
              <w:spacing w:before="20" w:after="20"/>
              <w:ind w:right="80"/>
              <w:jc w:val="center"/>
              <w:rPr>
                <w:sz w:val="20"/>
                <w:szCs w:val="20"/>
              </w:rPr>
            </w:pPr>
            <w:r w:rsidRPr="000301BB">
              <w:rPr>
                <w:sz w:val="20"/>
                <w:szCs w:val="20"/>
              </w:rPr>
              <w:t>-25</w:t>
            </w:r>
          </w:p>
        </w:tc>
        <w:tc>
          <w:tcPr>
            <w:tcW w:w="1155" w:type="dxa"/>
          </w:tcPr>
          <w:p w:rsidR="0082412B" w:rsidRPr="000301BB" w:rsidRDefault="0082412B" w:rsidP="00263C5B">
            <w:pPr>
              <w:keepNext/>
              <w:keepLines/>
              <w:spacing w:before="20" w:after="20"/>
              <w:ind w:right="80"/>
              <w:jc w:val="center"/>
              <w:rPr>
                <w:sz w:val="20"/>
                <w:szCs w:val="20"/>
              </w:rPr>
            </w:pPr>
            <w:r w:rsidRPr="000301BB">
              <w:rPr>
                <w:sz w:val="20"/>
                <w:szCs w:val="20"/>
              </w:rPr>
              <w:t>9</w:t>
            </w:r>
          </w:p>
        </w:tc>
        <w:tc>
          <w:tcPr>
            <w:tcW w:w="763" w:type="dxa"/>
          </w:tcPr>
          <w:p w:rsidR="0082412B" w:rsidRPr="000301BB" w:rsidRDefault="0082412B" w:rsidP="00263C5B">
            <w:pPr>
              <w:keepNext/>
              <w:keepLines/>
              <w:spacing w:before="20" w:after="20"/>
              <w:ind w:right="80"/>
              <w:jc w:val="center"/>
              <w:rPr>
                <w:sz w:val="20"/>
                <w:szCs w:val="20"/>
              </w:rPr>
            </w:pPr>
            <w:r w:rsidRPr="000301BB">
              <w:rPr>
                <w:sz w:val="20"/>
                <w:szCs w:val="20"/>
              </w:rPr>
              <w:t>-21</w:t>
            </w:r>
          </w:p>
        </w:tc>
        <w:tc>
          <w:tcPr>
            <w:tcW w:w="1219" w:type="dxa"/>
          </w:tcPr>
          <w:p w:rsidR="0082412B" w:rsidRPr="000301BB" w:rsidRDefault="0082412B" w:rsidP="00263C5B">
            <w:pPr>
              <w:keepNext/>
              <w:keepLines/>
              <w:spacing w:before="20" w:after="20"/>
              <w:ind w:right="80"/>
              <w:jc w:val="center"/>
              <w:rPr>
                <w:sz w:val="20"/>
                <w:szCs w:val="20"/>
              </w:rPr>
            </w:pPr>
            <w:r w:rsidRPr="000301BB">
              <w:rPr>
                <w:sz w:val="20"/>
                <w:szCs w:val="20"/>
              </w:rPr>
              <w:t>-35</w:t>
            </w:r>
          </w:p>
        </w:tc>
        <w:tc>
          <w:tcPr>
            <w:tcW w:w="1435" w:type="dxa"/>
          </w:tcPr>
          <w:p w:rsidR="0082412B" w:rsidRPr="000301BB" w:rsidRDefault="0082412B" w:rsidP="00263C5B">
            <w:pPr>
              <w:keepNext/>
              <w:keepLines/>
              <w:spacing w:before="20" w:after="20"/>
              <w:ind w:right="80"/>
              <w:jc w:val="center"/>
              <w:rPr>
                <w:sz w:val="20"/>
                <w:szCs w:val="20"/>
              </w:rPr>
            </w:pPr>
            <w:r w:rsidRPr="000301BB">
              <w:rPr>
                <w:sz w:val="20"/>
                <w:szCs w:val="20"/>
              </w:rPr>
              <w:t>-32</w:t>
            </w:r>
          </w:p>
        </w:tc>
      </w:tr>
    </w:tbl>
    <w:p w:rsidR="0082412B" w:rsidRPr="000301BB" w:rsidRDefault="0082412B" w:rsidP="00377D64">
      <w:pPr>
        <w:spacing w:before="20" w:after="20"/>
        <w:ind w:left="181" w:right="28" w:hanging="181"/>
        <w:rPr>
          <w:bCs w:val="0"/>
          <w:sz w:val="20"/>
          <w:szCs w:val="20"/>
        </w:rPr>
      </w:pPr>
      <w:r w:rsidRPr="000301BB">
        <w:rPr>
          <w:bCs w:val="0"/>
          <w:sz w:val="20"/>
          <w:szCs w:val="20"/>
        </w:rPr>
        <w:t>*</w:t>
      </w:r>
      <w:r w:rsidR="00377D64" w:rsidRPr="000301BB">
        <w:rPr>
          <w:bCs w:val="0"/>
          <w:sz w:val="20"/>
          <w:szCs w:val="20"/>
        </w:rPr>
        <w:tab/>
      </w:r>
      <w:proofErr w:type="gramStart"/>
      <w:r w:rsidRPr="000301BB">
        <w:rPr>
          <w:bCs w:val="0"/>
          <w:sz w:val="20"/>
          <w:szCs w:val="20"/>
        </w:rPr>
        <w:t>median</w:t>
      </w:r>
      <w:proofErr w:type="gramEnd"/>
      <w:r w:rsidRPr="000301BB">
        <w:rPr>
          <w:bCs w:val="0"/>
          <w:sz w:val="20"/>
          <w:szCs w:val="20"/>
        </w:rPr>
        <w:t xml:space="preserve"> percent change </w:t>
      </w:r>
    </w:p>
    <w:p w:rsidR="0082412B" w:rsidRPr="000301BB" w:rsidRDefault="0082412B" w:rsidP="00377D64">
      <w:pPr>
        <w:spacing w:before="20" w:after="20"/>
        <w:ind w:left="181" w:right="28" w:hanging="181"/>
        <w:rPr>
          <w:bCs w:val="0"/>
          <w:sz w:val="20"/>
          <w:szCs w:val="20"/>
        </w:rPr>
      </w:pPr>
      <w:r w:rsidRPr="000301BB">
        <w:rPr>
          <w:bCs w:val="0"/>
          <w:sz w:val="20"/>
          <w:szCs w:val="20"/>
        </w:rPr>
        <w:t>**</w:t>
      </w:r>
      <w:r w:rsidR="00377D64" w:rsidRPr="000301BB">
        <w:rPr>
          <w:bCs w:val="0"/>
          <w:sz w:val="20"/>
          <w:szCs w:val="20"/>
        </w:rPr>
        <w:tab/>
      </w:r>
      <w:proofErr w:type="gramStart"/>
      <w:r w:rsidRPr="000301BB">
        <w:rPr>
          <w:bCs w:val="0"/>
          <w:sz w:val="20"/>
          <w:szCs w:val="20"/>
        </w:rPr>
        <w:t>approximately</w:t>
      </w:r>
      <w:proofErr w:type="gramEnd"/>
      <w:r w:rsidRPr="000301BB">
        <w:rPr>
          <w:bCs w:val="0"/>
          <w:sz w:val="20"/>
          <w:szCs w:val="20"/>
        </w:rPr>
        <w:t xml:space="preserve"> 30 patients in each treatment group</w:t>
      </w:r>
    </w:p>
    <w:p w:rsidR="0082412B" w:rsidRPr="000301BB" w:rsidRDefault="0082412B" w:rsidP="002B4359">
      <w:pPr>
        <w:pStyle w:val="Heading4"/>
      </w:pPr>
      <w:r w:rsidRPr="000301BB">
        <w:t>Dysbetalipoprotein</w:t>
      </w:r>
      <w:r w:rsidR="0027739F" w:rsidRPr="000301BB">
        <w:t>a</w:t>
      </w:r>
      <w:r w:rsidRPr="000301BB">
        <w:t xml:space="preserve">emia (Fredrickson </w:t>
      </w:r>
      <w:r w:rsidR="00897CEA" w:rsidRPr="000301BB">
        <w:t>t</w:t>
      </w:r>
      <w:r w:rsidRPr="000301BB">
        <w:t>ype lll hyperlipid</w:t>
      </w:r>
      <w:r w:rsidR="0027739F" w:rsidRPr="000301BB">
        <w:t>a</w:t>
      </w:r>
      <w:r w:rsidRPr="000301BB">
        <w:t>emia)</w:t>
      </w:r>
    </w:p>
    <w:p w:rsidR="0082412B" w:rsidRPr="000301BB" w:rsidRDefault="0082412B" w:rsidP="002B4359">
      <w:pPr>
        <w:spacing w:after="100" w:afterAutospacing="1"/>
      </w:pPr>
      <w:r w:rsidRPr="000301BB">
        <w:t>Table </w:t>
      </w:r>
      <w:r w:rsidR="001B3212" w:rsidRPr="000301BB">
        <w:t xml:space="preserve">9 </w:t>
      </w:r>
      <w:r w:rsidRPr="000301BB">
        <w:t xml:space="preserve">presents the subgroup analysis results of 7 patients with Fredrickson </w:t>
      </w:r>
      <w:r w:rsidR="00897CEA" w:rsidRPr="000301BB">
        <w:t>t</w:t>
      </w:r>
      <w:r w:rsidRPr="000301BB">
        <w:t>ype lll hyperlipid</w:t>
      </w:r>
      <w:r w:rsidR="0027739F" w:rsidRPr="000301BB">
        <w:t>a</w:t>
      </w:r>
      <w:r w:rsidRPr="000301BB">
        <w:t>emia (dysbetalipoprotein</w:t>
      </w:r>
      <w:r w:rsidR="0027739F" w:rsidRPr="000301BB">
        <w:t>a</w:t>
      </w:r>
      <w:r w:rsidRPr="000301BB">
        <w:t>emia; apo E2/2 and VLDL</w:t>
      </w:r>
      <w:r w:rsidRPr="000301BB">
        <w:noBreakHyphen/>
        <w:t>C/TG &gt;0.25) from a 130</w:t>
      </w:r>
      <w:r w:rsidRPr="000301BB">
        <w:noBreakHyphen/>
        <w:t>patient double-blind, placebo-controlled crossover study.</w:t>
      </w:r>
      <w:r w:rsidR="002F3B31" w:rsidRPr="000301BB">
        <w:t xml:space="preserve"> </w:t>
      </w:r>
      <w:r w:rsidRPr="000301BB">
        <w:t xml:space="preserve"> In this study the median baseline values were: total</w:t>
      </w:r>
      <w:r w:rsidRPr="000301BB">
        <w:noBreakHyphen/>
        <w:t>C = 8.39 mmol/L, LDL</w:t>
      </w:r>
      <w:r w:rsidRPr="000301BB">
        <w:noBreakHyphen/>
        <w:t>C (+IDL) = 3.13</w:t>
      </w:r>
      <w:r w:rsidR="002F3B31" w:rsidRPr="000301BB">
        <w:t> mmol/L</w:t>
      </w:r>
      <w:r w:rsidRPr="000301BB">
        <w:t>, HDL</w:t>
      </w:r>
      <w:r w:rsidRPr="000301BB">
        <w:noBreakHyphen/>
        <w:t>C = 0.80</w:t>
      </w:r>
      <w:r w:rsidR="002F3B31" w:rsidRPr="000301BB">
        <w:t> mmol/L</w:t>
      </w:r>
      <w:r w:rsidRPr="000301BB">
        <w:t>, TG = 4.67</w:t>
      </w:r>
      <w:r w:rsidR="002F3B31" w:rsidRPr="000301BB">
        <w:t> mmol/L</w:t>
      </w:r>
      <w:r w:rsidRPr="000301BB">
        <w:t>, VLDL</w:t>
      </w:r>
      <w:r w:rsidRPr="000301BB">
        <w:noBreakHyphen/>
        <w:t>C (+IDL) = 4.40</w:t>
      </w:r>
      <w:r w:rsidR="002F3B31" w:rsidRPr="000301BB">
        <w:t> </w:t>
      </w:r>
      <w:proofErr w:type="gramStart"/>
      <w:r w:rsidR="002F3B31" w:rsidRPr="000301BB">
        <w:t>mmol/L</w:t>
      </w:r>
      <w:r w:rsidRPr="000301BB">
        <w:t>,</w:t>
      </w:r>
      <w:proofErr w:type="gramEnd"/>
      <w:r w:rsidRPr="000301BB">
        <w:t xml:space="preserve"> and non</w:t>
      </w:r>
      <w:r w:rsidRPr="000301BB">
        <w:noBreakHyphen/>
        <w:t>HDL</w:t>
      </w:r>
      <w:r w:rsidRPr="000301BB">
        <w:noBreakHyphen/>
        <w:t>C = 7.54</w:t>
      </w:r>
      <w:r w:rsidR="002F3B31" w:rsidRPr="000301BB">
        <w:t> mmol/L</w:t>
      </w:r>
      <w:r w:rsidRPr="000301BB">
        <w:t>.</w:t>
      </w:r>
    </w:p>
    <w:p w:rsidR="007B5B64" w:rsidRPr="000301BB" w:rsidRDefault="007B5B64" w:rsidP="00263C5B">
      <w:pPr>
        <w:keepNext/>
        <w:keepLines/>
        <w:spacing w:before="20" w:after="20"/>
        <w:rPr>
          <w:b/>
          <w:sz w:val="20"/>
          <w:szCs w:val="20"/>
        </w:rPr>
      </w:pPr>
      <w:r w:rsidRPr="000301BB">
        <w:rPr>
          <w:b/>
          <w:sz w:val="20"/>
          <w:szCs w:val="20"/>
        </w:rPr>
        <w:lastRenderedPageBreak/>
        <w:t>Table </w:t>
      </w:r>
      <w:proofErr w:type="gramStart"/>
      <w:r w:rsidR="001B3212" w:rsidRPr="000301BB">
        <w:rPr>
          <w:b/>
          <w:sz w:val="20"/>
          <w:szCs w:val="20"/>
        </w:rPr>
        <w:t>9</w:t>
      </w:r>
      <w:r w:rsidRPr="000301BB">
        <w:rPr>
          <w:b/>
          <w:sz w:val="20"/>
          <w:szCs w:val="20"/>
        </w:rPr>
        <w:t xml:space="preserve">  Six</w:t>
      </w:r>
      <w:proofErr w:type="gramEnd"/>
      <w:r w:rsidRPr="000301BB">
        <w:rPr>
          <w:b/>
          <w:sz w:val="20"/>
          <w:szCs w:val="20"/>
        </w:rPr>
        <w:t>-week, Lipid-lowering Effects of Simvastatin in Type lll Hyperlipid</w:t>
      </w:r>
      <w:r w:rsidR="0027739F" w:rsidRPr="000301BB">
        <w:rPr>
          <w:b/>
          <w:sz w:val="20"/>
          <w:szCs w:val="20"/>
        </w:rPr>
        <w:t>a</w:t>
      </w:r>
      <w:r w:rsidRPr="000301BB">
        <w:rPr>
          <w:b/>
          <w:sz w:val="20"/>
          <w:szCs w:val="20"/>
        </w:rPr>
        <w:t xml:space="preserve">emia </w:t>
      </w:r>
      <w:r w:rsidR="00E664F2" w:rsidRPr="000301BB">
        <w:rPr>
          <w:b/>
          <w:sz w:val="20"/>
          <w:szCs w:val="20"/>
        </w:rPr>
        <w:t xml:space="preserve">- </w:t>
      </w:r>
      <w:r w:rsidRPr="000301BB">
        <w:rPr>
          <w:b/>
          <w:sz w:val="20"/>
          <w:szCs w:val="20"/>
        </w:rPr>
        <w:t>Median Percent Change from Baseline</w:t>
      </w:r>
    </w:p>
    <w:tbl>
      <w:tblPr>
        <w:tblW w:w="9000" w:type="dxa"/>
        <w:tblInd w:w="108" w:type="dxa"/>
        <w:tblLayout w:type="fixed"/>
        <w:tblLook w:val="0000"/>
      </w:tblPr>
      <w:tblGrid>
        <w:gridCol w:w="2306"/>
        <w:gridCol w:w="1109"/>
        <w:gridCol w:w="1109"/>
        <w:gridCol w:w="1109"/>
        <w:gridCol w:w="667"/>
        <w:gridCol w:w="1260"/>
        <w:gridCol w:w="1440"/>
      </w:tblGrid>
      <w:tr w:rsidR="0082412B" w:rsidRPr="000301BB" w:rsidTr="001A3542">
        <w:trPr>
          <w:trHeight w:val="255"/>
        </w:trPr>
        <w:tc>
          <w:tcPr>
            <w:tcW w:w="230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b/>
                <w:sz w:val="20"/>
                <w:szCs w:val="20"/>
              </w:rPr>
            </w:pP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Total-C</w:t>
            </w: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vertAlign w:val="superscript"/>
              </w:rPr>
            </w:pPr>
            <w:r w:rsidRPr="000301BB">
              <w:rPr>
                <w:b/>
                <w:sz w:val="20"/>
                <w:szCs w:val="20"/>
              </w:rPr>
              <w:t>LDL-C*</w:t>
            </w: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HDL-C</w:t>
            </w:r>
          </w:p>
        </w:tc>
        <w:tc>
          <w:tcPr>
            <w:tcW w:w="66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TG</w:t>
            </w:r>
          </w:p>
        </w:tc>
        <w:tc>
          <w:tcPr>
            <w:tcW w:w="126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vertAlign w:val="superscript"/>
              </w:rPr>
            </w:pPr>
            <w:r w:rsidRPr="000301BB">
              <w:rPr>
                <w:b/>
                <w:sz w:val="20"/>
                <w:szCs w:val="20"/>
              </w:rPr>
              <w:t>VLDL-C*</w:t>
            </w:r>
          </w:p>
        </w:tc>
        <w:tc>
          <w:tcPr>
            <w:tcW w:w="144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rPr>
            </w:pPr>
            <w:r w:rsidRPr="000301BB">
              <w:rPr>
                <w:b/>
                <w:sz w:val="20"/>
                <w:szCs w:val="20"/>
              </w:rPr>
              <w:t>Non-HDL-C</w:t>
            </w:r>
          </w:p>
        </w:tc>
      </w:tr>
      <w:tr w:rsidR="0082412B" w:rsidRPr="000301BB" w:rsidTr="001A3542">
        <w:trPr>
          <w:trHeight w:val="255"/>
        </w:trPr>
        <w:tc>
          <w:tcPr>
            <w:tcW w:w="230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sz w:val="20"/>
                <w:szCs w:val="20"/>
              </w:rPr>
            </w:pPr>
            <w:r w:rsidRPr="000301BB">
              <w:rPr>
                <w:sz w:val="20"/>
                <w:szCs w:val="20"/>
              </w:rPr>
              <w:t>Placebo</w:t>
            </w: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b/>
                <w:sz w:val="20"/>
                <w:szCs w:val="20"/>
                <w:vertAlign w:val="superscript"/>
              </w:rPr>
            </w:pPr>
            <w:r w:rsidRPr="000301BB">
              <w:rPr>
                <w:sz w:val="20"/>
                <w:szCs w:val="20"/>
              </w:rPr>
              <w:t>-8</w:t>
            </w: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w:t>
            </w: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-2</w:t>
            </w:r>
          </w:p>
        </w:tc>
        <w:tc>
          <w:tcPr>
            <w:tcW w:w="66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+4</w:t>
            </w:r>
          </w:p>
        </w:tc>
        <w:tc>
          <w:tcPr>
            <w:tcW w:w="126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-4*</w:t>
            </w:r>
          </w:p>
        </w:tc>
        <w:tc>
          <w:tcPr>
            <w:tcW w:w="144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-8</w:t>
            </w:r>
          </w:p>
        </w:tc>
      </w:tr>
      <w:tr w:rsidR="0082412B" w:rsidRPr="000301BB" w:rsidTr="001A3542">
        <w:trPr>
          <w:trHeight w:val="255"/>
        </w:trPr>
        <w:tc>
          <w:tcPr>
            <w:tcW w:w="2306"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rPr>
                <w:sz w:val="20"/>
                <w:szCs w:val="20"/>
              </w:rPr>
            </w:pPr>
            <w:r w:rsidRPr="000301BB">
              <w:rPr>
                <w:sz w:val="20"/>
                <w:szCs w:val="20"/>
              </w:rPr>
              <w:t xml:space="preserve">Simvastatin 40 mg/day </w:t>
            </w: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-50</w:t>
            </w: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-50*</w:t>
            </w:r>
          </w:p>
        </w:tc>
        <w:tc>
          <w:tcPr>
            <w:tcW w:w="1109"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+7</w:t>
            </w:r>
          </w:p>
        </w:tc>
        <w:tc>
          <w:tcPr>
            <w:tcW w:w="667"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-41</w:t>
            </w:r>
          </w:p>
        </w:tc>
        <w:tc>
          <w:tcPr>
            <w:tcW w:w="126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-58*</w:t>
            </w:r>
          </w:p>
        </w:tc>
        <w:tc>
          <w:tcPr>
            <w:tcW w:w="1440" w:type="dxa"/>
            <w:tcBorders>
              <w:top w:val="single" w:sz="6" w:space="0" w:color="auto"/>
              <w:left w:val="single" w:sz="6" w:space="0" w:color="auto"/>
              <w:bottom w:val="single" w:sz="6" w:space="0" w:color="auto"/>
              <w:right w:val="single" w:sz="6" w:space="0" w:color="auto"/>
            </w:tcBorders>
          </w:tcPr>
          <w:p w:rsidR="0082412B" w:rsidRPr="000301BB" w:rsidRDefault="0082412B" w:rsidP="00263C5B">
            <w:pPr>
              <w:keepNext/>
              <w:keepLines/>
              <w:spacing w:before="20" w:after="20"/>
              <w:jc w:val="center"/>
              <w:rPr>
                <w:sz w:val="20"/>
                <w:szCs w:val="20"/>
              </w:rPr>
            </w:pPr>
            <w:r w:rsidRPr="000301BB">
              <w:rPr>
                <w:sz w:val="20"/>
                <w:szCs w:val="20"/>
              </w:rPr>
              <w:t>-57</w:t>
            </w:r>
          </w:p>
        </w:tc>
      </w:tr>
    </w:tbl>
    <w:p w:rsidR="0082412B" w:rsidRPr="000301BB" w:rsidRDefault="0082412B" w:rsidP="00377D64">
      <w:pPr>
        <w:spacing w:before="20" w:after="20"/>
        <w:ind w:left="181" w:right="28" w:hanging="181"/>
        <w:rPr>
          <w:bCs w:val="0"/>
          <w:sz w:val="20"/>
          <w:szCs w:val="20"/>
        </w:rPr>
      </w:pPr>
      <w:r w:rsidRPr="000301BB">
        <w:rPr>
          <w:bCs w:val="0"/>
          <w:sz w:val="20"/>
          <w:szCs w:val="20"/>
        </w:rPr>
        <w:t>*</w:t>
      </w:r>
      <w:r w:rsidR="00377D64" w:rsidRPr="000301BB">
        <w:rPr>
          <w:bCs w:val="0"/>
          <w:sz w:val="20"/>
          <w:szCs w:val="20"/>
        </w:rPr>
        <w:tab/>
      </w:r>
      <w:r w:rsidRPr="000301BB">
        <w:rPr>
          <w:bCs w:val="0"/>
          <w:sz w:val="20"/>
          <w:szCs w:val="20"/>
        </w:rPr>
        <w:t>includes IDL</w:t>
      </w:r>
    </w:p>
    <w:p w:rsidR="0082412B" w:rsidRPr="000301BB" w:rsidRDefault="0082412B" w:rsidP="002B4359">
      <w:pPr>
        <w:pStyle w:val="Heading4"/>
      </w:pPr>
      <w:r w:rsidRPr="000301BB">
        <w:t>Homozygous Familial Hypercholesterol</w:t>
      </w:r>
      <w:r w:rsidR="003A1AFD" w:rsidRPr="000301BB">
        <w:t>a</w:t>
      </w:r>
      <w:r w:rsidRPr="000301BB">
        <w:t>emia</w:t>
      </w:r>
    </w:p>
    <w:p w:rsidR="0082412B" w:rsidRPr="000301BB" w:rsidRDefault="0082412B" w:rsidP="002B4359">
      <w:pPr>
        <w:spacing w:after="100" w:afterAutospacing="1"/>
        <w:ind w:right="45"/>
      </w:pPr>
      <w:r w:rsidRPr="000301BB">
        <w:t>In a controlled clinical study, 4 patients, 19-27 years of age, with homozygous familial hypercholesterol</w:t>
      </w:r>
      <w:r w:rsidR="003A1AFD" w:rsidRPr="000301BB">
        <w:t>a</w:t>
      </w:r>
      <w:r w:rsidRPr="000301BB">
        <w:t xml:space="preserve">emia received simvastatin 40 mg/day in a single dose or in 3 divided doses. </w:t>
      </w:r>
      <w:r w:rsidR="001008C7" w:rsidRPr="000301BB">
        <w:t xml:space="preserve"> </w:t>
      </w:r>
      <w:r w:rsidRPr="000301BB">
        <w:t>Reductions in LDL</w:t>
      </w:r>
      <w:r w:rsidRPr="000301BB">
        <w:noBreakHyphen/>
        <w:t xml:space="preserve">C were observed for all patients. </w:t>
      </w:r>
      <w:r w:rsidR="00410EE0" w:rsidRPr="000301BB">
        <w:t xml:space="preserve"> </w:t>
      </w:r>
      <w:r w:rsidRPr="000301BB">
        <w:t>The mean LDL</w:t>
      </w:r>
      <w:r w:rsidRPr="000301BB">
        <w:noBreakHyphen/>
        <w:t>C reduction for the 40 mg dose was 14%.</w:t>
      </w:r>
    </w:p>
    <w:p w:rsidR="00B318B5" w:rsidRPr="000301BB" w:rsidRDefault="00B318B5" w:rsidP="002B4359">
      <w:pPr>
        <w:pStyle w:val="Heading2"/>
      </w:pPr>
      <w:r w:rsidRPr="000301BB">
        <w:t>Indications</w:t>
      </w:r>
    </w:p>
    <w:p w:rsidR="00FE4A3F" w:rsidRPr="000301BB" w:rsidRDefault="006565BF" w:rsidP="009A4A98">
      <w:pPr>
        <w:spacing w:after="0"/>
        <w:ind w:left="17"/>
        <w:rPr>
          <w:iCs/>
        </w:rPr>
      </w:pPr>
      <w:r w:rsidRPr="000301BB">
        <w:rPr>
          <w:iCs/>
        </w:rPr>
        <w:t xml:space="preserve">JUVICOR (sitagliptin and simvastatin) is indicated in </w:t>
      </w:r>
      <w:r w:rsidR="00DB03D3" w:rsidRPr="000301BB">
        <w:rPr>
          <w:iCs/>
        </w:rPr>
        <w:t xml:space="preserve">adult </w:t>
      </w:r>
      <w:r w:rsidRPr="000301BB">
        <w:rPr>
          <w:iCs/>
        </w:rPr>
        <w:t>patients</w:t>
      </w:r>
      <w:r w:rsidR="00DB03D3" w:rsidRPr="000301BB">
        <w:rPr>
          <w:iCs/>
        </w:rPr>
        <w:t xml:space="preserve"> with </w:t>
      </w:r>
      <w:r w:rsidR="009A4A98" w:rsidRPr="000301BB">
        <w:rPr>
          <w:iCs/>
        </w:rPr>
        <w:t xml:space="preserve">type 2 </w:t>
      </w:r>
      <w:r w:rsidR="00DB03D3" w:rsidRPr="000301BB">
        <w:rPr>
          <w:iCs/>
        </w:rPr>
        <w:t>diabetes mellitus in</w:t>
      </w:r>
      <w:r w:rsidRPr="000301BB">
        <w:rPr>
          <w:iCs/>
        </w:rPr>
        <w:t xml:space="preserve"> whom treatment with both sitagliptin and simvastatin is </w:t>
      </w:r>
      <w:r w:rsidR="00DB03D3" w:rsidRPr="000301BB">
        <w:rPr>
          <w:iCs/>
        </w:rPr>
        <w:t>indicated according to the separate indications of these drugs</w:t>
      </w:r>
      <w:r w:rsidRPr="000301BB">
        <w:rPr>
          <w:iCs/>
        </w:rPr>
        <w:t>.</w:t>
      </w:r>
    </w:p>
    <w:p w:rsidR="007D0E63" w:rsidRPr="000301BB" w:rsidRDefault="002671BA" w:rsidP="002B4359">
      <w:pPr>
        <w:pStyle w:val="Heading3"/>
        <w:spacing w:after="0" w:afterAutospacing="0"/>
      </w:pPr>
      <w:r w:rsidRPr="000301BB">
        <w:t>The i</w:t>
      </w:r>
      <w:r w:rsidR="007D0E63" w:rsidRPr="000301BB">
        <w:t>ndications for sitagliptin</w:t>
      </w:r>
      <w:r w:rsidRPr="000301BB">
        <w:t xml:space="preserve"> are:</w:t>
      </w:r>
    </w:p>
    <w:p w:rsidR="007D0E63" w:rsidRPr="000301BB" w:rsidRDefault="007D0E63" w:rsidP="009A4A98">
      <w:pPr>
        <w:numPr>
          <w:ilvl w:val="0"/>
          <w:numId w:val="8"/>
        </w:numPr>
        <w:tabs>
          <w:tab w:val="clear" w:pos="284"/>
          <w:tab w:val="num" w:pos="360"/>
        </w:tabs>
        <w:adjustRightInd w:val="0"/>
        <w:ind w:left="360" w:hanging="360"/>
        <w:rPr>
          <w:noProof/>
          <w:u w:val="single"/>
        </w:rPr>
      </w:pPr>
      <w:r w:rsidRPr="000301BB">
        <w:t>F</w:t>
      </w:r>
      <w:r w:rsidRPr="000301BB">
        <w:rPr>
          <w:noProof/>
        </w:rPr>
        <w:t xml:space="preserve">or the treatment of </w:t>
      </w:r>
      <w:r w:rsidR="009A4A98" w:rsidRPr="000301BB">
        <w:rPr>
          <w:noProof/>
        </w:rPr>
        <w:t xml:space="preserve">type 2 </w:t>
      </w:r>
      <w:r w:rsidRPr="000301BB">
        <w:rPr>
          <w:noProof/>
        </w:rPr>
        <w:t>diabetes mellitus in persons 18 years of age and older who have failed dietary measures and exercise as dual combination therapy with metformin, or with a sulfonylurea, or with a thiazolidinedione where the use of a thiazolidinedione is considered appropriate.</w:t>
      </w:r>
    </w:p>
    <w:p w:rsidR="007D0E63" w:rsidRPr="000301BB" w:rsidRDefault="002671BA" w:rsidP="00DC2E36">
      <w:pPr>
        <w:pStyle w:val="Heading3"/>
        <w:spacing w:after="0" w:afterAutospacing="0"/>
      </w:pPr>
      <w:r w:rsidRPr="000301BB">
        <w:t>The i</w:t>
      </w:r>
      <w:r w:rsidR="007D0E63" w:rsidRPr="000301BB">
        <w:t>ndications for simvastatin</w:t>
      </w:r>
      <w:r w:rsidRPr="000301BB">
        <w:t xml:space="preserve"> are:</w:t>
      </w:r>
    </w:p>
    <w:p w:rsidR="007D0E63" w:rsidRPr="000301BB" w:rsidRDefault="00AC438F" w:rsidP="00B07389">
      <w:pPr>
        <w:numPr>
          <w:ilvl w:val="0"/>
          <w:numId w:val="7"/>
        </w:numPr>
        <w:tabs>
          <w:tab w:val="clear" w:pos="720"/>
          <w:tab w:val="left" w:pos="360"/>
        </w:tabs>
        <w:ind w:left="360"/>
        <w:outlineLvl w:val="0"/>
      </w:pPr>
      <w:r w:rsidRPr="000301BB">
        <w:t>S</w:t>
      </w:r>
      <w:r w:rsidR="002671BA" w:rsidRPr="000301BB">
        <w:t>imvastatin</w:t>
      </w:r>
      <w:r w:rsidR="007D0E63" w:rsidRPr="000301BB">
        <w:t xml:space="preserve"> is indicated as an adjunct to diet for treatment of hypercholesterolaemia.</w:t>
      </w:r>
    </w:p>
    <w:p w:rsidR="007D0E63" w:rsidRPr="000301BB" w:rsidRDefault="007D0E63" w:rsidP="00A76AD3">
      <w:pPr>
        <w:tabs>
          <w:tab w:val="left" w:pos="840"/>
        </w:tabs>
        <w:ind w:left="360"/>
        <w:rPr>
          <w:i/>
        </w:rPr>
      </w:pPr>
      <w:r w:rsidRPr="000301BB">
        <w:rPr>
          <w:i/>
        </w:rPr>
        <w:t xml:space="preserve">Prior to initiating therapy with </w:t>
      </w:r>
      <w:r w:rsidR="002671BA" w:rsidRPr="000301BB">
        <w:rPr>
          <w:i/>
        </w:rPr>
        <w:t>simvastatin</w:t>
      </w:r>
      <w:r w:rsidRPr="000301BB">
        <w:rPr>
          <w:i/>
        </w:rPr>
        <w:t xml:space="preserve">, secondary causes of hypercholesterolaemia (e.g. poorly controlled diabetes mellitus, hypothyroidism, nephrotic syndrome, dysproteinaemias, obstructive liver disease, other drug therapy, </w:t>
      </w:r>
      <w:proofErr w:type="gramStart"/>
      <w:r w:rsidRPr="000301BB">
        <w:rPr>
          <w:i/>
        </w:rPr>
        <w:t>alcoholism</w:t>
      </w:r>
      <w:proofErr w:type="gramEnd"/>
      <w:r w:rsidRPr="000301BB">
        <w:rPr>
          <w:i/>
        </w:rPr>
        <w:t>) should be identified and treated.</w:t>
      </w:r>
    </w:p>
    <w:p w:rsidR="007D0E63" w:rsidRPr="000301BB" w:rsidRDefault="00AC438F" w:rsidP="00DB03D3">
      <w:pPr>
        <w:numPr>
          <w:ilvl w:val="0"/>
          <w:numId w:val="7"/>
        </w:numPr>
        <w:tabs>
          <w:tab w:val="clear" w:pos="720"/>
          <w:tab w:val="left" w:pos="360"/>
        </w:tabs>
        <w:ind w:left="360"/>
      </w:pPr>
      <w:r w:rsidRPr="000301BB">
        <w:t>S</w:t>
      </w:r>
      <w:r w:rsidR="002671BA" w:rsidRPr="000301BB">
        <w:t>imvastatin</w:t>
      </w:r>
      <w:r w:rsidR="007D0E63" w:rsidRPr="000301BB">
        <w:t xml:space="preserve"> is indicated in patients at high risk of CHD (with or without hypercholesterolaemia) including patients with history of stroke or other cerebrovascular disease, peripheral vessel disease, or with existing CHD to reduce the risk of cardiovascular death, major cardiovascular events including stroke, and hospitalisation due to angina pectoris.</w:t>
      </w:r>
    </w:p>
    <w:p w:rsidR="007D0E63" w:rsidRPr="000301BB" w:rsidRDefault="007D0E63" w:rsidP="00DB03D3">
      <w:pPr>
        <w:tabs>
          <w:tab w:val="left" w:pos="840"/>
        </w:tabs>
        <w:ind w:left="360"/>
        <w:rPr>
          <w:i/>
        </w:rPr>
      </w:pPr>
      <w:r w:rsidRPr="000301BB">
        <w:rPr>
          <w:i/>
        </w:rPr>
        <w:t>These effects do not replace the need to independently control known causes of cardiovascular mortality and morbidity such as hypertension, diabetes and smoking.</w:t>
      </w:r>
    </w:p>
    <w:p w:rsidR="00B318B5" w:rsidRPr="000301BB" w:rsidRDefault="00B318B5" w:rsidP="00DC2E36">
      <w:pPr>
        <w:pStyle w:val="Heading2"/>
      </w:pPr>
      <w:r w:rsidRPr="000301BB">
        <w:t>Contraindications</w:t>
      </w:r>
    </w:p>
    <w:p w:rsidR="0024653C" w:rsidRPr="000301BB" w:rsidRDefault="0024653C" w:rsidP="001F2B0D">
      <w:pPr>
        <w:numPr>
          <w:ilvl w:val="0"/>
          <w:numId w:val="1"/>
        </w:numPr>
        <w:overflowPunct w:val="0"/>
        <w:autoSpaceDE w:val="0"/>
        <w:autoSpaceDN w:val="0"/>
        <w:adjustRightInd w:val="0"/>
        <w:spacing w:after="0"/>
        <w:textAlignment w:val="baseline"/>
      </w:pPr>
      <w:r w:rsidRPr="000301BB">
        <w:t xml:space="preserve">Hypersensitivity to any component of this preparation (see </w:t>
      </w:r>
      <w:r w:rsidRPr="000301BB">
        <w:rPr>
          <w:b/>
        </w:rPr>
        <w:t>PRECAUTIONS</w:t>
      </w:r>
      <w:r w:rsidRPr="000301BB">
        <w:t xml:space="preserve">, </w:t>
      </w:r>
      <w:r w:rsidRPr="000301BB">
        <w:rPr>
          <w:i/>
        </w:rPr>
        <w:t>Hypersensitivity Reactions</w:t>
      </w:r>
      <w:r w:rsidRPr="000301BB">
        <w:rPr>
          <w:iCs/>
        </w:rPr>
        <w:t>;</w:t>
      </w:r>
      <w:r w:rsidRPr="000301BB">
        <w:t xml:space="preserve"> </w:t>
      </w:r>
      <w:r w:rsidR="00E3729E" w:rsidRPr="000301BB">
        <w:rPr>
          <w:b/>
        </w:rPr>
        <w:t xml:space="preserve">ADVERSE </w:t>
      </w:r>
      <w:r w:rsidRPr="000301BB">
        <w:rPr>
          <w:b/>
        </w:rPr>
        <w:t>EFFECTS</w:t>
      </w:r>
      <w:r w:rsidRPr="000301BB">
        <w:t xml:space="preserve">, </w:t>
      </w:r>
      <w:r w:rsidRPr="000301BB">
        <w:rPr>
          <w:i/>
        </w:rPr>
        <w:t>Post</w:t>
      </w:r>
      <w:r w:rsidR="00F22924" w:rsidRPr="000301BB">
        <w:rPr>
          <w:i/>
        </w:rPr>
        <w:t>-</w:t>
      </w:r>
      <w:r w:rsidRPr="000301BB">
        <w:rPr>
          <w:i/>
        </w:rPr>
        <w:t>marketing Experience</w:t>
      </w:r>
      <w:r w:rsidRPr="000301BB">
        <w:t>).</w:t>
      </w:r>
    </w:p>
    <w:p w:rsidR="0024653C" w:rsidRPr="000301BB" w:rsidRDefault="0024653C" w:rsidP="001F2B0D">
      <w:pPr>
        <w:numPr>
          <w:ilvl w:val="0"/>
          <w:numId w:val="2"/>
        </w:numPr>
        <w:overflowPunct w:val="0"/>
        <w:autoSpaceDE w:val="0"/>
        <w:autoSpaceDN w:val="0"/>
        <w:adjustRightInd w:val="0"/>
        <w:spacing w:after="0"/>
        <w:textAlignment w:val="baseline"/>
      </w:pPr>
      <w:r w:rsidRPr="000301BB">
        <w:t>Active liver disease or unexplained persistent elevations of serum transaminases.</w:t>
      </w:r>
    </w:p>
    <w:p w:rsidR="0024653C" w:rsidRPr="000301BB" w:rsidRDefault="0024653C" w:rsidP="0000658B">
      <w:pPr>
        <w:numPr>
          <w:ilvl w:val="0"/>
          <w:numId w:val="3"/>
        </w:numPr>
        <w:overflowPunct w:val="0"/>
        <w:autoSpaceDE w:val="0"/>
        <w:autoSpaceDN w:val="0"/>
        <w:adjustRightInd w:val="0"/>
        <w:spacing w:after="0"/>
        <w:textAlignment w:val="baseline"/>
      </w:pPr>
      <w:r w:rsidRPr="000301BB">
        <w:t xml:space="preserve">Pregnancy and </w:t>
      </w:r>
      <w:r w:rsidR="0000658B" w:rsidRPr="000301BB">
        <w:t xml:space="preserve">lactation </w:t>
      </w:r>
      <w:r w:rsidRPr="000301BB">
        <w:t xml:space="preserve">(see </w:t>
      </w:r>
      <w:r w:rsidR="00E3729E" w:rsidRPr="000301BB">
        <w:rPr>
          <w:b/>
          <w:bCs w:val="0"/>
        </w:rPr>
        <w:t>PRECAUTIONS</w:t>
      </w:r>
      <w:r w:rsidRPr="000301BB">
        <w:t xml:space="preserve">, </w:t>
      </w:r>
      <w:r w:rsidR="00E3729E" w:rsidRPr="000301BB">
        <w:rPr>
          <w:i/>
        </w:rPr>
        <w:t xml:space="preserve">Use in </w:t>
      </w:r>
      <w:r w:rsidR="00CB3607" w:rsidRPr="000301BB">
        <w:rPr>
          <w:i/>
        </w:rPr>
        <w:t>P</w:t>
      </w:r>
      <w:r w:rsidR="00E3729E" w:rsidRPr="000301BB">
        <w:rPr>
          <w:i/>
        </w:rPr>
        <w:t>regnancy</w:t>
      </w:r>
      <w:r w:rsidR="00512988" w:rsidRPr="000301BB">
        <w:rPr>
          <w:i/>
        </w:rPr>
        <w:t>,</w:t>
      </w:r>
      <w:r w:rsidR="00E3729E" w:rsidRPr="000301BB">
        <w:rPr>
          <w:i/>
        </w:rPr>
        <w:t xml:space="preserve"> </w:t>
      </w:r>
      <w:proofErr w:type="gramStart"/>
      <w:r w:rsidR="00E3729E" w:rsidRPr="000301BB">
        <w:rPr>
          <w:i/>
        </w:rPr>
        <w:t>Use</w:t>
      </w:r>
      <w:proofErr w:type="gramEnd"/>
      <w:r w:rsidR="00E3729E" w:rsidRPr="000301BB">
        <w:rPr>
          <w:i/>
        </w:rPr>
        <w:t xml:space="preserve"> in </w:t>
      </w:r>
      <w:r w:rsidR="00CB3607" w:rsidRPr="000301BB">
        <w:rPr>
          <w:i/>
        </w:rPr>
        <w:t>L</w:t>
      </w:r>
      <w:r w:rsidR="00E3729E" w:rsidRPr="000301BB">
        <w:rPr>
          <w:i/>
        </w:rPr>
        <w:t>actation</w:t>
      </w:r>
      <w:r w:rsidRPr="000301BB">
        <w:t>).</w:t>
      </w:r>
    </w:p>
    <w:p w:rsidR="001F2B0D" w:rsidRPr="000301BB" w:rsidRDefault="001F2B0D" w:rsidP="00124F87">
      <w:pPr>
        <w:numPr>
          <w:ilvl w:val="0"/>
          <w:numId w:val="3"/>
        </w:numPr>
        <w:overflowPunct w:val="0"/>
        <w:autoSpaceDE w:val="0"/>
        <w:autoSpaceDN w:val="0"/>
        <w:adjustRightInd w:val="0"/>
        <w:spacing w:after="0"/>
        <w:textAlignment w:val="baseline"/>
      </w:pPr>
      <w:r w:rsidRPr="000301BB">
        <w:t xml:space="preserve">Concomitant administration of potent CYP3A4 inhibitors (e.g. itraconazole, ketoconazole, posaconazole, </w:t>
      </w:r>
      <w:r w:rsidR="00852504" w:rsidRPr="000301BB">
        <w:t xml:space="preserve">voriconazole, </w:t>
      </w:r>
      <w:r w:rsidRPr="000301BB">
        <w:t xml:space="preserve">HIV protease inhibitors, </w:t>
      </w:r>
      <w:r w:rsidR="00580C6A" w:rsidRPr="000301BB">
        <w:t xml:space="preserve">boceprevir, telaprevir, </w:t>
      </w:r>
      <w:r w:rsidRPr="000301BB">
        <w:t xml:space="preserve">erythromycin, clarithromycin, telithromycin and nefazodone) (see </w:t>
      </w:r>
      <w:r w:rsidRPr="000301BB">
        <w:rPr>
          <w:b/>
        </w:rPr>
        <w:t>PRECAUTIONS</w:t>
      </w:r>
      <w:r w:rsidRPr="000301BB">
        <w:t xml:space="preserve">, </w:t>
      </w:r>
      <w:r w:rsidRPr="000301BB">
        <w:rPr>
          <w:bCs w:val="0"/>
          <w:i/>
        </w:rPr>
        <w:t>Myopathy/Rhabdomyolysis</w:t>
      </w:r>
      <w:r w:rsidR="00307C91" w:rsidRPr="000301BB">
        <w:t xml:space="preserve">; </w:t>
      </w:r>
      <w:r w:rsidRPr="000301BB">
        <w:rPr>
          <w:b/>
        </w:rPr>
        <w:t>INTERACTIONS WITH OTHER MEDICINES</w:t>
      </w:r>
      <w:r w:rsidR="00672E80" w:rsidRPr="000301BB">
        <w:t xml:space="preserve">, </w:t>
      </w:r>
      <w:r w:rsidR="00672E80" w:rsidRPr="000301BB">
        <w:rPr>
          <w:i/>
          <w:iCs/>
        </w:rPr>
        <w:t>Simvastatin</w:t>
      </w:r>
      <w:r w:rsidRPr="000301BB">
        <w:t>).</w:t>
      </w:r>
    </w:p>
    <w:p w:rsidR="001F2B0D" w:rsidRPr="000301BB" w:rsidRDefault="001F2B0D" w:rsidP="00307C91">
      <w:pPr>
        <w:numPr>
          <w:ilvl w:val="0"/>
          <w:numId w:val="3"/>
        </w:numPr>
        <w:overflowPunct w:val="0"/>
        <w:autoSpaceDE w:val="0"/>
        <w:autoSpaceDN w:val="0"/>
        <w:adjustRightInd w:val="0"/>
        <w:spacing w:after="0"/>
        <w:textAlignment w:val="baseline"/>
      </w:pPr>
      <w:r w:rsidRPr="000301BB">
        <w:t>Concomitant administrat</w:t>
      </w:r>
      <w:r w:rsidR="00D56049" w:rsidRPr="000301BB">
        <w:t>ion of gemfibrozil, cyclosporin</w:t>
      </w:r>
      <w:r w:rsidRPr="000301BB">
        <w:t xml:space="preserve">, or danazol (see </w:t>
      </w:r>
      <w:r w:rsidRPr="000301BB">
        <w:rPr>
          <w:b/>
        </w:rPr>
        <w:t>PRECAUTIONS</w:t>
      </w:r>
      <w:r w:rsidRPr="000301BB">
        <w:t xml:space="preserve">, </w:t>
      </w:r>
      <w:r w:rsidRPr="000301BB">
        <w:rPr>
          <w:bCs w:val="0"/>
          <w:i/>
        </w:rPr>
        <w:t>Myopathy/Rhabdomyolysis</w:t>
      </w:r>
      <w:r w:rsidR="00307C91" w:rsidRPr="000301BB">
        <w:rPr>
          <w:bCs w:val="0"/>
          <w:iCs/>
        </w:rPr>
        <w:t>;</w:t>
      </w:r>
      <w:r w:rsidRPr="000301BB">
        <w:rPr>
          <w:i/>
        </w:rPr>
        <w:t xml:space="preserve"> </w:t>
      </w:r>
      <w:r w:rsidRPr="000301BB">
        <w:rPr>
          <w:b/>
        </w:rPr>
        <w:t>INTERACTIONS</w:t>
      </w:r>
      <w:r w:rsidR="00C65BE0" w:rsidRPr="000301BB">
        <w:rPr>
          <w:b/>
        </w:rPr>
        <w:t xml:space="preserve"> WITH OTHER MEDICINES</w:t>
      </w:r>
      <w:r w:rsidR="00672E80" w:rsidRPr="000301BB">
        <w:t xml:space="preserve">, </w:t>
      </w:r>
      <w:r w:rsidR="00672E80" w:rsidRPr="000301BB">
        <w:rPr>
          <w:i/>
          <w:iCs/>
        </w:rPr>
        <w:t>Simvastatin</w:t>
      </w:r>
      <w:r w:rsidRPr="000301BB">
        <w:rPr>
          <w:i/>
        </w:rPr>
        <w:t>)</w:t>
      </w:r>
      <w:r w:rsidRPr="000301BB">
        <w:t>.</w:t>
      </w:r>
    </w:p>
    <w:p w:rsidR="00E405F6" w:rsidRPr="000301BB" w:rsidRDefault="00E405F6" w:rsidP="001F2B0D">
      <w:pPr>
        <w:numPr>
          <w:ilvl w:val="0"/>
          <w:numId w:val="3"/>
        </w:numPr>
        <w:overflowPunct w:val="0"/>
        <w:autoSpaceDE w:val="0"/>
        <w:autoSpaceDN w:val="0"/>
        <w:adjustRightInd w:val="0"/>
        <w:spacing w:after="0"/>
        <w:textAlignment w:val="baseline"/>
      </w:pPr>
      <w:r w:rsidRPr="000301BB">
        <w:rPr>
          <w:bCs w:val="0"/>
        </w:rPr>
        <w:t>Myopathy secondary to other lipid lowering agents</w:t>
      </w:r>
      <w:r w:rsidR="00156CAB" w:rsidRPr="000301BB">
        <w:rPr>
          <w:bCs w:val="0"/>
        </w:rPr>
        <w:t>.</w:t>
      </w:r>
    </w:p>
    <w:p w:rsidR="00852504" w:rsidRPr="000301BB" w:rsidRDefault="00852504" w:rsidP="001F2B0D">
      <w:pPr>
        <w:numPr>
          <w:ilvl w:val="0"/>
          <w:numId w:val="3"/>
        </w:numPr>
        <w:overflowPunct w:val="0"/>
        <w:autoSpaceDE w:val="0"/>
        <w:autoSpaceDN w:val="0"/>
        <w:adjustRightInd w:val="0"/>
        <w:spacing w:after="0"/>
        <w:textAlignment w:val="baseline"/>
      </w:pPr>
      <w:r w:rsidRPr="000301BB">
        <w:rPr>
          <w:bCs w:val="0"/>
        </w:rPr>
        <w:lastRenderedPageBreak/>
        <w:t xml:space="preserve">Concomitant use with fusidic acid (see </w:t>
      </w:r>
      <w:r w:rsidRPr="000301BB">
        <w:rPr>
          <w:b/>
          <w:bCs w:val="0"/>
        </w:rPr>
        <w:t>PRECAUTIONS</w:t>
      </w:r>
      <w:r w:rsidR="002B6234" w:rsidRPr="000301BB">
        <w:rPr>
          <w:bCs w:val="0"/>
        </w:rPr>
        <w:t>;</w:t>
      </w:r>
      <w:r w:rsidRPr="000301BB">
        <w:rPr>
          <w:bCs w:val="0"/>
        </w:rPr>
        <w:t xml:space="preserve"> </w:t>
      </w:r>
      <w:r w:rsidRPr="000301BB">
        <w:rPr>
          <w:b/>
          <w:bCs w:val="0"/>
        </w:rPr>
        <w:t>INTERACTIONS WITH OTHER MEDICINES</w:t>
      </w:r>
      <w:r w:rsidRPr="000301BB">
        <w:rPr>
          <w:bCs w:val="0"/>
        </w:rPr>
        <w:t>).</w:t>
      </w:r>
    </w:p>
    <w:p w:rsidR="00B318B5" w:rsidRPr="000301BB" w:rsidRDefault="00B318B5" w:rsidP="0015579B">
      <w:pPr>
        <w:pStyle w:val="Heading2"/>
      </w:pPr>
      <w:r w:rsidRPr="000301BB">
        <w:t>Precautions</w:t>
      </w:r>
    </w:p>
    <w:p w:rsidR="00AC1C7B" w:rsidRPr="000301BB" w:rsidRDefault="00AC1C7B" w:rsidP="0015579B">
      <w:pPr>
        <w:spacing w:after="100" w:afterAutospacing="1"/>
      </w:pPr>
      <w:r w:rsidRPr="000301BB">
        <w:rPr>
          <w:iCs/>
        </w:rPr>
        <w:t>JUVICOR</w:t>
      </w:r>
      <w:r w:rsidRPr="000301BB">
        <w:t xml:space="preserve"> should not be used in patients with </w:t>
      </w:r>
      <w:r w:rsidR="00897CEA" w:rsidRPr="000301BB">
        <w:t>t</w:t>
      </w:r>
      <w:r w:rsidRPr="000301BB">
        <w:t>ype 1 diabetes or for the treatment of diabetic ketoacidosis.</w:t>
      </w:r>
    </w:p>
    <w:p w:rsidR="00AC1C7B" w:rsidRPr="000301BB" w:rsidRDefault="00AC1C7B" w:rsidP="0015579B">
      <w:pPr>
        <w:pStyle w:val="Heading3"/>
        <w:spacing w:after="0" w:afterAutospacing="0"/>
      </w:pPr>
      <w:r w:rsidRPr="000301BB">
        <w:t>Myopathy/Rhabdomyolysis</w:t>
      </w:r>
    </w:p>
    <w:p w:rsidR="00AC1C7B" w:rsidRPr="000301BB" w:rsidRDefault="00AC1C7B" w:rsidP="00DB3029">
      <w:r w:rsidRPr="000301BB">
        <w:t>Simvastatin, like other inhibitors of HMG</w:t>
      </w:r>
      <w:r w:rsidRPr="000301BB">
        <w:noBreakHyphen/>
        <w:t xml:space="preserve">CoA reductase, occasionally causes myopathy manifested as muscle pain, tenderness or weakness with creatine kinase (CK) above 10X the upper limit of normal (ULN). </w:t>
      </w:r>
      <w:r w:rsidR="00915FED" w:rsidRPr="000301BB">
        <w:t xml:space="preserve"> </w:t>
      </w:r>
      <w:r w:rsidRPr="000301BB">
        <w:t xml:space="preserve">Myopathy sometimes takes the form of rhabdomyolysis with or without acute renal failure secondary to myoglobinuria, and rare fatalities have occurred. </w:t>
      </w:r>
      <w:r w:rsidR="00915FED" w:rsidRPr="000301BB">
        <w:t xml:space="preserve"> </w:t>
      </w:r>
      <w:r w:rsidRPr="000301BB">
        <w:t>The risk of myopathy is increased by high levels of HMG</w:t>
      </w:r>
      <w:r w:rsidRPr="000301BB">
        <w:noBreakHyphen/>
        <w:t>CoA reductase inhibitory activity in plasma.</w:t>
      </w:r>
      <w:r w:rsidR="00915FED" w:rsidRPr="000301BB">
        <w:t xml:space="preserve"> </w:t>
      </w:r>
      <w:r w:rsidRPr="000301BB">
        <w:t xml:space="preserve"> Predisposing factors for myopathy include advanced age (≥65 years), female gender, uncontrolled hypothyroidism, and renal impairment.</w:t>
      </w:r>
    </w:p>
    <w:p w:rsidR="00915FED" w:rsidRPr="000301BB" w:rsidRDefault="00915FED" w:rsidP="0015579B">
      <w:pPr>
        <w:spacing w:before="100" w:beforeAutospacing="1" w:after="100" w:afterAutospacing="1"/>
        <w:ind w:right="45"/>
      </w:pPr>
      <w:r w:rsidRPr="000301BB">
        <w:t>In 4S, there was one case of myopathy among 1</w:t>
      </w:r>
      <w:r w:rsidR="00BD0F7D" w:rsidRPr="000301BB">
        <w:t>,</w:t>
      </w:r>
      <w:r w:rsidRPr="000301BB">
        <w:t>399 patients taking simvastatin 20 mg/day and no cases among 822 patients taking 40 mg/day for a median duration of 5.4 years.  In two 6 month controlled clinical studies, there was one case of myopathy among 436 patients taking 40 mg</w:t>
      </w:r>
      <w:r w:rsidR="00F85E44" w:rsidRPr="000301BB">
        <w:t xml:space="preserve"> and 5 cases among 669 patients taking 80 mg</w:t>
      </w:r>
      <w:r w:rsidRPr="000301BB">
        <w:t xml:space="preserve">.  </w:t>
      </w:r>
    </w:p>
    <w:p w:rsidR="00D81272" w:rsidRPr="000301BB" w:rsidRDefault="00D81272" w:rsidP="00D81272">
      <w:bookmarkStart w:id="6" w:name="prec1"/>
      <w:bookmarkEnd w:id="6"/>
      <w:r w:rsidRPr="000301BB">
        <w:rPr>
          <w:b/>
          <w:bCs w:val="0"/>
        </w:rPr>
        <w:t>As with other HMG</w:t>
      </w:r>
      <w:r w:rsidRPr="000301BB">
        <w:rPr>
          <w:b/>
          <w:bCs w:val="0"/>
        </w:rPr>
        <w:noBreakHyphen/>
        <w:t>CoA reductase inhibitors, the risk of myopathy/rhabdomyolysis is dose related</w:t>
      </w:r>
      <w:r w:rsidR="00BD0F7D" w:rsidRPr="000301BB">
        <w:rPr>
          <w:b/>
          <w:bCs w:val="0"/>
        </w:rPr>
        <w:t xml:space="preserve"> for simvastatin</w:t>
      </w:r>
      <w:r w:rsidRPr="000301BB">
        <w:rPr>
          <w:b/>
          <w:bCs w:val="0"/>
        </w:rPr>
        <w:t xml:space="preserve">.  </w:t>
      </w:r>
      <w:r w:rsidRPr="000301BB">
        <w:t>In a clinical trial database in which 41,413 patients were treated with simvastatin, 24</w:t>
      </w:r>
      <w:r w:rsidR="002121D6" w:rsidRPr="000301BB">
        <w:t>,</w:t>
      </w:r>
      <w:r w:rsidRPr="000301BB">
        <w:t>747 (approximately 60%) of whom were enrolled in studies with a median follow-up of at least 4 years, the incidence of myopathy was approximately 0.03%, 0.08% and 0.61% at 20, 40 and 80 mg/day, respectively.  In these trials, patients were carefully monitored and some interacting medicinal products were excluded.</w:t>
      </w:r>
    </w:p>
    <w:p w:rsidR="00D81272" w:rsidRPr="000301BB" w:rsidRDefault="00D81272" w:rsidP="00522A99">
      <w:pPr>
        <w:spacing w:before="100" w:beforeAutospacing="1" w:after="100" w:afterAutospacing="1"/>
      </w:pPr>
      <w:r w:rsidRPr="000301BB">
        <w:t xml:space="preserve">In a major, </w:t>
      </w:r>
      <w:r w:rsidR="00BD0F7D" w:rsidRPr="000301BB">
        <w:t xml:space="preserve">large, </w:t>
      </w:r>
      <w:r w:rsidRPr="000301BB">
        <w:t xml:space="preserve">long-term clinical trial (SEARCH) in which patients with a history of MI were treated with simvastatin 80 mg/day (mean follow-up 6.7 years), the incidence of myopathy was approximately 1.0% compared with 0.02% for patients on 20 mg/day.  This includes rhabdomyolysis for which the incidence was 0.1 to 0.2%, all </w:t>
      </w:r>
      <w:proofErr w:type="gramStart"/>
      <w:r w:rsidRPr="000301BB">
        <w:t>allocated</w:t>
      </w:r>
      <w:proofErr w:type="gramEnd"/>
      <w:r w:rsidRPr="000301BB">
        <w:t xml:space="preserve"> to simvastatin 80</w:t>
      </w:r>
      <w:r w:rsidR="00BD0F7D" w:rsidRPr="000301BB">
        <w:t> </w:t>
      </w:r>
      <w:r w:rsidRPr="000301BB">
        <w:t xml:space="preserve">mg/day.  There is no universally accepted definition of rhabdomyolysis.  In SEARCH, rhabdomyolysis was defined as a subset of myopathy with CK &gt; 40x ULN plus evidence of end organ damage (e.g. elevated creatinine, dark urine).  Approximately half of </w:t>
      </w:r>
      <w:r w:rsidR="00BD0F7D" w:rsidRPr="000301BB">
        <w:t>all the</w:t>
      </w:r>
      <w:r w:rsidRPr="000301BB">
        <w:t xml:space="preserve"> myopathy cases occurred during the first year of treatment.  The incidence of myopathy during each subsequent year of treatment was approximately 0.1%.</w:t>
      </w:r>
    </w:p>
    <w:p w:rsidR="00F13E1D" w:rsidRPr="000301BB" w:rsidRDefault="00F13E1D" w:rsidP="00F13E1D">
      <w:pPr>
        <w:autoSpaceDE w:val="0"/>
        <w:autoSpaceDN w:val="0"/>
        <w:adjustRightInd w:val="0"/>
        <w:spacing w:after="0"/>
        <w:rPr>
          <w:bCs w:val="0"/>
          <w:color w:val="000000"/>
        </w:rPr>
      </w:pPr>
      <w:r w:rsidRPr="000301BB">
        <w:rPr>
          <w:b/>
          <w:color w:val="000000"/>
        </w:rPr>
        <w:t xml:space="preserve">All patients starting therapy with simvastatin, or whose dose of JUVICOR is being increased, should be advised of the risk of myopathy and told to report promptly any unexplained muscle pain, tenderness or weakness.  JUVICOR therapy should be discontinued immediately if myopathy is diagnosed or suspected.  </w:t>
      </w:r>
      <w:r w:rsidRPr="000301BB">
        <w:rPr>
          <w:bCs w:val="0"/>
          <w:color w:val="000000"/>
        </w:rPr>
        <w:t>The presence of these symptoms and a CK level &gt; 10 times the upper limit of normal indicates myopathy.  In most cases, when patients were promptly discontinued from treatment, muscle symptoms and CK increases resolved.  Periodic CK determinations may be considered in patients starting therapy with JUVICOR or whose dose is being increased.  There is no assurance that such mo</w:t>
      </w:r>
      <w:r w:rsidR="00522A99">
        <w:rPr>
          <w:bCs w:val="0"/>
          <w:color w:val="000000"/>
        </w:rPr>
        <w:t>nitoring will prevent myopathy.</w:t>
      </w:r>
    </w:p>
    <w:p w:rsidR="00F13E1D" w:rsidRPr="000301BB" w:rsidRDefault="00F13E1D" w:rsidP="00522A99">
      <w:pPr>
        <w:spacing w:before="100" w:beforeAutospacing="1" w:after="100" w:afterAutospacing="1"/>
        <w:rPr>
          <w:b/>
        </w:rPr>
      </w:pPr>
      <w:r w:rsidRPr="000301BB">
        <w:rPr>
          <w:bCs w:val="0"/>
          <w:color w:val="000000"/>
        </w:rPr>
        <w:t xml:space="preserve">Many of the patients who have developed rhabdomyolysis on therapy with simvastatin have had complicated medical histories, including renal insufficiency usually as a consequence of long-standing diabetes mellitus.  Such patients merit closer monitoring.  Therapy with </w:t>
      </w:r>
      <w:r w:rsidRPr="000301BB">
        <w:rPr>
          <w:bCs w:val="0"/>
          <w:color w:val="000000"/>
        </w:rPr>
        <w:lastRenderedPageBreak/>
        <w:t>JUVICOR should be temporarily stopped a few days prior to elective major surgery and when any major medical or surgical condition supervenes.</w:t>
      </w:r>
    </w:p>
    <w:p w:rsidR="00AC1C7B" w:rsidRPr="000301BB" w:rsidRDefault="00AC1C7B" w:rsidP="00522A99">
      <w:pPr>
        <w:tabs>
          <w:tab w:val="left" w:pos="0"/>
        </w:tabs>
        <w:spacing w:before="100" w:beforeAutospacing="1" w:after="100" w:afterAutospacing="1"/>
        <w:rPr>
          <w:b/>
          <w:color w:val="000000"/>
        </w:rPr>
      </w:pPr>
      <w:bookmarkStart w:id="7" w:name="PRECAUTIONS"/>
      <w:bookmarkEnd w:id="7"/>
      <w:r w:rsidRPr="000301BB">
        <w:rPr>
          <w:b/>
          <w:color w:val="000000"/>
        </w:rPr>
        <w:t>The risk of myopathy/rhabdomyolysis is increased by concomitant use of simvastatin with the following</w:t>
      </w:r>
      <w:r w:rsidR="004E645C" w:rsidRPr="000301BB">
        <w:rPr>
          <w:b/>
          <w:color w:val="000000"/>
        </w:rPr>
        <w:t xml:space="preserve"> medicines</w:t>
      </w:r>
      <w:r w:rsidRPr="000301BB">
        <w:rPr>
          <w:b/>
          <w:color w:val="000000"/>
        </w:rPr>
        <w:t>:</w:t>
      </w:r>
    </w:p>
    <w:p w:rsidR="00320D85" w:rsidRPr="000301BB" w:rsidRDefault="00320D85" w:rsidP="00522A99">
      <w:pPr>
        <w:pStyle w:val="Heading4"/>
      </w:pPr>
      <w:r w:rsidRPr="000301BB">
        <w:t>Contraindicated medicines</w:t>
      </w:r>
    </w:p>
    <w:p w:rsidR="00AC1C7B" w:rsidRPr="000301BB" w:rsidRDefault="00AC1C7B" w:rsidP="00124F87">
      <w:pPr>
        <w:numPr>
          <w:ilvl w:val="0"/>
          <w:numId w:val="7"/>
        </w:numPr>
        <w:tabs>
          <w:tab w:val="left" w:pos="360"/>
        </w:tabs>
        <w:ind w:left="360"/>
      </w:pPr>
      <w:bookmarkStart w:id="8" w:name="prec3"/>
      <w:bookmarkEnd w:id="8"/>
      <w:r w:rsidRPr="000301BB">
        <w:rPr>
          <w:b/>
          <w:iCs/>
          <w:color w:val="000000"/>
        </w:rPr>
        <w:t>Potent inhibitors of CYP3A4</w:t>
      </w:r>
      <w:r w:rsidR="00633C54" w:rsidRPr="000301BB">
        <w:rPr>
          <w:b/>
          <w:iCs/>
          <w:color w:val="000000"/>
        </w:rPr>
        <w:t>:</w:t>
      </w:r>
      <w:r w:rsidRPr="000301BB">
        <w:rPr>
          <w:b/>
          <w:iCs/>
          <w:color w:val="000000"/>
        </w:rPr>
        <w:t xml:space="preserve"> </w:t>
      </w:r>
      <w:r w:rsidR="00320D85" w:rsidRPr="000301BB">
        <w:rPr>
          <w:bCs w:val="0"/>
          <w:iCs/>
          <w:color w:val="000000"/>
        </w:rPr>
        <w:t>Concomitant use with medicines labelled as having a potent inhibitory effect on CYP3A4 at therapeutic doses (</w:t>
      </w:r>
      <w:r w:rsidRPr="000301BB">
        <w:rPr>
          <w:bCs w:val="0"/>
          <w:iCs/>
          <w:color w:val="000000"/>
        </w:rPr>
        <w:t xml:space="preserve">e.g., itraconazole, ketoconazole, </w:t>
      </w:r>
      <w:r w:rsidR="00320D85" w:rsidRPr="000301BB">
        <w:rPr>
          <w:bCs w:val="0"/>
          <w:iCs/>
          <w:color w:val="000000"/>
        </w:rPr>
        <w:t xml:space="preserve">posaconazole, </w:t>
      </w:r>
      <w:r w:rsidR="00852504" w:rsidRPr="000301BB">
        <w:rPr>
          <w:bCs w:val="0"/>
          <w:iCs/>
          <w:color w:val="000000"/>
        </w:rPr>
        <w:t xml:space="preserve">voriconazole, </w:t>
      </w:r>
      <w:r w:rsidRPr="000301BB">
        <w:rPr>
          <w:bCs w:val="0"/>
          <w:iCs/>
          <w:color w:val="000000"/>
        </w:rPr>
        <w:t xml:space="preserve">erythromycin, clarithromycin, </w:t>
      </w:r>
      <w:r w:rsidR="00320D85" w:rsidRPr="000301BB">
        <w:rPr>
          <w:bCs w:val="0"/>
          <w:iCs/>
          <w:color w:val="000000"/>
        </w:rPr>
        <w:t xml:space="preserve">telithromycin, </w:t>
      </w:r>
      <w:r w:rsidRPr="000301BB">
        <w:rPr>
          <w:bCs w:val="0"/>
          <w:iCs/>
          <w:color w:val="000000"/>
        </w:rPr>
        <w:t xml:space="preserve">HIV protease inhibitors, </w:t>
      </w:r>
      <w:r w:rsidR="00CC0335" w:rsidRPr="000301BB">
        <w:rPr>
          <w:bCs w:val="0"/>
          <w:iCs/>
          <w:color w:val="000000"/>
        </w:rPr>
        <w:t xml:space="preserve">boceprevir, telaprevir, </w:t>
      </w:r>
      <w:r w:rsidRPr="000301BB">
        <w:rPr>
          <w:bCs w:val="0"/>
          <w:iCs/>
          <w:color w:val="000000"/>
        </w:rPr>
        <w:t>or nefazodone</w:t>
      </w:r>
      <w:r w:rsidR="00320D85" w:rsidRPr="000301BB">
        <w:rPr>
          <w:bCs w:val="0"/>
          <w:iCs/>
          <w:color w:val="000000"/>
        </w:rPr>
        <w:t>) is contraindicated.</w:t>
      </w:r>
      <w:r w:rsidR="00A41F6B" w:rsidRPr="000301BB">
        <w:rPr>
          <w:bCs w:val="0"/>
          <w:iCs/>
          <w:color w:val="000000"/>
        </w:rPr>
        <w:t xml:space="preserve">  </w:t>
      </w:r>
      <w:r w:rsidR="006D4D9F" w:rsidRPr="000301BB">
        <w:t>The risk of myopathy is increased by high levels of HMG-CoA reductase inhibitory activity in plasma.  Potent inhibitors of CYP3A4 can raise the plasma levels of HMG-CoA reductase inhibitory activity and increase the risk of myopathy</w:t>
      </w:r>
      <w:r w:rsidR="005D2BB9" w:rsidRPr="000301BB">
        <w:t xml:space="preserve">. </w:t>
      </w:r>
      <w:r w:rsidR="006D4D9F" w:rsidRPr="000301BB">
        <w:t xml:space="preserve"> </w:t>
      </w:r>
      <w:r w:rsidR="005D2BB9" w:rsidRPr="000301BB">
        <w:rPr>
          <w:color w:val="000000"/>
        </w:rPr>
        <w:t>If</w:t>
      </w:r>
      <w:r w:rsidR="00852504" w:rsidRPr="000301BB">
        <w:rPr>
          <w:color w:val="000000"/>
        </w:rPr>
        <w:t xml:space="preserve"> short-term</w:t>
      </w:r>
      <w:r w:rsidR="005D2BB9" w:rsidRPr="000301BB">
        <w:rPr>
          <w:color w:val="000000"/>
        </w:rPr>
        <w:t xml:space="preserve"> treatment with</w:t>
      </w:r>
      <w:r w:rsidR="00852504" w:rsidRPr="000301BB">
        <w:rPr>
          <w:color w:val="000000"/>
        </w:rPr>
        <w:t xml:space="preserve"> potent CYP3A4 inhibitors</w:t>
      </w:r>
      <w:r w:rsidR="005D2BB9" w:rsidRPr="000301BB">
        <w:rPr>
          <w:color w:val="000000"/>
        </w:rPr>
        <w:t xml:space="preserve"> is unavoidable, therapy with JUVICOR should be suspended during the course of treatment. </w:t>
      </w:r>
      <w:r w:rsidR="00260965" w:rsidRPr="000301BB">
        <w:rPr>
          <w:color w:val="000000"/>
        </w:rPr>
        <w:t xml:space="preserve"> </w:t>
      </w:r>
      <w:r w:rsidR="005D2BB9" w:rsidRPr="000301BB">
        <w:rPr>
          <w:color w:val="000000"/>
        </w:rPr>
        <w:t>If JUVICOR is suspended during treatment with any of these agents, consideration should be given to the use of sitagliptin (JANUVIA</w:t>
      </w:r>
      <w:r w:rsidR="005D2BB9" w:rsidRPr="000301BB">
        <w:rPr>
          <w:color w:val="000000"/>
          <w:vertAlign w:val="superscript"/>
        </w:rPr>
        <w:t>®</w:t>
      </w:r>
      <w:r w:rsidR="005D2BB9" w:rsidRPr="000301BB">
        <w:rPr>
          <w:color w:val="000000"/>
        </w:rPr>
        <w:t xml:space="preserve">) to maintain glycaemic control until JUVICOR can be reinstated </w:t>
      </w:r>
      <w:r w:rsidRPr="000301BB">
        <w:rPr>
          <w:color w:val="000000"/>
        </w:rPr>
        <w:t xml:space="preserve">(see </w:t>
      </w:r>
      <w:r w:rsidR="004E163C" w:rsidRPr="000301BB">
        <w:rPr>
          <w:b/>
          <w:bCs w:val="0"/>
          <w:color w:val="000000"/>
        </w:rPr>
        <w:t>CONTRAINDICATIONS</w:t>
      </w:r>
      <w:r w:rsidR="004E163C" w:rsidRPr="000301BB">
        <w:rPr>
          <w:color w:val="000000"/>
        </w:rPr>
        <w:t xml:space="preserve">; </w:t>
      </w:r>
      <w:r w:rsidRPr="000301BB">
        <w:rPr>
          <w:b/>
          <w:bCs w:val="0"/>
          <w:color w:val="000000"/>
        </w:rPr>
        <w:t>INTERACTIONS WITH OTHER MEDICINES</w:t>
      </w:r>
      <w:r w:rsidRPr="000301BB">
        <w:rPr>
          <w:color w:val="000000"/>
        </w:rPr>
        <w:t xml:space="preserve">, </w:t>
      </w:r>
      <w:r w:rsidRPr="000301BB">
        <w:rPr>
          <w:i/>
          <w:iCs/>
          <w:color w:val="000000"/>
        </w:rPr>
        <w:t>Simvastatin</w:t>
      </w:r>
      <w:r w:rsidRPr="000301BB">
        <w:rPr>
          <w:color w:val="000000"/>
        </w:rPr>
        <w:t>).</w:t>
      </w:r>
    </w:p>
    <w:p w:rsidR="00AC1C7B" w:rsidRPr="000301BB" w:rsidRDefault="00647931" w:rsidP="004E163C">
      <w:pPr>
        <w:numPr>
          <w:ilvl w:val="0"/>
          <w:numId w:val="7"/>
        </w:numPr>
        <w:tabs>
          <w:tab w:val="left" w:pos="360"/>
        </w:tabs>
        <w:ind w:left="360"/>
        <w:rPr>
          <w:iCs/>
        </w:rPr>
      </w:pPr>
      <w:r w:rsidRPr="000301BB">
        <w:rPr>
          <w:b/>
        </w:rPr>
        <w:t>Gemfibrozil, c</w:t>
      </w:r>
      <w:r w:rsidR="00AC1C7B" w:rsidRPr="000301BB">
        <w:rPr>
          <w:b/>
        </w:rPr>
        <w:t>yclosporin or danazol</w:t>
      </w:r>
      <w:r w:rsidRPr="000301BB">
        <w:rPr>
          <w:b/>
        </w:rPr>
        <w:t>:</w:t>
      </w:r>
      <w:r w:rsidR="00AC1C7B" w:rsidRPr="000301BB">
        <w:rPr>
          <w:b/>
        </w:rPr>
        <w:t xml:space="preserve"> </w:t>
      </w:r>
      <w:r w:rsidRPr="000301BB">
        <w:t xml:space="preserve">Concomitant use of these medicines with JUVICOR is contraindicated </w:t>
      </w:r>
      <w:r w:rsidR="00AC1C7B" w:rsidRPr="000301BB">
        <w:t xml:space="preserve">(see </w:t>
      </w:r>
      <w:r w:rsidRPr="000301BB">
        <w:rPr>
          <w:b/>
          <w:bCs w:val="0"/>
        </w:rPr>
        <w:t>CONTRAINDICATIONS</w:t>
      </w:r>
      <w:r w:rsidR="00AC1C7B" w:rsidRPr="000301BB">
        <w:t>).</w:t>
      </w:r>
    </w:p>
    <w:p w:rsidR="00852504" w:rsidRPr="000301BB" w:rsidRDefault="00852504" w:rsidP="002702A4">
      <w:pPr>
        <w:numPr>
          <w:ilvl w:val="0"/>
          <w:numId w:val="7"/>
        </w:numPr>
        <w:tabs>
          <w:tab w:val="left" w:pos="360"/>
        </w:tabs>
        <w:spacing w:after="100" w:afterAutospacing="1"/>
        <w:ind w:left="357" w:hanging="357"/>
        <w:rPr>
          <w:iCs/>
        </w:rPr>
      </w:pPr>
      <w:r w:rsidRPr="000301BB">
        <w:rPr>
          <w:b/>
          <w:iCs/>
        </w:rPr>
        <w:t>Fusidic acid:</w:t>
      </w:r>
      <w:r w:rsidRPr="000301BB">
        <w:rPr>
          <w:iCs/>
        </w:rPr>
        <w:t xml:space="preserve"> Patients on fusidic acid treated concomitantly with </w:t>
      </w:r>
      <w:r w:rsidR="008A0D90" w:rsidRPr="000301BB">
        <w:rPr>
          <w:iCs/>
        </w:rPr>
        <w:t>JUVICOR</w:t>
      </w:r>
      <w:r w:rsidRPr="000301BB">
        <w:rPr>
          <w:iCs/>
        </w:rPr>
        <w:t xml:space="preserve"> may have an increased risk of myopathy/rhabdomyolysis (see </w:t>
      </w:r>
      <w:r w:rsidRPr="000301BB">
        <w:rPr>
          <w:b/>
          <w:iCs/>
        </w:rPr>
        <w:t>INTERACTIONS WITH OTHER MEDICINES</w:t>
      </w:r>
      <w:r w:rsidRPr="000301BB">
        <w:rPr>
          <w:iCs/>
        </w:rPr>
        <w:t xml:space="preserve">).  Fusidic acid must not be co-administered with statins (see </w:t>
      </w:r>
      <w:r w:rsidRPr="000301BB">
        <w:rPr>
          <w:b/>
          <w:iCs/>
        </w:rPr>
        <w:t>CONTRAINDICATIONS</w:t>
      </w:r>
      <w:r w:rsidRPr="000301BB">
        <w:rPr>
          <w:iCs/>
        </w:rPr>
        <w:t>).  In patients where the use of systemic fusidic acid is considered essential, JUVICOR should be discontinued throughout the duration of fusidic acid treatment.  The patient should be advised to seek medical advice immediately if they experience any symptoms of muscle weakness, pain or tenderness.  JUVICOR therapy may be reintroduced seven days after the last dose of fusidic acid.</w:t>
      </w:r>
      <w:r w:rsidR="008632D9" w:rsidRPr="000301BB">
        <w:rPr>
          <w:iCs/>
        </w:rPr>
        <w:t xml:space="preserve">  Consideration should be given to the use of sitagliptin (JANUVIA) to maintain glycaemic control until JUVICOR can be reinstated.</w:t>
      </w:r>
    </w:p>
    <w:p w:rsidR="00647931" w:rsidRPr="000301BB" w:rsidRDefault="00647931" w:rsidP="002702A4">
      <w:pPr>
        <w:pStyle w:val="Heading4"/>
      </w:pPr>
      <w:r w:rsidRPr="000301BB">
        <w:t>Other medicines</w:t>
      </w:r>
    </w:p>
    <w:p w:rsidR="00BD3E4E" w:rsidRPr="000301BB" w:rsidRDefault="00AC1C7B" w:rsidP="004E163C">
      <w:pPr>
        <w:numPr>
          <w:ilvl w:val="2"/>
          <w:numId w:val="10"/>
        </w:numPr>
        <w:rPr>
          <w:color w:val="000000"/>
        </w:rPr>
      </w:pPr>
      <w:r w:rsidRPr="000301BB">
        <w:rPr>
          <w:b/>
          <w:color w:val="000000"/>
        </w:rPr>
        <w:t>Amiodarone</w:t>
      </w:r>
      <w:r w:rsidR="00647931" w:rsidRPr="000301BB">
        <w:rPr>
          <w:b/>
          <w:color w:val="000000"/>
        </w:rPr>
        <w:t>:</w:t>
      </w:r>
      <w:r w:rsidRPr="000301BB">
        <w:rPr>
          <w:b/>
          <w:color w:val="000000"/>
        </w:rPr>
        <w:t xml:space="preserve"> </w:t>
      </w:r>
      <w:r w:rsidRPr="000301BB">
        <w:rPr>
          <w:color w:val="000000"/>
        </w:rPr>
        <w:t>In a clinical trial, myopathy was reported in 6% of patients receiving simvastatin 80 mg and amiodarone.</w:t>
      </w:r>
      <w:r w:rsidR="008708D7" w:rsidRPr="000301BB">
        <w:rPr>
          <w:color w:val="000000"/>
        </w:rPr>
        <w:t xml:space="preserve">  </w:t>
      </w:r>
      <w:r w:rsidR="008708D7" w:rsidRPr="000301BB">
        <w:t>In the same clinical trial, there were no cases of myopathy reported in patients receiving simvastatin 20 mg and amiodarone.</w:t>
      </w:r>
      <w:r w:rsidR="005958F7" w:rsidRPr="000301BB">
        <w:t xml:space="preserve">  </w:t>
      </w:r>
      <w:r w:rsidR="005958F7" w:rsidRPr="000301BB">
        <w:rPr>
          <w:b/>
          <w:bCs w:val="0"/>
        </w:rPr>
        <w:t xml:space="preserve">The dose of JUVICOR should not exceed 100/20 mg daily in patients receiving concomitant medication with amiodarone </w:t>
      </w:r>
      <w:r w:rsidR="005958F7" w:rsidRPr="000301BB">
        <w:t>(see</w:t>
      </w:r>
      <w:r w:rsidR="005958F7" w:rsidRPr="000301BB">
        <w:rPr>
          <w:b/>
          <w:bCs w:val="0"/>
        </w:rPr>
        <w:t xml:space="preserve"> </w:t>
      </w:r>
      <w:r w:rsidR="004E163C" w:rsidRPr="000301BB">
        <w:t xml:space="preserve">Table 10; </w:t>
      </w:r>
      <w:r w:rsidR="004E163C" w:rsidRPr="000301BB">
        <w:rPr>
          <w:b/>
          <w:bCs w:val="0"/>
        </w:rPr>
        <w:t>DOSAGE AND ADMINISTRATION</w:t>
      </w:r>
      <w:r w:rsidR="004E163C" w:rsidRPr="000301BB">
        <w:t xml:space="preserve">; </w:t>
      </w:r>
      <w:r w:rsidR="005958F7" w:rsidRPr="000301BB">
        <w:rPr>
          <w:b/>
          <w:bCs w:val="0"/>
        </w:rPr>
        <w:t>INTERACTIONS WITH OTHER MEDICINES</w:t>
      </w:r>
      <w:r w:rsidR="005958F7" w:rsidRPr="000301BB">
        <w:rPr>
          <w:bCs w:val="0"/>
          <w:color w:val="000000"/>
        </w:rPr>
        <w:t xml:space="preserve">, </w:t>
      </w:r>
      <w:r w:rsidR="005958F7" w:rsidRPr="000301BB">
        <w:rPr>
          <w:bCs w:val="0"/>
          <w:i/>
          <w:iCs/>
          <w:color w:val="000000"/>
        </w:rPr>
        <w:t>Simvastatin</w:t>
      </w:r>
      <w:r w:rsidR="005958F7" w:rsidRPr="000301BB">
        <w:t>)</w:t>
      </w:r>
    </w:p>
    <w:p w:rsidR="00AC1C7B" w:rsidRPr="000301BB" w:rsidRDefault="00AC1C7B" w:rsidP="00E8748A">
      <w:pPr>
        <w:numPr>
          <w:ilvl w:val="2"/>
          <w:numId w:val="11"/>
        </w:numPr>
        <w:rPr>
          <w:b/>
          <w:i/>
          <w:color w:val="000000"/>
        </w:rPr>
      </w:pPr>
      <w:bookmarkStart w:id="9" w:name="prec_ccb"/>
      <w:r w:rsidRPr="000301BB">
        <w:rPr>
          <w:b/>
          <w:iCs/>
          <w:color w:val="000000"/>
        </w:rPr>
        <w:t>Calcium channel blockers</w:t>
      </w:r>
      <w:r w:rsidR="00633C54" w:rsidRPr="000301BB">
        <w:rPr>
          <w:b/>
          <w:iCs/>
          <w:color w:val="000000"/>
        </w:rPr>
        <w:t>:</w:t>
      </w:r>
    </w:p>
    <w:bookmarkEnd w:id="9"/>
    <w:p w:rsidR="00AC1C7B" w:rsidRPr="000301BB" w:rsidRDefault="00AC1C7B" w:rsidP="002702A4">
      <w:pPr>
        <w:spacing w:after="100" w:afterAutospacing="1"/>
        <w:ind w:left="902"/>
        <w:rPr>
          <w:color w:val="000000"/>
        </w:rPr>
      </w:pPr>
      <w:r w:rsidRPr="000301BB">
        <w:rPr>
          <w:b/>
          <w:color w:val="000000"/>
        </w:rPr>
        <w:t xml:space="preserve">Verapamil </w:t>
      </w:r>
      <w:r w:rsidR="00014DEB" w:rsidRPr="000301BB">
        <w:rPr>
          <w:b/>
          <w:color w:val="000000"/>
        </w:rPr>
        <w:t>or diltiazem:</w:t>
      </w:r>
      <w:r w:rsidR="009F680C" w:rsidRPr="000301BB">
        <w:rPr>
          <w:color w:val="000000"/>
        </w:rPr>
        <w:t xml:space="preserve"> </w:t>
      </w:r>
      <w:r w:rsidR="00014DEB" w:rsidRPr="000301BB">
        <w:rPr>
          <w:b/>
          <w:bCs w:val="0"/>
          <w:color w:val="000000"/>
        </w:rPr>
        <w:t xml:space="preserve">The dose of JUVICOR should </w:t>
      </w:r>
      <w:r w:rsidR="00260965" w:rsidRPr="000301BB">
        <w:rPr>
          <w:b/>
          <w:bCs w:val="0"/>
          <w:color w:val="000000"/>
        </w:rPr>
        <w:t>not</w:t>
      </w:r>
      <w:r w:rsidR="00014DEB" w:rsidRPr="000301BB">
        <w:rPr>
          <w:b/>
          <w:bCs w:val="0"/>
          <w:color w:val="000000"/>
        </w:rPr>
        <w:t xml:space="preserve"> exceed 100</w:t>
      </w:r>
      <w:r w:rsidR="004E163C" w:rsidRPr="000301BB">
        <w:rPr>
          <w:b/>
          <w:bCs w:val="0"/>
          <w:color w:val="000000"/>
        </w:rPr>
        <w:t>/20 mg daily in patients receiving</w:t>
      </w:r>
      <w:r w:rsidR="00014DEB" w:rsidRPr="000301BB">
        <w:rPr>
          <w:b/>
          <w:bCs w:val="0"/>
          <w:color w:val="000000"/>
        </w:rPr>
        <w:t xml:space="preserve"> concomitant medication with verapamil or diltiazem </w:t>
      </w:r>
      <w:r w:rsidRPr="000301BB">
        <w:rPr>
          <w:color w:val="000000"/>
        </w:rPr>
        <w:t xml:space="preserve">(see </w:t>
      </w:r>
      <w:r w:rsidR="009F680C" w:rsidRPr="000301BB">
        <w:rPr>
          <w:color w:val="000000"/>
        </w:rPr>
        <w:t xml:space="preserve">Table </w:t>
      </w:r>
      <w:r w:rsidR="00463F3A" w:rsidRPr="000301BB">
        <w:rPr>
          <w:color w:val="000000"/>
        </w:rPr>
        <w:t>10</w:t>
      </w:r>
      <w:r w:rsidR="009F680C" w:rsidRPr="000301BB">
        <w:rPr>
          <w:color w:val="000000"/>
        </w:rPr>
        <w:t xml:space="preserve">; </w:t>
      </w:r>
      <w:r w:rsidR="004E163C" w:rsidRPr="000301BB">
        <w:rPr>
          <w:b/>
          <w:bCs w:val="0"/>
          <w:color w:val="000000"/>
        </w:rPr>
        <w:t>DOSAGE AND ADMINISTRATION</w:t>
      </w:r>
      <w:r w:rsidR="004E163C" w:rsidRPr="000301BB">
        <w:rPr>
          <w:color w:val="000000"/>
        </w:rPr>
        <w:t xml:space="preserve">; </w:t>
      </w:r>
      <w:r w:rsidRPr="000301BB">
        <w:rPr>
          <w:b/>
          <w:bCs w:val="0"/>
          <w:color w:val="000000"/>
        </w:rPr>
        <w:t>INTERACTIONS</w:t>
      </w:r>
      <w:r w:rsidR="00D729EF" w:rsidRPr="000301BB">
        <w:rPr>
          <w:b/>
          <w:bCs w:val="0"/>
          <w:color w:val="000000"/>
        </w:rPr>
        <w:t xml:space="preserve"> WITH OTHER MEDICINES</w:t>
      </w:r>
      <w:r w:rsidRPr="000301BB">
        <w:rPr>
          <w:color w:val="000000"/>
        </w:rPr>
        <w:t xml:space="preserve">, </w:t>
      </w:r>
      <w:r w:rsidRPr="000301BB">
        <w:rPr>
          <w:i/>
          <w:iCs/>
          <w:color w:val="000000"/>
        </w:rPr>
        <w:t>Simvastatin</w:t>
      </w:r>
      <w:r w:rsidRPr="000301BB">
        <w:rPr>
          <w:color w:val="000000"/>
        </w:rPr>
        <w:t>).</w:t>
      </w:r>
    </w:p>
    <w:p w:rsidR="00AC1C7B" w:rsidRPr="000301BB" w:rsidRDefault="00AC1C7B" w:rsidP="00E8748A">
      <w:pPr>
        <w:tabs>
          <w:tab w:val="left" w:pos="360"/>
        </w:tabs>
        <w:spacing w:after="0"/>
        <w:ind w:left="900"/>
        <w:rPr>
          <w:color w:val="000000"/>
        </w:rPr>
      </w:pPr>
      <w:r w:rsidRPr="000301BB">
        <w:rPr>
          <w:b/>
          <w:color w:val="000000"/>
        </w:rPr>
        <w:t>Amlodipine:</w:t>
      </w:r>
      <w:r w:rsidRPr="000301BB">
        <w:rPr>
          <w:color w:val="000000"/>
        </w:rPr>
        <w:t xml:space="preserve"> In a clinical trial, patients on amlodipine treated concomitantly with simvastatin 80 mg had a slightly increased risk of myopathy. </w:t>
      </w:r>
      <w:r w:rsidR="00AD34E0" w:rsidRPr="000301BB">
        <w:rPr>
          <w:color w:val="000000"/>
        </w:rPr>
        <w:t xml:space="preserve"> </w:t>
      </w:r>
      <w:r w:rsidRPr="000301BB">
        <w:rPr>
          <w:color w:val="000000"/>
        </w:rPr>
        <w:t xml:space="preserve">The risk of myopathy in patients taking simvastatin 40 mg was not increased by concomitant amlodipine (see </w:t>
      </w:r>
      <w:r w:rsidRPr="000301BB">
        <w:rPr>
          <w:b/>
          <w:bCs w:val="0"/>
          <w:color w:val="000000"/>
        </w:rPr>
        <w:t>INTERACTIONS</w:t>
      </w:r>
      <w:r w:rsidR="00D729EF" w:rsidRPr="000301BB">
        <w:rPr>
          <w:b/>
          <w:bCs w:val="0"/>
          <w:color w:val="000000"/>
        </w:rPr>
        <w:t xml:space="preserve"> WITH OTHER MEDICINES</w:t>
      </w:r>
      <w:r w:rsidRPr="000301BB">
        <w:rPr>
          <w:color w:val="000000"/>
        </w:rPr>
        <w:t xml:space="preserve">, </w:t>
      </w:r>
      <w:r w:rsidRPr="000301BB">
        <w:rPr>
          <w:i/>
          <w:iCs/>
          <w:color w:val="000000"/>
        </w:rPr>
        <w:t>Simvastatin</w:t>
      </w:r>
      <w:r w:rsidRPr="000301BB">
        <w:rPr>
          <w:color w:val="000000"/>
        </w:rPr>
        <w:t>).</w:t>
      </w:r>
    </w:p>
    <w:p w:rsidR="00833BF3" w:rsidRPr="000301BB" w:rsidRDefault="00833BF3" w:rsidP="003A4113">
      <w:pPr>
        <w:numPr>
          <w:ilvl w:val="0"/>
          <w:numId w:val="12"/>
        </w:numPr>
        <w:tabs>
          <w:tab w:val="clear" w:pos="720"/>
          <w:tab w:val="num" w:pos="360"/>
        </w:tabs>
        <w:overflowPunct w:val="0"/>
        <w:autoSpaceDE w:val="0"/>
        <w:autoSpaceDN w:val="0"/>
        <w:adjustRightInd w:val="0"/>
        <w:spacing w:after="0"/>
        <w:ind w:left="360"/>
        <w:textAlignment w:val="baseline"/>
        <w:rPr>
          <w:rFonts w:cs="Verdana"/>
          <w:b/>
          <w:bCs w:val="0"/>
          <w:lang w:bidi="th-TH"/>
        </w:rPr>
      </w:pPr>
      <w:r w:rsidRPr="000301BB">
        <w:rPr>
          <w:rFonts w:cs="Verdana"/>
          <w:b/>
          <w:bCs w:val="0"/>
          <w:lang w:bidi="th-TH"/>
        </w:rPr>
        <w:t xml:space="preserve">Moderate inhibitors of CYP3A4: </w:t>
      </w:r>
      <w:r w:rsidRPr="000301BB">
        <w:rPr>
          <w:rFonts w:cs="Verdana"/>
          <w:bCs w:val="0"/>
          <w:lang w:bidi="th-TH"/>
        </w:rPr>
        <w:t xml:space="preserve">Patients taking other medicines </w:t>
      </w:r>
      <w:r w:rsidR="004E163C" w:rsidRPr="000301BB">
        <w:rPr>
          <w:rFonts w:cs="Verdana"/>
          <w:bCs w:val="0"/>
          <w:lang w:bidi="th-TH"/>
        </w:rPr>
        <w:t>labelled</w:t>
      </w:r>
      <w:r w:rsidRPr="000301BB">
        <w:rPr>
          <w:rFonts w:cs="Verdana"/>
          <w:bCs w:val="0"/>
          <w:lang w:bidi="th-TH"/>
        </w:rPr>
        <w:t xml:space="preserve"> as having a moderate inhibitory effect on CYP3A4 concomitantly with </w:t>
      </w:r>
      <w:r w:rsidRPr="000301BB">
        <w:rPr>
          <w:rFonts w:cs="Verdana"/>
          <w:lang w:bidi="th-TH"/>
        </w:rPr>
        <w:t>JUVICOR</w:t>
      </w:r>
      <w:r w:rsidRPr="000301BB">
        <w:rPr>
          <w:rFonts w:cs="Verdana"/>
          <w:bCs w:val="0"/>
          <w:lang w:bidi="th-TH"/>
        </w:rPr>
        <w:t xml:space="preserve">, particularly </w:t>
      </w:r>
      <w:r w:rsidRPr="000301BB">
        <w:rPr>
          <w:rFonts w:cs="Verdana"/>
          <w:lang w:bidi="th-TH"/>
        </w:rPr>
        <w:t xml:space="preserve">at </w:t>
      </w:r>
      <w:r w:rsidRPr="000301BB">
        <w:rPr>
          <w:rFonts w:cs="Verdana"/>
          <w:lang w:bidi="th-TH"/>
        </w:rPr>
        <w:lastRenderedPageBreak/>
        <w:t xml:space="preserve">higher doses of the </w:t>
      </w:r>
      <w:r w:rsidRPr="000301BB">
        <w:rPr>
          <w:rFonts w:cs="Verdana"/>
          <w:bCs w:val="0"/>
          <w:lang w:bidi="th-TH"/>
        </w:rPr>
        <w:t>simvastatin</w:t>
      </w:r>
      <w:r w:rsidRPr="000301BB">
        <w:rPr>
          <w:rFonts w:cs="Verdana"/>
          <w:lang w:bidi="th-TH"/>
        </w:rPr>
        <w:t xml:space="preserve"> component</w:t>
      </w:r>
      <w:r w:rsidRPr="000301BB">
        <w:rPr>
          <w:rFonts w:cs="Verdana"/>
          <w:bCs w:val="0"/>
          <w:lang w:bidi="th-TH"/>
        </w:rPr>
        <w:t>, may have an increased risk of myopathy.</w:t>
      </w:r>
      <w:r w:rsidR="00F06C04" w:rsidRPr="000301BB">
        <w:rPr>
          <w:rFonts w:cs="Verdana"/>
          <w:bCs w:val="0"/>
          <w:lang w:bidi="th-TH"/>
        </w:rPr>
        <w:t xml:space="preserve">  When co-administering </w:t>
      </w:r>
      <w:r w:rsidR="00054194" w:rsidRPr="000301BB">
        <w:rPr>
          <w:rFonts w:cs="Verdana"/>
          <w:bCs w:val="0"/>
          <w:lang w:bidi="th-TH"/>
        </w:rPr>
        <w:t>JUVICOR</w:t>
      </w:r>
      <w:r w:rsidR="00F06C04" w:rsidRPr="000301BB">
        <w:rPr>
          <w:rFonts w:cs="Verdana"/>
          <w:bCs w:val="0"/>
          <w:lang w:bidi="th-TH"/>
        </w:rPr>
        <w:t xml:space="preserve"> with a moderate inhibitor of CYP3A4, a dose adjustment of </w:t>
      </w:r>
      <w:r w:rsidR="00054194" w:rsidRPr="000301BB">
        <w:rPr>
          <w:rFonts w:cs="Verdana"/>
          <w:bCs w:val="0"/>
          <w:lang w:bidi="th-TH"/>
        </w:rPr>
        <w:t>JUVICOR</w:t>
      </w:r>
      <w:r w:rsidR="00F06C04" w:rsidRPr="000301BB">
        <w:rPr>
          <w:rFonts w:cs="Verdana"/>
          <w:bCs w:val="0"/>
          <w:lang w:bidi="th-TH"/>
        </w:rPr>
        <w:t xml:space="preserve"> may be necessary.</w:t>
      </w:r>
    </w:p>
    <w:p w:rsidR="00916ECA" w:rsidRPr="000301BB" w:rsidRDefault="004E163C" w:rsidP="00916ECA">
      <w:pPr>
        <w:numPr>
          <w:ilvl w:val="2"/>
          <w:numId w:val="11"/>
        </w:numPr>
        <w:rPr>
          <w:color w:val="000000"/>
        </w:rPr>
      </w:pPr>
      <w:r w:rsidRPr="000301BB">
        <w:rPr>
          <w:b/>
          <w:color w:val="000000"/>
        </w:rPr>
        <w:t xml:space="preserve">Other fibrates: The dose of JUVICOR should not exceed 100/10 mg daily in patients receiving concomitant medication with other fibrates (except fenofibrate.)  </w:t>
      </w:r>
      <w:r w:rsidRPr="000301BB">
        <w:rPr>
          <w:color w:val="000000"/>
        </w:rPr>
        <w:t xml:space="preserve">When simvastatin and fenofibrate are given concomitantly, there is no evidence that the risk of myopathy exceeds the sum of the individual risks of each agent.  Caution should be used when prescribing fenofibrate with </w:t>
      </w:r>
      <w:r w:rsidRPr="000301BB">
        <w:rPr>
          <w:bCs w:val="0"/>
          <w:color w:val="000000"/>
        </w:rPr>
        <w:t>JUVICOR</w:t>
      </w:r>
      <w:r w:rsidRPr="000301BB">
        <w:rPr>
          <w:color w:val="000000"/>
        </w:rPr>
        <w:t>, as either agent can cause myopathy when given alone.  Addition of fibrates to simvastatin typically provides little additional reduction in LDL-C, but further reductions of TG and further increases in HDL-C may be obtained.  Combinations of fibrates with simvastatin have been used without myopathy in small short-term clinical studies with careful monitoring.</w:t>
      </w:r>
    </w:p>
    <w:p w:rsidR="00AC1C7B" w:rsidRPr="000301BB" w:rsidRDefault="00AC1C7B" w:rsidP="007E0D98">
      <w:pPr>
        <w:numPr>
          <w:ilvl w:val="2"/>
          <w:numId w:val="11"/>
        </w:numPr>
        <w:ind w:right="43"/>
        <w:outlineLvl w:val="0"/>
      </w:pPr>
      <w:r w:rsidRPr="000301BB">
        <w:rPr>
          <w:b/>
          <w:bCs w:val="0"/>
          <w:iCs/>
        </w:rPr>
        <w:t xml:space="preserve">Niacin </w:t>
      </w:r>
      <w:r w:rsidRPr="000301BB" w:rsidDel="00D2204C">
        <w:rPr>
          <w:b/>
          <w:bCs w:val="0"/>
          <w:iCs/>
        </w:rPr>
        <w:t>(</w:t>
      </w:r>
      <w:r w:rsidRPr="000301BB" w:rsidDel="00D2204C">
        <w:rPr>
          <w:b/>
          <w:bCs w:val="0"/>
        </w:rPr>
        <w:sym w:font="Symbol" w:char="F0B3"/>
      </w:r>
      <w:r w:rsidRPr="000301BB" w:rsidDel="00D2204C">
        <w:rPr>
          <w:b/>
          <w:bCs w:val="0"/>
        </w:rPr>
        <w:t>1</w:t>
      </w:r>
      <w:r w:rsidRPr="000301BB">
        <w:rPr>
          <w:b/>
          <w:bCs w:val="0"/>
        </w:rPr>
        <w:t> </w:t>
      </w:r>
      <w:r w:rsidRPr="000301BB" w:rsidDel="00D2204C">
        <w:rPr>
          <w:b/>
          <w:bCs w:val="0"/>
        </w:rPr>
        <w:t>g/day)</w:t>
      </w:r>
      <w:r w:rsidRPr="000301BB">
        <w:rPr>
          <w:b/>
          <w:bCs w:val="0"/>
        </w:rPr>
        <w:t>:</w:t>
      </w:r>
      <w:r w:rsidRPr="000301BB">
        <w:t xml:space="preserve"> </w:t>
      </w:r>
      <w:r w:rsidR="00833BF3" w:rsidRPr="000301BB">
        <w:t>Cases of myopathy/rhabdomyolysis have been observed with simvastatin co</w:t>
      </w:r>
      <w:r w:rsidR="0006648A" w:rsidRPr="000301BB">
        <w:t>-</w:t>
      </w:r>
      <w:r w:rsidR="00833BF3" w:rsidRPr="000301BB">
        <w:t>administered with lipid</w:t>
      </w:r>
      <w:r w:rsidR="00833BF3" w:rsidRPr="000301BB">
        <w:noBreakHyphen/>
        <w:t>modifying doses (</w:t>
      </w:r>
      <w:r w:rsidR="00833BF3" w:rsidRPr="000301BB">
        <w:sym w:font="Symbol" w:char="F0B3"/>
      </w:r>
      <w:r w:rsidR="00833BF3" w:rsidRPr="000301BB">
        <w:t>1 g/day) of niacin.</w:t>
      </w:r>
      <w:r w:rsidR="00833BF3" w:rsidRPr="000301BB">
        <w:rPr>
          <w:color w:val="0000FF"/>
        </w:rPr>
        <w:t xml:space="preserve">  </w:t>
      </w:r>
      <w:r w:rsidR="00833BF3" w:rsidRPr="000301BB">
        <w:rPr>
          <w:color w:val="000000"/>
        </w:rPr>
        <w:t>In an on-going, double-blind, randomised cardiovascular outcomes trial conducted in China, the United Kingdom and Scandinavia, an interim analysis by the independent safety monitoring committee revealed that the incidence of myopathy among approximately 4</w:t>
      </w:r>
      <w:r w:rsidR="0083174B" w:rsidRPr="000301BB">
        <w:rPr>
          <w:color w:val="000000"/>
        </w:rPr>
        <w:t>,</w:t>
      </w:r>
      <w:r w:rsidR="00833BF3" w:rsidRPr="000301BB">
        <w:rPr>
          <w:color w:val="000000"/>
        </w:rPr>
        <w:t>700 UK/Scandinavian patients treated with either simvastatin 40 mg or ezetimibe/simvastatin 10/40 mg coadministered with extended-release (ER) niacin/laropiprant 2 g/40 mg is similar to the overall incidence reported in the clinical trial database for simvastatin 40 mg (0.08%).  However, in approximately 3</w:t>
      </w:r>
      <w:r w:rsidR="0006648A" w:rsidRPr="000301BB">
        <w:rPr>
          <w:color w:val="000000"/>
        </w:rPr>
        <w:t>,</w:t>
      </w:r>
      <w:r w:rsidR="00833BF3" w:rsidRPr="000301BB">
        <w:rPr>
          <w:color w:val="000000"/>
        </w:rPr>
        <w:t xml:space="preserve">900 Chinese patients in the same treatment arm, the incidence </w:t>
      </w:r>
      <w:r w:rsidR="007E0D98" w:rsidRPr="000301BB">
        <w:rPr>
          <w:color w:val="000000"/>
        </w:rPr>
        <w:t>appears to be substantially</w:t>
      </w:r>
      <w:r w:rsidR="00833BF3" w:rsidRPr="000301BB">
        <w:rPr>
          <w:color w:val="000000"/>
        </w:rPr>
        <w:t xml:space="preserve"> higher than expected.  The risk of myopathy was not increased among 8600 Chinese, UK, or Scandinavian patients in the control arm (placebo </w:t>
      </w:r>
      <w:r w:rsidR="00530DAC" w:rsidRPr="000301BB">
        <w:rPr>
          <w:color w:val="000000"/>
        </w:rPr>
        <w:t>and</w:t>
      </w:r>
      <w:r w:rsidR="00833BF3" w:rsidRPr="000301BB">
        <w:rPr>
          <w:color w:val="000000"/>
        </w:rPr>
        <w:t xml:space="preserve"> simvastatin 40 mg or ezetimibe/simvastatin 10/40 mg).  </w:t>
      </w:r>
      <w:r w:rsidR="00833BF3" w:rsidRPr="000301BB">
        <w:t xml:space="preserve">Because the incidence of myopathy is higher in Chinese than in non-Chinese patients, caution should be used when treating Chinese patients with </w:t>
      </w:r>
      <w:r w:rsidR="00833BF3" w:rsidRPr="000301BB">
        <w:rPr>
          <w:bCs w:val="0"/>
        </w:rPr>
        <w:t>JUVICOR</w:t>
      </w:r>
      <w:r w:rsidR="00833BF3" w:rsidRPr="000301BB">
        <w:t xml:space="preserve"> (particularly </w:t>
      </w:r>
      <w:r w:rsidR="00833BF3" w:rsidRPr="000301BB">
        <w:rPr>
          <w:bCs w:val="0"/>
        </w:rPr>
        <w:t xml:space="preserve">at the </w:t>
      </w:r>
      <w:r w:rsidR="00833BF3" w:rsidRPr="000301BB">
        <w:t xml:space="preserve">dose of </w:t>
      </w:r>
      <w:r w:rsidR="00833BF3" w:rsidRPr="000301BB">
        <w:rPr>
          <w:bCs w:val="0"/>
        </w:rPr>
        <w:t>100/</w:t>
      </w:r>
      <w:r w:rsidR="00833BF3" w:rsidRPr="000301BB">
        <w:t>40 mg) co</w:t>
      </w:r>
      <w:r w:rsidR="0006648A" w:rsidRPr="000301BB">
        <w:t>-</w:t>
      </w:r>
      <w:r w:rsidR="00833BF3" w:rsidRPr="000301BB">
        <w:t>administered with lipid</w:t>
      </w:r>
      <w:r w:rsidR="00833BF3" w:rsidRPr="000301BB">
        <w:noBreakHyphen/>
        <w:t>modifying doses (</w:t>
      </w:r>
      <w:r w:rsidR="00833BF3" w:rsidRPr="000301BB">
        <w:sym w:font="Symbol" w:char="F0B3"/>
      </w:r>
      <w:r w:rsidR="00833BF3" w:rsidRPr="000301BB">
        <w:t>1 g/day) of niacin or niacin-containing products.  It is unknown whether there is an increased risk of myopathy with coadminis</w:t>
      </w:r>
      <w:r w:rsidR="0006648A" w:rsidRPr="000301BB">
        <w:t>tration in other Asian patients.</w:t>
      </w:r>
    </w:p>
    <w:p w:rsidR="00AD34E0" w:rsidRPr="000301BB" w:rsidRDefault="00AD34E0" w:rsidP="002702A4">
      <w:pPr>
        <w:spacing w:before="100" w:beforeAutospacing="1" w:after="100" w:afterAutospacing="1"/>
        <w:ind w:right="45"/>
      </w:pPr>
      <w:r w:rsidRPr="000301BB">
        <w:t xml:space="preserve">Prescribing recommendations for interacting agents are summarised in Table </w:t>
      </w:r>
      <w:r w:rsidR="001B3212" w:rsidRPr="000301BB">
        <w:t xml:space="preserve">10 </w:t>
      </w:r>
      <w:r w:rsidRPr="000301BB">
        <w:t xml:space="preserve">(further details are provided in the text (see also </w:t>
      </w:r>
      <w:r w:rsidRPr="000301BB">
        <w:rPr>
          <w:b/>
        </w:rPr>
        <w:t>INTERACTIONS</w:t>
      </w:r>
      <w:r w:rsidRPr="000301BB">
        <w:t xml:space="preserve"> </w:t>
      </w:r>
      <w:r w:rsidRPr="000301BB">
        <w:rPr>
          <w:b/>
        </w:rPr>
        <w:t>WITH OTHER MEDICINES</w:t>
      </w:r>
      <w:r w:rsidR="00BC3B15" w:rsidRPr="000301BB">
        <w:t>;</w:t>
      </w:r>
      <w:r w:rsidRPr="000301BB">
        <w:rPr>
          <w:b/>
        </w:rPr>
        <w:t xml:space="preserve"> PHARMACOLOGY</w:t>
      </w:r>
      <w:r w:rsidRPr="000301BB">
        <w:t>).</w:t>
      </w:r>
    </w:p>
    <w:p w:rsidR="001A3542" w:rsidRPr="000301BB" w:rsidRDefault="001A3542" w:rsidP="00496D84">
      <w:pPr>
        <w:pageBreakBefore/>
        <w:ind w:right="45"/>
      </w:pPr>
      <w:r w:rsidRPr="000301BB">
        <w:rPr>
          <w:b/>
          <w:sz w:val="20"/>
          <w:szCs w:val="20"/>
        </w:rPr>
        <w:lastRenderedPageBreak/>
        <w:t xml:space="preserve">Table </w:t>
      </w:r>
      <w:proofErr w:type="gramStart"/>
      <w:r w:rsidR="001B3212" w:rsidRPr="000301BB">
        <w:rPr>
          <w:b/>
          <w:sz w:val="20"/>
          <w:szCs w:val="20"/>
        </w:rPr>
        <w:t xml:space="preserve">10  </w:t>
      </w:r>
      <w:r w:rsidRPr="000301BB">
        <w:rPr>
          <w:b/>
          <w:sz w:val="20"/>
          <w:szCs w:val="20"/>
        </w:rPr>
        <w:t>Interactions</w:t>
      </w:r>
      <w:proofErr w:type="gramEnd"/>
      <w:r w:rsidRPr="000301BB">
        <w:rPr>
          <w:b/>
          <w:sz w:val="20"/>
          <w:szCs w:val="20"/>
        </w:rPr>
        <w:t xml:space="preserve"> </w:t>
      </w:r>
      <w:r w:rsidR="007A7434" w:rsidRPr="000301BB">
        <w:rPr>
          <w:b/>
          <w:sz w:val="20"/>
          <w:szCs w:val="20"/>
        </w:rPr>
        <w:t xml:space="preserve">with Other Medicines that are </w:t>
      </w:r>
      <w:r w:rsidRPr="000301BB">
        <w:rPr>
          <w:b/>
          <w:sz w:val="20"/>
          <w:szCs w:val="20"/>
        </w:rPr>
        <w:t>Associated with Increased Risk of Myopathy/Rhabdomyolysis</w:t>
      </w:r>
    </w:p>
    <w:tbl>
      <w:tblPr>
        <w:tblW w:w="9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5427"/>
      </w:tblGrid>
      <w:tr w:rsidR="00AD34E0" w:rsidRPr="000301BB" w:rsidTr="000F6554">
        <w:tc>
          <w:tcPr>
            <w:tcW w:w="3600" w:type="dxa"/>
            <w:tcBorders>
              <w:top w:val="single" w:sz="4" w:space="0" w:color="auto"/>
              <w:left w:val="nil"/>
              <w:bottom w:val="single" w:sz="4" w:space="0" w:color="auto"/>
              <w:right w:val="single" w:sz="4" w:space="0" w:color="auto"/>
            </w:tcBorders>
            <w:shd w:val="clear" w:color="auto" w:fill="auto"/>
          </w:tcPr>
          <w:p w:rsidR="00AD34E0" w:rsidRPr="000301BB" w:rsidRDefault="00AD34E0" w:rsidP="003A4113">
            <w:pPr>
              <w:keepNext/>
              <w:tabs>
                <w:tab w:val="left" w:pos="567"/>
              </w:tabs>
              <w:spacing w:before="20" w:after="20"/>
              <w:rPr>
                <w:b/>
                <w:sz w:val="20"/>
                <w:szCs w:val="20"/>
              </w:rPr>
            </w:pPr>
            <w:r w:rsidRPr="000301BB">
              <w:rPr>
                <w:b/>
                <w:sz w:val="20"/>
                <w:szCs w:val="20"/>
              </w:rPr>
              <w:t>Interacting Agents</w:t>
            </w:r>
          </w:p>
        </w:tc>
        <w:tc>
          <w:tcPr>
            <w:tcW w:w="5427" w:type="dxa"/>
            <w:tcBorders>
              <w:top w:val="single" w:sz="4" w:space="0" w:color="auto"/>
              <w:left w:val="single" w:sz="4" w:space="0" w:color="auto"/>
              <w:bottom w:val="single" w:sz="4" w:space="0" w:color="auto"/>
              <w:right w:val="nil"/>
            </w:tcBorders>
            <w:shd w:val="clear" w:color="auto" w:fill="auto"/>
          </w:tcPr>
          <w:p w:rsidR="00AD34E0" w:rsidRPr="000301BB" w:rsidRDefault="00AD34E0" w:rsidP="00530DAC">
            <w:pPr>
              <w:keepNext/>
              <w:tabs>
                <w:tab w:val="left" w:pos="567"/>
              </w:tabs>
              <w:spacing w:before="20" w:after="20"/>
              <w:rPr>
                <w:b/>
                <w:sz w:val="20"/>
                <w:szCs w:val="20"/>
              </w:rPr>
            </w:pPr>
            <w:r w:rsidRPr="000301BB">
              <w:rPr>
                <w:b/>
                <w:sz w:val="20"/>
                <w:szCs w:val="20"/>
              </w:rPr>
              <w:t xml:space="preserve">Prescribing Recommendations </w:t>
            </w:r>
          </w:p>
        </w:tc>
      </w:tr>
      <w:tr w:rsidR="00AD34E0" w:rsidRPr="000301BB" w:rsidTr="000F6554">
        <w:tc>
          <w:tcPr>
            <w:tcW w:w="3600" w:type="dxa"/>
            <w:tcBorders>
              <w:top w:val="single" w:sz="4" w:space="0" w:color="auto"/>
              <w:left w:val="nil"/>
              <w:bottom w:val="single" w:sz="4" w:space="0" w:color="auto"/>
              <w:right w:val="single" w:sz="4" w:space="0" w:color="auto"/>
            </w:tcBorders>
            <w:shd w:val="clear" w:color="auto" w:fill="auto"/>
          </w:tcPr>
          <w:p w:rsidR="00303E24" w:rsidRPr="000301BB" w:rsidRDefault="00303E24" w:rsidP="003A4113">
            <w:pPr>
              <w:pStyle w:val="Tablenormal0"/>
              <w:keepLines w:val="0"/>
              <w:spacing w:before="20" w:after="20"/>
              <w:rPr>
                <w:sz w:val="20"/>
                <w:lang w:val="en-AU"/>
              </w:rPr>
            </w:pPr>
            <w:r w:rsidRPr="000301BB">
              <w:rPr>
                <w:sz w:val="20"/>
                <w:lang w:val="en-AU"/>
              </w:rPr>
              <w:t>Potent CYP3A4 inhibitors, e.g.:</w:t>
            </w:r>
          </w:p>
          <w:p w:rsidR="00AD34E0" w:rsidRPr="000301BB" w:rsidRDefault="00AD34E0" w:rsidP="008632D9">
            <w:pPr>
              <w:pStyle w:val="Tablenormal0"/>
              <w:keepLines w:val="0"/>
              <w:spacing w:before="20" w:after="20"/>
              <w:ind w:left="176"/>
              <w:rPr>
                <w:sz w:val="20"/>
                <w:lang w:val="en-AU"/>
              </w:rPr>
            </w:pPr>
            <w:r w:rsidRPr="000301BB">
              <w:rPr>
                <w:sz w:val="20"/>
                <w:lang w:val="en-AU"/>
              </w:rPr>
              <w:t>Itraconazole</w:t>
            </w:r>
          </w:p>
          <w:p w:rsidR="00AD34E0" w:rsidRPr="000301BB" w:rsidRDefault="00AD34E0" w:rsidP="008632D9">
            <w:pPr>
              <w:pStyle w:val="Tablenormal0"/>
              <w:keepLines w:val="0"/>
              <w:spacing w:before="20" w:after="20"/>
              <w:ind w:left="176"/>
              <w:rPr>
                <w:sz w:val="20"/>
                <w:lang w:val="en-AU"/>
              </w:rPr>
            </w:pPr>
            <w:r w:rsidRPr="000301BB">
              <w:rPr>
                <w:sz w:val="20"/>
                <w:lang w:val="en-AU"/>
              </w:rPr>
              <w:t>Ketoconazole</w:t>
            </w:r>
          </w:p>
          <w:p w:rsidR="00CE7026" w:rsidRPr="000301BB" w:rsidRDefault="00530DAC" w:rsidP="008632D9">
            <w:pPr>
              <w:pStyle w:val="Tablenormal0"/>
              <w:keepLines w:val="0"/>
              <w:spacing w:before="20" w:after="20"/>
              <w:ind w:left="176"/>
              <w:rPr>
                <w:sz w:val="20"/>
                <w:lang w:val="en-AU"/>
              </w:rPr>
            </w:pPr>
            <w:r w:rsidRPr="000301BB">
              <w:rPr>
                <w:sz w:val="20"/>
                <w:lang w:val="en-AU"/>
              </w:rPr>
              <w:t>Posaconazole</w:t>
            </w:r>
          </w:p>
          <w:p w:rsidR="0081375D" w:rsidRPr="000301BB" w:rsidRDefault="0081375D" w:rsidP="008632D9">
            <w:pPr>
              <w:pStyle w:val="Tablenormal0"/>
              <w:keepLines w:val="0"/>
              <w:spacing w:before="20" w:after="20"/>
              <w:ind w:left="176"/>
              <w:rPr>
                <w:sz w:val="20"/>
                <w:lang w:val="en-AU"/>
              </w:rPr>
            </w:pPr>
            <w:r w:rsidRPr="000301BB">
              <w:rPr>
                <w:sz w:val="20"/>
                <w:lang w:val="en-AU"/>
              </w:rPr>
              <w:t>Voriconazole</w:t>
            </w:r>
          </w:p>
          <w:p w:rsidR="00AD34E0" w:rsidRPr="000301BB" w:rsidRDefault="00AD34E0" w:rsidP="008632D9">
            <w:pPr>
              <w:pStyle w:val="Tablenormal0"/>
              <w:keepLines w:val="0"/>
              <w:spacing w:before="20" w:after="20"/>
              <w:ind w:left="176"/>
              <w:rPr>
                <w:sz w:val="20"/>
                <w:lang w:val="en-AU"/>
              </w:rPr>
            </w:pPr>
            <w:r w:rsidRPr="000301BB">
              <w:rPr>
                <w:sz w:val="20"/>
                <w:lang w:val="en-AU"/>
              </w:rPr>
              <w:t>Erythromycin</w:t>
            </w:r>
          </w:p>
          <w:p w:rsidR="00AD34E0" w:rsidRPr="000301BB" w:rsidRDefault="00AD34E0" w:rsidP="008632D9">
            <w:pPr>
              <w:pStyle w:val="Tablenormal0"/>
              <w:keepLines w:val="0"/>
              <w:spacing w:before="20" w:after="20"/>
              <w:ind w:left="176"/>
              <w:rPr>
                <w:sz w:val="20"/>
                <w:lang w:val="en-AU"/>
              </w:rPr>
            </w:pPr>
            <w:r w:rsidRPr="000301BB">
              <w:rPr>
                <w:sz w:val="20"/>
                <w:lang w:val="en-AU"/>
              </w:rPr>
              <w:t>Clarithromycin</w:t>
            </w:r>
          </w:p>
          <w:p w:rsidR="00AD34E0" w:rsidRPr="000301BB" w:rsidRDefault="00AD34E0" w:rsidP="008632D9">
            <w:pPr>
              <w:pStyle w:val="Tablenormal0"/>
              <w:keepLines w:val="0"/>
              <w:spacing w:before="20" w:after="20"/>
              <w:ind w:left="176"/>
              <w:rPr>
                <w:sz w:val="20"/>
                <w:lang w:val="en-AU"/>
              </w:rPr>
            </w:pPr>
            <w:r w:rsidRPr="000301BB">
              <w:rPr>
                <w:sz w:val="20"/>
                <w:lang w:val="en-AU"/>
              </w:rPr>
              <w:t>Telithromycin</w:t>
            </w:r>
          </w:p>
          <w:p w:rsidR="00AD34E0" w:rsidRPr="000301BB" w:rsidRDefault="00AD34E0" w:rsidP="008632D9">
            <w:pPr>
              <w:pStyle w:val="Tablenormal0"/>
              <w:keepLines w:val="0"/>
              <w:spacing w:before="20" w:after="20"/>
              <w:ind w:left="176"/>
              <w:rPr>
                <w:sz w:val="20"/>
                <w:lang w:val="en-AU"/>
              </w:rPr>
            </w:pPr>
            <w:r w:rsidRPr="000301BB">
              <w:rPr>
                <w:sz w:val="20"/>
                <w:lang w:val="en-AU"/>
              </w:rPr>
              <w:t>HIV protease inhibitors</w:t>
            </w:r>
          </w:p>
          <w:p w:rsidR="00303E24" w:rsidRPr="000301BB" w:rsidRDefault="00303E24" w:rsidP="008632D9">
            <w:pPr>
              <w:pStyle w:val="Tablenormal0"/>
              <w:keepLines w:val="0"/>
              <w:spacing w:before="20" w:after="20"/>
              <w:ind w:left="176"/>
              <w:rPr>
                <w:sz w:val="20"/>
                <w:lang w:val="en-AU"/>
              </w:rPr>
            </w:pPr>
            <w:r w:rsidRPr="000301BB">
              <w:rPr>
                <w:sz w:val="20"/>
                <w:lang w:val="en-AU"/>
              </w:rPr>
              <w:t>Boceprevir</w:t>
            </w:r>
          </w:p>
          <w:p w:rsidR="00303E24" w:rsidRPr="000301BB" w:rsidRDefault="00303E24" w:rsidP="008632D9">
            <w:pPr>
              <w:pStyle w:val="Tablenormal0"/>
              <w:keepLines w:val="0"/>
              <w:spacing w:before="20" w:after="20"/>
              <w:ind w:left="176"/>
              <w:rPr>
                <w:sz w:val="20"/>
                <w:lang w:val="en-AU"/>
              </w:rPr>
            </w:pPr>
            <w:r w:rsidRPr="000301BB">
              <w:rPr>
                <w:sz w:val="20"/>
                <w:lang w:val="en-AU"/>
              </w:rPr>
              <w:t>Telaprevir</w:t>
            </w:r>
          </w:p>
          <w:p w:rsidR="00E3208E" w:rsidRPr="000301BB" w:rsidRDefault="00AD34E0" w:rsidP="008632D9">
            <w:pPr>
              <w:pStyle w:val="Tablenormal0"/>
              <w:keepLines w:val="0"/>
              <w:spacing w:before="20" w:after="20"/>
              <w:ind w:left="176"/>
              <w:rPr>
                <w:sz w:val="20"/>
                <w:lang w:val="en-AU"/>
              </w:rPr>
            </w:pPr>
            <w:r w:rsidRPr="000301BB">
              <w:rPr>
                <w:sz w:val="20"/>
                <w:lang w:val="en-AU"/>
              </w:rPr>
              <w:t>Nefazodone</w:t>
            </w:r>
          </w:p>
          <w:p w:rsidR="00916ECA" w:rsidRPr="000301BB" w:rsidRDefault="00916ECA" w:rsidP="003A4113">
            <w:pPr>
              <w:pStyle w:val="Tablenormal0"/>
              <w:keepLines w:val="0"/>
              <w:spacing w:before="20" w:after="20"/>
              <w:rPr>
                <w:sz w:val="20"/>
                <w:lang w:val="en-AU"/>
              </w:rPr>
            </w:pPr>
          </w:p>
          <w:p w:rsidR="00916ECA" w:rsidRPr="000301BB" w:rsidRDefault="00916ECA" w:rsidP="003A4113">
            <w:pPr>
              <w:pStyle w:val="Tablenormal0"/>
              <w:keepLines w:val="0"/>
              <w:spacing w:before="20" w:after="20"/>
              <w:rPr>
                <w:sz w:val="20"/>
                <w:lang w:val="en-AU"/>
              </w:rPr>
            </w:pPr>
            <w:r w:rsidRPr="000301BB">
              <w:rPr>
                <w:sz w:val="20"/>
                <w:lang w:val="en-AU"/>
              </w:rPr>
              <w:t>Cyclosporin</w:t>
            </w:r>
          </w:p>
          <w:p w:rsidR="00916ECA" w:rsidRPr="000301BB" w:rsidRDefault="00916ECA" w:rsidP="003A4113">
            <w:pPr>
              <w:pStyle w:val="Tablenormal0"/>
              <w:keepLines w:val="0"/>
              <w:spacing w:before="20" w:after="20"/>
              <w:rPr>
                <w:sz w:val="20"/>
                <w:lang w:val="en-AU"/>
              </w:rPr>
            </w:pPr>
            <w:r w:rsidRPr="000301BB">
              <w:rPr>
                <w:sz w:val="20"/>
                <w:lang w:val="en-AU"/>
              </w:rPr>
              <w:t>Danazol</w:t>
            </w:r>
          </w:p>
          <w:p w:rsidR="00916ECA" w:rsidRPr="000301BB" w:rsidRDefault="00916ECA" w:rsidP="003A4113">
            <w:pPr>
              <w:pStyle w:val="Tablenormal0"/>
              <w:keepLines w:val="0"/>
              <w:spacing w:before="20" w:after="20"/>
              <w:rPr>
                <w:sz w:val="20"/>
                <w:lang w:val="en-AU"/>
              </w:rPr>
            </w:pPr>
            <w:r w:rsidRPr="000301BB">
              <w:rPr>
                <w:sz w:val="20"/>
                <w:lang w:val="en-AU"/>
              </w:rPr>
              <w:t>Gemfibrozil</w:t>
            </w:r>
          </w:p>
          <w:p w:rsidR="00916ECA" w:rsidRPr="000301BB" w:rsidRDefault="00F06C04" w:rsidP="003A4113">
            <w:pPr>
              <w:pStyle w:val="Tablenormal0"/>
              <w:keepLines w:val="0"/>
              <w:spacing w:before="20" w:after="20"/>
              <w:rPr>
                <w:sz w:val="20"/>
                <w:lang w:val="en-AU"/>
              </w:rPr>
            </w:pPr>
            <w:r w:rsidRPr="000301BB">
              <w:rPr>
                <w:sz w:val="20"/>
                <w:lang w:val="en-AU"/>
              </w:rPr>
              <w:t>Fusidic acid</w:t>
            </w:r>
          </w:p>
        </w:tc>
        <w:tc>
          <w:tcPr>
            <w:tcW w:w="5427" w:type="dxa"/>
            <w:tcBorders>
              <w:top w:val="single" w:sz="4" w:space="0" w:color="auto"/>
              <w:left w:val="single" w:sz="4" w:space="0" w:color="auto"/>
              <w:bottom w:val="single" w:sz="4" w:space="0" w:color="auto"/>
              <w:right w:val="nil"/>
            </w:tcBorders>
            <w:shd w:val="clear" w:color="auto" w:fill="auto"/>
          </w:tcPr>
          <w:p w:rsidR="00AD34E0" w:rsidRPr="000301BB" w:rsidRDefault="00530DAC" w:rsidP="00530DAC">
            <w:pPr>
              <w:pStyle w:val="Tablenormal0"/>
              <w:keepLines w:val="0"/>
              <w:spacing w:before="20" w:after="20"/>
              <w:rPr>
                <w:sz w:val="20"/>
                <w:lang w:val="en-AU"/>
              </w:rPr>
            </w:pPr>
            <w:r w:rsidRPr="000301BB">
              <w:rPr>
                <w:sz w:val="20"/>
                <w:lang w:val="en-AU"/>
              </w:rPr>
              <w:t>Contraindicated with JUVICOR</w:t>
            </w:r>
          </w:p>
        </w:tc>
      </w:tr>
      <w:tr w:rsidR="00AD34E0" w:rsidRPr="000301BB" w:rsidTr="000F6554">
        <w:tc>
          <w:tcPr>
            <w:tcW w:w="3600" w:type="dxa"/>
            <w:tcBorders>
              <w:top w:val="single" w:sz="4" w:space="0" w:color="auto"/>
              <w:left w:val="nil"/>
              <w:bottom w:val="single" w:sz="4" w:space="0" w:color="auto"/>
              <w:right w:val="single" w:sz="4" w:space="0" w:color="auto"/>
            </w:tcBorders>
            <w:shd w:val="clear" w:color="auto" w:fill="auto"/>
          </w:tcPr>
          <w:p w:rsidR="00AD34E0" w:rsidRPr="000301BB" w:rsidRDefault="00AD34E0" w:rsidP="003A4113">
            <w:pPr>
              <w:pStyle w:val="Tablenormal0"/>
              <w:keepLines w:val="0"/>
              <w:spacing w:before="20" w:after="20"/>
              <w:rPr>
                <w:sz w:val="20"/>
                <w:lang w:val="en-AU"/>
              </w:rPr>
            </w:pPr>
            <w:r w:rsidRPr="000301BB">
              <w:rPr>
                <w:rFonts w:eastAsia="MS Mincho" w:cs="Angsana New"/>
                <w:sz w:val="20"/>
                <w:lang w:val="en-AU" w:bidi="th-TH"/>
              </w:rPr>
              <w:t>Other fibrates (except fenofibrate)</w:t>
            </w:r>
          </w:p>
        </w:tc>
        <w:tc>
          <w:tcPr>
            <w:tcW w:w="5427" w:type="dxa"/>
            <w:tcBorders>
              <w:top w:val="single" w:sz="4" w:space="0" w:color="auto"/>
              <w:left w:val="single" w:sz="4" w:space="0" w:color="auto"/>
              <w:bottom w:val="single" w:sz="4" w:space="0" w:color="auto"/>
              <w:right w:val="nil"/>
            </w:tcBorders>
            <w:shd w:val="clear" w:color="auto" w:fill="auto"/>
          </w:tcPr>
          <w:p w:rsidR="00AD34E0" w:rsidRPr="000301BB" w:rsidRDefault="00AD34E0" w:rsidP="00530DAC">
            <w:pPr>
              <w:pStyle w:val="Tablenormal0"/>
              <w:keepLines w:val="0"/>
              <w:spacing w:before="20" w:after="20"/>
              <w:rPr>
                <w:sz w:val="20"/>
                <w:lang w:val="en-AU"/>
              </w:rPr>
            </w:pPr>
            <w:r w:rsidRPr="000301BB">
              <w:rPr>
                <w:sz w:val="20"/>
                <w:lang w:val="en-AU"/>
              </w:rPr>
              <w:t xml:space="preserve">Do not exceed </w:t>
            </w:r>
            <w:r w:rsidR="00530DAC" w:rsidRPr="000301BB">
              <w:rPr>
                <w:sz w:val="20"/>
                <w:lang w:val="en-AU"/>
              </w:rPr>
              <w:t>100/</w:t>
            </w:r>
            <w:r w:rsidRPr="000301BB">
              <w:rPr>
                <w:sz w:val="20"/>
                <w:lang w:val="en-AU"/>
              </w:rPr>
              <w:t xml:space="preserve">10 mg </w:t>
            </w:r>
            <w:r w:rsidR="00530DAC" w:rsidRPr="000301BB">
              <w:rPr>
                <w:sz w:val="20"/>
                <w:lang w:val="en-AU"/>
              </w:rPr>
              <w:t xml:space="preserve">JUVICOR </w:t>
            </w:r>
            <w:r w:rsidRPr="000301BB">
              <w:rPr>
                <w:sz w:val="20"/>
                <w:lang w:val="en-AU"/>
              </w:rPr>
              <w:t>daily</w:t>
            </w:r>
          </w:p>
        </w:tc>
      </w:tr>
      <w:tr w:rsidR="00AD34E0" w:rsidRPr="000301BB" w:rsidTr="000F6554">
        <w:tc>
          <w:tcPr>
            <w:tcW w:w="3600" w:type="dxa"/>
            <w:tcBorders>
              <w:top w:val="single" w:sz="4" w:space="0" w:color="auto"/>
              <w:left w:val="nil"/>
              <w:bottom w:val="single" w:sz="4" w:space="0" w:color="auto"/>
              <w:right w:val="single" w:sz="4" w:space="0" w:color="auto"/>
            </w:tcBorders>
            <w:shd w:val="clear" w:color="auto" w:fill="auto"/>
          </w:tcPr>
          <w:p w:rsidR="00AD34E0" w:rsidRPr="000301BB" w:rsidRDefault="00AD34E0" w:rsidP="003A4113">
            <w:pPr>
              <w:pStyle w:val="Tablenormal0"/>
              <w:keepLines w:val="0"/>
              <w:spacing w:before="20" w:after="20"/>
              <w:rPr>
                <w:sz w:val="20"/>
                <w:lang w:val="en-AU"/>
              </w:rPr>
            </w:pPr>
            <w:r w:rsidRPr="000301BB">
              <w:rPr>
                <w:sz w:val="20"/>
                <w:lang w:val="en-AU"/>
              </w:rPr>
              <w:t>Amiodarone</w:t>
            </w:r>
          </w:p>
          <w:p w:rsidR="00AD34E0" w:rsidRPr="000301BB" w:rsidRDefault="00AD34E0" w:rsidP="003A4113">
            <w:pPr>
              <w:pStyle w:val="Tablenormal0"/>
              <w:keepLines w:val="0"/>
              <w:spacing w:before="20" w:after="20"/>
              <w:rPr>
                <w:sz w:val="20"/>
                <w:vertAlign w:val="superscript"/>
                <w:lang w:val="en-AU"/>
              </w:rPr>
            </w:pPr>
            <w:r w:rsidRPr="000301BB">
              <w:rPr>
                <w:sz w:val="20"/>
                <w:lang w:val="en-AU"/>
              </w:rPr>
              <w:t>Verapamil</w:t>
            </w:r>
          </w:p>
          <w:p w:rsidR="00530DAC" w:rsidRPr="000301BB" w:rsidRDefault="00530DAC" w:rsidP="003A4113">
            <w:pPr>
              <w:pStyle w:val="Tablenormal0"/>
              <w:keepLines w:val="0"/>
              <w:spacing w:before="20" w:after="20"/>
              <w:rPr>
                <w:sz w:val="20"/>
                <w:lang w:val="en-AU"/>
              </w:rPr>
            </w:pPr>
            <w:r w:rsidRPr="000301BB">
              <w:rPr>
                <w:sz w:val="20"/>
                <w:lang w:val="en-AU"/>
              </w:rPr>
              <w:t>Diltiazem</w:t>
            </w:r>
          </w:p>
        </w:tc>
        <w:tc>
          <w:tcPr>
            <w:tcW w:w="5427" w:type="dxa"/>
            <w:tcBorders>
              <w:top w:val="single" w:sz="4" w:space="0" w:color="auto"/>
              <w:left w:val="single" w:sz="4" w:space="0" w:color="auto"/>
              <w:bottom w:val="single" w:sz="4" w:space="0" w:color="auto"/>
              <w:right w:val="nil"/>
            </w:tcBorders>
            <w:shd w:val="clear" w:color="auto" w:fill="auto"/>
          </w:tcPr>
          <w:p w:rsidR="00AD34E0" w:rsidRPr="000301BB" w:rsidRDefault="00AD34E0" w:rsidP="00530DAC">
            <w:pPr>
              <w:pStyle w:val="Tablenormal0"/>
              <w:keepLines w:val="0"/>
              <w:spacing w:before="20" w:after="20"/>
              <w:rPr>
                <w:sz w:val="20"/>
                <w:lang w:val="en-AU"/>
              </w:rPr>
            </w:pPr>
            <w:r w:rsidRPr="000301BB">
              <w:rPr>
                <w:sz w:val="20"/>
                <w:lang w:val="en-AU"/>
              </w:rPr>
              <w:t xml:space="preserve">Do not exceed </w:t>
            </w:r>
            <w:r w:rsidR="00530DAC" w:rsidRPr="000301BB">
              <w:rPr>
                <w:sz w:val="20"/>
                <w:lang w:val="en-AU"/>
              </w:rPr>
              <w:t>100/</w:t>
            </w:r>
            <w:r w:rsidRPr="000301BB">
              <w:rPr>
                <w:sz w:val="20"/>
                <w:lang w:val="en-AU"/>
              </w:rPr>
              <w:t xml:space="preserve">20 mg </w:t>
            </w:r>
            <w:r w:rsidR="00530DAC" w:rsidRPr="000301BB">
              <w:rPr>
                <w:sz w:val="20"/>
                <w:lang w:val="en-AU"/>
              </w:rPr>
              <w:t xml:space="preserve">JUVICOR </w:t>
            </w:r>
            <w:r w:rsidRPr="000301BB">
              <w:rPr>
                <w:sz w:val="20"/>
                <w:lang w:val="en-AU"/>
              </w:rPr>
              <w:t>daily</w:t>
            </w:r>
          </w:p>
        </w:tc>
      </w:tr>
      <w:tr w:rsidR="00AD34E0" w:rsidRPr="000301BB" w:rsidTr="000F6554">
        <w:tc>
          <w:tcPr>
            <w:tcW w:w="3600" w:type="dxa"/>
            <w:tcBorders>
              <w:top w:val="single" w:sz="4" w:space="0" w:color="auto"/>
              <w:left w:val="nil"/>
              <w:bottom w:val="single" w:sz="4" w:space="0" w:color="auto"/>
              <w:right w:val="single" w:sz="4" w:space="0" w:color="auto"/>
            </w:tcBorders>
            <w:shd w:val="clear" w:color="auto" w:fill="auto"/>
          </w:tcPr>
          <w:p w:rsidR="00AD34E0" w:rsidRPr="000301BB" w:rsidRDefault="00AD34E0" w:rsidP="003A4113">
            <w:pPr>
              <w:pStyle w:val="Tablenormal0"/>
              <w:keepLines w:val="0"/>
              <w:spacing w:before="20" w:after="20"/>
              <w:rPr>
                <w:sz w:val="20"/>
                <w:lang w:val="en-AU"/>
              </w:rPr>
            </w:pPr>
            <w:r w:rsidRPr="000301BB">
              <w:rPr>
                <w:sz w:val="20"/>
                <w:lang w:val="en-AU"/>
              </w:rPr>
              <w:t>Grapefruit juice</w:t>
            </w:r>
          </w:p>
        </w:tc>
        <w:tc>
          <w:tcPr>
            <w:tcW w:w="5427" w:type="dxa"/>
            <w:tcBorders>
              <w:top w:val="single" w:sz="4" w:space="0" w:color="auto"/>
              <w:left w:val="single" w:sz="4" w:space="0" w:color="auto"/>
              <w:bottom w:val="single" w:sz="4" w:space="0" w:color="auto"/>
              <w:right w:val="nil"/>
            </w:tcBorders>
            <w:shd w:val="clear" w:color="auto" w:fill="auto"/>
          </w:tcPr>
          <w:p w:rsidR="00AD34E0" w:rsidRPr="000301BB" w:rsidRDefault="00AD34E0" w:rsidP="00F06C04">
            <w:pPr>
              <w:pStyle w:val="Tablenormal0"/>
              <w:keepLines w:val="0"/>
              <w:spacing w:before="20" w:after="20"/>
              <w:rPr>
                <w:sz w:val="20"/>
                <w:lang w:val="en-AU"/>
              </w:rPr>
            </w:pPr>
            <w:r w:rsidRPr="000301BB">
              <w:rPr>
                <w:sz w:val="20"/>
                <w:lang w:val="en-AU"/>
              </w:rPr>
              <w:t>Avoid grapefruit juice</w:t>
            </w:r>
          </w:p>
        </w:tc>
      </w:tr>
    </w:tbl>
    <w:p w:rsidR="00AC1C7B" w:rsidRPr="000301BB" w:rsidRDefault="00AC1C7B" w:rsidP="009C3BF5">
      <w:pPr>
        <w:pStyle w:val="Heading3"/>
        <w:spacing w:after="0" w:afterAutospacing="0"/>
      </w:pPr>
      <w:bookmarkStart w:id="10" w:name="prec2"/>
      <w:bookmarkStart w:id="11" w:name="consequent"/>
      <w:bookmarkEnd w:id="10"/>
      <w:bookmarkEnd w:id="11"/>
      <w:r w:rsidRPr="000301BB">
        <w:t>Pancreatitis</w:t>
      </w:r>
    </w:p>
    <w:p w:rsidR="00AC1C7B" w:rsidRPr="000301BB" w:rsidRDefault="00AC1C7B" w:rsidP="009C3BF5">
      <w:pPr>
        <w:spacing w:after="100" w:afterAutospacing="1"/>
        <w:rPr>
          <w:iCs/>
        </w:rPr>
      </w:pPr>
      <w:r w:rsidRPr="000301BB">
        <w:t>In post</w:t>
      </w:r>
      <w:r w:rsidR="00F22924" w:rsidRPr="000301BB">
        <w:t>-</w:t>
      </w:r>
      <w:r w:rsidRPr="000301BB">
        <w:t>marketing experience there have been reports of acute pancreatitis</w:t>
      </w:r>
      <w:r w:rsidRPr="000301BB">
        <w:rPr>
          <w:rFonts w:eastAsia="MS Mincho"/>
          <w:lang w:eastAsia="ja-JP"/>
        </w:rPr>
        <w:t>, including fatal and non-fatal h</w:t>
      </w:r>
      <w:r w:rsidR="003B617C" w:rsidRPr="000301BB">
        <w:rPr>
          <w:rFonts w:eastAsia="MS Mincho"/>
          <w:lang w:eastAsia="ja-JP"/>
        </w:rPr>
        <w:t>a</w:t>
      </w:r>
      <w:r w:rsidRPr="000301BB">
        <w:rPr>
          <w:rFonts w:eastAsia="MS Mincho"/>
          <w:lang w:eastAsia="ja-JP"/>
        </w:rPr>
        <w:t>emorrhagic or necroti</w:t>
      </w:r>
      <w:r w:rsidR="003B617C" w:rsidRPr="000301BB">
        <w:rPr>
          <w:rFonts w:eastAsia="MS Mincho"/>
          <w:lang w:eastAsia="ja-JP"/>
        </w:rPr>
        <w:t>s</w:t>
      </w:r>
      <w:r w:rsidRPr="000301BB">
        <w:rPr>
          <w:rFonts w:eastAsia="MS Mincho"/>
          <w:lang w:eastAsia="ja-JP"/>
        </w:rPr>
        <w:t xml:space="preserve">ing pancreatitis (see </w:t>
      </w:r>
      <w:r w:rsidR="00C333EB" w:rsidRPr="000301BB">
        <w:rPr>
          <w:b/>
        </w:rPr>
        <w:t xml:space="preserve">ADVERSE </w:t>
      </w:r>
      <w:r w:rsidRPr="000301BB">
        <w:rPr>
          <w:b/>
        </w:rPr>
        <w:t>EFFECTS</w:t>
      </w:r>
      <w:r w:rsidRPr="000301BB">
        <w:t xml:space="preserve">, </w:t>
      </w:r>
      <w:r w:rsidRPr="000301BB">
        <w:rPr>
          <w:i/>
        </w:rPr>
        <w:t>Post</w:t>
      </w:r>
      <w:r w:rsidR="00F22924" w:rsidRPr="000301BB">
        <w:rPr>
          <w:i/>
        </w:rPr>
        <w:t>-</w:t>
      </w:r>
      <w:r w:rsidRPr="000301BB">
        <w:rPr>
          <w:i/>
        </w:rPr>
        <w:t>marketing Experience</w:t>
      </w:r>
      <w:r w:rsidRPr="000301BB">
        <w:rPr>
          <w:rFonts w:eastAsia="MS Mincho"/>
          <w:lang w:eastAsia="ja-JP"/>
        </w:rPr>
        <w:t>), in patients taking sitagliptin</w:t>
      </w:r>
      <w:r w:rsidRPr="000301BB">
        <w:t xml:space="preserve">. </w:t>
      </w:r>
      <w:r w:rsidR="00755E9D" w:rsidRPr="000301BB">
        <w:t xml:space="preserve"> </w:t>
      </w:r>
      <w:r w:rsidRPr="000301BB">
        <w:t xml:space="preserve">Because these reports are made voluntarily from a population of uncertain size, it is generally not possible to reliably estimate their frequency. </w:t>
      </w:r>
      <w:r w:rsidR="00C8298E" w:rsidRPr="000301BB">
        <w:t xml:space="preserve"> </w:t>
      </w:r>
      <w:r w:rsidRPr="000301BB">
        <w:t xml:space="preserve">Patients should be informed of the characteristic symptom of acute pancreatitis: persistent, severe abdominal pain. </w:t>
      </w:r>
      <w:r w:rsidR="00C8298E" w:rsidRPr="000301BB">
        <w:t xml:space="preserve"> </w:t>
      </w:r>
      <w:r w:rsidRPr="000301BB" w:rsidDel="004F641A">
        <w:t>Resolution of pancreatitis has been observed after discontinuation of sitagliptin.</w:t>
      </w:r>
      <w:r w:rsidR="006B62D8" w:rsidRPr="000301BB">
        <w:t xml:space="preserve"> </w:t>
      </w:r>
      <w:r w:rsidRPr="000301BB" w:rsidDel="004F641A">
        <w:t xml:space="preserve"> </w:t>
      </w:r>
      <w:r w:rsidRPr="000301BB">
        <w:t>If pancreatitis is suspected, JUVICOR and other potentially suspect medicinal products should be discontinued.</w:t>
      </w:r>
    </w:p>
    <w:p w:rsidR="00AC1C7B" w:rsidRPr="000301BB" w:rsidRDefault="00AC1C7B" w:rsidP="009C3BF5">
      <w:pPr>
        <w:pStyle w:val="Heading3"/>
        <w:spacing w:after="0" w:afterAutospacing="0"/>
      </w:pPr>
      <w:r w:rsidRPr="000301BB">
        <w:t>Use in Patients with Renal Insufficiency</w:t>
      </w:r>
    </w:p>
    <w:p w:rsidR="00AC1C7B" w:rsidRPr="000301BB" w:rsidRDefault="00AC1C7B" w:rsidP="007A7C83">
      <w:pPr>
        <w:spacing w:after="100" w:afterAutospacing="1"/>
      </w:pPr>
      <w:r w:rsidRPr="000301BB">
        <w:t xml:space="preserve">Sitagliptin is renally excreted. </w:t>
      </w:r>
      <w:r w:rsidR="00A269ED" w:rsidRPr="000301BB">
        <w:t xml:space="preserve"> </w:t>
      </w:r>
      <w:r w:rsidRPr="000301BB">
        <w:t xml:space="preserve">As appropriate dose strengths of </w:t>
      </w:r>
      <w:r w:rsidRPr="000301BB">
        <w:rPr>
          <w:iCs/>
        </w:rPr>
        <w:t>JUVICOR</w:t>
      </w:r>
      <w:r w:rsidRPr="000301BB">
        <w:t xml:space="preserve"> are not available, use of </w:t>
      </w:r>
      <w:r w:rsidRPr="000301BB">
        <w:rPr>
          <w:iCs/>
        </w:rPr>
        <w:t>JUVICOR</w:t>
      </w:r>
      <w:r w:rsidRPr="000301BB">
        <w:t xml:space="preserve"> in patients with moderate or severe renal insufficiency (CrCl &lt;50 mL/min) or ESRD </w:t>
      </w:r>
      <w:r w:rsidR="0051622F" w:rsidRPr="000301BB">
        <w:t>should be avoided</w:t>
      </w:r>
      <w:r w:rsidRPr="000301BB">
        <w:t xml:space="preserve"> (</w:t>
      </w:r>
      <w:r w:rsidR="00493243" w:rsidRPr="000301BB">
        <w:t>s</w:t>
      </w:r>
      <w:r w:rsidRPr="000301BB">
        <w:t xml:space="preserve">ee </w:t>
      </w:r>
      <w:r w:rsidRPr="000301BB">
        <w:rPr>
          <w:b/>
        </w:rPr>
        <w:t>DOSAGE AND ADMINISTRATION</w:t>
      </w:r>
      <w:r w:rsidRPr="000301BB">
        <w:t xml:space="preserve">, </w:t>
      </w:r>
      <w:r w:rsidRPr="000301BB">
        <w:rPr>
          <w:i/>
        </w:rPr>
        <w:t>Patients with</w:t>
      </w:r>
      <w:r w:rsidRPr="000301BB">
        <w:t xml:space="preserve"> </w:t>
      </w:r>
      <w:r w:rsidRPr="000301BB">
        <w:rPr>
          <w:i/>
        </w:rPr>
        <w:t>Renal Insufficiency</w:t>
      </w:r>
      <w:r w:rsidRPr="000301BB">
        <w:t>)</w:t>
      </w:r>
      <w:r w:rsidR="00493243" w:rsidRPr="000301BB">
        <w:t>.</w:t>
      </w:r>
    </w:p>
    <w:p w:rsidR="00AC1C7B" w:rsidRPr="000301BB" w:rsidRDefault="00AC1C7B" w:rsidP="007A7C83">
      <w:pPr>
        <w:pStyle w:val="Heading3"/>
        <w:spacing w:after="0" w:afterAutospacing="0"/>
      </w:pPr>
      <w:r w:rsidRPr="000301BB">
        <w:t>Hypoglyc</w:t>
      </w:r>
      <w:r w:rsidR="00F314C8" w:rsidRPr="000301BB">
        <w:t>a</w:t>
      </w:r>
      <w:r w:rsidRPr="000301BB">
        <w:t>emia in Combination with a Sulfonylurea</w:t>
      </w:r>
    </w:p>
    <w:p w:rsidR="00AC1C7B" w:rsidRPr="000301BB" w:rsidRDefault="00AC1C7B" w:rsidP="00952F8F">
      <w:pPr>
        <w:spacing w:after="100" w:afterAutospacing="1"/>
      </w:pPr>
      <w:r w:rsidRPr="000301BB">
        <w:t>In clinical trials of sitagliptin as monotherapy and as part of combination therapy with agents not known to cause hypoglyc</w:t>
      </w:r>
      <w:r w:rsidR="00F314C8" w:rsidRPr="000301BB">
        <w:t>a</w:t>
      </w:r>
      <w:r w:rsidRPr="000301BB">
        <w:t>emia (i.e. metformin or a PPAR</w:t>
      </w:r>
      <w:r w:rsidRPr="000301BB">
        <w:rPr>
          <w:rFonts w:ascii="Symbol" w:hAnsi="Symbol"/>
        </w:rPr>
        <w:t></w:t>
      </w:r>
      <w:r w:rsidRPr="000301BB">
        <w:rPr>
          <w:rFonts w:ascii="Symbol" w:hAnsi="Symbol"/>
        </w:rPr>
        <w:t></w:t>
      </w:r>
      <w:r w:rsidRPr="000301BB">
        <w:t xml:space="preserve">agonist </w:t>
      </w:r>
      <w:r w:rsidR="0046344C" w:rsidRPr="000301BB">
        <w:t>[</w:t>
      </w:r>
      <w:r w:rsidRPr="000301BB">
        <w:t>thiazolidinedione</w:t>
      </w:r>
      <w:r w:rsidR="0046344C" w:rsidRPr="000301BB">
        <w:t>]</w:t>
      </w:r>
      <w:r w:rsidRPr="000301BB">
        <w:t>, rates of hypoglyc</w:t>
      </w:r>
      <w:r w:rsidR="00F314C8" w:rsidRPr="000301BB">
        <w:t>a</w:t>
      </w:r>
      <w:r w:rsidRPr="000301BB">
        <w:t xml:space="preserve">emia reported with sitagliptin were similar to rates in patients taking placebo. </w:t>
      </w:r>
      <w:r w:rsidR="007C3787" w:rsidRPr="000301BB">
        <w:t xml:space="preserve"> </w:t>
      </w:r>
      <w:r w:rsidRPr="000301BB">
        <w:t>As is typical with other antihyperglyc</w:t>
      </w:r>
      <w:r w:rsidR="00F314C8" w:rsidRPr="000301BB">
        <w:t>a</w:t>
      </w:r>
      <w:r w:rsidRPr="000301BB">
        <w:t xml:space="preserve">emic agents, when sitagliptin was used in combination with a sulfonylurea, </w:t>
      </w:r>
      <w:r w:rsidR="00694454" w:rsidRPr="000301BB">
        <w:t xml:space="preserve">a </w:t>
      </w:r>
      <w:r w:rsidRPr="000301BB">
        <w:t>medication known to cause hypoglyc</w:t>
      </w:r>
      <w:r w:rsidR="00F314C8" w:rsidRPr="000301BB">
        <w:t>a</w:t>
      </w:r>
      <w:r w:rsidRPr="000301BB">
        <w:t>emia, the incidence of sulfonylurea-induced hypoglyc</w:t>
      </w:r>
      <w:r w:rsidR="0027739F" w:rsidRPr="000301BB">
        <w:t>a</w:t>
      </w:r>
      <w:r w:rsidRPr="000301BB">
        <w:t xml:space="preserve">emia was increased over that of placebo (see </w:t>
      </w:r>
      <w:r w:rsidR="00F314C8" w:rsidRPr="000301BB">
        <w:rPr>
          <w:b/>
        </w:rPr>
        <w:t xml:space="preserve">ADVERSE </w:t>
      </w:r>
      <w:r w:rsidRPr="000301BB">
        <w:rPr>
          <w:b/>
        </w:rPr>
        <w:t>EFFECTS</w:t>
      </w:r>
      <w:r w:rsidRPr="000301BB">
        <w:t xml:space="preserve">). </w:t>
      </w:r>
      <w:r w:rsidR="007C3787" w:rsidRPr="000301BB">
        <w:t xml:space="preserve"> </w:t>
      </w:r>
      <w:r w:rsidRPr="000301BB">
        <w:t>Therefore, to reduce the risk of sulfonylurea- induced hypoglyc</w:t>
      </w:r>
      <w:r w:rsidR="00F314C8" w:rsidRPr="000301BB">
        <w:t>a</w:t>
      </w:r>
      <w:r w:rsidRPr="000301BB">
        <w:t xml:space="preserve">emia, a lower dose of sulfonylurea may be considered (see </w:t>
      </w:r>
      <w:r w:rsidRPr="000301BB">
        <w:rPr>
          <w:b/>
        </w:rPr>
        <w:t>DOSAGE AND ADMINISTRATION</w:t>
      </w:r>
      <w:r w:rsidRPr="000301BB">
        <w:t>).</w:t>
      </w:r>
    </w:p>
    <w:p w:rsidR="00AC1C7B" w:rsidRPr="000301BB" w:rsidRDefault="00AC1C7B" w:rsidP="00952F8F">
      <w:pPr>
        <w:pStyle w:val="Heading3"/>
        <w:spacing w:after="0" w:afterAutospacing="0"/>
      </w:pPr>
      <w:r w:rsidRPr="000301BB">
        <w:lastRenderedPageBreak/>
        <w:t>Hepatic Effects</w:t>
      </w:r>
    </w:p>
    <w:p w:rsidR="00AC1C7B" w:rsidRPr="000301BB" w:rsidRDefault="00AC1C7B" w:rsidP="00CD68B1">
      <w:pPr>
        <w:ind w:right="43"/>
      </w:pPr>
      <w:r w:rsidRPr="000301BB">
        <w:t xml:space="preserve">In clinical studies, persistent increases (to more than 3X ULN) in serum transaminases have occurred in </w:t>
      </w:r>
      <w:r w:rsidR="003A6843" w:rsidRPr="000301BB">
        <w:t>1% of</w:t>
      </w:r>
      <w:r w:rsidRPr="000301BB">
        <w:t xml:space="preserve"> adult patients who received simvastatin. </w:t>
      </w:r>
      <w:r w:rsidR="001C3017" w:rsidRPr="000301BB">
        <w:t xml:space="preserve"> </w:t>
      </w:r>
      <w:r w:rsidRPr="000301BB">
        <w:t xml:space="preserve">When the </w:t>
      </w:r>
      <w:r w:rsidR="007A7434" w:rsidRPr="000301BB">
        <w:t xml:space="preserve">medication </w:t>
      </w:r>
      <w:r w:rsidRPr="000301BB">
        <w:t>was interrupted or discontinued in these patients, transaminase</w:t>
      </w:r>
      <w:r w:rsidR="00DE0CB5" w:rsidRPr="000301BB">
        <w:t>s</w:t>
      </w:r>
      <w:r w:rsidRPr="000301BB">
        <w:t xml:space="preserve"> usually fell slowly to pre</w:t>
      </w:r>
      <w:r w:rsidR="003D1341" w:rsidRPr="000301BB">
        <w:t>-</w:t>
      </w:r>
      <w:r w:rsidRPr="000301BB">
        <w:t xml:space="preserve">treatment </w:t>
      </w:r>
      <w:r w:rsidR="00CD68B1" w:rsidRPr="000301BB">
        <w:t>concentration</w:t>
      </w:r>
      <w:r w:rsidRPr="000301BB">
        <w:t>.</w:t>
      </w:r>
      <w:r w:rsidR="001C3017" w:rsidRPr="000301BB">
        <w:t xml:space="preserve"> </w:t>
      </w:r>
      <w:r w:rsidRPr="000301BB">
        <w:t xml:space="preserve"> The increases were not associated with jaundice or other clinical signs or symptoms. </w:t>
      </w:r>
      <w:r w:rsidR="00DE0CB5" w:rsidRPr="000301BB">
        <w:t xml:space="preserve"> </w:t>
      </w:r>
      <w:r w:rsidRPr="000301BB">
        <w:t>There was no evidence of hypersensitivity.</w:t>
      </w:r>
      <w:r w:rsidR="001C3017" w:rsidRPr="000301BB">
        <w:t xml:space="preserve"> </w:t>
      </w:r>
      <w:r w:rsidRPr="000301BB">
        <w:t xml:space="preserve"> Some of these patients had abnormal liver function tests (LFTs) prior to therapy with simvastatin and/or consumed substantial quantities of alcohol.</w:t>
      </w:r>
    </w:p>
    <w:p w:rsidR="00AC1C7B" w:rsidRPr="000301BB" w:rsidRDefault="00AC1C7B" w:rsidP="00952F8F">
      <w:pPr>
        <w:spacing w:before="100" w:beforeAutospacing="1" w:after="100" w:afterAutospacing="1"/>
        <w:ind w:right="45"/>
      </w:pPr>
      <w:r w:rsidRPr="000301BB">
        <w:t xml:space="preserve">In 4S (see </w:t>
      </w:r>
      <w:r w:rsidRPr="000301BB">
        <w:rPr>
          <w:b/>
          <w:bCs w:val="0"/>
        </w:rPr>
        <w:t xml:space="preserve">CLINICAL </w:t>
      </w:r>
      <w:r w:rsidR="008173E8" w:rsidRPr="000301BB">
        <w:rPr>
          <w:b/>
          <w:bCs w:val="0"/>
        </w:rPr>
        <w:t>TRIALS</w:t>
      </w:r>
      <w:r w:rsidRPr="000301BB">
        <w:rPr>
          <w:bCs w:val="0"/>
        </w:rPr>
        <w:t>,</w:t>
      </w:r>
      <w:r w:rsidRPr="000301BB">
        <w:t xml:space="preserve"> </w:t>
      </w:r>
      <w:r w:rsidRPr="000301BB">
        <w:rPr>
          <w:i/>
          <w:iCs/>
        </w:rPr>
        <w:t>Simvastatin</w:t>
      </w:r>
      <w:r w:rsidRPr="000301BB">
        <w:t xml:space="preserve">), the number of patients with more than one </w:t>
      </w:r>
      <w:r w:rsidR="001C3017" w:rsidRPr="000301BB">
        <w:t xml:space="preserve">ALT </w:t>
      </w:r>
      <w:r w:rsidRPr="000301BB">
        <w:t xml:space="preserve">elevation to &gt;3X ULN, over the course of the study, was not significantly different between the simvastatin and placebo groups (14 [0.7%] vs 12 [0.6%]). </w:t>
      </w:r>
      <w:r w:rsidR="0063655F" w:rsidRPr="000301BB">
        <w:t xml:space="preserve"> The incidence of ALT elevations in simvastatin subjects was greater than the incidence of AST elevations and the number of subjects with at least one elevation of ALT greater than 3 X ULN was 46 (2.2%) in the simvastatin group and 32 (1.4%) in the placebo group, the difference not being statistically significant.  </w:t>
      </w:r>
      <w:r w:rsidRPr="000301BB">
        <w:t xml:space="preserve">The frequency of single elevations of ALT to 3X ULN was significantly higher in the simvastatin group in the first year of the study (20 vs 8, p=0.023), but not thereafter. </w:t>
      </w:r>
      <w:r w:rsidR="0063655F" w:rsidRPr="000301BB">
        <w:t xml:space="preserve"> </w:t>
      </w:r>
      <w:r w:rsidRPr="000301BB">
        <w:t>Elevated transaminases resulted in the discontinuation of 8 patients from therapy in the simvastatin group (n=2</w:t>
      </w:r>
      <w:r w:rsidR="0083174B" w:rsidRPr="000301BB">
        <w:t>,</w:t>
      </w:r>
      <w:r w:rsidRPr="000301BB">
        <w:t>221) and 5 in the placebo group (n=2</w:t>
      </w:r>
      <w:r w:rsidR="0083174B" w:rsidRPr="000301BB">
        <w:t>,</w:t>
      </w:r>
      <w:r w:rsidRPr="000301BB">
        <w:t xml:space="preserve">223). </w:t>
      </w:r>
      <w:r w:rsidR="0063655F" w:rsidRPr="000301BB">
        <w:t xml:space="preserve"> </w:t>
      </w:r>
      <w:r w:rsidRPr="000301BB">
        <w:t>Of the 1</w:t>
      </w:r>
      <w:r w:rsidR="00DE0CB5" w:rsidRPr="000301BB">
        <w:t>,</w:t>
      </w:r>
      <w:r w:rsidRPr="000301BB">
        <w:t xml:space="preserve">986 simvastatin patients in 4S with normal LFTs at baseline, only 8 (0.4%) developed consecutive LFT elevations to &gt;3X ULN and/or were discontinued due to transaminase elevations during the 5.4 years (median follow-up) of the study. </w:t>
      </w:r>
      <w:r w:rsidR="0063655F" w:rsidRPr="000301BB">
        <w:t xml:space="preserve"> </w:t>
      </w:r>
      <w:r w:rsidRPr="000301BB">
        <w:t>All of the patients in this study received a starting dose of 20 mg of simvastatin; 37% were titrated to 40 mg.</w:t>
      </w:r>
    </w:p>
    <w:p w:rsidR="00AC1C7B" w:rsidRPr="000301BB" w:rsidRDefault="00AC1C7B" w:rsidP="00AC1C7B">
      <w:pPr>
        <w:ind w:right="43"/>
      </w:pPr>
      <w:r w:rsidRPr="000301BB">
        <w:t>In 2 controlled clinical studies in 1105 patients, the 6</w:t>
      </w:r>
      <w:r w:rsidRPr="000301BB">
        <w:noBreakHyphen/>
        <w:t xml:space="preserve">month incidence of persistent hepatic transaminase elevations considered </w:t>
      </w:r>
      <w:r w:rsidR="007A7434" w:rsidRPr="000301BB">
        <w:t xml:space="preserve">medication </w:t>
      </w:r>
      <w:r w:rsidRPr="000301BB">
        <w:t>related was 0.7% and 1.8% at the 40 mg and 80 mg dose, respectively.</w:t>
      </w:r>
    </w:p>
    <w:p w:rsidR="00AC1C7B" w:rsidRPr="000301BB" w:rsidRDefault="00AC1C7B" w:rsidP="00952F8F">
      <w:pPr>
        <w:spacing w:before="100" w:beforeAutospacing="1" w:after="100" w:afterAutospacing="1"/>
        <w:ind w:right="45"/>
      </w:pPr>
      <w:r w:rsidRPr="000301BB">
        <w:t xml:space="preserve">In HPS (see </w:t>
      </w:r>
      <w:r w:rsidRPr="000301BB">
        <w:rPr>
          <w:b/>
          <w:bCs w:val="0"/>
        </w:rPr>
        <w:t xml:space="preserve">CLINICAL </w:t>
      </w:r>
      <w:r w:rsidR="008173E8" w:rsidRPr="000301BB">
        <w:rPr>
          <w:b/>
          <w:bCs w:val="0"/>
        </w:rPr>
        <w:t>TRIALS</w:t>
      </w:r>
      <w:r w:rsidRPr="000301BB">
        <w:t>,</w:t>
      </w:r>
      <w:r w:rsidRPr="000301BB">
        <w:rPr>
          <w:i/>
          <w:iCs/>
        </w:rPr>
        <w:t xml:space="preserve"> Simvastatin</w:t>
      </w:r>
      <w:r w:rsidRPr="000301BB">
        <w:t>), in which 20</w:t>
      </w:r>
      <w:r w:rsidR="00DE0CB5" w:rsidRPr="000301BB">
        <w:t>,</w:t>
      </w:r>
      <w:r w:rsidRPr="000301BB">
        <w:t>536 patients were randomi</w:t>
      </w:r>
      <w:r w:rsidR="00675984" w:rsidRPr="000301BB">
        <w:t>s</w:t>
      </w:r>
      <w:r w:rsidRPr="000301BB">
        <w:t>ed to receive simvastatin 40 mg/day or placebo, the incidences of elevated transaminases (&gt;3X ULN confirmed by repeat test) were 0.21% (n=21) for patients treated with simvastatin and 0.09% (n=9) for patients treated with placebo.</w:t>
      </w:r>
    </w:p>
    <w:p w:rsidR="00303E24" w:rsidRPr="000301BB" w:rsidRDefault="00AC1C7B" w:rsidP="003A0671">
      <w:pPr>
        <w:ind w:right="43"/>
        <w:rPr>
          <w:i/>
          <w:iCs/>
        </w:rPr>
      </w:pPr>
      <w:r w:rsidRPr="000301BB">
        <w:t xml:space="preserve">LFTs </w:t>
      </w:r>
      <w:r w:rsidR="0010336E" w:rsidRPr="000301BB">
        <w:t xml:space="preserve">should </w:t>
      </w:r>
      <w:r w:rsidRPr="000301BB">
        <w:t xml:space="preserve">be performed before </w:t>
      </w:r>
      <w:r w:rsidR="0010336E" w:rsidRPr="000301BB">
        <w:t xml:space="preserve">the initiation of </w:t>
      </w:r>
      <w:r w:rsidRPr="000301BB">
        <w:t xml:space="preserve">treatment and thereafter when clinically indicated. </w:t>
      </w:r>
      <w:r w:rsidR="0063655F" w:rsidRPr="000301BB">
        <w:t xml:space="preserve"> </w:t>
      </w:r>
      <w:r w:rsidR="003A0671" w:rsidRPr="000301BB">
        <w:t xml:space="preserve">Note that ALT may emanate from </w:t>
      </w:r>
      <w:proofErr w:type="gramStart"/>
      <w:r w:rsidR="003A0671" w:rsidRPr="000301BB">
        <w:t>muscle,</w:t>
      </w:r>
      <w:proofErr w:type="gramEnd"/>
      <w:r w:rsidR="003A0671" w:rsidRPr="000301BB">
        <w:t xml:space="preserve"> therefore ALT rising with CK may indicate myopathy (see </w:t>
      </w:r>
      <w:r w:rsidR="003A0671" w:rsidRPr="000301BB">
        <w:rPr>
          <w:b/>
          <w:bCs w:val="0"/>
        </w:rPr>
        <w:t>PRECAUTIONS</w:t>
      </w:r>
      <w:r w:rsidR="00952F8F">
        <w:rPr>
          <w:i/>
          <w:iCs/>
        </w:rPr>
        <w:t>, Myopathy/ Rhabdomyolysis).</w:t>
      </w:r>
    </w:p>
    <w:p w:rsidR="00303E24" w:rsidRPr="000301BB" w:rsidRDefault="00303E24" w:rsidP="00952F8F">
      <w:pPr>
        <w:spacing w:before="100" w:beforeAutospacing="1" w:after="100" w:afterAutospacing="1"/>
        <w:ind w:right="45"/>
      </w:pPr>
      <w:r w:rsidRPr="000301BB">
        <w:t>There have been rare postmarketing reports of fatal and non-fatal hepatic failure in patients taking statins, including simvastatin.  If serious liver injury with clinical symptoms and/or hyperbilirubinaemia or jaundice occurs during treatment with JUVICOR, promptly interrupt therapy.  If an alternate aetiology is not found, do not restart JUVICOR.</w:t>
      </w:r>
    </w:p>
    <w:p w:rsidR="00AC1C7B" w:rsidRPr="000301BB" w:rsidRDefault="0010336E" w:rsidP="003519AA">
      <w:pPr>
        <w:ind w:right="43"/>
        <w:rPr>
          <w:strike/>
        </w:rPr>
      </w:pPr>
      <w:r w:rsidRPr="000301BB">
        <w:t>P</w:t>
      </w:r>
      <w:r w:rsidR="00AC1C7B" w:rsidRPr="000301BB">
        <w:t xml:space="preserve">atients who develop </w:t>
      </w:r>
      <w:r w:rsidRPr="000301BB">
        <w:t xml:space="preserve">increased </w:t>
      </w:r>
      <w:r w:rsidR="00AC1C7B" w:rsidRPr="000301BB">
        <w:t>transaminase levels</w:t>
      </w:r>
      <w:r w:rsidRPr="000301BB">
        <w:t xml:space="preserve"> should have the finding confirmed and be followed thereafter with frequent liver tests until the </w:t>
      </w:r>
      <w:proofErr w:type="gramStart"/>
      <w:r w:rsidRPr="000301BB">
        <w:t>abnormality(</w:t>
      </w:r>
      <w:proofErr w:type="gramEnd"/>
      <w:r w:rsidRPr="000301BB">
        <w:t>ies) return to normal</w:t>
      </w:r>
      <w:r w:rsidR="00AC1C7B" w:rsidRPr="000301BB">
        <w:t>.</w:t>
      </w:r>
      <w:r w:rsidR="0063655F" w:rsidRPr="000301BB">
        <w:t xml:space="preserve"> </w:t>
      </w:r>
      <w:r w:rsidR="00AC1C7B" w:rsidRPr="000301BB">
        <w:t xml:space="preserve"> </w:t>
      </w:r>
      <w:r w:rsidRPr="000301BB">
        <w:t>Should an increase in AST or ALT of</w:t>
      </w:r>
      <w:r w:rsidR="00AC1C7B" w:rsidRPr="000301BB">
        <w:t xml:space="preserve"> 3X ULN persist, </w:t>
      </w:r>
      <w:r w:rsidRPr="000301BB">
        <w:t xml:space="preserve">withdrawal of </w:t>
      </w:r>
      <w:r w:rsidR="00694454" w:rsidRPr="000301BB">
        <w:t xml:space="preserve">JUVICOR </w:t>
      </w:r>
      <w:r w:rsidRPr="000301BB">
        <w:t>therapy is recommended.</w:t>
      </w:r>
      <w:r w:rsidR="003506E6" w:rsidRPr="000301BB">
        <w:t xml:space="preserve">  Liver biopsy should be considered if elevations persist despite discontinuation of the </w:t>
      </w:r>
      <w:r w:rsidR="003519AA" w:rsidRPr="000301BB">
        <w:t>medicine</w:t>
      </w:r>
      <w:r w:rsidR="003506E6" w:rsidRPr="000301BB">
        <w:t>.  Unconfirmed reports of "</w:t>
      </w:r>
      <w:r w:rsidR="003519AA" w:rsidRPr="000301BB">
        <w:t>medicine</w:t>
      </w:r>
      <w:r w:rsidR="003506E6" w:rsidRPr="000301BB">
        <w:t>-induced hepatitis" have been reported with simvastatin.</w:t>
      </w:r>
    </w:p>
    <w:p w:rsidR="00AC1C7B" w:rsidRPr="000301BB" w:rsidRDefault="00694454" w:rsidP="00952F8F">
      <w:pPr>
        <w:spacing w:before="100" w:beforeAutospacing="1" w:after="100" w:afterAutospacing="1"/>
        <w:ind w:right="45"/>
      </w:pPr>
      <w:r w:rsidRPr="000301BB">
        <w:t xml:space="preserve">JUVICOR </w:t>
      </w:r>
      <w:r w:rsidR="00AC1C7B" w:rsidRPr="000301BB">
        <w:t xml:space="preserve">should be used with caution in patients who consume substantial quantities of alcohol and/or have a past history of liver disease. </w:t>
      </w:r>
      <w:r w:rsidR="0063655F" w:rsidRPr="000301BB">
        <w:t xml:space="preserve"> </w:t>
      </w:r>
      <w:r w:rsidR="00AC1C7B" w:rsidRPr="000301BB">
        <w:t xml:space="preserve">Active liver diseases or unexplained transaminase elevations are contraindications to the use of </w:t>
      </w:r>
      <w:r w:rsidR="00AC1C7B" w:rsidRPr="000301BB">
        <w:rPr>
          <w:iCs/>
        </w:rPr>
        <w:t>JUVICOR</w:t>
      </w:r>
      <w:r w:rsidR="00AC1C7B" w:rsidRPr="000301BB">
        <w:t>.</w:t>
      </w:r>
    </w:p>
    <w:p w:rsidR="00AC1C7B" w:rsidRPr="000301BB" w:rsidRDefault="00AC1C7B" w:rsidP="00952F8F">
      <w:pPr>
        <w:spacing w:after="100" w:afterAutospacing="1"/>
        <w:ind w:right="45"/>
      </w:pPr>
      <w:r w:rsidRPr="000301BB">
        <w:lastRenderedPageBreak/>
        <w:t xml:space="preserve">As with other lipid-lowering agents, moderate (less than 3X ULN) elevations of serum transaminases have been reported following therapy with simvastatin. </w:t>
      </w:r>
      <w:r w:rsidR="0063655F" w:rsidRPr="000301BB">
        <w:t xml:space="preserve"> </w:t>
      </w:r>
      <w:r w:rsidRPr="000301BB">
        <w:t xml:space="preserve">These changes </w:t>
      </w:r>
      <w:r w:rsidR="00BB63E1" w:rsidRPr="000301BB">
        <w:t>were not specific to simvastatin and were observed with comparative lipid-lowering agents.  They generally appeared within 3 months</w:t>
      </w:r>
      <w:r w:rsidRPr="000301BB">
        <w:t xml:space="preserve"> after initiation of therapy with simvastatin, were often transient, were not accompanied by any symptoms and interruption of treatment was not required.</w:t>
      </w:r>
    </w:p>
    <w:p w:rsidR="0071146D" w:rsidRPr="000301BB" w:rsidRDefault="00054194" w:rsidP="00952F8F">
      <w:pPr>
        <w:pStyle w:val="Heading3"/>
        <w:spacing w:after="0" w:afterAutospacing="0"/>
      </w:pPr>
      <w:r w:rsidRPr="000301BB">
        <w:t>Interstitial Lung Disease</w:t>
      </w:r>
    </w:p>
    <w:p w:rsidR="0071146D" w:rsidRPr="000301BB" w:rsidRDefault="003A4113" w:rsidP="00E83AFE">
      <w:pPr>
        <w:pStyle w:val="Body"/>
        <w:spacing w:after="100" w:afterAutospacing="1"/>
        <w:ind w:firstLine="0"/>
        <w:jc w:val="left"/>
        <w:rPr>
          <w:rFonts w:cs="Arial"/>
          <w:iCs/>
          <w:sz w:val="22"/>
          <w:szCs w:val="22"/>
          <w:lang w:val="en-AU"/>
        </w:rPr>
      </w:pPr>
      <w:r w:rsidRPr="000301BB">
        <w:rPr>
          <w:rFonts w:cs="Arial"/>
          <w:iCs/>
          <w:sz w:val="22"/>
          <w:szCs w:val="22"/>
          <w:lang w:val="en-AU"/>
        </w:rPr>
        <w:t xml:space="preserve">Cases of interstitial lung disease have been reported with some statins, including simvastatin especially with long term therapy (see </w:t>
      </w:r>
      <w:r w:rsidRPr="000301BB">
        <w:rPr>
          <w:rFonts w:cs="Arial"/>
          <w:b/>
          <w:iCs/>
          <w:sz w:val="22"/>
          <w:szCs w:val="22"/>
          <w:lang w:val="en-AU"/>
        </w:rPr>
        <w:t>ADVERSE EFFECTS</w:t>
      </w:r>
      <w:r w:rsidRPr="000301BB">
        <w:rPr>
          <w:rFonts w:cs="Arial"/>
          <w:iCs/>
          <w:sz w:val="22"/>
          <w:szCs w:val="22"/>
          <w:lang w:val="en-AU"/>
        </w:rPr>
        <w:t xml:space="preserve">).  Presenting features can include dyspnoea, non-productive cough and deterioration in general health (fatigue, weight loss and fever).  If it is suspected a patient has developed interstitial lung disease, therapy </w:t>
      </w:r>
      <w:r w:rsidR="00054194" w:rsidRPr="000301BB">
        <w:rPr>
          <w:rFonts w:cs="Arial"/>
          <w:iCs/>
          <w:sz w:val="22"/>
          <w:szCs w:val="22"/>
          <w:lang w:val="en-AU"/>
        </w:rPr>
        <w:t xml:space="preserve">with JUVICOR </w:t>
      </w:r>
      <w:r w:rsidRPr="000301BB">
        <w:rPr>
          <w:rFonts w:cs="Arial"/>
          <w:iCs/>
          <w:sz w:val="22"/>
          <w:szCs w:val="22"/>
          <w:lang w:val="en-AU"/>
        </w:rPr>
        <w:t>should be discontinued</w:t>
      </w:r>
      <w:r w:rsidR="00FB6713" w:rsidRPr="000301BB">
        <w:rPr>
          <w:rFonts w:cs="Arial"/>
          <w:iCs/>
          <w:sz w:val="22"/>
          <w:szCs w:val="22"/>
          <w:lang w:val="en-AU"/>
        </w:rPr>
        <w:t xml:space="preserve"> because JUVICOR contains simvastatin</w:t>
      </w:r>
      <w:r w:rsidRPr="000301BB">
        <w:rPr>
          <w:rFonts w:cs="Arial"/>
          <w:iCs/>
          <w:sz w:val="22"/>
          <w:szCs w:val="22"/>
          <w:lang w:val="en-AU"/>
        </w:rPr>
        <w:t>.</w:t>
      </w:r>
      <w:r w:rsidR="00054194" w:rsidRPr="000301BB">
        <w:rPr>
          <w:rFonts w:cs="Arial"/>
          <w:iCs/>
          <w:sz w:val="22"/>
          <w:szCs w:val="22"/>
          <w:lang w:val="en-AU"/>
        </w:rPr>
        <w:t xml:space="preserve">  Consideration should be given to the use of sitagliptin (JANUVIA) to maintain glycaemic control if JUVICOR is discontinued.</w:t>
      </w:r>
    </w:p>
    <w:p w:rsidR="00AF6C3E" w:rsidRPr="000301BB" w:rsidRDefault="00AF6C3E" w:rsidP="00E83AFE">
      <w:pPr>
        <w:pStyle w:val="Heading3"/>
        <w:spacing w:after="0" w:afterAutospacing="0"/>
      </w:pPr>
      <w:r w:rsidRPr="000301BB">
        <w:t>Hypersensitivity Reactions</w:t>
      </w:r>
    </w:p>
    <w:p w:rsidR="00AF6C3E" w:rsidRPr="000301BB" w:rsidRDefault="00AF6C3E" w:rsidP="0013239C">
      <w:pPr>
        <w:pStyle w:val="Body"/>
        <w:spacing w:after="100" w:afterAutospacing="1"/>
        <w:ind w:firstLine="0"/>
        <w:jc w:val="left"/>
        <w:rPr>
          <w:rFonts w:cs="Arial"/>
          <w:sz w:val="22"/>
          <w:szCs w:val="22"/>
          <w:lang w:val="en-AU"/>
        </w:rPr>
      </w:pPr>
      <w:r w:rsidRPr="000301BB">
        <w:rPr>
          <w:rFonts w:cs="Arial"/>
          <w:sz w:val="22"/>
          <w:szCs w:val="22"/>
          <w:lang w:val="en-AU"/>
        </w:rPr>
        <w:t xml:space="preserve">There have been post-marketing reports of serious hypersensitivity reactions in patients treated with sitagliptin.  These reactions include anaphylaxis, angioedema, and exfoliative skin conditions including Stevens-Johnson syndrome.  Because these reactions are reported voluntarily from a population of uncertain size, it is generally not possible to reliably estimate their frequency or establish a causal relationship to exposure to sitagliptin.  Onset of these reactions occurred within the first 3 months after initiation of treatment with sitagliptin, with some reports occurring after the first dose.  If a hypersensitivity reaction is suspected, discontinue </w:t>
      </w:r>
      <w:r w:rsidRPr="000301BB">
        <w:rPr>
          <w:iCs/>
          <w:sz w:val="22"/>
          <w:szCs w:val="22"/>
          <w:lang w:val="en-AU"/>
        </w:rPr>
        <w:t>JUVICOR</w:t>
      </w:r>
      <w:r w:rsidRPr="000301BB">
        <w:rPr>
          <w:rFonts w:cs="Arial"/>
          <w:sz w:val="22"/>
          <w:szCs w:val="22"/>
          <w:lang w:val="en-AU"/>
        </w:rPr>
        <w:t xml:space="preserve">, assess for other potential causes for the event, and institute alternative treatment (see </w:t>
      </w:r>
      <w:r w:rsidRPr="000301BB">
        <w:rPr>
          <w:rFonts w:cs="Arial"/>
          <w:b/>
          <w:sz w:val="22"/>
          <w:szCs w:val="22"/>
          <w:lang w:val="en-AU"/>
        </w:rPr>
        <w:t>CONTRAINDICATIONS</w:t>
      </w:r>
      <w:r w:rsidRPr="000301BB">
        <w:rPr>
          <w:rFonts w:cs="Arial"/>
          <w:sz w:val="22"/>
          <w:szCs w:val="22"/>
          <w:lang w:val="en-AU"/>
        </w:rPr>
        <w:t xml:space="preserve">; </w:t>
      </w:r>
      <w:r w:rsidRPr="000301BB">
        <w:rPr>
          <w:rFonts w:cs="Arial"/>
          <w:b/>
          <w:sz w:val="22"/>
          <w:szCs w:val="22"/>
          <w:lang w:val="en-AU"/>
        </w:rPr>
        <w:t>ADVERSE EFFECTS</w:t>
      </w:r>
      <w:r w:rsidRPr="000301BB">
        <w:rPr>
          <w:rFonts w:cs="Arial"/>
          <w:sz w:val="22"/>
          <w:szCs w:val="22"/>
          <w:lang w:val="en-AU"/>
        </w:rPr>
        <w:t xml:space="preserve">, </w:t>
      </w:r>
      <w:r w:rsidRPr="000301BB">
        <w:rPr>
          <w:i/>
          <w:sz w:val="22"/>
          <w:szCs w:val="22"/>
          <w:lang w:val="en-AU"/>
        </w:rPr>
        <w:t>Post-marketing Experience</w:t>
      </w:r>
      <w:r w:rsidRPr="000301BB">
        <w:rPr>
          <w:rFonts w:cs="Arial"/>
          <w:sz w:val="22"/>
          <w:szCs w:val="22"/>
          <w:lang w:val="en-AU"/>
        </w:rPr>
        <w:t>).</w:t>
      </w:r>
    </w:p>
    <w:p w:rsidR="00BB63E1" w:rsidRPr="000301BB" w:rsidRDefault="00054194" w:rsidP="0013239C">
      <w:pPr>
        <w:pStyle w:val="Heading3"/>
        <w:spacing w:after="0" w:afterAutospacing="0"/>
      </w:pPr>
      <w:r w:rsidRPr="000301BB">
        <w:t>Ophthalmic E</w:t>
      </w:r>
      <w:r w:rsidR="00BB63E1" w:rsidRPr="000301BB">
        <w:t>valuations</w:t>
      </w:r>
    </w:p>
    <w:p w:rsidR="00BB63E1" w:rsidRPr="000301BB" w:rsidRDefault="00BB63E1" w:rsidP="00BB63E1">
      <w:pPr>
        <w:tabs>
          <w:tab w:val="left" w:pos="840"/>
        </w:tabs>
      </w:pPr>
      <w:r w:rsidRPr="000301BB">
        <w:t xml:space="preserve">Current long-term data from clinical studies, e.g. 4S, do not indicate an adverse effect of simvastatin on human lens.  However, the very long-term effects are not yet established and therefore periodic ophthalmic examinations are recommended after five years of treatment, taking into consideration that in the absence of any </w:t>
      </w:r>
      <w:r w:rsidR="007A7434" w:rsidRPr="000301BB">
        <w:t>pharmaco</w:t>
      </w:r>
      <w:r w:rsidRPr="000301BB">
        <w:t>therapy, an increase in the prevalence of lens opacities with time is expected as a result of aging.</w:t>
      </w:r>
    </w:p>
    <w:p w:rsidR="00BB63E1" w:rsidRPr="000301BB" w:rsidRDefault="00BB63E1" w:rsidP="00EE2BAC">
      <w:pPr>
        <w:pStyle w:val="Heading4"/>
      </w:pPr>
      <w:r w:rsidRPr="000301BB">
        <w:t>Animal studies</w:t>
      </w:r>
    </w:p>
    <w:p w:rsidR="00BB63E1" w:rsidRPr="000301BB" w:rsidRDefault="00BB63E1" w:rsidP="00BB63E1">
      <w:pPr>
        <w:tabs>
          <w:tab w:val="left" w:pos="840"/>
        </w:tabs>
      </w:pPr>
      <w:r w:rsidRPr="000301BB">
        <w:t>Cataracts have been detected in 2 year studies in rats and dogs at dose levels greater than 25 and 10 mg/kg/day, respectively, although at a very low incidence.  While there is no clear correlation between the magnitude of serum lipid-lowering and the development of cataracts, a consistent relationship has been observed between high serum levels and cataract development with simvastatin and relate</w:t>
      </w:r>
      <w:r w:rsidR="00EE2BAC">
        <w:t>d HMG-CoA reductase inhibitors.</w:t>
      </w:r>
    </w:p>
    <w:p w:rsidR="00BB63E1" w:rsidRPr="000301BB" w:rsidRDefault="00BB63E1" w:rsidP="00EE2BAC">
      <w:pPr>
        <w:tabs>
          <w:tab w:val="left" w:pos="840"/>
        </w:tabs>
        <w:spacing w:before="100" w:beforeAutospacing="1" w:after="100" w:afterAutospacing="1"/>
      </w:pPr>
      <w:r w:rsidRPr="000301BB">
        <w:t xml:space="preserve">Serum levels (expressed as total inhibitors) in rats at the no-effect dose level were 3-11 times higher than those in humans receiving </w:t>
      </w:r>
      <w:r w:rsidR="00D925FB" w:rsidRPr="000301BB">
        <w:t>a</w:t>
      </w:r>
      <w:r w:rsidRPr="000301BB">
        <w:t xml:space="preserve"> simvastatin dose of 80 mg, whereas serum levels at the no-effect level in dogs were approximately two-fold higher than those in humans receiving </w:t>
      </w:r>
      <w:r w:rsidR="00D925FB" w:rsidRPr="000301BB">
        <w:t>a</w:t>
      </w:r>
      <w:r w:rsidR="00EE2BAC">
        <w:t xml:space="preserve"> dose of 80 mg.</w:t>
      </w:r>
    </w:p>
    <w:p w:rsidR="00BB63E1" w:rsidRPr="000301BB" w:rsidRDefault="00054194" w:rsidP="00EE2BAC">
      <w:pPr>
        <w:pStyle w:val="Heading3"/>
        <w:spacing w:after="0" w:afterAutospacing="0"/>
      </w:pPr>
      <w:r w:rsidRPr="000301BB">
        <w:t>Thyroid F</w:t>
      </w:r>
      <w:r w:rsidR="00BB63E1" w:rsidRPr="000301BB">
        <w:t>unction</w:t>
      </w:r>
    </w:p>
    <w:p w:rsidR="00BB63E1" w:rsidRPr="000301BB" w:rsidRDefault="00BB63E1" w:rsidP="00BB63E1">
      <w:pPr>
        <w:tabs>
          <w:tab w:val="left" w:pos="840"/>
        </w:tabs>
      </w:pPr>
      <w:r w:rsidRPr="000301BB">
        <w:t>The concentration of serum thyroxine has been measured at baseline and at the end of simvastatin treatment in 785 patients enrolled in multicentre studies.  The results of this analysis indicate that simvastatin has little if any effect upon thyroxine activity.</w:t>
      </w:r>
    </w:p>
    <w:p w:rsidR="00BB63E1" w:rsidRPr="000301BB" w:rsidRDefault="00BB63E1" w:rsidP="00BB63E1">
      <w:pPr>
        <w:tabs>
          <w:tab w:val="left" w:pos="840"/>
        </w:tabs>
      </w:pPr>
      <w:r w:rsidRPr="000301BB">
        <w:lastRenderedPageBreak/>
        <w:t>In one study involving 183 patients treated with simvastatin, four patients had TSH levels within the normal range before commencing simvastatin, but had an elevated TSH after tw</w:t>
      </w:r>
      <w:r w:rsidR="00843E81">
        <w:t>o years of simvastatin therapy.</w:t>
      </w:r>
    </w:p>
    <w:p w:rsidR="00BB63E1" w:rsidRPr="000301BB" w:rsidRDefault="00BB63E1" w:rsidP="00843E81">
      <w:pPr>
        <w:pStyle w:val="Heading3"/>
        <w:spacing w:after="0" w:afterAutospacing="0"/>
      </w:pPr>
      <w:r w:rsidRPr="000301BB">
        <w:t>Trans</w:t>
      </w:r>
      <w:r w:rsidR="00054194" w:rsidRPr="000301BB">
        <w:t>ient H</w:t>
      </w:r>
      <w:r w:rsidRPr="000301BB">
        <w:t>ypotension</w:t>
      </w:r>
    </w:p>
    <w:p w:rsidR="00BB63E1" w:rsidRPr="000301BB" w:rsidRDefault="00BB63E1" w:rsidP="00843E81">
      <w:pPr>
        <w:tabs>
          <w:tab w:val="left" w:pos="840"/>
        </w:tabs>
        <w:spacing w:after="100" w:afterAutospacing="1"/>
      </w:pPr>
      <w:r w:rsidRPr="000301BB">
        <w:t>Three cases of symptomatic hypotension in the first few days following the start of simvastatin therapy have been reported.  Two of the patients were on antihypertensive medication.  The hypotension resolved with continued therapy with simvastatin.</w:t>
      </w:r>
    </w:p>
    <w:p w:rsidR="00BB63E1" w:rsidRPr="000301BB" w:rsidRDefault="00BB63E1" w:rsidP="00843E81">
      <w:pPr>
        <w:pStyle w:val="Heading3"/>
        <w:spacing w:after="0" w:afterAutospacing="0"/>
      </w:pPr>
      <w:r w:rsidRPr="000301BB">
        <w:t xml:space="preserve">Neurological </w:t>
      </w:r>
      <w:r w:rsidR="00054194" w:rsidRPr="000301BB">
        <w:t>E</w:t>
      </w:r>
      <w:r w:rsidRPr="000301BB">
        <w:t>ffects</w:t>
      </w:r>
    </w:p>
    <w:p w:rsidR="00BB63E1" w:rsidRPr="000301BB" w:rsidRDefault="00BB63E1" w:rsidP="00843E81">
      <w:pPr>
        <w:tabs>
          <w:tab w:val="left" w:pos="840"/>
        </w:tabs>
        <w:spacing w:after="100" w:afterAutospacing="1"/>
      </w:pPr>
      <w:r w:rsidRPr="000301BB">
        <w:t>The neurological adverse effects reported to date include cases of peripheral neuropathy and paraesthes</w:t>
      </w:r>
      <w:r w:rsidR="00843E81">
        <w:t>ia possibly due to simvastatin.</w:t>
      </w:r>
    </w:p>
    <w:p w:rsidR="00153A47" w:rsidRPr="000301BB" w:rsidRDefault="00B8119F" w:rsidP="00843E81">
      <w:pPr>
        <w:pStyle w:val="Heading3"/>
        <w:spacing w:after="0" w:afterAutospacing="0"/>
      </w:pPr>
      <w:r w:rsidRPr="000301BB">
        <w:t xml:space="preserve">Effects on </w:t>
      </w:r>
      <w:r w:rsidR="00054194" w:rsidRPr="000301BB">
        <w:t>F</w:t>
      </w:r>
      <w:r w:rsidRPr="000301BB">
        <w:t>ertility</w:t>
      </w:r>
    </w:p>
    <w:p w:rsidR="00BE6A2B" w:rsidRPr="000301BB" w:rsidRDefault="00BE6A2B" w:rsidP="00BE6A2B">
      <w:r w:rsidRPr="000301BB">
        <w:t xml:space="preserve">No adverse effects on fertility were observed in male and female rats given </w:t>
      </w:r>
      <w:r w:rsidRPr="000301BB">
        <w:rPr>
          <w:b/>
          <w:i/>
        </w:rPr>
        <w:t>sitagliptin</w:t>
      </w:r>
      <w:r w:rsidRPr="000301BB">
        <w:t xml:space="preserve"> orally at doses up to 1000 mg/kg daily (approximately 100 times the </w:t>
      </w:r>
      <w:r w:rsidR="008470E4" w:rsidRPr="000301BB">
        <w:t>AUC in humans at the clinical dose of</w:t>
      </w:r>
      <w:r w:rsidRPr="000301BB">
        <w:t xml:space="preserve"> 100 mg/day) prior to and throughout mating.</w:t>
      </w:r>
    </w:p>
    <w:p w:rsidR="00956335" w:rsidRPr="000301BB" w:rsidRDefault="00956335" w:rsidP="00843E81">
      <w:pPr>
        <w:tabs>
          <w:tab w:val="left" w:pos="840"/>
        </w:tabs>
        <w:spacing w:before="100" w:beforeAutospacing="1" w:after="100" w:afterAutospacing="1"/>
      </w:pPr>
      <w:r w:rsidRPr="000301BB">
        <w:t xml:space="preserve">In several studies of over 800 men with hypercholesterolaemia treated with </w:t>
      </w:r>
      <w:r w:rsidRPr="000301BB">
        <w:rPr>
          <w:b/>
          <w:i/>
        </w:rPr>
        <w:t>simvastatin</w:t>
      </w:r>
      <w:r w:rsidRPr="000301BB">
        <w:t xml:space="preserve"> 20</w:t>
      </w:r>
      <w:r w:rsidR="006B62D8" w:rsidRPr="000301BB">
        <w:t> </w:t>
      </w:r>
      <w:r w:rsidRPr="000301BB">
        <w:t>mg to 80</w:t>
      </w:r>
      <w:r w:rsidR="006B62D8" w:rsidRPr="000301BB">
        <w:t> </w:t>
      </w:r>
      <w:r w:rsidRPr="000301BB">
        <w:t>mg per day for 12 to 48 weeks, basal testosterone levels were mildly decreased during simvastatin therapy, but there were no consistent changes in LH and FSH.  In 86 men treated with simvastatin 20 mg to 80 mg per day, there was no impairment of hCG-stimulated testosterone secretion.  Testicular degeneration has been seen in two dog safety studies with simvastatin.  Special studies designed to further define the nature of these changes have not met with success since the effects are poorly reproducible and unrelated to dose, serum cholesterol levels, or duration of treatment.  Simvastatin has been administered for up to two years to dogs at a dose of 50</w:t>
      </w:r>
      <w:r w:rsidR="006B62D8" w:rsidRPr="000301BB">
        <w:t> </w:t>
      </w:r>
      <w:r w:rsidRPr="000301BB">
        <w:t>mg/kg/day without any testicular effects.  Fertility of male and female rats was unaffected at oral doses up to 25</w:t>
      </w:r>
      <w:r w:rsidR="006B62D8" w:rsidRPr="000301BB">
        <w:t> </w:t>
      </w:r>
      <w:r w:rsidRPr="000301BB">
        <w:t>mg/kg/day.</w:t>
      </w:r>
    </w:p>
    <w:p w:rsidR="00AA3502" w:rsidRPr="000301BB" w:rsidRDefault="00AA3502" w:rsidP="00843E81">
      <w:pPr>
        <w:pStyle w:val="Heading3"/>
        <w:spacing w:after="0" w:afterAutospacing="0"/>
      </w:pPr>
      <w:r w:rsidRPr="000301BB">
        <w:t xml:space="preserve">Use in </w:t>
      </w:r>
      <w:r w:rsidR="00054194" w:rsidRPr="000301BB">
        <w:t>P</w:t>
      </w:r>
      <w:r w:rsidRPr="000301BB">
        <w:t>regnancy</w:t>
      </w:r>
      <w:r w:rsidR="001A369F" w:rsidRPr="000301BB">
        <w:t xml:space="preserve"> (Category D)</w:t>
      </w:r>
    </w:p>
    <w:p w:rsidR="004C10B9" w:rsidRPr="000301BB" w:rsidRDefault="004C10B9" w:rsidP="006C7551">
      <w:pPr>
        <w:pStyle w:val="Subheading"/>
        <w:rPr>
          <w:b w:val="0"/>
        </w:rPr>
      </w:pPr>
      <w:r w:rsidRPr="000301BB">
        <w:rPr>
          <w:b w:val="0"/>
          <w:iCs/>
        </w:rPr>
        <w:t>JUVICOR</w:t>
      </w:r>
      <w:r w:rsidRPr="000301BB">
        <w:rPr>
          <w:b w:val="0"/>
        </w:rPr>
        <w:t xml:space="preserve"> is contraindicated during pregnancy.</w:t>
      </w:r>
      <w:r w:rsidRPr="000301BB">
        <w:rPr>
          <w:b w:val="0"/>
          <w:noProof/>
        </w:rPr>
        <w:t xml:space="preserve"> </w:t>
      </w:r>
      <w:r w:rsidR="004764C5" w:rsidRPr="000301BB">
        <w:rPr>
          <w:b w:val="0"/>
          <w:noProof/>
        </w:rPr>
        <w:t xml:space="preserve"> </w:t>
      </w:r>
      <w:r w:rsidRPr="000301BB">
        <w:rPr>
          <w:b w:val="0"/>
          <w:noProof/>
        </w:rPr>
        <w:t xml:space="preserve">There are no adequate and well-controlled studies of </w:t>
      </w:r>
      <w:r w:rsidRPr="000301BB">
        <w:rPr>
          <w:b w:val="0"/>
          <w:iCs/>
        </w:rPr>
        <w:t>JUVICOR</w:t>
      </w:r>
      <w:r w:rsidRPr="000301BB">
        <w:rPr>
          <w:b w:val="0"/>
          <w:noProof/>
        </w:rPr>
        <w:t xml:space="preserve"> or its individual components in pregnant women; </w:t>
      </w:r>
      <w:r w:rsidRPr="000301BB">
        <w:rPr>
          <w:b w:val="0"/>
          <w:iCs/>
          <w:noProof/>
        </w:rPr>
        <w:t xml:space="preserve">therefore, the safety of </w:t>
      </w:r>
      <w:r w:rsidRPr="000301BB">
        <w:rPr>
          <w:b w:val="0"/>
          <w:iCs/>
        </w:rPr>
        <w:t>JUVICOR</w:t>
      </w:r>
      <w:r w:rsidRPr="000301BB">
        <w:rPr>
          <w:b w:val="0"/>
          <w:iCs/>
          <w:noProof/>
        </w:rPr>
        <w:t xml:space="preserve"> in pregnant women has not been established. </w:t>
      </w:r>
      <w:r w:rsidR="004764C5" w:rsidRPr="000301BB">
        <w:rPr>
          <w:b w:val="0"/>
          <w:iCs/>
          <w:noProof/>
        </w:rPr>
        <w:t xml:space="preserve"> </w:t>
      </w:r>
      <w:r w:rsidRPr="000301BB">
        <w:rPr>
          <w:b w:val="0"/>
        </w:rPr>
        <w:t xml:space="preserve">Atherosclerosis is a chronic process, and </w:t>
      </w:r>
      <w:r w:rsidR="0067667B" w:rsidRPr="000301BB">
        <w:rPr>
          <w:b w:val="0"/>
        </w:rPr>
        <w:t xml:space="preserve">the </w:t>
      </w:r>
      <w:r w:rsidRPr="000301BB">
        <w:rPr>
          <w:b w:val="0"/>
        </w:rPr>
        <w:t xml:space="preserve">discontinuation of lipid-lowering </w:t>
      </w:r>
      <w:r w:rsidR="007A7434" w:rsidRPr="000301BB">
        <w:rPr>
          <w:b w:val="0"/>
        </w:rPr>
        <w:t xml:space="preserve">medicines </w:t>
      </w:r>
      <w:r w:rsidRPr="000301BB">
        <w:rPr>
          <w:b w:val="0"/>
        </w:rPr>
        <w:t>during pregnancy should have little impact on the</w:t>
      </w:r>
      <w:r w:rsidR="00452E79" w:rsidRPr="000301BB">
        <w:rPr>
          <w:b w:val="0"/>
        </w:rPr>
        <w:t xml:space="preserve"> outcome of long-term therapy</w:t>
      </w:r>
      <w:r w:rsidRPr="000301BB">
        <w:rPr>
          <w:b w:val="0"/>
        </w:rPr>
        <w:t xml:space="preserve"> </w:t>
      </w:r>
      <w:r w:rsidR="00452E79" w:rsidRPr="000301BB">
        <w:rPr>
          <w:b w:val="0"/>
        </w:rPr>
        <w:t>of</w:t>
      </w:r>
      <w:r w:rsidRPr="000301BB">
        <w:rPr>
          <w:b w:val="0"/>
        </w:rPr>
        <w:t xml:space="preserve"> primary hypercholesterol</w:t>
      </w:r>
      <w:r w:rsidR="003A1AFD" w:rsidRPr="000301BB">
        <w:rPr>
          <w:b w:val="0"/>
        </w:rPr>
        <w:t>a</w:t>
      </w:r>
      <w:r w:rsidRPr="000301BB">
        <w:rPr>
          <w:b w:val="0"/>
        </w:rPr>
        <w:t xml:space="preserve">emia. </w:t>
      </w:r>
      <w:r w:rsidR="004764C5" w:rsidRPr="000301BB">
        <w:rPr>
          <w:b w:val="0"/>
        </w:rPr>
        <w:t xml:space="preserve"> </w:t>
      </w:r>
      <w:r w:rsidR="00452E79" w:rsidRPr="000301BB">
        <w:rPr>
          <w:b w:val="0"/>
        </w:rPr>
        <w:t>Moreover, cholesterol and other products of the cholesterol biosynthesis pathway are essential components for fetal development, including synthesis of steroids and cell membranes.  Because of the ability of inhibitors of HMG CoA reductase such as simvastatin to decrease the synthesis of cholesterol and possibly other products of the cholesterol biosynthesis pathway,</w:t>
      </w:r>
      <w:r w:rsidRPr="000301BB">
        <w:rPr>
          <w:b w:val="0"/>
        </w:rPr>
        <w:t xml:space="preserve"> </w:t>
      </w:r>
      <w:r w:rsidRPr="000301BB">
        <w:rPr>
          <w:b w:val="0"/>
          <w:iCs/>
        </w:rPr>
        <w:t>JUVICOR</w:t>
      </w:r>
      <w:r w:rsidRPr="000301BB">
        <w:rPr>
          <w:b w:val="0"/>
        </w:rPr>
        <w:t xml:space="preserve"> should not be used in women who are pregnant, trying to become pregnan</w:t>
      </w:r>
      <w:r w:rsidR="00843E81">
        <w:rPr>
          <w:b w:val="0"/>
        </w:rPr>
        <w:t>t or suspect they are pregnant.</w:t>
      </w:r>
    </w:p>
    <w:p w:rsidR="0027504B" w:rsidRPr="000301BB" w:rsidRDefault="006C7551" w:rsidP="00843E81">
      <w:pPr>
        <w:spacing w:before="100" w:beforeAutospacing="1" w:after="100" w:afterAutospacing="1"/>
      </w:pPr>
      <w:r w:rsidRPr="000301BB">
        <w:t>In two series of 178 and 134 cases where pregnant women took an HMG-CoA reductase inhibitor (statin) during the first t</w:t>
      </w:r>
      <w:r w:rsidR="00A21F24" w:rsidRPr="000301BB">
        <w:t>rimester of pregnancy serious f</w:t>
      </w:r>
      <w:r w:rsidRPr="000301BB">
        <w:t>etal abnormalities occurred in several cases.  These included limb and neurological defec</w:t>
      </w:r>
      <w:r w:rsidR="00A21F24" w:rsidRPr="000301BB">
        <w:t>ts, spontaneous abortions and f</w:t>
      </w:r>
      <w:r w:rsidRPr="000301BB">
        <w:t xml:space="preserve">etal deaths.  The exact risk of injury to the fetus occurring after a pregnant woman is exposed to a HMG-CoA reductase inhibitor has not been determined.  The current data do </w:t>
      </w:r>
      <w:r w:rsidR="00A21F24" w:rsidRPr="000301BB">
        <w:t>not indicate that the risk of f</w:t>
      </w:r>
      <w:r w:rsidRPr="000301BB">
        <w:t>etal injury in women exposed to HMG-CoA reductase inhibitors is high.  If a pregnant woman is exposed to a HMG-CoA reductase inhibitor, she should be i</w:t>
      </w:r>
      <w:r w:rsidR="00A21F24" w:rsidRPr="000301BB">
        <w:t>nformed of the possibility of f</w:t>
      </w:r>
      <w:r w:rsidRPr="000301BB">
        <w:t xml:space="preserve">etal injury and discuss the implications with her pregnancy specialist (see </w:t>
      </w:r>
      <w:r w:rsidRPr="000301BB">
        <w:rPr>
          <w:b/>
          <w:bCs w:val="0"/>
        </w:rPr>
        <w:t>CONTRAINDICATIONS</w:t>
      </w:r>
      <w:r w:rsidRPr="000301BB">
        <w:t>).</w:t>
      </w:r>
    </w:p>
    <w:p w:rsidR="004C10B9" w:rsidRPr="000301BB" w:rsidRDefault="004C10B9" w:rsidP="00843E81">
      <w:pPr>
        <w:spacing w:before="100" w:beforeAutospacing="1" w:after="100" w:afterAutospacing="1"/>
        <w:rPr>
          <w:noProof/>
        </w:rPr>
      </w:pPr>
      <w:r w:rsidRPr="000301BB">
        <w:rPr>
          <w:b/>
          <w:i/>
          <w:noProof/>
        </w:rPr>
        <w:lastRenderedPageBreak/>
        <w:t>Sitagliptin</w:t>
      </w:r>
      <w:r w:rsidRPr="000301BB">
        <w:rPr>
          <w:noProof/>
        </w:rPr>
        <w:t xml:space="preserve"> was not teratogenic in rats at oral doses up to 250 mg/kg</w:t>
      </w:r>
      <w:r w:rsidR="004764C5" w:rsidRPr="000301BB">
        <w:rPr>
          <w:noProof/>
        </w:rPr>
        <w:t>/day</w:t>
      </w:r>
      <w:r w:rsidRPr="000301BB">
        <w:rPr>
          <w:noProof/>
        </w:rPr>
        <w:t xml:space="preserve"> or in rabbits given up to 125 mg/kg</w:t>
      </w:r>
      <w:r w:rsidR="00B63743" w:rsidRPr="000301BB">
        <w:rPr>
          <w:noProof/>
        </w:rPr>
        <w:t>/day</w:t>
      </w:r>
      <w:r w:rsidRPr="000301BB">
        <w:rPr>
          <w:noProof/>
        </w:rPr>
        <w:t xml:space="preserve"> during organogenesis (up to 32 and 22 times, respectively, the </w:t>
      </w:r>
      <w:r w:rsidR="00232F2E" w:rsidRPr="000301BB">
        <w:rPr>
          <w:noProof/>
        </w:rPr>
        <w:t xml:space="preserve">AUC in humans at the clinical </w:t>
      </w:r>
      <w:r w:rsidRPr="000301BB">
        <w:rPr>
          <w:noProof/>
        </w:rPr>
        <w:t xml:space="preserve">dose of 100 mg/day). </w:t>
      </w:r>
      <w:r w:rsidR="006B62D8" w:rsidRPr="000301BB">
        <w:rPr>
          <w:noProof/>
        </w:rPr>
        <w:t xml:space="preserve"> </w:t>
      </w:r>
      <w:r w:rsidR="00B63743" w:rsidRPr="000301BB">
        <w:rPr>
          <w:noProof/>
        </w:rPr>
        <w:t>A</w:t>
      </w:r>
      <w:r w:rsidRPr="000301BB">
        <w:rPr>
          <w:noProof/>
        </w:rPr>
        <w:t xml:space="preserve"> slight increase in the incidence of fetal rib </w:t>
      </w:r>
      <w:r w:rsidR="00232F2E" w:rsidRPr="000301BB">
        <w:rPr>
          <w:noProof/>
        </w:rPr>
        <w:t xml:space="preserve">abnormalities </w:t>
      </w:r>
      <w:r w:rsidRPr="000301BB">
        <w:rPr>
          <w:noProof/>
        </w:rPr>
        <w:t xml:space="preserve">(absent, hypoplastic and wavy ribs) was observed </w:t>
      </w:r>
      <w:r w:rsidR="00B63743" w:rsidRPr="000301BB">
        <w:rPr>
          <w:noProof/>
        </w:rPr>
        <w:t xml:space="preserve">among fetuses of rats given sitagliptin </w:t>
      </w:r>
      <w:r w:rsidRPr="000301BB">
        <w:rPr>
          <w:noProof/>
        </w:rPr>
        <w:t xml:space="preserve">at 1000 mg/kg/day (approximately 100 times the </w:t>
      </w:r>
      <w:r w:rsidR="0070045F" w:rsidRPr="000301BB">
        <w:rPr>
          <w:noProof/>
        </w:rPr>
        <w:t xml:space="preserve">AUC in humans at </w:t>
      </w:r>
      <w:r w:rsidR="00DA5C99" w:rsidRPr="000301BB">
        <w:rPr>
          <w:noProof/>
        </w:rPr>
        <w:t xml:space="preserve">the </w:t>
      </w:r>
      <w:r w:rsidR="0070045F" w:rsidRPr="000301BB">
        <w:rPr>
          <w:noProof/>
        </w:rPr>
        <w:t>clinical</w:t>
      </w:r>
      <w:r w:rsidRPr="000301BB">
        <w:rPr>
          <w:noProof/>
        </w:rPr>
        <w:t xml:space="preserve"> dose of 100 mg/day). </w:t>
      </w:r>
      <w:r w:rsidR="0070045F" w:rsidRPr="000301BB">
        <w:rPr>
          <w:noProof/>
        </w:rPr>
        <w:t xml:space="preserve"> Pups of rats administered sitagliptin at 1</w:t>
      </w:r>
      <w:r w:rsidR="0083174B" w:rsidRPr="000301BB">
        <w:rPr>
          <w:noProof/>
        </w:rPr>
        <w:t>,</w:t>
      </w:r>
      <w:r w:rsidR="0070045F" w:rsidRPr="000301BB">
        <w:rPr>
          <w:noProof/>
        </w:rPr>
        <w:t>000 mg/kg/day from gestation day 6 to lactation day 20 showed reduced</w:t>
      </w:r>
      <w:r w:rsidRPr="000301BB">
        <w:rPr>
          <w:noProof/>
        </w:rPr>
        <w:t xml:space="preserve"> </w:t>
      </w:r>
      <w:r w:rsidR="00D925FB" w:rsidRPr="000301BB">
        <w:rPr>
          <w:noProof/>
        </w:rPr>
        <w:t xml:space="preserve">birth </w:t>
      </w:r>
      <w:r w:rsidRPr="000301BB">
        <w:rPr>
          <w:noProof/>
        </w:rPr>
        <w:t>weight and post</w:t>
      </w:r>
      <w:r w:rsidR="0070045F" w:rsidRPr="000301BB">
        <w:rPr>
          <w:noProof/>
        </w:rPr>
        <w:t>natal</w:t>
      </w:r>
      <w:r w:rsidRPr="000301BB">
        <w:rPr>
          <w:noProof/>
        </w:rPr>
        <w:t xml:space="preserve"> body weight gain</w:t>
      </w:r>
      <w:r w:rsidR="0070045F" w:rsidRPr="000301BB">
        <w:rPr>
          <w:noProof/>
        </w:rPr>
        <w:t xml:space="preserve"> (observed prior to and after weaning)</w:t>
      </w:r>
      <w:r w:rsidRPr="000301BB">
        <w:rPr>
          <w:noProof/>
        </w:rPr>
        <w:t>.</w:t>
      </w:r>
      <w:r w:rsidR="0070045F" w:rsidRPr="000301BB">
        <w:rPr>
          <w:noProof/>
        </w:rPr>
        <w:t xml:space="preserve">  No functional or behavioural toxicity was observed in the offspring of treated rats.</w:t>
      </w:r>
      <w:r w:rsidR="000A0419" w:rsidRPr="000301BB">
        <w:rPr>
          <w:noProof/>
        </w:rPr>
        <w:t xml:space="preserve">  Sitagliptin crosses the placenta in rats and rabbits.</w:t>
      </w:r>
    </w:p>
    <w:p w:rsidR="001C2552" w:rsidRPr="000301BB" w:rsidRDefault="00472C52" w:rsidP="00843E81">
      <w:pPr>
        <w:spacing w:before="100" w:beforeAutospacing="1" w:after="100" w:afterAutospacing="1"/>
      </w:pPr>
      <w:r w:rsidRPr="000301BB">
        <w:t xml:space="preserve">Animal studies of </w:t>
      </w:r>
      <w:r w:rsidRPr="000301BB">
        <w:rPr>
          <w:b/>
          <w:i/>
        </w:rPr>
        <w:t xml:space="preserve">simvastatin </w:t>
      </w:r>
      <w:r w:rsidRPr="000301BB">
        <w:t xml:space="preserve">showed increased incidences of fetal resorption at </w:t>
      </w:r>
      <w:r w:rsidR="006C7551" w:rsidRPr="000301BB">
        <w:t xml:space="preserve">doses of </w:t>
      </w:r>
      <w:r w:rsidRPr="000301BB">
        <w:t>50</w:t>
      </w:r>
      <w:r w:rsidR="00752510" w:rsidRPr="000301BB">
        <w:t> </w:t>
      </w:r>
      <w:r w:rsidRPr="000301BB">
        <w:t>mg/kg/day in rats and 15</w:t>
      </w:r>
      <w:r w:rsidR="00752510" w:rsidRPr="000301BB">
        <w:t> </w:t>
      </w:r>
      <w:r w:rsidRPr="000301BB">
        <w:t xml:space="preserve">mg/kg/day in rabbits.  In another study, an increased incidence of skeletal malformations was observed in fetuses of rats dosed with the active metabolite of simvastatin, </w:t>
      </w:r>
      <w:r w:rsidR="006C7551" w:rsidRPr="000301BB">
        <w:t>simvastatin acid</w:t>
      </w:r>
      <w:r w:rsidRPr="000301BB">
        <w:t>, at a level of 60</w:t>
      </w:r>
      <w:r w:rsidR="00752510" w:rsidRPr="000301BB">
        <w:t> </w:t>
      </w:r>
      <w:r w:rsidRPr="000301BB">
        <w:t xml:space="preserve">mg/kg/day.  The no-effect dose level of this teratogenic activity has not been established.  Other inhibitors of HMG-CoA reductase have also been shown to induce skeletal malformations in rats, and the teratogenic effects may be due to the enzyme inhibitory activity of such </w:t>
      </w:r>
      <w:r w:rsidR="007A7434" w:rsidRPr="000301BB">
        <w:t>medicine</w:t>
      </w:r>
      <w:r w:rsidRPr="000301BB">
        <w:t>s.  The relevance of these findings to humans is not known.</w:t>
      </w:r>
    </w:p>
    <w:p w:rsidR="00153A47" w:rsidRPr="000301BB" w:rsidRDefault="00054194" w:rsidP="00593CE5">
      <w:pPr>
        <w:pStyle w:val="Heading3"/>
        <w:spacing w:after="0" w:afterAutospacing="0"/>
      </w:pPr>
      <w:r w:rsidRPr="000301BB">
        <w:t>Use in L</w:t>
      </w:r>
      <w:r w:rsidR="00AA3502" w:rsidRPr="000301BB">
        <w:t>actation</w:t>
      </w:r>
    </w:p>
    <w:p w:rsidR="005345B6" w:rsidRPr="000301BB" w:rsidRDefault="000A0419" w:rsidP="00DF0FEA">
      <w:r w:rsidRPr="000301BB">
        <w:t xml:space="preserve">Treatment of rats with </w:t>
      </w:r>
      <w:r w:rsidRPr="000301BB">
        <w:rPr>
          <w:b/>
          <w:i/>
        </w:rPr>
        <w:t xml:space="preserve">sitagliptin </w:t>
      </w:r>
      <w:r w:rsidRPr="000301BB">
        <w:t>during pregnancy and lactation ca</w:t>
      </w:r>
      <w:r w:rsidR="008E1EF9" w:rsidRPr="000301BB">
        <w:t>u</w:t>
      </w:r>
      <w:r w:rsidRPr="000301BB">
        <w:t xml:space="preserve">sed decreased pup body weight gain (see </w:t>
      </w:r>
      <w:r w:rsidR="00163082" w:rsidRPr="000301BB">
        <w:rPr>
          <w:b/>
        </w:rPr>
        <w:t>PRECAUTIONS</w:t>
      </w:r>
      <w:r w:rsidR="00163082" w:rsidRPr="000301BB">
        <w:t xml:space="preserve">, </w:t>
      </w:r>
      <w:r w:rsidRPr="000301BB">
        <w:rPr>
          <w:i/>
        </w:rPr>
        <w:t>Use in Pregnancy</w:t>
      </w:r>
      <w:r w:rsidRPr="000301BB">
        <w:t xml:space="preserve">).  </w:t>
      </w:r>
      <w:r w:rsidR="00DF0FEA" w:rsidRPr="000301BB">
        <w:t xml:space="preserve">Sitagliptin is </w:t>
      </w:r>
      <w:r w:rsidR="00163082" w:rsidRPr="000301BB">
        <w:t>ex</w:t>
      </w:r>
      <w:r w:rsidR="00DF0FEA" w:rsidRPr="000301BB">
        <w:t>creted in the milk of lactating rats</w:t>
      </w:r>
      <w:r w:rsidR="00163082" w:rsidRPr="000301BB">
        <w:t xml:space="preserve"> at </w:t>
      </w:r>
      <w:proofErr w:type="gramStart"/>
      <w:r w:rsidR="00163082" w:rsidRPr="000301BB">
        <w:t>a mil</w:t>
      </w:r>
      <w:r w:rsidR="006B62D8" w:rsidRPr="000301BB">
        <w:t>k</w:t>
      </w:r>
      <w:proofErr w:type="gramEnd"/>
      <w:r w:rsidR="00163082" w:rsidRPr="000301BB">
        <w:t xml:space="preserve"> to plasma ratio of 4:1</w:t>
      </w:r>
      <w:r w:rsidR="00DF0FEA" w:rsidRPr="000301BB">
        <w:t>.</w:t>
      </w:r>
      <w:r w:rsidR="00163082" w:rsidRPr="000301BB">
        <w:t xml:space="preserve"> </w:t>
      </w:r>
      <w:r w:rsidR="00DF0FEA" w:rsidRPr="000301BB">
        <w:t xml:space="preserve"> It is not known whether sitagliptin is </w:t>
      </w:r>
      <w:r w:rsidR="00163082" w:rsidRPr="000301BB">
        <w:t>ex</w:t>
      </w:r>
      <w:r w:rsidR="00593CE5">
        <w:t>creted in human milk.</w:t>
      </w:r>
    </w:p>
    <w:p w:rsidR="005345B6" w:rsidRPr="000301BB" w:rsidRDefault="006C42EE" w:rsidP="00593CE5">
      <w:pPr>
        <w:spacing w:before="100" w:beforeAutospacing="1" w:after="100" w:afterAutospacing="1"/>
      </w:pPr>
      <w:r w:rsidRPr="000301BB">
        <w:t xml:space="preserve">Animal studies have shown that weight gain during lactation is reduced in offspring of rats dosed with </w:t>
      </w:r>
      <w:r w:rsidRPr="000301BB">
        <w:rPr>
          <w:b/>
          <w:i/>
        </w:rPr>
        <w:t>simvastatin</w:t>
      </w:r>
      <w:r w:rsidRPr="000301BB">
        <w:t xml:space="preserve"> at dosages of 12.5 to 25 mg/kg/day.  </w:t>
      </w:r>
      <w:r w:rsidR="00040F8A" w:rsidRPr="000301BB">
        <w:t>There is no information from animal studies on</w:t>
      </w:r>
      <w:r w:rsidR="00DF0FEA" w:rsidRPr="000301BB">
        <w:t xml:space="preserve"> whether simvastatin or its metabolites are excreted in </w:t>
      </w:r>
      <w:r w:rsidR="00040F8A" w:rsidRPr="000301BB">
        <w:t xml:space="preserve">breast </w:t>
      </w:r>
      <w:r w:rsidR="00593CE5">
        <w:t>milk.</w:t>
      </w:r>
    </w:p>
    <w:p w:rsidR="00DF0FEA" w:rsidRPr="000301BB" w:rsidRDefault="00DF0FEA" w:rsidP="00593CE5">
      <w:pPr>
        <w:spacing w:after="100" w:afterAutospacing="1"/>
      </w:pPr>
      <w:r w:rsidRPr="000301BB">
        <w:t xml:space="preserve">Because many </w:t>
      </w:r>
      <w:r w:rsidR="007A7434" w:rsidRPr="000301BB">
        <w:t xml:space="preserve">medicines </w:t>
      </w:r>
      <w:r w:rsidRPr="000301BB">
        <w:t xml:space="preserve">are excreted in human milk and because of the potential for serious adverse reactions, women taking </w:t>
      </w:r>
      <w:r w:rsidRPr="000301BB">
        <w:rPr>
          <w:iCs/>
        </w:rPr>
        <w:t>JUVICOR</w:t>
      </w:r>
      <w:r w:rsidRPr="000301BB">
        <w:t xml:space="preserve"> should not breast-feed their infants (see </w:t>
      </w:r>
      <w:r w:rsidRPr="000301BB">
        <w:rPr>
          <w:b/>
          <w:bCs w:val="0"/>
        </w:rPr>
        <w:t>CONTRAINDICATIONS</w:t>
      </w:r>
      <w:r w:rsidRPr="000301BB">
        <w:t>).</w:t>
      </w:r>
    </w:p>
    <w:p w:rsidR="00AA3502" w:rsidRPr="000301BB" w:rsidRDefault="00AA3502" w:rsidP="00593CE5">
      <w:pPr>
        <w:pStyle w:val="Heading3"/>
        <w:spacing w:after="0" w:afterAutospacing="0"/>
      </w:pPr>
      <w:r w:rsidRPr="000301BB">
        <w:t xml:space="preserve">Paediatric </w:t>
      </w:r>
      <w:r w:rsidR="00054194" w:rsidRPr="000301BB">
        <w:t>U</w:t>
      </w:r>
      <w:r w:rsidRPr="000301BB">
        <w:t>se</w:t>
      </w:r>
    </w:p>
    <w:p w:rsidR="00962EB1" w:rsidRPr="000301BB" w:rsidRDefault="00962EB1" w:rsidP="00593CE5">
      <w:pPr>
        <w:spacing w:after="100" w:afterAutospacing="1"/>
      </w:pPr>
      <w:r w:rsidRPr="000301BB">
        <w:t xml:space="preserve">Safety and effectiveness of </w:t>
      </w:r>
      <w:r w:rsidRPr="000301BB">
        <w:rPr>
          <w:iCs/>
        </w:rPr>
        <w:t>JUVICOR</w:t>
      </w:r>
      <w:r w:rsidRPr="000301BB">
        <w:t xml:space="preserve"> in p</w:t>
      </w:r>
      <w:r w:rsidR="007613E4" w:rsidRPr="000301BB">
        <w:t>a</w:t>
      </w:r>
      <w:r w:rsidRPr="000301BB">
        <w:t>ediatric patients under 18 years have not been established.</w:t>
      </w:r>
    </w:p>
    <w:p w:rsidR="00AA3502" w:rsidRPr="000301BB" w:rsidRDefault="00AA3502" w:rsidP="00593CE5">
      <w:pPr>
        <w:pStyle w:val="Heading3"/>
        <w:spacing w:after="0" w:afterAutospacing="0"/>
      </w:pPr>
      <w:r w:rsidRPr="000301BB">
        <w:t xml:space="preserve">Use in the </w:t>
      </w:r>
      <w:r w:rsidR="00054194" w:rsidRPr="000301BB">
        <w:t>E</w:t>
      </w:r>
      <w:r w:rsidRPr="000301BB">
        <w:t>lderly</w:t>
      </w:r>
    </w:p>
    <w:p w:rsidR="00C53D99" w:rsidRPr="000301BB" w:rsidRDefault="006037C7" w:rsidP="009F6793">
      <w:pPr>
        <w:spacing w:after="100" w:afterAutospacing="1"/>
      </w:pPr>
      <w:r w:rsidRPr="000301BB">
        <w:t xml:space="preserve">In clinical studies, the safety and effectiveness of </w:t>
      </w:r>
      <w:r w:rsidRPr="000301BB">
        <w:rPr>
          <w:b/>
          <w:i/>
        </w:rPr>
        <w:t xml:space="preserve">sitagliptin </w:t>
      </w:r>
      <w:r w:rsidRPr="000301BB">
        <w:t>in the elderly (≥65 years) were comparable to those seen in younger patients (&lt;65 years)</w:t>
      </w:r>
      <w:r w:rsidR="009306D8" w:rsidRPr="000301BB">
        <w:t>.  E</w:t>
      </w:r>
      <w:r w:rsidR="00C53D99" w:rsidRPr="000301BB">
        <w:t xml:space="preserve">lderly patients are more likely to have </w:t>
      </w:r>
      <w:r w:rsidR="009306D8" w:rsidRPr="000301BB">
        <w:t>renal insufficiency; as with other patients, dosage adjustment may be required in the presence of significant renal insufficiency</w:t>
      </w:r>
      <w:r w:rsidR="00C53D99" w:rsidRPr="000301BB">
        <w:t xml:space="preserve"> (see; </w:t>
      </w:r>
      <w:r w:rsidR="00C53D99" w:rsidRPr="000301BB">
        <w:rPr>
          <w:b/>
        </w:rPr>
        <w:t>DOSAGE AND ADMINISTRATION</w:t>
      </w:r>
      <w:r w:rsidR="00C53D99" w:rsidRPr="000301BB">
        <w:t xml:space="preserve">, </w:t>
      </w:r>
      <w:r w:rsidR="00C53D99" w:rsidRPr="000301BB">
        <w:rPr>
          <w:i/>
        </w:rPr>
        <w:t>Patients with Renal Insufficiency</w:t>
      </w:r>
      <w:r w:rsidR="009F6793">
        <w:t>).</w:t>
      </w:r>
    </w:p>
    <w:p w:rsidR="00BD3E4E" w:rsidRPr="000301BB" w:rsidRDefault="00313A90" w:rsidP="009F6793">
      <w:pPr>
        <w:spacing w:after="100" w:afterAutospacing="1"/>
      </w:pPr>
      <w:r w:rsidRPr="000301BB">
        <w:t xml:space="preserve">In controlled clinical trials, the efficacy of </w:t>
      </w:r>
      <w:r w:rsidRPr="000301BB">
        <w:rPr>
          <w:b/>
          <w:i/>
        </w:rPr>
        <w:t>simvastatin</w:t>
      </w:r>
      <w:r w:rsidRPr="000301BB">
        <w:t xml:space="preserve"> f</w:t>
      </w:r>
      <w:r w:rsidR="00C53D99" w:rsidRPr="000301BB">
        <w:t>or pa</w:t>
      </w:r>
      <w:r w:rsidR="00040BA1" w:rsidRPr="000301BB">
        <w:t>tients over the age of 65 years</w:t>
      </w:r>
      <w:r w:rsidR="00C53D99" w:rsidRPr="000301BB">
        <w:t>, as assessed by reduction in total</w:t>
      </w:r>
      <w:r w:rsidR="00C53D99" w:rsidRPr="000301BB">
        <w:noBreakHyphen/>
        <w:t>C and LDL</w:t>
      </w:r>
      <w:r w:rsidR="00C53D99" w:rsidRPr="000301BB">
        <w:noBreakHyphen/>
        <w:t>C</w:t>
      </w:r>
      <w:r w:rsidR="005A61FE" w:rsidRPr="000301BB">
        <w:t xml:space="preserve"> levels</w:t>
      </w:r>
      <w:r w:rsidR="00C53D99" w:rsidRPr="000301BB">
        <w:t xml:space="preserve">, </w:t>
      </w:r>
      <w:r w:rsidR="005A61FE" w:rsidRPr="000301BB">
        <w:t>was</w:t>
      </w:r>
      <w:r w:rsidR="00C53D99" w:rsidRPr="000301BB">
        <w:t xml:space="preserve"> similar to that seen in the population as a whole</w:t>
      </w:r>
      <w:r w:rsidR="005A61FE" w:rsidRPr="000301BB">
        <w:t>.</w:t>
      </w:r>
      <w:r w:rsidR="00C53D99" w:rsidRPr="000301BB">
        <w:t xml:space="preserve">  </w:t>
      </w:r>
      <w:r w:rsidR="005A61FE" w:rsidRPr="000301BB">
        <w:t>T</w:t>
      </w:r>
      <w:r w:rsidR="00C53D99" w:rsidRPr="000301BB">
        <w:t>here was no apparent increase in the overall frequency of clinical or laboratory adverse findings.</w:t>
      </w:r>
      <w:r w:rsidR="005A61FE" w:rsidRPr="000301BB">
        <w:t xml:space="preserve"> </w:t>
      </w:r>
      <w:r w:rsidR="00C53D99" w:rsidRPr="000301BB">
        <w:t xml:space="preserve"> However, in a clinical trial of patients treated with simvastatin 80 mg/day, patients </w:t>
      </w:r>
      <w:r w:rsidR="00C53D99" w:rsidRPr="000301BB">
        <w:sym w:font="Symbol" w:char="F0B3"/>
      </w:r>
      <w:r w:rsidR="00C53D99" w:rsidRPr="000301BB">
        <w:t>65 years of age had an increased risk of myopathy compared to patients &lt;65 years of age.</w:t>
      </w:r>
    </w:p>
    <w:p w:rsidR="00AA3502" w:rsidRPr="000301BB" w:rsidRDefault="00AA3502" w:rsidP="009F6793">
      <w:pPr>
        <w:pStyle w:val="Heading3"/>
        <w:spacing w:after="0" w:afterAutospacing="0"/>
      </w:pPr>
      <w:r w:rsidRPr="000301BB">
        <w:lastRenderedPageBreak/>
        <w:t>Genotoxicity</w:t>
      </w:r>
    </w:p>
    <w:p w:rsidR="005765E8" w:rsidRPr="000301BB" w:rsidRDefault="005765E8" w:rsidP="009E55B6">
      <w:pPr>
        <w:spacing w:after="100" w:afterAutospacing="1"/>
      </w:pPr>
      <w:r w:rsidRPr="000301BB">
        <w:rPr>
          <w:b/>
          <w:i/>
        </w:rPr>
        <w:t>Sitagliptin</w:t>
      </w:r>
      <w:r w:rsidRPr="000301BB">
        <w:t xml:space="preserve"> was not mutagenic or clastogenic in a battery of genetic toxicology studies, including the Ames bacterial</w:t>
      </w:r>
      <w:r w:rsidR="007034E7" w:rsidRPr="000301BB">
        <w:t xml:space="preserve"> mutagenicity</w:t>
      </w:r>
      <w:r w:rsidRPr="000301BB">
        <w:t xml:space="preserve"> assay, </w:t>
      </w:r>
      <w:r w:rsidR="007034E7" w:rsidRPr="000301BB">
        <w:t xml:space="preserve">a </w:t>
      </w:r>
      <w:r w:rsidRPr="000301BB">
        <w:t>chromosome aberration assay</w:t>
      </w:r>
      <w:r w:rsidR="007034E7" w:rsidRPr="000301BB">
        <w:t xml:space="preserve"> in Chinese hamster Ovary cells</w:t>
      </w:r>
      <w:r w:rsidRPr="000301BB">
        <w:t xml:space="preserve">, an </w:t>
      </w:r>
      <w:r w:rsidRPr="000301BB">
        <w:rPr>
          <w:i/>
        </w:rPr>
        <w:t>in vitro</w:t>
      </w:r>
      <w:r w:rsidRPr="000301BB">
        <w:t xml:space="preserve"> rat hepatocyte DNA alkaline elution assay (an assay which measures the compound’s ability to induce single strand breaks in DNA), and an </w:t>
      </w:r>
      <w:r w:rsidRPr="000301BB">
        <w:rPr>
          <w:i/>
        </w:rPr>
        <w:t>in vivo</w:t>
      </w:r>
      <w:r w:rsidRPr="000301BB">
        <w:t xml:space="preserve"> </w:t>
      </w:r>
      <w:r w:rsidR="007034E7" w:rsidRPr="000301BB">
        <w:t xml:space="preserve">mouse </w:t>
      </w:r>
      <w:r w:rsidRPr="000301BB">
        <w:t>micronucleus assay.</w:t>
      </w:r>
    </w:p>
    <w:p w:rsidR="00AA3502" w:rsidRPr="000301BB" w:rsidRDefault="00593013" w:rsidP="009E55B6">
      <w:pPr>
        <w:spacing w:after="100" w:afterAutospacing="1"/>
      </w:pPr>
      <w:r w:rsidRPr="000301BB">
        <w:t xml:space="preserve">Genetic toxicology studies of </w:t>
      </w:r>
      <w:r w:rsidRPr="000301BB">
        <w:rPr>
          <w:b/>
          <w:i/>
        </w:rPr>
        <w:t>simvastatin</w:t>
      </w:r>
      <w:r w:rsidRPr="000301BB">
        <w:t xml:space="preserve"> showed no evidence of mutagenic activity in bacteria or in mammalian cells </w:t>
      </w:r>
      <w:r w:rsidRPr="000301BB">
        <w:rPr>
          <w:i/>
        </w:rPr>
        <w:t>in vitro</w:t>
      </w:r>
      <w:r w:rsidRPr="000301BB">
        <w:t xml:space="preserve">, or of clastogenic activity </w:t>
      </w:r>
      <w:r w:rsidRPr="000301BB">
        <w:rPr>
          <w:i/>
        </w:rPr>
        <w:t>in vitro</w:t>
      </w:r>
      <w:r w:rsidRPr="000301BB">
        <w:t xml:space="preserve"> or in mice </w:t>
      </w:r>
      <w:r w:rsidRPr="000301BB">
        <w:rPr>
          <w:i/>
        </w:rPr>
        <w:t xml:space="preserve">in vivo.  In vitro </w:t>
      </w:r>
      <w:r w:rsidRPr="000301BB">
        <w:t xml:space="preserve">and </w:t>
      </w:r>
      <w:r w:rsidRPr="000301BB">
        <w:rPr>
          <w:i/>
        </w:rPr>
        <w:t>in vivo</w:t>
      </w:r>
      <w:r w:rsidRPr="000301BB">
        <w:t xml:space="preserve"> assays showed that simvastatin does not cause DNA damage in rat hepatocytes.</w:t>
      </w:r>
    </w:p>
    <w:p w:rsidR="00AA3502" w:rsidRPr="000301BB" w:rsidRDefault="00AA3502" w:rsidP="009E55B6">
      <w:pPr>
        <w:pStyle w:val="Heading3"/>
      </w:pPr>
      <w:r w:rsidRPr="000301BB">
        <w:t>Carcinogenicity</w:t>
      </w:r>
    </w:p>
    <w:p w:rsidR="00834186" w:rsidRPr="000301BB" w:rsidRDefault="00834186" w:rsidP="009E55B6">
      <w:pPr>
        <w:pStyle w:val="Heading4"/>
      </w:pPr>
      <w:r w:rsidRPr="000301BB">
        <w:t>Sitagliptin</w:t>
      </w:r>
    </w:p>
    <w:p w:rsidR="00834186" w:rsidRPr="000301BB" w:rsidRDefault="00834186" w:rsidP="009E55B6">
      <w:pPr>
        <w:spacing w:after="100" w:afterAutospacing="1"/>
        <w:rPr>
          <w:color w:val="000000"/>
        </w:rPr>
      </w:pPr>
      <w:r w:rsidRPr="000301BB">
        <w:rPr>
          <w:color w:val="000000"/>
        </w:rPr>
        <w:t>A two-year carcinogenicity study was conducted in rats given oral doses of sitagliptin of 50, 150, and 500 mg/kg/day.</w:t>
      </w:r>
      <w:r w:rsidR="00D4478E" w:rsidRPr="000301BB">
        <w:rPr>
          <w:color w:val="000000"/>
        </w:rPr>
        <w:t xml:space="preserve"> </w:t>
      </w:r>
      <w:r w:rsidRPr="000301BB">
        <w:rPr>
          <w:color w:val="000000"/>
        </w:rPr>
        <w:t xml:space="preserve"> There was an increased incidence of </w:t>
      </w:r>
      <w:r w:rsidR="00D4478E" w:rsidRPr="000301BB">
        <w:rPr>
          <w:color w:val="000000"/>
        </w:rPr>
        <w:t xml:space="preserve">focal eosinophilic cellular alterations in the liver in both sexes at 150 mg/kg/day and at 500 mg/kg/day.  There was an increased incidence of basophilic cellular alterations in females at 500 mg/kg/day.  Eosinophilic and basophilic cellular alterations are regarded as preneoplastic lesions.  There was an increase in </w:t>
      </w:r>
      <w:r w:rsidRPr="000301BB">
        <w:rPr>
          <w:color w:val="000000"/>
        </w:rPr>
        <w:t>hepatic adenomas and carcinomas in males</w:t>
      </w:r>
      <w:r w:rsidR="00D4478E" w:rsidRPr="000301BB">
        <w:rPr>
          <w:color w:val="000000"/>
        </w:rPr>
        <w:t>,</w:t>
      </w:r>
      <w:r w:rsidRPr="000301BB">
        <w:rPr>
          <w:color w:val="000000"/>
        </w:rPr>
        <w:t xml:space="preserve"> and hepatic carcinomas in females</w:t>
      </w:r>
      <w:r w:rsidR="00D4478E" w:rsidRPr="000301BB">
        <w:rPr>
          <w:color w:val="000000"/>
        </w:rPr>
        <w:t xml:space="preserve"> at 500 mg/kg/day</w:t>
      </w:r>
      <w:r w:rsidRPr="000301BB">
        <w:rPr>
          <w:color w:val="000000"/>
        </w:rPr>
        <w:t xml:space="preserve">. </w:t>
      </w:r>
      <w:r w:rsidR="00D4478E" w:rsidRPr="000301BB">
        <w:rPr>
          <w:color w:val="000000"/>
        </w:rPr>
        <w:t xml:space="preserve"> Systemic </w:t>
      </w:r>
      <w:proofErr w:type="gramStart"/>
      <w:r w:rsidR="00D4478E" w:rsidRPr="000301BB">
        <w:rPr>
          <w:color w:val="000000"/>
        </w:rPr>
        <w:t>exposure in rats at 150 and 500 mg/kg/day are</w:t>
      </w:r>
      <w:proofErr w:type="gramEnd"/>
      <w:r w:rsidR="00D4478E" w:rsidRPr="000301BB">
        <w:rPr>
          <w:color w:val="000000"/>
        </w:rPr>
        <w:t xml:space="preserve"> 19 and</w:t>
      </w:r>
      <w:r w:rsidRPr="000301BB">
        <w:rPr>
          <w:color w:val="000000"/>
        </w:rPr>
        <w:t xml:space="preserve"> 58 times</w:t>
      </w:r>
      <w:r w:rsidR="00D4478E" w:rsidRPr="000301BB">
        <w:rPr>
          <w:color w:val="000000"/>
        </w:rPr>
        <w:t>,</w:t>
      </w:r>
      <w:r w:rsidRPr="000301BB">
        <w:rPr>
          <w:color w:val="000000"/>
        </w:rPr>
        <w:t xml:space="preserve"> </w:t>
      </w:r>
      <w:r w:rsidR="00D4478E" w:rsidRPr="000301BB">
        <w:rPr>
          <w:color w:val="000000"/>
        </w:rPr>
        <w:t>respectively, that of</w:t>
      </w:r>
      <w:r w:rsidRPr="000301BB">
        <w:rPr>
          <w:color w:val="000000"/>
        </w:rPr>
        <w:t xml:space="preserve"> human</w:t>
      </w:r>
      <w:r w:rsidR="00D4478E" w:rsidRPr="000301BB">
        <w:rPr>
          <w:color w:val="000000"/>
        </w:rPr>
        <w:t xml:space="preserve">s at </w:t>
      </w:r>
      <w:r w:rsidR="00731F18" w:rsidRPr="000301BB">
        <w:rPr>
          <w:color w:val="000000"/>
        </w:rPr>
        <w:t xml:space="preserve">the </w:t>
      </w:r>
      <w:r w:rsidR="00D4478E" w:rsidRPr="000301BB">
        <w:rPr>
          <w:color w:val="000000"/>
        </w:rPr>
        <w:t>100 mg/day</w:t>
      </w:r>
      <w:r w:rsidR="00731F18" w:rsidRPr="000301BB">
        <w:rPr>
          <w:color w:val="000000"/>
        </w:rPr>
        <w:t xml:space="preserve"> clinical dose</w:t>
      </w:r>
      <w:r w:rsidR="00D4478E" w:rsidRPr="000301BB">
        <w:rPr>
          <w:color w:val="000000"/>
        </w:rPr>
        <w:t>.</w:t>
      </w:r>
      <w:r w:rsidRPr="000301BB">
        <w:rPr>
          <w:color w:val="000000"/>
        </w:rPr>
        <w:t xml:space="preserve"> </w:t>
      </w:r>
      <w:r w:rsidR="00D4478E" w:rsidRPr="000301BB">
        <w:rPr>
          <w:color w:val="000000"/>
        </w:rPr>
        <w:t xml:space="preserve"> </w:t>
      </w:r>
      <w:r w:rsidRPr="000301BB">
        <w:rPr>
          <w:color w:val="000000"/>
        </w:rPr>
        <w:t xml:space="preserve">The no-observed effect level for induction of hepatic neoplasia was 150 mg/kg/day, </w:t>
      </w:r>
      <w:r w:rsidR="00D4478E" w:rsidRPr="000301BB">
        <w:rPr>
          <w:color w:val="000000"/>
        </w:rPr>
        <w:t xml:space="preserve">producing exposure </w:t>
      </w:r>
      <w:r w:rsidRPr="000301BB">
        <w:rPr>
          <w:color w:val="000000"/>
        </w:rPr>
        <w:t>approximately 19</w:t>
      </w:r>
      <w:r w:rsidRPr="000301BB">
        <w:rPr>
          <w:color w:val="000000"/>
        </w:rPr>
        <w:noBreakHyphen/>
        <w:t xml:space="preserve">fold </w:t>
      </w:r>
      <w:r w:rsidR="00D4478E" w:rsidRPr="000301BB">
        <w:rPr>
          <w:color w:val="000000"/>
        </w:rPr>
        <w:t xml:space="preserve">higher than </w:t>
      </w:r>
      <w:r w:rsidRPr="000301BB">
        <w:rPr>
          <w:color w:val="000000"/>
        </w:rPr>
        <w:t>the human exposure at the 100 mg</w:t>
      </w:r>
      <w:r w:rsidR="00D4478E" w:rsidRPr="000301BB">
        <w:rPr>
          <w:color w:val="000000"/>
        </w:rPr>
        <w:t>/day clinical</w:t>
      </w:r>
      <w:r w:rsidRPr="000301BB">
        <w:rPr>
          <w:color w:val="000000"/>
        </w:rPr>
        <w:t xml:space="preserve"> dose. </w:t>
      </w:r>
      <w:r w:rsidR="00D4478E" w:rsidRPr="000301BB">
        <w:rPr>
          <w:color w:val="000000"/>
        </w:rPr>
        <w:t xml:space="preserve"> The</w:t>
      </w:r>
      <w:r w:rsidRPr="000301BB">
        <w:rPr>
          <w:color w:val="000000"/>
        </w:rPr>
        <w:t xml:space="preserve"> increased incidence of hepatic tumours in rats was likely secondary to chronic hepatic toxicity at this high dose.</w:t>
      </w:r>
      <w:r w:rsidR="00D4478E" w:rsidRPr="000301BB">
        <w:rPr>
          <w:color w:val="000000"/>
        </w:rPr>
        <w:t xml:space="preserve"> </w:t>
      </w:r>
      <w:r w:rsidRPr="000301BB">
        <w:rPr>
          <w:color w:val="000000"/>
        </w:rPr>
        <w:t xml:space="preserve"> The clinical significance of these findings for humans is unknown.</w:t>
      </w:r>
    </w:p>
    <w:p w:rsidR="00834186" w:rsidRPr="000301BB" w:rsidRDefault="00D4478E" w:rsidP="009E55B6">
      <w:pPr>
        <w:spacing w:after="100" w:afterAutospacing="1"/>
      </w:pPr>
      <w:r w:rsidRPr="000301BB">
        <w:t>In a</w:t>
      </w:r>
      <w:r w:rsidR="00834186" w:rsidRPr="000301BB">
        <w:t xml:space="preserve"> two-year carcinogenicity study conducted in mice</w:t>
      </w:r>
      <w:r w:rsidRPr="000301BB">
        <w:t>,</w:t>
      </w:r>
      <w:r w:rsidR="00834186" w:rsidRPr="000301BB">
        <w:t xml:space="preserve"> </w:t>
      </w:r>
      <w:r w:rsidRPr="000301BB">
        <w:t>s</w:t>
      </w:r>
      <w:r w:rsidR="00834186" w:rsidRPr="000301BB">
        <w:t xml:space="preserve">itagliptin did not increase tumour incidence at </w:t>
      </w:r>
      <w:r w:rsidRPr="000301BB">
        <w:t xml:space="preserve">oral </w:t>
      </w:r>
      <w:r w:rsidR="00834186" w:rsidRPr="000301BB">
        <w:t xml:space="preserve">doses up to 500 mg/kg/day (approximately 68 times the human exposure </w:t>
      </w:r>
      <w:r w:rsidRPr="000301BB">
        <w:t>at the clinical</w:t>
      </w:r>
      <w:r w:rsidR="00834186" w:rsidRPr="000301BB">
        <w:t xml:space="preserve"> dose of 100 mg/day).</w:t>
      </w:r>
    </w:p>
    <w:p w:rsidR="00834186" w:rsidRPr="000301BB" w:rsidRDefault="00834186" w:rsidP="009E55B6">
      <w:pPr>
        <w:pStyle w:val="Heading4"/>
      </w:pPr>
      <w:r w:rsidRPr="000301BB">
        <w:t>Simvastatin</w:t>
      </w:r>
    </w:p>
    <w:p w:rsidR="00834186" w:rsidRPr="000301BB" w:rsidRDefault="00144661" w:rsidP="00834186">
      <w:pPr>
        <w:ind w:right="43"/>
      </w:pPr>
      <w:r w:rsidRPr="000301BB">
        <w:t>C</w:t>
      </w:r>
      <w:r w:rsidR="00834186" w:rsidRPr="000301BB">
        <w:t>arcinogenicity studies</w:t>
      </w:r>
      <w:r w:rsidRPr="000301BB">
        <w:t xml:space="preserve"> have been</w:t>
      </w:r>
      <w:r w:rsidR="00834186" w:rsidRPr="000301BB">
        <w:t xml:space="preserve"> conducted in mice </w:t>
      </w:r>
      <w:r w:rsidRPr="000301BB">
        <w:t>at oral</w:t>
      </w:r>
      <w:r w:rsidR="00834186" w:rsidRPr="000301BB">
        <w:t xml:space="preserve"> doses ranging from 1 to </w:t>
      </w:r>
      <w:r w:rsidRPr="000301BB">
        <w:t>400</w:t>
      </w:r>
      <w:r w:rsidR="00834186" w:rsidRPr="000301BB">
        <w:t> mg/kg/day</w:t>
      </w:r>
      <w:r w:rsidR="002C27F5" w:rsidRPr="000301BB">
        <w:t xml:space="preserve"> and in rats at doses of 1 to 100 mg/kg/day</w:t>
      </w:r>
      <w:r w:rsidR="00834186" w:rsidRPr="000301BB">
        <w:t xml:space="preserve">. </w:t>
      </w:r>
      <w:r w:rsidRPr="000301BB">
        <w:t xml:space="preserve"> </w:t>
      </w:r>
      <w:r w:rsidR="004F34E6" w:rsidRPr="000301BB">
        <w:t>H</w:t>
      </w:r>
      <w:r w:rsidR="00834186" w:rsidRPr="000301BB">
        <w:t>epatocellular adenomas and carcinomas</w:t>
      </w:r>
      <w:r w:rsidR="004F34E6" w:rsidRPr="000301BB">
        <w:t xml:space="preserve"> were observed in both sexes of both species at doses greater than 25 mg/kg/day.  Plasma </w:t>
      </w:r>
      <w:r w:rsidR="00B322A3" w:rsidRPr="000301BB">
        <w:t>simvastatin</w:t>
      </w:r>
      <w:r w:rsidR="004F34E6" w:rsidRPr="000301BB">
        <w:t xml:space="preserve"> levels in rats at this no-effect dose level, expressed as the AUC for enzyme inhibitory activity, were 3 to 11 times greater than in humans at the maximum recommended dose of simvastatin whereas serum levels at the no-effect level in mice were similar to those in humans.  Additional findings in mice were increased incidences of</w:t>
      </w:r>
      <w:r w:rsidR="00834186" w:rsidRPr="000301BB">
        <w:t xml:space="preserve"> pulmonary adenomas </w:t>
      </w:r>
      <w:r w:rsidR="004F34E6" w:rsidRPr="000301BB">
        <w:t xml:space="preserve">at doses greater than 25 mg/kg/day, </w:t>
      </w:r>
      <w:r w:rsidR="00834186" w:rsidRPr="000301BB">
        <w:t xml:space="preserve">and </w:t>
      </w:r>
      <w:r w:rsidR="004F34E6" w:rsidRPr="000301BB">
        <w:t>of H</w:t>
      </w:r>
      <w:r w:rsidR="00834186" w:rsidRPr="000301BB">
        <w:t>arderian gland adenomas</w:t>
      </w:r>
      <w:r w:rsidR="004F34E6" w:rsidRPr="000301BB">
        <w:t xml:space="preserve"> at 400 mg/kg/day</w:t>
      </w:r>
      <w:r w:rsidR="00834186" w:rsidRPr="000301BB">
        <w:t>.</w:t>
      </w:r>
      <w:r w:rsidR="00BF5027" w:rsidRPr="000301BB">
        <w:t xml:space="preserve"> </w:t>
      </w:r>
      <w:r w:rsidR="004F34E6" w:rsidRPr="000301BB">
        <w:t xml:space="preserve"> In rats, the incidence of thyroid follicular adenoma was increased in females at dose</w:t>
      </w:r>
      <w:r w:rsidR="00BF5027" w:rsidRPr="000301BB">
        <w:t>s</w:t>
      </w:r>
      <w:r w:rsidR="004F34E6" w:rsidRPr="000301BB">
        <w:t xml:space="preserve"> greater than 5 mg/kg/day and in males at doses greater than 25 mg/kg/day.  These thyroid tumours were associated with focal cystic follicular hyperplasia, and may be a secondary effect reflective of a simvastatin-mediated enhancement of thyroid hormone clearance by the liver.</w:t>
      </w:r>
    </w:p>
    <w:p w:rsidR="00AA3502" w:rsidRPr="000301BB" w:rsidRDefault="00054194" w:rsidP="009E55B6">
      <w:pPr>
        <w:pStyle w:val="Heading3"/>
        <w:spacing w:after="0" w:afterAutospacing="0"/>
      </w:pPr>
      <w:r w:rsidRPr="000301BB">
        <w:t>Effect on L</w:t>
      </w:r>
      <w:r w:rsidR="00AA3502" w:rsidRPr="000301BB">
        <w:t xml:space="preserve">aboratory </w:t>
      </w:r>
      <w:r w:rsidRPr="000301BB">
        <w:t>T</w:t>
      </w:r>
      <w:r w:rsidR="00AA3502" w:rsidRPr="000301BB">
        <w:t>ests</w:t>
      </w:r>
    </w:p>
    <w:p w:rsidR="004163E7" w:rsidRPr="000301BB" w:rsidRDefault="004163E7" w:rsidP="009E55B6">
      <w:pPr>
        <w:spacing w:before="100" w:beforeAutospacing="1" w:after="100" w:afterAutospacing="1"/>
        <w:rPr>
          <w:noProof/>
        </w:rPr>
      </w:pPr>
      <w:bookmarkStart w:id="12" w:name="OLE_LINK12"/>
      <w:r w:rsidRPr="000301BB">
        <w:rPr>
          <w:bCs w:val="0"/>
          <w:noProof/>
        </w:rPr>
        <w:t xml:space="preserve">The incidence of laboratory adverse experiences was similar in patients treated with </w:t>
      </w:r>
      <w:r w:rsidRPr="000301BB">
        <w:rPr>
          <w:b/>
          <w:bCs w:val="0"/>
          <w:i/>
          <w:noProof/>
        </w:rPr>
        <w:t>sitagliptin</w:t>
      </w:r>
      <w:r w:rsidRPr="000301BB">
        <w:rPr>
          <w:bCs w:val="0"/>
          <w:noProof/>
        </w:rPr>
        <w:t xml:space="preserve"> </w:t>
      </w:r>
      <w:r w:rsidRPr="000301BB">
        <w:rPr>
          <w:noProof/>
        </w:rPr>
        <w:t xml:space="preserve">100 mg </w:t>
      </w:r>
      <w:r w:rsidRPr="000301BB">
        <w:rPr>
          <w:bCs w:val="0"/>
          <w:noProof/>
        </w:rPr>
        <w:t xml:space="preserve">compared to patients treated with placebo. </w:t>
      </w:r>
      <w:r w:rsidR="002505A8" w:rsidRPr="000301BB">
        <w:rPr>
          <w:bCs w:val="0"/>
          <w:noProof/>
        </w:rPr>
        <w:t xml:space="preserve"> </w:t>
      </w:r>
      <w:r w:rsidRPr="000301BB">
        <w:rPr>
          <w:noProof/>
        </w:rPr>
        <w:t xml:space="preserve">Across clinical studies, a small increase in white blood cell count (approximately 200 cells/microL difference in WBC </w:t>
      </w:r>
      <w:r w:rsidRPr="000301BB">
        <w:rPr>
          <w:noProof/>
        </w:rPr>
        <w:lastRenderedPageBreak/>
        <w:t>vs placebo; mean baseline WBC approximately 6</w:t>
      </w:r>
      <w:r w:rsidR="0083174B" w:rsidRPr="000301BB">
        <w:rPr>
          <w:noProof/>
        </w:rPr>
        <w:t>,</w:t>
      </w:r>
      <w:r w:rsidRPr="000301BB">
        <w:rPr>
          <w:noProof/>
        </w:rPr>
        <w:t xml:space="preserve">600 cells/microL) was observed due to an increase in neutrophils. </w:t>
      </w:r>
      <w:r w:rsidR="002505A8" w:rsidRPr="000301BB">
        <w:rPr>
          <w:noProof/>
        </w:rPr>
        <w:t xml:space="preserve"> </w:t>
      </w:r>
      <w:r w:rsidRPr="000301BB">
        <w:rPr>
          <w:noProof/>
        </w:rPr>
        <w:t xml:space="preserve">This observation was seen in most but not all studies. </w:t>
      </w:r>
      <w:r w:rsidR="002505A8" w:rsidRPr="000301BB">
        <w:rPr>
          <w:noProof/>
        </w:rPr>
        <w:t xml:space="preserve"> </w:t>
      </w:r>
      <w:r w:rsidRPr="000301BB">
        <w:rPr>
          <w:noProof/>
        </w:rPr>
        <w:t>This change in laboratory parameters is not considered to be clinically relevant.</w:t>
      </w:r>
      <w:bookmarkEnd w:id="12"/>
    </w:p>
    <w:p w:rsidR="004163E7" w:rsidRPr="000301BB" w:rsidRDefault="004163E7" w:rsidP="009E55B6">
      <w:pPr>
        <w:spacing w:before="100" w:beforeAutospacing="1" w:after="100" w:afterAutospacing="1"/>
      </w:pPr>
      <w:r w:rsidRPr="000301BB">
        <w:t xml:space="preserve">Marked and persistent increases of serum transaminases have been reported infrequently with use of </w:t>
      </w:r>
      <w:r w:rsidRPr="000301BB">
        <w:rPr>
          <w:b/>
          <w:i/>
        </w:rPr>
        <w:t>simvastatin</w:t>
      </w:r>
      <w:r w:rsidRPr="000301BB">
        <w:t xml:space="preserve">. </w:t>
      </w:r>
      <w:r w:rsidR="00B31544" w:rsidRPr="000301BB">
        <w:t xml:space="preserve"> </w:t>
      </w:r>
      <w:r w:rsidRPr="000301BB">
        <w:t xml:space="preserve">Elevated alkaline phosphatase </w:t>
      </w:r>
      <w:r w:rsidR="00305A95" w:rsidRPr="000301BB">
        <w:t xml:space="preserve">(ALP) </w:t>
      </w:r>
      <w:r w:rsidRPr="000301BB">
        <w:t xml:space="preserve">and </w:t>
      </w:r>
      <w:r w:rsidRPr="000301BB">
        <w:sym w:font="Symbol" w:char="F067"/>
      </w:r>
      <w:r w:rsidRPr="000301BB">
        <w:t xml:space="preserve">-glutamyl transpeptidase </w:t>
      </w:r>
      <w:r w:rsidR="00305A95" w:rsidRPr="000301BB">
        <w:t xml:space="preserve">(GGT) </w:t>
      </w:r>
      <w:r w:rsidRPr="000301BB">
        <w:t xml:space="preserve">have been reported. </w:t>
      </w:r>
      <w:r w:rsidR="00B31544" w:rsidRPr="000301BB">
        <w:t xml:space="preserve"> </w:t>
      </w:r>
      <w:r w:rsidR="0010336E" w:rsidRPr="000301BB">
        <w:t>LFT</w:t>
      </w:r>
      <w:r w:rsidRPr="000301BB">
        <w:t xml:space="preserve"> abnormalities generally have been mild and transient.</w:t>
      </w:r>
      <w:r w:rsidR="00B6480E" w:rsidRPr="000301BB">
        <w:t xml:space="preserve"> </w:t>
      </w:r>
      <w:r w:rsidRPr="000301BB">
        <w:t xml:space="preserve"> Increases in serum CK levels, derived from skeletal muscle, have been reported (see </w:t>
      </w:r>
      <w:r w:rsidRPr="000301BB">
        <w:rPr>
          <w:b/>
          <w:bCs w:val="0"/>
        </w:rPr>
        <w:t>PRECAUTIONS</w:t>
      </w:r>
      <w:r w:rsidRPr="000301BB">
        <w:t xml:space="preserve">, </w:t>
      </w:r>
      <w:r w:rsidRPr="000301BB">
        <w:rPr>
          <w:i/>
          <w:iCs/>
        </w:rPr>
        <w:t>Myopathy/Rhabdomyolysis</w:t>
      </w:r>
      <w:r w:rsidRPr="000301BB">
        <w:t>).</w:t>
      </w:r>
      <w:r w:rsidR="00303A65" w:rsidRPr="000301BB">
        <w:t xml:space="preserve">  Increases in HbA</w:t>
      </w:r>
      <w:r w:rsidR="00303A65" w:rsidRPr="000301BB">
        <w:rPr>
          <w:vertAlign w:val="subscript"/>
        </w:rPr>
        <w:t>1c</w:t>
      </w:r>
      <w:r w:rsidR="00303A65" w:rsidRPr="000301BB">
        <w:t xml:space="preserve"> and fasting serum glucose levels have been reported with statins, including simvast</w:t>
      </w:r>
      <w:r w:rsidR="00040BA1" w:rsidRPr="000301BB">
        <w:t>at</w:t>
      </w:r>
      <w:r w:rsidR="00303A65" w:rsidRPr="000301BB">
        <w:t>in.</w:t>
      </w:r>
    </w:p>
    <w:p w:rsidR="00B318B5" w:rsidRPr="000301BB" w:rsidRDefault="00B318B5" w:rsidP="009E55B6">
      <w:pPr>
        <w:pStyle w:val="Heading2"/>
      </w:pPr>
      <w:r w:rsidRPr="000301BB">
        <w:t>Interactions with other medicines</w:t>
      </w:r>
    </w:p>
    <w:p w:rsidR="007E54E6" w:rsidRPr="000301BB" w:rsidRDefault="007E54E6" w:rsidP="009E55B6">
      <w:pPr>
        <w:pStyle w:val="Heading3"/>
        <w:spacing w:after="0" w:afterAutospacing="0"/>
      </w:pPr>
      <w:r w:rsidRPr="000301BB">
        <w:t>Sitagliptin and simvastatin</w:t>
      </w:r>
    </w:p>
    <w:p w:rsidR="007E54E6" w:rsidRPr="000301BB" w:rsidRDefault="007E54E6" w:rsidP="009E55B6">
      <w:pPr>
        <w:spacing w:after="100" w:afterAutospacing="1"/>
        <w:rPr>
          <w:bCs w:val="0"/>
        </w:rPr>
      </w:pPr>
      <w:r w:rsidRPr="000301BB">
        <w:rPr>
          <w:bCs w:val="0"/>
        </w:rPr>
        <w:t xml:space="preserve">The results of bioequivalence studies in healthy subjects demonstrated that </w:t>
      </w:r>
      <w:r w:rsidRPr="000301BB">
        <w:rPr>
          <w:iCs/>
        </w:rPr>
        <w:t>JUVICOR</w:t>
      </w:r>
      <w:r w:rsidRPr="000301BB">
        <w:t xml:space="preserve"> </w:t>
      </w:r>
      <w:r w:rsidRPr="000301BB">
        <w:rPr>
          <w:bCs w:val="0"/>
        </w:rPr>
        <w:t>(sitagliptin and simvastatin) is bioequivalent to co</w:t>
      </w:r>
      <w:r w:rsidR="00325730" w:rsidRPr="000301BB">
        <w:rPr>
          <w:bCs w:val="0"/>
        </w:rPr>
        <w:t>-</w:t>
      </w:r>
      <w:r w:rsidRPr="000301BB">
        <w:rPr>
          <w:bCs w:val="0"/>
        </w:rPr>
        <w:t>administration of sitagliptin (JANUVIA</w:t>
      </w:r>
      <w:r w:rsidR="00C05C17" w:rsidRPr="000301BB">
        <w:rPr>
          <w:b/>
          <w:bCs w:val="0"/>
          <w:vertAlign w:val="superscript"/>
        </w:rPr>
        <w:t>®</w:t>
      </w:r>
      <w:r w:rsidRPr="000301BB">
        <w:rPr>
          <w:bCs w:val="0"/>
        </w:rPr>
        <w:t>) and simvastatin (ZOCOR</w:t>
      </w:r>
      <w:r w:rsidR="00C05C17" w:rsidRPr="000301BB">
        <w:rPr>
          <w:b/>
          <w:bCs w:val="0"/>
          <w:vertAlign w:val="superscript"/>
        </w:rPr>
        <w:t>®</w:t>
      </w:r>
      <w:r w:rsidRPr="000301BB">
        <w:rPr>
          <w:bCs w:val="0"/>
        </w:rPr>
        <w:t>) as individual tablets.</w:t>
      </w:r>
    </w:p>
    <w:p w:rsidR="007E54E6" w:rsidRPr="000301BB" w:rsidRDefault="007E54E6" w:rsidP="009E55B6">
      <w:pPr>
        <w:spacing w:after="100" w:afterAutospacing="1"/>
        <w:rPr>
          <w:bCs w:val="0"/>
        </w:rPr>
      </w:pPr>
      <w:r w:rsidRPr="000301BB">
        <w:rPr>
          <w:bCs w:val="0"/>
        </w:rPr>
        <w:t>Sitagliptin and simvastatin do not have a clinically meaningful pharmacokinetic interaction.</w:t>
      </w:r>
    </w:p>
    <w:p w:rsidR="00EA1BD3" w:rsidRPr="000301BB" w:rsidRDefault="00EA1BD3" w:rsidP="009E55B6">
      <w:pPr>
        <w:pStyle w:val="Heading4"/>
      </w:pPr>
      <w:r w:rsidRPr="000301BB">
        <w:t>Digoxin</w:t>
      </w:r>
    </w:p>
    <w:p w:rsidR="00EA1BD3" w:rsidRPr="000301BB" w:rsidRDefault="007E54E6" w:rsidP="007E54E6">
      <w:r w:rsidRPr="000301BB">
        <w:t xml:space="preserve">There was an increase in the AUC </w:t>
      </w:r>
      <w:r w:rsidR="009F0B44" w:rsidRPr="000301BB">
        <w:t>(</w:t>
      </w:r>
      <w:r w:rsidRPr="000301BB">
        <w:t>26%) and C</w:t>
      </w:r>
      <w:r w:rsidRPr="000301BB">
        <w:rPr>
          <w:vertAlign w:val="subscript"/>
        </w:rPr>
        <w:t>max</w:t>
      </w:r>
      <w:r w:rsidRPr="000301BB">
        <w:t xml:space="preserve"> </w:t>
      </w:r>
      <w:r w:rsidR="009F0B44" w:rsidRPr="000301BB">
        <w:t>(</w:t>
      </w:r>
      <w:r w:rsidRPr="000301BB">
        <w:t>41%) of digoxin with the co</w:t>
      </w:r>
      <w:r w:rsidR="00325730" w:rsidRPr="000301BB">
        <w:t>-</w:t>
      </w:r>
      <w:r w:rsidRPr="000301BB">
        <w:t xml:space="preserve">administration of 100 mg sitagliptin and 80 mg simvastatin for 5 days. </w:t>
      </w:r>
      <w:r w:rsidR="00C365A1" w:rsidRPr="000301BB">
        <w:t xml:space="preserve"> </w:t>
      </w:r>
      <w:r w:rsidRPr="000301BB">
        <w:t xml:space="preserve">These increases are not considered to be clinically meaningful. </w:t>
      </w:r>
      <w:r w:rsidR="00C365A1" w:rsidRPr="000301BB">
        <w:t xml:space="preserve"> </w:t>
      </w:r>
      <w:r w:rsidRPr="000301BB">
        <w:t xml:space="preserve">No dosage adjustment of </w:t>
      </w:r>
      <w:r w:rsidRPr="000301BB">
        <w:rPr>
          <w:iCs/>
        </w:rPr>
        <w:t>JUVICOR</w:t>
      </w:r>
      <w:r w:rsidRPr="000301BB">
        <w:t xml:space="preserve"> is recommended</w:t>
      </w:r>
      <w:r w:rsidR="00EA1BD3" w:rsidRPr="000301BB">
        <w:t>,</w:t>
      </w:r>
      <w:r w:rsidR="00C365A1" w:rsidRPr="000301BB">
        <w:t xml:space="preserve"> </w:t>
      </w:r>
      <w:r w:rsidR="00EA1BD3" w:rsidRPr="000301BB">
        <w:t>but</w:t>
      </w:r>
      <w:r w:rsidRPr="000301BB">
        <w:t xml:space="preserve"> </w:t>
      </w:r>
      <w:r w:rsidR="00EA1BD3" w:rsidRPr="000301BB">
        <w:t>p</w:t>
      </w:r>
      <w:r w:rsidRPr="000301BB">
        <w:t>atients receiving digoxin should be monitored appropriately</w:t>
      </w:r>
      <w:r w:rsidR="00EA1BD3" w:rsidRPr="000301BB">
        <w:t xml:space="preserve"> and the dosage adjusted if necessary</w:t>
      </w:r>
      <w:r w:rsidRPr="000301BB">
        <w:t>.</w:t>
      </w:r>
    </w:p>
    <w:p w:rsidR="007E54E6" w:rsidRPr="000301BB" w:rsidRDefault="007E54E6" w:rsidP="009E55B6">
      <w:pPr>
        <w:spacing w:before="100" w:beforeAutospacing="1" w:after="100" w:afterAutospacing="1"/>
      </w:pPr>
      <w:r w:rsidRPr="000301BB">
        <w:t xml:space="preserve">Pharmacokinetic interaction studies involving </w:t>
      </w:r>
      <w:r w:rsidRPr="000301BB">
        <w:rPr>
          <w:iCs/>
        </w:rPr>
        <w:t>JUVICOR</w:t>
      </w:r>
      <w:r w:rsidRPr="000301BB">
        <w:t xml:space="preserve"> and medications other than digoxin have not been performed; however, such studies have been conducted with the individual components of </w:t>
      </w:r>
      <w:r w:rsidRPr="000301BB">
        <w:rPr>
          <w:iCs/>
        </w:rPr>
        <w:t>JUVICOR</w:t>
      </w:r>
      <w:r w:rsidRPr="000301BB">
        <w:t>, sitagliptin and simvastatin.</w:t>
      </w:r>
    </w:p>
    <w:p w:rsidR="007E54E6" w:rsidRPr="000301BB" w:rsidRDefault="007E54E6" w:rsidP="009E55B6">
      <w:pPr>
        <w:pStyle w:val="Heading3"/>
        <w:spacing w:after="0" w:afterAutospacing="0"/>
      </w:pPr>
      <w:r w:rsidRPr="000301BB">
        <w:t>Sitagliptin</w:t>
      </w:r>
    </w:p>
    <w:p w:rsidR="007E54E6" w:rsidRPr="000301BB" w:rsidRDefault="008237EF" w:rsidP="007E54E6">
      <w:r w:rsidRPr="000301BB">
        <w:t>S</w:t>
      </w:r>
      <w:r w:rsidR="007E54E6" w:rsidRPr="000301BB">
        <w:rPr>
          <w:bCs w:val="0"/>
        </w:rPr>
        <w:t xml:space="preserve">itagliptin </w:t>
      </w:r>
      <w:r w:rsidRPr="000301BB">
        <w:rPr>
          <w:bCs w:val="0"/>
        </w:rPr>
        <w:t xml:space="preserve">is </w:t>
      </w:r>
      <w:r w:rsidR="007E54E6" w:rsidRPr="000301BB">
        <w:rPr>
          <w:bCs w:val="0"/>
        </w:rPr>
        <w:t xml:space="preserve">not </w:t>
      </w:r>
      <w:r w:rsidRPr="000301BB">
        <w:rPr>
          <w:bCs w:val="0"/>
        </w:rPr>
        <w:t xml:space="preserve">an </w:t>
      </w:r>
      <w:r w:rsidR="007E54E6" w:rsidRPr="000301BB">
        <w:rPr>
          <w:bCs w:val="0"/>
        </w:rPr>
        <w:t>inhibit</w:t>
      </w:r>
      <w:r w:rsidRPr="000301BB">
        <w:rPr>
          <w:bCs w:val="0"/>
        </w:rPr>
        <w:t>or</w:t>
      </w:r>
      <w:r w:rsidR="007E54E6" w:rsidRPr="000301BB">
        <w:rPr>
          <w:bCs w:val="0"/>
        </w:rPr>
        <w:t xml:space="preserve"> </w:t>
      </w:r>
      <w:r w:rsidRPr="000301BB">
        <w:rPr>
          <w:bCs w:val="0"/>
        </w:rPr>
        <w:t xml:space="preserve">of </w:t>
      </w:r>
      <w:r w:rsidR="007E54E6" w:rsidRPr="000301BB">
        <w:rPr>
          <w:bCs w:val="0"/>
        </w:rPr>
        <w:t>CYP isozymes CYP3A4, 2C8, 2C9</w:t>
      </w:r>
      <w:r w:rsidRPr="000301BB">
        <w:rPr>
          <w:bCs w:val="0"/>
        </w:rPr>
        <w:t>,</w:t>
      </w:r>
      <w:r w:rsidR="007E54E6" w:rsidRPr="000301BB">
        <w:rPr>
          <w:bCs w:val="0"/>
        </w:rPr>
        <w:t xml:space="preserve"> 2D6, 1A2, 2C19 or 2B6</w:t>
      </w:r>
      <w:r w:rsidRPr="000301BB">
        <w:rPr>
          <w:bCs w:val="0"/>
        </w:rPr>
        <w:t>, and is not an</w:t>
      </w:r>
      <w:r w:rsidR="007E54E6" w:rsidRPr="000301BB">
        <w:rPr>
          <w:bCs w:val="0"/>
        </w:rPr>
        <w:t xml:space="preserve"> induce</w:t>
      </w:r>
      <w:r w:rsidRPr="000301BB">
        <w:rPr>
          <w:bCs w:val="0"/>
        </w:rPr>
        <w:t>r of</w:t>
      </w:r>
      <w:r w:rsidR="007E54E6" w:rsidRPr="000301BB">
        <w:rPr>
          <w:bCs w:val="0"/>
        </w:rPr>
        <w:t xml:space="preserve"> CYP3A4.</w:t>
      </w:r>
      <w:r w:rsidRPr="000301BB">
        <w:rPr>
          <w:bCs w:val="0"/>
        </w:rPr>
        <w:t xml:space="preserve">  </w:t>
      </w:r>
      <w:r w:rsidRPr="000301BB">
        <w:t xml:space="preserve">Sitagliptin is a p-glycoprotein substrate, but does not inhibit p-glycoprotein mediated transport of digoxin. </w:t>
      </w:r>
      <w:r w:rsidR="00BC3D0C" w:rsidRPr="000301BB">
        <w:t xml:space="preserve"> </w:t>
      </w:r>
      <w:r w:rsidRPr="000301BB">
        <w:t xml:space="preserve">Based on these results, sitagliptin is considered unlikely to cause interactions with other </w:t>
      </w:r>
      <w:r w:rsidR="00B322A3" w:rsidRPr="000301BB">
        <w:t>medicine</w:t>
      </w:r>
      <w:r w:rsidRPr="000301BB">
        <w:t xml:space="preserve">s that utilise these pathways.  Sitagliptin is not extensively bound to plasma proteins. </w:t>
      </w:r>
      <w:r w:rsidR="00D37D98" w:rsidRPr="000301BB">
        <w:t xml:space="preserve"> </w:t>
      </w:r>
      <w:r w:rsidRPr="000301BB">
        <w:t xml:space="preserve">Therefore, the propensity of sitagliptin to be involved in clinically meaningful </w:t>
      </w:r>
      <w:r w:rsidR="00B322A3" w:rsidRPr="000301BB">
        <w:t>medicine</w:t>
      </w:r>
      <w:r w:rsidRPr="000301BB">
        <w:t>-</w:t>
      </w:r>
      <w:r w:rsidR="00B322A3" w:rsidRPr="000301BB">
        <w:t>medicine</w:t>
      </w:r>
      <w:r w:rsidRPr="000301BB">
        <w:t xml:space="preserve"> interactions mediated by plasma protein binding displacement is very low.</w:t>
      </w:r>
    </w:p>
    <w:p w:rsidR="00493337" w:rsidRPr="000301BB" w:rsidRDefault="00493337" w:rsidP="009E55B6">
      <w:pPr>
        <w:spacing w:before="100" w:beforeAutospacing="1" w:after="100" w:afterAutospacing="1"/>
        <w:rPr>
          <w:bCs w:val="0"/>
        </w:rPr>
      </w:pPr>
      <w:r w:rsidRPr="000301BB">
        <w:rPr>
          <w:bCs w:val="0"/>
        </w:rPr>
        <w:t xml:space="preserve">In clinical studies, as described below, sitagliptin did not meaningfully alter the pharmacokinetics of metformin, glibenclamide, simvastatin, rosiglitazone, warfarin, or oral contraceptives, providing </w:t>
      </w:r>
      <w:r w:rsidRPr="000301BB">
        <w:rPr>
          <w:bCs w:val="0"/>
          <w:i/>
        </w:rPr>
        <w:t>in vivo</w:t>
      </w:r>
      <w:r w:rsidRPr="000301BB">
        <w:rPr>
          <w:bCs w:val="0"/>
        </w:rPr>
        <w:t xml:space="preserve"> evidence of a low propensity for causing interactions with </w:t>
      </w:r>
      <w:r w:rsidR="00C255D1" w:rsidRPr="000301BB">
        <w:rPr>
          <w:bCs w:val="0"/>
        </w:rPr>
        <w:t>medicine</w:t>
      </w:r>
      <w:r w:rsidR="00B322A3" w:rsidRPr="000301BB">
        <w:rPr>
          <w:bCs w:val="0"/>
        </w:rPr>
        <w:t xml:space="preserve">s that are </w:t>
      </w:r>
      <w:r w:rsidRPr="000301BB">
        <w:rPr>
          <w:bCs w:val="0"/>
        </w:rPr>
        <w:t xml:space="preserve">substrates of CYP3A4, CYP2C8, CYP2C9, and organic cationic transporter (OCT).  </w:t>
      </w:r>
    </w:p>
    <w:p w:rsidR="00493337" w:rsidRPr="000301BB" w:rsidRDefault="00493337" w:rsidP="00493337">
      <w:pPr>
        <w:pStyle w:val="StyleListBullet10pt"/>
      </w:pPr>
      <w:r w:rsidRPr="000301BB">
        <w:rPr>
          <w:i/>
        </w:rPr>
        <w:t>Metformin:</w:t>
      </w:r>
      <w:r w:rsidRPr="000301BB">
        <w:t xml:space="preserve"> Co-administration of multiple twice-daily doses of sitagliptin with metformin, an OCT substrate, did not meaningfully alter the pharmacokinetics</w:t>
      </w:r>
      <w:r w:rsidR="000A7D4C" w:rsidRPr="000301BB">
        <w:t xml:space="preserve"> of metformin in patients with </w:t>
      </w:r>
      <w:r w:rsidR="00897CEA" w:rsidRPr="000301BB">
        <w:t>type 2</w:t>
      </w:r>
      <w:r w:rsidRPr="000301BB">
        <w:t xml:space="preserve"> diabetes. </w:t>
      </w:r>
      <w:r w:rsidR="004562B0" w:rsidRPr="000301BB">
        <w:t xml:space="preserve"> </w:t>
      </w:r>
      <w:r w:rsidRPr="000301BB">
        <w:t>Therefore, sitagliptin is not an inhibitor of OCT-mediated transport.</w:t>
      </w:r>
    </w:p>
    <w:p w:rsidR="00493337" w:rsidRPr="000301BB" w:rsidRDefault="00493337" w:rsidP="00493337">
      <w:pPr>
        <w:pStyle w:val="StyleListBullet10pt"/>
      </w:pPr>
      <w:r w:rsidRPr="000301BB">
        <w:rPr>
          <w:i/>
        </w:rPr>
        <w:lastRenderedPageBreak/>
        <w:t>Sulfonylureas:</w:t>
      </w:r>
      <w:r w:rsidRPr="000301BB">
        <w:t xml:space="preserve"> Single-dose pharmacokinetics of glibenclamide, a CYP2C9 substrate, </w:t>
      </w:r>
      <w:proofErr w:type="gramStart"/>
      <w:r w:rsidRPr="000301BB">
        <w:t>were</w:t>
      </w:r>
      <w:proofErr w:type="gramEnd"/>
      <w:r w:rsidRPr="000301BB">
        <w:t xml:space="preserve"> not meaningfully altered in subjects receiving multiple doses of sitagliptin.</w:t>
      </w:r>
      <w:r w:rsidR="004562B0" w:rsidRPr="000301BB">
        <w:t xml:space="preserve"> </w:t>
      </w:r>
      <w:r w:rsidRPr="000301BB">
        <w:t xml:space="preserve"> Clinically meaningful interactions would not be expected with other sulfonylureas (e.g., glipizide, tolbutamide, and glimepiride) which, like glibenclamide, are primarily eliminated by CYP2C9.</w:t>
      </w:r>
    </w:p>
    <w:p w:rsidR="00493337" w:rsidRPr="000301BB" w:rsidRDefault="00493337" w:rsidP="00493337">
      <w:pPr>
        <w:pStyle w:val="StyleListBullet10pt"/>
      </w:pPr>
      <w:r w:rsidRPr="000301BB">
        <w:rPr>
          <w:i/>
        </w:rPr>
        <w:t>Thiazolidinediones:</w:t>
      </w:r>
      <w:r w:rsidRPr="000301BB">
        <w:t xml:space="preserve"> Single-dose pharmacokinetics of rosiglitazone </w:t>
      </w:r>
      <w:proofErr w:type="gramStart"/>
      <w:r w:rsidRPr="000301BB">
        <w:t>were</w:t>
      </w:r>
      <w:proofErr w:type="gramEnd"/>
      <w:r w:rsidRPr="000301BB">
        <w:t xml:space="preserve"> not meaningfully altered in subjects receiving multiple daily doses of sitagliptin. </w:t>
      </w:r>
      <w:bookmarkStart w:id="13" w:name="OLE_LINK21"/>
      <w:r w:rsidR="004562B0" w:rsidRPr="000301BB">
        <w:t xml:space="preserve"> </w:t>
      </w:r>
      <w:r w:rsidRPr="000301BB">
        <w:t>Therefore, sitagliptin is not an inhibitor of CYP2C8-mediated metabolism</w:t>
      </w:r>
      <w:bookmarkEnd w:id="13"/>
      <w:r w:rsidRPr="000301BB">
        <w:t xml:space="preserve">. </w:t>
      </w:r>
      <w:r w:rsidR="004562B0" w:rsidRPr="000301BB">
        <w:t xml:space="preserve"> </w:t>
      </w:r>
      <w:r w:rsidRPr="000301BB">
        <w:t xml:space="preserve">Clinically meaningful interactions with pioglitazone are not expected because pioglitazone predominantly undergoes CYP2C8- or CYP3A4-mediated metabolism. </w:t>
      </w:r>
    </w:p>
    <w:p w:rsidR="00493337" w:rsidRPr="000301BB" w:rsidRDefault="00493337" w:rsidP="00493337">
      <w:pPr>
        <w:pStyle w:val="StyleListBullet10pt"/>
      </w:pPr>
      <w:r w:rsidRPr="000301BB">
        <w:rPr>
          <w:i/>
        </w:rPr>
        <w:t>Warfarin:</w:t>
      </w:r>
      <w:r w:rsidRPr="000301BB">
        <w:t xml:space="preserve"> Multiple daily doses of sitagliptin did not meaningfully alter the pharmacokinetics, as assessed by measurement of </w:t>
      </w:r>
      <w:proofErr w:type="gramStart"/>
      <w:r w:rsidRPr="000301BB">
        <w:t>S(</w:t>
      </w:r>
      <w:proofErr w:type="gramEnd"/>
      <w:r w:rsidRPr="000301BB">
        <w:t xml:space="preserve">-) or R(+) warfarin enantiomers, or pharmacodynamics (as assessed by measurement of prothrombin INR) of a single dose of warfarin. </w:t>
      </w:r>
      <w:r w:rsidR="004562B0" w:rsidRPr="000301BB">
        <w:t xml:space="preserve"> </w:t>
      </w:r>
      <w:r w:rsidRPr="000301BB">
        <w:t xml:space="preserve">Since </w:t>
      </w:r>
      <w:proofErr w:type="gramStart"/>
      <w:r w:rsidRPr="000301BB">
        <w:t>S(</w:t>
      </w:r>
      <w:proofErr w:type="gramEnd"/>
      <w:r w:rsidRPr="000301BB">
        <w:t>-) warfarin is primarily metabolised by CYP2C9, these data also support the conclusion that sitagliptin is not a CYP2C9 inhibitor.</w:t>
      </w:r>
    </w:p>
    <w:p w:rsidR="00493337" w:rsidRPr="000301BB" w:rsidRDefault="00493337" w:rsidP="00493337">
      <w:pPr>
        <w:pStyle w:val="StyleListBullet10pt"/>
      </w:pPr>
      <w:r w:rsidRPr="000301BB">
        <w:rPr>
          <w:i/>
        </w:rPr>
        <w:t>Oral Contraceptives:</w:t>
      </w:r>
      <w:r w:rsidRPr="000301BB">
        <w:t xml:space="preserve"> Co-administration with sitagliptin did not meaningfully alter the steady-state pharmacokinetics of norethindrone or ethinyl </w:t>
      </w:r>
      <w:r w:rsidR="004562B0" w:rsidRPr="000301BB">
        <w:t>o</w:t>
      </w:r>
      <w:r w:rsidRPr="000301BB">
        <w:t xml:space="preserve">estradiol. </w:t>
      </w:r>
    </w:p>
    <w:p w:rsidR="00493337" w:rsidRPr="000301BB" w:rsidRDefault="00493337" w:rsidP="009E55B6">
      <w:pPr>
        <w:spacing w:before="100" w:beforeAutospacing="1" w:after="100" w:afterAutospacing="1"/>
      </w:pPr>
      <w:r w:rsidRPr="000301BB">
        <w:rPr>
          <w:bCs w:val="0"/>
        </w:rPr>
        <w:t>Clinical data described below suggest that sitagliptin is not susceptible to clinically meaningful interactions by co-administered medications:</w:t>
      </w:r>
    </w:p>
    <w:p w:rsidR="007E54E6" w:rsidRPr="000301BB" w:rsidRDefault="000A7D4C" w:rsidP="000A7D4C">
      <w:pPr>
        <w:pStyle w:val="StyleListBullet10pt"/>
      </w:pPr>
      <w:r w:rsidRPr="000301BB">
        <w:rPr>
          <w:i/>
        </w:rPr>
        <w:t xml:space="preserve">Metformin: </w:t>
      </w:r>
      <w:r w:rsidR="007E54E6" w:rsidRPr="000301BB">
        <w:t>Co</w:t>
      </w:r>
      <w:r w:rsidR="00325730" w:rsidRPr="000301BB">
        <w:t>-</w:t>
      </w:r>
      <w:r w:rsidR="007E54E6" w:rsidRPr="000301BB">
        <w:t xml:space="preserve">administration of multiple twice-daily doses of metformin with sitagliptin did not meaningfully alter the pharmacokinetics of sitagliptin in patients with </w:t>
      </w:r>
      <w:r w:rsidR="00897CEA" w:rsidRPr="000301BB">
        <w:t>type 2</w:t>
      </w:r>
      <w:r w:rsidR="007E54E6" w:rsidRPr="000301BB">
        <w:t xml:space="preserve"> diabetes.</w:t>
      </w:r>
    </w:p>
    <w:p w:rsidR="000A7D4C" w:rsidRPr="000301BB" w:rsidRDefault="000A7D4C" w:rsidP="000A7D4C">
      <w:pPr>
        <w:pStyle w:val="StyleListBullet10pt"/>
      </w:pPr>
      <w:r w:rsidRPr="000301BB">
        <w:rPr>
          <w:i/>
        </w:rPr>
        <w:t xml:space="preserve">Cyclosporin: </w:t>
      </w:r>
      <w:r w:rsidRPr="000301BB">
        <w:t>A study was conducted to assess the effect of cyclosporin, a potent inhibitor of p-glycoprotein, on the pharmacokinetics of sitagliptin.  Co</w:t>
      </w:r>
      <w:r w:rsidR="00325730" w:rsidRPr="000301BB">
        <w:t>-</w:t>
      </w:r>
      <w:r w:rsidRPr="000301BB">
        <w:t xml:space="preserve">administration of a single 100 mg oral dose of </w:t>
      </w:r>
      <w:r w:rsidR="006B1203" w:rsidRPr="000301BB">
        <w:t>sitagliptin</w:t>
      </w:r>
      <w:r w:rsidRPr="000301BB">
        <w:t xml:space="preserve"> and a single 600 mg oral dose of cyclosporin increased the AUC and C</w:t>
      </w:r>
      <w:r w:rsidRPr="000301BB">
        <w:rPr>
          <w:vertAlign w:val="subscript"/>
        </w:rPr>
        <w:t>max</w:t>
      </w:r>
      <w:r w:rsidRPr="000301BB">
        <w:t xml:space="preserve"> of sitagliptin by approximately 29% and 68%, respectively.  These modest changes in sitagliptin pharmacokinetics were not considered to be clinically meaningful.  The renal clearance of sitagliptin was also not meaningfully altered.</w:t>
      </w:r>
      <w:r w:rsidRPr="000301BB">
        <w:rPr>
          <w:color w:val="000000"/>
        </w:rPr>
        <w:t xml:space="preserve"> </w:t>
      </w:r>
      <w:r w:rsidRPr="000301BB">
        <w:t>Therefore, meaningful interactions would not be expected with other p-glycoprotein inhibitors.</w:t>
      </w:r>
    </w:p>
    <w:p w:rsidR="007E54E6" w:rsidRPr="000301BB" w:rsidRDefault="007E54E6" w:rsidP="009E55B6">
      <w:pPr>
        <w:spacing w:before="100" w:beforeAutospacing="1" w:after="100" w:afterAutospacing="1"/>
      </w:pPr>
      <w:r w:rsidRPr="000301BB">
        <w:t xml:space="preserve">Population pharmacokinetic analyses have been conducted in patients with </w:t>
      </w:r>
      <w:r w:rsidR="00897CEA" w:rsidRPr="000301BB">
        <w:t>type 2</w:t>
      </w:r>
      <w:r w:rsidRPr="000301BB">
        <w:t xml:space="preserve"> diabetes. </w:t>
      </w:r>
      <w:r w:rsidR="00C365A1" w:rsidRPr="000301BB">
        <w:t xml:space="preserve"> </w:t>
      </w:r>
      <w:r w:rsidRPr="000301BB">
        <w:t>Concomitant medications did not have a clinically meaningful effect on the pharmacokinetics of sitagliptin.</w:t>
      </w:r>
      <w:r w:rsidR="00C365A1" w:rsidRPr="000301BB">
        <w:t xml:space="preserve"> </w:t>
      </w:r>
      <w:r w:rsidRPr="000301BB">
        <w:t xml:space="preserve"> Medications assessed were those that are commonly administered to patients with </w:t>
      </w:r>
      <w:r w:rsidR="00897CEA" w:rsidRPr="000301BB">
        <w:t>type 2</w:t>
      </w:r>
      <w:r w:rsidRPr="000301BB">
        <w:t xml:space="preserve"> diabetes including</w:t>
      </w:r>
      <w:r w:rsidR="006B1203" w:rsidRPr="000301BB">
        <w:t>, but not restricted to,</w:t>
      </w:r>
      <w:r w:rsidRPr="000301BB">
        <w:t xml:space="preserve"> cholesterol-lowering agents (</w:t>
      </w:r>
      <w:r w:rsidR="006B1203" w:rsidRPr="000301BB">
        <w:t>including</w:t>
      </w:r>
      <w:r w:rsidRPr="000301BB">
        <w:t xml:space="preserve"> statins, fibrates, ezetimibe), anti-platelet agents (</w:t>
      </w:r>
      <w:r w:rsidR="006B1203" w:rsidRPr="000301BB">
        <w:t>including</w:t>
      </w:r>
      <w:r w:rsidRPr="000301BB">
        <w:t xml:space="preserve"> clopidogrel), antihypertensives (</w:t>
      </w:r>
      <w:r w:rsidR="006B1203" w:rsidRPr="000301BB">
        <w:t>including</w:t>
      </w:r>
      <w:r w:rsidRPr="000301BB">
        <w:t xml:space="preserve"> ACE inhibitors, angiotensin receptor blockers, beta-blockers, calcium channel blockers, hydrochlorothiazide), analgesics and non-steroidal anti-inflammatory agents (</w:t>
      </w:r>
      <w:r w:rsidR="006B1203" w:rsidRPr="000301BB">
        <w:t>including</w:t>
      </w:r>
      <w:r w:rsidRPr="000301BB">
        <w:t xml:space="preserve"> naproxen, diclofenac, celecoxib), anti-depressants (</w:t>
      </w:r>
      <w:r w:rsidR="006B1203" w:rsidRPr="000301BB">
        <w:t>including</w:t>
      </w:r>
      <w:r w:rsidRPr="000301BB">
        <w:t xml:space="preserve"> bupropion, fluoxetine, sertraline), antihistamines (</w:t>
      </w:r>
      <w:r w:rsidR="006B1203" w:rsidRPr="000301BB">
        <w:t>including</w:t>
      </w:r>
      <w:r w:rsidRPr="000301BB">
        <w:t xml:space="preserve"> cetirizine), proton-pump inhibitors (</w:t>
      </w:r>
      <w:r w:rsidR="006B1203" w:rsidRPr="000301BB">
        <w:t>including</w:t>
      </w:r>
      <w:r w:rsidRPr="000301BB">
        <w:t xml:space="preserve"> omeprazole, lansopr</w:t>
      </w:r>
      <w:r w:rsidR="00750394" w:rsidRPr="000301BB">
        <w:t>a</w:t>
      </w:r>
      <w:r w:rsidRPr="000301BB">
        <w:t>zole), and medications for erectile dysfunction (</w:t>
      </w:r>
      <w:r w:rsidR="006B1203" w:rsidRPr="000301BB">
        <w:t xml:space="preserve">including </w:t>
      </w:r>
      <w:r w:rsidRPr="000301BB">
        <w:t>sildenafil).</w:t>
      </w:r>
    </w:p>
    <w:p w:rsidR="00B51DF2" w:rsidRPr="000301BB" w:rsidRDefault="00B51DF2" w:rsidP="009E55B6">
      <w:pPr>
        <w:pStyle w:val="Default"/>
        <w:spacing w:before="100" w:beforeAutospacing="1" w:after="100" w:afterAutospacing="1"/>
        <w:rPr>
          <w:rFonts w:ascii="Arial" w:hAnsi="Arial" w:cs="Arial"/>
          <w:sz w:val="22"/>
          <w:szCs w:val="22"/>
          <w:lang w:val="en-AU"/>
        </w:rPr>
      </w:pPr>
      <w:bookmarkStart w:id="14" w:name="OLE_LINK5"/>
      <w:r w:rsidRPr="000301BB">
        <w:rPr>
          <w:rFonts w:ascii="Arial" w:hAnsi="Arial" w:cs="Arial"/>
          <w:sz w:val="22"/>
          <w:szCs w:val="22"/>
          <w:lang w:val="en-AU"/>
        </w:rPr>
        <w:t>The safety and efficacy of sitagliptin in combination with insulin, GLP-1 mimetics, or alpha-glucosidase inhibitors has not been established.  Sitagliptin has not been studied in combination with orlistat.</w:t>
      </w:r>
    </w:p>
    <w:bookmarkEnd w:id="14"/>
    <w:p w:rsidR="009E55B6" w:rsidRDefault="009E55B6">
      <w:pPr>
        <w:spacing w:after="0"/>
        <w:rPr>
          <w:b/>
        </w:rPr>
      </w:pPr>
      <w:r>
        <w:br w:type="page"/>
      </w:r>
    </w:p>
    <w:p w:rsidR="007E54E6" w:rsidRPr="000301BB" w:rsidRDefault="007E54E6" w:rsidP="009E55B6">
      <w:pPr>
        <w:pStyle w:val="Heading3"/>
      </w:pPr>
      <w:r w:rsidRPr="000301BB">
        <w:lastRenderedPageBreak/>
        <w:t>Simvastatin</w:t>
      </w:r>
    </w:p>
    <w:p w:rsidR="007E54E6" w:rsidRPr="000301BB" w:rsidRDefault="007E54E6" w:rsidP="009E55B6">
      <w:pPr>
        <w:pStyle w:val="Heading4"/>
      </w:pPr>
      <w:r w:rsidRPr="000301BB">
        <w:t>CYP3A4 Interactions</w:t>
      </w:r>
    </w:p>
    <w:p w:rsidR="004776FF" w:rsidRPr="000301BB" w:rsidRDefault="004776FF" w:rsidP="009E55B6">
      <w:pPr>
        <w:tabs>
          <w:tab w:val="left" w:pos="840"/>
        </w:tabs>
        <w:spacing w:after="100" w:afterAutospacing="1"/>
      </w:pPr>
      <w:r w:rsidRPr="000301BB">
        <w:t xml:space="preserve">Simvastatin is metabolised by CYP3A4 but has no CYP3A4 inhibitory activity; therefore it is not expected to affect the plasma concentrations of other </w:t>
      </w:r>
      <w:r w:rsidR="00B322A3" w:rsidRPr="000301BB">
        <w:t>medicine</w:t>
      </w:r>
      <w:r w:rsidR="009E55B6">
        <w:t>s metabolised by CYP3A4.</w:t>
      </w:r>
    </w:p>
    <w:p w:rsidR="00A41F6B" w:rsidRPr="000301BB" w:rsidRDefault="00A41F6B" w:rsidP="009E55B6">
      <w:pPr>
        <w:pStyle w:val="Heading4"/>
      </w:pPr>
      <w:r w:rsidRPr="000301BB">
        <w:t>Contraindicated medicines</w:t>
      </w:r>
    </w:p>
    <w:p w:rsidR="00A41F6B" w:rsidRPr="000301BB" w:rsidRDefault="00A41F6B" w:rsidP="009E55B6">
      <w:pPr>
        <w:spacing w:after="100" w:afterAutospacing="1"/>
        <w:rPr>
          <w:bCs w:val="0"/>
          <w:color w:val="000000"/>
        </w:rPr>
      </w:pPr>
      <w:r w:rsidRPr="000301BB">
        <w:rPr>
          <w:bCs w:val="0"/>
          <w:color w:val="000000"/>
        </w:rPr>
        <w:t>Concomitant use of the following medicines is contraindicated:</w:t>
      </w:r>
    </w:p>
    <w:p w:rsidR="007E54E6" w:rsidRPr="000301BB" w:rsidRDefault="004776FF" w:rsidP="009E55B6">
      <w:pPr>
        <w:spacing w:after="100" w:afterAutospacing="1"/>
        <w:ind w:left="357"/>
        <w:rPr>
          <w:b/>
          <w:i/>
          <w:color w:val="000000"/>
        </w:rPr>
      </w:pPr>
      <w:r w:rsidRPr="000301BB">
        <w:rPr>
          <w:color w:val="000000"/>
          <w:u w:val="single"/>
        </w:rPr>
        <w:t>Potent CYP3A4 inhibitors</w:t>
      </w:r>
      <w:r w:rsidR="0027504B" w:rsidRPr="000301BB">
        <w:rPr>
          <w:color w:val="000000"/>
        </w:rPr>
        <w:t xml:space="preserve">: </w:t>
      </w:r>
      <w:r w:rsidR="00E043D5" w:rsidRPr="000301BB">
        <w:t>Potent inhibitors of CYP3A4 increase the risk of myopathy by reducing the elimination of simvastatin</w:t>
      </w:r>
      <w:r w:rsidR="000F6554" w:rsidRPr="000301BB">
        <w:t xml:space="preserve">.  Concomitant use with medicines labelled as having a potent inhibitory effect on CYP3A4 (e.g. itraconazole, ketoconazole, posaconazole, </w:t>
      </w:r>
      <w:r w:rsidR="002B6234" w:rsidRPr="000301BB">
        <w:t xml:space="preserve">voriconazole, </w:t>
      </w:r>
      <w:r w:rsidR="000F6554" w:rsidRPr="000301BB">
        <w:t xml:space="preserve">erythromycin, clarithromycin, telithromycin, HIV protease inhibitors, </w:t>
      </w:r>
      <w:r w:rsidR="00F96A19" w:rsidRPr="000301BB">
        <w:t xml:space="preserve">boceprevir, telaprevir </w:t>
      </w:r>
      <w:r w:rsidR="000F6554" w:rsidRPr="000301BB">
        <w:t>or nefazodone) is contraindicated</w:t>
      </w:r>
      <w:r w:rsidR="00E043D5" w:rsidRPr="000301BB">
        <w:t xml:space="preserve"> </w:t>
      </w:r>
      <w:r w:rsidR="00A05612" w:rsidRPr="000301BB">
        <w:t>(</w:t>
      </w:r>
      <w:r w:rsidR="00493243" w:rsidRPr="000301BB">
        <w:t>s</w:t>
      </w:r>
      <w:r w:rsidR="007E54E6" w:rsidRPr="000301BB">
        <w:rPr>
          <w:color w:val="000000"/>
        </w:rPr>
        <w:t>ee</w:t>
      </w:r>
      <w:r w:rsidR="007E54E6" w:rsidRPr="000301BB">
        <w:rPr>
          <w:b/>
          <w:color w:val="000000"/>
        </w:rPr>
        <w:t xml:space="preserve"> </w:t>
      </w:r>
      <w:r w:rsidR="000F6554" w:rsidRPr="000301BB">
        <w:rPr>
          <w:b/>
          <w:color w:val="000000"/>
        </w:rPr>
        <w:t>CONTRAINDICATIONS</w:t>
      </w:r>
      <w:r w:rsidR="000F6554" w:rsidRPr="000301BB">
        <w:rPr>
          <w:color w:val="000000"/>
        </w:rPr>
        <w:t xml:space="preserve">; </w:t>
      </w:r>
      <w:r w:rsidR="007E54E6" w:rsidRPr="000301BB">
        <w:rPr>
          <w:b/>
          <w:color w:val="000000"/>
        </w:rPr>
        <w:t>PRECAUTIONS</w:t>
      </w:r>
      <w:r w:rsidR="007E54E6" w:rsidRPr="000301BB">
        <w:rPr>
          <w:color w:val="000000"/>
        </w:rPr>
        <w:t xml:space="preserve">, </w:t>
      </w:r>
      <w:r w:rsidR="007E54E6" w:rsidRPr="000301BB">
        <w:rPr>
          <w:i/>
          <w:color w:val="000000"/>
        </w:rPr>
        <w:t>Myopathy/Rhabdomyolysis</w:t>
      </w:r>
      <w:r w:rsidR="007E54E6" w:rsidRPr="000301BB">
        <w:rPr>
          <w:color w:val="000000"/>
        </w:rPr>
        <w:t xml:space="preserve">; </w:t>
      </w:r>
      <w:r w:rsidR="007E54E6" w:rsidRPr="000301BB">
        <w:rPr>
          <w:b/>
          <w:color w:val="000000"/>
        </w:rPr>
        <w:t>PHARMACOLOGY</w:t>
      </w:r>
      <w:r w:rsidR="007E54E6" w:rsidRPr="000301BB">
        <w:rPr>
          <w:color w:val="000000"/>
        </w:rPr>
        <w:t xml:space="preserve">, </w:t>
      </w:r>
      <w:r w:rsidR="007E54E6" w:rsidRPr="000301BB">
        <w:rPr>
          <w:i/>
          <w:iCs/>
          <w:color w:val="000000"/>
        </w:rPr>
        <w:t>Pharmacokinetics</w:t>
      </w:r>
      <w:r w:rsidR="00A05612" w:rsidRPr="000301BB">
        <w:rPr>
          <w:color w:val="000000"/>
        </w:rPr>
        <w:t>)</w:t>
      </w:r>
      <w:r w:rsidR="00493243" w:rsidRPr="000301BB">
        <w:rPr>
          <w:color w:val="000000"/>
        </w:rPr>
        <w:t>.</w:t>
      </w:r>
    </w:p>
    <w:p w:rsidR="00901AD8" w:rsidRPr="000301BB" w:rsidRDefault="000F6554" w:rsidP="00901AD8">
      <w:pPr>
        <w:pStyle w:val="Body"/>
        <w:ind w:left="360" w:firstLine="0"/>
        <w:jc w:val="left"/>
        <w:rPr>
          <w:color w:val="000000"/>
          <w:lang w:val="en-AU"/>
        </w:rPr>
      </w:pPr>
      <w:r w:rsidRPr="000301BB">
        <w:rPr>
          <w:u w:val="single"/>
          <w:lang w:val="en-AU"/>
        </w:rPr>
        <w:t>Gemfibrozil, c</w:t>
      </w:r>
      <w:r w:rsidR="007E54E6" w:rsidRPr="000301BB">
        <w:rPr>
          <w:u w:val="single"/>
          <w:lang w:val="en-AU"/>
        </w:rPr>
        <w:t xml:space="preserve">yclosporin or </w:t>
      </w:r>
      <w:r w:rsidR="0001465C" w:rsidRPr="000301BB">
        <w:rPr>
          <w:u w:val="single"/>
          <w:lang w:val="en-AU"/>
        </w:rPr>
        <w:t>d</w:t>
      </w:r>
      <w:r w:rsidR="007E54E6" w:rsidRPr="000301BB">
        <w:rPr>
          <w:u w:val="single"/>
          <w:lang w:val="en-AU"/>
        </w:rPr>
        <w:t>anazol</w:t>
      </w:r>
      <w:r w:rsidR="007E54E6" w:rsidRPr="000301BB">
        <w:rPr>
          <w:lang w:val="en-AU"/>
        </w:rPr>
        <w:t xml:space="preserve">: </w:t>
      </w:r>
      <w:r w:rsidR="007E54E6" w:rsidRPr="000301BB">
        <w:rPr>
          <w:color w:val="000000"/>
          <w:lang w:val="en-AU"/>
        </w:rPr>
        <w:t xml:space="preserve">(see </w:t>
      </w:r>
      <w:r w:rsidRPr="000301BB">
        <w:rPr>
          <w:b/>
          <w:bCs/>
          <w:color w:val="000000"/>
          <w:lang w:val="en-AU"/>
        </w:rPr>
        <w:t>CONTRAINDICATIONS</w:t>
      </w:r>
      <w:r w:rsidRPr="000301BB">
        <w:rPr>
          <w:color w:val="000000"/>
          <w:lang w:val="en-AU"/>
        </w:rPr>
        <w:t xml:space="preserve">; </w:t>
      </w:r>
      <w:r w:rsidR="007E54E6" w:rsidRPr="000301BB">
        <w:rPr>
          <w:b/>
          <w:bCs/>
          <w:color w:val="000000"/>
          <w:lang w:val="en-AU"/>
        </w:rPr>
        <w:t>PRECAUTIONS</w:t>
      </w:r>
      <w:r w:rsidR="007E54E6" w:rsidRPr="000301BB">
        <w:rPr>
          <w:color w:val="000000"/>
          <w:lang w:val="en-AU"/>
        </w:rPr>
        <w:t xml:space="preserve">, </w:t>
      </w:r>
      <w:r w:rsidR="007E54E6" w:rsidRPr="000301BB">
        <w:rPr>
          <w:i/>
          <w:color w:val="000000"/>
          <w:lang w:val="en-AU"/>
        </w:rPr>
        <w:t>Myopathy/Rhabdomyolysis</w:t>
      </w:r>
      <w:r w:rsidR="007E54E6" w:rsidRPr="000301BB">
        <w:rPr>
          <w:color w:val="000000"/>
          <w:lang w:val="en-AU"/>
        </w:rPr>
        <w:t>).</w:t>
      </w:r>
    </w:p>
    <w:p w:rsidR="002B6234" w:rsidRPr="000301BB" w:rsidRDefault="002B6234" w:rsidP="009E55B6">
      <w:pPr>
        <w:pStyle w:val="Body"/>
        <w:spacing w:before="100" w:beforeAutospacing="1" w:after="100" w:afterAutospacing="1"/>
        <w:ind w:left="357" w:firstLine="0"/>
        <w:jc w:val="left"/>
        <w:rPr>
          <w:color w:val="000000"/>
          <w:sz w:val="22"/>
          <w:szCs w:val="22"/>
          <w:lang w:val="en-AU"/>
        </w:rPr>
      </w:pPr>
      <w:r w:rsidRPr="000301BB">
        <w:rPr>
          <w:color w:val="000000"/>
          <w:sz w:val="22"/>
          <w:szCs w:val="22"/>
          <w:u w:val="single"/>
          <w:lang w:val="en-AU"/>
        </w:rPr>
        <w:t>Fusidic acid</w:t>
      </w:r>
      <w:r w:rsidRPr="000301BB">
        <w:rPr>
          <w:color w:val="000000"/>
          <w:sz w:val="22"/>
          <w:szCs w:val="22"/>
          <w:lang w:val="en-AU"/>
        </w:rPr>
        <w:t xml:space="preserve">: The risk of myopathy including rhabdomyolysis may be increased by the concomitant administration of </w:t>
      </w:r>
      <w:r w:rsidR="008632D9" w:rsidRPr="000301BB">
        <w:rPr>
          <w:color w:val="000000"/>
          <w:sz w:val="22"/>
          <w:szCs w:val="22"/>
          <w:lang w:val="en-AU"/>
        </w:rPr>
        <w:t>JUVICOR</w:t>
      </w:r>
      <w:r w:rsidRPr="000301BB">
        <w:rPr>
          <w:color w:val="000000"/>
          <w:sz w:val="22"/>
          <w:szCs w:val="22"/>
          <w:lang w:val="en-AU"/>
        </w:rPr>
        <w:t xml:space="preserve"> with fusidic acid.  Co-administration of this combination may cause increased plasma concentrations of both agents.  The mechanism of this interaction (whether it is pharmacodynamics or pharmacokinetic, or both) is yet unknown.  There have been reports of rhabdomyolysis (including some fatalities) in patients receiving fusidic acid and statins.  Where the use of fusidic acid is considered essential, JUVICOR should be discontinued throughout the duration of fusidic acid treatment (see </w:t>
      </w:r>
      <w:r w:rsidRPr="000301BB">
        <w:rPr>
          <w:b/>
          <w:color w:val="000000"/>
          <w:sz w:val="22"/>
          <w:szCs w:val="22"/>
          <w:lang w:val="en-AU"/>
        </w:rPr>
        <w:t>CONTRAINDICATIONS</w:t>
      </w:r>
      <w:r w:rsidRPr="000301BB">
        <w:rPr>
          <w:color w:val="000000"/>
          <w:sz w:val="22"/>
          <w:szCs w:val="22"/>
          <w:lang w:val="en-AU"/>
        </w:rPr>
        <w:t xml:space="preserve">; </w:t>
      </w:r>
      <w:r w:rsidRPr="000301BB">
        <w:rPr>
          <w:b/>
          <w:color w:val="000000"/>
          <w:sz w:val="22"/>
          <w:szCs w:val="22"/>
          <w:lang w:val="en-AU"/>
        </w:rPr>
        <w:t>PRECAUTIONS</w:t>
      </w:r>
      <w:r w:rsidRPr="000301BB">
        <w:rPr>
          <w:color w:val="000000"/>
          <w:sz w:val="22"/>
          <w:szCs w:val="22"/>
          <w:lang w:val="en-AU"/>
        </w:rPr>
        <w:t xml:space="preserve">; </w:t>
      </w:r>
      <w:r w:rsidRPr="000301BB">
        <w:rPr>
          <w:i/>
          <w:color w:val="000000"/>
          <w:sz w:val="22"/>
          <w:szCs w:val="22"/>
          <w:lang w:val="en-AU"/>
        </w:rPr>
        <w:t>Myopathy/Rhabdomyolysis</w:t>
      </w:r>
      <w:r w:rsidRPr="000301BB">
        <w:rPr>
          <w:color w:val="000000"/>
          <w:sz w:val="22"/>
          <w:szCs w:val="22"/>
          <w:lang w:val="en-AU"/>
        </w:rPr>
        <w:t>).</w:t>
      </w:r>
      <w:r w:rsidR="008632D9" w:rsidRPr="000301BB">
        <w:rPr>
          <w:color w:val="000000"/>
          <w:sz w:val="22"/>
          <w:szCs w:val="22"/>
          <w:lang w:val="en-AU"/>
        </w:rPr>
        <w:t xml:space="preserve">  </w:t>
      </w:r>
    </w:p>
    <w:p w:rsidR="000F6554" w:rsidRPr="000301BB" w:rsidRDefault="000F6554" w:rsidP="009E55B6">
      <w:pPr>
        <w:pStyle w:val="Heading4"/>
      </w:pPr>
      <w:r w:rsidRPr="000301BB">
        <w:t>Other interactions</w:t>
      </w:r>
    </w:p>
    <w:p w:rsidR="007E54E6" w:rsidRPr="000301BB" w:rsidRDefault="007E54E6" w:rsidP="00610703">
      <w:pPr>
        <w:pStyle w:val="Body"/>
        <w:ind w:left="357" w:firstLine="0"/>
        <w:jc w:val="left"/>
        <w:rPr>
          <w:color w:val="000000"/>
          <w:sz w:val="22"/>
          <w:szCs w:val="22"/>
          <w:lang w:val="en-AU"/>
        </w:rPr>
      </w:pPr>
      <w:r w:rsidRPr="000301BB">
        <w:rPr>
          <w:iCs/>
          <w:sz w:val="22"/>
          <w:szCs w:val="22"/>
          <w:u w:val="single"/>
          <w:lang w:val="en-AU"/>
        </w:rPr>
        <w:t>Amiodarone</w:t>
      </w:r>
      <w:r w:rsidRPr="000301BB">
        <w:rPr>
          <w:sz w:val="22"/>
          <w:szCs w:val="22"/>
          <w:lang w:val="en-AU"/>
        </w:rPr>
        <w:t xml:space="preserve">: </w:t>
      </w:r>
      <w:r w:rsidRPr="000301BB">
        <w:rPr>
          <w:color w:val="000000"/>
          <w:sz w:val="22"/>
          <w:szCs w:val="22"/>
          <w:lang w:val="en-AU"/>
        </w:rPr>
        <w:t>The risk of myopathy/</w:t>
      </w:r>
      <w:r w:rsidRPr="000301BB">
        <w:rPr>
          <w:sz w:val="22"/>
          <w:szCs w:val="22"/>
          <w:lang w:val="en-AU"/>
        </w:rPr>
        <w:t>rhabdomyolysis</w:t>
      </w:r>
      <w:r w:rsidRPr="000301BB">
        <w:rPr>
          <w:color w:val="000000"/>
          <w:sz w:val="22"/>
          <w:szCs w:val="22"/>
          <w:lang w:val="en-AU"/>
        </w:rPr>
        <w:t xml:space="preserve"> is increased by concomitant administration of amiodarone with simvastatin (see</w:t>
      </w:r>
      <w:r w:rsidR="00961698" w:rsidRPr="000301BB">
        <w:rPr>
          <w:b/>
          <w:bCs/>
          <w:color w:val="000000"/>
          <w:sz w:val="22"/>
          <w:szCs w:val="22"/>
          <w:lang w:val="en-AU"/>
        </w:rPr>
        <w:t xml:space="preserve"> DOSAGE AND ADMINISTRATION</w:t>
      </w:r>
      <w:r w:rsidR="00961698" w:rsidRPr="000301BB">
        <w:rPr>
          <w:color w:val="000000"/>
          <w:sz w:val="22"/>
          <w:szCs w:val="22"/>
          <w:lang w:val="en-AU"/>
        </w:rPr>
        <w:t xml:space="preserve">; </w:t>
      </w:r>
      <w:r w:rsidRPr="000301BB">
        <w:rPr>
          <w:b/>
          <w:bCs/>
          <w:color w:val="000000"/>
          <w:sz w:val="22"/>
          <w:szCs w:val="22"/>
          <w:lang w:val="en-AU"/>
        </w:rPr>
        <w:t>PRECAUTIONS</w:t>
      </w:r>
      <w:r w:rsidRPr="000301BB">
        <w:rPr>
          <w:color w:val="000000"/>
          <w:sz w:val="22"/>
          <w:szCs w:val="22"/>
          <w:lang w:val="en-AU"/>
        </w:rPr>
        <w:t xml:space="preserve">, </w:t>
      </w:r>
      <w:r w:rsidRPr="000301BB">
        <w:rPr>
          <w:i/>
          <w:color w:val="000000"/>
          <w:sz w:val="22"/>
          <w:szCs w:val="22"/>
          <w:lang w:val="en-AU"/>
        </w:rPr>
        <w:t>Myopathy/Rhabdomyolysis</w:t>
      </w:r>
      <w:r w:rsidRPr="000301BB">
        <w:rPr>
          <w:color w:val="000000"/>
          <w:sz w:val="22"/>
          <w:szCs w:val="22"/>
          <w:lang w:val="en-AU"/>
        </w:rPr>
        <w:t>).</w:t>
      </w:r>
    </w:p>
    <w:p w:rsidR="007E54E6" w:rsidRPr="000301BB" w:rsidRDefault="007E54E6" w:rsidP="009E55B6">
      <w:pPr>
        <w:pStyle w:val="Body"/>
        <w:spacing w:before="100" w:beforeAutospacing="1" w:after="100" w:afterAutospacing="1"/>
        <w:ind w:left="357" w:firstLine="0"/>
        <w:jc w:val="left"/>
        <w:rPr>
          <w:i/>
          <w:color w:val="000000"/>
          <w:sz w:val="22"/>
          <w:szCs w:val="22"/>
          <w:u w:val="single"/>
          <w:lang w:val="en-AU"/>
        </w:rPr>
      </w:pPr>
      <w:r w:rsidRPr="000301BB">
        <w:rPr>
          <w:iCs/>
          <w:color w:val="000000"/>
          <w:sz w:val="22"/>
          <w:szCs w:val="22"/>
          <w:u w:val="single"/>
          <w:lang w:val="en-AU"/>
        </w:rPr>
        <w:t>Calcium channel blockers</w:t>
      </w:r>
      <w:r w:rsidRPr="000301BB">
        <w:rPr>
          <w:iCs/>
          <w:color w:val="000000"/>
          <w:sz w:val="22"/>
          <w:szCs w:val="22"/>
          <w:lang w:val="en-AU"/>
        </w:rPr>
        <w:t>:</w:t>
      </w:r>
      <w:r w:rsidR="00961698" w:rsidRPr="000301BB">
        <w:rPr>
          <w:iCs/>
          <w:color w:val="000000"/>
          <w:sz w:val="22"/>
          <w:szCs w:val="22"/>
          <w:lang w:val="en-AU"/>
        </w:rPr>
        <w:t xml:space="preserve"> The risk of myopathy/rhabdomyolysis is increased by concomitant administration of verapamil, diltiazem, or amlodipine (see </w:t>
      </w:r>
      <w:r w:rsidR="00961698" w:rsidRPr="000301BB">
        <w:rPr>
          <w:b/>
          <w:bCs/>
          <w:iCs/>
          <w:color w:val="000000"/>
          <w:sz w:val="22"/>
          <w:szCs w:val="22"/>
          <w:lang w:val="en-AU"/>
        </w:rPr>
        <w:t>DOSAGE AND ADMINISTRATION</w:t>
      </w:r>
      <w:r w:rsidR="00961698" w:rsidRPr="000301BB">
        <w:rPr>
          <w:iCs/>
          <w:color w:val="000000"/>
          <w:sz w:val="22"/>
          <w:szCs w:val="22"/>
          <w:lang w:val="en-AU"/>
        </w:rPr>
        <w:t xml:space="preserve">; </w:t>
      </w:r>
      <w:r w:rsidR="00961698" w:rsidRPr="000301BB">
        <w:rPr>
          <w:b/>
          <w:bCs/>
          <w:iCs/>
          <w:color w:val="000000"/>
          <w:sz w:val="22"/>
          <w:szCs w:val="22"/>
          <w:lang w:val="en-AU"/>
        </w:rPr>
        <w:t>PRECAUTIONS</w:t>
      </w:r>
      <w:r w:rsidR="00961698" w:rsidRPr="000301BB">
        <w:rPr>
          <w:iCs/>
          <w:color w:val="000000"/>
          <w:sz w:val="22"/>
          <w:szCs w:val="22"/>
          <w:lang w:val="en-AU"/>
        </w:rPr>
        <w:t xml:space="preserve">, </w:t>
      </w:r>
      <w:r w:rsidR="00961698" w:rsidRPr="000301BB">
        <w:rPr>
          <w:i/>
          <w:color w:val="000000"/>
          <w:sz w:val="22"/>
          <w:szCs w:val="22"/>
          <w:lang w:val="en-AU"/>
        </w:rPr>
        <w:t>Myopathy/Rhabdomyolysis</w:t>
      </w:r>
      <w:r w:rsidR="00961698" w:rsidRPr="000301BB">
        <w:rPr>
          <w:iCs/>
          <w:color w:val="000000"/>
          <w:sz w:val="22"/>
          <w:szCs w:val="22"/>
          <w:lang w:val="en-AU"/>
        </w:rPr>
        <w:t>)</w:t>
      </w:r>
      <w:r w:rsidR="00017319" w:rsidRPr="000301BB">
        <w:rPr>
          <w:iCs/>
          <w:color w:val="000000"/>
          <w:sz w:val="22"/>
          <w:szCs w:val="22"/>
          <w:lang w:val="en-AU"/>
        </w:rPr>
        <w:t>.</w:t>
      </w:r>
    </w:p>
    <w:p w:rsidR="00923120" w:rsidRPr="000301BB" w:rsidRDefault="00923120" w:rsidP="009E55B6">
      <w:pPr>
        <w:pStyle w:val="Body"/>
        <w:spacing w:before="100" w:beforeAutospacing="1" w:after="100" w:afterAutospacing="1"/>
        <w:ind w:left="360" w:firstLine="0"/>
        <w:jc w:val="left"/>
        <w:rPr>
          <w:color w:val="000000"/>
          <w:sz w:val="22"/>
          <w:szCs w:val="22"/>
          <w:lang w:val="en-AU"/>
        </w:rPr>
      </w:pPr>
      <w:r w:rsidRPr="000301BB">
        <w:rPr>
          <w:color w:val="000000"/>
          <w:sz w:val="22"/>
          <w:szCs w:val="22"/>
          <w:u w:val="single"/>
          <w:lang w:val="en-AU"/>
        </w:rPr>
        <w:t>Moderate inhibitors of CYP3A4</w:t>
      </w:r>
      <w:r w:rsidRPr="000301BB">
        <w:rPr>
          <w:color w:val="000000"/>
          <w:sz w:val="22"/>
          <w:szCs w:val="22"/>
          <w:lang w:val="en-AU"/>
        </w:rPr>
        <w:t>: Patients taking other medicines labelled as having a moderate inhibitory effect on CYP3A4 concomitantly with JUVICOR, particularly at higher doses of the simvastatin component, may have an increased risk of myopathy</w:t>
      </w:r>
      <w:r w:rsidR="00572AF4" w:rsidRPr="000301BB">
        <w:rPr>
          <w:color w:val="000000"/>
          <w:sz w:val="22"/>
          <w:szCs w:val="22"/>
          <w:lang w:val="en-AU"/>
        </w:rPr>
        <w:t xml:space="preserve"> (see </w:t>
      </w:r>
      <w:r w:rsidR="00572AF4" w:rsidRPr="000301BB">
        <w:rPr>
          <w:b/>
          <w:color w:val="000000"/>
          <w:sz w:val="22"/>
          <w:szCs w:val="22"/>
          <w:lang w:val="en-AU"/>
        </w:rPr>
        <w:t>PRECAUTIONS</w:t>
      </w:r>
      <w:r w:rsidR="00572AF4" w:rsidRPr="000301BB">
        <w:rPr>
          <w:color w:val="000000"/>
          <w:sz w:val="22"/>
          <w:szCs w:val="22"/>
          <w:lang w:val="en-AU"/>
        </w:rPr>
        <w:t xml:space="preserve">; </w:t>
      </w:r>
      <w:r w:rsidR="00572AF4" w:rsidRPr="000301BB">
        <w:rPr>
          <w:i/>
          <w:color w:val="000000"/>
          <w:sz w:val="22"/>
          <w:szCs w:val="22"/>
          <w:lang w:val="en-AU"/>
        </w:rPr>
        <w:t>Myopathy/Rhabdomyolysis</w:t>
      </w:r>
      <w:r w:rsidR="00572AF4" w:rsidRPr="000301BB">
        <w:rPr>
          <w:color w:val="000000"/>
          <w:sz w:val="22"/>
          <w:szCs w:val="22"/>
          <w:lang w:val="en-AU"/>
        </w:rPr>
        <w:t>)</w:t>
      </w:r>
      <w:r w:rsidRPr="000301BB">
        <w:rPr>
          <w:color w:val="000000"/>
          <w:sz w:val="22"/>
          <w:szCs w:val="22"/>
          <w:lang w:val="en-AU"/>
        </w:rPr>
        <w:t>.</w:t>
      </w:r>
    </w:p>
    <w:p w:rsidR="007E54E6" w:rsidRPr="000301BB" w:rsidRDefault="007E54E6" w:rsidP="009E55B6">
      <w:pPr>
        <w:spacing w:before="100" w:beforeAutospacing="1" w:after="100" w:afterAutospacing="1"/>
        <w:ind w:left="357"/>
        <w:rPr>
          <w:color w:val="000000"/>
        </w:rPr>
      </w:pPr>
      <w:r w:rsidRPr="000301BB">
        <w:rPr>
          <w:u w:val="single"/>
        </w:rPr>
        <w:t xml:space="preserve">Niacin (nicotinic acid) </w:t>
      </w:r>
      <w:r w:rsidRPr="000301BB">
        <w:rPr>
          <w:bCs w:val="0"/>
          <w:u w:val="single"/>
        </w:rPr>
        <w:t>(</w:t>
      </w:r>
      <w:r w:rsidRPr="000301BB">
        <w:rPr>
          <w:bCs w:val="0"/>
          <w:u w:val="single"/>
        </w:rPr>
        <w:sym w:font="Symbol" w:char="F0B3"/>
      </w:r>
      <w:r w:rsidRPr="000301BB">
        <w:rPr>
          <w:bCs w:val="0"/>
          <w:u w:val="single"/>
        </w:rPr>
        <w:t>1 g/day)</w:t>
      </w:r>
      <w:r w:rsidRPr="000301BB">
        <w:rPr>
          <w:bCs w:val="0"/>
        </w:rPr>
        <w:t xml:space="preserve">: </w:t>
      </w:r>
      <w:r w:rsidRPr="000301BB">
        <w:t>Cases of myopathy/rhabdomyolysis have been observed with simvastatin co</w:t>
      </w:r>
      <w:r w:rsidR="00CA2981" w:rsidRPr="000301BB">
        <w:t>-</w:t>
      </w:r>
      <w:r w:rsidRPr="000301BB">
        <w:t>administered with lipid</w:t>
      </w:r>
      <w:r w:rsidRPr="000301BB">
        <w:noBreakHyphen/>
        <w:t>modifying doses (</w:t>
      </w:r>
      <w:r w:rsidRPr="000301BB" w:rsidDel="00D2204C">
        <w:rPr>
          <w:bCs w:val="0"/>
        </w:rPr>
        <w:sym w:font="Symbol" w:char="F0B3"/>
      </w:r>
      <w:r w:rsidRPr="000301BB">
        <w:t>1 g/day) of niacin</w:t>
      </w:r>
      <w:r w:rsidRPr="000301BB">
        <w:rPr>
          <w:color w:val="0000FF"/>
        </w:rPr>
        <w:t xml:space="preserve"> </w:t>
      </w:r>
      <w:r w:rsidRPr="000301BB">
        <w:rPr>
          <w:color w:val="000000"/>
        </w:rPr>
        <w:t xml:space="preserve">(see </w:t>
      </w:r>
      <w:r w:rsidRPr="000301BB">
        <w:rPr>
          <w:b/>
          <w:bCs w:val="0"/>
          <w:color w:val="000000"/>
        </w:rPr>
        <w:t>PRECAUTIONS</w:t>
      </w:r>
      <w:r w:rsidRPr="000301BB">
        <w:rPr>
          <w:color w:val="000000"/>
        </w:rPr>
        <w:t xml:space="preserve">, </w:t>
      </w:r>
      <w:r w:rsidRPr="000301BB">
        <w:rPr>
          <w:i/>
          <w:color w:val="000000"/>
        </w:rPr>
        <w:t>Myopathy/Rhabdomyolysis</w:t>
      </w:r>
      <w:r w:rsidRPr="000301BB">
        <w:rPr>
          <w:color w:val="000000"/>
        </w:rPr>
        <w:t>).</w:t>
      </w:r>
    </w:p>
    <w:p w:rsidR="00923120" w:rsidRPr="000301BB" w:rsidRDefault="00923120" w:rsidP="00923120">
      <w:pPr>
        <w:ind w:left="357"/>
        <w:rPr>
          <w:color w:val="000000"/>
        </w:rPr>
      </w:pPr>
      <w:r w:rsidRPr="000301BB">
        <w:rPr>
          <w:color w:val="000000"/>
          <w:u w:val="single"/>
        </w:rPr>
        <w:t>Colchicine</w:t>
      </w:r>
      <w:r w:rsidRPr="000301BB">
        <w:rPr>
          <w:i/>
          <w:iCs/>
          <w:color w:val="000000"/>
        </w:rPr>
        <w:t xml:space="preserve">: </w:t>
      </w:r>
      <w:r w:rsidRPr="000301BB">
        <w:rPr>
          <w:color w:val="000000"/>
        </w:rPr>
        <w:t xml:space="preserve">There have been reports of myopathy and rhabdomyolysis with the concomitant administration of colchicine and simvastatin in patients with renal </w:t>
      </w:r>
      <w:r w:rsidRPr="000301BB">
        <w:rPr>
          <w:color w:val="000000"/>
        </w:rPr>
        <w:lastRenderedPageBreak/>
        <w:t>insufficiency.  Close clinical monitoring of patients taking colchicine and JUVICOR is advised.</w:t>
      </w:r>
    </w:p>
    <w:p w:rsidR="00651892" w:rsidRPr="000301BB" w:rsidRDefault="00651892" w:rsidP="009E55B6">
      <w:pPr>
        <w:pStyle w:val="Body"/>
        <w:spacing w:before="100" w:beforeAutospacing="1" w:after="100" w:afterAutospacing="1"/>
        <w:ind w:left="357" w:firstLine="0"/>
        <w:jc w:val="left"/>
        <w:rPr>
          <w:sz w:val="22"/>
          <w:szCs w:val="22"/>
          <w:lang w:val="en-AU"/>
        </w:rPr>
      </w:pPr>
      <w:r w:rsidRPr="000301BB">
        <w:rPr>
          <w:sz w:val="22"/>
          <w:szCs w:val="22"/>
          <w:u w:val="single"/>
          <w:lang w:val="en-AU"/>
        </w:rPr>
        <w:t>Other Fibrates</w:t>
      </w:r>
      <w:r w:rsidRPr="000301BB">
        <w:rPr>
          <w:sz w:val="22"/>
          <w:szCs w:val="22"/>
          <w:lang w:val="en-AU"/>
        </w:rPr>
        <w:t xml:space="preserve">: The risk of myopathy is increased by gemfibrozil (see </w:t>
      </w:r>
      <w:r w:rsidRPr="000301BB">
        <w:rPr>
          <w:b/>
          <w:bCs/>
          <w:sz w:val="22"/>
          <w:szCs w:val="22"/>
          <w:lang w:val="en-AU"/>
        </w:rPr>
        <w:t>CONTRAINDICATIONS</w:t>
      </w:r>
      <w:r w:rsidRPr="000301BB">
        <w:rPr>
          <w:sz w:val="22"/>
          <w:szCs w:val="22"/>
          <w:lang w:val="en-AU"/>
        </w:rPr>
        <w:t xml:space="preserve">) and other fibrates (except fenofibrate); these lipid-lowering </w:t>
      </w:r>
      <w:r w:rsidR="003519AA" w:rsidRPr="000301BB">
        <w:rPr>
          <w:sz w:val="22"/>
          <w:szCs w:val="22"/>
          <w:lang w:val="en-AU"/>
        </w:rPr>
        <w:t>medicine</w:t>
      </w:r>
      <w:r w:rsidRPr="000301BB">
        <w:rPr>
          <w:sz w:val="22"/>
          <w:szCs w:val="22"/>
          <w:lang w:val="en-AU"/>
        </w:rPr>
        <w:t xml:space="preserve">s can cause myopathy when given alone.  When simvastatin and fenofibrate are given concomitantly, there is no evidence that the risk of myopathy exceeds the sum of the individual risks of each agent (see </w:t>
      </w:r>
      <w:r w:rsidRPr="000301BB">
        <w:rPr>
          <w:b/>
          <w:bCs/>
          <w:sz w:val="22"/>
          <w:szCs w:val="22"/>
          <w:lang w:val="en-AU"/>
        </w:rPr>
        <w:t>CONTRAINDICATIONS</w:t>
      </w:r>
      <w:r w:rsidRPr="000301BB">
        <w:rPr>
          <w:sz w:val="22"/>
          <w:szCs w:val="22"/>
          <w:lang w:val="en-AU"/>
        </w:rPr>
        <w:t xml:space="preserve">; </w:t>
      </w:r>
      <w:r w:rsidRPr="000301BB">
        <w:rPr>
          <w:b/>
          <w:bCs/>
          <w:sz w:val="22"/>
          <w:szCs w:val="22"/>
          <w:lang w:val="en-AU"/>
        </w:rPr>
        <w:t>PRECAUTIONS</w:t>
      </w:r>
      <w:r w:rsidRPr="000301BB">
        <w:rPr>
          <w:sz w:val="22"/>
          <w:szCs w:val="22"/>
          <w:lang w:val="en-AU"/>
        </w:rPr>
        <w:t xml:space="preserve">, </w:t>
      </w:r>
      <w:r w:rsidRPr="000301BB">
        <w:rPr>
          <w:i/>
          <w:iCs/>
          <w:sz w:val="22"/>
          <w:szCs w:val="22"/>
          <w:lang w:val="en-AU"/>
        </w:rPr>
        <w:t>Myopathy/Rhabdomyolysis</w:t>
      </w:r>
      <w:r w:rsidR="003704B4" w:rsidRPr="000301BB">
        <w:rPr>
          <w:sz w:val="22"/>
          <w:szCs w:val="22"/>
          <w:lang w:val="en-AU"/>
        </w:rPr>
        <w:t>)</w:t>
      </w:r>
      <w:r w:rsidRPr="000301BB">
        <w:rPr>
          <w:sz w:val="22"/>
          <w:szCs w:val="22"/>
          <w:lang w:val="en-AU"/>
        </w:rPr>
        <w:t>.</w:t>
      </w:r>
    </w:p>
    <w:p w:rsidR="007E54E6" w:rsidRPr="000301BB" w:rsidRDefault="002B6886" w:rsidP="009E55B6">
      <w:pPr>
        <w:spacing w:before="100" w:beforeAutospacing="1" w:after="100" w:afterAutospacing="1"/>
        <w:ind w:left="357" w:right="43"/>
      </w:pPr>
      <w:r w:rsidRPr="000301BB">
        <w:rPr>
          <w:iCs/>
          <w:u w:val="single"/>
        </w:rPr>
        <w:t>Grapefruit juice</w:t>
      </w:r>
      <w:r w:rsidR="0027504B" w:rsidRPr="000301BB">
        <w:rPr>
          <w:color w:val="000000"/>
        </w:rPr>
        <w:t xml:space="preserve">: </w:t>
      </w:r>
      <w:r w:rsidR="007E54E6" w:rsidRPr="000301BB">
        <w:t xml:space="preserve">Grapefruit juice contains one or more components that inhibit CYP3A4 and can increase the plasma levels of </w:t>
      </w:r>
      <w:r w:rsidR="006D3DC8" w:rsidRPr="000301BB">
        <w:t xml:space="preserve">medicines </w:t>
      </w:r>
      <w:r w:rsidR="007E54E6" w:rsidRPr="000301BB">
        <w:t>metaboli</w:t>
      </w:r>
      <w:r w:rsidR="00880C3C" w:rsidRPr="000301BB">
        <w:t>s</w:t>
      </w:r>
      <w:r w:rsidR="007E54E6" w:rsidRPr="000301BB">
        <w:t xml:space="preserve">ed by CYP3A4. </w:t>
      </w:r>
      <w:r w:rsidRPr="000301BB">
        <w:t xml:space="preserve"> </w:t>
      </w:r>
      <w:r w:rsidR="007E54E6" w:rsidRPr="000301BB">
        <w:t>The effect of typical consumption (one 250 ml glass daily) is minimal (13% increase in active plasma HMG</w:t>
      </w:r>
      <w:r w:rsidR="007E54E6" w:rsidRPr="000301BB">
        <w:noBreakHyphen/>
        <w:t xml:space="preserve">CoA reductase inhibitory activity as measured by the </w:t>
      </w:r>
      <w:r w:rsidR="00880C3C" w:rsidRPr="000301BB">
        <w:t>AUC</w:t>
      </w:r>
      <w:r w:rsidR="007E54E6" w:rsidRPr="000301BB">
        <w:t xml:space="preserve">) and of no clinical relevance. </w:t>
      </w:r>
      <w:r w:rsidRPr="000301BB">
        <w:t xml:space="preserve"> </w:t>
      </w:r>
      <w:r w:rsidR="007E54E6" w:rsidRPr="000301BB">
        <w:t xml:space="preserve">However, </w:t>
      </w:r>
      <w:r w:rsidR="008E7AE8" w:rsidRPr="000301BB">
        <w:t xml:space="preserve">because </w:t>
      </w:r>
      <w:r w:rsidR="007E54E6" w:rsidRPr="000301BB">
        <w:t>large</w:t>
      </w:r>
      <w:r w:rsidR="008E7AE8" w:rsidRPr="000301BB">
        <w:t>r</w:t>
      </w:r>
      <w:r w:rsidR="007E54E6" w:rsidRPr="000301BB">
        <w:t xml:space="preserve"> quantities significantly increase the plasma levels of HMG</w:t>
      </w:r>
      <w:r w:rsidR="007E54E6" w:rsidRPr="000301BB">
        <w:noBreakHyphen/>
        <w:t>CoA reductase inhibitory activity</w:t>
      </w:r>
      <w:r w:rsidR="008E7AE8" w:rsidRPr="000301BB">
        <w:t>, grapefruit juice should be avoided</w:t>
      </w:r>
      <w:r w:rsidR="007E54E6" w:rsidRPr="000301BB">
        <w:t xml:space="preserve"> during therapy with </w:t>
      </w:r>
      <w:r w:rsidR="007E54E6" w:rsidRPr="000301BB">
        <w:rPr>
          <w:iCs/>
        </w:rPr>
        <w:t>JUVICOR</w:t>
      </w:r>
      <w:r w:rsidR="007E54E6" w:rsidRPr="000301BB">
        <w:t xml:space="preserve"> (see </w:t>
      </w:r>
      <w:r w:rsidR="007E54E6" w:rsidRPr="000301BB">
        <w:rPr>
          <w:b/>
          <w:bCs w:val="0"/>
        </w:rPr>
        <w:t>PRECAUTIONS</w:t>
      </w:r>
      <w:r w:rsidR="007E54E6" w:rsidRPr="000301BB">
        <w:t xml:space="preserve">, </w:t>
      </w:r>
      <w:r w:rsidR="007E54E6" w:rsidRPr="000301BB">
        <w:rPr>
          <w:i/>
          <w:color w:val="000000"/>
        </w:rPr>
        <w:t>Myopathy/Rhabdomyolysis</w:t>
      </w:r>
      <w:r w:rsidR="007E54E6" w:rsidRPr="000301BB">
        <w:t>).</w:t>
      </w:r>
    </w:p>
    <w:p w:rsidR="007E54E6" w:rsidRPr="000301BB" w:rsidRDefault="007E54E6" w:rsidP="0027504B">
      <w:pPr>
        <w:ind w:left="357" w:right="43"/>
        <w:outlineLvl w:val="0"/>
      </w:pPr>
      <w:r w:rsidRPr="000301BB">
        <w:rPr>
          <w:u w:val="single"/>
        </w:rPr>
        <w:t>Coumarin Derivatives</w:t>
      </w:r>
      <w:r w:rsidR="0027504B" w:rsidRPr="000301BB">
        <w:rPr>
          <w:color w:val="000000"/>
        </w:rPr>
        <w:t>:</w:t>
      </w:r>
      <w:r w:rsidR="0027504B" w:rsidRPr="000301BB">
        <w:t xml:space="preserve"> </w:t>
      </w:r>
      <w:r w:rsidRPr="000301BB">
        <w:t>In two clinical studies, one in normal volunteers and the other in hypercholesterol</w:t>
      </w:r>
      <w:r w:rsidR="00880C3C" w:rsidRPr="000301BB">
        <w:t>a</w:t>
      </w:r>
      <w:r w:rsidRPr="000301BB">
        <w:t>emic patients, simvastatin 20</w:t>
      </w:r>
      <w:r w:rsidRPr="000301BB">
        <w:noBreakHyphen/>
        <w:t>40 mg/day modestly potentiated the effect of coumarin anticoagulants: the prothrombin time, reported as International Normali</w:t>
      </w:r>
      <w:r w:rsidR="00880C3C" w:rsidRPr="000301BB">
        <w:t>s</w:t>
      </w:r>
      <w:r w:rsidRPr="000301BB">
        <w:t xml:space="preserve">ed Ratio (INR), increased from a baseline of 1.7 to 1.8 and from 2.6 to 3.4 in the volunteer and patient studies, respectively. </w:t>
      </w:r>
      <w:r w:rsidR="002B6886" w:rsidRPr="000301BB">
        <w:t xml:space="preserve"> </w:t>
      </w:r>
      <w:r w:rsidRPr="000301BB">
        <w:t xml:space="preserve">In patients taking coumarin anticoagulants, prothrombin time should be determined before starting </w:t>
      </w:r>
      <w:r w:rsidRPr="000301BB">
        <w:rPr>
          <w:iCs/>
        </w:rPr>
        <w:t>JUVICOR</w:t>
      </w:r>
      <w:r w:rsidRPr="000301BB">
        <w:t xml:space="preserve"> and frequently enough during early therapy to ensure that no significant alteration of prothrombin time occurs.</w:t>
      </w:r>
      <w:r w:rsidR="002B6886" w:rsidRPr="000301BB">
        <w:t xml:space="preserve"> </w:t>
      </w:r>
      <w:r w:rsidRPr="000301BB">
        <w:t xml:space="preserve"> Once a stable prothrombin time has been documented, prothrombin times can be monitored at the intervals usually recommended for patients on coumarin anticoagulants.</w:t>
      </w:r>
      <w:r w:rsidR="002B6886" w:rsidRPr="000301BB">
        <w:t xml:space="preserve"> </w:t>
      </w:r>
      <w:r w:rsidRPr="000301BB">
        <w:t xml:space="preserve"> If the dose of </w:t>
      </w:r>
      <w:r w:rsidRPr="000301BB">
        <w:rPr>
          <w:iCs/>
        </w:rPr>
        <w:t>JUVICOR</w:t>
      </w:r>
      <w:r w:rsidRPr="000301BB">
        <w:t xml:space="preserve"> is changed or </w:t>
      </w:r>
      <w:r w:rsidRPr="000301BB">
        <w:rPr>
          <w:iCs/>
        </w:rPr>
        <w:t>JUVICOR</w:t>
      </w:r>
      <w:r w:rsidRPr="000301BB">
        <w:t xml:space="preserve"> is discontinued, the same procedure should be repeated.</w:t>
      </w:r>
      <w:r w:rsidR="00997341" w:rsidRPr="000301BB">
        <w:t xml:space="preserve"> </w:t>
      </w:r>
      <w:r w:rsidRPr="000301BB">
        <w:t xml:space="preserve"> Simvastatin therapy has not been associated with bleeding or with changes in prothrombin time in patients not taking anticoagulants.</w:t>
      </w:r>
    </w:p>
    <w:p w:rsidR="00997341" w:rsidRPr="000301BB" w:rsidRDefault="00997341" w:rsidP="009E55B6">
      <w:pPr>
        <w:tabs>
          <w:tab w:val="left" w:pos="840"/>
        </w:tabs>
        <w:spacing w:before="100" w:beforeAutospacing="1" w:after="100" w:afterAutospacing="1"/>
        <w:ind w:left="357"/>
        <w:outlineLvl w:val="0"/>
      </w:pPr>
      <w:r w:rsidRPr="000301BB">
        <w:rPr>
          <w:iCs/>
          <w:u w:val="single"/>
        </w:rPr>
        <w:t>Propranolol</w:t>
      </w:r>
      <w:r w:rsidR="0027504B" w:rsidRPr="000301BB">
        <w:rPr>
          <w:color w:val="000000"/>
        </w:rPr>
        <w:t>:</w:t>
      </w:r>
      <w:r w:rsidR="0027504B" w:rsidRPr="000301BB">
        <w:t xml:space="preserve"> </w:t>
      </w:r>
      <w:r w:rsidRPr="000301BB">
        <w:t>In normal volunteers, concomitant administration of single doses of simvastatin with propranolol produced no clinically significant pharmacokinetic or pharmacodynamic int</w:t>
      </w:r>
      <w:r w:rsidR="009E55B6">
        <w:t>eraction.</w:t>
      </w:r>
    </w:p>
    <w:p w:rsidR="00997341" w:rsidRPr="000301BB" w:rsidRDefault="00997341" w:rsidP="009E55B6">
      <w:pPr>
        <w:tabs>
          <w:tab w:val="left" w:pos="840"/>
        </w:tabs>
        <w:spacing w:before="100" w:beforeAutospacing="1" w:after="100" w:afterAutospacing="1"/>
        <w:ind w:left="357"/>
        <w:outlineLvl w:val="0"/>
      </w:pPr>
      <w:r w:rsidRPr="000301BB">
        <w:rPr>
          <w:iCs/>
          <w:u w:val="single"/>
        </w:rPr>
        <w:t>Antipyrine</w:t>
      </w:r>
      <w:r w:rsidR="0027504B" w:rsidRPr="000301BB">
        <w:rPr>
          <w:color w:val="000000"/>
        </w:rPr>
        <w:t>:</w:t>
      </w:r>
      <w:r w:rsidR="0027504B" w:rsidRPr="000301BB">
        <w:t xml:space="preserve"> </w:t>
      </w:r>
      <w:r w:rsidRPr="000301BB">
        <w:t xml:space="preserve">Simvastatin had no effect on the pharmacokinetics of antipyrine.  However, since simvastatin is metabolised by the CYP3A4, this does not preclude an interaction with other </w:t>
      </w:r>
      <w:r w:rsidR="006D3DC8" w:rsidRPr="000301BB">
        <w:t>medicine</w:t>
      </w:r>
      <w:r w:rsidRPr="000301BB">
        <w:t xml:space="preserve">s metabolised by the same isoform. </w:t>
      </w:r>
    </w:p>
    <w:p w:rsidR="00997341" w:rsidRPr="000301BB" w:rsidRDefault="00B3202E" w:rsidP="0027504B">
      <w:pPr>
        <w:tabs>
          <w:tab w:val="left" w:pos="840"/>
        </w:tabs>
        <w:ind w:left="357"/>
        <w:outlineLvl w:val="0"/>
      </w:pPr>
      <w:r w:rsidRPr="000301BB">
        <w:rPr>
          <w:iCs/>
          <w:u w:val="single"/>
        </w:rPr>
        <w:t>Other concomitant therapy</w:t>
      </w:r>
      <w:r w:rsidR="0027504B" w:rsidRPr="000301BB">
        <w:rPr>
          <w:color w:val="000000"/>
        </w:rPr>
        <w:t xml:space="preserve">: </w:t>
      </w:r>
      <w:r w:rsidR="00997341" w:rsidRPr="000301BB">
        <w:t xml:space="preserve">In clinical studies, </w:t>
      </w:r>
      <w:r w:rsidRPr="000301BB">
        <w:t>simvastatin</w:t>
      </w:r>
      <w:r w:rsidR="00997341" w:rsidRPr="000301BB">
        <w:t xml:space="preserve"> was used concomitantly with beta-blockers, diuretics and non</w:t>
      </w:r>
      <w:r w:rsidR="00097D1B" w:rsidRPr="000301BB">
        <w:t>-</w:t>
      </w:r>
      <w:r w:rsidR="00997341" w:rsidRPr="000301BB">
        <w:t xml:space="preserve">steroidal anti-inflammatory </w:t>
      </w:r>
      <w:r w:rsidR="007A7434" w:rsidRPr="000301BB">
        <w:t>medicine</w:t>
      </w:r>
      <w:r w:rsidR="00997341" w:rsidRPr="000301BB">
        <w:t>s (NSAIDS) without evidence of clinically significant adverse interactions.</w:t>
      </w:r>
    </w:p>
    <w:p w:rsidR="00B318B5" w:rsidRPr="000301BB" w:rsidRDefault="00B318B5" w:rsidP="009E55B6">
      <w:pPr>
        <w:pStyle w:val="Heading2"/>
      </w:pPr>
      <w:r w:rsidRPr="000301BB">
        <w:t>Adverse effects</w:t>
      </w:r>
    </w:p>
    <w:p w:rsidR="00980386" w:rsidRPr="000301BB" w:rsidRDefault="00980386" w:rsidP="009E55B6">
      <w:pPr>
        <w:spacing w:after="100" w:afterAutospacing="1"/>
        <w:rPr>
          <w:iCs/>
        </w:rPr>
      </w:pPr>
      <w:r w:rsidRPr="000301BB">
        <w:rPr>
          <w:iCs/>
        </w:rPr>
        <w:t>In a pooled subgroup analysis of 19 controlled clinical studies of sitagliptin involving 1</w:t>
      </w:r>
      <w:r w:rsidR="00017319" w:rsidRPr="000301BB">
        <w:rPr>
          <w:iCs/>
        </w:rPr>
        <w:t>,</w:t>
      </w:r>
      <w:r w:rsidRPr="000301BB">
        <w:rPr>
          <w:iCs/>
        </w:rPr>
        <w:t xml:space="preserve">582 patients whose background therapy included simvastatin, incidences of adverse reactions for patients treated with sitagliptin and simvastatin (n=827) were similar to those for patients treated with control therapy (placebo or active comparator) and simvastatin (n=755). </w:t>
      </w:r>
      <w:r w:rsidR="00FD21EF" w:rsidRPr="000301BB">
        <w:rPr>
          <w:iCs/>
        </w:rPr>
        <w:t xml:space="preserve"> </w:t>
      </w:r>
      <w:r w:rsidRPr="000301BB">
        <w:rPr>
          <w:iCs/>
        </w:rPr>
        <w:t>Among these patients, 3.3% of the sitagliptin-treated group and 4.2% of controls discontinued due to adverse reactions.</w:t>
      </w:r>
    </w:p>
    <w:p w:rsidR="00980386" w:rsidRPr="00540326" w:rsidRDefault="00980386" w:rsidP="00540326">
      <w:pPr>
        <w:pStyle w:val="Heading4"/>
      </w:pPr>
      <w:r w:rsidRPr="00540326">
        <w:lastRenderedPageBreak/>
        <w:t>Sitagliptin</w:t>
      </w:r>
    </w:p>
    <w:p w:rsidR="009B0AF5" w:rsidRPr="000301BB" w:rsidRDefault="009B0AF5" w:rsidP="00540326">
      <w:pPr>
        <w:spacing w:after="100" w:afterAutospacing="1"/>
      </w:pPr>
      <w:r w:rsidRPr="000301BB">
        <w:t xml:space="preserve">In controlled clinical studies as </w:t>
      </w:r>
      <w:proofErr w:type="gramStart"/>
      <w:r w:rsidRPr="000301BB">
        <w:t>both monotherapy</w:t>
      </w:r>
      <w:proofErr w:type="gramEnd"/>
      <w:r w:rsidRPr="000301BB">
        <w:t xml:space="preserve"> and combination therapy with metformin or pioglitazone, the overall incidence of adverse reactions, hypoglycaemia, and discontinuation of therapy due to clinical adverse reactions with </w:t>
      </w:r>
      <w:r w:rsidR="00321E75" w:rsidRPr="000301BB">
        <w:t>sitagliptin</w:t>
      </w:r>
      <w:r w:rsidRPr="000301BB">
        <w:t xml:space="preserve"> were similar to placebo. </w:t>
      </w:r>
      <w:r w:rsidR="00321E75" w:rsidRPr="000301BB">
        <w:t xml:space="preserve"> </w:t>
      </w:r>
      <w:r w:rsidRPr="000301BB">
        <w:t xml:space="preserve">In combination with glimepiride, with or without metformin, the overall incidence of clinical adverse reactions with </w:t>
      </w:r>
      <w:r w:rsidR="00321E75" w:rsidRPr="000301BB">
        <w:t>sitagliptin</w:t>
      </w:r>
      <w:r w:rsidRPr="000301BB">
        <w:t xml:space="preserve"> was higher than with placebo, in part related to a higher incidence of hypoglycaemia (see Table </w:t>
      </w:r>
      <w:r w:rsidR="00321E75" w:rsidRPr="000301BB">
        <w:t>1</w:t>
      </w:r>
      <w:r w:rsidR="001B3212" w:rsidRPr="000301BB">
        <w:t>1</w:t>
      </w:r>
      <w:r w:rsidRPr="000301BB">
        <w:t>); the incidence of discontinuation due to clinical adverse reactions was similar to placebo.</w:t>
      </w:r>
    </w:p>
    <w:p w:rsidR="009B0AF5" w:rsidRPr="000301BB" w:rsidRDefault="009B0AF5" w:rsidP="009E55B6">
      <w:pPr>
        <w:spacing w:before="100" w:beforeAutospacing="1" w:after="100" w:afterAutospacing="1"/>
      </w:pPr>
      <w:r w:rsidRPr="000301BB">
        <w:t xml:space="preserve">Two placebo-controlled monotherapy studies, one of 18- and one of 24-week duration, included patients treated with </w:t>
      </w:r>
      <w:r w:rsidR="00321E75" w:rsidRPr="000301BB">
        <w:t>sitagliptin</w:t>
      </w:r>
      <w:r w:rsidRPr="000301BB">
        <w:t xml:space="preserve"> 100 mg daily, </w:t>
      </w:r>
      <w:r w:rsidR="00321E75" w:rsidRPr="000301BB">
        <w:t>sitagliptin</w:t>
      </w:r>
      <w:r w:rsidRPr="000301BB">
        <w:t xml:space="preserve"> 200 mg daily, and placebo. </w:t>
      </w:r>
      <w:r w:rsidR="008F2505" w:rsidRPr="000301BB">
        <w:t xml:space="preserve"> </w:t>
      </w:r>
      <w:r w:rsidRPr="000301BB">
        <w:t>Three 24-week, placebo-controlled add-on combination therapy studies, one with metformin, one with pioglitazone, and one with glimepiride with or without metformin, were also conducted.</w:t>
      </w:r>
      <w:r w:rsidR="00321E75" w:rsidRPr="000301BB">
        <w:t xml:space="preserve"> </w:t>
      </w:r>
      <w:r w:rsidRPr="000301BB">
        <w:t xml:space="preserve"> In addition to a stable dose of metformin, pioglitazone, glimepiride, or glimepiride and metformin, patients whose diabetes was not adequately controlled were given either </w:t>
      </w:r>
      <w:r w:rsidR="00321E75" w:rsidRPr="000301BB">
        <w:t>sitagliptin</w:t>
      </w:r>
      <w:r w:rsidRPr="000301BB">
        <w:t xml:space="preserve"> 100 mg daily or placebo. </w:t>
      </w:r>
      <w:r w:rsidR="00321E75" w:rsidRPr="000301BB">
        <w:t xml:space="preserve"> </w:t>
      </w:r>
      <w:r w:rsidRPr="000301BB">
        <w:t xml:space="preserve">The adverse reactions, reported regardless of investigator assessment of causality in </w:t>
      </w:r>
      <w:r w:rsidRPr="000301BB">
        <w:sym w:font="Symbol" w:char="F0B3"/>
      </w:r>
      <w:r w:rsidRPr="000301BB">
        <w:t xml:space="preserve">5% of patients treated with </w:t>
      </w:r>
      <w:r w:rsidR="00321E75" w:rsidRPr="000301BB">
        <w:t>sitagliptin</w:t>
      </w:r>
      <w:r w:rsidRPr="000301BB">
        <w:t xml:space="preserve"> 100 mg daily as monotherapy, </w:t>
      </w:r>
      <w:r w:rsidR="00725EC9" w:rsidRPr="000301BB">
        <w:t>sitagliptin</w:t>
      </w:r>
      <w:r w:rsidRPr="000301BB">
        <w:t xml:space="preserve"> in combination with pioglitazone, or </w:t>
      </w:r>
      <w:r w:rsidR="00321E75" w:rsidRPr="000301BB">
        <w:t>sitagliptin</w:t>
      </w:r>
      <w:r w:rsidRPr="000301BB">
        <w:t xml:space="preserve"> in combination with glimepiride, with or without metformin, and more commonly than in patients treated with placebo, are shown in Table </w:t>
      </w:r>
      <w:r w:rsidR="00321E75" w:rsidRPr="000301BB">
        <w:t>1</w:t>
      </w:r>
      <w:r w:rsidR="001B3212" w:rsidRPr="000301BB">
        <w:t>1</w:t>
      </w:r>
      <w:r w:rsidRPr="000301BB">
        <w:t>.</w:t>
      </w:r>
    </w:p>
    <w:p w:rsidR="001E3D9B" w:rsidRPr="000301BB" w:rsidRDefault="001E3D9B" w:rsidP="00496D84">
      <w:pPr>
        <w:pageBreakBefore/>
      </w:pPr>
      <w:r w:rsidRPr="000301BB">
        <w:rPr>
          <w:b/>
          <w:sz w:val="20"/>
          <w:szCs w:val="20"/>
        </w:rPr>
        <w:lastRenderedPageBreak/>
        <w:t xml:space="preserve">Table </w:t>
      </w:r>
      <w:proofErr w:type="gramStart"/>
      <w:r w:rsidRPr="000301BB">
        <w:rPr>
          <w:b/>
          <w:sz w:val="20"/>
          <w:szCs w:val="20"/>
        </w:rPr>
        <w:t>1</w:t>
      </w:r>
      <w:r w:rsidR="001B3212" w:rsidRPr="000301BB">
        <w:rPr>
          <w:b/>
          <w:sz w:val="20"/>
          <w:szCs w:val="20"/>
        </w:rPr>
        <w:t>1</w:t>
      </w:r>
      <w:r w:rsidRPr="000301BB">
        <w:rPr>
          <w:b/>
          <w:sz w:val="20"/>
          <w:szCs w:val="20"/>
        </w:rPr>
        <w:t xml:space="preserve">  Placebo</w:t>
      </w:r>
      <w:proofErr w:type="gramEnd"/>
      <w:r w:rsidRPr="000301BB">
        <w:rPr>
          <w:b/>
          <w:sz w:val="20"/>
          <w:szCs w:val="20"/>
        </w:rPr>
        <w:t xml:space="preserve">-Controlled Clinical Studies of Sitagliptin Monotherapy* or Add-on Combination Therapy with Pioglitazone or Glimepiride +/- Metformin: Adverse Reactions Reported in </w:t>
      </w:r>
      <w:r w:rsidRPr="000301BB">
        <w:rPr>
          <w:b/>
          <w:sz w:val="20"/>
          <w:szCs w:val="20"/>
        </w:rPr>
        <w:sym w:font="Symbol" w:char="F0B3"/>
      </w:r>
      <w:r w:rsidRPr="000301BB">
        <w:rPr>
          <w:b/>
          <w:sz w:val="20"/>
          <w:szCs w:val="20"/>
        </w:rPr>
        <w:t>5% of Patients and More Commonly than in Patients Given Placebo, Regardless of Investigator Assessment of Causality</w:t>
      </w:r>
      <w:r w:rsidRPr="000301BB">
        <w:rPr>
          <w:b/>
          <w:sz w:val="20"/>
          <w:szCs w:val="20"/>
          <w:vertAlign w:val="superscript"/>
        </w:rPr>
        <w:t>†</w:t>
      </w:r>
    </w:p>
    <w:tbl>
      <w:tblPr>
        <w:tblW w:w="8948" w:type="dxa"/>
        <w:tblInd w:w="57" w:type="dxa"/>
        <w:tblLayout w:type="fixed"/>
        <w:tblCellMar>
          <w:left w:w="57" w:type="dxa"/>
          <w:right w:w="57" w:type="dxa"/>
        </w:tblCellMar>
        <w:tblLook w:val="0000"/>
      </w:tblPr>
      <w:tblGrid>
        <w:gridCol w:w="3548"/>
        <w:gridCol w:w="2161"/>
        <w:gridCol w:w="3239"/>
      </w:tblGrid>
      <w:tr w:rsidR="009B0AF5" w:rsidRPr="000301BB" w:rsidTr="004A4B1D">
        <w:tc>
          <w:tcPr>
            <w:tcW w:w="3548" w:type="dxa"/>
            <w:tcBorders>
              <w:top w:val="single" w:sz="4" w:space="0" w:color="auto"/>
              <w:left w:val="single" w:sz="4" w:space="0" w:color="auto"/>
              <w:bottom w:val="double" w:sz="4" w:space="0" w:color="auto"/>
              <w:right w:val="single" w:sz="4" w:space="0" w:color="auto"/>
            </w:tcBorders>
          </w:tcPr>
          <w:p w:rsidR="009B0AF5" w:rsidRPr="000301BB" w:rsidRDefault="009B0AF5" w:rsidP="001E3D9B">
            <w:pPr>
              <w:spacing w:before="20" w:after="20"/>
              <w:rPr>
                <w:b/>
                <w:sz w:val="20"/>
                <w:szCs w:val="20"/>
              </w:rPr>
            </w:pPr>
            <w:r w:rsidRPr="000301BB">
              <w:rPr>
                <w:b/>
                <w:sz w:val="20"/>
                <w:szCs w:val="20"/>
              </w:rPr>
              <w:t>Body System/Adverse Reactions</w:t>
            </w:r>
          </w:p>
        </w:tc>
        <w:tc>
          <w:tcPr>
            <w:tcW w:w="5400" w:type="dxa"/>
            <w:gridSpan w:val="2"/>
            <w:tcBorders>
              <w:top w:val="single" w:sz="4" w:space="0" w:color="auto"/>
              <w:left w:val="single" w:sz="4" w:space="0" w:color="auto"/>
              <w:bottom w:val="double" w:sz="4" w:space="0" w:color="auto"/>
              <w:right w:val="single" w:sz="4" w:space="0" w:color="auto"/>
            </w:tcBorders>
          </w:tcPr>
          <w:p w:rsidR="009B0AF5" w:rsidRPr="000301BB" w:rsidRDefault="009B0AF5" w:rsidP="001E3D9B">
            <w:pPr>
              <w:spacing w:before="20" w:after="20"/>
              <w:jc w:val="center"/>
              <w:rPr>
                <w:sz w:val="20"/>
                <w:szCs w:val="20"/>
              </w:rPr>
            </w:pPr>
            <w:r w:rsidRPr="000301BB">
              <w:rPr>
                <w:b/>
                <w:sz w:val="20"/>
                <w:szCs w:val="20"/>
              </w:rPr>
              <w:t>Number of Patients (%)</w:t>
            </w:r>
          </w:p>
        </w:tc>
      </w:tr>
      <w:tr w:rsidR="009B0AF5" w:rsidRPr="000301BB" w:rsidTr="004A4B1D">
        <w:trPr>
          <w:trHeight w:hRule="exact" w:val="288"/>
        </w:trPr>
        <w:tc>
          <w:tcPr>
            <w:tcW w:w="3548" w:type="dxa"/>
            <w:tcBorders>
              <w:top w:val="double" w:sz="4" w:space="0" w:color="auto"/>
              <w:left w:val="single" w:sz="4" w:space="0" w:color="auto"/>
              <w:bottom w:val="single" w:sz="4" w:space="0" w:color="auto"/>
              <w:right w:val="single" w:sz="4" w:space="0" w:color="auto"/>
            </w:tcBorders>
          </w:tcPr>
          <w:p w:rsidR="009B0AF5" w:rsidRPr="000301BB" w:rsidRDefault="009B0AF5" w:rsidP="001E3D9B">
            <w:pPr>
              <w:spacing w:before="20" w:after="20"/>
              <w:rPr>
                <w:b/>
                <w:sz w:val="20"/>
                <w:szCs w:val="20"/>
              </w:rPr>
            </w:pPr>
          </w:p>
        </w:tc>
        <w:tc>
          <w:tcPr>
            <w:tcW w:w="2161" w:type="dxa"/>
            <w:tcBorders>
              <w:top w:val="double" w:sz="4" w:space="0" w:color="auto"/>
              <w:left w:val="single" w:sz="4" w:space="0" w:color="auto"/>
              <w:bottom w:val="single" w:sz="4" w:space="0" w:color="auto"/>
              <w:right w:val="single" w:sz="4" w:space="0" w:color="auto"/>
            </w:tcBorders>
          </w:tcPr>
          <w:p w:rsidR="009B0AF5" w:rsidRPr="000301BB" w:rsidRDefault="00324687" w:rsidP="001E3D9B">
            <w:pPr>
              <w:spacing w:before="20" w:after="20"/>
              <w:jc w:val="center"/>
              <w:rPr>
                <w:b/>
                <w:sz w:val="20"/>
                <w:szCs w:val="20"/>
              </w:rPr>
            </w:pPr>
            <w:r w:rsidRPr="000301BB">
              <w:rPr>
                <w:b/>
                <w:sz w:val="20"/>
                <w:szCs w:val="20"/>
              </w:rPr>
              <w:t>Sitagliptin</w:t>
            </w:r>
            <w:r w:rsidR="009B0AF5" w:rsidRPr="000301BB">
              <w:rPr>
                <w:b/>
                <w:sz w:val="20"/>
                <w:szCs w:val="20"/>
              </w:rPr>
              <w:t xml:space="preserve"> 100 mg</w:t>
            </w:r>
          </w:p>
        </w:tc>
        <w:tc>
          <w:tcPr>
            <w:tcW w:w="3239" w:type="dxa"/>
            <w:tcBorders>
              <w:top w:val="double" w:sz="4" w:space="0" w:color="auto"/>
              <w:left w:val="single" w:sz="4" w:space="0" w:color="auto"/>
              <w:bottom w:val="single" w:sz="4" w:space="0" w:color="auto"/>
              <w:right w:val="single" w:sz="4" w:space="0" w:color="auto"/>
            </w:tcBorders>
          </w:tcPr>
          <w:p w:rsidR="009B0AF5" w:rsidRPr="000301BB" w:rsidRDefault="009B0AF5" w:rsidP="001E3D9B">
            <w:pPr>
              <w:spacing w:before="20" w:after="20"/>
              <w:jc w:val="center"/>
              <w:rPr>
                <w:b/>
                <w:sz w:val="20"/>
                <w:szCs w:val="20"/>
              </w:rPr>
            </w:pPr>
            <w:r w:rsidRPr="000301BB">
              <w:rPr>
                <w:b/>
                <w:sz w:val="20"/>
                <w:szCs w:val="20"/>
              </w:rPr>
              <w:t>Placebo</w:t>
            </w:r>
          </w:p>
        </w:tc>
      </w:tr>
      <w:tr w:rsidR="009B0AF5" w:rsidRPr="000301BB" w:rsidTr="004A4B1D">
        <w:tc>
          <w:tcPr>
            <w:tcW w:w="3548" w:type="dxa"/>
            <w:tcBorders>
              <w:top w:val="single" w:sz="4" w:space="0" w:color="auto"/>
              <w:left w:val="single" w:sz="4" w:space="0" w:color="auto"/>
              <w:bottom w:val="single" w:sz="4" w:space="0" w:color="auto"/>
              <w:right w:val="single" w:sz="4" w:space="0" w:color="auto"/>
            </w:tcBorders>
          </w:tcPr>
          <w:p w:rsidR="009B0AF5" w:rsidRPr="000301BB" w:rsidRDefault="009B0AF5" w:rsidP="001E3D9B">
            <w:pPr>
              <w:spacing w:before="20" w:after="20"/>
              <w:rPr>
                <w:b/>
                <w:sz w:val="20"/>
                <w:szCs w:val="20"/>
              </w:rPr>
            </w:pPr>
          </w:p>
        </w:tc>
        <w:tc>
          <w:tcPr>
            <w:tcW w:w="2161" w:type="dxa"/>
            <w:tcBorders>
              <w:top w:val="single" w:sz="4" w:space="0" w:color="auto"/>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r w:rsidRPr="000301BB">
              <w:rPr>
                <w:sz w:val="20"/>
                <w:szCs w:val="20"/>
              </w:rPr>
              <w:t>N = 443</w:t>
            </w:r>
          </w:p>
        </w:tc>
        <w:tc>
          <w:tcPr>
            <w:tcW w:w="3239" w:type="dxa"/>
            <w:tcBorders>
              <w:top w:val="single" w:sz="4" w:space="0" w:color="auto"/>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r w:rsidRPr="000301BB">
              <w:rPr>
                <w:sz w:val="20"/>
                <w:szCs w:val="20"/>
              </w:rPr>
              <w:t>N = 363</w:t>
            </w:r>
          </w:p>
        </w:tc>
      </w:tr>
      <w:tr w:rsidR="009B0AF5" w:rsidRPr="000301BB" w:rsidTr="004A4B1D">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rPr>
                <w:b/>
                <w:sz w:val="20"/>
                <w:szCs w:val="20"/>
              </w:rPr>
            </w:pPr>
            <w:r w:rsidRPr="000301BB">
              <w:rPr>
                <w:b/>
                <w:sz w:val="20"/>
                <w:szCs w:val="20"/>
              </w:rPr>
              <w:t>Infections and Infestations</w:t>
            </w: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c>
          <w:tcPr>
            <w:tcW w:w="3239" w:type="dxa"/>
            <w:tcBorders>
              <w:top w:val="single" w:sz="4" w:space="0" w:color="auto"/>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r>
      <w:tr w:rsidR="009B0AF5" w:rsidRPr="000301BB" w:rsidTr="004A4B1D">
        <w:trPr>
          <w:trHeight w:val="210"/>
        </w:trPr>
        <w:tc>
          <w:tcPr>
            <w:tcW w:w="3548" w:type="dxa"/>
            <w:tcBorders>
              <w:top w:val="single" w:sz="4" w:space="0" w:color="auto"/>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ind w:left="175"/>
              <w:rPr>
                <w:sz w:val="20"/>
                <w:szCs w:val="20"/>
              </w:rPr>
            </w:pPr>
            <w:r w:rsidRPr="000301BB">
              <w:rPr>
                <w:sz w:val="20"/>
                <w:szCs w:val="20"/>
              </w:rPr>
              <w:t>Nasopharyngitis</w:t>
            </w:r>
          </w:p>
        </w:tc>
        <w:tc>
          <w:tcPr>
            <w:tcW w:w="2161" w:type="dxa"/>
            <w:tcBorders>
              <w:top w:val="single" w:sz="4" w:space="0" w:color="auto"/>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23 (5.2)</w:t>
            </w:r>
          </w:p>
        </w:tc>
        <w:tc>
          <w:tcPr>
            <w:tcW w:w="3239" w:type="dxa"/>
            <w:tcBorders>
              <w:top w:val="single" w:sz="4" w:space="0" w:color="auto"/>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12 (3.3)</w:t>
            </w:r>
          </w:p>
        </w:tc>
      </w:tr>
      <w:tr w:rsidR="009B0AF5" w:rsidRPr="000301BB" w:rsidTr="004A4B1D">
        <w:trPr>
          <w:trHeight w:val="210"/>
        </w:trPr>
        <w:tc>
          <w:tcPr>
            <w:tcW w:w="3548" w:type="dxa"/>
            <w:tcBorders>
              <w:top w:val="double" w:sz="4" w:space="0" w:color="auto"/>
              <w:left w:val="single" w:sz="4" w:space="0" w:color="auto"/>
              <w:bottom w:val="single" w:sz="4" w:space="0" w:color="auto"/>
              <w:right w:val="single" w:sz="4" w:space="0" w:color="auto"/>
            </w:tcBorders>
          </w:tcPr>
          <w:p w:rsidR="009B0AF5" w:rsidRPr="000301BB" w:rsidRDefault="009B0AF5" w:rsidP="001E3D9B">
            <w:pPr>
              <w:spacing w:before="20" w:after="20"/>
              <w:rPr>
                <w:b/>
                <w:sz w:val="20"/>
                <w:szCs w:val="20"/>
              </w:rPr>
            </w:pPr>
          </w:p>
        </w:tc>
        <w:tc>
          <w:tcPr>
            <w:tcW w:w="2161" w:type="dxa"/>
            <w:tcBorders>
              <w:top w:val="double" w:sz="4" w:space="0" w:color="auto"/>
              <w:left w:val="single" w:sz="4" w:space="0" w:color="auto"/>
              <w:bottom w:val="single" w:sz="4" w:space="0" w:color="auto"/>
              <w:right w:val="single" w:sz="4" w:space="0" w:color="auto"/>
            </w:tcBorders>
          </w:tcPr>
          <w:p w:rsidR="009B0AF5" w:rsidRPr="000301BB" w:rsidRDefault="00324687" w:rsidP="001E3D9B">
            <w:pPr>
              <w:spacing w:before="20" w:after="20"/>
              <w:jc w:val="center"/>
              <w:rPr>
                <w:b/>
                <w:sz w:val="20"/>
                <w:szCs w:val="20"/>
              </w:rPr>
            </w:pPr>
            <w:r w:rsidRPr="000301BB">
              <w:rPr>
                <w:b/>
                <w:sz w:val="20"/>
                <w:szCs w:val="20"/>
              </w:rPr>
              <w:t>Sitagliptin</w:t>
            </w:r>
            <w:r w:rsidR="009B0AF5" w:rsidRPr="000301BB">
              <w:rPr>
                <w:b/>
                <w:sz w:val="20"/>
                <w:szCs w:val="20"/>
              </w:rPr>
              <w:t xml:space="preserve"> 100 mg +</w:t>
            </w:r>
          </w:p>
          <w:p w:rsidR="009B0AF5" w:rsidRPr="000301BB" w:rsidRDefault="009B0AF5" w:rsidP="001E3D9B">
            <w:pPr>
              <w:spacing w:before="20" w:after="20"/>
              <w:jc w:val="center"/>
              <w:rPr>
                <w:b/>
                <w:sz w:val="20"/>
                <w:szCs w:val="20"/>
              </w:rPr>
            </w:pPr>
            <w:r w:rsidRPr="000301BB">
              <w:rPr>
                <w:b/>
                <w:sz w:val="20"/>
                <w:szCs w:val="20"/>
              </w:rPr>
              <w:t>Pioglitazone</w:t>
            </w:r>
          </w:p>
        </w:tc>
        <w:tc>
          <w:tcPr>
            <w:tcW w:w="3239" w:type="dxa"/>
            <w:tcBorders>
              <w:top w:val="double" w:sz="4" w:space="0" w:color="auto"/>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r w:rsidRPr="000301BB">
              <w:rPr>
                <w:b/>
                <w:sz w:val="20"/>
                <w:szCs w:val="20"/>
              </w:rPr>
              <w:t>Placebo +</w:t>
            </w:r>
          </w:p>
          <w:p w:rsidR="009B0AF5" w:rsidRPr="000301BB" w:rsidRDefault="009B0AF5" w:rsidP="001E3D9B">
            <w:pPr>
              <w:spacing w:before="20" w:after="20"/>
              <w:jc w:val="center"/>
              <w:rPr>
                <w:b/>
                <w:sz w:val="20"/>
                <w:szCs w:val="20"/>
              </w:rPr>
            </w:pPr>
            <w:r w:rsidRPr="000301BB">
              <w:rPr>
                <w:b/>
                <w:sz w:val="20"/>
                <w:szCs w:val="20"/>
              </w:rPr>
              <w:t>Pioglitazone</w:t>
            </w:r>
          </w:p>
        </w:tc>
      </w:tr>
      <w:tr w:rsidR="009B0AF5" w:rsidRPr="000301BB" w:rsidTr="004A4B1D">
        <w:trPr>
          <w:trHeight w:val="210"/>
        </w:trPr>
        <w:tc>
          <w:tcPr>
            <w:tcW w:w="3548" w:type="dxa"/>
            <w:tcBorders>
              <w:left w:val="single" w:sz="4" w:space="0" w:color="auto"/>
              <w:bottom w:val="single" w:sz="4" w:space="0" w:color="auto"/>
              <w:right w:val="single" w:sz="4" w:space="0" w:color="auto"/>
            </w:tcBorders>
          </w:tcPr>
          <w:p w:rsidR="009B0AF5" w:rsidRPr="000301BB" w:rsidRDefault="009B0AF5" w:rsidP="001E3D9B">
            <w:pPr>
              <w:spacing w:before="20" w:after="20"/>
              <w:rPr>
                <w:b/>
                <w:sz w:val="20"/>
                <w:szCs w:val="20"/>
              </w:rPr>
            </w:pPr>
          </w:p>
        </w:tc>
        <w:tc>
          <w:tcPr>
            <w:tcW w:w="2161" w:type="dxa"/>
            <w:tcBorders>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r w:rsidRPr="000301BB">
              <w:rPr>
                <w:sz w:val="20"/>
                <w:szCs w:val="20"/>
              </w:rPr>
              <w:t>N = 175</w:t>
            </w:r>
          </w:p>
        </w:tc>
        <w:tc>
          <w:tcPr>
            <w:tcW w:w="3239" w:type="dxa"/>
            <w:tcBorders>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r w:rsidRPr="000301BB">
              <w:rPr>
                <w:sz w:val="20"/>
                <w:szCs w:val="20"/>
              </w:rPr>
              <w:t>N = 178</w:t>
            </w:r>
          </w:p>
        </w:tc>
      </w:tr>
      <w:tr w:rsidR="009B0AF5" w:rsidRPr="000301BB" w:rsidTr="004A4B1D">
        <w:trPr>
          <w:trHeight w:val="210"/>
        </w:trPr>
        <w:tc>
          <w:tcPr>
            <w:tcW w:w="3548" w:type="dxa"/>
            <w:tcBorders>
              <w:left w:val="single" w:sz="4" w:space="0" w:color="auto"/>
              <w:bottom w:val="single" w:sz="4" w:space="0" w:color="auto"/>
              <w:right w:val="single" w:sz="4" w:space="0" w:color="auto"/>
            </w:tcBorders>
          </w:tcPr>
          <w:p w:rsidR="009B0AF5" w:rsidRPr="000301BB" w:rsidRDefault="009B0AF5" w:rsidP="001E3D9B">
            <w:pPr>
              <w:spacing w:before="20" w:after="20"/>
              <w:rPr>
                <w:sz w:val="20"/>
                <w:szCs w:val="20"/>
              </w:rPr>
            </w:pPr>
            <w:r w:rsidRPr="000301BB">
              <w:rPr>
                <w:b/>
                <w:sz w:val="20"/>
                <w:szCs w:val="20"/>
              </w:rPr>
              <w:t>Infections and Infestations</w:t>
            </w:r>
          </w:p>
        </w:tc>
        <w:tc>
          <w:tcPr>
            <w:tcW w:w="2161" w:type="dxa"/>
            <w:tcBorders>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p>
        </w:tc>
        <w:tc>
          <w:tcPr>
            <w:tcW w:w="3239" w:type="dxa"/>
            <w:tcBorders>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p>
        </w:tc>
      </w:tr>
      <w:tr w:rsidR="009B0AF5" w:rsidRPr="000301BB" w:rsidTr="004A4B1D">
        <w:trPr>
          <w:trHeight w:val="210"/>
        </w:trPr>
        <w:tc>
          <w:tcPr>
            <w:tcW w:w="3548"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ind w:left="175"/>
              <w:rPr>
                <w:sz w:val="20"/>
                <w:szCs w:val="20"/>
              </w:rPr>
            </w:pPr>
            <w:r w:rsidRPr="000301BB">
              <w:rPr>
                <w:sz w:val="20"/>
                <w:szCs w:val="20"/>
              </w:rPr>
              <w:t>Upper Respiratory Tract Infection</w:t>
            </w:r>
          </w:p>
        </w:tc>
        <w:tc>
          <w:tcPr>
            <w:tcW w:w="2161" w:type="dxa"/>
            <w:tcBorders>
              <w:left w:val="single" w:sz="4" w:space="0" w:color="auto"/>
              <w:bottom w:val="single" w:sz="4" w:space="0" w:color="auto"/>
              <w:right w:val="single" w:sz="4" w:space="0" w:color="auto"/>
            </w:tcBorders>
            <w:shd w:val="clear" w:color="auto" w:fill="auto"/>
            <w:vAlign w:val="bottom"/>
          </w:tcPr>
          <w:p w:rsidR="009B0AF5" w:rsidRPr="000301BB" w:rsidRDefault="009B0AF5" w:rsidP="001E3D9B">
            <w:pPr>
              <w:spacing w:before="20" w:after="20"/>
              <w:jc w:val="center"/>
              <w:rPr>
                <w:sz w:val="20"/>
                <w:szCs w:val="20"/>
              </w:rPr>
            </w:pPr>
            <w:r w:rsidRPr="000301BB">
              <w:rPr>
                <w:sz w:val="20"/>
                <w:szCs w:val="20"/>
              </w:rPr>
              <w:t>11 (6.3)</w:t>
            </w:r>
          </w:p>
        </w:tc>
        <w:tc>
          <w:tcPr>
            <w:tcW w:w="3239" w:type="dxa"/>
            <w:tcBorders>
              <w:left w:val="single" w:sz="4" w:space="0" w:color="auto"/>
              <w:bottom w:val="single" w:sz="4" w:space="0" w:color="auto"/>
              <w:right w:val="single" w:sz="4" w:space="0" w:color="auto"/>
            </w:tcBorders>
            <w:shd w:val="clear" w:color="auto" w:fill="auto"/>
            <w:vAlign w:val="bottom"/>
          </w:tcPr>
          <w:p w:rsidR="009B0AF5" w:rsidRPr="000301BB" w:rsidRDefault="009B0AF5" w:rsidP="001E3D9B">
            <w:pPr>
              <w:spacing w:before="20" w:after="20"/>
              <w:jc w:val="center"/>
              <w:rPr>
                <w:sz w:val="20"/>
                <w:szCs w:val="20"/>
              </w:rPr>
            </w:pPr>
            <w:r w:rsidRPr="000301BB">
              <w:rPr>
                <w:sz w:val="20"/>
                <w:szCs w:val="20"/>
              </w:rPr>
              <w:t>6 (3.4)</w:t>
            </w:r>
          </w:p>
        </w:tc>
      </w:tr>
      <w:tr w:rsidR="009B0AF5" w:rsidRPr="000301BB" w:rsidTr="004A4B1D">
        <w:trPr>
          <w:trHeight w:val="210"/>
        </w:trPr>
        <w:tc>
          <w:tcPr>
            <w:tcW w:w="3548"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rPr>
                <w:b/>
                <w:sz w:val="20"/>
                <w:szCs w:val="20"/>
              </w:rPr>
            </w:pPr>
            <w:r w:rsidRPr="000301BB">
              <w:rPr>
                <w:b/>
                <w:sz w:val="20"/>
                <w:szCs w:val="20"/>
              </w:rPr>
              <w:t>Nervous System Disorders</w:t>
            </w:r>
          </w:p>
        </w:tc>
        <w:tc>
          <w:tcPr>
            <w:tcW w:w="2161"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c>
          <w:tcPr>
            <w:tcW w:w="3239"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r>
      <w:tr w:rsidR="009B0AF5" w:rsidRPr="000301BB" w:rsidTr="004A4B1D">
        <w:trPr>
          <w:trHeight w:val="210"/>
        </w:trPr>
        <w:tc>
          <w:tcPr>
            <w:tcW w:w="3548" w:type="dxa"/>
            <w:tcBorders>
              <w:left w:val="single" w:sz="4" w:space="0" w:color="auto"/>
              <w:bottom w:val="double" w:sz="4" w:space="0" w:color="auto"/>
              <w:right w:val="single" w:sz="4" w:space="0" w:color="auto"/>
            </w:tcBorders>
            <w:shd w:val="clear" w:color="auto" w:fill="auto"/>
          </w:tcPr>
          <w:p w:rsidR="009B0AF5" w:rsidRPr="000301BB" w:rsidRDefault="009B0AF5" w:rsidP="001E3D9B">
            <w:pPr>
              <w:spacing w:before="20" w:after="20"/>
              <w:ind w:left="175"/>
              <w:rPr>
                <w:sz w:val="20"/>
                <w:szCs w:val="20"/>
              </w:rPr>
            </w:pPr>
            <w:r w:rsidRPr="000301BB">
              <w:rPr>
                <w:sz w:val="20"/>
                <w:szCs w:val="20"/>
              </w:rPr>
              <w:t>Headache</w:t>
            </w:r>
          </w:p>
        </w:tc>
        <w:tc>
          <w:tcPr>
            <w:tcW w:w="2161" w:type="dxa"/>
            <w:tcBorders>
              <w:left w:val="single" w:sz="4" w:space="0" w:color="auto"/>
              <w:bottom w:val="doub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9 (5.1)</w:t>
            </w:r>
          </w:p>
        </w:tc>
        <w:tc>
          <w:tcPr>
            <w:tcW w:w="3239" w:type="dxa"/>
            <w:tcBorders>
              <w:left w:val="single" w:sz="4" w:space="0" w:color="auto"/>
              <w:bottom w:val="doub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7 (3.9)</w:t>
            </w:r>
          </w:p>
        </w:tc>
      </w:tr>
      <w:tr w:rsidR="009B0AF5" w:rsidRPr="000301BB" w:rsidTr="004A4B1D">
        <w:trPr>
          <w:trHeight w:val="210"/>
        </w:trPr>
        <w:tc>
          <w:tcPr>
            <w:tcW w:w="3548" w:type="dxa"/>
            <w:tcBorders>
              <w:top w:val="double" w:sz="4" w:space="0" w:color="auto"/>
              <w:left w:val="single" w:sz="4" w:space="0" w:color="auto"/>
              <w:bottom w:val="single" w:sz="4" w:space="0" w:color="auto"/>
              <w:right w:val="single" w:sz="4" w:space="0" w:color="auto"/>
            </w:tcBorders>
          </w:tcPr>
          <w:p w:rsidR="009B0AF5" w:rsidRPr="000301BB" w:rsidRDefault="009B0AF5" w:rsidP="001E3D9B">
            <w:pPr>
              <w:spacing w:before="20" w:after="20"/>
              <w:rPr>
                <w:b/>
                <w:sz w:val="20"/>
                <w:szCs w:val="20"/>
              </w:rPr>
            </w:pPr>
          </w:p>
        </w:tc>
        <w:tc>
          <w:tcPr>
            <w:tcW w:w="2161" w:type="dxa"/>
            <w:tcBorders>
              <w:top w:val="double" w:sz="4" w:space="0" w:color="auto"/>
              <w:left w:val="single" w:sz="4" w:space="0" w:color="auto"/>
              <w:bottom w:val="single" w:sz="4" w:space="0" w:color="auto"/>
              <w:right w:val="single" w:sz="4" w:space="0" w:color="auto"/>
            </w:tcBorders>
          </w:tcPr>
          <w:p w:rsidR="009B0AF5" w:rsidRPr="000301BB" w:rsidRDefault="00324687" w:rsidP="001E3D9B">
            <w:pPr>
              <w:spacing w:before="20" w:after="20"/>
              <w:jc w:val="center"/>
              <w:rPr>
                <w:b/>
                <w:sz w:val="20"/>
                <w:szCs w:val="20"/>
              </w:rPr>
            </w:pPr>
            <w:r w:rsidRPr="000301BB">
              <w:rPr>
                <w:b/>
                <w:sz w:val="20"/>
                <w:szCs w:val="20"/>
              </w:rPr>
              <w:t>Sitagliptin</w:t>
            </w:r>
            <w:r w:rsidR="009B0AF5" w:rsidRPr="000301BB">
              <w:rPr>
                <w:b/>
                <w:sz w:val="20"/>
                <w:szCs w:val="20"/>
              </w:rPr>
              <w:t xml:space="preserve"> 100 mg</w:t>
            </w:r>
          </w:p>
          <w:p w:rsidR="009B0AF5" w:rsidRPr="000301BB" w:rsidRDefault="009B0AF5" w:rsidP="001E3D9B">
            <w:pPr>
              <w:spacing w:before="20" w:after="20"/>
              <w:jc w:val="center"/>
              <w:rPr>
                <w:b/>
                <w:sz w:val="20"/>
                <w:szCs w:val="20"/>
              </w:rPr>
            </w:pPr>
            <w:r w:rsidRPr="000301BB">
              <w:rPr>
                <w:b/>
                <w:sz w:val="20"/>
                <w:szCs w:val="20"/>
              </w:rPr>
              <w:t>+ Glimepiride</w:t>
            </w:r>
          </w:p>
          <w:p w:rsidR="009B0AF5" w:rsidRPr="000301BB" w:rsidRDefault="009B0AF5" w:rsidP="001E3D9B">
            <w:pPr>
              <w:spacing w:before="20" w:after="20"/>
              <w:jc w:val="center"/>
              <w:rPr>
                <w:b/>
                <w:sz w:val="20"/>
                <w:szCs w:val="20"/>
              </w:rPr>
            </w:pPr>
            <w:r w:rsidRPr="000301BB">
              <w:rPr>
                <w:b/>
                <w:sz w:val="20"/>
                <w:szCs w:val="20"/>
              </w:rPr>
              <w:t>(+/- Metformin)</w:t>
            </w:r>
          </w:p>
        </w:tc>
        <w:tc>
          <w:tcPr>
            <w:tcW w:w="3239" w:type="dxa"/>
            <w:tcBorders>
              <w:top w:val="double" w:sz="4" w:space="0" w:color="auto"/>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r w:rsidRPr="000301BB">
              <w:rPr>
                <w:b/>
                <w:sz w:val="20"/>
                <w:szCs w:val="20"/>
              </w:rPr>
              <w:t>Placebo</w:t>
            </w:r>
          </w:p>
          <w:p w:rsidR="009B0AF5" w:rsidRPr="000301BB" w:rsidRDefault="009B0AF5" w:rsidP="001E3D9B">
            <w:pPr>
              <w:spacing w:before="20" w:after="20"/>
              <w:jc w:val="center"/>
              <w:rPr>
                <w:b/>
                <w:sz w:val="20"/>
                <w:szCs w:val="20"/>
              </w:rPr>
            </w:pPr>
            <w:r w:rsidRPr="000301BB">
              <w:rPr>
                <w:b/>
                <w:sz w:val="20"/>
                <w:szCs w:val="20"/>
              </w:rPr>
              <w:t>+ Glimepiride</w:t>
            </w:r>
          </w:p>
          <w:p w:rsidR="009B0AF5" w:rsidRPr="000301BB" w:rsidRDefault="009B0AF5" w:rsidP="001E3D9B">
            <w:pPr>
              <w:spacing w:before="20" w:after="20"/>
              <w:jc w:val="center"/>
              <w:rPr>
                <w:b/>
                <w:sz w:val="20"/>
                <w:szCs w:val="20"/>
              </w:rPr>
            </w:pPr>
            <w:r w:rsidRPr="000301BB">
              <w:rPr>
                <w:b/>
                <w:sz w:val="20"/>
                <w:szCs w:val="20"/>
              </w:rPr>
              <w:t>(+/- Metformin)</w:t>
            </w:r>
          </w:p>
        </w:tc>
      </w:tr>
      <w:tr w:rsidR="009B0AF5" w:rsidRPr="000301BB" w:rsidTr="004A4B1D">
        <w:trPr>
          <w:trHeight w:val="210"/>
        </w:trPr>
        <w:tc>
          <w:tcPr>
            <w:tcW w:w="3548" w:type="dxa"/>
            <w:tcBorders>
              <w:left w:val="single" w:sz="4" w:space="0" w:color="auto"/>
              <w:bottom w:val="single" w:sz="4" w:space="0" w:color="auto"/>
              <w:right w:val="single" w:sz="4" w:space="0" w:color="auto"/>
            </w:tcBorders>
          </w:tcPr>
          <w:p w:rsidR="009B0AF5" w:rsidRPr="000301BB" w:rsidRDefault="009B0AF5" w:rsidP="001E3D9B">
            <w:pPr>
              <w:spacing w:before="20" w:after="20"/>
              <w:rPr>
                <w:sz w:val="20"/>
                <w:szCs w:val="20"/>
              </w:rPr>
            </w:pPr>
          </w:p>
        </w:tc>
        <w:tc>
          <w:tcPr>
            <w:tcW w:w="2161" w:type="dxa"/>
            <w:tcBorders>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r w:rsidRPr="000301BB">
              <w:rPr>
                <w:sz w:val="20"/>
                <w:szCs w:val="20"/>
              </w:rPr>
              <w:t>N = 222</w:t>
            </w:r>
          </w:p>
        </w:tc>
        <w:tc>
          <w:tcPr>
            <w:tcW w:w="3239" w:type="dxa"/>
            <w:tcBorders>
              <w:left w:val="single" w:sz="4" w:space="0" w:color="auto"/>
              <w:bottom w:val="single" w:sz="4" w:space="0" w:color="auto"/>
              <w:right w:val="single" w:sz="4" w:space="0" w:color="auto"/>
            </w:tcBorders>
          </w:tcPr>
          <w:p w:rsidR="009B0AF5" w:rsidRPr="000301BB" w:rsidRDefault="009B0AF5" w:rsidP="001E3D9B">
            <w:pPr>
              <w:spacing w:before="20" w:after="20"/>
              <w:jc w:val="center"/>
              <w:rPr>
                <w:sz w:val="20"/>
                <w:szCs w:val="20"/>
              </w:rPr>
            </w:pPr>
            <w:r w:rsidRPr="000301BB">
              <w:rPr>
                <w:sz w:val="20"/>
                <w:szCs w:val="20"/>
              </w:rPr>
              <w:t>N = 219</w:t>
            </w:r>
          </w:p>
        </w:tc>
      </w:tr>
      <w:tr w:rsidR="009B0AF5" w:rsidRPr="000301BB" w:rsidTr="004A4B1D">
        <w:trPr>
          <w:trHeight w:val="210"/>
        </w:trPr>
        <w:tc>
          <w:tcPr>
            <w:tcW w:w="3548"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rPr>
                <w:b/>
                <w:sz w:val="20"/>
                <w:szCs w:val="20"/>
              </w:rPr>
            </w:pPr>
            <w:r w:rsidRPr="000301BB">
              <w:rPr>
                <w:b/>
                <w:sz w:val="20"/>
                <w:szCs w:val="20"/>
              </w:rPr>
              <w:t>Metabolism and Nutrition disorders</w:t>
            </w:r>
          </w:p>
        </w:tc>
        <w:tc>
          <w:tcPr>
            <w:tcW w:w="2161"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c>
          <w:tcPr>
            <w:tcW w:w="3239"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r>
      <w:tr w:rsidR="009B0AF5" w:rsidRPr="000301BB" w:rsidTr="004A4B1D">
        <w:trPr>
          <w:trHeight w:val="210"/>
        </w:trPr>
        <w:tc>
          <w:tcPr>
            <w:tcW w:w="3548"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ind w:left="175"/>
              <w:rPr>
                <w:sz w:val="20"/>
                <w:szCs w:val="20"/>
              </w:rPr>
            </w:pPr>
            <w:r w:rsidRPr="000301BB">
              <w:rPr>
                <w:sz w:val="20"/>
                <w:szCs w:val="20"/>
              </w:rPr>
              <w:t>Hypoglycaemia</w:t>
            </w:r>
          </w:p>
        </w:tc>
        <w:tc>
          <w:tcPr>
            <w:tcW w:w="2161"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27 (12.2)</w:t>
            </w:r>
          </w:p>
        </w:tc>
        <w:tc>
          <w:tcPr>
            <w:tcW w:w="3239"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4 (1.8)</w:t>
            </w:r>
          </w:p>
        </w:tc>
      </w:tr>
      <w:tr w:rsidR="009B0AF5" w:rsidRPr="000301BB" w:rsidTr="004A4B1D">
        <w:trPr>
          <w:trHeight w:val="210"/>
        </w:trPr>
        <w:tc>
          <w:tcPr>
            <w:tcW w:w="3548"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rPr>
                <w:b/>
                <w:sz w:val="20"/>
                <w:szCs w:val="20"/>
              </w:rPr>
            </w:pPr>
            <w:r w:rsidRPr="000301BB">
              <w:rPr>
                <w:b/>
                <w:sz w:val="20"/>
                <w:szCs w:val="20"/>
              </w:rPr>
              <w:t>Infections and Infestations</w:t>
            </w:r>
          </w:p>
        </w:tc>
        <w:tc>
          <w:tcPr>
            <w:tcW w:w="2161"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c>
          <w:tcPr>
            <w:tcW w:w="3239"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r>
      <w:tr w:rsidR="009B0AF5" w:rsidRPr="000301BB" w:rsidTr="004A4B1D">
        <w:trPr>
          <w:trHeight w:val="210"/>
        </w:trPr>
        <w:tc>
          <w:tcPr>
            <w:tcW w:w="3548"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ind w:left="175"/>
              <w:rPr>
                <w:sz w:val="20"/>
                <w:szCs w:val="20"/>
              </w:rPr>
            </w:pPr>
            <w:r w:rsidRPr="000301BB">
              <w:rPr>
                <w:sz w:val="20"/>
                <w:szCs w:val="20"/>
              </w:rPr>
              <w:t>Nasopharyngitis</w:t>
            </w:r>
          </w:p>
        </w:tc>
        <w:tc>
          <w:tcPr>
            <w:tcW w:w="2161"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14 (6.3)</w:t>
            </w:r>
          </w:p>
        </w:tc>
        <w:tc>
          <w:tcPr>
            <w:tcW w:w="3239"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10 (4.6)</w:t>
            </w:r>
          </w:p>
        </w:tc>
      </w:tr>
      <w:tr w:rsidR="009B0AF5" w:rsidRPr="000301BB" w:rsidTr="004A4B1D">
        <w:trPr>
          <w:trHeight w:val="210"/>
        </w:trPr>
        <w:tc>
          <w:tcPr>
            <w:tcW w:w="3548"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rPr>
                <w:b/>
                <w:sz w:val="20"/>
                <w:szCs w:val="20"/>
              </w:rPr>
            </w:pPr>
            <w:r w:rsidRPr="000301BB">
              <w:rPr>
                <w:b/>
                <w:sz w:val="20"/>
                <w:szCs w:val="20"/>
              </w:rPr>
              <w:t>Nervous System Disorders</w:t>
            </w:r>
          </w:p>
        </w:tc>
        <w:tc>
          <w:tcPr>
            <w:tcW w:w="2161"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c>
          <w:tcPr>
            <w:tcW w:w="3239"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p>
        </w:tc>
      </w:tr>
      <w:tr w:rsidR="009B0AF5" w:rsidRPr="000301BB" w:rsidTr="004A4B1D">
        <w:trPr>
          <w:trHeight w:val="210"/>
        </w:trPr>
        <w:tc>
          <w:tcPr>
            <w:tcW w:w="3548"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ind w:left="175"/>
              <w:rPr>
                <w:sz w:val="20"/>
                <w:szCs w:val="20"/>
              </w:rPr>
            </w:pPr>
            <w:r w:rsidRPr="000301BB">
              <w:rPr>
                <w:sz w:val="20"/>
                <w:szCs w:val="20"/>
              </w:rPr>
              <w:t>Headache</w:t>
            </w:r>
          </w:p>
        </w:tc>
        <w:tc>
          <w:tcPr>
            <w:tcW w:w="2161"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13 (5.9)</w:t>
            </w:r>
          </w:p>
        </w:tc>
        <w:tc>
          <w:tcPr>
            <w:tcW w:w="3239" w:type="dxa"/>
            <w:tcBorders>
              <w:left w:val="single" w:sz="4" w:space="0" w:color="auto"/>
              <w:bottom w:val="single" w:sz="4" w:space="0" w:color="auto"/>
              <w:right w:val="single" w:sz="4" w:space="0" w:color="auto"/>
            </w:tcBorders>
            <w:shd w:val="clear" w:color="auto" w:fill="auto"/>
          </w:tcPr>
          <w:p w:rsidR="009B0AF5" w:rsidRPr="000301BB" w:rsidRDefault="009B0AF5" w:rsidP="001E3D9B">
            <w:pPr>
              <w:spacing w:before="20" w:after="20"/>
              <w:jc w:val="center"/>
              <w:rPr>
                <w:sz w:val="20"/>
                <w:szCs w:val="20"/>
              </w:rPr>
            </w:pPr>
            <w:r w:rsidRPr="000301BB">
              <w:rPr>
                <w:sz w:val="20"/>
                <w:szCs w:val="20"/>
              </w:rPr>
              <w:t>5 (2.3)</w:t>
            </w:r>
          </w:p>
        </w:tc>
      </w:tr>
    </w:tbl>
    <w:p w:rsidR="009B0AF5" w:rsidRPr="000301BB" w:rsidRDefault="009B0AF5" w:rsidP="00725EC9">
      <w:pPr>
        <w:spacing w:before="20" w:after="20"/>
        <w:ind w:left="181" w:right="28" w:hanging="181"/>
        <w:rPr>
          <w:bCs w:val="0"/>
          <w:sz w:val="20"/>
          <w:szCs w:val="16"/>
        </w:rPr>
      </w:pPr>
      <w:r w:rsidRPr="000301BB">
        <w:rPr>
          <w:bCs w:val="0"/>
          <w:sz w:val="20"/>
          <w:szCs w:val="16"/>
          <w:vertAlign w:val="superscript"/>
        </w:rPr>
        <w:t>†</w:t>
      </w:r>
      <w:r w:rsidR="00725EC9" w:rsidRPr="000301BB">
        <w:rPr>
          <w:bCs w:val="0"/>
          <w:sz w:val="20"/>
          <w:szCs w:val="16"/>
        </w:rPr>
        <w:tab/>
      </w:r>
      <w:r w:rsidRPr="000301BB">
        <w:rPr>
          <w:bCs w:val="0"/>
          <w:sz w:val="20"/>
          <w:szCs w:val="16"/>
        </w:rPr>
        <w:t>Intent to treat population</w:t>
      </w:r>
    </w:p>
    <w:p w:rsidR="009B0AF5" w:rsidRPr="000301BB" w:rsidRDefault="009B0AF5" w:rsidP="002B19C1">
      <w:pPr>
        <w:spacing w:before="20" w:after="20"/>
        <w:ind w:left="181" w:right="28" w:hanging="181"/>
        <w:rPr>
          <w:bCs w:val="0"/>
          <w:sz w:val="20"/>
          <w:szCs w:val="16"/>
        </w:rPr>
      </w:pPr>
      <w:r w:rsidRPr="000301BB">
        <w:rPr>
          <w:bCs w:val="0"/>
          <w:sz w:val="20"/>
          <w:szCs w:val="16"/>
        </w:rPr>
        <w:t>*</w:t>
      </w:r>
      <w:r w:rsidR="00725EC9" w:rsidRPr="000301BB">
        <w:rPr>
          <w:bCs w:val="0"/>
          <w:sz w:val="20"/>
          <w:szCs w:val="16"/>
        </w:rPr>
        <w:tab/>
      </w:r>
      <w:r w:rsidRPr="000301BB">
        <w:rPr>
          <w:bCs w:val="0"/>
          <w:sz w:val="20"/>
          <w:szCs w:val="16"/>
        </w:rPr>
        <w:t>Overall, the safety profile of the 200</w:t>
      </w:r>
      <w:r w:rsidR="002B19C1" w:rsidRPr="000301BB">
        <w:rPr>
          <w:bCs w:val="0"/>
          <w:sz w:val="20"/>
          <w:szCs w:val="16"/>
        </w:rPr>
        <w:t> </w:t>
      </w:r>
      <w:r w:rsidRPr="000301BB">
        <w:rPr>
          <w:bCs w:val="0"/>
          <w:sz w:val="20"/>
          <w:szCs w:val="16"/>
        </w:rPr>
        <w:t>mg daily dose was similar to that of the 100</w:t>
      </w:r>
      <w:r w:rsidR="002B19C1" w:rsidRPr="000301BB">
        <w:rPr>
          <w:bCs w:val="0"/>
          <w:sz w:val="20"/>
          <w:szCs w:val="16"/>
        </w:rPr>
        <w:t> </w:t>
      </w:r>
      <w:r w:rsidRPr="000301BB">
        <w:rPr>
          <w:bCs w:val="0"/>
          <w:sz w:val="20"/>
          <w:szCs w:val="16"/>
        </w:rPr>
        <w:t>mg daily dose.</w:t>
      </w:r>
    </w:p>
    <w:p w:rsidR="009B0AF5" w:rsidRPr="000301BB" w:rsidRDefault="009B0AF5" w:rsidP="00540326">
      <w:pPr>
        <w:spacing w:before="100" w:beforeAutospacing="1" w:after="100" w:afterAutospacing="1"/>
      </w:pPr>
      <w:r w:rsidRPr="000301BB">
        <w:t xml:space="preserve">In the study of patients receiving </w:t>
      </w:r>
      <w:r w:rsidR="002C679F" w:rsidRPr="000301BB">
        <w:t>sitagliptin</w:t>
      </w:r>
      <w:r w:rsidRPr="000301BB">
        <w:t xml:space="preserve"> as add-on combination therapy with metformin, there were no adverse reactions reported regardless of investigator assessment of causality in ≥5% of patients and more commonly than in patients given placebo.</w:t>
      </w:r>
    </w:p>
    <w:p w:rsidR="009B0AF5" w:rsidRPr="000301BB" w:rsidRDefault="009B0AF5" w:rsidP="00540326">
      <w:pPr>
        <w:spacing w:before="100" w:beforeAutospacing="1" w:after="100" w:afterAutospacing="1"/>
      </w:pPr>
      <w:r w:rsidRPr="000301BB">
        <w:t>In the pre</w:t>
      </w:r>
      <w:r w:rsidR="002C490F" w:rsidRPr="000301BB">
        <w:t>-</w:t>
      </w:r>
      <w:r w:rsidRPr="000301BB">
        <w:t xml:space="preserve">specified pooled analysis of the two monotherapy studies, the add-on to metformin study, and the add-on to pioglitazone study, the overall incidence of adverse experiences of hypoglycaemia in patients treated with </w:t>
      </w:r>
      <w:r w:rsidR="00227BAA" w:rsidRPr="000301BB">
        <w:t>sitagliptin</w:t>
      </w:r>
      <w:r w:rsidRPr="000301BB">
        <w:t xml:space="preserve"> 100 mg was similar to placebo (1.2% vs 0.9%).</w:t>
      </w:r>
      <w:r w:rsidR="002C679F" w:rsidRPr="000301BB">
        <w:t xml:space="preserve"> </w:t>
      </w:r>
      <w:r w:rsidRPr="000301BB">
        <w:t xml:space="preserve"> Adverse experiences of hypoglycaemia were based on all reports of hypoglycaemia; a concurrent glucose measurement was not required. </w:t>
      </w:r>
      <w:r w:rsidR="002C679F" w:rsidRPr="000301BB">
        <w:t xml:space="preserve"> </w:t>
      </w:r>
      <w:r w:rsidRPr="000301BB">
        <w:t xml:space="preserve">The incidence of selected gastrointestinal adverse reactions in patients treated with </w:t>
      </w:r>
      <w:r w:rsidR="00227BAA" w:rsidRPr="000301BB">
        <w:t>sitagliptin</w:t>
      </w:r>
      <w:r w:rsidRPr="000301BB">
        <w:t xml:space="preserve"> or placebo was as follows: abdominal pain (</w:t>
      </w:r>
      <w:r w:rsidR="002C679F" w:rsidRPr="000301BB">
        <w:t>sitagliptin</w:t>
      </w:r>
      <w:r w:rsidRPr="000301BB">
        <w:t>, 100 mg, 2.3%; placebo, 2.1%), nausea (1.4%, 0.6%), vomiting (0.8%, 0.9%), and diarrhoea (3.0%, 2.3%).</w:t>
      </w:r>
    </w:p>
    <w:p w:rsidR="009B0AF5" w:rsidRPr="000301BB" w:rsidRDefault="009B0AF5" w:rsidP="009B0AF5">
      <w:pPr>
        <w:rPr>
          <w:noProof/>
        </w:rPr>
      </w:pPr>
      <w:r w:rsidRPr="000301BB">
        <w:rPr>
          <w:noProof/>
        </w:rPr>
        <w:t xml:space="preserve">No clinically meaningful changes in vital signs or in ECG (including in QTc interval) were observed in patients treated with </w:t>
      </w:r>
      <w:r w:rsidR="002C679F" w:rsidRPr="000301BB">
        <w:rPr>
          <w:noProof/>
        </w:rPr>
        <w:t>sitagliptin</w:t>
      </w:r>
      <w:r w:rsidR="00540326">
        <w:rPr>
          <w:noProof/>
        </w:rPr>
        <w:t>.</w:t>
      </w:r>
    </w:p>
    <w:p w:rsidR="00980386" w:rsidRPr="008C3589" w:rsidRDefault="00980386" w:rsidP="008C3589">
      <w:pPr>
        <w:pStyle w:val="Heading5"/>
      </w:pPr>
      <w:r w:rsidRPr="008C3589">
        <w:t>Pancreatitis</w:t>
      </w:r>
    </w:p>
    <w:p w:rsidR="00980386" w:rsidRPr="000301BB" w:rsidRDefault="00980386" w:rsidP="00980386">
      <w:pPr>
        <w:rPr>
          <w:rFonts w:eastAsia="MS Mincho"/>
          <w:lang w:eastAsia="ja-JP"/>
        </w:rPr>
      </w:pPr>
      <w:r w:rsidRPr="000301BB">
        <w:rPr>
          <w:rFonts w:eastAsia="MS Mincho"/>
          <w:lang w:eastAsia="ja-JP"/>
        </w:rPr>
        <w:t>In a pooled analysis of 19 double-blind clinical trials that included data from 10</w:t>
      </w:r>
      <w:r w:rsidR="002C490F" w:rsidRPr="000301BB">
        <w:rPr>
          <w:rFonts w:eastAsia="MS Mincho"/>
          <w:lang w:eastAsia="ja-JP"/>
        </w:rPr>
        <w:t>,</w:t>
      </w:r>
      <w:r w:rsidRPr="000301BB">
        <w:rPr>
          <w:rFonts w:eastAsia="MS Mincho"/>
          <w:lang w:eastAsia="ja-JP"/>
        </w:rPr>
        <w:t>246 patients randomised to receive sitagliptin 100</w:t>
      </w:r>
      <w:r w:rsidRPr="000301BB">
        <w:t> </w:t>
      </w:r>
      <w:r w:rsidRPr="000301BB">
        <w:rPr>
          <w:rFonts w:eastAsia="MS Mincho"/>
          <w:lang w:eastAsia="ja-JP"/>
        </w:rPr>
        <w:t>mg/day (N=5</w:t>
      </w:r>
      <w:r w:rsidR="002C490F" w:rsidRPr="000301BB">
        <w:rPr>
          <w:rFonts w:eastAsia="MS Mincho"/>
          <w:lang w:eastAsia="ja-JP"/>
        </w:rPr>
        <w:t>,</w:t>
      </w:r>
      <w:r w:rsidRPr="000301BB">
        <w:rPr>
          <w:rFonts w:eastAsia="MS Mincho"/>
          <w:lang w:eastAsia="ja-JP"/>
        </w:rPr>
        <w:t>429) or corresponding (active or placebo) control (N=4</w:t>
      </w:r>
      <w:r w:rsidR="002C490F" w:rsidRPr="000301BB">
        <w:rPr>
          <w:rFonts w:eastAsia="MS Mincho"/>
          <w:lang w:eastAsia="ja-JP"/>
        </w:rPr>
        <w:t>,</w:t>
      </w:r>
      <w:r w:rsidRPr="000301BB">
        <w:rPr>
          <w:rFonts w:eastAsia="MS Mincho"/>
          <w:lang w:eastAsia="ja-JP"/>
        </w:rPr>
        <w:t xml:space="preserve">817), the incidence of acute pancreatitis was 0.1 per 100 patient-years in each </w:t>
      </w:r>
      <w:proofErr w:type="gramStart"/>
      <w:r w:rsidRPr="000301BB">
        <w:rPr>
          <w:rFonts w:eastAsia="MS Mincho"/>
          <w:lang w:eastAsia="ja-JP"/>
        </w:rPr>
        <w:lastRenderedPageBreak/>
        <w:t>group</w:t>
      </w:r>
      <w:proofErr w:type="gramEnd"/>
      <w:r w:rsidRPr="000301BB">
        <w:rPr>
          <w:rFonts w:eastAsia="MS Mincho"/>
          <w:lang w:eastAsia="ja-JP"/>
        </w:rPr>
        <w:t xml:space="preserve"> (4 patients with an event in 4</w:t>
      </w:r>
      <w:r w:rsidR="002C490F" w:rsidRPr="000301BB">
        <w:rPr>
          <w:rFonts w:eastAsia="MS Mincho"/>
          <w:lang w:eastAsia="ja-JP"/>
        </w:rPr>
        <w:t>,</w:t>
      </w:r>
      <w:r w:rsidRPr="000301BB">
        <w:rPr>
          <w:rFonts w:eastAsia="MS Mincho"/>
          <w:lang w:eastAsia="ja-JP"/>
        </w:rPr>
        <w:t>708 patient-years for sitagliptin and 4 patients with an event in 3</w:t>
      </w:r>
      <w:r w:rsidR="002C490F" w:rsidRPr="000301BB">
        <w:rPr>
          <w:rFonts w:eastAsia="MS Mincho"/>
          <w:lang w:eastAsia="ja-JP"/>
        </w:rPr>
        <w:t>,</w:t>
      </w:r>
      <w:r w:rsidRPr="000301BB">
        <w:rPr>
          <w:rFonts w:eastAsia="MS Mincho"/>
          <w:lang w:eastAsia="ja-JP"/>
        </w:rPr>
        <w:t>942 patient-years for control) (</w:t>
      </w:r>
      <w:r w:rsidR="00493243" w:rsidRPr="000301BB">
        <w:rPr>
          <w:rFonts w:eastAsia="MS Mincho"/>
          <w:lang w:eastAsia="ja-JP"/>
        </w:rPr>
        <w:t>s</w:t>
      </w:r>
      <w:r w:rsidRPr="000301BB">
        <w:rPr>
          <w:rFonts w:eastAsia="MS Mincho"/>
          <w:lang w:eastAsia="ja-JP"/>
        </w:rPr>
        <w:t xml:space="preserve">ee </w:t>
      </w:r>
      <w:r w:rsidRPr="000301BB">
        <w:rPr>
          <w:rFonts w:eastAsia="MS Mincho"/>
          <w:b/>
          <w:bCs w:val="0"/>
          <w:lang w:eastAsia="ja-JP"/>
        </w:rPr>
        <w:t>PRECAUTIONS</w:t>
      </w:r>
      <w:r w:rsidRPr="000301BB">
        <w:rPr>
          <w:rFonts w:eastAsia="MS Mincho"/>
          <w:lang w:eastAsia="ja-JP"/>
        </w:rPr>
        <w:t xml:space="preserve">, </w:t>
      </w:r>
      <w:r w:rsidRPr="000301BB">
        <w:rPr>
          <w:rFonts w:eastAsia="MS Mincho"/>
          <w:i/>
          <w:iCs/>
          <w:lang w:eastAsia="ja-JP"/>
        </w:rPr>
        <w:t>Pancreatitis</w:t>
      </w:r>
      <w:r w:rsidRPr="000301BB">
        <w:rPr>
          <w:rFonts w:eastAsia="MS Mincho"/>
          <w:lang w:eastAsia="ja-JP"/>
        </w:rPr>
        <w:t>).</w:t>
      </w:r>
    </w:p>
    <w:p w:rsidR="00980386" w:rsidRPr="000301BB" w:rsidRDefault="00980386" w:rsidP="00540326">
      <w:pPr>
        <w:pStyle w:val="Heading4"/>
      </w:pPr>
      <w:r w:rsidRPr="000301BB">
        <w:t>Simvastatin</w:t>
      </w:r>
    </w:p>
    <w:p w:rsidR="00006402" w:rsidRPr="000301BB" w:rsidRDefault="009E3289" w:rsidP="00006402">
      <w:pPr>
        <w:tabs>
          <w:tab w:val="left" w:pos="840"/>
        </w:tabs>
      </w:pPr>
      <w:r w:rsidRPr="000301BB">
        <w:t>Simvastatin</w:t>
      </w:r>
      <w:r w:rsidR="00006402" w:rsidRPr="000301BB">
        <w:t xml:space="preserve"> is generally well tolerated; for the most part adverse effects have been mild and transient in nature.  In controlled clinical studies</w:t>
      </w:r>
      <w:r w:rsidR="00006402" w:rsidRPr="000301BB">
        <w:rPr>
          <w:b/>
        </w:rPr>
        <w:t xml:space="preserve"> </w:t>
      </w:r>
      <w:r w:rsidR="00006402" w:rsidRPr="000301BB">
        <w:t xml:space="preserve">less than 2 percent of patients were discontinued due to adverse effects attributable to </w:t>
      </w:r>
      <w:r w:rsidRPr="000301BB">
        <w:t>simvastatin</w:t>
      </w:r>
      <w:r w:rsidR="00006402" w:rsidRPr="000301BB">
        <w:t>.</w:t>
      </w:r>
    </w:p>
    <w:p w:rsidR="00006402" w:rsidRPr="000301BB" w:rsidRDefault="00006402" w:rsidP="008C3589">
      <w:pPr>
        <w:tabs>
          <w:tab w:val="left" w:pos="840"/>
        </w:tabs>
        <w:spacing w:before="100" w:beforeAutospacing="1" w:after="100" w:afterAutospacing="1"/>
      </w:pPr>
      <w:r w:rsidRPr="000301BB">
        <w:t>The clinical adverse events occurring at an incidence of greater than 0.5% in controlled clinical trials and are</w:t>
      </w:r>
      <w:r w:rsidRPr="000301BB">
        <w:rPr>
          <w:b/>
        </w:rPr>
        <w:t xml:space="preserve"> </w:t>
      </w:r>
      <w:r w:rsidRPr="000301BB">
        <w:t>considered to be definitely, probably or possibly due to simvastatin may be grouped as follows:</w:t>
      </w:r>
    </w:p>
    <w:tbl>
      <w:tblPr>
        <w:tblW w:w="0" w:type="auto"/>
        <w:tblInd w:w="392" w:type="dxa"/>
        <w:tblLayout w:type="fixed"/>
        <w:tblLook w:val="0000"/>
      </w:tblPr>
      <w:tblGrid>
        <w:gridCol w:w="2640"/>
        <w:gridCol w:w="1869"/>
        <w:gridCol w:w="1870"/>
      </w:tblGrid>
      <w:tr w:rsidR="00006402" w:rsidRPr="000301BB" w:rsidTr="008D106D">
        <w:tc>
          <w:tcPr>
            <w:tcW w:w="2640" w:type="dxa"/>
            <w:tcBorders>
              <w:top w:val="single" w:sz="6" w:space="0" w:color="auto"/>
            </w:tcBorders>
          </w:tcPr>
          <w:p w:rsidR="00006402" w:rsidRPr="000301BB" w:rsidRDefault="00006402" w:rsidP="008D106D">
            <w:pPr>
              <w:tabs>
                <w:tab w:val="left" w:pos="840"/>
              </w:tabs>
              <w:rPr>
                <w:sz w:val="20"/>
                <w:szCs w:val="20"/>
              </w:rPr>
            </w:pPr>
          </w:p>
        </w:tc>
        <w:tc>
          <w:tcPr>
            <w:tcW w:w="1869" w:type="dxa"/>
            <w:tcBorders>
              <w:top w:val="single" w:sz="6" w:space="0" w:color="auto"/>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 xml:space="preserve">Simvastatin </w:t>
            </w:r>
          </w:p>
        </w:tc>
        <w:tc>
          <w:tcPr>
            <w:tcW w:w="1870" w:type="dxa"/>
            <w:tcBorders>
              <w:top w:val="single" w:sz="6" w:space="0" w:color="auto"/>
              <w:left w:val="nil"/>
            </w:tcBorders>
          </w:tcPr>
          <w:p w:rsidR="00006402" w:rsidRPr="000301BB" w:rsidRDefault="00006402" w:rsidP="008D106D">
            <w:pPr>
              <w:tabs>
                <w:tab w:val="left" w:pos="840"/>
              </w:tabs>
              <w:jc w:val="center"/>
              <w:rPr>
                <w:sz w:val="20"/>
                <w:szCs w:val="20"/>
              </w:rPr>
            </w:pPr>
            <w:r w:rsidRPr="000301BB">
              <w:rPr>
                <w:sz w:val="20"/>
                <w:szCs w:val="20"/>
              </w:rPr>
              <w:t>Placebo</w:t>
            </w:r>
          </w:p>
        </w:tc>
      </w:tr>
      <w:tr w:rsidR="00006402" w:rsidRPr="000301BB" w:rsidTr="008D106D">
        <w:tc>
          <w:tcPr>
            <w:tcW w:w="2640" w:type="dxa"/>
            <w:tcBorders>
              <w:bottom w:val="single" w:sz="6" w:space="0" w:color="auto"/>
            </w:tcBorders>
          </w:tcPr>
          <w:p w:rsidR="00006402" w:rsidRPr="000301BB" w:rsidRDefault="00006402" w:rsidP="008D106D">
            <w:pPr>
              <w:tabs>
                <w:tab w:val="left" w:pos="840"/>
              </w:tabs>
              <w:rPr>
                <w:sz w:val="20"/>
                <w:szCs w:val="20"/>
              </w:rPr>
            </w:pPr>
            <w:r w:rsidRPr="000301BB">
              <w:rPr>
                <w:sz w:val="20"/>
                <w:szCs w:val="20"/>
              </w:rPr>
              <w:t xml:space="preserve">Adverse </w:t>
            </w:r>
            <w:r w:rsidR="009E3289" w:rsidRPr="000301BB">
              <w:rPr>
                <w:sz w:val="20"/>
                <w:szCs w:val="20"/>
              </w:rPr>
              <w:t>e</w:t>
            </w:r>
            <w:r w:rsidRPr="000301BB">
              <w:rPr>
                <w:sz w:val="20"/>
                <w:szCs w:val="20"/>
              </w:rPr>
              <w:t>vents</w:t>
            </w:r>
          </w:p>
        </w:tc>
        <w:tc>
          <w:tcPr>
            <w:tcW w:w="1869" w:type="dxa"/>
            <w:tcBorders>
              <w:left w:val="single" w:sz="6" w:space="0" w:color="auto"/>
              <w:bottom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 (N=2</w:t>
            </w:r>
            <w:r w:rsidR="002C490F" w:rsidRPr="000301BB">
              <w:rPr>
                <w:sz w:val="20"/>
                <w:szCs w:val="20"/>
              </w:rPr>
              <w:t>,</w:t>
            </w:r>
            <w:r w:rsidRPr="000301BB">
              <w:rPr>
                <w:sz w:val="20"/>
                <w:szCs w:val="20"/>
              </w:rPr>
              <w:t>423)</w:t>
            </w:r>
          </w:p>
        </w:tc>
        <w:tc>
          <w:tcPr>
            <w:tcW w:w="1870" w:type="dxa"/>
            <w:tcBorders>
              <w:left w:val="nil"/>
              <w:bottom w:val="single" w:sz="6" w:space="0" w:color="auto"/>
            </w:tcBorders>
          </w:tcPr>
          <w:p w:rsidR="00006402" w:rsidRPr="000301BB" w:rsidRDefault="00006402" w:rsidP="008D106D">
            <w:pPr>
              <w:tabs>
                <w:tab w:val="left" w:pos="840"/>
              </w:tabs>
              <w:jc w:val="center"/>
              <w:rPr>
                <w:sz w:val="20"/>
                <w:szCs w:val="20"/>
              </w:rPr>
            </w:pPr>
            <w:r w:rsidRPr="000301BB">
              <w:rPr>
                <w:sz w:val="20"/>
                <w:szCs w:val="20"/>
              </w:rPr>
              <w:t>(%) (N=167)</w:t>
            </w:r>
          </w:p>
        </w:tc>
      </w:tr>
      <w:tr w:rsidR="00006402" w:rsidRPr="000301BB" w:rsidTr="008D106D">
        <w:tc>
          <w:tcPr>
            <w:tcW w:w="2640" w:type="dxa"/>
          </w:tcPr>
          <w:p w:rsidR="00006402" w:rsidRPr="000301BB" w:rsidRDefault="00006402" w:rsidP="008D106D">
            <w:pPr>
              <w:tabs>
                <w:tab w:val="left" w:pos="840"/>
              </w:tabs>
              <w:rPr>
                <w:b/>
                <w:sz w:val="20"/>
                <w:szCs w:val="20"/>
              </w:rPr>
            </w:pPr>
            <w:r w:rsidRPr="000301BB">
              <w:rPr>
                <w:b/>
                <w:sz w:val="20"/>
                <w:szCs w:val="20"/>
              </w:rPr>
              <w:t>Body as a whole</w:t>
            </w:r>
          </w:p>
        </w:tc>
        <w:tc>
          <w:tcPr>
            <w:tcW w:w="1869" w:type="dxa"/>
            <w:tcBorders>
              <w:left w:val="single" w:sz="6" w:space="0" w:color="auto"/>
              <w:right w:val="single" w:sz="6" w:space="0" w:color="auto"/>
            </w:tcBorders>
          </w:tcPr>
          <w:p w:rsidR="00006402" w:rsidRPr="000301BB" w:rsidRDefault="00006402" w:rsidP="008D106D">
            <w:pPr>
              <w:tabs>
                <w:tab w:val="left" w:pos="840"/>
              </w:tabs>
              <w:rPr>
                <w:b/>
                <w:sz w:val="20"/>
                <w:szCs w:val="20"/>
              </w:rPr>
            </w:pPr>
          </w:p>
        </w:tc>
        <w:tc>
          <w:tcPr>
            <w:tcW w:w="1870" w:type="dxa"/>
            <w:tcBorders>
              <w:left w:val="nil"/>
            </w:tcBorders>
          </w:tcPr>
          <w:p w:rsidR="00006402" w:rsidRPr="000301BB" w:rsidRDefault="00006402" w:rsidP="008D106D">
            <w:pPr>
              <w:tabs>
                <w:tab w:val="left" w:pos="840"/>
              </w:tabs>
              <w:rPr>
                <w:b/>
                <w:sz w:val="20"/>
                <w:szCs w:val="20"/>
              </w:rPr>
            </w:pPr>
          </w:p>
        </w:tc>
      </w:tr>
      <w:tr w:rsidR="00006402" w:rsidRPr="000301BB" w:rsidTr="008D106D">
        <w:tc>
          <w:tcPr>
            <w:tcW w:w="2640" w:type="dxa"/>
          </w:tcPr>
          <w:p w:rsidR="00006402" w:rsidRPr="000301BB" w:rsidRDefault="00006402" w:rsidP="008D106D">
            <w:pPr>
              <w:tabs>
                <w:tab w:val="left" w:pos="840"/>
              </w:tabs>
              <w:rPr>
                <w:sz w:val="20"/>
                <w:szCs w:val="20"/>
              </w:rPr>
            </w:pPr>
            <w:r w:rsidRPr="000301BB">
              <w:rPr>
                <w:sz w:val="20"/>
                <w:szCs w:val="20"/>
              </w:rPr>
              <w:t>Abdominal pain</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2.5</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0.6</w:t>
            </w:r>
          </w:p>
        </w:tc>
      </w:tr>
      <w:tr w:rsidR="00006402" w:rsidRPr="000301BB" w:rsidTr="002C490F">
        <w:trPr>
          <w:trHeight w:val="326"/>
        </w:trPr>
        <w:tc>
          <w:tcPr>
            <w:tcW w:w="2640" w:type="dxa"/>
          </w:tcPr>
          <w:p w:rsidR="00006402" w:rsidRPr="000301BB" w:rsidRDefault="00006402" w:rsidP="008D106D">
            <w:pPr>
              <w:tabs>
                <w:tab w:val="left" w:pos="840"/>
              </w:tabs>
              <w:rPr>
                <w:sz w:val="20"/>
                <w:szCs w:val="20"/>
              </w:rPr>
            </w:pPr>
            <w:r w:rsidRPr="000301BB">
              <w:rPr>
                <w:sz w:val="20"/>
                <w:szCs w:val="20"/>
              </w:rPr>
              <w:t>Asthenia</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0.9</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0.6</w:t>
            </w:r>
          </w:p>
        </w:tc>
      </w:tr>
      <w:tr w:rsidR="002C490F" w:rsidRPr="000301BB" w:rsidTr="00CB1A0D">
        <w:trPr>
          <w:trHeight w:val="70"/>
        </w:trPr>
        <w:tc>
          <w:tcPr>
            <w:tcW w:w="2640" w:type="dxa"/>
          </w:tcPr>
          <w:p w:rsidR="002C490F" w:rsidRPr="000301BB" w:rsidRDefault="002C490F" w:rsidP="008D106D">
            <w:pPr>
              <w:tabs>
                <w:tab w:val="left" w:pos="840"/>
              </w:tabs>
              <w:rPr>
                <w:sz w:val="20"/>
                <w:szCs w:val="20"/>
              </w:rPr>
            </w:pPr>
          </w:p>
        </w:tc>
        <w:tc>
          <w:tcPr>
            <w:tcW w:w="1869" w:type="dxa"/>
            <w:tcBorders>
              <w:left w:val="single" w:sz="6" w:space="0" w:color="auto"/>
              <w:right w:val="single" w:sz="6" w:space="0" w:color="auto"/>
            </w:tcBorders>
          </w:tcPr>
          <w:p w:rsidR="002C490F" w:rsidRPr="000301BB" w:rsidRDefault="002C490F" w:rsidP="008D106D">
            <w:pPr>
              <w:tabs>
                <w:tab w:val="left" w:pos="840"/>
              </w:tabs>
              <w:jc w:val="center"/>
              <w:rPr>
                <w:sz w:val="20"/>
                <w:szCs w:val="20"/>
              </w:rPr>
            </w:pPr>
          </w:p>
        </w:tc>
        <w:tc>
          <w:tcPr>
            <w:tcW w:w="1870" w:type="dxa"/>
            <w:tcBorders>
              <w:left w:val="nil"/>
            </w:tcBorders>
          </w:tcPr>
          <w:p w:rsidR="002C490F" w:rsidRPr="000301BB" w:rsidRDefault="002C490F" w:rsidP="008D106D">
            <w:pPr>
              <w:tabs>
                <w:tab w:val="left" w:pos="840"/>
              </w:tabs>
              <w:jc w:val="center"/>
              <w:rPr>
                <w:sz w:val="20"/>
                <w:szCs w:val="20"/>
              </w:rPr>
            </w:pPr>
          </w:p>
        </w:tc>
      </w:tr>
      <w:tr w:rsidR="00006402" w:rsidRPr="000301BB" w:rsidTr="008D106D">
        <w:tc>
          <w:tcPr>
            <w:tcW w:w="2640" w:type="dxa"/>
          </w:tcPr>
          <w:p w:rsidR="00006402" w:rsidRPr="000301BB" w:rsidRDefault="00006402" w:rsidP="008D106D">
            <w:pPr>
              <w:tabs>
                <w:tab w:val="left" w:pos="840"/>
              </w:tabs>
              <w:rPr>
                <w:sz w:val="20"/>
                <w:szCs w:val="20"/>
              </w:rPr>
            </w:pPr>
            <w:r w:rsidRPr="000301BB">
              <w:rPr>
                <w:b/>
                <w:sz w:val="20"/>
                <w:szCs w:val="20"/>
              </w:rPr>
              <w:t>Digestive</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p>
        </w:tc>
        <w:tc>
          <w:tcPr>
            <w:tcW w:w="1870" w:type="dxa"/>
            <w:tcBorders>
              <w:left w:val="nil"/>
            </w:tcBorders>
          </w:tcPr>
          <w:p w:rsidR="00006402" w:rsidRPr="000301BB" w:rsidRDefault="00006402" w:rsidP="008D106D">
            <w:pPr>
              <w:tabs>
                <w:tab w:val="left" w:pos="840"/>
              </w:tabs>
              <w:jc w:val="center"/>
              <w:rPr>
                <w:sz w:val="20"/>
                <w:szCs w:val="20"/>
              </w:rPr>
            </w:pPr>
          </w:p>
        </w:tc>
      </w:tr>
      <w:tr w:rsidR="00006402" w:rsidRPr="000301BB" w:rsidTr="008D106D">
        <w:tc>
          <w:tcPr>
            <w:tcW w:w="2640" w:type="dxa"/>
          </w:tcPr>
          <w:p w:rsidR="00006402" w:rsidRPr="000301BB" w:rsidRDefault="00006402" w:rsidP="008D106D">
            <w:pPr>
              <w:tabs>
                <w:tab w:val="left" w:pos="840"/>
              </w:tabs>
              <w:rPr>
                <w:sz w:val="20"/>
                <w:szCs w:val="20"/>
              </w:rPr>
            </w:pPr>
            <w:r w:rsidRPr="000301BB">
              <w:rPr>
                <w:sz w:val="20"/>
                <w:szCs w:val="20"/>
              </w:rPr>
              <w:t>Constipation</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2.5</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1.2</w:t>
            </w:r>
          </w:p>
        </w:tc>
      </w:tr>
      <w:tr w:rsidR="00006402" w:rsidRPr="000301BB" w:rsidTr="008D106D">
        <w:tc>
          <w:tcPr>
            <w:tcW w:w="2640" w:type="dxa"/>
          </w:tcPr>
          <w:p w:rsidR="00006402" w:rsidRPr="000301BB" w:rsidRDefault="00006402" w:rsidP="008D106D">
            <w:pPr>
              <w:tabs>
                <w:tab w:val="left" w:pos="840"/>
              </w:tabs>
              <w:rPr>
                <w:sz w:val="20"/>
                <w:szCs w:val="20"/>
              </w:rPr>
            </w:pPr>
            <w:r w:rsidRPr="000301BB">
              <w:rPr>
                <w:sz w:val="20"/>
                <w:szCs w:val="20"/>
              </w:rPr>
              <w:t>Flatulence</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2.0</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0.6</w:t>
            </w:r>
          </w:p>
        </w:tc>
      </w:tr>
      <w:tr w:rsidR="00006402" w:rsidRPr="000301BB" w:rsidTr="008D106D">
        <w:tc>
          <w:tcPr>
            <w:tcW w:w="2640" w:type="dxa"/>
          </w:tcPr>
          <w:p w:rsidR="00006402" w:rsidRPr="000301BB" w:rsidRDefault="00006402" w:rsidP="008D106D">
            <w:pPr>
              <w:tabs>
                <w:tab w:val="left" w:pos="840"/>
              </w:tabs>
              <w:rPr>
                <w:sz w:val="20"/>
                <w:szCs w:val="20"/>
              </w:rPr>
            </w:pPr>
            <w:r w:rsidRPr="000301BB">
              <w:rPr>
                <w:sz w:val="20"/>
                <w:szCs w:val="20"/>
              </w:rPr>
              <w:t>Nausea</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1.2</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0.6</w:t>
            </w:r>
          </w:p>
        </w:tc>
      </w:tr>
      <w:tr w:rsidR="00006402" w:rsidRPr="000301BB" w:rsidTr="008D106D">
        <w:tc>
          <w:tcPr>
            <w:tcW w:w="2640" w:type="dxa"/>
          </w:tcPr>
          <w:p w:rsidR="00006402" w:rsidRPr="000301BB" w:rsidRDefault="00006402" w:rsidP="008D106D">
            <w:pPr>
              <w:tabs>
                <w:tab w:val="left" w:pos="840"/>
              </w:tabs>
              <w:rPr>
                <w:sz w:val="20"/>
                <w:szCs w:val="20"/>
              </w:rPr>
            </w:pPr>
            <w:r w:rsidRPr="000301BB">
              <w:rPr>
                <w:sz w:val="20"/>
                <w:szCs w:val="20"/>
              </w:rPr>
              <w:t>Acid regurgitation</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0.6</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0</w:t>
            </w:r>
          </w:p>
        </w:tc>
      </w:tr>
      <w:tr w:rsidR="00006402" w:rsidRPr="000301BB" w:rsidTr="008D106D">
        <w:tc>
          <w:tcPr>
            <w:tcW w:w="2640" w:type="dxa"/>
          </w:tcPr>
          <w:p w:rsidR="00006402" w:rsidRPr="000301BB" w:rsidRDefault="00006402" w:rsidP="008D106D">
            <w:pPr>
              <w:tabs>
                <w:tab w:val="left" w:pos="840"/>
              </w:tabs>
              <w:rPr>
                <w:sz w:val="20"/>
                <w:szCs w:val="20"/>
              </w:rPr>
            </w:pPr>
            <w:r w:rsidRPr="000301BB">
              <w:rPr>
                <w:sz w:val="20"/>
                <w:szCs w:val="20"/>
              </w:rPr>
              <w:t>Diarrhoea</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0.8</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0</w:t>
            </w:r>
          </w:p>
        </w:tc>
      </w:tr>
      <w:tr w:rsidR="00006402" w:rsidRPr="000301BB" w:rsidTr="008D106D">
        <w:tc>
          <w:tcPr>
            <w:tcW w:w="2640" w:type="dxa"/>
          </w:tcPr>
          <w:p w:rsidR="00006402" w:rsidRPr="000301BB" w:rsidRDefault="00006402" w:rsidP="008D106D">
            <w:pPr>
              <w:tabs>
                <w:tab w:val="left" w:pos="840"/>
              </w:tabs>
              <w:rPr>
                <w:sz w:val="20"/>
                <w:szCs w:val="20"/>
              </w:rPr>
            </w:pPr>
            <w:r w:rsidRPr="000301BB">
              <w:rPr>
                <w:sz w:val="20"/>
                <w:szCs w:val="20"/>
              </w:rPr>
              <w:t>Dyspepsia</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0.7</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0</w:t>
            </w:r>
          </w:p>
        </w:tc>
      </w:tr>
      <w:tr w:rsidR="00006402" w:rsidRPr="000301BB" w:rsidTr="00CB1A0D">
        <w:trPr>
          <w:trHeight w:val="70"/>
        </w:trPr>
        <w:tc>
          <w:tcPr>
            <w:tcW w:w="2640" w:type="dxa"/>
          </w:tcPr>
          <w:p w:rsidR="00006402" w:rsidRPr="000301BB" w:rsidRDefault="00006402" w:rsidP="008D106D">
            <w:pPr>
              <w:tabs>
                <w:tab w:val="left" w:pos="840"/>
              </w:tabs>
              <w:rPr>
                <w:sz w:val="20"/>
                <w:szCs w:val="20"/>
              </w:rPr>
            </w:pP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p>
        </w:tc>
        <w:tc>
          <w:tcPr>
            <w:tcW w:w="1870" w:type="dxa"/>
            <w:tcBorders>
              <w:left w:val="nil"/>
            </w:tcBorders>
          </w:tcPr>
          <w:p w:rsidR="00006402" w:rsidRPr="000301BB" w:rsidRDefault="00006402" w:rsidP="008D106D">
            <w:pPr>
              <w:tabs>
                <w:tab w:val="left" w:pos="840"/>
              </w:tabs>
              <w:jc w:val="center"/>
              <w:rPr>
                <w:sz w:val="20"/>
                <w:szCs w:val="20"/>
              </w:rPr>
            </w:pPr>
          </w:p>
        </w:tc>
      </w:tr>
      <w:tr w:rsidR="002C490F" w:rsidRPr="000301BB" w:rsidTr="00CB1A0D">
        <w:trPr>
          <w:trHeight w:val="70"/>
        </w:trPr>
        <w:tc>
          <w:tcPr>
            <w:tcW w:w="2640" w:type="dxa"/>
          </w:tcPr>
          <w:p w:rsidR="002C490F" w:rsidRPr="000301BB" w:rsidRDefault="002C490F" w:rsidP="008D106D">
            <w:pPr>
              <w:tabs>
                <w:tab w:val="left" w:pos="840"/>
              </w:tabs>
              <w:rPr>
                <w:sz w:val="20"/>
                <w:szCs w:val="20"/>
              </w:rPr>
            </w:pPr>
            <w:r w:rsidRPr="000301BB">
              <w:rPr>
                <w:b/>
                <w:sz w:val="20"/>
                <w:szCs w:val="20"/>
              </w:rPr>
              <w:t>Nervous System</w:t>
            </w:r>
          </w:p>
        </w:tc>
        <w:tc>
          <w:tcPr>
            <w:tcW w:w="1869" w:type="dxa"/>
            <w:tcBorders>
              <w:left w:val="single" w:sz="6" w:space="0" w:color="auto"/>
              <w:right w:val="single" w:sz="6" w:space="0" w:color="auto"/>
            </w:tcBorders>
          </w:tcPr>
          <w:p w:rsidR="002C490F" w:rsidRPr="000301BB" w:rsidRDefault="002C490F" w:rsidP="008D106D">
            <w:pPr>
              <w:tabs>
                <w:tab w:val="left" w:pos="840"/>
              </w:tabs>
              <w:jc w:val="center"/>
              <w:rPr>
                <w:sz w:val="20"/>
                <w:szCs w:val="20"/>
              </w:rPr>
            </w:pPr>
          </w:p>
        </w:tc>
        <w:tc>
          <w:tcPr>
            <w:tcW w:w="1870" w:type="dxa"/>
            <w:tcBorders>
              <w:left w:val="nil"/>
            </w:tcBorders>
          </w:tcPr>
          <w:p w:rsidR="002C490F" w:rsidRPr="000301BB" w:rsidRDefault="002C490F" w:rsidP="008D106D">
            <w:pPr>
              <w:tabs>
                <w:tab w:val="left" w:pos="840"/>
              </w:tabs>
              <w:jc w:val="center"/>
              <w:rPr>
                <w:sz w:val="20"/>
                <w:szCs w:val="20"/>
              </w:rPr>
            </w:pPr>
          </w:p>
        </w:tc>
      </w:tr>
      <w:tr w:rsidR="00006402" w:rsidRPr="000301BB" w:rsidTr="008D106D">
        <w:tc>
          <w:tcPr>
            <w:tcW w:w="2640" w:type="dxa"/>
          </w:tcPr>
          <w:p w:rsidR="00006402" w:rsidRPr="000301BB" w:rsidRDefault="00006402" w:rsidP="008D106D">
            <w:pPr>
              <w:tabs>
                <w:tab w:val="left" w:pos="840"/>
              </w:tabs>
              <w:rPr>
                <w:sz w:val="20"/>
                <w:szCs w:val="20"/>
              </w:rPr>
            </w:pPr>
            <w:r w:rsidRPr="000301BB">
              <w:rPr>
                <w:sz w:val="20"/>
                <w:szCs w:val="20"/>
              </w:rPr>
              <w:t>Headache</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1.0</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1.2</w:t>
            </w:r>
          </w:p>
        </w:tc>
      </w:tr>
      <w:tr w:rsidR="00006402" w:rsidRPr="000301BB" w:rsidTr="002C490F">
        <w:trPr>
          <w:trHeight w:val="326"/>
        </w:trPr>
        <w:tc>
          <w:tcPr>
            <w:tcW w:w="2640" w:type="dxa"/>
          </w:tcPr>
          <w:p w:rsidR="00006402" w:rsidRPr="000301BB" w:rsidRDefault="00006402" w:rsidP="008D106D">
            <w:pPr>
              <w:tabs>
                <w:tab w:val="left" w:pos="840"/>
              </w:tabs>
              <w:rPr>
                <w:sz w:val="20"/>
                <w:szCs w:val="20"/>
              </w:rPr>
            </w:pPr>
            <w:r w:rsidRPr="000301BB">
              <w:rPr>
                <w:sz w:val="20"/>
                <w:szCs w:val="20"/>
              </w:rPr>
              <w:t>Insomnia</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0.5</w:t>
            </w:r>
          </w:p>
        </w:tc>
        <w:tc>
          <w:tcPr>
            <w:tcW w:w="1870" w:type="dxa"/>
            <w:tcBorders>
              <w:left w:val="nil"/>
            </w:tcBorders>
          </w:tcPr>
          <w:p w:rsidR="00006402" w:rsidRPr="000301BB" w:rsidRDefault="00006402" w:rsidP="008D106D">
            <w:pPr>
              <w:tabs>
                <w:tab w:val="left" w:pos="840"/>
              </w:tabs>
              <w:jc w:val="center"/>
              <w:rPr>
                <w:sz w:val="20"/>
                <w:szCs w:val="20"/>
              </w:rPr>
            </w:pPr>
            <w:r w:rsidRPr="000301BB">
              <w:rPr>
                <w:sz w:val="20"/>
                <w:szCs w:val="20"/>
              </w:rPr>
              <w:t>0</w:t>
            </w:r>
          </w:p>
        </w:tc>
      </w:tr>
      <w:tr w:rsidR="002C490F" w:rsidRPr="000301BB" w:rsidTr="00CB1A0D">
        <w:trPr>
          <w:trHeight w:val="70"/>
        </w:trPr>
        <w:tc>
          <w:tcPr>
            <w:tcW w:w="2640" w:type="dxa"/>
          </w:tcPr>
          <w:p w:rsidR="002C490F" w:rsidRPr="000301BB" w:rsidRDefault="002C490F" w:rsidP="008D106D">
            <w:pPr>
              <w:tabs>
                <w:tab w:val="left" w:pos="840"/>
              </w:tabs>
              <w:rPr>
                <w:sz w:val="20"/>
                <w:szCs w:val="20"/>
              </w:rPr>
            </w:pPr>
          </w:p>
        </w:tc>
        <w:tc>
          <w:tcPr>
            <w:tcW w:w="1869" w:type="dxa"/>
            <w:tcBorders>
              <w:left w:val="single" w:sz="6" w:space="0" w:color="auto"/>
              <w:right w:val="single" w:sz="6" w:space="0" w:color="auto"/>
            </w:tcBorders>
          </w:tcPr>
          <w:p w:rsidR="002C490F" w:rsidRPr="000301BB" w:rsidRDefault="002C490F" w:rsidP="008D106D">
            <w:pPr>
              <w:tabs>
                <w:tab w:val="left" w:pos="840"/>
              </w:tabs>
              <w:jc w:val="center"/>
              <w:rPr>
                <w:sz w:val="20"/>
                <w:szCs w:val="20"/>
              </w:rPr>
            </w:pPr>
          </w:p>
        </w:tc>
        <w:tc>
          <w:tcPr>
            <w:tcW w:w="1870" w:type="dxa"/>
            <w:tcBorders>
              <w:left w:val="nil"/>
            </w:tcBorders>
          </w:tcPr>
          <w:p w:rsidR="002C490F" w:rsidRPr="000301BB" w:rsidRDefault="002C490F" w:rsidP="008D106D">
            <w:pPr>
              <w:tabs>
                <w:tab w:val="left" w:pos="840"/>
              </w:tabs>
              <w:jc w:val="center"/>
              <w:rPr>
                <w:sz w:val="20"/>
                <w:szCs w:val="20"/>
              </w:rPr>
            </w:pPr>
          </w:p>
        </w:tc>
      </w:tr>
      <w:tr w:rsidR="00006402" w:rsidRPr="000301BB" w:rsidTr="008D106D">
        <w:tc>
          <w:tcPr>
            <w:tcW w:w="2640" w:type="dxa"/>
          </w:tcPr>
          <w:p w:rsidR="00006402" w:rsidRPr="000301BB" w:rsidRDefault="00006402" w:rsidP="008D106D">
            <w:pPr>
              <w:tabs>
                <w:tab w:val="left" w:pos="840"/>
              </w:tabs>
              <w:rPr>
                <w:sz w:val="20"/>
                <w:szCs w:val="20"/>
              </w:rPr>
            </w:pPr>
            <w:r w:rsidRPr="000301BB">
              <w:rPr>
                <w:b/>
                <w:sz w:val="20"/>
                <w:szCs w:val="20"/>
              </w:rPr>
              <w:t>Dermatological</w:t>
            </w:r>
          </w:p>
        </w:tc>
        <w:tc>
          <w:tcPr>
            <w:tcW w:w="1869" w:type="dxa"/>
            <w:tcBorders>
              <w:left w:val="single" w:sz="6" w:space="0" w:color="auto"/>
              <w:right w:val="single" w:sz="6" w:space="0" w:color="auto"/>
            </w:tcBorders>
          </w:tcPr>
          <w:p w:rsidR="00006402" w:rsidRPr="000301BB" w:rsidRDefault="00006402" w:rsidP="008D106D">
            <w:pPr>
              <w:tabs>
                <w:tab w:val="left" w:pos="840"/>
              </w:tabs>
              <w:jc w:val="center"/>
              <w:rPr>
                <w:sz w:val="20"/>
                <w:szCs w:val="20"/>
              </w:rPr>
            </w:pPr>
          </w:p>
        </w:tc>
        <w:tc>
          <w:tcPr>
            <w:tcW w:w="1870" w:type="dxa"/>
            <w:tcBorders>
              <w:left w:val="nil"/>
            </w:tcBorders>
          </w:tcPr>
          <w:p w:rsidR="00006402" w:rsidRPr="000301BB" w:rsidRDefault="00006402" w:rsidP="008D106D">
            <w:pPr>
              <w:tabs>
                <w:tab w:val="left" w:pos="840"/>
              </w:tabs>
              <w:jc w:val="center"/>
              <w:rPr>
                <w:sz w:val="20"/>
                <w:szCs w:val="20"/>
              </w:rPr>
            </w:pPr>
          </w:p>
        </w:tc>
      </w:tr>
      <w:tr w:rsidR="00006402" w:rsidRPr="000301BB" w:rsidTr="008D106D">
        <w:tc>
          <w:tcPr>
            <w:tcW w:w="2640" w:type="dxa"/>
            <w:tcBorders>
              <w:bottom w:val="single" w:sz="6" w:space="0" w:color="auto"/>
            </w:tcBorders>
          </w:tcPr>
          <w:p w:rsidR="00006402" w:rsidRPr="000301BB" w:rsidRDefault="00006402" w:rsidP="008D106D">
            <w:pPr>
              <w:tabs>
                <w:tab w:val="left" w:pos="840"/>
              </w:tabs>
              <w:rPr>
                <w:sz w:val="20"/>
                <w:szCs w:val="20"/>
              </w:rPr>
            </w:pPr>
            <w:r w:rsidRPr="000301BB">
              <w:rPr>
                <w:sz w:val="20"/>
                <w:szCs w:val="20"/>
              </w:rPr>
              <w:t>Rash</w:t>
            </w:r>
          </w:p>
        </w:tc>
        <w:tc>
          <w:tcPr>
            <w:tcW w:w="1869" w:type="dxa"/>
            <w:tcBorders>
              <w:left w:val="single" w:sz="6" w:space="0" w:color="auto"/>
              <w:bottom w:val="single" w:sz="6" w:space="0" w:color="auto"/>
              <w:right w:val="single" w:sz="6" w:space="0" w:color="auto"/>
            </w:tcBorders>
          </w:tcPr>
          <w:p w:rsidR="00006402" w:rsidRPr="000301BB" w:rsidRDefault="00006402" w:rsidP="008D106D">
            <w:pPr>
              <w:tabs>
                <w:tab w:val="left" w:pos="840"/>
              </w:tabs>
              <w:jc w:val="center"/>
              <w:rPr>
                <w:sz w:val="20"/>
                <w:szCs w:val="20"/>
              </w:rPr>
            </w:pPr>
            <w:r w:rsidRPr="000301BB">
              <w:rPr>
                <w:sz w:val="20"/>
                <w:szCs w:val="20"/>
              </w:rPr>
              <w:t>0.7</w:t>
            </w:r>
          </w:p>
        </w:tc>
        <w:tc>
          <w:tcPr>
            <w:tcW w:w="1870" w:type="dxa"/>
            <w:tcBorders>
              <w:left w:val="nil"/>
              <w:bottom w:val="single" w:sz="6" w:space="0" w:color="auto"/>
            </w:tcBorders>
          </w:tcPr>
          <w:p w:rsidR="00006402" w:rsidRPr="000301BB" w:rsidRDefault="00006402" w:rsidP="008D106D">
            <w:pPr>
              <w:tabs>
                <w:tab w:val="left" w:pos="840"/>
              </w:tabs>
              <w:jc w:val="center"/>
              <w:rPr>
                <w:sz w:val="20"/>
                <w:szCs w:val="20"/>
              </w:rPr>
            </w:pPr>
            <w:r w:rsidRPr="000301BB">
              <w:rPr>
                <w:sz w:val="20"/>
                <w:szCs w:val="20"/>
              </w:rPr>
              <w:t>0</w:t>
            </w:r>
          </w:p>
        </w:tc>
      </w:tr>
    </w:tbl>
    <w:p w:rsidR="00006402" w:rsidRPr="000301BB" w:rsidRDefault="00006402" w:rsidP="008C3589">
      <w:pPr>
        <w:tabs>
          <w:tab w:val="left" w:pos="840"/>
        </w:tabs>
        <w:spacing w:before="100" w:beforeAutospacing="1" w:after="100" w:afterAutospacing="1"/>
        <w:outlineLvl w:val="0"/>
      </w:pPr>
      <w:r w:rsidRPr="000301BB">
        <w:t>Myopathy has been reported rarely</w:t>
      </w:r>
      <w:r w:rsidR="00341B8B" w:rsidRPr="000301BB">
        <w:t xml:space="preserve"> (see </w:t>
      </w:r>
      <w:r w:rsidR="00341B8B" w:rsidRPr="000301BB">
        <w:rPr>
          <w:b/>
          <w:bCs w:val="0"/>
        </w:rPr>
        <w:t>PRECAUTIONS</w:t>
      </w:r>
      <w:r w:rsidR="00341B8B" w:rsidRPr="000301BB">
        <w:t xml:space="preserve">; </w:t>
      </w:r>
      <w:r w:rsidR="00341B8B" w:rsidRPr="000301BB">
        <w:rPr>
          <w:i/>
          <w:iCs/>
        </w:rPr>
        <w:t>Myopathy/Rhabdomyolysis</w:t>
      </w:r>
      <w:r w:rsidR="00341B8B" w:rsidRPr="000301BB">
        <w:t>)</w:t>
      </w:r>
      <w:r w:rsidRPr="000301BB">
        <w:t>.</w:t>
      </w:r>
    </w:p>
    <w:p w:rsidR="00006402" w:rsidRPr="000301BB" w:rsidRDefault="00006402" w:rsidP="008C3589">
      <w:pPr>
        <w:tabs>
          <w:tab w:val="left" w:pos="840"/>
        </w:tabs>
        <w:spacing w:after="100" w:afterAutospacing="1"/>
      </w:pPr>
      <w:r w:rsidRPr="000301BB">
        <w:t xml:space="preserve">In HPS (see </w:t>
      </w:r>
      <w:r w:rsidRPr="000301BB">
        <w:rPr>
          <w:b/>
        </w:rPr>
        <w:t>CLINICAL TRIALS</w:t>
      </w:r>
      <w:r w:rsidRPr="000301BB">
        <w:t>) involving 20</w:t>
      </w:r>
      <w:r w:rsidR="00F23F41" w:rsidRPr="000301BB">
        <w:t>,</w:t>
      </w:r>
      <w:r w:rsidRPr="000301BB">
        <w:t xml:space="preserve">536 patients treated with 40 mg/day of </w:t>
      </w:r>
      <w:r w:rsidR="009E3289" w:rsidRPr="000301BB">
        <w:t>simvastatin</w:t>
      </w:r>
      <w:r w:rsidRPr="000301BB">
        <w:t xml:space="preserve"> (n=10</w:t>
      </w:r>
      <w:r w:rsidR="00F23F41" w:rsidRPr="000301BB">
        <w:t>,</w:t>
      </w:r>
      <w:r w:rsidRPr="000301BB">
        <w:t>269) or placebo (n=10</w:t>
      </w:r>
      <w:r w:rsidR="00F23F41" w:rsidRPr="000301BB">
        <w:t>,</w:t>
      </w:r>
      <w:r w:rsidRPr="000301BB">
        <w:t xml:space="preserve">267), the safety profiles were comparable between patients treated with </w:t>
      </w:r>
      <w:r w:rsidR="009E3289" w:rsidRPr="000301BB">
        <w:t>simvastatin</w:t>
      </w:r>
      <w:r w:rsidRPr="000301BB">
        <w:t xml:space="preserve"> and patients treated with placebo over the mean 5.3 years of the study.  In this trial, only serious adverse effects and discontinuations due to any adverse effects were recorded.  Discontinuation rates due to side effects were comparable (4.2% in patients treated with </w:t>
      </w:r>
      <w:r w:rsidR="009E3289" w:rsidRPr="000301BB">
        <w:t>simvastatin</w:t>
      </w:r>
      <w:r w:rsidRPr="000301BB">
        <w:t xml:space="preserve"> compared with 4.3% in patients treated with placebo).  The incidence of myopathy was 0.07% in patients treated with </w:t>
      </w:r>
      <w:r w:rsidR="009E3289" w:rsidRPr="000301BB">
        <w:t>simvastatin</w:t>
      </w:r>
      <w:r w:rsidRPr="000301BB">
        <w:t xml:space="preserve"> compared with 0.03% in patients treated with placebo.  This includes rhabdomyolysis for which incidences were 0.04% in patients treated with </w:t>
      </w:r>
      <w:r w:rsidR="009E3289" w:rsidRPr="000301BB">
        <w:t>simvastatin</w:t>
      </w:r>
      <w:r w:rsidRPr="000301BB">
        <w:t xml:space="preserve"> compared with 0.01% in patients treated with placebo.  Some of these patients were taking </w:t>
      </w:r>
      <w:r w:rsidR="009E3289" w:rsidRPr="000301BB">
        <w:t>simvastatin</w:t>
      </w:r>
      <w:r w:rsidRPr="000301BB">
        <w:t xml:space="preserve"> concomitantly with medications which are known to increase the risk of myopathy (see </w:t>
      </w:r>
      <w:r w:rsidRPr="000301BB">
        <w:rPr>
          <w:b/>
        </w:rPr>
        <w:t>PRECAUTIONS</w:t>
      </w:r>
      <w:r w:rsidR="003A759D" w:rsidRPr="000301BB">
        <w:t>,</w:t>
      </w:r>
      <w:r w:rsidRPr="000301BB">
        <w:t xml:space="preserve"> </w:t>
      </w:r>
      <w:r w:rsidRPr="000301BB">
        <w:rPr>
          <w:i/>
          <w:iCs/>
        </w:rPr>
        <w:t>Myopathy/Rhabdomyolysis</w:t>
      </w:r>
      <w:r w:rsidRPr="000301BB">
        <w:t xml:space="preserve">).  Elevated transaminases (&gt;3X ULN confirmed by repeat test) occurred in 0.21% of patients treated with </w:t>
      </w:r>
      <w:r w:rsidR="009E3289" w:rsidRPr="000301BB">
        <w:t>simvastatin</w:t>
      </w:r>
      <w:r w:rsidRPr="000301BB">
        <w:t xml:space="preserve"> compared with 0.09% of patients treated with placebo.</w:t>
      </w:r>
    </w:p>
    <w:p w:rsidR="00006402" w:rsidRPr="000301BB" w:rsidRDefault="00006402" w:rsidP="008C3589">
      <w:pPr>
        <w:tabs>
          <w:tab w:val="left" w:pos="840"/>
        </w:tabs>
        <w:spacing w:after="100" w:afterAutospacing="1"/>
      </w:pPr>
      <w:r w:rsidRPr="000301BB">
        <w:lastRenderedPageBreak/>
        <w:t>In 4S (see</w:t>
      </w:r>
      <w:r w:rsidRPr="000301BB">
        <w:rPr>
          <w:b/>
        </w:rPr>
        <w:t xml:space="preserve"> CLINICAL TRIALS</w:t>
      </w:r>
      <w:r w:rsidRPr="000301BB">
        <w:t>) involving 4</w:t>
      </w:r>
      <w:r w:rsidR="00F23F41" w:rsidRPr="000301BB">
        <w:t>,</w:t>
      </w:r>
      <w:r w:rsidRPr="000301BB">
        <w:t xml:space="preserve">444 patients treated with 20-40 mg/day of </w:t>
      </w:r>
      <w:r w:rsidR="009E3289" w:rsidRPr="000301BB">
        <w:t>simvastatin</w:t>
      </w:r>
      <w:r w:rsidRPr="000301BB">
        <w:t xml:space="preserve"> (n=2</w:t>
      </w:r>
      <w:r w:rsidR="00F23F41" w:rsidRPr="000301BB">
        <w:t>,</w:t>
      </w:r>
      <w:r w:rsidRPr="000301BB">
        <w:t>221) or placebo (n=2</w:t>
      </w:r>
      <w:r w:rsidR="00F23F41" w:rsidRPr="000301BB">
        <w:t>,</w:t>
      </w:r>
      <w:r w:rsidRPr="000301BB">
        <w:t>223), the safety and tolerability profiles were comparable between treatment groups over the median 5.4 years of the study.</w:t>
      </w:r>
    </w:p>
    <w:p w:rsidR="00980386" w:rsidRPr="000301BB" w:rsidRDefault="00980386" w:rsidP="00E3414D">
      <w:pPr>
        <w:pStyle w:val="Heading4"/>
      </w:pPr>
      <w:bookmarkStart w:id="15" w:name="OLE_LINK8"/>
      <w:r w:rsidRPr="000301BB">
        <w:t>Post</w:t>
      </w:r>
      <w:r w:rsidR="00F22924" w:rsidRPr="000301BB">
        <w:t>-</w:t>
      </w:r>
      <w:r w:rsidRPr="000301BB">
        <w:t>marketing Experience</w:t>
      </w:r>
    </w:p>
    <w:bookmarkEnd w:id="15"/>
    <w:p w:rsidR="00980386" w:rsidRPr="000301BB" w:rsidRDefault="00980386" w:rsidP="00E3414D">
      <w:pPr>
        <w:spacing w:after="100" w:afterAutospacing="1"/>
      </w:pPr>
      <w:r w:rsidRPr="000301BB">
        <w:t>Additional adverse reactions have been identified during post</w:t>
      </w:r>
      <w:r w:rsidR="00F22924" w:rsidRPr="000301BB">
        <w:t>-</w:t>
      </w:r>
      <w:r w:rsidRPr="000301BB">
        <w:t>marketing use of sitagliptin (as monotherapy and/or in combination with other antihyperglyc</w:t>
      </w:r>
      <w:r w:rsidR="000E63EB" w:rsidRPr="000301BB">
        <w:t>a</w:t>
      </w:r>
      <w:r w:rsidRPr="000301BB">
        <w:t>emic agents) or in clinical studies (other than those described above) or post</w:t>
      </w:r>
      <w:r w:rsidR="00F22924" w:rsidRPr="000301BB">
        <w:t>-</w:t>
      </w:r>
      <w:r w:rsidRPr="000301BB">
        <w:t xml:space="preserve">marketing use of simvastatin. </w:t>
      </w:r>
      <w:r w:rsidR="00AD7693" w:rsidRPr="000301BB">
        <w:t xml:space="preserve"> </w:t>
      </w:r>
      <w:r w:rsidRPr="000301BB">
        <w:t>Because the reactions listed below are reported voluntarily from a population of uncertain size, it is generally not possible to reliably estimate their frequency or establish a causal relationship to exposure</w:t>
      </w:r>
      <w:r w:rsidR="007A7434" w:rsidRPr="000301BB">
        <w:t xml:space="preserve"> to sitagliptin or simvastatin</w:t>
      </w:r>
      <w:r w:rsidRPr="000301BB">
        <w:t>.</w:t>
      </w:r>
    </w:p>
    <w:p w:rsidR="00980386" w:rsidRPr="000301BB" w:rsidRDefault="00980386" w:rsidP="00980386">
      <w:pPr>
        <w:rPr>
          <w:iCs/>
        </w:rPr>
      </w:pPr>
      <w:r w:rsidRPr="000301BB">
        <w:rPr>
          <w:i/>
          <w:iCs/>
        </w:rPr>
        <w:t xml:space="preserve">Infections and infestations: </w:t>
      </w:r>
      <w:r w:rsidRPr="000301BB">
        <w:rPr>
          <w:iCs/>
        </w:rPr>
        <w:t>upper respiratory tract infection; nasopharyngitis</w:t>
      </w:r>
    </w:p>
    <w:p w:rsidR="00980386" w:rsidRPr="000301BB" w:rsidRDefault="00980386" w:rsidP="00980386">
      <w:pPr>
        <w:rPr>
          <w:iCs/>
        </w:rPr>
      </w:pPr>
      <w:r w:rsidRPr="000301BB">
        <w:rPr>
          <w:i/>
          <w:iCs/>
        </w:rPr>
        <w:t xml:space="preserve">Blood and lymphatic system disorders: </w:t>
      </w:r>
      <w:r w:rsidRPr="000301BB">
        <w:rPr>
          <w:iCs/>
        </w:rPr>
        <w:t>an</w:t>
      </w:r>
      <w:r w:rsidR="000E63EB" w:rsidRPr="000301BB">
        <w:rPr>
          <w:iCs/>
        </w:rPr>
        <w:t>a</w:t>
      </w:r>
      <w:r w:rsidRPr="000301BB">
        <w:rPr>
          <w:iCs/>
        </w:rPr>
        <w:t>emia</w:t>
      </w:r>
    </w:p>
    <w:p w:rsidR="00980386" w:rsidRPr="000301BB" w:rsidRDefault="00980386" w:rsidP="00980386">
      <w:pPr>
        <w:rPr>
          <w:iCs/>
        </w:rPr>
      </w:pPr>
      <w:r w:rsidRPr="000301BB">
        <w:rPr>
          <w:i/>
          <w:iCs/>
        </w:rPr>
        <w:t xml:space="preserve">Psychiatric disorders: </w:t>
      </w:r>
      <w:r w:rsidRPr="000301BB">
        <w:rPr>
          <w:iCs/>
        </w:rPr>
        <w:t>insomnia; depression</w:t>
      </w:r>
    </w:p>
    <w:p w:rsidR="00980386" w:rsidRPr="000301BB" w:rsidRDefault="00980386" w:rsidP="00E764F4">
      <w:pPr>
        <w:rPr>
          <w:iCs/>
        </w:rPr>
      </w:pPr>
      <w:r w:rsidRPr="000301BB">
        <w:rPr>
          <w:i/>
          <w:iCs/>
        </w:rPr>
        <w:t xml:space="preserve">Nervous system disorders: </w:t>
      </w:r>
      <w:r w:rsidRPr="000301BB">
        <w:rPr>
          <w:iCs/>
        </w:rPr>
        <w:t>headache; dizziness; paresth</w:t>
      </w:r>
      <w:r w:rsidR="000E63EB" w:rsidRPr="000301BB">
        <w:rPr>
          <w:iCs/>
        </w:rPr>
        <w:t>a</w:t>
      </w:r>
      <w:r w:rsidRPr="000301BB">
        <w:rPr>
          <w:iCs/>
        </w:rPr>
        <w:t xml:space="preserve">esia; peripheral neuropathy; </w:t>
      </w:r>
    </w:p>
    <w:p w:rsidR="00980386" w:rsidRPr="000301BB" w:rsidRDefault="00980386" w:rsidP="00980386">
      <w:pPr>
        <w:rPr>
          <w:iCs/>
        </w:rPr>
      </w:pPr>
      <w:r w:rsidRPr="000301BB">
        <w:rPr>
          <w:i/>
          <w:iCs/>
        </w:rPr>
        <w:t xml:space="preserve">Respiratory, thoracic and mediastinal disorders: </w:t>
      </w:r>
      <w:r w:rsidRPr="000301BB">
        <w:rPr>
          <w:iCs/>
        </w:rPr>
        <w:t>interstitial lung disease</w:t>
      </w:r>
    </w:p>
    <w:p w:rsidR="00980386" w:rsidRPr="000301BB" w:rsidRDefault="00980386" w:rsidP="00980386">
      <w:pPr>
        <w:rPr>
          <w:iCs/>
        </w:rPr>
      </w:pPr>
      <w:r w:rsidRPr="000301BB">
        <w:rPr>
          <w:i/>
          <w:iCs/>
        </w:rPr>
        <w:t xml:space="preserve">Gastrointestinal disorders: </w:t>
      </w:r>
      <w:r w:rsidRPr="000301BB">
        <w:t>pancreatitis;</w:t>
      </w:r>
      <w:r w:rsidRPr="000301BB">
        <w:rPr>
          <w:i/>
          <w:iCs/>
        </w:rPr>
        <w:t xml:space="preserve"> </w:t>
      </w:r>
      <w:r w:rsidRPr="000301BB">
        <w:t xml:space="preserve">acute </w:t>
      </w:r>
      <w:r w:rsidRPr="000301BB">
        <w:rPr>
          <w:iCs/>
        </w:rPr>
        <w:t>pancreatitis,</w:t>
      </w:r>
      <w:r w:rsidRPr="000301BB">
        <w:rPr>
          <w:snapToGrid w:val="0"/>
        </w:rPr>
        <w:t xml:space="preserve"> including fatal and non-fatal </w:t>
      </w:r>
      <w:r w:rsidRPr="000301BB">
        <w:t>h</w:t>
      </w:r>
      <w:r w:rsidR="00C1641A" w:rsidRPr="000301BB">
        <w:t>a</w:t>
      </w:r>
      <w:r w:rsidRPr="000301BB">
        <w:t>emorrhagic</w:t>
      </w:r>
      <w:r w:rsidRPr="000301BB">
        <w:rPr>
          <w:snapToGrid w:val="0"/>
        </w:rPr>
        <w:t xml:space="preserve"> and necroti</w:t>
      </w:r>
      <w:r w:rsidR="00C1641A" w:rsidRPr="000301BB">
        <w:rPr>
          <w:snapToGrid w:val="0"/>
        </w:rPr>
        <w:t>s</w:t>
      </w:r>
      <w:r w:rsidRPr="000301BB">
        <w:rPr>
          <w:snapToGrid w:val="0"/>
        </w:rPr>
        <w:t xml:space="preserve">ing pancreatitis (see </w:t>
      </w:r>
      <w:r w:rsidRPr="000301BB">
        <w:rPr>
          <w:b/>
        </w:rPr>
        <w:t>PRECAUTIONS</w:t>
      </w:r>
      <w:r w:rsidRPr="000301BB">
        <w:rPr>
          <w:bCs w:val="0"/>
        </w:rPr>
        <w:t xml:space="preserve">, </w:t>
      </w:r>
      <w:r w:rsidRPr="000301BB">
        <w:rPr>
          <w:bCs w:val="0"/>
          <w:i/>
          <w:iCs/>
        </w:rPr>
        <w:t>Pancreatitis</w:t>
      </w:r>
      <w:r w:rsidRPr="000301BB">
        <w:rPr>
          <w:snapToGrid w:val="0"/>
        </w:rPr>
        <w:t>);</w:t>
      </w:r>
      <w:r w:rsidRPr="000301BB">
        <w:rPr>
          <w:iCs/>
        </w:rPr>
        <w:t xml:space="preserve"> constipation; vomiting; nausea; diarrh</w:t>
      </w:r>
      <w:r w:rsidR="000E63EB" w:rsidRPr="000301BB">
        <w:rPr>
          <w:iCs/>
        </w:rPr>
        <w:t>o</w:t>
      </w:r>
      <w:r w:rsidRPr="000301BB">
        <w:rPr>
          <w:iCs/>
        </w:rPr>
        <w:t>ea; dyspepsia</w:t>
      </w:r>
    </w:p>
    <w:p w:rsidR="00980386" w:rsidRPr="000301BB" w:rsidRDefault="00980386" w:rsidP="00980386">
      <w:pPr>
        <w:rPr>
          <w:iCs/>
        </w:rPr>
      </w:pPr>
      <w:r w:rsidRPr="000301BB">
        <w:rPr>
          <w:i/>
          <w:iCs/>
        </w:rPr>
        <w:t xml:space="preserve">Hepatobiliary disorders: </w:t>
      </w:r>
      <w:r w:rsidRPr="000301BB">
        <w:rPr>
          <w:iCs/>
        </w:rPr>
        <w:t xml:space="preserve">hepatitis/jaundice; </w:t>
      </w:r>
      <w:r w:rsidR="00E764F4" w:rsidRPr="000301BB">
        <w:rPr>
          <w:iCs/>
        </w:rPr>
        <w:t xml:space="preserve">fatal and non-fatal </w:t>
      </w:r>
      <w:r w:rsidRPr="000301BB">
        <w:rPr>
          <w:iCs/>
        </w:rPr>
        <w:t>hepatic failure</w:t>
      </w:r>
    </w:p>
    <w:p w:rsidR="00980386" w:rsidRPr="000301BB" w:rsidRDefault="00980386" w:rsidP="00980386">
      <w:pPr>
        <w:rPr>
          <w:iCs/>
        </w:rPr>
      </w:pPr>
      <w:r w:rsidRPr="000301BB">
        <w:rPr>
          <w:i/>
          <w:iCs/>
        </w:rPr>
        <w:t xml:space="preserve">Skin and subcutaneous tissue disorders: </w:t>
      </w:r>
      <w:r w:rsidRPr="000301BB">
        <w:rPr>
          <w:iCs/>
        </w:rPr>
        <w:t>rash; pruritus; alopecia</w:t>
      </w:r>
    </w:p>
    <w:p w:rsidR="00980386" w:rsidRPr="000301BB" w:rsidRDefault="00980386" w:rsidP="00980386">
      <w:pPr>
        <w:rPr>
          <w:iCs/>
        </w:rPr>
      </w:pPr>
      <w:r w:rsidRPr="000301BB">
        <w:rPr>
          <w:i/>
          <w:iCs/>
        </w:rPr>
        <w:t xml:space="preserve">Musculoskeletal and connective tissue disorders: </w:t>
      </w:r>
      <w:r w:rsidRPr="000301BB">
        <w:rPr>
          <w:iCs/>
        </w:rPr>
        <w:t>muscle cramps; myalgia; rhabdomyolysis</w:t>
      </w:r>
      <w:r w:rsidR="00533B4C" w:rsidRPr="000301BB">
        <w:rPr>
          <w:iCs/>
        </w:rPr>
        <w:t>; arthralgia; pain in extremity; back pain</w:t>
      </w:r>
    </w:p>
    <w:p w:rsidR="00980386" w:rsidRPr="000301BB" w:rsidRDefault="00980386" w:rsidP="00980386">
      <w:pPr>
        <w:rPr>
          <w:iCs/>
        </w:rPr>
      </w:pPr>
      <w:r w:rsidRPr="000301BB">
        <w:rPr>
          <w:i/>
          <w:iCs/>
        </w:rPr>
        <w:t xml:space="preserve">Renal and urinary disorders: </w:t>
      </w:r>
      <w:r w:rsidRPr="000301BB">
        <w:rPr>
          <w:iCs/>
        </w:rPr>
        <w:t>worsening renal function, including acute renal failure (sometimes requiring dialysis)</w:t>
      </w:r>
    </w:p>
    <w:p w:rsidR="00980386" w:rsidRPr="000301BB" w:rsidRDefault="00980386" w:rsidP="00980386">
      <w:pPr>
        <w:rPr>
          <w:iCs/>
        </w:rPr>
      </w:pPr>
      <w:r w:rsidRPr="000301BB">
        <w:rPr>
          <w:i/>
          <w:iCs/>
        </w:rPr>
        <w:t xml:space="preserve">Reproductive system and breast disorders: </w:t>
      </w:r>
      <w:r w:rsidRPr="000301BB">
        <w:rPr>
          <w:iCs/>
        </w:rPr>
        <w:t>erectile dysfunction</w:t>
      </w:r>
      <w:r w:rsidR="00A21D19" w:rsidRPr="000301BB">
        <w:rPr>
          <w:iCs/>
        </w:rPr>
        <w:t>, gynaecomastia</w:t>
      </w:r>
    </w:p>
    <w:p w:rsidR="00980386" w:rsidRPr="000301BB" w:rsidRDefault="00980386" w:rsidP="00980386">
      <w:r w:rsidRPr="000301BB">
        <w:t xml:space="preserve">Hypersensitivity reactions including anaphylaxis, angioedema, rash, urticaria, cutaneous vasculitis, and exfoliative skin conditions, including Stevens-Johnson syndrome have been reported with use of sitagliptin (see </w:t>
      </w:r>
      <w:r w:rsidRPr="000301BB">
        <w:rPr>
          <w:b/>
        </w:rPr>
        <w:t>CONTRAINDICATIONS</w:t>
      </w:r>
      <w:r w:rsidRPr="000301BB">
        <w:t>;</w:t>
      </w:r>
      <w:r w:rsidRPr="000301BB">
        <w:rPr>
          <w:b/>
        </w:rPr>
        <w:t xml:space="preserve"> PRECAUTIONS</w:t>
      </w:r>
      <w:r w:rsidRPr="000301BB">
        <w:t xml:space="preserve">, </w:t>
      </w:r>
      <w:r w:rsidRPr="000301BB">
        <w:rPr>
          <w:i/>
        </w:rPr>
        <w:t>Hypersensitivity Reactions</w:t>
      </w:r>
      <w:r w:rsidRPr="000301BB">
        <w:t>).</w:t>
      </w:r>
    </w:p>
    <w:p w:rsidR="008E7AE8" w:rsidRPr="000301BB" w:rsidRDefault="00A21D19" w:rsidP="00E3414D">
      <w:pPr>
        <w:spacing w:before="100" w:beforeAutospacing="1" w:after="100" w:afterAutospacing="1"/>
      </w:pPr>
      <w:r w:rsidRPr="000301BB">
        <w:t>Rhabdomyolysis and hepatitis/jaundice occurred rarely and hepatic failure occurred very rarely</w:t>
      </w:r>
      <w:r w:rsidR="009927C3" w:rsidRPr="000301BB">
        <w:t xml:space="preserve"> with simvastatin</w:t>
      </w:r>
      <w:r w:rsidRPr="000301BB">
        <w:t xml:space="preserve">.  </w:t>
      </w:r>
      <w:r w:rsidR="00980386" w:rsidRPr="000301BB">
        <w:t>An apparent hypersensitivity syndrome has been reported rarely with use of simvastatin which has included some of the following features: angioedema, lupus-like syndrome, polymyalgia rheumatica, dermatomyositis, vasculitis, thrombocytopenia, eosinophilia, ESR increased, arthritis, arthralgia, urticaria, photosensitivity, fever, flushing, dyspn</w:t>
      </w:r>
      <w:r w:rsidR="000E63EB" w:rsidRPr="000301BB">
        <w:t>o</w:t>
      </w:r>
      <w:r w:rsidR="00980386" w:rsidRPr="000301BB">
        <w:t>ea, and malaise.</w:t>
      </w:r>
    </w:p>
    <w:p w:rsidR="008E7AE8" w:rsidRPr="000301BB" w:rsidRDefault="00303A65" w:rsidP="00980386">
      <w:r w:rsidRPr="000301BB">
        <w:t xml:space="preserve">There </w:t>
      </w:r>
      <w:proofErr w:type="gramStart"/>
      <w:r w:rsidRPr="000301BB">
        <w:t>have</w:t>
      </w:r>
      <w:proofErr w:type="gramEnd"/>
      <w:r w:rsidRPr="000301BB">
        <w:t xml:space="preserve"> been rare postmarketing reports of cognitive impairment (e.g., memory loss, forgetfulness, </w:t>
      </w:r>
      <w:r w:rsidR="003C2FBF" w:rsidRPr="000301BB">
        <w:t>amnesia</w:t>
      </w:r>
      <w:r w:rsidRPr="000301BB">
        <w:t>, memory impairment, confusion) associated with statin use.  These cognitive issues have been reported for all statins.  The reports are generally non-serious, and reversible upon statin discontinuation, with variable times to symptom onset (1 day to years) and symptom r</w:t>
      </w:r>
      <w:r w:rsidR="00E3414D">
        <w:t>esolution (median of 3 weeks).</w:t>
      </w:r>
    </w:p>
    <w:p w:rsidR="00891922" w:rsidRPr="000301BB" w:rsidRDefault="00891922" w:rsidP="00E3414D">
      <w:pPr>
        <w:spacing w:before="100" w:beforeAutospacing="1" w:after="100" w:afterAutospacing="1"/>
      </w:pPr>
      <w:r w:rsidRPr="000301BB">
        <w:t>The following adverse effects have been reported; however, a causal relationship to therapy with simvastatin has not been established: erythema multiform including Stevens-Johnson syndrome, leucopenia, impotence, proteinuria</w:t>
      </w:r>
      <w:r w:rsidRPr="000301BB">
        <w:rPr>
          <w:b/>
        </w:rPr>
        <w:t>,</w:t>
      </w:r>
      <w:r w:rsidRPr="000301BB">
        <w:t xml:space="preserve"> and purpura.</w:t>
      </w:r>
    </w:p>
    <w:p w:rsidR="00B318B5" w:rsidRPr="000301BB" w:rsidRDefault="00B318B5" w:rsidP="00E3414D">
      <w:pPr>
        <w:pStyle w:val="Heading2"/>
      </w:pPr>
      <w:r w:rsidRPr="000301BB">
        <w:lastRenderedPageBreak/>
        <w:t>Dosage and administration</w:t>
      </w:r>
    </w:p>
    <w:p w:rsidR="00A668DF" w:rsidRPr="000301BB" w:rsidRDefault="00A668DF" w:rsidP="00A668DF">
      <w:pPr>
        <w:rPr>
          <w:rFonts w:cs="TimesNewRoman+1"/>
        </w:rPr>
      </w:pPr>
      <w:r w:rsidRPr="000301BB">
        <w:rPr>
          <w:rFonts w:cs="TimesNewRoman+1"/>
        </w:rPr>
        <w:t xml:space="preserve">The </w:t>
      </w:r>
      <w:r w:rsidR="00AD7693" w:rsidRPr="000301BB">
        <w:rPr>
          <w:rFonts w:cs="TimesNewRoman+1"/>
        </w:rPr>
        <w:t xml:space="preserve">recommended </w:t>
      </w:r>
      <w:r w:rsidR="006F3630" w:rsidRPr="000301BB">
        <w:rPr>
          <w:rFonts w:cs="TimesNewRoman+1"/>
        </w:rPr>
        <w:t xml:space="preserve">dose </w:t>
      </w:r>
      <w:r w:rsidR="003B7E29" w:rsidRPr="000301BB">
        <w:rPr>
          <w:rFonts w:cs="TimesNewRoman+1"/>
        </w:rPr>
        <w:t>of</w:t>
      </w:r>
      <w:r w:rsidRPr="000301BB">
        <w:rPr>
          <w:rFonts w:cs="TimesNewRoman+1"/>
        </w:rPr>
        <w:t xml:space="preserve"> </w:t>
      </w:r>
      <w:r w:rsidRPr="000301BB">
        <w:rPr>
          <w:iCs/>
        </w:rPr>
        <w:t>JUVICOR</w:t>
      </w:r>
      <w:r w:rsidRPr="000301BB">
        <w:rPr>
          <w:rFonts w:cs="TimesNewRoman+1"/>
        </w:rPr>
        <w:t xml:space="preserve"> are 100/10, 100/20, and 100/40 (mg sitagliptin/mg simvastatin) once daily as combination therapy with</w:t>
      </w:r>
      <w:r w:rsidRPr="000301BB">
        <w:t xml:space="preserve"> metformin,</w:t>
      </w:r>
      <w:r w:rsidRPr="000301BB">
        <w:rPr>
          <w:rFonts w:cs="TimesNewRoman+1"/>
        </w:rPr>
        <w:t xml:space="preserve"> a sulfonylurea</w:t>
      </w:r>
      <w:r w:rsidR="00AD7693" w:rsidRPr="000301BB">
        <w:rPr>
          <w:rFonts w:cs="TimesNewRoman+1"/>
        </w:rPr>
        <w:t xml:space="preserve"> (clinical experience is with glimepiride as dual therapy)</w:t>
      </w:r>
      <w:r w:rsidRPr="000301BB">
        <w:rPr>
          <w:rFonts w:cs="TimesNewRoman+1"/>
        </w:rPr>
        <w:t xml:space="preserve">, </w:t>
      </w:r>
      <w:r w:rsidR="0068736A" w:rsidRPr="000301BB">
        <w:rPr>
          <w:rFonts w:cs="TimesNewRoman+1"/>
        </w:rPr>
        <w:t xml:space="preserve">or </w:t>
      </w:r>
      <w:r w:rsidRPr="000301BB">
        <w:rPr>
          <w:rFonts w:cs="TimesNewRoman+1"/>
        </w:rPr>
        <w:t xml:space="preserve">a </w:t>
      </w:r>
      <w:r w:rsidRPr="000301BB">
        <w:t>thiazolidinedione</w:t>
      </w:r>
      <w:r w:rsidR="00AD7693" w:rsidRPr="000301BB">
        <w:t xml:space="preserve"> (clinical experience is with pioglitazone as dual therapy</w:t>
      </w:r>
      <w:r w:rsidRPr="000301BB">
        <w:t>).</w:t>
      </w:r>
    </w:p>
    <w:p w:rsidR="00A668DF" w:rsidRPr="000301BB" w:rsidRDefault="00A668DF" w:rsidP="00E3414D">
      <w:pPr>
        <w:spacing w:before="100" w:beforeAutospacing="1" w:after="100" w:afterAutospacing="1"/>
      </w:pPr>
      <w:r w:rsidRPr="000301BB">
        <w:t xml:space="preserve">As patients with </w:t>
      </w:r>
      <w:r w:rsidR="00897CEA" w:rsidRPr="000301BB">
        <w:t>type 2</w:t>
      </w:r>
      <w:r w:rsidRPr="000301BB">
        <w:t xml:space="preserve"> diabetes are considered to be at high risk of coronary events, the usual starting dose of </w:t>
      </w:r>
      <w:r w:rsidRPr="000301BB">
        <w:rPr>
          <w:iCs/>
        </w:rPr>
        <w:t>JUVICOR</w:t>
      </w:r>
      <w:r w:rsidRPr="000301BB">
        <w:t xml:space="preserve"> for patients who are not already taking simvastatin is 100/40 mg/day given as a single dose in the evening. </w:t>
      </w:r>
      <w:r w:rsidR="000E4E63" w:rsidRPr="000301BB">
        <w:t xml:space="preserve"> </w:t>
      </w:r>
      <w:r w:rsidRPr="000301BB">
        <w:t xml:space="preserve">For patients already taking simvastatin (10-40 mg daily) with or without sitagliptin 100 mg daily, </w:t>
      </w:r>
      <w:r w:rsidRPr="000301BB">
        <w:rPr>
          <w:iCs/>
        </w:rPr>
        <w:t>JUVICOR</w:t>
      </w:r>
      <w:r w:rsidRPr="000301BB">
        <w:t xml:space="preserve"> may be initiated at the dose of 100 mg sitagliptin and the dose of simvastatin already being taken. </w:t>
      </w:r>
      <w:r w:rsidR="003B7E29" w:rsidRPr="000301BB">
        <w:t xml:space="preserve"> </w:t>
      </w:r>
      <w:r w:rsidR="008770D8" w:rsidRPr="000301BB">
        <w:t>Pharmaco</w:t>
      </w:r>
      <w:r w:rsidR="00235B0A" w:rsidRPr="000301BB">
        <w:t xml:space="preserve">therapy can be initiated simultaneously with diet and exercise.  </w:t>
      </w:r>
      <w:r w:rsidRPr="000301BB">
        <w:rPr>
          <w:iCs/>
        </w:rPr>
        <w:t>JUVICOR</w:t>
      </w:r>
      <w:r w:rsidRPr="000301BB">
        <w:t xml:space="preserve"> can be taken with or without food</w:t>
      </w:r>
      <w:r w:rsidR="001E5F1F" w:rsidRPr="000301BB">
        <w:t xml:space="preserve">, although co-administration with high-fat meals is not recommended (see </w:t>
      </w:r>
      <w:r w:rsidR="001E5F1F" w:rsidRPr="000301BB">
        <w:rPr>
          <w:b/>
        </w:rPr>
        <w:t>PHARMACOLOGY</w:t>
      </w:r>
      <w:r w:rsidR="001E5F1F" w:rsidRPr="000301BB">
        <w:t xml:space="preserve">, </w:t>
      </w:r>
      <w:r w:rsidR="001E5F1F" w:rsidRPr="000301BB">
        <w:rPr>
          <w:i/>
        </w:rPr>
        <w:t>Pharmacokinetics</w:t>
      </w:r>
      <w:r w:rsidR="001E5F1F" w:rsidRPr="000301BB">
        <w:t>)</w:t>
      </w:r>
      <w:r w:rsidRPr="000301BB">
        <w:t>.</w:t>
      </w:r>
    </w:p>
    <w:p w:rsidR="00A668DF" w:rsidRPr="000301BB" w:rsidRDefault="00A668DF" w:rsidP="00A668DF">
      <w:r w:rsidRPr="000301BB">
        <w:t>Adjustments of dosage, if required, should be made at intervals of not less than 4 weeks, to a maximum of 100/40 mg/day given as a single dose in the evening.</w:t>
      </w:r>
    </w:p>
    <w:p w:rsidR="00F97E37" w:rsidRPr="00E3414D" w:rsidRDefault="00F97E37" w:rsidP="00E3414D">
      <w:pPr>
        <w:pStyle w:val="Heading3"/>
        <w:spacing w:after="0" w:afterAutospacing="0"/>
      </w:pPr>
      <w:r w:rsidRPr="00E3414D">
        <w:t>Advice to Patients Currently Taking Sitagliptin and/or Simvastatin</w:t>
      </w:r>
    </w:p>
    <w:p w:rsidR="00F97E37" w:rsidRPr="00747907" w:rsidRDefault="008C2D6F" w:rsidP="00E3414D">
      <w:pPr>
        <w:spacing w:after="100" w:afterAutospacing="1"/>
      </w:pPr>
      <w:r w:rsidRPr="00747907">
        <w:t>To prevent accidental excessive dosing due to inadvertent duplication of administration of sitagliptin and/or simvastatin, patients currently taking sitagliptin and/or simvastatin should be advised that JUVICOR replaces these medications and therefore the current sitagliptin and/or simvastatin medication(s) should no longer be taken.  Patients should also be advised to take any remaining medication(s) to the pharmacy for appropriate disposal.</w:t>
      </w:r>
    </w:p>
    <w:p w:rsidR="00235B0A" w:rsidRPr="000301BB" w:rsidRDefault="00235B0A" w:rsidP="00E3414D">
      <w:pPr>
        <w:pStyle w:val="Heading3"/>
        <w:spacing w:after="0" w:afterAutospacing="0"/>
      </w:pPr>
      <w:r w:rsidRPr="000301BB">
        <w:t>Concomitant Therapy</w:t>
      </w:r>
    </w:p>
    <w:p w:rsidR="00A668DF" w:rsidRPr="000301BB" w:rsidRDefault="00A668DF" w:rsidP="00A668DF">
      <w:r w:rsidRPr="000301BB">
        <w:t xml:space="preserve">When </w:t>
      </w:r>
      <w:r w:rsidRPr="000301BB">
        <w:rPr>
          <w:iCs/>
        </w:rPr>
        <w:t>JUVICOR</w:t>
      </w:r>
      <w:r w:rsidRPr="000301BB">
        <w:t xml:space="preserve"> is used in combination with a sulfonylurea, a lower dose of sulfonylurea may be considered to reduce the risk of sulfonylurea-induced hypoglyc</w:t>
      </w:r>
      <w:r w:rsidR="00BB2F97" w:rsidRPr="000301BB">
        <w:t>a</w:t>
      </w:r>
      <w:r w:rsidRPr="000301BB">
        <w:t>emia (</w:t>
      </w:r>
      <w:r w:rsidR="00493243" w:rsidRPr="000301BB">
        <w:t>s</w:t>
      </w:r>
      <w:r w:rsidRPr="000301BB">
        <w:t xml:space="preserve">ee </w:t>
      </w:r>
      <w:r w:rsidRPr="000301BB">
        <w:rPr>
          <w:b/>
        </w:rPr>
        <w:t>PRECAUTIONS</w:t>
      </w:r>
      <w:r w:rsidRPr="000301BB">
        <w:t>,</w:t>
      </w:r>
      <w:r w:rsidRPr="000301BB">
        <w:rPr>
          <w:i/>
        </w:rPr>
        <w:t xml:space="preserve"> Hypoglyc</w:t>
      </w:r>
      <w:r w:rsidR="0027739F" w:rsidRPr="000301BB">
        <w:rPr>
          <w:i/>
        </w:rPr>
        <w:t>a</w:t>
      </w:r>
      <w:r w:rsidRPr="000301BB">
        <w:rPr>
          <w:i/>
        </w:rPr>
        <w:t>emia in Combination with a Sulfonylurea</w:t>
      </w:r>
      <w:r w:rsidRPr="000301BB">
        <w:t>)</w:t>
      </w:r>
      <w:r w:rsidR="00493243" w:rsidRPr="000301BB">
        <w:t>.</w:t>
      </w:r>
    </w:p>
    <w:p w:rsidR="00235B0A" w:rsidRPr="000301BB" w:rsidRDefault="00235B0A" w:rsidP="00E3414D">
      <w:pPr>
        <w:tabs>
          <w:tab w:val="left" w:pos="840"/>
        </w:tabs>
        <w:spacing w:before="100" w:beforeAutospacing="1" w:after="100" w:afterAutospacing="1"/>
      </w:pPr>
      <w:r w:rsidRPr="000301BB">
        <w:t xml:space="preserve">In patients taking fibrates </w:t>
      </w:r>
      <w:r w:rsidR="001F2B0D" w:rsidRPr="000301BB">
        <w:t xml:space="preserve">other than gemfibrozil (see </w:t>
      </w:r>
      <w:r w:rsidR="001F2B0D" w:rsidRPr="000301BB">
        <w:rPr>
          <w:b/>
          <w:bCs w:val="0"/>
        </w:rPr>
        <w:t>CONTRAINDICATIONS</w:t>
      </w:r>
      <w:r w:rsidR="001F2B0D" w:rsidRPr="000301BB">
        <w:t xml:space="preserve">) or </w:t>
      </w:r>
      <w:r w:rsidRPr="000301BB">
        <w:t>fenofibrate concomitantly with JUVICOR, the dose of JUVICOR should not exceed 100/10mg/day.  In patients taking amiodarone</w:t>
      </w:r>
      <w:r w:rsidR="001F2B0D" w:rsidRPr="000301BB">
        <w:t>,</w:t>
      </w:r>
      <w:r w:rsidRPr="000301BB">
        <w:t xml:space="preserve"> verapamil</w:t>
      </w:r>
      <w:r w:rsidR="001F2B0D" w:rsidRPr="000301BB">
        <w:t>, or diltiazem</w:t>
      </w:r>
      <w:r w:rsidRPr="000301BB">
        <w:t xml:space="preserve"> concomitantly with JUVICOR, the dose of JUVICOR should not exceed 100/20 mg/day (</w:t>
      </w:r>
      <w:r w:rsidR="00493243" w:rsidRPr="000301BB">
        <w:t>s</w:t>
      </w:r>
      <w:r w:rsidRPr="000301BB">
        <w:t xml:space="preserve">ee </w:t>
      </w:r>
      <w:r w:rsidRPr="000301BB">
        <w:rPr>
          <w:b/>
        </w:rPr>
        <w:t>PRECAUTIONS</w:t>
      </w:r>
      <w:r w:rsidR="008770D8" w:rsidRPr="000301BB">
        <w:t>,</w:t>
      </w:r>
      <w:r w:rsidRPr="000301BB">
        <w:t xml:space="preserve"> </w:t>
      </w:r>
      <w:r w:rsidRPr="000301BB">
        <w:rPr>
          <w:i/>
        </w:rPr>
        <w:t>Myopathy/Rhabdomyolysis</w:t>
      </w:r>
      <w:r w:rsidRPr="000301BB">
        <w:t xml:space="preserve">; </w:t>
      </w:r>
      <w:r w:rsidRPr="000301BB">
        <w:rPr>
          <w:b/>
        </w:rPr>
        <w:t>INTERACTIONS</w:t>
      </w:r>
      <w:r w:rsidR="008770D8" w:rsidRPr="000301BB">
        <w:rPr>
          <w:b/>
        </w:rPr>
        <w:t xml:space="preserve"> WITH OTHER MEDIC</w:t>
      </w:r>
      <w:r w:rsidR="0081202E" w:rsidRPr="000301BB">
        <w:rPr>
          <w:b/>
        </w:rPr>
        <w:t>INE</w:t>
      </w:r>
      <w:r w:rsidR="008770D8" w:rsidRPr="000301BB">
        <w:rPr>
          <w:b/>
        </w:rPr>
        <w:t>S</w:t>
      </w:r>
      <w:r w:rsidRPr="000301BB">
        <w:t>).</w:t>
      </w:r>
    </w:p>
    <w:p w:rsidR="00A668DF" w:rsidRPr="000301BB" w:rsidRDefault="00A668DF" w:rsidP="00E3414D">
      <w:pPr>
        <w:pStyle w:val="Heading3"/>
        <w:spacing w:after="0" w:afterAutospacing="0"/>
      </w:pPr>
      <w:r w:rsidRPr="000301BB">
        <w:t>Patients with Renal Insufficiency</w:t>
      </w:r>
    </w:p>
    <w:p w:rsidR="00A668DF" w:rsidRPr="000301BB" w:rsidRDefault="00A668DF" w:rsidP="00A668DF">
      <w:pPr>
        <w:rPr>
          <w:rFonts w:cs="TimesNewRoman+1"/>
        </w:rPr>
      </w:pPr>
      <w:r w:rsidRPr="000301BB">
        <w:rPr>
          <w:iCs/>
        </w:rPr>
        <w:t>JUVICOR</w:t>
      </w:r>
      <w:r w:rsidRPr="000301BB">
        <w:rPr>
          <w:rFonts w:cs="TimesNewRoman+1"/>
          <w:iCs/>
        </w:rPr>
        <w:t xml:space="preserve"> can be used in patients with normal renal function or mild renal insufficiency (creatinine clearance [CrCl] </w:t>
      </w:r>
      <w:r w:rsidRPr="000301BB">
        <w:rPr>
          <w:rFonts w:cs="TimesNewRoman+1"/>
          <w:iCs/>
        </w:rPr>
        <w:sym w:font="Symbol" w:char="F0B3"/>
      </w:r>
      <w:r w:rsidRPr="000301BB">
        <w:rPr>
          <w:rFonts w:cs="TimesNewRoman+1"/>
          <w:iCs/>
        </w:rPr>
        <w:t xml:space="preserve">50 mL/min, approximately corresponding to serum creatinine levels of </w:t>
      </w:r>
      <w:r w:rsidRPr="000301BB">
        <w:rPr>
          <w:rFonts w:cs="TimesNewRoman+1"/>
          <w:iCs/>
        </w:rPr>
        <w:sym w:font="Symbol" w:char="F0A3"/>
      </w:r>
      <w:r w:rsidR="00B31AE6" w:rsidRPr="000301BB">
        <w:rPr>
          <w:rFonts w:cs="TimesNewRoman+1"/>
          <w:iCs/>
        </w:rPr>
        <w:t>150</w:t>
      </w:r>
      <w:r w:rsidRPr="000301BB">
        <w:rPr>
          <w:rFonts w:cs="TimesNewRoman+1"/>
          <w:iCs/>
        </w:rPr>
        <w:t> m</w:t>
      </w:r>
      <w:r w:rsidR="00B31AE6" w:rsidRPr="000301BB">
        <w:rPr>
          <w:rFonts w:cs="TimesNewRoman+1"/>
          <w:iCs/>
        </w:rPr>
        <w:t>mol</w:t>
      </w:r>
      <w:r w:rsidRPr="000301BB">
        <w:rPr>
          <w:rFonts w:cs="TimesNewRoman+1"/>
          <w:iCs/>
        </w:rPr>
        <w:t xml:space="preserve">/L in men and </w:t>
      </w:r>
      <w:r w:rsidRPr="000301BB">
        <w:rPr>
          <w:rFonts w:cs="TimesNewRoman+1"/>
          <w:iCs/>
        </w:rPr>
        <w:sym w:font="Symbol" w:char="F0A3"/>
      </w:r>
      <w:r w:rsidR="00B31AE6" w:rsidRPr="000301BB">
        <w:rPr>
          <w:rFonts w:cs="TimesNewRoman+1"/>
          <w:iCs/>
        </w:rPr>
        <w:t>133</w:t>
      </w:r>
      <w:r w:rsidRPr="000301BB">
        <w:rPr>
          <w:rFonts w:cs="TimesNewRoman+1"/>
          <w:iCs/>
        </w:rPr>
        <w:t> m</w:t>
      </w:r>
      <w:r w:rsidR="00B31AE6" w:rsidRPr="000301BB">
        <w:rPr>
          <w:rFonts w:cs="TimesNewRoman+1"/>
          <w:iCs/>
        </w:rPr>
        <w:t>mol</w:t>
      </w:r>
      <w:r w:rsidRPr="000301BB">
        <w:rPr>
          <w:rFonts w:cs="TimesNewRoman+1"/>
          <w:iCs/>
        </w:rPr>
        <w:t xml:space="preserve">/L in women). </w:t>
      </w:r>
      <w:r w:rsidR="00B31AE6" w:rsidRPr="000301BB">
        <w:rPr>
          <w:rFonts w:cs="TimesNewRoman+1"/>
          <w:iCs/>
        </w:rPr>
        <w:t xml:space="preserve"> </w:t>
      </w:r>
      <w:r w:rsidRPr="000301BB">
        <w:rPr>
          <w:rFonts w:cs="TimesNewRoman+1"/>
          <w:iCs/>
        </w:rPr>
        <w:t>Because simvastatin does not undergo significant renal excretion, modification of the dose of the simvastatin component should not be necessary in patients with mild renal insufficiency.</w:t>
      </w:r>
      <w:r w:rsidR="00AC0079" w:rsidRPr="000301BB">
        <w:rPr>
          <w:rFonts w:cs="TimesNewRoman+1"/>
          <w:iCs/>
        </w:rPr>
        <w:t xml:space="preserve">  </w:t>
      </w:r>
      <w:r w:rsidRPr="000301BB">
        <w:rPr>
          <w:iCs/>
        </w:rPr>
        <w:t>JUVICOR</w:t>
      </w:r>
      <w:r w:rsidRPr="000301BB">
        <w:rPr>
          <w:rFonts w:cs="TimesNewRoman+1"/>
        </w:rPr>
        <w:t xml:space="preserve"> is not recommended in patients with moderate or severe renal insufficiency (CrCl &lt;50 mL/min, approximately corresponding to serum creatinine levels of &gt;</w:t>
      </w:r>
      <w:r w:rsidR="00B31AE6" w:rsidRPr="000301BB">
        <w:rPr>
          <w:rFonts w:cs="TimesNewRoman+1"/>
        </w:rPr>
        <w:t>150</w:t>
      </w:r>
      <w:r w:rsidRPr="000301BB">
        <w:rPr>
          <w:rFonts w:cs="TimesNewRoman+1"/>
        </w:rPr>
        <w:t> m</w:t>
      </w:r>
      <w:r w:rsidR="0050144F" w:rsidRPr="000301BB">
        <w:rPr>
          <w:rFonts w:cs="TimesNewRoman+1"/>
        </w:rPr>
        <w:t>mol</w:t>
      </w:r>
      <w:r w:rsidRPr="000301BB">
        <w:rPr>
          <w:rFonts w:cs="TimesNewRoman+1"/>
        </w:rPr>
        <w:t>/L in men and &gt;</w:t>
      </w:r>
      <w:r w:rsidR="00B31AE6" w:rsidRPr="000301BB">
        <w:rPr>
          <w:rFonts w:cs="TimesNewRoman+1"/>
        </w:rPr>
        <w:t>133</w:t>
      </w:r>
      <w:r w:rsidRPr="000301BB">
        <w:rPr>
          <w:rFonts w:cs="TimesNewRoman+1"/>
        </w:rPr>
        <w:t> m</w:t>
      </w:r>
      <w:r w:rsidR="0050144F" w:rsidRPr="000301BB">
        <w:rPr>
          <w:rFonts w:cs="TimesNewRoman+1"/>
        </w:rPr>
        <w:t>mol</w:t>
      </w:r>
      <w:r w:rsidRPr="000301BB">
        <w:rPr>
          <w:rFonts w:cs="TimesNewRoman+1"/>
        </w:rPr>
        <w:t>/L in women) or ESRD because doses of sitagliptin appropriate for patients with moderate or severe renal insufficiency or ESRD are not available in this combination product</w:t>
      </w:r>
      <w:r w:rsidR="00356765" w:rsidRPr="000301BB">
        <w:rPr>
          <w:rFonts w:cs="TimesNewRoman+1"/>
        </w:rPr>
        <w:t xml:space="preserve"> (see </w:t>
      </w:r>
      <w:r w:rsidR="00356765" w:rsidRPr="000301BB">
        <w:rPr>
          <w:rFonts w:cs="TimesNewRoman+1"/>
          <w:b/>
        </w:rPr>
        <w:t>PRECAUTIONS</w:t>
      </w:r>
      <w:r w:rsidR="00356765" w:rsidRPr="000301BB">
        <w:rPr>
          <w:rFonts w:cs="TimesNewRoman+1"/>
        </w:rPr>
        <w:t xml:space="preserve">, </w:t>
      </w:r>
      <w:r w:rsidR="00356765" w:rsidRPr="000301BB">
        <w:rPr>
          <w:rFonts w:cs="TimesNewRoman+1"/>
          <w:i/>
        </w:rPr>
        <w:t>Use in Patients with Renal Insufficiency</w:t>
      </w:r>
      <w:r w:rsidR="00356765" w:rsidRPr="000301BB">
        <w:rPr>
          <w:rFonts w:cs="TimesNewRoman+1"/>
        </w:rPr>
        <w:t>)</w:t>
      </w:r>
      <w:r w:rsidRPr="000301BB">
        <w:rPr>
          <w:rFonts w:cs="TimesNewRoman+1"/>
        </w:rPr>
        <w:t>.</w:t>
      </w:r>
    </w:p>
    <w:p w:rsidR="00A668DF" w:rsidRPr="000301BB" w:rsidRDefault="00A668DF" w:rsidP="00E3414D">
      <w:pPr>
        <w:spacing w:before="100" w:beforeAutospacing="1" w:after="100" w:afterAutospacing="1"/>
        <w:rPr>
          <w:rFonts w:cs="TimesNewRoman+1"/>
        </w:rPr>
      </w:pPr>
      <w:r w:rsidRPr="000301BB">
        <w:rPr>
          <w:rFonts w:cs="TimesNewRoman+1"/>
        </w:rPr>
        <w:t xml:space="preserve">Assessment of renal function is recommended prior to initiation of </w:t>
      </w:r>
      <w:r w:rsidRPr="000301BB">
        <w:rPr>
          <w:iCs/>
        </w:rPr>
        <w:t>JUVICOR</w:t>
      </w:r>
      <w:r w:rsidRPr="000301BB">
        <w:rPr>
          <w:rFonts w:cs="TimesNewRoman+1"/>
        </w:rPr>
        <w:t xml:space="preserve"> and periodically thereafter.</w:t>
      </w:r>
      <w:r w:rsidR="00B31AE6" w:rsidRPr="000301BB">
        <w:rPr>
          <w:rFonts w:cs="TimesNewRoman+1"/>
        </w:rPr>
        <w:t xml:space="preserve"> </w:t>
      </w:r>
      <w:r w:rsidRPr="000301BB">
        <w:rPr>
          <w:rFonts w:cs="TimesNewRoman+1"/>
        </w:rPr>
        <w:t xml:space="preserve"> Creatinine clearance can be estimated from serum creatinine using the Cockcroft-Gault formula</w:t>
      </w:r>
      <w:r w:rsidR="00493243" w:rsidRPr="000301BB">
        <w:rPr>
          <w:rFonts w:cs="TimesNewRoman+1"/>
        </w:rPr>
        <w:t>.</w:t>
      </w:r>
    </w:p>
    <w:p w:rsidR="00BD3DE8" w:rsidRPr="000301BB" w:rsidRDefault="00BD3DE8" w:rsidP="00BD3DE8">
      <w:pPr>
        <w:ind w:right="43"/>
      </w:pPr>
      <w:r w:rsidRPr="000301BB">
        <w:lastRenderedPageBreak/>
        <w:t xml:space="preserve">CrCl = </w:t>
      </w:r>
      <w:r w:rsidRPr="000301BB">
        <w:tab/>
        <w:t xml:space="preserve">    </w:t>
      </w:r>
      <w:r w:rsidR="000F6FEE">
        <w:t xml:space="preserve">   </w:t>
      </w:r>
      <w:r w:rsidR="000F6FEE" w:rsidRPr="000F6FEE">
        <w:rPr>
          <w:u w:val="single"/>
        </w:rPr>
        <w:t xml:space="preserve">  </w:t>
      </w:r>
      <w:r w:rsidRPr="000301BB">
        <w:rPr>
          <w:u w:val="single"/>
        </w:rPr>
        <w:t xml:space="preserve">[140 - age (years)] x weight (kg) x 1.2  </w:t>
      </w:r>
      <w:r w:rsidR="000F6FEE" w:rsidRPr="000F6FEE">
        <w:t xml:space="preserve"> </w:t>
      </w:r>
      <w:r w:rsidRPr="000301BB">
        <w:t xml:space="preserve"> </w:t>
      </w:r>
      <w:smartTag w:uri="isiresearchsoft-com/cwyw" w:element="citation">
        <w:r w:rsidRPr="000301BB">
          <w:t>{x 0.85 for female patients}</w:t>
        </w:r>
      </w:smartTag>
    </w:p>
    <w:p w:rsidR="00BD3DE8" w:rsidRPr="000301BB" w:rsidRDefault="00BD3DE8" w:rsidP="00BD3DE8">
      <w:pPr>
        <w:ind w:right="43"/>
      </w:pPr>
      <w:r w:rsidRPr="000301BB">
        <w:tab/>
      </w:r>
      <w:r w:rsidRPr="000301BB">
        <w:tab/>
        <w:t>[</w:t>
      </w:r>
      <w:proofErr w:type="gramStart"/>
      <w:r w:rsidRPr="000301BB">
        <w:t>serum</w:t>
      </w:r>
      <w:proofErr w:type="gramEnd"/>
      <w:r w:rsidRPr="000301BB">
        <w:t xml:space="preserve"> creatinine (micromol/L)]</w:t>
      </w:r>
    </w:p>
    <w:p w:rsidR="00AA3502" w:rsidRPr="000301BB" w:rsidRDefault="00AA3502" w:rsidP="00BD74AD">
      <w:pPr>
        <w:pStyle w:val="Heading3"/>
        <w:spacing w:after="0" w:afterAutospacing="0"/>
      </w:pPr>
      <w:r w:rsidRPr="000301BB">
        <w:t>Patients with Hepatic Insufficiency</w:t>
      </w:r>
    </w:p>
    <w:p w:rsidR="00AA3502" w:rsidRPr="000301BB" w:rsidRDefault="00AA3502" w:rsidP="00A668DF">
      <w:pPr>
        <w:rPr>
          <w:rFonts w:ascii="TimesNewRoman+1" w:hAnsi="TimesNewRoman+1" w:cs="TimesNewRoman+1"/>
          <w:i/>
          <w:iCs/>
        </w:rPr>
      </w:pPr>
      <w:r w:rsidRPr="000301BB">
        <w:t xml:space="preserve">JUVICOR is contraindicated in </w:t>
      </w:r>
      <w:r w:rsidR="001F4CCD" w:rsidRPr="000301BB">
        <w:t xml:space="preserve">patients with </w:t>
      </w:r>
      <w:r w:rsidRPr="000301BB">
        <w:t>active liver disease or unexplained persistent elevations of serum transaminases (</w:t>
      </w:r>
      <w:r w:rsidR="00CF3E85" w:rsidRPr="000301BB">
        <w:t>s</w:t>
      </w:r>
      <w:r w:rsidRPr="000301BB">
        <w:t xml:space="preserve">ee </w:t>
      </w:r>
      <w:r w:rsidRPr="000301BB">
        <w:rPr>
          <w:b/>
        </w:rPr>
        <w:t>CONTRAINDICATIONS</w:t>
      </w:r>
      <w:r w:rsidRPr="000301BB">
        <w:t>)</w:t>
      </w:r>
      <w:r w:rsidR="009302BF" w:rsidRPr="000301BB">
        <w:t>.</w:t>
      </w:r>
    </w:p>
    <w:p w:rsidR="00A668DF" w:rsidRPr="000301BB" w:rsidRDefault="00A668DF" w:rsidP="00BD74AD">
      <w:pPr>
        <w:pStyle w:val="Heading3"/>
        <w:spacing w:after="0" w:afterAutospacing="0"/>
      </w:pPr>
      <w:r w:rsidRPr="000301BB">
        <w:t>Patients with Homozygous Familial Hypercholesterol</w:t>
      </w:r>
      <w:r w:rsidR="003A1AFD" w:rsidRPr="000301BB">
        <w:t>a</w:t>
      </w:r>
      <w:r w:rsidRPr="000301BB">
        <w:t>emia</w:t>
      </w:r>
    </w:p>
    <w:p w:rsidR="00A668DF" w:rsidRPr="000301BB" w:rsidRDefault="00A668DF" w:rsidP="00A668DF">
      <w:pPr>
        <w:rPr>
          <w:u w:val="single"/>
        </w:rPr>
      </w:pPr>
      <w:r w:rsidRPr="000301BB">
        <w:t>Based on the results of a controlled clinical study, the recommended dosage for patients with homozygous familial hypercholesterol</w:t>
      </w:r>
      <w:r w:rsidR="00BB2F97" w:rsidRPr="000301BB">
        <w:t>a</w:t>
      </w:r>
      <w:r w:rsidRPr="000301BB">
        <w:t xml:space="preserve">emia is 100/40 mg/day in the evening. </w:t>
      </w:r>
      <w:r w:rsidR="007B5D7D" w:rsidRPr="000301BB">
        <w:t xml:space="preserve"> </w:t>
      </w:r>
      <w:r w:rsidRPr="000301BB">
        <w:rPr>
          <w:iCs/>
        </w:rPr>
        <w:t>JUVICOR</w:t>
      </w:r>
      <w:r w:rsidRPr="000301BB">
        <w:t xml:space="preserve"> should be used as an adjunct to other lipid-lowering treatments (e.g., LDL apheresis) in these patients or if such treatments are unavailable.</w:t>
      </w:r>
    </w:p>
    <w:p w:rsidR="00B318B5" w:rsidRPr="000301BB" w:rsidRDefault="00B318B5" w:rsidP="00BD74AD">
      <w:pPr>
        <w:pStyle w:val="Heading2"/>
      </w:pPr>
      <w:bookmarkStart w:id="16" w:name="DOSAGE"/>
      <w:bookmarkEnd w:id="16"/>
      <w:r w:rsidRPr="000301BB">
        <w:t>Overdosage</w:t>
      </w:r>
    </w:p>
    <w:p w:rsidR="00EA4656" w:rsidRPr="000301BB" w:rsidRDefault="00EA4656" w:rsidP="00495FF1">
      <w:r w:rsidRPr="000301BB">
        <w:t>For information on the management of overdose, contact the Poison Information Centre on 131</w:t>
      </w:r>
      <w:r w:rsidR="00F90A58" w:rsidRPr="000301BB">
        <w:t> </w:t>
      </w:r>
      <w:r w:rsidRPr="000301BB">
        <w:t>126 (</w:t>
      </w:r>
      <w:r w:rsidR="00B86754" w:rsidRPr="000301BB">
        <w:t xml:space="preserve">in </w:t>
      </w:r>
      <w:r w:rsidRPr="000301BB">
        <w:t>Australia)</w:t>
      </w:r>
      <w:r w:rsidR="00B86754" w:rsidRPr="000301BB">
        <w:t xml:space="preserve"> or 0800</w:t>
      </w:r>
      <w:r w:rsidR="00841074" w:rsidRPr="000301BB">
        <w:t> </w:t>
      </w:r>
      <w:r w:rsidR="00B86754" w:rsidRPr="000301BB">
        <w:t>764</w:t>
      </w:r>
      <w:r w:rsidR="00841074" w:rsidRPr="000301BB">
        <w:t> </w:t>
      </w:r>
      <w:r w:rsidR="00B86754" w:rsidRPr="000301BB">
        <w:t>766 (in N</w:t>
      </w:r>
      <w:r w:rsidR="00626481" w:rsidRPr="000301BB">
        <w:t>ew Zealand)</w:t>
      </w:r>
      <w:r w:rsidRPr="000301BB">
        <w:t>.</w:t>
      </w:r>
    </w:p>
    <w:p w:rsidR="00495FF1" w:rsidRPr="000301BB" w:rsidRDefault="00495FF1" w:rsidP="00BD74AD">
      <w:pPr>
        <w:spacing w:before="100" w:beforeAutospacing="1" w:after="100" w:afterAutospacing="1"/>
      </w:pPr>
      <w:r w:rsidRPr="000301BB">
        <w:t>In the event of an overdose, it is reasonable to employ the usual supportive measures, e.g., remove unabsorbed material from the gastrointestinal tract, employ clinical monitoring (</w:t>
      </w:r>
      <w:r w:rsidR="00E6667D" w:rsidRPr="000301BB">
        <w:t xml:space="preserve">e.g. liver function tests, </w:t>
      </w:r>
      <w:r w:rsidRPr="000301BB">
        <w:t>electrocardiogram</w:t>
      </w:r>
      <w:r w:rsidR="00E6667D" w:rsidRPr="000301BB">
        <w:t>s</w:t>
      </w:r>
      <w:r w:rsidRPr="000301BB">
        <w:t>), and institute supportive therapy if required.</w:t>
      </w:r>
    </w:p>
    <w:p w:rsidR="00186A61" w:rsidRPr="000301BB" w:rsidRDefault="00495FF1" w:rsidP="00BD74AD">
      <w:pPr>
        <w:spacing w:before="100" w:beforeAutospacing="1" w:after="100" w:afterAutospacing="1"/>
      </w:pPr>
      <w:r w:rsidRPr="000301BB">
        <w:t xml:space="preserve">During controlled clinical trials in healthy subjects, single doses of up to 800 mg </w:t>
      </w:r>
      <w:r w:rsidRPr="000301BB">
        <w:rPr>
          <w:b/>
          <w:i/>
        </w:rPr>
        <w:t>sitagliptin</w:t>
      </w:r>
      <w:r w:rsidRPr="000301BB">
        <w:t xml:space="preserve"> were generally well tolerated. </w:t>
      </w:r>
      <w:r w:rsidR="0030247D" w:rsidRPr="000301BB">
        <w:t xml:space="preserve"> </w:t>
      </w:r>
      <w:r w:rsidRPr="000301BB">
        <w:t xml:space="preserve">Minimal increases in QTc, not considered to be clinically relevant, were observed in one study at a dose of 800 mg sitagliptin (see </w:t>
      </w:r>
      <w:r w:rsidRPr="000301BB">
        <w:rPr>
          <w:b/>
        </w:rPr>
        <w:t>PHARMACOLOGY</w:t>
      </w:r>
      <w:r w:rsidRPr="000301BB">
        <w:t>,</w:t>
      </w:r>
      <w:r w:rsidRPr="000301BB">
        <w:rPr>
          <w:bCs w:val="0"/>
        </w:rPr>
        <w:t xml:space="preserve"> </w:t>
      </w:r>
      <w:r w:rsidRPr="000301BB">
        <w:rPr>
          <w:bCs w:val="0"/>
          <w:i/>
        </w:rPr>
        <w:t>Pharmacodynamics</w:t>
      </w:r>
      <w:r w:rsidRPr="000301BB">
        <w:t xml:space="preserve">). </w:t>
      </w:r>
      <w:r w:rsidR="0030247D" w:rsidRPr="000301BB">
        <w:t xml:space="preserve"> </w:t>
      </w:r>
      <w:r w:rsidRPr="000301BB">
        <w:t>There is no experience with doses above 800 mg in clinical studies.</w:t>
      </w:r>
      <w:r w:rsidR="0030247D" w:rsidRPr="000301BB">
        <w:t xml:space="preserve">  </w:t>
      </w:r>
      <w:r w:rsidRPr="000301BB">
        <w:t xml:space="preserve">In </w:t>
      </w:r>
      <w:proofErr w:type="gramStart"/>
      <w:r w:rsidRPr="000301BB">
        <w:t>Phase</w:t>
      </w:r>
      <w:proofErr w:type="gramEnd"/>
      <w:r w:rsidRPr="000301BB">
        <w:t xml:space="preserve"> I multiple-dose studies, there were no dose-related clinical adverse reactions observed with sitagliptin with doses of up </w:t>
      </w:r>
      <w:r w:rsidR="00C25E3F" w:rsidRPr="000301BB">
        <w:t xml:space="preserve">to </w:t>
      </w:r>
      <w:r w:rsidRPr="000301BB">
        <w:t>400 mg per day for periods of up to 28 days.</w:t>
      </w:r>
      <w:r w:rsidR="00A54646" w:rsidRPr="000301BB">
        <w:t xml:space="preserve"> </w:t>
      </w:r>
      <w:r w:rsidR="007F626E" w:rsidRPr="000301BB">
        <w:t xml:space="preserve"> </w:t>
      </w:r>
      <w:r w:rsidRPr="000301BB">
        <w:t>Sitagliptin is modestly dialy</w:t>
      </w:r>
      <w:r w:rsidR="00A54646" w:rsidRPr="000301BB">
        <w:t>s</w:t>
      </w:r>
      <w:r w:rsidRPr="000301BB">
        <w:t>able.</w:t>
      </w:r>
      <w:r w:rsidR="007F626E" w:rsidRPr="000301BB">
        <w:t xml:space="preserve"> </w:t>
      </w:r>
      <w:r w:rsidRPr="000301BB">
        <w:t xml:space="preserve"> In clinical studies, approximately 13.5% of the dose was removed over a 3- to 4</w:t>
      </w:r>
      <w:r w:rsidRPr="000301BB">
        <w:noBreakHyphen/>
        <w:t>hour h</w:t>
      </w:r>
      <w:r w:rsidR="00A54646" w:rsidRPr="000301BB">
        <w:t>a</w:t>
      </w:r>
      <w:r w:rsidRPr="000301BB">
        <w:t xml:space="preserve">emodialysis session. </w:t>
      </w:r>
      <w:r w:rsidR="009F06F5" w:rsidRPr="000301BB">
        <w:t xml:space="preserve"> </w:t>
      </w:r>
      <w:r w:rsidRPr="000301BB">
        <w:t>Prolonged h</w:t>
      </w:r>
      <w:r w:rsidR="00A54646" w:rsidRPr="000301BB">
        <w:t>a</w:t>
      </w:r>
      <w:r w:rsidRPr="000301BB">
        <w:t xml:space="preserve">emodialysis may be considered if clinically appropriate. </w:t>
      </w:r>
      <w:r w:rsidR="009F06F5" w:rsidRPr="000301BB">
        <w:t xml:space="preserve"> </w:t>
      </w:r>
      <w:r w:rsidRPr="000301BB">
        <w:t>It is not known if sitagliptin is dialy</w:t>
      </w:r>
      <w:r w:rsidR="00A54646" w:rsidRPr="000301BB">
        <w:t>s</w:t>
      </w:r>
      <w:r w:rsidRPr="000301BB">
        <w:t>able by peritoneal dialysis.</w:t>
      </w:r>
    </w:p>
    <w:p w:rsidR="00B318B5" w:rsidRPr="000301BB" w:rsidRDefault="00495FF1" w:rsidP="00377E73">
      <w:r w:rsidRPr="000301BB">
        <w:t>A few cases of overdosage</w:t>
      </w:r>
      <w:r w:rsidR="00735686" w:rsidRPr="000301BB">
        <w:t xml:space="preserve"> of </w:t>
      </w:r>
      <w:r w:rsidR="00735686" w:rsidRPr="000301BB">
        <w:rPr>
          <w:b/>
          <w:i/>
        </w:rPr>
        <w:t>simvastatin</w:t>
      </w:r>
      <w:r w:rsidRPr="000301BB">
        <w:t xml:space="preserve"> have been reported; the maximum dose taken was 3.6 g. </w:t>
      </w:r>
      <w:r w:rsidR="00186A61" w:rsidRPr="000301BB">
        <w:t xml:space="preserve"> </w:t>
      </w:r>
      <w:r w:rsidRPr="000301BB">
        <w:t>All patients recovered without sequelae.</w:t>
      </w:r>
    </w:p>
    <w:p w:rsidR="00B318B5" w:rsidRPr="000301BB" w:rsidRDefault="00B318B5" w:rsidP="006B1467">
      <w:pPr>
        <w:pStyle w:val="Heading2"/>
      </w:pPr>
      <w:r w:rsidRPr="000301BB">
        <w:t>Presentation and storage conditions</w:t>
      </w:r>
    </w:p>
    <w:p w:rsidR="00083ACF" w:rsidRPr="000301BB" w:rsidRDefault="00EA4656" w:rsidP="00083ACF">
      <w:r w:rsidRPr="000301BB">
        <w:t xml:space="preserve">JUVICOR </w:t>
      </w:r>
      <w:r w:rsidR="00083ACF" w:rsidRPr="000301BB">
        <w:t xml:space="preserve">100/10 mg: </w:t>
      </w:r>
      <w:r w:rsidR="006F7366" w:rsidRPr="000301BB">
        <w:t>is a p</w:t>
      </w:r>
      <w:r w:rsidR="00083ACF" w:rsidRPr="000301BB">
        <w:t>ink-beige, round, bi-convex, film coated tablet,</w:t>
      </w:r>
      <w:r w:rsidR="006F7366" w:rsidRPr="000301BB">
        <w:t xml:space="preserve"> </w:t>
      </w:r>
      <w:r w:rsidR="00015B17" w:rsidRPr="000301BB">
        <w:t>marked with</w:t>
      </w:r>
      <w:r w:rsidR="00083ACF" w:rsidRPr="000301BB">
        <w:t xml:space="preserve"> "</w:t>
      </w:r>
      <w:r w:rsidR="00DF3075">
        <w:rPr>
          <w:noProof/>
          <w:lang w:eastAsia="en-AU"/>
        </w:rPr>
        <w:drawing>
          <wp:inline distT="0" distB="0" distL="0" distR="0">
            <wp:extent cx="123825" cy="123825"/>
            <wp:effectExtent l="19050" t="0" r="9525" b="0"/>
            <wp:docPr id="5" name="Picture 5" descr="http://www.merckbranding.com/download/msd/logo_jpg/msd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rckbranding.com/download/msd/logo_jpg/msd_k.jpg"/>
                    <pic:cNvPicPr>
                      <a:picLocks noChangeAspect="1" noChangeArrowheads="1"/>
                    </pic:cNvPicPr>
                  </pic:nvPicPr>
                  <pic:blipFill>
                    <a:blip r:embed="rId13" r:link="rId14" cstate="print"/>
                    <a:srcRect r="60979"/>
                    <a:stretch>
                      <a:fillRect/>
                    </a:stretch>
                  </pic:blipFill>
                  <pic:spPr bwMode="auto">
                    <a:xfrm>
                      <a:off x="0" y="0"/>
                      <a:ext cx="123825" cy="123825"/>
                    </a:xfrm>
                    <a:prstGeom prst="rect">
                      <a:avLst/>
                    </a:prstGeom>
                    <a:noFill/>
                    <a:ln w="9525">
                      <a:noFill/>
                      <a:miter lim="800000"/>
                      <a:headEnd/>
                      <a:tailEnd/>
                    </a:ln>
                  </pic:spPr>
                </pic:pic>
              </a:graphicData>
            </a:graphic>
          </wp:inline>
        </w:drawing>
      </w:r>
      <w:r w:rsidR="00015B17" w:rsidRPr="000301BB">
        <w:t>" and</w:t>
      </w:r>
      <w:r w:rsidR="00083ACF" w:rsidRPr="000301BB">
        <w:t xml:space="preserve"> "753" on one side</w:t>
      </w:r>
      <w:r w:rsidR="00015B17" w:rsidRPr="000301BB">
        <w:t>,</w:t>
      </w:r>
      <w:r w:rsidR="00083ACF" w:rsidRPr="000301BB">
        <w:t xml:space="preserve"> and plain on the other</w:t>
      </w:r>
      <w:r w:rsidR="00015B17" w:rsidRPr="000301BB">
        <w:t xml:space="preserve"> side.</w:t>
      </w:r>
    </w:p>
    <w:p w:rsidR="00083ACF" w:rsidRPr="000301BB" w:rsidRDefault="00EA4656" w:rsidP="006B1467">
      <w:pPr>
        <w:spacing w:before="100" w:beforeAutospacing="1" w:after="100" w:afterAutospacing="1"/>
      </w:pPr>
      <w:r w:rsidRPr="000301BB">
        <w:t xml:space="preserve">JUVICOR </w:t>
      </w:r>
      <w:r w:rsidR="00015B17" w:rsidRPr="000301BB">
        <w:t>100/20 mg: is a p</w:t>
      </w:r>
      <w:r w:rsidR="00083ACF" w:rsidRPr="000301BB">
        <w:t xml:space="preserve">ink-beige, bi-convex, modified capsule shaped, film coated tablet, </w:t>
      </w:r>
      <w:r w:rsidR="00015B17" w:rsidRPr="000301BB">
        <w:t xml:space="preserve">marked with </w:t>
      </w:r>
      <w:r w:rsidR="00083ACF" w:rsidRPr="000301BB">
        <w:t>"</w:t>
      </w:r>
      <w:r w:rsidR="00DF3075">
        <w:rPr>
          <w:noProof/>
          <w:lang w:eastAsia="en-AU"/>
        </w:rPr>
        <w:drawing>
          <wp:inline distT="0" distB="0" distL="0" distR="0">
            <wp:extent cx="123825" cy="123825"/>
            <wp:effectExtent l="19050" t="0" r="9525" b="0"/>
            <wp:docPr id="6" name="Picture 6" descr="http://www.merckbranding.com/download/msd/logo_jpg/msd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rckbranding.com/download/msd/logo_jpg/msd_k.jpg"/>
                    <pic:cNvPicPr>
                      <a:picLocks noChangeAspect="1" noChangeArrowheads="1"/>
                    </pic:cNvPicPr>
                  </pic:nvPicPr>
                  <pic:blipFill>
                    <a:blip r:embed="rId13" r:link="rId14" cstate="print"/>
                    <a:srcRect r="60979"/>
                    <a:stretch>
                      <a:fillRect/>
                    </a:stretch>
                  </pic:blipFill>
                  <pic:spPr bwMode="auto">
                    <a:xfrm>
                      <a:off x="0" y="0"/>
                      <a:ext cx="123825" cy="123825"/>
                    </a:xfrm>
                    <a:prstGeom prst="rect">
                      <a:avLst/>
                    </a:prstGeom>
                    <a:noFill/>
                    <a:ln w="9525">
                      <a:noFill/>
                      <a:miter lim="800000"/>
                      <a:headEnd/>
                      <a:tailEnd/>
                    </a:ln>
                  </pic:spPr>
                </pic:pic>
              </a:graphicData>
            </a:graphic>
          </wp:inline>
        </w:drawing>
      </w:r>
      <w:r w:rsidR="00015B17" w:rsidRPr="000301BB">
        <w:t xml:space="preserve">" and </w:t>
      </w:r>
      <w:r w:rsidR="00083ACF" w:rsidRPr="000301BB">
        <w:t>"757" on one side</w:t>
      </w:r>
      <w:r w:rsidR="00015B17" w:rsidRPr="000301BB">
        <w:t>,</w:t>
      </w:r>
      <w:r w:rsidR="00083ACF" w:rsidRPr="000301BB">
        <w:t xml:space="preserve"> and plain on the other</w:t>
      </w:r>
      <w:r w:rsidR="005D4178" w:rsidRPr="000301BB">
        <w:t xml:space="preserve"> side.</w:t>
      </w:r>
    </w:p>
    <w:p w:rsidR="00B318B5" w:rsidRPr="000301BB" w:rsidRDefault="00EA4656" w:rsidP="00083ACF">
      <w:r w:rsidRPr="000301BB">
        <w:t xml:space="preserve">JUVICOR </w:t>
      </w:r>
      <w:r w:rsidR="00083ACF" w:rsidRPr="000301BB">
        <w:t xml:space="preserve">100/40 mg: </w:t>
      </w:r>
      <w:r w:rsidR="00015B17" w:rsidRPr="000301BB">
        <w:t>is an o</w:t>
      </w:r>
      <w:r w:rsidR="00083ACF" w:rsidRPr="000301BB">
        <w:t>range-beige, bi-convex, modified capsule shaped, film coated tablet,</w:t>
      </w:r>
      <w:r w:rsidR="00015B17" w:rsidRPr="000301BB">
        <w:t xml:space="preserve"> marked with</w:t>
      </w:r>
      <w:r w:rsidR="00083ACF" w:rsidRPr="000301BB">
        <w:t xml:space="preserve"> "</w:t>
      </w:r>
      <w:r w:rsidR="00DF3075">
        <w:rPr>
          <w:noProof/>
          <w:lang w:eastAsia="en-AU"/>
        </w:rPr>
        <w:drawing>
          <wp:inline distT="0" distB="0" distL="0" distR="0">
            <wp:extent cx="123825" cy="123825"/>
            <wp:effectExtent l="19050" t="0" r="9525" b="0"/>
            <wp:docPr id="7" name="Picture 7" descr="http://www.merckbranding.com/download/msd/logo_jpg/msd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rckbranding.com/download/msd/logo_jpg/msd_k.jpg"/>
                    <pic:cNvPicPr>
                      <a:picLocks noChangeAspect="1" noChangeArrowheads="1"/>
                    </pic:cNvPicPr>
                  </pic:nvPicPr>
                  <pic:blipFill>
                    <a:blip r:embed="rId13" r:link="rId14" cstate="print"/>
                    <a:srcRect r="60979"/>
                    <a:stretch>
                      <a:fillRect/>
                    </a:stretch>
                  </pic:blipFill>
                  <pic:spPr bwMode="auto">
                    <a:xfrm>
                      <a:off x="0" y="0"/>
                      <a:ext cx="123825" cy="123825"/>
                    </a:xfrm>
                    <a:prstGeom prst="rect">
                      <a:avLst/>
                    </a:prstGeom>
                    <a:noFill/>
                    <a:ln w="9525">
                      <a:noFill/>
                      <a:miter lim="800000"/>
                      <a:headEnd/>
                      <a:tailEnd/>
                    </a:ln>
                  </pic:spPr>
                </pic:pic>
              </a:graphicData>
            </a:graphic>
          </wp:inline>
        </w:drawing>
      </w:r>
      <w:r w:rsidR="00015B17" w:rsidRPr="000301BB">
        <w:t>" and</w:t>
      </w:r>
      <w:r w:rsidR="00083ACF" w:rsidRPr="000301BB">
        <w:t xml:space="preserve"> "773" on one side</w:t>
      </w:r>
      <w:r w:rsidR="00015B17" w:rsidRPr="000301BB">
        <w:t>,</w:t>
      </w:r>
      <w:r w:rsidR="00083ACF" w:rsidRPr="000301BB">
        <w:t xml:space="preserve"> and plain on the other</w:t>
      </w:r>
      <w:r w:rsidR="005D4178" w:rsidRPr="000301BB">
        <w:t xml:space="preserve"> side.</w:t>
      </w:r>
    </w:p>
    <w:p w:rsidR="00DA29C8" w:rsidRDefault="00DA29C8" w:rsidP="006B1467">
      <w:pPr>
        <w:spacing w:before="100" w:beforeAutospacing="1" w:after="100" w:afterAutospacing="1"/>
      </w:pPr>
      <w:r w:rsidRPr="000301BB">
        <w:t xml:space="preserve">JUVICOR is available in </w:t>
      </w:r>
      <w:r w:rsidR="00B54E57" w:rsidRPr="000301BB">
        <w:t xml:space="preserve">aluminium </w:t>
      </w:r>
      <w:r w:rsidRPr="000301BB">
        <w:t>blister packs of 28 film-coated tablets.</w:t>
      </w:r>
      <w:r w:rsidR="004C4702" w:rsidRPr="000301BB">
        <w:t xml:space="preserve">  JUVICOR is also available in starter packs of 7 tablets.</w:t>
      </w:r>
    </w:p>
    <w:p w:rsidR="00F30DA5" w:rsidRDefault="00F30DA5" w:rsidP="006B1467">
      <w:pPr>
        <w:spacing w:before="100" w:beforeAutospacing="1" w:after="100" w:afterAutospacing="1"/>
      </w:pPr>
      <w:r>
        <w:t>Both sitagliptin and simvastatin are also contained in XELEZOR and TESOZOR</w:t>
      </w:r>
      <w:r w:rsidR="00B4413F">
        <w:t xml:space="preserve"> fixed combination</w:t>
      </w:r>
      <w:r>
        <w:t xml:space="preserve"> tablets.</w:t>
      </w:r>
    </w:p>
    <w:p w:rsidR="00DA29C8" w:rsidRPr="000301BB" w:rsidRDefault="00DA29C8" w:rsidP="006B1467">
      <w:pPr>
        <w:spacing w:before="100" w:beforeAutospacing="1" w:after="100" w:afterAutospacing="1"/>
      </w:pPr>
      <w:r w:rsidRPr="000301BB">
        <w:lastRenderedPageBreak/>
        <w:t xml:space="preserve">Store below </w:t>
      </w:r>
      <w:r w:rsidR="00194ADD" w:rsidRPr="000301BB">
        <w:t>30</w:t>
      </w:r>
      <w:r w:rsidRPr="000301BB">
        <w:t>°C.</w:t>
      </w:r>
      <w:r w:rsidR="00E320D1" w:rsidRPr="000301BB">
        <w:t xml:space="preserve">  </w:t>
      </w:r>
      <w:proofErr w:type="gramStart"/>
      <w:r w:rsidR="00E320D1" w:rsidRPr="000301BB">
        <w:t>Store in original container.</w:t>
      </w:r>
      <w:proofErr w:type="gramEnd"/>
    </w:p>
    <w:p w:rsidR="00B318B5" w:rsidRPr="000301BB" w:rsidRDefault="00B318B5" w:rsidP="006B1467">
      <w:pPr>
        <w:pStyle w:val="Heading2"/>
      </w:pPr>
      <w:r w:rsidRPr="000301BB">
        <w:t>Name and address of the sponsor</w:t>
      </w:r>
    </w:p>
    <w:p w:rsidR="00A64EA7" w:rsidRPr="000301BB" w:rsidRDefault="00A64EA7" w:rsidP="00A64EA7">
      <w:r w:rsidRPr="000301BB">
        <w:t>Merck Sharp &amp; Dohme (Australia) Pty Limited</w:t>
      </w:r>
    </w:p>
    <w:p w:rsidR="00A64EA7" w:rsidRPr="000301BB" w:rsidRDefault="00A64EA7" w:rsidP="00A64EA7">
      <w:r w:rsidRPr="000301BB">
        <w:t>54-68 Ferndell Street</w:t>
      </w:r>
    </w:p>
    <w:p w:rsidR="00A64EA7" w:rsidRPr="000301BB" w:rsidRDefault="00A64EA7" w:rsidP="00DE2ED6">
      <w:r w:rsidRPr="000301BB">
        <w:t xml:space="preserve">South Granville NSW </w:t>
      </w:r>
      <w:r w:rsidR="00DE2ED6" w:rsidRPr="000301BB">
        <w:t>2142</w:t>
      </w:r>
    </w:p>
    <w:p w:rsidR="00B318B5" w:rsidRPr="000301BB" w:rsidRDefault="00B318B5" w:rsidP="006B1467">
      <w:pPr>
        <w:spacing w:before="100" w:beforeAutospacing="1" w:after="100" w:afterAutospacing="1"/>
      </w:pPr>
      <w:r w:rsidRPr="000301BB">
        <w:rPr>
          <w:rStyle w:val="HeadingChar"/>
        </w:rPr>
        <w:t>Poison Schedule of the medicine</w:t>
      </w:r>
      <w:r w:rsidR="00916224" w:rsidRPr="000301BB">
        <w:rPr>
          <w:rStyle w:val="HeadingChar"/>
        </w:rPr>
        <w:t xml:space="preserve">: </w:t>
      </w:r>
      <w:r w:rsidR="006D30F9" w:rsidRPr="000301BB">
        <w:t>Prescription only medicine (S4)</w:t>
      </w:r>
    </w:p>
    <w:p w:rsidR="00B318B5" w:rsidRPr="000301BB" w:rsidRDefault="00B318B5" w:rsidP="00BB2FF8">
      <w:r w:rsidRPr="000301BB">
        <w:rPr>
          <w:rStyle w:val="HeadingChar"/>
        </w:rPr>
        <w:t>Date of first inclusion in the Australian Register of Therapeutic Goods (the ARTG)</w:t>
      </w:r>
      <w:r w:rsidR="00916224" w:rsidRPr="000301BB">
        <w:rPr>
          <w:rStyle w:val="HeadingChar"/>
        </w:rPr>
        <w:t>:</w:t>
      </w:r>
      <w:r w:rsidR="00082D7A" w:rsidRPr="000301BB">
        <w:t xml:space="preserve"> </w:t>
      </w:r>
      <w:r w:rsidR="004B3680" w:rsidRPr="004B3680">
        <w:t>05 December 2012</w:t>
      </w:r>
    </w:p>
    <w:p w:rsidR="00BD61E1" w:rsidRPr="000301BB" w:rsidRDefault="00B318B5" w:rsidP="006B1467">
      <w:pPr>
        <w:spacing w:before="100" w:beforeAutospacing="1" w:after="100" w:afterAutospacing="1"/>
      </w:pPr>
      <w:r w:rsidRPr="000301BB">
        <w:rPr>
          <w:rStyle w:val="HeadingChar"/>
        </w:rPr>
        <w:t>Date of most recent amendment</w:t>
      </w:r>
      <w:r w:rsidR="00916224" w:rsidRPr="000301BB">
        <w:rPr>
          <w:rStyle w:val="HeadingChar"/>
        </w:rPr>
        <w:t>:</w:t>
      </w:r>
      <w:r w:rsidR="00082D7A" w:rsidRPr="000301BB">
        <w:t xml:space="preserve"> </w:t>
      </w:r>
      <w:r w:rsidR="00AA1FD0" w:rsidRPr="000301BB">
        <w:t>N/A</w:t>
      </w:r>
    </w:p>
    <w:p w:rsidR="00A743CC" w:rsidRPr="000301BB" w:rsidRDefault="00A743CC" w:rsidP="00EB1A4F">
      <w:r w:rsidRPr="000301BB">
        <w:t>COPYRIGHT © 201</w:t>
      </w:r>
      <w:r w:rsidR="00EB1A4F" w:rsidRPr="000301BB">
        <w:t>2</w:t>
      </w:r>
      <w:r w:rsidRPr="000301BB">
        <w:t xml:space="preserve"> Merck Sharp &amp; Dohme Corp., a subsidiary of Merck &amp; Co., Inc., Whitehouse Station, NJ, USA.  All rights reserved.</w:t>
      </w:r>
    </w:p>
    <w:sectPr w:rsidR="00A743CC" w:rsidRPr="000301BB" w:rsidSect="000927EE">
      <w:headerReference w:type="even" r:id="rId15"/>
      <w:headerReference w:type="default" r:id="rId16"/>
      <w:footerReference w:type="even" r:id="rId17"/>
      <w:footerReference w:type="default" r:id="rId18"/>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AE5" w:rsidRDefault="00C27AE5" w:rsidP="00377E73">
      <w:r>
        <w:separator/>
      </w:r>
    </w:p>
    <w:p w:rsidR="00C27AE5" w:rsidRDefault="00C27AE5"/>
    <w:p w:rsidR="00C27AE5" w:rsidRDefault="00C27AE5"/>
    <w:p w:rsidR="00C27AE5" w:rsidRDefault="00C27AE5"/>
  </w:endnote>
  <w:endnote w:type="continuationSeparator" w:id="0">
    <w:p w:rsidR="00C27AE5" w:rsidRDefault="00C27AE5" w:rsidP="00377E73">
      <w:r>
        <w:continuationSeparator/>
      </w:r>
    </w:p>
    <w:p w:rsidR="00C27AE5" w:rsidRDefault="00C27AE5"/>
    <w:p w:rsidR="00C27AE5" w:rsidRDefault="00C27AE5"/>
    <w:p w:rsidR="00C27AE5" w:rsidRDefault="00C27AE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1">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ath Ext">
    <w:altName w:val="Symbol"/>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FE" w:rsidRDefault="00D565FE">
    <w:pPr>
      <w:pStyle w:val="Footer"/>
    </w:pPr>
  </w:p>
  <w:p w:rsidR="00D565FE" w:rsidRDefault="00D565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FE" w:rsidRPr="009A4A98" w:rsidRDefault="00D565FE" w:rsidP="009A4A98">
    <w:pPr>
      <w:pStyle w:val="Footer"/>
      <w:tabs>
        <w:tab w:val="clear" w:pos="4320"/>
        <w:tab w:val="clear" w:pos="8640"/>
        <w:tab w:val="center" w:pos="9000"/>
      </w:tabs>
    </w:pPr>
    <w:r w:rsidRPr="00C33CCA">
      <w:rPr>
        <w:noProof/>
        <w:lang w:val="en-US"/>
      </w:rPr>
      <w:pict>
        <v:line id="_x0000_s2051" style="position:absolute;z-index:251657728" from="0,.05pt" to="450pt,.05pt"/>
      </w:pict>
    </w:r>
    <w:r w:rsidRPr="009A4A98">
      <w:rPr>
        <w:lang w:val="fr-FR"/>
      </w:rPr>
      <w:t xml:space="preserve">JUVICOR Tablet PI </w:t>
    </w:r>
    <w:r>
      <w:rPr>
        <w:lang w:val="fr-FR"/>
      </w:rPr>
      <w:t>A121123</w:t>
    </w:r>
    <w:r w:rsidRPr="009A4A98">
      <w:rPr>
        <w:lang w:val="fr-FR"/>
      </w:rPr>
      <w:t xml:space="preserve"> v</w:t>
    </w:r>
    <w:r>
      <w:rPr>
        <w:lang w:val="fr-FR"/>
      </w:rPr>
      <w:t>1.0</w:t>
    </w:r>
    <w:r w:rsidRPr="009A4A98">
      <w:rPr>
        <w:lang w:val="fr-FR"/>
      </w:rPr>
      <w:t xml:space="preserve"> (0431D-AUS-2012-</w:t>
    </w:r>
    <w:r>
      <w:rPr>
        <w:lang w:val="fr-FR"/>
      </w:rPr>
      <w:t>005369</w:t>
    </w:r>
    <w:r w:rsidRPr="009A4A98">
      <w:t>)</w:t>
    </w:r>
    <w:r w:rsidRPr="009A4A98">
      <w:tab/>
      <w:t xml:space="preserve">Page </w:t>
    </w:r>
    <w:r w:rsidRPr="00113AF7">
      <w:fldChar w:fldCharType="begin"/>
    </w:r>
    <w:r w:rsidRPr="00821DA9">
      <w:rPr>
        <w:lang w:val="fr-FR"/>
      </w:rPr>
      <w:instrText xml:space="preserve"> PAGE </w:instrText>
    </w:r>
    <w:r w:rsidRPr="00113AF7">
      <w:fldChar w:fldCharType="separate"/>
    </w:r>
    <w:r w:rsidR="00555629">
      <w:rPr>
        <w:noProof/>
        <w:lang w:val="fr-FR"/>
      </w:rPr>
      <w:t>1</w:t>
    </w:r>
    <w:r w:rsidRPr="00113AF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AE5" w:rsidRDefault="00C27AE5" w:rsidP="00377E73">
      <w:r>
        <w:separator/>
      </w:r>
    </w:p>
    <w:p w:rsidR="00C27AE5" w:rsidRDefault="00C27AE5"/>
    <w:p w:rsidR="00C27AE5" w:rsidRDefault="00C27AE5"/>
    <w:p w:rsidR="00C27AE5" w:rsidRDefault="00C27AE5"/>
  </w:footnote>
  <w:footnote w:type="continuationSeparator" w:id="0">
    <w:p w:rsidR="00C27AE5" w:rsidRDefault="00C27AE5" w:rsidP="00377E73">
      <w:r>
        <w:continuationSeparator/>
      </w:r>
    </w:p>
    <w:p w:rsidR="00C27AE5" w:rsidRDefault="00C27AE5"/>
    <w:p w:rsidR="00C27AE5" w:rsidRDefault="00C27AE5"/>
    <w:p w:rsidR="00C27AE5" w:rsidRDefault="00C27AE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FE" w:rsidRDefault="00D565FE"/>
  <w:p w:rsidR="00D565FE" w:rsidRDefault="00D565FE"/>
  <w:p w:rsidR="00D565FE" w:rsidRDefault="00D565FE" w:rsidP="00CD08E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FE" w:rsidRPr="00D565FE" w:rsidRDefault="00D565FE" w:rsidP="00D565FE">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szCs w:val="20"/>
      </w:rPr>
    </w:pPr>
    <w:r w:rsidRPr="00D565FE">
      <w:rPr>
        <w:rFonts w:ascii="Cambria" w:hAnsi="Cambria"/>
        <w:b/>
        <w:sz w:val="20"/>
        <w:szCs w:val="20"/>
      </w:rPr>
      <w:t>Attachment 1: Product information for AusPAR Juvicor/Xelezor/Tesozor Sitagliptin and Simvastatin, Merck, Sharp &amp; Dohme Australia Pty Ltd PM-2011-02796-3-5. This Product Information was approved at the time this AusPAR was published.</w:t>
    </w:r>
  </w:p>
  <w:p w:rsidR="00D565FE" w:rsidRDefault="00D565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DC5F82"/>
    <w:lvl w:ilvl="0">
      <w:start w:val="1"/>
      <w:numFmt w:val="decimal"/>
      <w:lvlText w:val="%1."/>
      <w:lvlJc w:val="left"/>
      <w:pPr>
        <w:tabs>
          <w:tab w:val="num" w:pos="1492"/>
        </w:tabs>
        <w:ind w:left="1492" w:hanging="360"/>
      </w:pPr>
    </w:lvl>
  </w:abstractNum>
  <w:abstractNum w:abstractNumId="1">
    <w:nsid w:val="FFFFFF7D"/>
    <w:multiLevelType w:val="singleLevel"/>
    <w:tmpl w:val="D5A0E608"/>
    <w:lvl w:ilvl="0">
      <w:start w:val="1"/>
      <w:numFmt w:val="decimal"/>
      <w:lvlText w:val="%1."/>
      <w:lvlJc w:val="left"/>
      <w:pPr>
        <w:tabs>
          <w:tab w:val="num" w:pos="1209"/>
        </w:tabs>
        <w:ind w:left="1209" w:hanging="360"/>
      </w:pPr>
    </w:lvl>
  </w:abstractNum>
  <w:abstractNum w:abstractNumId="2">
    <w:nsid w:val="FFFFFF7E"/>
    <w:multiLevelType w:val="singleLevel"/>
    <w:tmpl w:val="E4AC433E"/>
    <w:lvl w:ilvl="0">
      <w:start w:val="1"/>
      <w:numFmt w:val="decimal"/>
      <w:lvlText w:val="%1."/>
      <w:lvlJc w:val="left"/>
      <w:pPr>
        <w:tabs>
          <w:tab w:val="num" w:pos="926"/>
        </w:tabs>
        <w:ind w:left="926" w:hanging="360"/>
      </w:pPr>
    </w:lvl>
  </w:abstractNum>
  <w:abstractNum w:abstractNumId="3">
    <w:nsid w:val="FFFFFF7F"/>
    <w:multiLevelType w:val="singleLevel"/>
    <w:tmpl w:val="B382FEE4"/>
    <w:lvl w:ilvl="0">
      <w:start w:val="1"/>
      <w:numFmt w:val="decimal"/>
      <w:lvlText w:val="%1."/>
      <w:lvlJc w:val="left"/>
      <w:pPr>
        <w:tabs>
          <w:tab w:val="num" w:pos="643"/>
        </w:tabs>
        <w:ind w:left="643" w:hanging="360"/>
      </w:pPr>
    </w:lvl>
  </w:abstractNum>
  <w:abstractNum w:abstractNumId="4">
    <w:nsid w:val="FFFFFF80"/>
    <w:multiLevelType w:val="singleLevel"/>
    <w:tmpl w:val="AC9A0C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4E50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182C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73220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AA1F82"/>
    <w:lvl w:ilvl="0">
      <w:start w:val="1"/>
      <w:numFmt w:val="decimal"/>
      <w:lvlText w:val="%1."/>
      <w:lvlJc w:val="left"/>
      <w:pPr>
        <w:tabs>
          <w:tab w:val="num" w:pos="360"/>
        </w:tabs>
        <w:ind w:left="360" w:hanging="360"/>
      </w:pPr>
    </w:lvl>
  </w:abstractNum>
  <w:abstractNum w:abstractNumId="9">
    <w:nsid w:val="FFFFFF89"/>
    <w:multiLevelType w:val="singleLevel"/>
    <w:tmpl w:val="7E24BA7C"/>
    <w:lvl w:ilvl="0">
      <w:start w:val="1"/>
      <w:numFmt w:val="bullet"/>
      <w:lvlText w:val=""/>
      <w:lvlJc w:val="left"/>
      <w:pPr>
        <w:tabs>
          <w:tab w:val="num" w:pos="360"/>
        </w:tabs>
        <w:ind w:left="360" w:hanging="360"/>
      </w:pPr>
      <w:rPr>
        <w:rFonts w:ascii="Symbol" w:hAnsi="Symbol" w:hint="default"/>
      </w:rPr>
    </w:lvl>
  </w:abstractNum>
  <w:abstractNum w:abstractNumId="10">
    <w:nsid w:val="0854379A"/>
    <w:multiLevelType w:val="hybridMultilevel"/>
    <w:tmpl w:val="01A67B14"/>
    <w:lvl w:ilvl="0" w:tplc="04090007">
      <w:start w:val="1"/>
      <w:numFmt w:val="bullet"/>
      <w:lvlText w:val=""/>
      <w:lvlJc w:val="left"/>
      <w:pPr>
        <w:tabs>
          <w:tab w:val="num" w:pos="720"/>
        </w:tabs>
        <w:ind w:left="720" w:hanging="360"/>
      </w:pPr>
      <w:rPr>
        <w:rFonts w:ascii="Symbol" w:hAnsi="Symbol" w:hint="default"/>
      </w:rPr>
    </w:lvl>
    <w:lvl w:ilvl="1" w:tplc="1F963E46">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8A2DE3"/>
    <w:multiLevelType w:val="hybridMultilevel"/>
    <w:tmpl w:val="5860E620"/>
    <w:lvl w:ilvl="0" w:tplc="6C241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6A52D1"/>
    <w:multiLevelType w:val="hybridMultilevel"/>
    <w:tmpl w:val="020E1DD6"/>
    <w:lvl w:ilvl="0" w:tplc="0A326896">
      <w:start w:val="1"/>
      <w:numFmt w:val="bullet"/>
      <w:pStyle w:val="StyleListBullet10pt"/>
      <w:lvlText w:val=""/>
      <w:lvlJc w:val="left"/>
      <w:pPr>
        <w:tabs>
          <w:tab w:val="num" w:pos="-357"/>
        </w:tabs>
        <w:ind w:left="357" w:hanging="35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78604C"/>
    <w:multiLevelType w:val="hybridMultilevel"/>
    <w:tmpl w:val="45F066E4"/>
    <w:lvl w:ilvl="0" w:tplc="6C241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0361F3"/>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15">
    <w:nsid w:val="3F6E1BA3"/>
    <w:multiLevelType w:val="hybridMultilevel"/>
    <w:tmpl w:val="3C54EC54"/>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565463F4">
      <w:start w:val="1"/>
      <w:numFmt w:val="bullet"/>
      <w:lvlText w:val=""/>
      <w:lvlJc w:val="left"/>
      <w:pPr>
        <w:tabs>
          <w:tab w:val="num" w:pos="357"/>
        </w:tabs>
        <w:ind w:left="357" w:hanging="357"/>
      </w:pPr>
      <w:rPr>
        <w:rFonts w:ascii="Symbol" w:hAnsi="Symbol" w:hint="default"/>
        <w:color w:val="auto"/>
      </w:rPr>
    </w:lvl>
    <w:lvl w:ilvl="3" w:tplc="6C2415F4">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00C4919"/>
    <w:multiLevelType w:val="hybridMultilevel"/>
    <w:tmpl w:val="10142EB4"/>
    <w:lvl w:ilvl="0" w:tplc="CB68F3F6">
      <w:start w:val="1"/>
      <w:numFmt w:val="bullet"/>
      <w:lvlText w:val=""/>
      <w:lvlJc w:val="left"/>
      <w:pPr>
        <w:tabs>
          <w:tab w:val="num" w:pos="284"/>
        </w:tabs>
        <w:ind w:left="425"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046D45"/>
    <w:multiLevelType w:val="hybridMultilevel"/>
    <w:tmpl w:val="6F98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BE40A9"/>
    <w:multiLevelType w:val="hybridMultilevel"/>
    <w:tmpl w:val="67EC67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1B00F6"/>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20">
    <w:nsid w:val="6160782E"/>
    <w:multiLevelType w:val="hybridMultilevel"/>
    <w:tmpl w:val="E6109F3A"/>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DAFA5310">
      <w:start w:val="1"/>
      <w:numFmt w:val="bullet"/>
      <w:lvlText w:val=""/>
      <w:lvlJc w:val="left"/>
      <w:pPr>
        <w:tabs>
          <w:tab w:val="num" w:pos="2951"/>
        </w:tabs>
        <w:ind w:left="2951" w:hanging="431"/>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5D27683"/>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22">
    <w:nsid w:val="715217BD"/>
    <w:multiLevelType w:val="hybridMultilevel"/>
    <w:tmpl w:val="8E6E82C6"/>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565463F4">
      <w:start w:val="1"/>
      <w:numFmt w:val="bullet"/>
      <w:lvlText w:val=""/>
      <w:lvlJc w:val="left"/>
      <w:pPr>
        <w:tabs>
          <w:tab w:val="num" w:pos="357"/>
        </w:tabs>
        <w:ind w:left="357" w:hanging="357"/>
      </w:pPr>
      <w:rPr>
        <w:rFonts w:ascii="Symbol" w:hAnsi="Symbol" w:hint="default"/>
        <w:color w:val="auto"/>
      </w:rPr>
    </w:lvl>
    <w:lvl w:ilvl="3" w:tplc="6C2415F4">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9DE1A76"/>
    <w:multiLevelType w:val="hybridMultilevel"/>
    <w:tmpl w:val="CFEE5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9"/>
  </w:num>
  <w:num w:numId="4">
    <w:abstractNumId w:val="13"/>
  </w:num>
  <w:num w:numId="5">
    <w:abstractNumId w:val="11"/>
  </w:num>
  <w:num w:numId="6">
    <w:abstractNumId w:val="12"/>
  </w:num>
  <w:num w:numId="7">
    <w:abstractNumId w:val="18"/>
  </w:num>
  <w:num w:numId="8">
    <w:abstractNumId w:val="16"/>
  </w:num>
  <w:num w:numId="9">
    <w:abstractNumId w:val="20"/>
  </w:num>
  <w:num w:numId="10">
    <w:abstractNumId w:val="22"/>
  </w:num>
  <w:num w:numId="11">
    <w:abstractNumId w:val="15"/>
  </w:num>
  <w:num w:numId="12">
    <w:abstractNumId w:val="10"/>
  </w:num>
  <w:num w:numId="13">
    <w:abstractNumId w:val="23"/>
  </w:num>
  <w:num w:numId="14">
    <w:abstractNumId w:val="1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embedSystemFonts/>
  <w:proofState w:grammar="clean"/>
  <w:stylePaneFormatFilter w:val="1F04"/>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AC643E"/>
    <w:rsid w:val="00002EAE"/>
    <w:rsid w:val="0000331F"/>
    <w:rsid w:val="00004565"/>
    <w:rsid w:val="00004EDF"/>
    <w:rsid w:val="00005850"/>
    <w:rsid w:val="00005DB0"/>
    <w:rsid w:val="00006402"/>
    <w:rsid w:val="0000658B"/>
    <w:rsid w:val="000068DF"/>
    <w:rsid w:val="0001465C"/>
    <w:rsid w:val="00014DEB"/>
    <w:rsid w:val="00015B17"/>
    <w:rsid w:val="00016845"/>
    <w:rsid w:val="00017319"/>
    <w:rsid w:val="00020968"/>
    <w:rsid w:val="000218AB"/>
    <w:rsid w:val="000225DC"/>
    <w:rsid w:val="000251BF"/>
    <w:rsid w:val="00025B6A"/>
    <w:rsid w:val="00027800"/>
    <w:rsid w:val="000301BB"/>
    <w:rsid w:val="00031B1C"/>
    <w:rsid w:val="000321EF"/>
    <w:rsid w:val="000335B0"/>
    <w:rsid w:val="00033D62"/>
    <w:rsid w:val="00034286"/>
    <w:rsid w:val="00037838"/>
    <w:rsid w:val="00040BA1"/>
    <w:rsid w:val="00040F8A"/>
    <w:rsid w:val="000435A9"/>
    <w:rsid w:val="000464FA"/>
    <w:rsid w:val="00047F16"/>
    <w:rsid w:val="000503E2"/>
    <w:rsid w:val="00052B7D"/>
    <w:rsid w:val="00053D90"/>
    <w:rsid w:val="00054194"/>
    <w:rsid w:val="00055055"/>
    <w:rsid w:val="0006079E"/>
    <w:rsid w:val="00060879"/>
    <w:rsid w:val="00060F7E"/>
    <w:rsid w:val="0006648A"/>
    <w:rsid w:val="00070546"/>
    <w:rsid w:val="00070558"/>
    <w:rsid w:val="00073032"/>
    <w:rsid w:val="00073EA4"/>
    <w:rsid w:val="0007651D"/>
    <w:rsid w:val="00077B4B"/>
    <w:rsid w:val="000803A5"/>
    <w:rsid w:val="00081C51"/>
    <w:rsid w:val="00082D7A"/>
    <w:rsid w:val="00083ACF"/>
    <w:rsid w:val="00084821"/>
    <w:rsid w:val="00084AC5"/>
    <w:rsid w:val="00085E5E"/>
    <w:rsid w:val="0008645E"/>
    <w:rsid w:val="000927EE"/>
    <w:rsid w:val="00092FEF"/>
    <w:rsid w:val="000948C1"/>
    <w:rsid w:val="00094F05"/>
    <w:rsid w:val="0009553B"/>
    <w:rsid w:val="0009557C"/>
    <w:rsid w:val="00097D1B"/>
    <w:rsid w:val="000A0419"/>
    <w:rsid w:val="000A100E"/>
    <w:rsid w:val="000A3D8E"/>
    <w:rsid w:val="000A4DAC"/>
    <w:rsid w:val="000A5E53"/>
    <w:rsid w:val="000A68F4"/>
    <w:rsid w:val="000A7D4C"/>
    <w:rsid w:val="000B0DB3"/>
    <w:rsid w:val="000B181D"/>
    <w:rsid w:val="000B453E"/>
    <w:rsid w:val="000B461B"/>
    <w:rsid w:val="000B5E34"/>
    <w:rsid w:val="000B5F63"/>
    <w:rsid w:val="000C1AA2"/>
    <w:rsid w:val="000C1EBC"/>
    <w:rsid w:val="000C44DC"/>
    <w:rsid w:val="000C6651"/>
    <w:rsid w:val="000C6D73"/>
    <w:rsid w:val="000D14A5"/>
    <w:rsid w:val="000D2145"/>
    <w:rsid w:val="000D25BB"/>
    <w:rsid w:val="000D3637"/>
    <w:rsid w:val="000D4DF6"/>
    <w:rsid w:val="000D6878"/>
    <w:rsid w:val="000D7171"/>
    <w:rsid w:val="000D7F17"/>
    <w:rsid w:val="000E023E"/>
    <w:rsid w:val="000E2183"/>
    <w:rsid w:val="000E351B"/>
    <w:rsid w:val="000E4E63"/>
    <w:rsid w:val="000E4EE1"/>
    <w:rsid w:val="000E63EB"/>
    <w:rsid w:val="000E6C9C"/>
    <w:rsid w:val="000F3211"/>
    <w:rsid w:val="000F4A8D"/>
    <w:rsid w:val="000F6554"/>
    <w:rsid w:val="000F6FEE"/>
    <w:rsid w:val="000F7ADB"/>
    <w:rsid w:val="00100466"/>
    <w:rsid w:val="001008C7"/>
    <w:rsid w:val="001032FA"/>
    <w:rsid w:val="0010336E"/>
    <w:rsid w:val="00106889"/>
    <w:rsid w:val="001078C0"/>
    <w:rsid w:val="00111024"/>
    <w:rsid w:val="001117E4"/>
    <w:rsid w:val="00113AF7"/>
    <w:rsid w:val="00115D12"/>
    <w:rsid w:val="00116F22"/>
    <w:rsid w:val="001217C7"/>
    <w:rsid w:val="001232B4"/>
    <w:rsid w:val="00123A63"/>
    <w:rsid w:val="001243CE"/>
    <w:rsid w:val="00124767"/>
    <w:rsid w:val="00124F87"/>
    <w:rsid w:val="00130636"/>
    <w:rsid w:val="00130B2D"/>
    <w:rsid w:val="0013239C"/>
    <w:rsid w:val="00133CF3"/>
    <w:rsid w:val="00133F28"/>
    <w:rsid w:val="00134505"/>
    <w:rsid w:val="00134E9F"/>
    <w:rsid w:val="001356F8"/>
    <w:rsid w:val="00140DCC"/>
    <w:rsid w:val="00141D75"/>
    <w:rsid w:val="001439D1"/>
    <w:rsid w:val="00144428"/>
    <w:rsid w:val="00144661"/>
    <w:rsid w:val="00144DFD"/>
    <w:rsid w:val="001458C5"/>
    <w:rsid w:val="00145A9C"/>
    <w:rsid w:val="00147236"/>
    <w:rsid w:val="00147D1F"/>
    <w:rsid w:val="00153A47"/>
    <w:rsid w:val="0015579B"/>
    <w:rsid w:val="00156381"/>
    <w:rsid w:val="00156CAB"/>
    <w:rsid w:val="00163082"/>
    <w:rsid w:val="0016497D"/>
    <w:rsid w:val="00173419"/>
    <w:rsid w:val="0017415B"/>
    <w:rsid w:val="0017689D"/>
    <w:rsid w:val="00177770"/>
    <w:rsid w:val="001828F4"/>
    <w:rsid w:val="001838F8"/>
    <w:rsid w:val="00186A61"/>
    <w:rsid w:val="00187F8B"/>
    <w:rsid w:val="001915E2"/>
    <w:rsid w:val="00191610"/>
    <w:rsid w:val="0019458B"/>
    <w:rsid w:val="00194ADD"/>
    <w:rsid w:val="001A3542"/>
    <w:rsid w:val="001A35EB"/>
    <w:rsid w:val="001A369F"/>
    <w:rsid w:val="001A4BF2"/>
    <w:rsid w:val="001B0BF4"/>
    <w:rsid w:val="001B2B4E"/>
    <w:rsid w:val="001B2BA3"/>
    <w:rsid w:val="001B3212"/>
    <w:rsid w:val="001B7D49"/>
    <w:rsid w:val="001C00FE"/>
    <w:rsid w:val="001C0710"/>
    <w:rsid w:val="001C0921"/>
    <w:rsid w:val="001C0D1A"/>
    <w:rsid w:val="001C2132"/>
    <w:rsid w:val="001C2552"/>
    <w:rsid w:val="001C2A0E"/>
    <w:rsid w:val="001C3017"/>
    <w:rsid w:val="001C3825"/>
    <w:rsid w:val="001C5204"/>
    <w:rsid w:val="001C5589"/>
    <w:rsid w:val="001C5C91"/>
    <w:rsid w:val="001C60F6"/>
    <w:rsid w:val="001C745D"/>
    <w:rsid w:val="001D15FF"/>
    <w:rsid w:val="001D4C3D"/>
    <w:rsid w:val="001D513E"/>
    <w:rsid w:val="001D68EB"/>
    <w:rsid w:val="001D6A99"/>
    <w:rsid w:val="001E0F4D"/>
    <w:rsid w:val="001E23E1"/>
    <w:rsid w:val="001E363F"/>
    <w:rsid w:val="001E3D9B"/>
    <w:rsid w:val="001E4239"/>
    <w:rsid w:val="001E448A"/>
    <w:rsid w:val="001E5F1F"/>
    <w:rsid w:val="001F0212"/>
    <w:rsid w:val="001F065B"/>
    <w:rsid w:val="001F1135"/>
    <w:rsid w:val="001F2B0D"/>
    <w:rsid w:val="001F4CCD"/>
    <w:rsid w:val="0020044C"/>
    <w:rsid w:val="0020175B"/>
    <w:rsid w:val="00201FBB"/>
    <w:rsid w:val="00202722"/>
    <w:rsid w:val="00202978"/>
    <w:rsid w:val="002033C1"/>
    <w:rsid w:val="00203A83"/>
    <w:rsid w:val="00204578"/>
    <w:rsid w:val="00204A2C"/>
    <w:rsid w:val="00206C8D"/>
    <w:rsid w:val="00207541"/>
    <w:rsid w:val="00211BDA"/>
    <w:rsid w:val="002121D6"/>
    <w:rsid w:val="00212555"/>
    <w:rsid w:val="002131BE"/>
    <w:rsid w:val="0021358B"/>
    <w:rsid w:val="00213C01"/>
    <w:rsid w:val="00216A94"/>
    <w:rsid w:val="002177E2"/>
    <w:rsid w:val="002207D3"/>
    <w:rsid w:val="00221155"/>
    <w:rsid w:val="00223209"/>
    <w:rsid w:val="0022513C"/>
    <w:rsid w:val="00227BAA"/>
    <w:rsid w:val="00230283"/>
    <w:rsid w:val="00230413"/>
    <w:rsid w:val="00232F2E"/>
    <w:rsid w:val="00233F1E"/>
    <w:rsid w:val="00234C4B"/>
    <w:rsid w:val="0023502B"/>
    <w:rsid w:val="00235A2A"/>
    <w:rsid w:val="00235B0A"/>
    <w:rsid w:val="0023656C"/>
    <w:rsid w:val="0023779A"/>
    <w:rsid w:val="00240402"/>
    <w:rsid w:val="0024114D"/>
    <w:rsid w:val="00244305"/>
    <w:rsid w:val="002459E0"/>
    <w:rsid w:val="0024653C"/>
    <w:rsid w:val="0024713D"/>
    <w:rsid w:val="002505A8"/>
    <w:rsid w:val="00250CBB"/>
    <w:rsid w:val="00251626"/>
    <w:rsid w:val="00252A1C"/>
    <w:rsid w:val="00252A7D"/>
    <w:rsid w:val="00253B3C"/>
    <w:rsid w:val="00254845"/>
    <w:rsid w:val="0025569F"/>
    <w:rsid w:val="0025590C"/>
    <w:rsid w:val="0025698F"/>
    <w:rsid w:val="00260965"/>
    <w:rsid w:val="00260C62"/>
    <w:rsid w:val="0026144F"/>
    <w:rsid w:val="00263C5B"/>
    <w:rsid w:val="00264ACB"/>
    <w:rsid w:val="00266F10"/>
    <w:rsid w:val="002671BA"/>
    <w:rsid w:val="002702A4"/>
    <w:rsid w:val="002736CD"/>
    <w:rsid w:val="0027504B"/>
    <w:rsid w:val="0027739F"/>
    <w:rsid w:val="0027755A"/>
    <w:rsid w:val="00280A0E"/>
    <w:rsid w:val="0028351F"/>
    <w:rsid w:val="002843BA"/>
    <w:rsid w:val="00285DA7"/>
    <w:rsid w:val="0029019D"/>
    <w:rsid w:val="002935ED"/>
    <w:rsid w:val="002946F2"/>
    <w:rsid w:val="00294AC2"/>
    <w:rsid w:val="00295C4E"/>
    <w:rsid w:val="002972D7"/>
    <w:rsid w:val="002A0510"/>
    <w:rsid w:val="002A2D86"/>
    <w:rsid w:val="002A50C8"/>
    <w:rsid w:val="002A652C"/>
    <w:rsid w:val="002A7193"/>
    <w:rsid w:val="002A763F"/>
    <w:rsid w:val="002A795A"/>
    <w:rsid w:val="002B19C1"/>
    <w:rsid w:val="002B3632"/>
    <w:rsid w:val="002B4359"/>
    <w:rsid w:val="002B5830"/>
    <w:rsid w:val="002B6234"/>
    <w:rsid w:val="002B6886"/>
    <w:rsid w:val="002C27F5"/>
    <w:rsid w:val="002C490F"/>
    <w:rsid w:val="002C642F"/>
    <w:rsid w:val="002C679F"/>
    <w:rsid w:val="002C72FC"/>
    <w:rsid w:val="002C7E09"/>
    <w:rsid w:val="002D008B"/>
    <w:rsid w:val="002D0297"/>
    <w:rsid w:val="002D0E64"/>
    <w:rsid w:val="002D0F49"/>
    <w:rsid w:val="002D2708"/>
    <w:rsid w:val="002D274A"/>
    <w:rsid w:val="002D5546"/>
    <w:rsid w:val="002E0CD8"/>
    <w:rsid w:val="002E1652"/>
    <w:rsid w:val="002E50EC"/>
    <w:rsid w:val="002E5743"/>
    <w:rsid w:val="002E6118"/>
    <w:rsid w:val="002E77A7"/>
    <w:rsid w:val="002E7866"/>
    <w:rsid w:val="002F0B1E"/>
    <w:rsid w:val="002F3B31"/>
    <w:rsid w:val="002F3D89"/>
    <w:rsid w:val="002F605C"/>
    <w:rsid w:val="003010BD"/>
    <w:rsid w:val="0030231B"/>
    <w:rsid w:val="0030247D"/>
    <w:rsid w:val="00303640"/>
    <w:rsid w:val="00303A65"/>
    <w:rsid w:val="00303E24"/>
    <w:rsid w:val="00303EC8"/>
    <w:rsid w:val="003055D8"/>
    <w:rsid w:val="00305A95"/>
    <w:rsid w:val="00306054"/>
    <w:rsid w:val="00307C91"/>
    <w:rsid w:val="00307E5B"/>
    <w:rsid w:val="003125BC"/>
    <w:rsid w:val="00313A90"/>
    <w:rsid w:val="00313B5F"/>
    <w:rsid w:val="0031590C"/>
    <w:rsid w:val="00315E76"/>
    <w:rsid w:val="00316D6D"/>
    <w:rsid w:val="003172BC"/>
    <w:rsid w:val="00320D85"/>
    <w:rsid w:val="00321E75"/>
    <w:rsid w:val="00323897"/>
    <w:rsid w:val="00323CED"/>
    <w:rsid w:val="003240B6"/>
    <w:rsid w:val="003244D9"/>
    <w:rsid w:val="00324687"/>
    <w:rsid w:val="00325648"/>
    <w:rsid w:val="00325730"/>
    <w:rsid w:val="00326CB3"/>
    <w:rsid w:val="00327275"/>
    <w:rsid w:val="00330A53"/>
    <w:rsid w:val="00331652"/>
    <w:rsid w:val="0033171D"/>
    <w:rsid w:val="003322F7"/>
    <w:rsid w:val="0033279D"/>
    <w:rsid w:val="0033290D"/>
    <w:rsid w:val="0033308A"/>
    <w:rsid w:val="00333DE6"/>
    <w:rsid w:val="003344AD"/>
    <w:rsid w:val="00337C2D"/>
    <w:rsid w:val="00341B8B"/>
    <w:rsid w:val="00342239"/>
    <w:rsid w:val="003429F3"/>
    <w:rsid w:val="003479A6"/>
    <w:rsid w:val="003506E6"/>
    <w:rsid w:val="003519AA"/>
    <w:rsid w:val="00352E88"/>
    <w:rsid w:val="0035615F"/>
    <w:rsid w:val="00356765"/>
    <w:rsid w:val="00364F38"/>
    <w:rsid w:val="00365D1B"/>
    <w:rsid w:val="0036615A"/>
    <w:rsid w:val="003704B4"/>
    <w:rsid w:val="00370C5D"/>
    <w:rsid w:val="00371786"/>
    <w:rsid w:val="00377D64"/>
    <w:rsid w:val="00377E73"/>
    <w:rsid w:val="00381462"/>
    <w:rsid w:val="003824E3"/>
    <w:rsid w:val="00382730"/>
    <w:rsid w:val="003860B1"/>
    <w:rsid w:val="00387688"/>
    <w:rsid w:val="003905D9"/>
    <w:rsid w:val="00390BB5"/>
    <w:rsid w:val="003916C9"/>
    <w:rsid w:val="003922F5"/>
    <w:rsid w:val="00394C8B"/>
    <w:rsid w:val="003A0671"/>
    <w:rsid w:val="003A09EA"/>
    <w:rsid w:val="003A14ED"/>
    <w:rsid w:val="003A1AFD"/>
    <w:rsid w:val="003A2837"/>
    <w:rsid w:val="003A4113"/>
    <w:rsid w:val="003A6843"/>
    <w:rsid w:val="003A759D"/>
    <w:rsid w:val="003A7AF8"/>
    <w:rsid w:val="003B187B"/>
    <w:rsid w:val="003B48FB"/>
    <w:rsid w:val="003B617C"/>
    <w:rsid w:val="003B72F8"/>
    <w:rsid w:val="003B7E29"/>
    <w:rsid w:val="003C0D00"/>
    <w:rsid w:val="003C15D9"/>
    <w:rsid w:val="003C2FBF"/>
    <w:rsid w:val="003C3A6C"/>
    <w:rsid w:val="003C4239"/>
    <w:rsid w:val="003C52FB"/>
    <w:rsid w:val="003C6699"/>
    <w:rsid w:val="003D0247"/>
    <w:rsid w:val="003D081B"/>
    <w:rsid w:val="003D1341"/>
    <w:rsid w:val="003D1FC6"/>
    <w:rsid w:val="003D68EE"/>
    <w:rsid w:val="003E12DE"/>
    <w:rsid w:val="003E4338"/>
    <w:rsid w:val="003E7C0B"/>
    <w:rsid w:val="003F101F"/>
    <w:rsid w:val="003F21C7"/>
    <w:rsid w:val="003F453B"/>
    <w:rsid w:val="003F50D2"/>
    <w:rsid w:val="003F5116"/>
    <w:rsid w:val="003F562A"/>
    <w:rsid w:val="003F777B"/>
    <w:rsid w:val="004014A8"/>
    <w:rsid w:val="00401DD5"/>
    <w:rsid w:val="00402864"/>
    <w:rsid w:val="00402A9D"/>
    <w:rsid w:val="0040489B"/>
    <w:rsid w:val="00405E70"/>
    <w:rsid w:val="00410EE0"/>
    <w:rsid w:val="0041144D"/>
    <w:rsid w:val="00412CC0"/>
    <w:rsid w:val="00413A7A"/>
    <w:rsid w:val="004163E7"/>
    <w:rsid w:val="0041703E"/>
    <w:rsid w:val="00420C8D"/>
    <w:rsid w:val="00420E38"/>
    <w:rsid w:val="0042172C"/>
    <w:rsid w:val="00422DA0"/>
    <w:rsid w:val="00423B5C"/>
    <w:rsid w:val="00424591"/>
    <w:rsid w:val="00427C53"/>
    <w:rsid w:val="00430C14"/>
    <w:rsid w:val="00430D25"/>
    <w:rsid w:val="00430E53"/>
    <w:rsid w:val="0043167B"/>
    <w:rsid w:val="004338EA"/>
    <w:rsid w:val="00434B80"/>
    <w:rsid w:val="00435B90"/>
    <w:rsid w:val="00436FC5"/>
    <w:rsid w:val="0044116B"/>
    <w:rsid w:val="00442E70"/>
    <w:rsid w:val="00444060"/>
    <w:rsid w:val="00445C9E"/>
    <w:rsid w:val="00452E79"/>
    <w:rsid w:val="004560C7"/>
    <w:rsid w:val="004562B0"/>
    <w:rsid w:val="0046091D"/>
    <w:rsid w:val="00460B63"/>
    <w:rsid w:val="00461473"/>
    <w:rsid w:val="00462417"/>
    <w:rsid w:val="004631A3"/>
    <w:rsid w:val="0046344C"/>
    <w:rsid w:val="004636C2"/>
    <w:rsid w:val="00463F3A"/>
    <w:rsid w:val="004647F5"/>
    <w:rsid w:val="00464A4F"/>
    <w:rsid w:val="00465A8A"/>
    <w:rsid w:val="00467E8B"/>
    <w:rsid w:val="00470F18"/>
    <w:rsid w:val="00471338"/>
    <w:rsid w:val="00472C52"/>
    <w:rsid w:val="00473C01"/>
    <w:rsid w:val="00476256"/>
    <w:rsid w:val="004764C5"/>
    <w:rsid w:val="004776FF"/>
    <w:rsid w:val="00480FDF"/>
    <w:rsid w:val="00487BBE"/>
    <w:rsid w:val="00487E4F"/>
    <w:rsid w:val="0049060F"/>
    <w:rsid w:val="004906DE"/>
    <w:rsid w:val="00490B17"/>
    <w:rsid w:val="00491B12"/>
    <w:rsid w:val="00493243"/>
    <w:rsid w:val="00493337"/>
    <w:rsid w:val="0049496D"/>
    <w:rsid w:val="00495FF1"/>
    <w:rsid w:val="00496D84"/>
    <w:rsid w:val="004A1AE5"/>
    <w:rsid w:val="004A30FF"/>
    <w:rsid w:val="004A4B1D"/>
    <w:rsid w:val="004B0235"/>
    <w:rsid w:val="004B1364"/>
    <w:rsid w:val="004B2670"/>
    <w:rsid w:val="004B27B5"/>
    <w:rsid w:val="004B3680"/>
    <w:rsid w:val="004B5B4E"/>
    <w:rsid w:val="004B65DF"/>
    <w:rsid w:val="004C050E"/>
    <w:rsid w:val="004C10B9"/>
    <w:rsid w:val="004C115B"/>
    <w:rsid w:val="004C2802"/>
    <w:rsid w:val="004C4702"/>
    <w:rsid w:val="004C52CD"/>
    <w:rsid w:val="004C534A"/>
    <w:rsid w:val="004C658C"/>
    <w:rsid w:val="004D014F"/>
    <w:rsid w:val="004D0BD2"/>
    <w:rsid w:val="004D2F25"/>
    <w:rsid w:val="004D4967"/>
    <w:rsid w:val="004D66E9"/>
    <w:rsid w:val="004D68E6"/>
    <w:rsid w:val="004D6935"/>
    <w:rsid w:val="004D716D"/>
    <w:rsid w:val="004E13D8"/>
    <w:rsid w:val="004E163C"/>
    <w:rsid w:val="004E2776"/>
    <w:rsid w:val="004E5B5B"/>
    <w:rsid w:val="004E645C"/>
    <w:rsid w:val="004E65DA"/>
    <w:rsid w:val="004E78C6"/>
    <w:rsid w:val="004F0FB0"/>
    <w:rsid w:val="004F11ED"/>
    <w:rsid w:val="004F16F3"/>
    <w:rsid w:val="004F34E6"/>
    <w:rsid w:val="004F5E5C"/>
    <w:rsid w:val="004F6914"/>
    <w:rsid w:val="004F7272"/>
    <w:rsid w:val="004F7552"/>
    <w:rsid w:val="0050144F"/>
    <w:rsid w:val="00503D4B"/>
    <w:rsid w:val="0050488F"/>
    <w:rsid w:val="005056F8"/>
    <w:rsid w:val="00510883"/>
    <w:rsid w:val="00510DA3"/>
    <w:rsid w:val="00511743"/>
    <w:rsid w:val="0051247F"/>
    <w:rsid w:val="00512988"/>
    <w:rsid w:val="0051348C"/>
    <w:rsid w:val="005154F2"/>
    <w:rsid w:val="0051564B"/>
    <w:rsid w:val="0051622F"/>
    <w:rsid w:val="005167DE"/>
    <w:rsid w:val="00517535"/>
    <w:rsid w:val="00517EE5"/>
    <w:rsid w:val="00521831"/>
    <w:rsid w:val="00522582"/>
    <w:rsid w:val="00522A99"/>
    <w:rsid w:val="00522CBD"/>
    <w:rsid w:val="0052315B"/>
    <w:rsid w:val="00524F59"/>
    <w:rsid w:val="00527BFA"/>
    <w:rsid w:val="00530DAC"/>
    <w:rsid w:val="005323A0"/>
    <w:rsid w:val="0053291D"/>
    <w:rsid w:val="00533B4C"/>
    <w:rsid w:val="00533B5B"/>
    <w:rsid w:val="0053407A"/>
    <w:rsid w:val="005345B6"/>
    <w:rsid w:val="005367B8"/>
    <w:rsid w:val="00537A50"/>
    <w:rsid w:val="005402CB"/>
    <w:rsid w:val="00540326"/>
    <w:rsid w:val="00543091"/>
    <w:rsid w:val="005431F1"/>
    <w:rsid w:val="00544ACD"/>
    <w:rsid w:val="00545626"/>
    <w:rsid w:val="005468AA"/>
    <w:rsid w:val="0054772C"/>
    <w:rsid w:val="00553F77"/>
    <w:rsid w:val="00555629"/>
    <w:rsid w:val="0056345B"/>
    <w:rsid w:val="00563F71"/>
    <w:rsid w:val="0056547A"/>
    <w:rsid w:val="00566F46"/>
    <w:rsid w:val="0057080F"/>
    <w:rsid w:val="00571FDC"/>
    <w:rsid w:val="00572AF4"/>
    <w:rsid w:val="00574B1D"/>
    <w:rsid w:val="00575040"/>
    <w:rsid w:val="00575148"/>
    <w:rsid w:val="005765E8"/>
    <w:rsid w:val="0058038F"/>
    <w:rsid w:val="00580C6A"/>
    <w:rsid w:val="005818EB"/>
    <w:rsid w:val="00581D68"/>
    <w:rsid w:val="00581E1F"/>
    <w:rsid w:val="00582DF4"/>
    <w:rsid w:val="005831C9"/>
    <w:rsid w:val="00586802"/>
    <w:rsid w:val="00586D60"/>
    <w:rsid w:val="00590BD9"/>
    <w:rsid w:val="00593013"/>
    <w:rsid w:val="00593CE5"/>
    <w:rsid w:val="0059430E"/>
    <w:rsid w:val="005958F7"/>
    <w:rsid w:val="0059606F"/>
    <w:rsid w:val="00596C61"/>
    <w:rsid w:val="00597421"/>
    <w:rsid w:val="005A358E"/>
    <w:rsid w:val="005A61FE"/>
    <w:rsid w:val="005A669E"/>
    <w:rsid w:val="005A6A83"/>
    <w:rsid w:val="005B03C4"/>
    <w:rsid w:val="005B0BAA"/>
    <w:rsid w:val="005B3852"/>
    <w:rsid w:val="005B4857"/>
    <w:rsid w:val="005D0412"/>
    <w:rsid w:val="005D103A"/>
    <w:rsid w:val="005D1F9E"/>
    <w:rsid w:val="005D2BB9"/>
    <w:rsid w:val="005D353E"/>
    <w:rsid w:val="005D4110"/>
    <w:rsid w:val="005D4178"/>
    <w:rsid w:val="005D424C"/>
    <w:rsid w:val="005D5AB1"/>
    <w:rsid w:val="005D68C3"/>
    <w:rsid w:val="005E12AD"/>
    <w:rsid w:val="005E17C6"/>
    <w:rsid w:val="005E2110"/>
    <w:rsid w:val="005E69BE"/>
    <w:rsid w:val="005F008D"/>
    <w:rsid w:val="005F36F7"/>
    <w:rsid w:val="005F406C"/>
    <w:rsid w:val="005F720C"/>
    <w:rsid w:val="00600E2A"/>
    <w:rsid w:val="00602D7B"/>
    <w:rsid w:val="006036A9"/>
    <w:rsid w:val="006037C7"/>
    <w:rsid w:val="00606732"/>
    <w:rsid w:val="00607FFD"/>
    <w:rsid w:val="00610703"/>
    <w:rsid w:val="00611000"/>
    <w:rsid w:val="00612A7F"/>
    <w:rsid w:val="00613A67"/>
    <w:rsid w:val="00614121"/>
    <w:rsid w:val="0061565A"/>
    <w:rsid w:val="00615D6A"/>
    <w:rsid w:val="00616EC1"/>
    <w:rsid w:val="00617774"/>
    <w:rsid w:val="006179EE"/>
    <w:rsid w:val="00617BD6"/>
    <w:rsid w:val="00620A24"/>
    <w:rsid w:val="00621E46"/>
    <w:rsid w:val="00622510"/>
    <w:rsid w:val="00625272"/>
    <w:rsid w:val="00626481"/>
    <w:rsid w:val="006266AC"/>
    <w:rsid w:val="006270C4"/>
    <w:rsid w:val="00627149"/>
    <w:rsid w:val="0062794F"/>
    <w:rsid w:val="006309F0"/>
    <w:rsid w:val="00630A92"/>
    <w:rsid w:val="00631603"/>
    <w:rsid w:val="00633602"/>
    <w:rsid w:val="00633720"/>
    <w:rsid w:val="00633C54"/>
    <w:rsid w:val="0063655F"/>
    <w:rsid w:val="00641B0C"/>
    <w:rsid w:val="00645E61"/>
    <w:rsid w:val="00646D21"/>
    <w:rsid w:val="00647372"/>
    <w:rsid w:val="00647931"/>
    <w:rsid w:val="006507A9"/>
    <w:rsid w:val="00651892"/>
    <w:rsid w:val="006559C5"/>
    <w:rsid w:val="006565BF"/>
    <w:rsid w:val="00657576"/>
    <w:rsid w:val="006579F2"/>
    <w:rsid w:val="006602EF"/>
    <w:rsid w:val="00660AF3"/>
    <w:rsid w:val="0066571E"/>
    <w:rsid w:val="0066725E"/>
    <w:rsid w:val="00667337"/>
    <w:rsid w:val="00670A04"/>
    <w:rsid w:val="006728AA"/>
    <w:rsid w:val="00672E80"/>
    <w:rsid w:val="0067364D"/>
    <w:rsid w:val="00673ED4"/>
    <w:rsid w:val="00675984"/>
    <w:rsid w:val="0067667B"/>
    <w:rsid w:val="0067748F"/>
    <w:rsid w:val="00677D51"/>
    <w:rsid w:val="00677E89"/>
    <w:rsid w:val="0068044D"/>
    <w:rsid w:val="0068149E"/>
    <w:rsid w:val="00681DFB"/>
    <w:rsid w:val="00682ED6"/>
    <w:rsid w:val="00683328"/>
    <w:rsid w:val="006836E1"/>
    <w:rsid w:val="0068607E"/>
    <w:rsid w:val="006870A7"/>
    <w:rsid w:val="0068736A"/>
    <w:rsid w:val="00687961"/>
    <w:rsid w:val="0069035B"/>
    <w:rsid w:val="006905CD"/>
    <w:rsid w:val="00692EF3"/>
    <w:rsid w:val="006942F9"/>
    <w:rsid w:val="00694454"/>
    <w:rsid w:val="006A0096"/>
    <w:rsid w:val="006A13A9"/>
    <w:rsid w:val="006A1DF3"/>
    <w:rsid w:val="006A68A1"/>
    <w:rsid w:val="006A6D29"/>
    <w:rsid w:val="006A7967"/>
    <w:rsid w:val="006B0C6F"/>
    <w:rsid w:val="006B1203"/>
    <w:rsid w:val="006B133D"/>
    <w:rsid w:val="006B1467"/>
    <w:rsid w:val="006B5407"/>
    <w:rsid w:val="006B62D8"/>
    <w:rsid w:val="006C0AEA"/>
    <w:rsid w:val="006C0C46"/>
    <w:rsid w:val="006C1984"/>
    <w:rsid w:val="006C29FE"/>
    <w:rsid w:val="006C30D6"/>
    <w:rsid w:val="006C329A"/>
    <w:rsid w:val="006C42EE"/>
    <w:rsid w:val="006C4C1C"/>
    <w:rsid w:val="006C5256"/>
    <w:rsid w:val="006C6E65"/>
    <w:rsid w:val="006C7041"/>
    <w:rsid w:val="006C71EA"/>
    <w:rsid w:val="006C7551"/>
    <w:rsid w:val="006D0B6F"/>
    <w:rsid w:val="006D30F9"/>
    <w:rsid w:val="006D3DC8"/>
    <w:rsid w:val="006D4D9F"/>
    <w:rsid w:val="006D605A"/>
    <w:rsid w:val="006E2D42"/>
    <w:rsid w:val="006E3AD2"/>
    <w:rsid w:val="006E61D1"/>
    <w:rsid w:val="006F1385"/>
    <w:rsid w:val="006F205B"/>
    <w:rsid w:val="006F3630"/>
    <w:rsid w:val="006F3F9C"/>
    <w:rsid w:val="006F5902"/>
    <w:rsid w:val="006F5A36"/>
    <w:rsid w:val="006F5E33"/>
    <w:rsid w:val="006F6E94"/>
    <w:rsid w:val="006F7366"/>
    <w:rsid w:val="006F76DC"/>
    <w:rsid w:val="006F7A52"/>
    <w:rsid w:val="0070043B"/>
    <w:rsid w:val="0070045F"/>
    <w:rsid w:val="007004F5"/>
    <w:rsid w:val="007005E8"/>
    <w:rsid w:val="00702FAC"/>
    <w:rsid w:val="007034E7"/>
    <w:rsid w:val="007049C3"/>
    <w:rsid w:val="0071146D"/>
    <w:rsid w:val="007125A6"/>
    <w:rsid w:val="00712E5C"/>
    <w:rsid w:val="00714843"/>
    <w:rsid w:val="00715D96"/>
    <w:rsid w:val="00717B85"/>
    <w:rsid w:val="007202FA"/>
    <w:rsid w:val="00721CA1"/>
    <w:rsid w:val="007220FE"/>
    <w:rsid w:val="00723198"/>
    <w:rsid w:val="0072355D"/>
    <w:rsid w:val="007239A4"/>
    <w:rsid w:val="00723CCA"/>
    <w:rsid w:val="007241A0"/>
    <w:rsid w:val="007249B7"/>
    <w:rsid w:val="00724FC3"/>
    <w:rsid w:val="00725594"/>
    <w:rsid w:val="00725688"/>
    <w:rsid w:val="007258E4"/>
    <w:rsid w:val="00725EC9"/>
    <w:rsid w:val="00727DAD"/>
    <w:rsid w:val="00730FBE"/>
    <w:rsid w:val="00731420"/>
    <w:rsid w:val="0073146C"/>
    <w:rsid w:val="0073164F"/>
    <w:rsid w:val="00731F18"/>
    <w:rsid w:val="0073263F"/>
    <w:rsid w:val="00734841"/>
    <w:rsid w:val="00735686"/>
    <w:rsid w:val="007367F8"/>
    <w:rsid w:val="00736A18"/>
    <w:rsid w:val="00737259"/>
    <w:rsid w:val="007373EB"/>
    <w:rsid w:val="007374AA"/>
    <w:rsid w:val="00743806"/>
    <w:rsid w:val="007438B7"/>
    <w:rsid w:val="00745685"/>
    <w:rsid w:val="00747907"/>
    <w:rsid w:val="00747BA3"/>
    <w:rsid w:val="0075010C"/>
    <w:rsid w:val="007502F4"/>
    <w:rsid w:val="00750394"/>
    <w:rsid w:val="00752510"/>
    <w:rsid w:val="00753C2D"/>
    <w:rsid w:val="00753CCD"/>
    <w:rsid w:val="0075518F"/>
    <w:rsid w:val="00755E9D"/>
    <w:rsid w:val="007562EC"/>
    <w:rsid w:val="00757A25"/>
    <w:rsid w:val="007613E4"/>
    <w:rsid w:val="00761E4A"/>
    <w:rsid w:val="0076467E"/>
    <w:rsid w:val="007650B5"/>
    <w:rsid w:val="00765C64"/>
    <w:rsid w:val="00767005"/>
    <w:rsid w:val="00770954"/>
    <w:rsid w:val="00770E18"/>
    <w:rsid w:val="00770EB9"/>
    <w:rsid w:val="0077172E"/>
    <w:rsid w:val="00774511"/>
    <w:rsid w:val="007763CD"/>
    <w:rsid w:val="00777408"/>
    <w:rsid w:val="00780E5E"/>
    <w:rsid w:val="007819FD"/>
    <w:rsid w:val="00782CB0"/>
    <w:rsid w:val="0078477D"/>
    <w:rsid w:val="00784EE3"/>
    <w:rsid w:val="00785CB9"/>
    <w:rsid w:val="0078768B"/>
    <w:rsid w:val="007877C1"/>
    <w:rsid w:val="007908FE"/>
    <w:rsid w:val="007928DB"/>
    <w:rsid w:val="00794C05"/>
    <w:rsid w:val="007955DB"/>
    <w:rsid w:val="007976EB"/>
    <w:rsid w:val="007A0208"/>
    <w:rsid w:val="007A04CE"/>
    <w:rsid w:val="007A18AC"/>
    <w:rsid w:val="007A2EA1"/>
    <w:rsid w:val="007A3D90"/>
    <w:rsid w:val="007A3E13"/>
    <w:rsid w:val="007A7434"/>
    <w:rsid w:val="007A7C83"/>
    <w:rsid w:val="007B0B11"/>
    <w:rsid w:val="007B231B"/>
    <w:rsid w:val="007B5B64"/>
    <w:rsid w:val="007B5D7D"/>
    <w:rsid w:val="007C3787"/>
    <w:rsid w:val="007C4C26"/>
    <w:rsid w:val="007C5E8A"/>
    <w:rsid w:val="007C6DBD"/>
    <w:rsid w:val="007D0E63"/>
    <w:rsid w:val="007D2C81"/>
    <w:rsid w:val="007D39BC"/>
    <w:rsid w:val="007E0D98"/>
    <w:rsid w:val="007E29F3"/>
    <w:rsid w:val="007E32F6"/>
    <w:rsid w:val="007E4247"/>
    <w:rsid w:val="007E46F5"/>
    <w:rsid w:val="007E54E6"/>
    <w:rsid w:val="007E726C"/>
    <w:rsid w:val="007E7D39"/>
    <w:rsid w:val="007F2E26"/>
    <w:rsid w:val="007F3107"/>
    <w:rsid w:val="007F36E0"/>
    <w:rsid w:val="007F39EE"/>
    <w:rsid w:val="007F4B3E"/>
    <w:rsid w:val="007F518F"/>
    <w:rsid w:val="007F626E"/>
    <w:rsid w:val="00804F7B"/>
    <w:rsid w:val="00807219"/>
    <w:rsid w:val="00810B83"/>
    <w:rsid w:val="0081202E"/>
    <w:rsid w:val="0081375D"/>
    <w:rsid w:val="00815B70"/>
    <w:rsid w:val="00815CAF"/>
    <w:rsid w:val="00816571"/>
    <w:rsid w:val="008173E8"/>
    <w:rsid w:val="00817D64"/>
    <w:rsid w:val="00821DA9"/>
    <w:rsid w:val="008237EF"/>
    <w:rsid w:val="0082412B"/>
    <w:rsid w:val="00824B8A"/>
    <w:rsid w:val="00826E79"/>
    <w:rsid w:val="008276D1"/>
    <w:rsid w:val="0083174B"/>
    <w:rsid w:val="00833BF3"/>
    <w:rsid w:val="00834186"/>
    <w:rsid w:val="008342CB"/>
    <w:rsid w:val="00836BEE"/>
    <w:rsid w:val="00841074"/>
    <w:rsid w:val="008419E3"/>
    <w:rsid w:val="00841E27"/>
    <w:rsid w:val="00841E78"/>
    <w:rsid w:val="00843E81"/>
    <w:rsid w:val="00844E70"/>
    <w:rsid w:val="00845E61"/>
    <w:rsid w:val="008470E4"/>
    <w:rsid w:val="0085016E"/>
    <w:rsid w:val="008505BF"/>
    <w:rsid w:val="00850807"/>
    <w:rsid w:val="00851A8F"/>
    <w:rsid w:val="00852504"/>
    <w:rsid w:val="00856107"/>
    <w:rsid w:val="00857F87"/>
    <w:rsid w:val="00860361"/>
    <w:rsid w:val="00861E24"/>
    <w:rsid w:val="00861F60"/>
    <w:rsid w:val="00862BAC"/>
    <w:rsid w:val="00863002"/>
    <w:rsid w:val="008632D9"/>
    <w:rsid w:val="008632F0"/>
    <w:rsid w:val="008649B0"/>
    <w:rsid w:val="00866941"/>
    <w:rsid w:val="0087032E"/>
    <w:rsid w:val="008708D7"/>
    <w:rsid w:val="0087115A"/>
    <w:rsid w:val="00872147"/>
    <w:rsid w:val="00874A7E"/>
    <w:rsid w:val="008770D8"/>
    <w:rsid w:val="008805E8"/>
    <w:rsid w:val="00880C3C"/>
    <w:rsid w:val="008811A8"/>
    <w:rsid w:val="00881292"/>
    <w:rsid w:val="008813D8"/>
    <w:rsid w:val="008834E6"/>
    <w:rsid w:val="00883EBB"/>
    <w:rsid w:val="0088435A"/>
    <w:rsid w:val="00891922"/>
    <w:rsid w:val="00892064"/>
    <w:rsid w:val="0089329D"/>
    <w:rsid w:val="008951B8"/>
    <w:rsid w:val="00897CEA"/>
    <w:rsid w:val="008A02ED"/>
    <w:rsid w:val="008A0D90"/>
    <w:rsid w:val="008A1454"/>
    <w:rsid w:val="008A1C2E"/>
    <w:rsid w:val="008A4B56"/>
    <w:rsid w:val="008A4C8F"/>
    <w:rsid w:val="008A5F7F"/>
    <w:rsid w:val="008A7B1D"/>
    <w:rsid w:val="008B13A2"/>
    <w:rsid w:val="008B2836"/>
    <w:rsid w:val="008B73FD"/>
    <w:rsid w:val="008C0154"/>
    <w:rsid w:val="008C29E7"/>
    <w:rsid w:val="008C2D6F"/>
    <w:rsid w:val="008C3589"/>
    <w:rsid w:val="008C6C0A"/>
    <w:rsid w:val="008D0D89"/>
    <w:rsid w:val="008D106D"/>
    <w:rsid w:val="008D39EB"/>
    <w:rsid w:val="008D5C95"/>
    <w:rsid w:val="008D6780"/>
    <w:rsid w:val="008D7D41"/>
    <w:rsid w:val="008E1EF9"/>
    <w:rsid w:val="008E2B57"/>
    <w:rsid w:val="008E4835"/>
    <w:rsid w:val="008E7AE8"/>
    <w:rsid w:val="008F144F"/>
    <w:rsid w:val="008F2505"/>
    <w:rsid w:val="008F4634"/>
    <w:rsid w:val="008F4CBA"/>
    <w:rsid w:val="008F512D"/>
    <w:rsid w:val="008F589D"/>
    <w:rsid w:val="008F755F"/>
    <w:rsid w:val="00900A7D"/>
    <w:rsid w:val="00900DA8"/>
    <w:rsid w:val="00901AD8"/>
    <w:rsid w:val="00904D1E"/>
    <w:rsid w:val="00906714"/>
    <w:rsid w:val="00906D78"/>
    <w:rsid w:val="00911413"/>
    <w:rsid w:val="009123D3"/>
    <w:rsid w:val="00915BC4"/>
    <w:rsid w:val="00915FED"/>
    <w:rsid w:val="00916224"/>
    <w:rsid w:val="00916AF0"/>
    <w:rsid w:val="00916ECA"/>
    <w:rsid w:val="009204C7"/>
    <w:rsid w:val="0092158D"/>
    <w:rsid w:val="009215AD"/>
    <w:rsid w:val="009225A9"/>
    <w:rsid w:val="009230CD"/>
    <w:rsid w:val="00923120"/>
    <w:rsid w:val="00923E4F"/>
    <w:rsid w:val="00924050"/>
    <w:rsid w:val="009258D6"/>
    <w:rsid w:val="00925E1A"/>
    <w:rsid w:val="009302BF"/>
    <w:rsid w:val="009306D8"/>
    <w:rsid w:val="00930720"/>
    <w:rsid w:val="00930744"/>
    <w:rsid w:val="00930EDD"/>
    <w:rsid w:val="00934350"/>
    <w:rsid w:val="00941A4F"/>
    <w:rsid w:val="00943B0E"/>
    <w:rsid w:val="0094785F"/>
    <w:rsid w:val="00951178"/>
    <w:rsid w:val="00952876"/>
    <w:rsid w:val="00952F8F"/>
    <w:rsid w:val="00953D0C"/>
    <w:rsid w:val="00955733"/>
    <w:rsid w:val="00956335"/>
    <w:rsid w:val="009613AA"/>
    <w:rsid w:val="00961698"/>
    <w:rsid w:val="00962EB1"/>
    <w:rsid w:val="00963676"/>
    <w:rsid w:val="00963EE3"/>
    <w:rsid w:val="00971E4D"/>
    <w:rsid w:val="00973327"/>
    <w:rsid w:val="009777D4"/>
    <w:rsid w:val="00980386"/>
    <w:rsid w:val="00980C95"/>
    <w:rsid w:val="00980E10"/>
    <w:rsid w:val="00983508"/>
    <w:rsid w:val="00983D9B"/>
    <w:rsid w:val="009856DA"/>
    <w:rsid w:val="009863B5"/>
    <w:rsid w:val="009878A8"/>
    <w:rsid w:val="00991852"/>
    <w:rsid w:val="009927C3"/>
    <w:rsid w:val="009929BD"/>
    <w:rsid w:val="00994969"/>
    <w:rsid w:val="00997341"/>
    <w:rsid w:val="009A00F7"/>
    <w:rsid w:val="009A4A98"/>
    <w:rsid w:val="009A4D9C"/>
    <w:rsid w:val="009A5B7A"/>
    <w:rsid w:val="009A5D3D"/>
    <w:rsid w:val="009A6423"/>
    <w:rsid w:val="009B0AF5"/>
    <w:rsid w:val="009C10C5"/>
    <w:rsid w:val="009C1D5B"/>
    <w:rsid w:val="009C3270"/>
    <w:rsid w:val="009C3401"/>
    <w:rsid w:val="009C3B8A"/>
    <w:rsid w:val="009C3BF5"/>
    <w:rsid w:val="009D10B2"/>
    <w:rsid w:val="009D3CAE"/>
    <w:rsid w:val="009D5274"/>
    <w:rsid w:val="009D5D2B"/>
    <w:rsid w:val="009D5E91"/>
    <w:rsid w:val="009D6C90"/>
    <w:rsid w:val="009D7C51"/>
    <w:rsid w:val="009E2040"/>
    <w:rsid w:val="009E3289"/>
    <w:rsid w:val="009E55B6"/>
    <w:rsid w:val="009E72FC"/>
    <w:rsid w:val="009F06F5"/>
    <w:rsid w:val="009F0B44"/>
    <w:rsid w:val="009F0C3E"/>
    <w:rsid w:val="009F2E82"/>
    <w:rsid w:val="009F47B8"/>
    <w:rsid w:val="009F6793"/>
    <w:rsid w:val="009F680C"/>
    <w:rsid w:val="009F704F"/>
    <w:rsid w:val="009F73CE"/>
    <w:rsid w:val="009F7731"/>
    <w:rsid w:val="00A00932"/>
    <w:rsid w:val="00A02624"/>
    <w:rsid w:val="00A054EE"/>
    <w:rsid w:val="00A055E7"/>
    <w:rsid w:val="00A05612"/>
    <w:rsid w:val="00A12AEE"/>
    <w:rsid w:val="00A1448A"/>
    <w:rsid w:val="00A14818"/>
    <w:rsid w:val="00A200E4"/>
    <w:rsid w:val="00A21937"/>
    <w:rsid w:val="00A21ABA"/>
    <w:rsid w:val="00A21D19"/>
    <w:rsid w:val="00A21F24"/>
    <w:rsid w:val="00A2404A"/>
    <w:rsid w:val="00A269ED"/>
    <w:rsid w:val="00A26A0F"/>
    <w:rsid w:val="00A26A13"/>
    <w:rsid w:val="00A274F5"/>
    <w:rsid w:val="00A3380D"/>
    <w:rsid w:val="00A33F77"/>
    <w:rsid w:val="00A35095"/>
    <w:rsid w:val="00A36820"/>
    <w:rsid w:val="00A37BA5"/>
    <w:rsid w:val="00A408FE"/>
    <w:rsid w:val="00A40C25"/>
    <w:rsid w:val="00A41B08"/>
    <w:rsid w:val="00A41F6B"/>
    <w:rsid w:val="00A424E4"/>
    <w:rsid w:val="00A4468B"/>
    <w:rsid w:val="00A44B05"/>
    <w:rsid w:val="00A46737"/>
    <w:rsid w:val="00A4752F"/>
    <w:rsid w:val="00A52A20"/>
    <w:rsid w:val="00A539C3"/>
    <w:rsid w:val="00A54646"/>
    <w:rsid w:val="00A54A10"/>
    <w:rsid w:val="00A56F81"/>
    <w:rsid w:val="00A61CB1"/>
    <w:rsid w:val="00A64663"/>
    <w:rsid w:val="00A64EA7"/>
    <w:rsid w:val="00A668DF"/>
    <w:rsid w:val="00A66AAB"/>
    <w:rsid w:val="00A67954"/>
    <w:rsid w:val="00A7054D"/>
    <w:rsid w:val="00A71F5A"/>
    <w:rsid w:val="00A742BE"/>
    <w:rsid w:val="00A743CC"/>
    <w:rsid w:val="00A748A0"/>
    <w:rsid w:val="00A76AD3"/>
    <w:rsid w:val="00A76AFA"/>
    <w:rsid w:val="00A778C5"/>
    <w:rsid w:val="00A778EF"/>
    <w:rsid w:val="00A81790"/>
    <w:rsid w:val="00A8244A"/>
    <w:rsid w:val="00A84582"/>
    <w:rsid w:val="00A859FC"/>
    <w:rsid w:val="00A86490"/>
    <w:rsid w:val="00A86A1C"/>
    <w:rsid w:val="00A9697B"/>
    <w:rsid w:val="00A96A54"/>
    <w:rsid w:val="00AA1FD0"/>
    <w:rsid w:val="00AA2794"/>
    <w:rsid w:val="00AA3502"/>
    <w:rsid w:val="00AA3CD0"/>
    <w:rsid w:val="00AA7446"/>
    <w:rsid w:val="00AB025F"/>
    <w:rsid w:val="00AB3026"/>
    <w:rsid w:val="00AB32FB"/>
    <w:rsid w:val="00AB3760"/>
    <w:rsid w:val="00AB3ABF"/>
    <w:rsid w:val="00AB4B3D"/>
    <w:rsid w:val="00AB52BB"/>
    <w:rsid w:val="00AB5631"/>
    <w:rsid w:val="00AB5859"/>
    <w:rsid w:val="00AB7F65"/>
    <w:rsid w:val="00AC0079"/>
    <w:rsid w:val="00AC1C7B"/>
    <w:rsid w:val="00AC252E"/>
    <w:rsid w:val="00AC2D38"/>
    <w:rsid w:val="00AC438F"/>
    <w:rsid w:val="00AC643E"/>
    <w:rsid w:val="00AC6FE7"/>
    <w:rsid w:val="00AC725C"/>
    <w:rsid w:val="00AC7624"/>
    <w:rsid w:val="00AD0222"/>
    <w:rsid w:val="00AD0E7A"/>
    <w:rsid w:val="00AD34E0"/>
    <w:rsid w:val="00AD3CC0"/>
    <w:rsid w:val="00AD561C"/>
    <w:rsid w:val="00AD6B57"/>
    <w:rsid w:val="00AD7693"/>
    <w:rsid w:val="00AE371A"/>
    <w:rsid w:val="00AE4316"/>
    <w:rsid w:val="00AE4D48"/>
    <w:rsid w:val="00AE5B24"/>
    <w:rsid w:val="00AF0FB7"/>
    <w:rsid w:val="00AF129C"/>
    <w:rsid w:val="00AF20CB"/>
    <w:rsid w:val="00AF6C3E"/>
    <w:rsid w:val="00B00036"/>
    <w:rsid w:val="00B03D01"/>
    <w:rsid w:val="00B0456E"/>
    <w:rsid w:val="00B04F7F"/>
    <w:rsid w:val="00B05547"/>
    <w:rsid w:val="00B05C1C"/>
    <w:rsid w:val="00B0653F"/>
    <w:rsid w:val="00B06710"/>
    <w:rsid w:val="00B07389"/>
    <w:rsid w:val="00B07CAC"/>
    <w:rsid w:val="00B10910"/>
    <w:rsid w:val="00B23DBB"/>
    <w:rsid w:val="00B26073"/>
    <w:rsid w:val="00B27D01"/>
    <w:rsid w:val="00B31544"/>
    <w:rsid w:val="00B318B5"/>
    <w:rsid w:val="00B31AE6"/>
    <w:rsid w:val="00B3202E"/>
    <w:rsid w:val="00B322A3"/>
    <w:rsid w:val="00B35123"/>
    <w:rsid w:val="00B3534F"/>
    <w:rsid w:val="00B35610"/>
    <w:rsid w:val="00B361A9"/>
    <w:rsid w:val="00B40F85"/>
    <w:rsid w:val="00B4108B"/>
    <w:rsid w:val="00B4413F"/>
    <w:rsid w:val="00B50943"/>
    <w:rsid w:val="00B51605"/>
    <w:rsid w:val="00B51DF2"/>
    <w:rsid w:val="00B523EE"/>
    <w:rsid w:val="00B53831"/>
    <w:rsid w:val="00B53C31"/>
    <w:rsid w:val="00B54E57"/>
    <w:rsid w:val="00B57C6B"/>
    <w:rsid w:val="00B600B2"/>
    <w:rsid w:val="00B60441"/>
    <w:rsid w:val="00B6056B"/>
    <w:rsid w:val="00B615B5"/>
    <w:rsid w:val="00B63743"/>
    <w:rsid w:val="00B6480E"/>
    <w:rsid w:val="00B671AC"/>
    <w:rsid w:val="00B71048"/>
    <w:rsid w:val="00B7147A"/>
    <w:rsid w:val="00B71CC8"/>
    <w:rsid w:val="00B71F8E"/>
    <w:rsid w:val="00B7347D"/>
    <w:rsid w:val="00B76B67"/>
    <w:rsid w:val="00B76D35"/>
    <w:rsid w:val="00B7745B"/>
    <w:rsid w:val="00B8119F"/>
    <w:rsid w:val="00B81E17"/>
    <w:rsid w:val="00B81E49"/>
    <w:rsid w:val="00B86754"/>
    <w:rsid w:val="00B90686"/>
    <w:rsid w:val="00B92EED"/>
    <w:rsid w:val="00B95580"/>
    <w:rsid w:val="00B96104"/>
    <w:rsid w:val="00BA1540"/>
    <w:rsid w:val="00BA1868"/>
    <w:rsid w:val="00BB0003"/>
    <w:rsid w:val="00BB17B5"/>
    <w:rsid w:val="00BB2F97"/>
    <w:rsid w:val="00BB2FF8"/>
    <w:rsid w:val="00BB3272"/>
    <w:rsid w:val="00BB63E1"/>
    <w:rsid w:val="00BC1082"/>
    <w:rsid w:val="00BC1547"/>
    <w:rsid w:val="00BC2175"/>
    <w:rsid w:val="00BC3B15"/>
    <w:rsid w:val="00BC3D0C"/>
    <w:rsid w:val="00BC61A8"/>
    <w:rsid w:val="00BC6E64"/>
    <w:rsid w:val="00BC7B5A"/>
    <w:rsid w:val="00BD0F7D"/>
    <w:rsid w:val="00BD2188"/>
    <w:rsid w:val="00BD26B0"/>
    <w:rsid w:val="00BD332C"/>
    <w:rsid w:val="00BD3DE8"/>
    <w:rsid w:val="00BD3E06"/>
    <w:rsid w:val="00BD3E4E"/>
    <w:rsid w:val="00BD4401"/>
    <w:rsid w:val="00BD5182"/>
    <w:rsid w:val="00BD61E1"/>
    <w:rsid w:val="00BD6622"/>
    <w:rsid w:val="00BD733A"/>
    <w:rsid w:val="00BD74AD"/>
    <w:rsid w:val="00BD7D99"/>
    <w:rsid w:val="00BE0A26"/>
    <w:rsid w:val="00BE2D27"/>
    <w:rsid w:val="00BE4518"/>
    <w:rsid w:val="00BE5648"/>
    <w:rsid w:val="00BE6A2B"/>
    <w:rsid w:val="00BE7697"/>
    <w:rsid w:val="00BE7E15"/>
    <w:rsid w:val="00BF0DFD"/>
    <w:rsid w:val="00BF4376"/>
    <w:rsid w:val="00BF45F5"/>
    <w:rsid w:val="00BF5027"/>
    <w:rsid w:val="00BF6C85"/>
    <w:rsid w:val="00BF7394"/>
    <w:rsid w:val="00C0065D"/>
    <w:rsid w:val="00C02765"/>
    <w:rsid w:val="00C05C17"/>
    <w:rsid w:val="00C05EC3"/>
    <w:rsid w:val="00C07F39"/>
    <w:rsid w:val="00C10D71"/>
    <w:rsid w:val="00C1228D"/>
    <w:rsid w:val="00C1641A"/>
    <w:rsid w:val="00C2098D"/>
    <w:rsid w:val="00C22C4B"/>
    <w:rsid w:val="00C23CBF"/>
    <w:rsid w:val="00C248B3"/>
    <w:rsid w:val="00C255D1"/>
    <w:rsid w:val="00C25E3F"/>
    <w:rsid w:val="00C27AE5"/>
    <w:rsid w:val="00C30219"/>
    <w:rsid w:val="00C314B8"/>
    <w:rsid w:val="00C333EB"/>
    <w:rsid w:val="00C33CCA"/>
    <w:rsid w:val="00C33D29"/>
    <w:rsid w:val="00C35A2A"/>
    <w:rsid w:val="00C3625C"/>
    <w:rsid w:val="00C365A1"/>
    <w:rsid w:val="00C41D2F"/>
    <w:rsid w:val="00C420E1"/>
    <w:rsid w:val="00C43AFD"/>
    <w:rsid w:val="00C43FB5"/>
    <w:rsid w:val="00C441CC"/>
    <w:rsid w:val="00C44422"/>
    <w:rsid w:val="00C45760"/>
    <w:rsid w:val="00C4702E"/>
    <w:rsid w:val="00C504DF"/>
    <w:rsid w:val="00C50751"/>
    <w:rsid w:val="00C518F0"/>
    <w:rsid w:val="00C51C71"/>
    <w:rsid w:val="00C5277B"/>
    <w:rsid w:val="00C53D99"/>
    <w:rsid w:val="00C540F7"/>
    <w:rsid w:val="00C55A74"/>
    <w:rsid w:val="00C56F53"/>
    <w:rsid w:val="00C604DD"/>
    <w:rsid w:val="00C60CD7"/>
    <w:rsid w:val="00C61842"/>
    <w:rsid w:val="00C62522"/>
    <w:rsid w:val="00C63570"/>
    <w:rsid w:val="00C65BE0"/>
    <w:rsid w:val="00C66E47"/>
    <w:rsid w:val="00C706DD"/>
    <w:rsid w:val="00C726A0"/>
    <w:rsid w:val="00C74BBF"/>
    <w:rsid w:val="00C7609F"/>
    <w:rsid w:val="00C813B4"/>
    <w:rsid w:val="00C82206"/>
    <w:rsid w:val="00C8298E"/>
    <w:rsid w:val="00C83AD4"/>
    <w:rsid w:val="00C861F8"/>
    <w:rsid w:val="00C8757A"/>
    <w:rsid w:val="00C878B5"/>
    <w:rsid w:val="00C87F89"/>
    <w:rsid w:val="00C923A0"/>
    <w:rsid w:val="00C92E02"/>
    <w:rsid w:val="00C93D7C"/>
    <w:rsid w:val="00CA05AF"/>
    <w:rsid w:val="00CA121D"/>
    <w:rsid w:val="00CA22B0"/>
    <w:rsid w:val="00CA268C"/>
    <w:rsid w:val="00CA2981"/>
    <w:rsid w:val="00CA2D6C"/>
    <w:rsid w:val="00CA3A3F"/>
    <w:rsid w:val="00CA3C5C"/>
    <w:rsid w:val="00CA5438"/>
    <w:rsid w:val="00CA59A6"/>
    <w:rsid w:val="00CA676E"/>
    <w:rsid w:val="00CA7070"/>
    <w:rsid w:val="00CB1A0D"/>
    <w:rsid w:val="00CB3607"/>
    <w:rsid w:val="00CB721B"/>
    <w:rsid w:val="00CB7680"/>
    <w:rsid w:val="00CC0335"/>
    <w:rsid w:val="00CC0D68"/>
    <w:rsid w:val="00CC1A64"/>
    <w:rsid w:val="00CC1AA4"/>
    <w:rsid w:val="00CC383C"/>
    <w:rsid w:val="00CC38ED"/>
    <w:rsid w:val="00CC448D"/>
    <w:rsid w:val="00CC5149"/>
    <w:rsid w:val="00CD08E2"/>
    <w:rsid w:val="00CD1046"/>
    <w:rsid w:val="00CD4631"/>
    <w:rsid w:val="00CD5E6B"/>
    <w:rsid w:val="00CD625F"/>
    <w:rsid w:val="00CD68B1"/>
    <w:rsid w:val="00CD6B27"/>
    <w:rsid w:val="00CE0379"/>
    <w:rsid w:val="00CE1FC1"/>
    <w:rsid w:val="00CE2C71"/>
    <w:rsid w:val="00CE3722"/>
    <w:rsid w:val="00CE42DA"/>
    <w:rsid w:val="00CE4373"/>
    <w:rsid w:val="00CE5E28"/>
    <w:rsid w:val="00CE7026"/>
    <w:rsid w:val="00CF0C05"/>
    <w:rsid w:val="00CF2C13"/>
    <w:rsid w:val="00CF3E85"/>
    <w:rsid w:val="00CF528A"/>
    <w:rsid w:val="00D0349E"/>
    <w:rsid w:val="00D03879"/>
    <w:rsid w:val="00D059CD"/>
    <w:rsid w:val="00D07A1C"/>
    <w:rsid w:val="00D11401"/>
    <w:rsid w:val="00D1173D"/>
    <w:rsid w:val="00D11B5C"/>
    <w:rsid w:val="00D13222"/>
    <w:rsid w:val="00D14D1C"/>
    <w:rsid w:val="00D165C1"/>
    <w:rsid w:val="00D16C37"/>
    <w:rsid w:val="00D173A8"/>
    <w:rsid w:val="00D21F45"/>
    <w:rsid w:val="00D22BEE"/>
    <w:rsid w:val="00D22FD0"/>
    <w:rsid w:val="00D23087"/>
    <w:rsid w:val="00D24BE4"/>
    <w:rsid w:val="00D25F6F"/>
    <w:rsid w:val="00D30D9E"/>
    <w:rsid w:val="00D33321"/>
    <w:rsid w:val="00D3596C"/>
    <w:rsid w:val="00D368A0"/>
    <w:rsid w:val="00D37D98"/>
    <w:rsid w:val="00D4478E"/>
    <w:rsid w:val="00D448D2"/>
    <w:rsid w:val="00D514C8"/>
    <w:rsid w:val="00D51B75"/>
    <w:rsid w:val="00D525CB"/>
    <w:rsid w:val="00D54050"/>
    <w:rsid w:val="00D54FA2"/>
    <w:rsid w:val="00D56049"/>
    <w:rsid w:val="00D565FE"/>
    <w:rsid w:val="00D61C58"/>
    <w:rsid w:val="00D642A2"/>
    <w:rsid w:val="00D67D43"/>
    <w:rsid w:val="00D70526"/>
    <w:rsid w:val="00D7287C"/>
    <w:rsid w:val="00D729EF"/>
    <w:rsid w:val="00D75CD9"/>
    <w:rsid w:val="00D760C0"/>
    <w:rsid w:val="00D76204"/>
    <w:rsid w:val="00D770CB"/>
    <w:rsid w:val="00D7754B"/>
    <w:rsid w:val="00D81272"/>
    <w:rsid w:val="00D81EC7"/>
    <w:rsid w:val="00D82231"/>
    <w:rsid w:val="00D82B03"/>
    <w:rsid w:val="00D82F99"/>
    <w:rsid w:val="00D83174"/>
    <w:rsid w:val="00D83A83"/>
    <w:rsid w:val="00D8415E"/>
    <w:rsid w:val="00D841E5"/>
    <w:rsid w:val="00D90F32"/>
    <w:rsid w:val="00D91195"/>
    <w:rsid w:val="00D925FB"/>
    <w:rsid w:val="00D9288B"/>
    <w:rsid w:val="00D929B4"/>
    <w:rsid w:val="00D95BEA"/>
    <w:rsid w:val="00DA1224"/>
    <w:rsid w:val="00DA1E28"/>
    <w:rsid w:val="00DA1F32"/>
    <w:rsid w:val="00DA29C8"/>
    <w:rsid w:val="00DA376C"/>
    <w:rsid w:val="00DA5999"/>
    <w:rsid w:val="00DA5C99"/>
    <w:rsid w:val="00DA5FC1"/>
    <w:rsid w:val="00DB03D3"/>
    <w:rsid w:val="00DB135E"/>
    <w:rsid w:val="00DB2CE8"/>
    <w:rsid w:val="00DB3029"/>
    <w:rsid w:val="00DB42AA"/>
    <w:rsid w:val="00DB4DBA"/>
    <w:rsid w:val="00DB53B1"/>
    <w:rsid w:val="00DB5533"/>
    <w:rsid w:val="00DB571C"/>
    <w:rsid w:val="00DC01BC"/>
    <w:rsid w:val="00DC2E36"/>
    <w:rsid w:val="00DC447C"/>
    <w:rsid w:val="00DC4FF7"/>
    <w:rsid w:val="00DC5E5D"/>
    <w:rsid w:val="00DD1B64"/>
    <w:rsid w:val="00DD40AA"/>
    <w:rsid w:val="00DD4FBC"/>
    <w:rsid w:val="00DD5039"/>
    <w:rsid w:val="00DD642F"/>
    <w:rsid w:val="00DE00F9"/>
    <w:rsid w:val="00DE0CB5"/>
    <w:rsid w:val="00DE2ED6"/>
    <w:rsid w:val="00DF0C31"/>
    <w:rsid w:val="00DF0FEA"/>
    <w:rsid w:val="00DF3075"/>
    <w:rsid w:val="00DF4EE1"/>
    <w:rsid w:val="00DF6C7C"/>
    <w:rsid w:val="00DF7C5D"/>
    <w:rsid w:val="00E01F68"/>
    <w:rsid w:val="00E043D5"/>
    <w:rsid w:val="00E130C5"/>
    <w:rsid w:val="00E14BB2"/>
    <w:rsid w:val="00E17F53"/>
    <w:rsid w:val="00E221EB"/>
    <w:rsid w:val="00E221F7"/>
    <w:rsid w:val="00E23607"/>
    <w:rsid w:val="00E26644"/>
    <w:rsid w:val="00E267BF"/>
    <w:rsid w:val="00E31A9C"/>
    <w:rsid w:val="00E3208E"/>
    <w:rsid w:val="00E320D1"/>
    <w:rsid w:val="00E32C1B"/>
    <w:rsid w:val="00E3414D"/>
    <w:rsid w:val="00E35590"/>
    <w:rsid w:val="00E36D41"/>
    <w:rsid w:val="00E3729E"/>
    <w:rsid w:val="00E37319"/>
    <w:rsid w:val="00E37E1B"/>
    <w:rsid w:val="00E405F6"/>
    <w:rsid w:val="00E47D4A"/>
    <w:rsid w:val="00E47E0C"/>
    <w:rsid w:val="00E52E6C"/>
    <w:rsid w:val="00E52FFC"/>
    <w:rsid w:val="00E53801"/>
    <w:rsid w:val="00E602C2"/>
    <w:rsid w:val="00E62A3D"/>
    <w:rsid w:val="00E664F2"/>
    <w:rsid w:val="00E6667D"/>
    <w:rsid w:val="00E667D5"/>
    <w:rsid w:val="00E66D69"/>
    <w:rsid w:val="00E6757E"/>
    <w:rsid w:val="00E7283B"/>
    <w:rsid w:val="00E73213"/>
    <w:rsid w:val="00E7481E"/>
    <w:rsid w:val="00E764F4"/>
    <w:rsid w:val="00E777EE"/>
    <w:rsid w:val="00E82D75"/>
    <w:rsid w:val="00E83AFE"/>
    <w:rsid w:val="00E83C36"/>
    <w:rsid w:val="00E842C8"/>
    <w:rsid w:val="00E84A31"/>
    <w:rsid w:val="00E85ACF"/>
    <w:rsid w:val="00E86F17"/>
    <w:rsid w:val="00E8748A"/>
    <w:rsid w:val="00E9201C"/>
    <w:rsid w:val="00E9244A"/>
    <w:rsid w:val="00E92EAD"/>
    <w:rsid w:val="00E932FA"/>
    <w:rsid w:val="00E93D85"/>
    <w:rsid w:val="00E9597B"/>
    <w:rsid w:val="00E97AC9"/>
    <w:rsid w:val="00EA11CC"/>
    <w:rsid w:val="00EA1BD3"/>
    <w:rsid w:val="00EA4656"/>
    <w:rsid w:val="00EB1A4F"/>
    <w:rsid w:val="00EB1D10"/>
    <w:rsid w:val="00EB3026"/>
    <w:rsid w:val="00EB5299"/>
    <w:rsid w:val="00EB5D07"/>
    <w:rsid w:val="00EB6547"/>
    <w:rsid w:val="00EB7130"/>
    <w:rsid w:val="00EC03D5"/>
    <w:rsid w:val="00EC1B60"/>
    <w:rsid w:val="00EC2D01"/>
    <w:rsid w:val="00EC3EF7"/>
    <w:rsid w:val="00EC5CB6"/>
    <w:rsid w:val="00EC5E50"/>
    <w:rsid w:val="00EC6330"/>
    <w:rsid w:val="00ED2564"/>
    <w:rsid w:val="00ED384D"/>
    <w:rsid w:val="00ED497E"/>
    <w:rsid w:val="00ED6DC3"/>
    <w:rsid w:val="00EE1552"/>
    <w:rsid w:val="00EE28AC"/>
    <w:rsid w:val="00EE2BAC"/>
    <w:rsid w:val="00EE3014"/>
    <w:rsid w:val="00EE527A"/>
    <w:rsid w:val="00EE75E0"/>
    <w:rsid w:val="00EF0982"/>
    <w:rsid w:val="00EF4429"/>
    <w:rsid w:val="00EF4BF3"/>
    <w:rsid w:val="00EF62E3"/>
    <w:rsid w:val="00EF76DB"/>
    <w:rsid w:val="00F0034B"/>
    <w:rsid w:val="00F00439"/>
    <w:rsid w:val="00F006A0"/>
    <w:rsid w:val="00F00C88"/>
    <w:rsid w:val="00F01935"/>
    <w:rsid w:val="00F022A9"/>
    <w:rsid w:val="00F03B60"/>
    <w:rsid w:val="00F04D1E"/>
    <w:rsid w:val="00F053B0"/>
    <w:rsid w:val="00F06322"/>
    <w:rsid w:val="00F06C04"/>
    <w:rsid w:val="00F102AD"/>
    <w:rsid w:val="00F13E1D"/>
    <w:rsid w:val="00F153F8"/>
    <w:rsid w:val="00F16153"/>
    <w:rsid w:val="00F21CFB"/>
    <w:rsid w:val="00F21D43"/>
    <w:rsid w:val="00F22924"/>
    <w:rsid w:val="00F23557"/>
    <w:rsid w:val="00F23F41"/>
    <w:rsid w:val="00F24F5E"/>
    <w:rsid w:val="00F30DA5"/>
    <w:rsid w:val="00F314C8"/>
    <w:rsid w:val="00F32B03"/>
    <w:rsid w:val="00F3373E"/>
    <w:rsid w:val="00F33A28"/>
    <w:rsid w:val="00F3520F"/>
    <w:rsid w:val="00F4152B"/>
    <w:rsid w:val="00F41D46"/>
    <w:rsid w:val="00F4544E"/>
    <w:rsid w:val="00F46939"/>
    <w:rsid w:val="00F46A00"/>
    <w:rsid w:val="00F47F59"/>
    <w:rsid w:val="00F5145B"/>
    <w:rsid w:val="00F5499B"/>
    <w:rsid w:val="00F54CB8"/>
    <w:rsid w:val="00F564A9"/>
    <w:rsid w:val="00F61748"/>
    <w:rsid w:val="00F61B5D"/>
    <w:rsid w:val="00F62197"/>
    <w:rsid w:val="00F64F0D"/>
    <w:rsid w:val="00F71F87"/>
    <w:rsid w:val="00F7298D"/>
    <w:rsid w:val="00F73018"/>
    <w:rsid w:val="00F75200"/>
    <w:rsid w:val="00F7580C"/>
    <w:rsid w:val="00F81EF9"/>
    <w:rsid w:val="00F8241F"/>
    <w:rsid w:val="00F85E44"/>
    <w:rsid w:val="00F861A6"/>
    <w:rsid w:val="00F87DC1"/>
    <w:rsid w:val="00F87E4A"/>
    <w:rsid w:val="00F90A58"/>
    <w:rsid w:val="00F95E6F"/>
    <w:rsid w:val="00F96A19"/>
    <w:rsid w:val="00F97932"/>
    <w:rsid w:val="00F97E37"/>
    <w:rsid w:val="00FA1091"/>
    <w:rsid w:val="00FA1D8B"/>
    <w:rsid w:val="00FA279F"/>
    <w:rsid w:val="00FA44A6"/>
    <w:rsid w:val="00FA5BB4"/>
    <w:rsid w:val="00FA762F"/>
    <w:rsid w:val="00FB1D91"/>
    <w:rsid w:val="00FB4E77"/>
    <w:rsid w:val="00FB5565"/>
    <w:rsid w:val="00FB6713"/>
    <w:rsid w:val="00FB7DAA"/>
    <w:rsid w:val="00FC005E"/>
    <w:rsid w:val="00FC7227"/>
    <w:rsid w:val="00FC72DD"/>
    <w:rsid w:val="00FD02C5"/>
    <w:rsid w:val="00FD21EF"/>
    <w:rsid w:val="00FD6C31"/>
    <w:rsid w:val="00FE25F8"/>
    <w:rsid w:val="00FE2E2E"/>
    <w:rsid w:val="00FE3957"/>
    <w:rsid w:val="00FE4753"/>
    <w:rsid w:val="00FE4A3F"/>
    <w:rsid w:val="00FE5B5A"/>
    <w:rsid w:val="00FE6149"/>
    <w:rsid w:val="00FE66E1"/>
    <w:rsid w:val="00FF0054"/>
    <w:rsid w:val="00FF14A0"/>
    <w:rsid w:val="00FF3DC0"/>
    <w:rsid w:val="00FF4222"/>
    <w:rsid w:val="00FF4EB6"/>
    <w:rsid w:val="00FF5809"/>
    <w:rsid w:val="00FF743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5FE"/>
    <w:pPr>
      <w:spacing w:after="60"/>
    </w:pPr>
    <w:rPr>
      <w:rFonts w:ascii="Arial" w:hAnsi="Arial" w:cs="Arial"/>
      <w:bCs/>
      <w:sz w:val="22"/>
      <w:szCs w:val="22"/>
      <w:lang w:eastAsia="en-US"/>
    </w:rPr>
  </w:style>
  <w:style w:type="paragraph" w:styleId="Heading1">
    <w:name w:val="heading 1"/>
    <w:basedOn w:val="Normal"/>
    <w:next w:val="Normal"/>
    <w:qFormat/>
    <w:rsid w:val="00377E73"/>
    <w:pPr>
      <w:keepNext/>
      <w:outlineLvl w:val="0"/>
    </w:pPr>
    <w:rPr>
      <w:caps/>
      <w:kern w:val="32"/>
      <w:szCs w:val="32"/>
    </w:rPr>
  </w:style>
  <w:style w:type="paragraph" w:styleId="Heading2">
    <w:name w:val="heading 2"/>
    <w:basedOn w:val="Heading"/>
    <w:next w:val="Normal"/>
    <w:qFormat/>
    <w:rsid w:val="00D565FE"/>
    <w:pPr>
      <w:spacing w:before="360" w:after="0"/>
      <w:outlineLvl w:val="1"/>
    </w:pPr>
  </w:style>
  <w:style w:type="paragraph" w:styleId="Heading3">
    <w:name w:val="heading 3"/>
    <w:basedOn w:val="Subheading"/>
    <w:next w:val="Normal"/>
    <w:qFormat/>
    <w:rsid w:val="00F006A0"/>
    <w:pPr>
      <w:spacing w:before="100" w:beforeAutospacing="1" w:after="100" w:afterAutospacing="1"/>
      <w:outlineLvl w:val="2"/>
    </w:pPr>
  </w:style>
  <w:style w:type="paragraph" w:styleId="Heading4">
    <w:name w:val="heading 4"/>
    <w:basedOn w:val="Normal"/>
    <w:next w:val="Normal"/>
    <w:qFormat/>
    <w:rsid w:val="002B4359"/>
    <w:pPr>
      <w:spacing w:before="100" w:beforeAutospacing="1"/>
      <w:outlineLvl w:val="3"/>
    </w:pPr>
    <w:rPr>
      <w:rFonts w:cs="TimesNewRoman+1"/>
      <w:b/>
      <w:i/>
    </w:rPr>
  </w:style>
  <w:style w:type="paragraph" w:styleId="Heading5">
    <w:name w:val="heading 5"/>
    <w:basedOn w:val="Normal"/>
    <w:next w:val="Normal"/>
    <w:qFormat/>
    <w:rsid w:val="008C3589"/>
    <w:pPr>
      <w:spacing w:before="100" w:beforeAutospacing="1"/>
      <w:outlineLvl w:val="4"/>
    </w:pPr>
    <w:rPr>
      <w:rFonts w:eastAsia="MS Mincho"/>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rsid w:val="00D448D2"/>
    <w:pPr>
      <w:spacing w:after="30"/>
    </w:pPr>
    <w:rPr>
      <w:rFonts w:eastAsia="MS Mincho"/>
    </w:rPr>
  </w:style>
  <w:style w:type="paragraph" w:styleId="FootnoteText">
    <w:name w:val="footnote text"/>
    <w:basedOn w:val="Normal"/>
    <w:semiHidden/>
    <w:rsid w:val="00D448D2"/>
    <w:rPr>
      <w:sz w:val="20"/>
      <w:szCs w:val="20"/>
    </w:rPr>
  </w:style>
  <w:style w:type="paragraph" w:styleId="Header">
    <w:name w:val="header"/>
    <w:basedOn w:val="Normal"/>
    <w:rsid w:val="00844E70"/>
    <w:pPr>
      <w:tabs>
        <w:tab w:val="center" w:pos="4320"/>
        <w:tab w:val="right" w:pos="8640"/>
      </w:tabs>
    </w:pPr>
    <w:rPr>
      <w:sz w:val="18"/>
    </w:rPr>
  </w:style>
  <w:style w:type="paragraph" w:styleId="Footer">
    <w:name w:val="footer"/>
    <w:basedOn w:val="Normal"/>
    <w:rsid w:val="00844E70"/>
    <w:pPr>
      <w:tabs>
        <w:tab w:val="center" w:pos="4320"/>
        <w:tab w:val="right" w:pos="8640"/>
      </w:tabs>
      <w:spacing w:before="60" w:after="0"/>
    </w:pPr>
    <w:rPr>
      <w:sz w:val="18"/>
    </w:rPr>
  </w:style>
  <w:style w:type="character" w:styleId="PageNumber">
    <w:name w:val="page number"/>
    <w:basedOn w:val="DefaultParagraphFont"/>
    <w:rsid w:val="00F00439"/>
  </w:style>
  <w:style w:type="paragraph" w:customStyle="1" w:styleId="Heading">
    <w:name w:val="Heading"/>
    <w:basedOn w:val="Normal"/>
    <w:link w:val="HeadingChar"/>
    <w:rsid w:val="000C1AA2"/>
    <w:rPr>
      <w:b/>
      <w:caps/>
    </w:rPr>
  </w:style>
  <w:style w:type="paragraph" w:customStyle="1" w:styleId="Subheading">
    <w:name w:val="Subheading"/>
    <w:basedOn w:val="Normal"/>
    <w:rsid w:val="00A41F6B"/>
    <w:pPr>
      <w:keepNext/>
    </w:pPr>
    <w:rPr>
      <w:b/>
    </w:rPr>
  </w:style>
  <w:style w:type="character" w:styleId="CommentReference">
    <w:name w:val="annotation reference"/>
    <w:semiHidden/>
    <w:rsid w:val="00C60CD7"/>
    <w:rPr>
      <w:sz w:val="16"/>
      <w:szCs w:val="16"/>
    </w:rPr>
  </w:style>
  <w:style w:type="paragraph" w:styleId="CommentText">
    <w:name w:val="annotation text"/>
    <w:basedOn w:val="Normal"/>
    <w:link w:val="CommentTextChar"/>
    <w:semiHidden/>
    <w:rsid w:val="00C60CD7"/>
    <w:rPr>
      <w:rFonts w:cs="Times New Roman"/>
      <w:sz w:val="20"/>
      <w:szCs w:val="20"/>
    </w:rPr>
  </w:style>
  <w:style w:type="paragraph" w:styleId="CommentSubject">
    <w:name w:val="annotation subject"/>
    <w:basedOn w:val="CommentText"/>
    <w:next w:val="CommentText"/>
    <w:semiHidden/>
    <w:rsid w:val="00C60CD7"/>
    <w:rPr>
      <w:b/>
    </w:rPr>
  </w:style>
  <w:style w:type="paragraph" w:styleId="BalloonText">
    <w:name w:val="Balloon Text"/>
    <w:basedOn w:val="Normal"/>
    <w:semiHidden/>
    <w:rsid w:val="00C60CD7"/>
    <w:rPr>
      <w:rFonts w:ascii="Tahoma" w:hAnsi="Tahoma" w:cs="Tahoma"/>
      <w:sz w:val="16"/>
      <w:szCs w:val="16"/>
    </w:rPr>
  </w:style>
  <w:style w:type="paragraph" w:customStyle="1" w:styleId="SubSubSectionheading">
    <w:name w:val="SubSub Section heading"/>
    <w:basedOn w:val="Normal"/>
    <w:next w:val="Normal"/>
    <w:rsid w:val="00005850"/>
    <w:pPr>
      <w:keepNext/>
      <w:keepLines/>
      <w:overflowPunct w:val="0"/>
      <w:autoSpaceDE w:val="0"/>
      <w:autoSpaceDN w:val="0"/>
      <w:adjustRightInd w:val="0"/>
      <w:spacing w:after="0"/>
      <w:textAlignment w:val="baseline"/>
    </w:pPr>
    <w:rPr>
      <w:rFonts w:cs="Times New Roman"/>
      <w:bCs w:val="0"/>
      <w:i/>
      <w:sz w:val="20"/>
      <w:szCs w:val="20"/>
      <w:lang w:val="en-US"/>
    </w:rPr>
  </w:style>
  <w:style w:type="paragraph" w:customStyle="1" w:styleId="Body">
    <w:name w:val="Body"/>
    <w:basedOn w:val="Normal"/>
    <w:link w:val="BodyChar"/>
    <w:rsid w:val="00323CED"/>
    <w:pPr>
      <w:overflowPunct w:val="0"/>
      <w:autoSpaceDE w:val="0"/>
      <w:autoSpaceDN w:val="0"/>
      <w:adjustRightInd w:val="0"/>
      <w:spacing w:after="0"/>
      <w:ind w:firstLine="288"/>
      <w:jc w:val="both"/>
      <w:textAlignment w:val="baseline"/>
    </w:pPr>
    <w:rPr>
      <w:rFonts w:cs="Times New Roman"/>
      <w:bCs w:val="0"/>
      <w:sz w:val="20"/>
      <w:szCs w:val="20"/>
      <w:lang w:val="en-US"/>
    </w:rPr>
  </w:style>
  <w:style w:type="character" w:customStyle="1" w:styleId="BodyChar">
    <w:name w:val="Body Char"/>
    <w:link w:val="Body"/>
    <w:rsid w:val="00323CED"/>
    <w:rPr>
      <w:rFonts w:ascii="Arial" w:hAnsi="Arial"/>
      <w:lang w:val="en-US" w:eastAsia="en-US" w:bidi="ar-SA"/>
    </w:rPr>
  </w:style>
  <w:style w:type="paragraph" w:customStyle="1" w:styleId="SectionHeadings">
    <w:name w:val="Section Headings"/>
    <w:basedOn w:val="Normal"/>
    <w:next w:val="Body"/>
    <w:rsid w:val="00AC1C7B"/>
    <w:pPr>
      <w:keepNext/>
      <w:keepLines/>
      <w:spacing w:before="240" w:after="120"/>
    </w:pPr>
    <w:rPr>
      <w:rFonts w:cs="Times New Roman"/>
      <w:b/>
      <w:bCs w:val="0"/>
      <w:caps/>
      <w:sz w:val="20"/>
      <w:szCs w:val="20"/>
      <w:lang w:val="en-US"/>
    </w:rPr>
  </w:style>
  <w:style w:type="paragraph" w:styleId="TOC5">
    <w:name w:val="toc 5"/>
    <w:basedOn w:val="TOC4"/>
    <w:semiHidden/>
    <w:rsid w:val="0082412B"/>
    <w:pPr>
      <w:ind w:left="2520" w:hanging="720"/>
    </w:pPr>
  </w:style>
  <w:style w:type="paragraph" w:styleId="TOC4">
    <w:name w:val="toc 4"/>
    <w:basedOn w:val="Normal"/>
    <w:next w:val="Normal"/>
    <w:semiHidden/>
    <w:rsid w:val="0082412B"/>
    <w:pPr>
      <w:tabs>
        <w:tab w:val="right" w:leader="dot" w:pos="9090"/>
      </w:tabs>
      <w:overflowPunct w:val="0"/>
      <w:autoSpaceDE w:val="0"/>
      <w:autoSpaceDN w:val="0"/>
      <w:adjustRightInd w:val="0"/>
      <w:spacing w:after="0"/>
      <w:ind w:left="2160" w:hanging="360"/>
      <w:jc w:val="both"/>
      <w:textAlignment w:val="baseline"/>
    </w:pPr>
    <w:rPr>
      <w:rFonts w:cs="Times New Roman"/>
      <w:bCs w:val="0"/>
      <w:sz w:val="20"/>
      <w:szCs w:val="20"/>
      <w:lang w:val="en-US"/>
    </w:rPr>
  </w:style>
  <w:style w:type="paragraph" w:styleId="TOC3">
    <w:name w:val="toc 3"/>
    <w:basedOn w:val="Normal"/>
    <w:next w:val="Normal"/>
    <w:semiHidden/>
    <w:rsid w:val="0082412B"/>
    <w:pPr>
      <w:tabs>
        <w:tab w:val="right" w:leader="dot" w:pos="9072"/>
      </w:tabs>
      <w:overflowPunct w:val="0"/>
      <w:autoSpaceDE w:val="0"/>
      <w:autoSpaceDN w:val="0"/>
      <w:adjustRightInd w:val="0"/>
      <w:spacing w:after="0"/>
      <w:ind w:left="1800" w:hanging="360"/>
      <w:jc w:val="both"/>
      <w:textAlignment w:val="baseline"/>
    </w:pPr>
    <w:rPr>
      <w:rFonts w:cs="Times New Roman"/>
      <w:bCs w:val="0"/>
      <w:sz w:val="20"/>
      <w:szCs w:val="20"/>
      <w:lang w:val="en-US"/>
    </w:rPr>
  </w:style>
  <w:style w:type="paragraph" w:styleId="TOC2">
    <w:name w:val="toc 2"/>
    <w:basedOn w:val="Normal"/>
    <w:next w:val="Normal"/>
    <w:semiHidden/>
    <w:rsid w:val="0082412B"/>
    <w:pPr>
      <w:tabs>
        <w:tab w:val="left" w:pos="1710"/>
        <w:tab w:val="right" w:leader="dot" w:pos="9072"/>
      </w:tabs>
      <w:overflowPunct w:val="0"/>
      <w:autoSpaceDE w:val="0"/>
      <w:autoSpaceDN w:val="0"/>
      <w:adjustRightInd w:val="0"/>
      <w:spacing w:after="120"/>
      <w:ind w:left="1260" w:hanging="360"/>
      <w:jc w:val="both"/>
      <w:textAlignment w:val="baseline"/>
    </w:pPr>
    <w:rPr>
      <w:rFonts w:cs="Times New Roman"/>
      <w:bCs w:val="0"/>
      <w:sz w:val="20"/>
      <w:szCs w:val="20"/>
      <w:lang w:val="en-US"/>
    </w:rPr>
  </w:style>
  <w:style w:type="paragraph" w:styleId="TOC1">
    <w:name w:val="toc 1"/>
    <w:basedOn w:val="Normal"/>
    <w:next w:val="Normal"/>
    <w:semiHidden/>
    <w:rsid w:val="0082412B"/>
    <w:pPr>
      <w:tabs>
        <w:tab w:val="right" w:pos="630"/>
        <w:tab w:val="right" w:leader="dot" w:pos="9072"/>
      </w:tabs>
      <w:overflowPunct w:val="0"/>
      <w:autoSpaceDE w:val="0"/>
      <w:autoSpaceDN w:val="0"/>
      <w:adjustRightInd w:val="0"/>
      <w:spacing w:before="240" w:after="120"/>
      <w:ind w:left="900" w:hanging="904"/>
      <w:jc w:val="both"/>
      <w:textAlignment w:val="baseline"/>
    </w:pPr>
    <w:rPr>
      <w:rFonts w:cs="Times New Roman"/>
      <w:bCs w:val="0"/>
      <w:caps/>
      <w:sz w:val="20"/>
      <w:szCs w:val="20"/>
      <w:lang w:val="en-US"/>
    </w:rPr>
  </w:style>
  <w:style w:type="paragraph" w:styleId="NormalIndent">
    <w:name w:val="Normal Indent"/>
    <w:basedOn w:val="Normal"/>
    <w:rsid w:val="0082412B"/>
    <w:pPr>
      <w:overflowPunct w:val="0"/>
      <w:autoSpaceDE w:val="0"/>
      <w:autoSpaceDN w:val="0"/>
      <w:adjustRightInd w:val="0"/>
      <w:spacing w:before="168" w:after="0"/>
      <w:ind w:left="900"/>
      <w:jc w:val="both"/>
      <w:textAlignment w:val="baseline"/>
    </w:pPr>
    <w:rPr>
      <w:rFonts w:cs="Times New Roman"/>
      <w:bCs w:val="0"/>
      <w:sz w:val="20"/>
      <w:szCs w:val="20"/>
      <w:lang w:val="en-US"/>
    </w:rPr>
  </w:style>
  <w:style w:type="paragraph" w:customStyle="1" w:styleId="CPCLH1">
    <w:name w:val="CPCLH1"/>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
      <w:bCs w:val="0"/>
      <w:sz w:val="20"/>
      <w:szCs w:val="20"/>
      <w:lang w:val="en-US"/>
    </w:rPr>
  </w:style>
  <w:style w:type="paragraph" w:customStyle="1" w:styleId="CPCLH2">
    <w:name w:val="CPCLH2"/>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u w:val="single"/>
      <w:lang w:val="en-US"/>
    </w:rPr>
  </w:style>
  <w:style w:type="paragraph" w:customStyle="1" w:styleId="CPCLH3">
    <w:name w:val="CPCLH3"/>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lang w:val="en-US"/>
    </w:rPr>
  </w:style>
  <w:style w:type="paragraph" w:customStyle="1" w:styleId="CPCLH4">
    <w:name w:val="CPCLH4"/>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Courier New" w:hAnsi="Courier New" w:cs="Times New Roman"/>
      <w:bCs w:val="0"/>
      <w:sz w:val="20"/>
      <w:szCs w:val="20"/>
      <w:lang w:val="en-US"/>
    </w:rPr>
  </w:style>
  <w:style w:type="character" w:styleId="FootnoteReference">
    <w:name w:val="footnote reference"/>
    <w:semiHidden/>
    <w:rsid w:val="0082412B"/>
    <w:rPr>
      <w:vertAlign w:val="superscript"/>
    </w:rPr>
  </w:style>
  <w:style w:type="paragraph" w:customStyle="1" w:styleId="Listnotab">
    <w:name w:val="List: no tab"/>
    <w:basedOn w:val="Normal"/>
    <w:next w:val="Body"/>
    <w:rsid w:val="0082412B"/>
    <w:pPr>
      <w:overflowPunct w:val="0"/>
      <w:autoSpaceDE w:val="0"/>
      <w:autoSpaceDN w:val="0"/>
      <w:adjustRightInd w:val="0"/>
      <w:spacing w:after="0"/>
      <w:textAlignment w:val="baseline"/>
    </w:pPr>
    <w:rPr>
      <w:rFonts w:cs="Times New Roman"/>
      <w:bCs w:val="0"/>
      <w:sz w:val="20"/>
      <w:szCs w:val="20"/>
      <w:lang w:val="en-US"/>
    </w:rPr>
  </w:style>
  <w:style w:type="paragraph" w:customStyle="1" w:styleId="ExtraSpace">
    <w:name w:val="Extra Space"/>
    <w:basedOn w:val="Normal"/>
    <w:next w:val="Body"/>
    <w:rsid w:val="0082412B"/>
    <w:pPr>
      <w:overflowPunct w:val="0"/>
      <w:autoSpaceDE w:val="0"/>
      <w:autoSpaceDN w:val="0"/>
      <w:adjustRightInd w:val="0"/>
      <w:spacing w:after="0" w:line="120" w:lineRule="exact"/>
      <w:textAlignment w:val="baseline"/>
    </w:pPr>
    <w:rPr>
      <w:rFonts w:cs="Times New Roman"/>
      <w:bCs w:val="0"/>
      <w:color w:val="00FF00"/>
      <w:sz w:val="20"/>
      <w:szCs w:val="20"/>
      <w:lang w:val="en-US"/>
    </w:rPr>
  </w:style>
  <w:style w:type="paragraph" w:customStyle="1" w:styleId="Body11pt">
    <w:name w:val="Body + 11 pt"/>
    <w:basedOn w:val="Normal"/>
    <w:rsid w:val="0082412B"/>
    <w:pPr>
      <w:overflowPunct w:val="0"/>
      <w:autoSpaceDE w:val="0"/>
      <w:autoSpaceDN w:val="0"/>
      <w:adjustRightInd w:val="0"/>
      <w:spacing w:after="0"/>
      <w:jc w:val="both"/>
      <w:textAlignment w:val="baseline"/>
    </w:pPr>
    <w:rPr>
      <w:rFonts w:cs="Times New Roman"/>
      <w:bCs w:val="0"/>
      <w:sz w:val="20"/>
      <w:szCs w:val="20"/>
      <w:lang w:val="en-US"/>
    </w:rPr>
  </w:style>
  <w:style w:type="paragraph" w:customStyle="1" w:styleId="CommentSubject1">
    <w:name w:val="Comment Subject1"/>
    <w:basedOn w:val="CommentText"/>
    <w:next w:val="CommentText"/>
    <w:rsid w:val="0082412B"/>
    <w:pPr>
      <w:overflowPunct w:val="0"/>
      <w:autoSpaceDE w:val="0"/>
      <w:autoSpaceDN w:val="0"/>
      <w:adjustRightInd w:val="0"/>
      <w:spacing w:after="0"/>
      <w:jc w:val="both"/>
      <w:textAlignment w:val="baseline"/>
    </w:pPr>
    <w:rPr>
      <w:b/>
      <w:bCs w:val="0"/>
      <w:lang w:val="en-US"/>
    </w:rPr>
  </w:style>
  <w:style w:type="paragraph" w:customStyle="1" w:styleId="Bodycentered">
    <w:name w:val="Body: centered"/>
    <w:basedOn w:val="Normal"/>
    <w:next w:val="Normal"/>
    <w:rsid w:val="0082412B"/>
    <w:pPr>
      <w:overflowPunct w:val="0"/>
      <w:autoSpaceDE w:val="0"/>
      <w:autoSpaceDN w:val="0"/>
      <w:adjustRightInd w:val="0"/>
      <w:spacing w:after="0"/>
      <w:jc w:val="center"/>
      <w:textAlignment w:val="baseline"/>
    </w:pPr>
    <w:rPr>
      <w:rFonts w:cs="Times New Roman"/>
      <w:bCs w:val="0"/>
      <w:sz w:val="20"/>
      <w:szCs w:val="20"/>
      <w:lang w:val="en-US"/>
    </w:rPr>
  </w:style>
  <w:style w:type="paragraph" w:styleId="NormalWeb">
    <w:name w:val="Normal (Web)"/>
    <w:basedOn w:val="Normal"/>
    <w:rsid w:val="0082412B"/>
    <w:pPr>
      <w:overflowPunct w:val="0"/>
      <w:autoSpaceDE w:val="0"/>
      <w:autoSpaceDN w:val="0"/>
      <w:adjustRightInd w:val="0"/>
      <w:spacing w:before="100" w:after="100"/>
      <w:textAlignment w:val="baseline"/>
    </w:pPr>
    <w:rPr>
      <w:rFonts w:cs="Times New Roman"/>
      <w:bCs w:val="0"/>
      <w:sz w:val="18"/>
      <w:szCs w:val="20"/>
      <w:lang w:val="en-US"/>
    </w:rPr>
  </w:style>
  <w:style w:type="paragraph" w:customStyle="1" w:styleId="SubSectionHeadings">
    <w:name w:val="Sub Section Headings"/>
    <w:basedOn w:val="Normal"/>
    <w:next w:val="Body"/>
    <w:link w:val="SubSectionHeadingsChar"/>
    <w:rsid w:val="0082412B"/>
    <w:pPr>
      <w:keepNext/>
      <w:keepLines/>
      <w:overflowPunct w:val="0"/>
      <w:autoSpaceDE w:val="0"/>
      <w:autoSpaceDN w:val="0"/>
      <w:adjustRightInd w:val="0"/>
      <w:spacing w:after="0"/>
      <w:textAlignment w:val="baseline"/>
    </w:pPr>
    <w:rPr>
      <w:rFonts w:cs="Times New Roman"/>
      <w:bCs w:val="0"/>
      <w:sz w:val="20"/>
      <w:szCs w:val="20"/>
      <w:lang w:val="en-US"/>
    </w:rPr>
  </w:style>
  <w:style w:type="paragraph" w:customStyle="1" w:styleId="Heading3Text">
    <w:name w:val="Heading3 Text"/>
    <w:rsid w:val="0082412B"/>
    <w:pPr>
      <w:spacing w:after="240"/>
      <w:ind w:left="1080"/>
      <w:jc w:val="both"/>
    </w:pPr>
    <w:rPr>
      <w:sz w:val="24"/>
      <w:lang w:val="en-US" w:eastAsia="en-US"/>
    </w:rPr>
  </w:style>
  <w:style w:type="table" w:styleId="TableGrid">
    <w:name w:val="Table Grid"/>
    <w:basedOn w:val="TableNormal"/>
    <w:uiPriority w:val="59"/>
    <w:rsid w:val="0082412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next w:val="Normal"/>
    <w:rsid w:val="0082412B"/>
    <w:pPr>
      <w:autoSpaceDE w:val="0"/>
      <w:autoSpaceDN w:val="0"/>
      <w:adjustRightInd w:val="0"/>
      <w:spacing w:after="0"/>
    </w:pPr>
    <w:rPr>
      <w:rFonts w:ascii="Arial,Bold" w:hAnsi="Arial,Bold" w:cs="Times New Roman"/>
      <w:bCs w:val="0"/>
      <w:sz w:val="24"/>
      <w:szCs w:val="24"/>
      <w:lang w:val="en-US"/>
    </w:rPr>
  </w:style>
  <w:style w:type="paragraph" w:customStyle="1" w:styleId="Default">
    <w:name w:val="Default"/>
    <w:rsid w:val="0082412B"/>
    <w:pPr>
      <w:autoSpaceDE w:val="0"/>
      <w:autoSpaceDN w:val="0"/>
      <w:adjustRightInd w:val="0"/>
    </w:pPr>
    <w:rPr>
      <w:color w:val="000000"/>
      <w:sz w:val="24"/>
      <w:szCs w:val="24"/>
      <w:lang w:val="en-US" w:eastAsia="en-US"/>
    </w:rPr>
  </w:style>
  <w:style w:type="paragraph" w:customStyle="1" w:styleId="DosageForm">
    <w:name w:val="Dosage Form"/>
    <w:basedOn w:val="Normal"/>
    <w:next w:val="Normal"/>
    <w:rsid w:val="0082412B"/>
    <w:pPr>
      <w:keepNext/>
      <w:keepLines/>
      <w:spacing w:after="0"/>
    </w:pPr>
    <w:rPr>
      <w:rFonts w:cs="Times New Roman"/>
      <w:bCs w:val="0"/>
      <w:sz w:val="24"/>
      <w:szCs w:val="20"/>
      <w:lang w:val="en-US"/>
    </w:rPr>
  </w:style>
  <w:style w:type="paragraph" w:customStyle="1" w:styleId="Tablenormal0">
    <w:name w:val="Table: normal"/>
    <w:basedOn w:val="Normal"/>
    <w:rsid w:val="0082412B"/>
    <w:pPr>
      <w:keepNext/>
      <w:keepLines/>
      <w:spacing w:after="0"/>
    </w:pPr>
    <w:rPr>
      <w:rFonts w:cs="Times New Roman"/>
      <w:bCs w:val="0"/>
      <w:sz w:val="14"/>
      <w:szCs w:val="20"/>
      <w:lang w:val="en-US"/>
    </w:rPr>
  </w:style>
  <w:style w:type="character" w:customStyle="1" w:styleId="SubSectionHeadingsChar">
    <w:name w:val="Sub Section Headings Char"/>
    <w:link w:val="SubSectionHeadings"/>
    <w:rsid w:val="0082412B"/>
    <w:rPr>
      <w:rFonts w:ascii="Arial" w:hAnsi="Arial"/>
      <w:lang w:val="en-US" w:eastAsia="en-US" w:bidi="ar-SA"/>
    </w:rPr>
  </w:style>
  <w:style w:type="character" w:customStyle="1" w:styleId="HeadingChar">
    <w:name w:val="Heading Char"/>
    <w:link w:val="Heading"/>
    <w:rsid w:val="00916224"/>
    <w:rPr>
      <w:rFonts w:ascii="Arial" w:hAnsi="Arial" w:cs="Arial"/>
      <w:b/>
      <w:bCs/>
      <w:caps/>
      <w:sz w:val="22"/>
      <w:szCs w:val="22"/>
      <w:lang w:val="en-AU" w:eastAsia="en-US" w:bidi="ar-SA"/>
    </w:rPr>
  </w:style>
  <w:style w:type="paragraph" w:customStyle="1" w:styleId="StyleListBullet10pt">
    <w:name w:val="Style List Bullet + 10 pt"/>
    <w:basedOn w:val="Normal"/>
    <w:rsid w:val="00493337"/>
    <w:pPr>
      <w:numPr>
        <w:numId w:val="6"/>
      </w:numPr>
    </w:pPr>
  </w:style>
  <w:style w:type="paragraph" w:customStyle="1" w:styleId="Style1">
    <w:name w:val="Style1"/>
    <w:basedOn w:val="Normal"/>
    <w:autoRedefine/>
    <w:rsid w:val="00263C5B"/>
    <w:pPr>
      <w:keepNext/>
      <w:keepLines/>
      <w:spacing w:before="20" w:after="20"/>
      <w:outlineLvl w:val="0"/>
    </w:pPr>
    <w:rPr>
      <w:bCs w:val="0"/>
      <w:sz w:val="20"/>
      <w:szCs w:val="20"/>
    </w:rPr>
  </w:style>
  <w:style w:type="paragraph" w:customStyle="1" w:styleId="Tablecentered">
    <w:name w:val="Table: centered"/>
    <w:basedOn w:val="Normal"/>
    <w:rsid w:val="00AD34E0"/>
    <w:pPr>
      <w:keepNext/>
      <w:keepLines/>
      <w:spacing w:after="0"/>
      <w:jc w:val="center"/>
    </w:pPr>
    <w:rPr>
      <w:bCs w:val="0"/>
      <w:sz w:val="14"/>
      <w:szCs w:val="14"/>
      <w:lang w:val="en-US"/>
    </w:rPr>
  </w:style>
  <w:style w:type="paragraph" w:styleId="Revision">
    <w:name w:val="Revision"/>
    <w:hidden/>
    <w:uiPriority w:val="99"/>
    <w:semiHidden/>
    <w:rsid w:val="00327275"/>
    <w:rPr>
      <w:rFonts w:ascii="Arial" w:hAnsi="Arial" w:cs="Arial"/>
      <w:bCs/>
      <w:sz w:val="22"/>
      <w:szCs w:val="22"/>
      <w:lang w:eastAsia="en-US"/>
    </w:rPr>
  </w:style>
  <w:style w:type="paragraph" w:customStyle="1" w:styleId="Nroma">
    <w:name w:val="Nroma"/>
    <w:basedOn w:val="Normal"/>
    <w:rsid w:val="00320D85"/>
    <w:pPr>
      <w:tabs>
        <w:tab w:val="left" w:pos="360"/>
      </w:tabs>
    </w:pPr>
    <w:rPr>
      <w:b/>
      <w:i/>
      <w:color w:val="000000"/>
    </w:rPr>
  </w:style>
  <w:style w:type="character" w:styleId="FollowedHyperlink">
    <w:name w:val="FollowedHyperlink"/>
    <w:rsid w:val="00260965"/>
    <w:rPr>
      <w:color w:val="606420"/>
      <w:u w:val="single"/>
    </w:rPr>
  </w:style>
  <w:style w:type="paragraph" w:styleId="ListParagraph">
    <w:name w:val="List Paragraph"/>
    <w:basedOn w:val="Normal"/>
    <w:uiPriority w:val="34"/>
    <w:qFormat/>
    <w:rsid w:val="00852504"/>
    <w:pPr>
      <w:ind w:left="720"/>
    </w:pPr>
  </w:style>
  <w:style w:type="character" w:customStyle="1" w:styleId="CommentTextChar">
    <w:name w:val="Comment Text Char"/>
    <w:link w:val="CommentText"/>
    <w:semiHidden/>
    <w:rsid w:val="00F06C04"/>
    <w:rPr>
      <w:rFonts w:ascii="Arial" w:hAnsi="Arial" w:cs="Arial"/>
      <w:b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http://www.merckbranding.com/download/msd/logo_jpg/msd_k.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C40C-0F05-4F93-BF0A-867CC316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36</Pages>
  <Words>15369</Words>
  <Characters>87606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AusPAR Attachment 1: Product Information for</vt:lpstr>
    </vt:vector>
  </TitlesOfParts>
  <Company>Merck &amp; Co., Inc.</Company>
  <LinksUpToDate>false</LinksUpToDate>
  <CharactersWithSpaces>102770</CharactersWithSpaces>
  <SharedDoc>false</SharedDoc>
  <HLinks>
    <vt:vector size="18" baseType="variant">
      <vt:variant>
        <vt:i4>4980811</vt:i4>
      </vt:variant>
      <vt:variant>
        <vt:i4>240764</vt:i4>
      </vt:variant>
      <vt:variant>
        <vt:i4>1029</vt:i4>
      </vt:variant>
      <vt:variant>
        <vt:i4>1</vt:i4>
      </vt:variant>
      <vt:variant>
        <vt:lpwstr>http://www.merckbranding.com/download/msd/logo_jpg/msd_k.jpg</vt:lpwstr>
      </vt:variant>
      <vt:variant>
        <vt:lpwstr/>
      </vt:variant>
      <vt:variant>
        <vt:i4>4980811</vt:i4>
      </vt:variant>
      <vt:variant>
        <vt:i4>241025</vt:i4>
      </vt:variant>
      <vt:variant>
        <vt:i4>1030</vt:i4>
      </vt:variant>
      <vt:variant>
        <vt:i4>1</vt:i4>
      </vt:variant>
      <vt:variant>
        <vt:lpwstr>http://www.merckbranding.com/download/msd/logo_jpg/msd_k.jpg</vt:lpwstr>
      </vt:variant>
      <vt:variant>
        <vt:lpwstr/>
      </vt:variant>
      <vt:variant>
        <vt:i4>4980811</vt:i4>
      </vt:variant>
      <vt:variant>
        <vt:i4>241289</vt:i4>
      </vt:variant>
      <vt:variant>
        <vt:i4>1031</vt:i4>
      </vt:variant>
      <vt:variant>
        <vt:i4>1</vt:i4>
      </vt:variant>
      <vt:variant>
        <vt:lpwstr>http://www.merckbranding.com/download/msd/logo_jpg/msd_k.jpg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Juvicor</dc:title>
  <dc:subject>prescription medicine regulation</dc:subject>
  <dc:creator>Merck &amp; Co., Inc.</dc:creator>
  <cp:keywords>pi, product information, juvicor, sitagliptin phosphate monohydrate, simvastatin</cp:keywords>
  <cp:lastModifiedBy>Sheppard, Fran</cp:lastModifiedBy>
  <cp:revision>30</cp:revision>
  <cp:lastPrinted>2012-11-18T23:17:00Z</cp:lastPrinted>
  <dcterms:created xsi:type="dcterms:W3CDTF">2013-09-06T04:36:00Z</dcterms:created>
  <dcterms:modified xsi:type="dcterms:W3CDTF">2013-09-10T10:47:00Z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-1580949181</vt:i4>
  </property>
  <property fmtid="{D5CDD505-2E9C-101B-9397-08002B2CF9AE}" pid="3" name="_NewReviewCycle">
    <vt:lpwstr/>
  </property>
  <property fmtid="{D5CDD505-2E9C-101B-9397-08002B2CF9AE}" pid="4" name="_EmailSubject">
    <vt:lpwstr>Draft AusPAR for Juvicor, Xelezor, Tesozor [SEC=UNCLASSIFIED]</vt:lpwstr>
  </property>
  <property fmtid="{D5CDD505-2E9C-101B-9397-08002B2CF9AE}" pid="5" name="_AuthorEmail">
    <vt:lpwstr>jade.wei@merck.com</vt:lpwstr>
  </property>
  <property fmtid="{D5CDD505-2E9C-101B-9397-08002B2CF9AE}" pid="6" name="_AuthorEmailDisplayName">
    <vt:lpwstr>Wei, Jade</vt:lpwstr>
  </property>
  <property fmtid="{D5CDD505-2E9C-101B-9397-08002B2CF9AE}" pid="7" name="_ReviewingToolsShownOnce">
    <vt:lpwstr/>
  </property>
</Properties>
</file>